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adjustRightInd w:val="0"/>
        <w:snapToGrid w:val="0"/>
        <w:spacing w:line="360" w:lineRule="auto"/>
        <w:rPr>
          <w:rFonts w:ascii="仿宋_GB2312" w:hAnsi="Times New Roman" w:eastAsia="仿宋_GB2312" w:cs="Times New Roman"/>
          <w:sz w:val="32"/>
          <w:szCs w:val="32"/>
        </w:rPr>
      </w:pPr>
      <w:bookmarkStart w:id="0" w:name="_Toc21000471"/>
      <w:bookmarkStart w:id="1" w:name="_Toc21001314"/>
      <w:bookmarkStart w:id="2" w:name="_Toc35421027"/>
      <w:bookmarkStart w:id="3" w:name="_Toc53472201"/>
      <w:bookmarkStart w:id="4" w:name="_Toc20816073"/>
      <w:bookmarkStart w:id="5" w:name="_Toc20642243"/>
      <w:bookmarkStart w:id="6" w:name="_Toc34720698"/>
      <w:bookmarkStart w:id="7" w:name="_Toc20988241"/>
    </w:p>
    <w:p>
      <w:pPr>
        <w:pStyle w:val="24"/>
        <w:adjustRightInd w:val="0"/>
        <w:snapToGrid w:val="0"/>
        <w:spacing w:line="360" w:lineRule="auto"/>
        <w:rPr>
          <w:rFonts w:ascii="仿宋_GB2312" w:hAnsi="Times New Roman" w:eastAsia="仿宋_GB2312" w:cs="Times New Roman"/>
          <w:sz w:val="32"/>
          <w:szCs w:val="32"/>
        </w:rPr>
      </w:pPr>
    </w:p>
    <w:p>
      <w:pPr>
        <w:pStyle w:val="24"/>
        <w:spacing w:after="360" w:afterLines="150"/>
        <w:jc w:val="center"/>
        <w:rPr>
          <w:rFonts w:ascii="仿宋_GB2312" w:hAnsi="Times New Roman" w:eastAsia="仿宋_GB2312" w:cs="Times New Roman"/>
          <w:b/>
          <w:sz w:val="44"/>
          <w:szCs w:val="44"/>
        </w:rPr>
      </w:pPr>
      <w:r>
        <w:rPr>
          <w:rFonts w:hint="eastAsia" w:ascii="仿宋_GB2312" w:hAnsi="Times New Roman" w:eastAsia="仿宋_GB2312" w:cs="Times New Roman"/>
          <w:b/>
          <w:sz w:val="44"/>
          <w:szCs w:val="44"/>
        </w:rPr>
        <w:t>克拉玛依市白碱滩区（克拉玛依高新技术产业开发区）住房和建设局</w:t>
      </w:r>
    </w:p>
    <w:p>
      <w:pPr>
        <w:adjustRightInd w:val="0"/>
        <w:snapToGrid w:val="0"/>
        <w:spacing w:line="360" w:lineRule="auto"/>
        <w:jc w:val="center"/>
        <w:rPr>
          <w:rFonts w:ascii="仿宋_GB2312" w:eastAsia="仿宋_GB2312"/>
          <w:b/>
          <w:sz w:val="52"/>
          <w:szCs w:val="52"/>
        </w:rPr>
      </w:pPr>
      <w:r>
        <w:rPr>
          <w:rFonts w:hint="eastAsia" w:ascii="仿宋_GB2312" w:eastAsia="仿宋_GB2312"/>
          <w:b/>
          <w:sz w:val="52"/>
          <w:szCs w:val="52"/>
        </w:rPr>
        <w:t>招</w:t>
      </w:r>
      <w:r>
        <w:rPr>
          <w:rFonts w:ascii="仿宋_GB2312" w:eastAsia="仿宋_GB2312"/>
          <w:b/>
          <w:sz w:val="52"/>
          <w:szCs w:val="52"/>
        </w:rPr>
        <w:t xml:space="preserve"> </w:t>
      </w:r>
      <w:r>
        <w:rPr>
          <w:rFonts w:hint="eastAsia" w:ascii="仿宋_GB2312" w:eastAsia="仿宋_GB2312"/>
          <w:b/>
          <w:sz w:val="52"/>
          <w:szCs w:val="52"/>
        </w:rPr>
        <w:t>标</w:t>
      </w:r>
      <w:r>
        <w:rPr>
          <w:rFonts w:ascii="仿宋_GB2312" w:eastAsia="仿宋_GB2312"/>
          <w:b/>
          <w:sz w:val="52"/>
          <w:szCs w:val="52"/>
        </w:rPr>
        <w:t xml:space="preserve"> </w:t>
      </w:r>
      <w:r>
        <w:rPr>
          <w:rFonts w:hint="eastAsia" w:ascii="仿宋_GB2312" w:eastAsia="仿宋_GB2312"/>
          <w:b/>
          <w:sz w:val="52"/>
          <w:szCs w:val="52"/>
        </w:rPr>
        <w:t>文</w:t>
      </w:r>
      <w:r>
        <w:rPr>
          <w:rFonts w:ascii="仿宋_GB2312" w:eastAsia="仿宋_GB2312"/>
          <w:b/>
          <w:sz w:val="52"/>
          <w:szCs w:val="52"/>
        </w:rPr>
        <w:t xml:space="preserve"> </w:t>
      </w:r>
      <w:r>
        <w:rPr>
          <w:rFonts w:hint="eastAsia" w:ascii="仿宋_GB2312" w:eastAsia="仿宋_GB2312"/>
          <w:b/>
          <w:sz w:val="52"/>
          <w:szCs w:val="52"/>
        </w:rPr>
        <w:t>件</w:t>
      </w:r>
    </w:p>
    <w:p>
      <w:pPr>
        <w:adjustRightInd w:val="0"/>
        <w:snapToGrid w:val="0"/>
        <w:spacing w:line="360" w:lineRule="auto"/>
        <w:jc w:val="center"/>
        <w:rPr>
          <w:rFonts w:ascii="仿宋_GB2312" w:eastAsia="仿宋_GB2312"/>
          <w:sz w:val="36"/>
          <w:szCs w:val="36"/>
        </w:rPr>
      </w:pPr>
      <w:permStart w:id="0" w:edGrp="everyone"/>
      <w:permEnd w:id="0"/>
    </w:p>
    <w:p>
      <w:pPr>
        <w:pStyle w:val="24"/>
        <w:spacing w:line="360" w:lineRule="auto"/>
        <w:rPr>
          <w:rFonts w:ascii="仿宋_GB2312" w:hAnsi="Times New Roman" w:eastAsia="仿宋_GB2312" w:cs="Times New Roman"/>
          <w:b/>
          <w:sz w:val="32"/>
          <w:szCs w:val="32"/>
        </w:rPr>
      </w:pPr>
      <w:permStart w:id="1" w:edGrp="everyone"/>
      <w:permEnd w:id="1"/>
    </w:p>
    <w:p>
      <w:pPr>
        <w:pStyle w:val="24"/>
        <w:spacing w:line="360" w:lineRule="auto"/>
        <w:ind w:left="1986" w:leftChars="536" w:hanging="860" w:hangingChars="306"/>
        <w:rPr>
          <w:rFonts w:ascii="仿宋_GB2312" w:hAnsi="Times New Roman" w:eastAsia="仿宋_GB2312" w:cs="Times New Roman"/>
          <w:b/>
          <w:sz w:val="28"/>
          <w:szCs w:val="28"/>
          <w:u w:val="single"/>
        </w:rPr>
      </w:pPr>
      <w:r>
        <w:rPr>
          <w:rFonts w:hint="eastAsia" w:ascii="仿宋_GB2312" w:hAnsi="Times New Roman" w:eastAsia="仿宋_GB2312" w:cs="Times New Roman"/>
          <w:b/>
          <w:sz w:val="28"/>
          <w:szCs w:val="28"/>
        </w:rPr>
        <w:t>项目名称：</w:t>
      </w:r>
      <w:r>
        <w:rPr>
          <w:rFonts w:hint="eastAsia" w:ascii="仿宋_GB2312" w:hAnsi="Times New Roman" w:eastAsia="仿宋_GB2312" w:cs="Times New Roman"/>
          <w:b/>
          <w:sz w:val="28"/>
          <w:szCs w:val="28"/>
          <w:u w:val="single"/>
        </w:rPr>
        <w:t>克拉玛依石化工业园区污水处理厂改建PPP项目</w:t>
      </w:r>
    </w:p>
    <w:p>
      <w:pPr>
        <w:pStyle w:val="24"/>
        <w:spacing w:line="360" w:lineRule="auto"/>
        <w:ind w:left="1986" w:leftChars="536" w:hanging="860" w:hangingChars="306"/>
        <w:rPr>
          <w:rFonts w:ascii="仿宋_GB2312" w:hAnsi="Times New Roman" w:eastAsia="仿宋_GB2312" w:cs="Times New Roman"/>
          <w:b/>
          <w:sz w:val="28"/>
          <w:szCs w:val="28"/>
          <w:u w:val="single"/>
        </w:rPr>
      </w:pPr>
    </w:p>
    <w:p>
      <w:pPr>
        <w:pStyle w:val="24"/>
        <w:spacing w:line="360" w:lineRule="auto"/>
        <w:ind w:firstLine="1124" w:firstLineChars="400"/>
        <w:rPr>
          <w:rFonts w:ascii="仿宋_GB2312" w:hAnsi="Times New Roman" w:eastAsia="仿宋_GB2312" w:cs="Times New Roman"/>
          <w:b/>
          <w:sz w:val="28"/>
          <w:szCs w:val="28"/>
          <w:u w:val="single"/>
        </w:rPr>
      </w:pPr>
      <w:r>
        <w:rPr>
          <w:rFonts w:hint="eastAsia" w:ascii="仿宋_GB2312" w:hAnsi="Times New Roman" w:eastAsia="仿宋_GB2312" w:cs="Times New Roman"/>
          <w:b/>
          <w:sz w:val="28"/>
          <w:szCs w:val="28"/>
        </w:rPr>
        <w:t>项目编号：</w:t>
      </w:r>
      <w:r>
        <w:rPr>
          <w:rFonts w:ascii="仿宋_GB2312" w:hAnsi="Times New Roman" w:eastAsia="仿宋_GB2312" w:cs="Times New Roman"/>
          <w:b/>
          <w:sz w:val="28"/>
          <w:szCs w:val="28"/>
          <w:u w:val="single"/>
        </w:rPr>
        <w:t>KSBQGXQZJJ（SHYWSC）2020-02</w:t>
      </w:r>
    </w:p>
    <w:p>
      <w:pPr>
        <w:pStyle w:val="24"/>
        <w:spacing w:line="360" w:lineRule="auto"/>
        <w:ind w:left="1985" w:hanging="1985" w:hangingChars="706"/>
        <w:rPr>
          <w:rFonts w:ascii="仿宋_GB2312" w:hAnsi="Times New Roman" w:eastAsia="仿宋_GB2312" w:cs="Times New Roman"/>
          <w:b/>
          <w:sz w:val="28"/>
          <w:szCs w:val="28"/>
          <w:u w:val="single"/>
        </w:rPr>
      </w:pPr>
    </w:p>
    <w:p>
      <w:pPr>
        <w:pStyle w:val="24"/>
        <w:spacing w:line="360" w:lineRule="auto"/>
        <w:ind w:left="2756" w:leftChars="405" w:hanging="1906" w:hangingChars="678"/>
        <w:jc w:val="center"/>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896" w:leftChars="405" w:hanging="2046" w:hangingChars="728"/>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采</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购</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人：克拉玛依市白碱滩区（克拉玛依高新技术产业开发区）住房和建设局</w:t>
      </w:r>
    </w:p>
    <w:p>
      <w:pPr>
        <w:pStyle w:val="24"/>
        <w:spacing w:line="360" w:lineRule="auto"/>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采购代理机构：新疆天麒工程项目管理咨询有限责任公司</w:t>
      </w: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发布日期：</w:t>
      </w:r>
      <w:del w:id="0" w:author="xbany" w:date="2020-07-07T11:31:00Z">
        <w:r>
          <w:rPr>
            <w:rFonts w:ascii="仿宋_GB2312" w:hAnsi="Times New Roman" w:eastAsia="仿宋_GB2312" w:cs="Times New Roman"/>
            <w:b/>
            <w:sz w:val="28"/>
            <w:szCs w:val="28"/>
          </w:rPr>
          <w:delText>2020</w:delText>
        </w:r>
      </w:del>
      <w:del w:id="1" w:author="xbany" w:date="2020-07-07T11:31:00Z">
        <w:r>
          <w:rPr>
            <w:rFonts w:hint="eastAsia" w:ascii="仿宋_GB2312" w:hAnsi="Times New Roman" w:eastAsia="仿宋_GB2312" w:cs="Times New Roman"/>
            <w:b/>
            <w:sz w:val="28"/>
            <w:szCs w:val="28"/>
          </w:rPr>
          <w:delText>年</w:delText>
        </w:r>
      </w:del>
      <w:del w:id="2" w:author="xbany" w:date="2020-07-07T11:31:00Z">
        <w:r>
          <w:rPr>
            <w:rFonts w:ascii="仿宋_GB2312" w:hAnsi="Times New Roman" w:eastAsia="仿宋_GB2312" w:cs="Times New Roman"/>
            <w:b/>
            <w:sz w:val="28"/>
            <w:szCs w:val="28"/>
          </w:rPr>
          <w:delText>6</w:delText>
        </w:r>
      </w:del>
      <w:ins w:id="3" w:author="xbany" w:date="2020-07-07T11:31:00Z">
        <w:r>
          <w:rPr>
            <w:rFonts w:ascii="仿宋_GB2312" w:hAnsi="Times New Roman" w:eastAsia="仿宋_GB2312" w:cs="Times New Roman"/>
            <w:b/>
            <w:sz w:val="28"/>
            <w:szCs w:val="28"/>
          </w:rPr>
          <w:t>2020</w:t>
        </w:r>
      </w:ins>
      <w:ins w:id="4" w:author="xbany" w:date="2020-07-07T11:31:00Z">
        <w:r>
          <w:rPr>
            <w:rFonts w:hint="eastAsia" w:ascii="仿宋_GB2312" w:hAnsi="Times New Roman" w:eastAsia="仿宋_GB2312" w:cs="Times New Roman"/>
            <w:b/>
            <w:sz w:val="28"/>
            <w:szCs w:val="28"/>
          </w:rPr>
          <w:t>年</w:t>
        </w:r>
      </w:ins>
      <w:ins w:id="5" w:author="xbany" w:date="2020-07-07T11:31:00Z">
        <w:r>
          <w:rPr>
            <w:rFonts w:ascii="仿宋_GB2312" w:hAnsi="Times New Roman" w:eastAsia="仿宋_GB2312" w:cs="Times New Roman"/>
            <w:b/>
            <w:sz w:val="28"/>
            <w:szCs w:val="28"/>
          </w:rPr>
          <w:t>7</w:t>
        </w:r>
      </w:ins>
      <w:r>
        <w:rPr>
          <w:rFonts w:hint="eastAsia" w:ascii="仿宋_GB2312" w:hAnsi="Times New Roman" w:eastAsia="仿宋_GB2312" w:cs="Times New Roman"/>
          <w:b/>
          <w:sz w:val="28"/>
          <w:szCs w:val="28"/>
        </w:rPr>
        <w:t>月</w:t>
      </w:r>
      <w:del w:id="6" w:author="xbany" w:date="2020-07-07T11:31:00Z">
        <w:r>
          <w:rPr>
            <w:rFonts w:ascii="仿宋_GB2312" w:hAnsi="Times New Roman" w:eastAsia="仿宋_GB2312" w:cs="Times New Roman"/>
            <w:b/>
            <w:sz w:val="28"/>
            <w:szCs w:val="28"/>
          </w:rPr>
          <w:delText>19</w:delText>
        </w:r>
      </w:del>
      <w:ins w:id="7" w:author="xbany" w:date="2020-07-07T11:31:00Z">
        <w:r>
          <w:rPr>
            <w:rFonts w:ascii="仿宋_GB2312" w:hAnsi="Times New Roman" w:eastAsia="仿宋_GB2312" w:cs="Times New Roman"/>
            <w:b/>
            <w:sz w:val="28"/>
            <w:szCs w:val="28"/>
          </w:rPr>
          <w:t>8</w:t>
        </w:r>
      </w:ins>
      <w:r>
        <w:rPr>
          <w:rFonts w:hint="eastAsia" w:ascii="仿宋_GB2312" w:hAnsi="Times New Roman" w:eastAsia="仿宋_GB2312" w:cs="Times New Roman"/>
          <w:b/>
          <w:sz w:val="28"/>
          <w:szCs w:val="28"/>
        </w:rPr>
        <w:t>日</w:t>
      </w:r>
    </w:p>
    <w:p>
      <w:pPr>
        <w:pStyle w:val="24"/>
        <w:adjustRightInd w:val="0"/>
        <w:snapToGrid w:val="0"/>
        <w:spacing w:line="360" w:lineRule="auto"/>
        <w:jc w:val="center"/>
        <w:rPr>
          <w:rFonts w:ascii="仿宋_GB2312" w:hAnsi="Times New Roman" w:eastAsia="仿宋_GB2312" w:cs="Times New Roman"/>
          <w:b/>
          <w:sz w:val="28"/>
          <w:szCs w:val="28"/>
        </w:rPr>
      </w:pPr>
    </w:p>
    <w:p>
      <w:pPr>
        <w:pStyle w:val="24"/>
        <w:adjustRightInd w:val="0"/>
        <w:snapToGrid w:val="0"/>
        <w:spacing w:line="360" w:lineRule="auto"/>
        <w:jc w:val="center"/>
        <w:rPr>
          <w:rFonts w:ascii="仿宋_GB2312" w:hAnsi="Times New Roman" w:eastAsia="仿宋_GB2312" w:cs="Times New Roman"/>
          <w:b/>
          <w:sz w:val="28"/>
          <w:szCs w:val="28"/>
        </w:rPr>
      </w:pPr>
    </w:p>
    <w:p>
      <w:pPr>
        <w:pStyle w:val="24"/>
        <w:adjustRightInd w:val="0"/>
        <w:snapToGrid w:val="0"/>
        <w:spacing w:before="120" w:beforeLines="50" w:line="360" w:lineRule="auto"/>
        <w:jc w:val="center"/>
        <w:rPr>
          <w:rFonts w:ascii="仿宋_GB2312" w:hAnsi="Times New Roman" w:eastAsia="仿宋_GB2312" w:cs="Times New Roman"/>
          <w:b/>
          <w:sz w:val="36"/>
          <w:szCs w:val="36"/>
        </w:rPr>
        <w:sectPr>
          <w:pgSz w:w="11906" w:h="16838"/>
          <w:pgMar w:top="1701" w:right="1418" w:bottom="1701" w:left="1701" w:header="1134" w:footer="907" w:gutter="0"/>
          <w:pgNumType w:start="1"/>
          <w:cols w:space="720" w:num="1"/>
          <w:docGrid w:linePitch="312" w:charSpace="0"/>
        </w:sectPr>
      </w:pPr>
    </w:p>
    <w:p>
      <w:pPr>
        <w:pStyle w:val="24"/>
        <w:adjustRightInd w:val="0"/>
        <w:snapToGrid w:val="0"/>
        <w:spacing w:before="120" w:beforeLines="50" w:line="520" w:lineRule="exact"/>
        <w:jc w:val="center"/>
        <w:rPr>
          <w:rFonts w:ascii="仿宋_GB2312" w:hAnsi="仿宋" w:eastAsia="仿宋_GB2312" w:cs="Times New Roman"/>
          <w:b/>
          <w:sz w:val="44"/>
          <w:szCs w:val="44"/>
        </w:rPr>
      </w:pPr>
      <w:r>
        <w:rPr>
          <w:rFonts w:hint="eastAsia" w:ascii="仿宋_GB2312" w:hAnsi="仿宋" w:eastAsia="仿宋_GB2312" w:cs="Times New Roman"/>
          <w:b/>
          <w:sz w:val="44"/>
          <w:szCs w:val="44"/>
        </w:rPr>
        <w:t>目</w:t>
      </w:r>
      <w:r>
        <w:rPr>
          <w:rFonts w:ascii="仿宋_GB2312" w:hAnsi="仿宋" w:eastAsia="仿宋_GB2312" w:cs="Times New Roman"/>
          <w:b/>
          <w:sz w:val="44"/>
          <w:szCs w:val="44"/>
        </w:rPr>
        <w:t xml:space="preserve">   </w:t>
      </w:r>
      <w:r>
        <w:rPr>
          <w:rFonts w:hint="eastAsia" w:ascii="仿宋_GB2312" w:hAnsi="仿宋" w:eastAsia="仿宋_GB2312" w:cs="Times New Roman"/>
          <w:b/>
          <w:sz w:val="44"/>
          <w:szCs w:val="44"/>
        </w:rPr>
        <w:t>录</w:t>
      </w:r>
    </w:p>
    <w:p>
      <w:pPr>
        <w:pStyle w:val="31"/>
        <w:rPr>
          <w:rStyle w:val="52"/>
          <w:rFonts w:hAnsi="仿宋" w:eastAsia="仿宋"/>
          <w:color w:val="auto"/>
          <w:u w:val="none"/>
        </w:rPr>
      </w:pPr>
      <w:bookmarkStart w:id="8" w:name="_Toc333327427"/>
      <w:bookmarkStart w:id="9" w:name="_Toc2828"/>
    </w:p>
    <w:p>
      <w:pPr>
        <w:pStyle w:val="31"/>
        <w:rPr>
          <w:rStyle w:val="52"/>
          <w:rFonts w:hAnsi="仿宋" w:eastAsia="仿宋"/>
          <w:color w:val="auto"/>
          <w:u w:val="none"/>
        </w:rPr>
      </w:pPr>
      <w:r>
        <w:fldChar w:fldCharType="begin"/>
      </w:r>
      <w:r>
        <w:instrText xml:space="preserve"> HYPERLINK \l "_Toc481542919" </w:instrText>
      </w:r>
      <w:r>
        <w:fldChar w:fldCharType="separate"/>
      </w:r>
      <w:r>
        <w:rPr>
          <w:rStyle w:val="52"/>
          <w:rFonts w:hint="eastAsia" w:hAnsi="仿宋" w:eastAsia="仿宋"/>
          <w:color w:val="auto"/>
          <w:u w:val="none"/>
        </w:rPr>
        <w:t>招标文件前附表</w:t>
      </w:r>
      <w:r>
        <w:rPr>
          <w:rStyle w:val="52"/>
          <w:rFonts w:hAnsi="仿宋" w:eastAsia="仿宋"/>
          <w:color w:val="auto"/>
          <w:u w:val="none"/>
        </w:rPr>
        <w:tab/>
      </w:r>
      <w:r>
        <w:rPr>
          <w:rStyle w:val="52"/>
          <w:rFonts w:hAnsi="仿宋" w:eastAsia="仿宋"/>
          <w:color w:val="auto"/>
          <w:u w:val="none"/>
        </w:rPr>
        <w:fldChar w:fldCharType="end"/>
      </w:r>
      <w:r>
        <w:rPr>
          <w:rStyle w:val="52"/>
          <w:rFonts w:hAnsi="仿宋" w:eastAsia="仿宋"/>
          <w:color w:val="auto"/>
          <w:u w:val="none"/>
        </w:rPr>
        <w:t>3</w:t>
      </w:r>
    </w:p>
    <w:p>
      <w:pPr>
        <w:pStyle w:val="31"/>
        <w:rPr>
          <w:rStyle w:val="52"/>
          <w:rFonts w:hAnsi="仿宋" w:eastAsia="仿宋"/>
          <w:color w:val="auto"/>
          <w:u w:val="none"/>
        </w:rPr>
      </w:pPr>
      <w:r>
        <w:fldChar w:fldCharType="begin"/>
      </w:r>
      <w:r>
        <w:instrText xml:space="preserve"> HYPERLINK \l "_Toc481542921" </w:instrText>
      </w:r>
      <w:r>
        <w:fldChar w:fldCharType="separate"/>
      </w:r>
      <w:r>
        <w:rPr>
          <w:rStyle w:val="52"/>
          <w:rFonts w:hint="eastAsia" w:hAnsi="仿宋" w:eastAsia="仿宋"/>
          <w:color w:val="auto"/>
          <w:u w:val="none"/>
        </w:rPr>
        <w:t>投标邀请</w:t>
      </w:r>
      <w:r>
        <w:rPr>
          <w:rStyle w:val="52"/>
          <w:rFonts w:hAnsi="仿宋" w:eastAsia="仿宋"/>
          <w:color w:val="auto"/>
          <w:u w:val="none"/>
        </w:rPr>
        <w:tab/>
      </w:r>
      <w:r>
        <w:rPr>
          <w:rStyle w:val="52"/>
          <w:rFonts w:hAnsi="仿宋" w:eastAsia="仿宋"/>
          <w:color w:val="auto"/>
          <w:u w:val="none"/>
        </w:rPr>
        <w:fldChar w:fldCharType="end"/>
      </w:r>
      <w:r>
        <w:rPr>
          <w:rStyle w:val="52"/>
          <w:rFonts w:hAnsi="仿宋" w:eastAsia="仿宋"/>
          <w:color w:val="auto"/>
          <w:u w:val="none"/>
        </w:rPr>
        <w:t>7</w:t>
      </w:r>
    </w:p>
    <w:p>
      <w:pPr>
        <w:pStyle w:val="31"/>
        <w:rPr>
          <w:rStyle w:val="52"/>
          <w:rFonts w:hAnsi="仿宋" w:eastAsia="仿宋"/>
          <w:color w:val="auto"/>
          <w:u w:val="none"/>
        </w:rPr>
      </w:pPr>
      <w:r>
        <w:rPr>
          <w:rStyle w:val="52"/>
          <w:rFonts w:hint="eastAsia" w:eastAsia="仿宋"/>
          <w:color w:val="auto"/>
          <w:u w:val="none"/>
        </w:rPr>
        <w:fldChar w:fldCharType="begin"/>
      </w:r>
      <w:r>
        <w:rPr>
          <w:rStyle w:val="52"/>
          <w:rFonts w:eastAsia="仿宋"/>
          <w:color w:val="auto"/>
          <w:u w:val="none"/>
        </w:rPr>
        <w:instrText xml:space="preserve"> TOC \o "1-2" \h \z \u </w:instrText>
      </w:r>
      <w:r>
        <w:rPr>
          <w:rStyle w:val="52"/>
          <w:rFonts w:hint="eastAsia" w:eastAsia="仿宋"/>
          <w:color w:val="auto"/>
          <w:u w:val="none"/>
        </w:rPr>
        <w:fldChar w:fldCharType="separate"/>
      </w:r>
      <w:r>
        <w:fldChar w:fldCharType="begin"/>
      </w:r>
      <w:r>
        <w:instrText xml:space="preserve"> HYPERLINK \l "_Toc481542884" </w:instrText>
      </w:r>
      <w:r>
        <w:fldChar w:fldCharType="separate"/>
      </w:r>
      <w:r>
        <w:rPr>
          <w:rStyle w:val="52"/>
          <w:rFonts w:hint="eastAsia" w:hAnsi="仿宋" w:eastAsia="仿宋"/>
          <w:color w:val="auto"/>
          <w:u w:val="none"/>
        </w:rPr>
        <w:t>一、投标须知</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_Toc481542884 \h </w:instrText>
      </w:r>
      <w:r>
        <w:rPr>
          <w:rStyle w:val="52"/>
          <w:rFonts w:hAnsi="仿宋" w:eastAsia="仿宋"/>
          <w:color w:val="auto"/>
          <w:u w:val="none"/>
        </w:rPr>
        <w:fldChar w:fldCharType="separate"/>
      </w:r>
      <w:r>
        <w:rPr>
          <w:rStyle w:val="52"/>
          <w:rFonts w:hAnsi="仿宋" w:eastAsia="仿宋"/>
          <w:color w:val="auto"/>
          <w:u w:val="none"/>
        </w:rPr>
        <w:t>2</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"_Toc481542885" </w:instrText>
      </w:r>
      <w:r>
        <w:fldChar w:fldCharType="separate"/>
      </w:r>
      <w:r>
        <w:rPr>
          <w:rStyle w:val="52"/>
          <w:rFonts w:hint="eastAsia" w:hAnsi="仿宋" w:eastAsia="仿宋"/>
          <w:color w:val="auto"/>
          <w:u w:val="none"/>
        </w:rPr>
        <w:t>二、招标文件</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_Toc481542885 \h </w:instrText>
      </w:r>
      <w:r>
        <w:rPr>
          <w:rStyle w:val="52"/>
          <w:rFonts w:hAnsi="仿宋" w:eastAsia="仿宋"/>
          <w:color w:val="auto"/>
          <w:u w:val="none"/>
        </w:rPr>
        <w:fldChar w:fldCharType="separate"/>
      </w:r>
      <w:r>
        <w:rPr>
          <w:rStyle w:val="52"/>
          <w:rFonts w:hAnsi="仿宋" w:eastAsia="仿宋"/>
          <w:color w:val="auto"/>
          <w:u w:val="none"/>
        </w:rPr>
        <w:t>3</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"_Toc481542886" </w:instrText>
      </w:r>
      <w:r>
        <w:fldChar w:fldCharType="separate"/>
      </w:r>
      <w:r>
        <w:rPr>
          <w:rStyle w:val="52"/>
          <w:rFonts w:hint="eastAsia" w:hAnsi="仿宋" w:eastAsia="仿宋"/>
          <w:color w:val="auto"/>
          <w:u w:val="none"/>
        </w:rPr>
        <w:t>三、投标文件</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_Toc481542886 \h </w:instrText>
      </w:r>
      <w:r>
        <w:rPr>
          <w:rStyle w:val="52"/>
          <w:rFonts w:hAnsi="仿宋" w:eastAsia="仿宋"/>
          <w:color w:val="auto"/>
          <w:u w:val="none"/>
        </w:rPr>
        <w:fldChar w:fldCharType="separate"/>
      </w:r>
      <w:r>
        <w:rPr>
          <w:rStyle w:val="52"/>
          <w:rFonts w:hAnsi="仿宋" w:eastAsia="仿宋"/>
          <w:color w:val="auto"/>
          <w:u w:val="none"/>
        </w:rPr>
        <w:t>6</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"_Toc481542887" </w:instrText>
      </w:r>
      <w:r>
        <w:fldChar w:fldCharType="separate"/>
      </w:r>
      <w:r>
        <w:rPr>
          <w:rStyle w:val="52"/>
          <w:rFonts w:hint="eastAsia" w:hAnsi="仿宋" w:eastAsia="仿宋"/>
          <w:color w:val="auto"/>
          <w:u w:val="none"/>
        </w:rPr>
        <w:t>四、投标文件的递交、修改和撤回</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_Toc481542887 \h </w:instrText>
      </w:r>
      <w:r>
        <w:rPr>
          <w:rStyle w:val="52"/>
          <w:rFonts w:hAnsi="仿宋" w:eastAsia="仿宋"/>
          <w:color w:val="auto"/>
          <w:u w:val="none"/>
        </w:rPr>
        <w:fldChar w:fldCharType="separate"/>
      </w:r>
      <w:r>
        <w:rPr>
          <w:rStyle w:val="52"/>
          <w:rFonts w:hAnsi="仿宋" w:eastAsia="仿宋"/>
          <w:color w:val="auto"/>
          <w:u w:val="none"/>
        </w:rPr>
        <w:t>11</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"_Toc481542888" </w:instrText>
      </w:r>
      <w:r>
        <w:fldChar w:fldCharType="separate"/>
      </w:r>
      <w:r>
        <w:rPr>
          <w:rStyle w:val="52"/>
          <w:rFonts w:hint="eastAsia" w:hAnsi="仿宋" w:eastAsia="仿宋"/>
          <w:color w:val="auto"/>
          <w:u w:val="none"/>
        </w:rPr>
        <w:t>五、开标和评标</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_Toc481542888 \h </w:instrText>
      </w:r>
      <w:r>
        <w:rPr>
          <w:rStyle w:val="52"/>
          <w:rFonts w:hAnsi="仿宋" w:eastAsia="仿宋"/>
          <w:color w:val="auto"/>
          <w:u w:val="none"/>
        </w:rPr>
        <w:fldChar w:fldCharType="separate"/>
      </w:r>
      <w:r>
        <w:rPr>
          <w:rStyle w:val="52"/>
          <w:rFonts w:hAnsi="仿宋" w:eastAsia="仿宋"/>
          <w:color w:val="auto"/>
          <w:u w:val="none"/>
        </w:rPr>
        <w:t>12</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"_Toc481542889" </w:instrText>
      </w:r>
      <w:r>
        <w:fldChar w:fldCharType="separate"/>
      </w:r>
      <w:r>
        <w:rPr>
          <w:rStyle w:val="52"/>
          <w:rFonts w:hint="eastAsia" w:hAnsi="仿宋" w:eastAsia="仿宋"/>
          <w:color w:val="auto"/>
          <w:u w:val="none"/>
        </w:rPr>
        <w:t>六、成交信息公布与投标人质疑</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_Toc481542889 \h </w:instrText>
      </w:r>
      <w:r>
        <w:rPr>
          <w:rStyle w:val="52"/>
          <w:rFonts w:hAnsi="仿宋" w:eastAsia="仿宋"/>
          <w:color w:val="auto"/>
          <w:u w:val="none"/>
        </w:rPr>
        <w:fldChar w:fldCharType="separate"/>
      </w:r>
      <w:r>
        <w:rPr>
          <w:rStyle w:val="52"/>
          <w:rFonts w:hAnsi="仿宋" w:eastAsia="仿宋"/>
          <w:color w:val="auto"/>
          <w:u w:val="none"/>
        </w:rPr>
        <w:t>13</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"_Toc481542890" </w:instrText>
      </w:r>
      <w:r>
        <w:fldChar w:fldCharType="separate"/>
      </w:r>
      <w:r>
        <w:rPr>
          <w:rStyle w:val="52"/>
          <w:rFonts w:hint="eastAsia" w:hAnsi="仿宋" w:eastAsia="仿宋"/>
          <w:color w:val="auto"/>
          <w:u w:val="none"/>
        </w:rPr>
        <w:t>七、合同签订</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_Toc481542890 \h </w:instrText>
      </w:r>
      <w:r>
        <w:rPr>
          <w:rStyle w:val="52"/>
          <w:rFonts w:hAnsi="仿宋" w:eastAsia="仿宋"/>
          <w:color w:val="auto"/>
          <w:u w:val="none"/>
        </w:rPr>
        <w:fldChar w:fldCharType="separate"/>
      </w:r>
      <w:r>
        <w:rPr>
          <w:rStyle w:val="52"/>
          <w:rFonts w:hAnsi="仿宋" w:eastAsia="仿宋"/>
          <w:color w:val="auto"/>
          <w:u w:val="none"/>
        </w:rPr>
        <w:t>15</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"_Toc481542891" </w:instrText>
      </w:r>
      <w:r>
        <w:fldChar w:fldCharType="separate"/>
      </w:r>
      <w:r>
        <w:rPr>
          <w:rStyle w:val="52"/>
          <w:rFonts w:hint="eastAsia" w:hAnsi="仿宋" w:eastAsia="仿宋"/>
          <w:color w:val="auto"/>
          <w:u w:val="none"/>
        </w:rPr>
        <w:t>八、特殊情形的规定</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_Toc481542891 \h </w:instrText>
      </w:r>
      <w:r>
        <w:rPr>
          <w:rStyle w:val="52"/>
          <w:rFonts w:hAnsi="仿宋" w:eastAsia="仿宋"/>
          <w:color w:val="auto"/>
          <w:u w:val="none"/>
        </w:rPr>
        <w:fldChar w:fldCharType="separate"/>
      </w:r>
      <w:r>
        <w:rPr>
          <w:rStyle w:val="52"/>
          <w:rFonts w:hAnsi="仿宋" w:eastAsia="仿宋"/>
          <w:color w:val="auto"/>
          <w:u w:val="none"/>
        </w:rPr>
        <w:t>16</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"_Toc481542892" </w:instrText>
      </w:r>
      <w:r>
        <w:fldChar w:fldCharType="separate"/>
      </w:r>
      <w:r>
        <w:rPr>
          <w:rStyle w:val="52"/>
          <w:rFonts w:hint="eastAsia" w:hAnsi="仿宋" w:eastAsia="仿宋"/>
          <w:color w:val="auto"/>
          <w:u w:val="none"/>
        </w:rPr>
        <w:t>九、其他规定</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_Toc481542892 \h </w:instrText>
      </w:r>
      <w:r>
        <w:rPr>
          <w:rStyle w:val="52"/>
          <w:rFonts w:hAnsi="仿宋" w:eastAsia="仿宋"/>
          <w:color w:val="auto"/>
          <w:u w:val="none"/>
        </w:rPr>
        <w:fldChar w:fldCharType="separate"/>
      </w:r>
      <w:r>
        <w:rPr>
          <w:rStyle w:val="52"/>
          <w:rFonts w:hAnsi="仿宋" w:eastAsia="仿宋"/>
          <w:color w:val="auto"/>
          <w:u w:val="none"/>
        </w:rPr>
        <w:t>17</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fldChar w:fldCharType="begin"/>
      </w:r>
      <w:r>
        <w:instrText xml:space="preserve"> HYPERLINK \l "_Toc481542893" </w:instrText>
      </w:r>
      <w:r>
        <w:fldChar w:fldCharType="separate"/>
      </w:r>
      <w:r>
        <w:rPr>
          <w:rStyle w:val="52"/>
          <w:rFonts w:hint="eastAsia" w:hAnsi="仿宋" w:eastAsia="仿宋"/>
          <w:color w:val="auto"/>
          <w:u w:val="none"/>
        </w:rPr>
        <w:t>十、评标方法及标准</w:t>
      </w:r>
      <w:r>
        <w:rPr>
          <w:rStyle w:val="52"/>
          <w:rFonts w:hAnsi="仿宋" w:eastAsia="仿宋"/>
          <w:color w:val="auto"/>
          <w:u w:val="none"/>
        </w:rPr>
        <w:t>(</w:t>
      </w:r>
      <w:r>
        <w:rPr>
          <w:rStyle w:val="52"/>
          <w:rFonts w:hint="eastAsia" w:hAnsi="仿宋" w:eastAsia="仿宋"/>
          <w:color w:val="auto"/>
          <w:u w:val="none"/>
        </w:rPr>
        <w:t>综合评分法适用</w:t>
      </w:r>
      <w:r>
        <w:rPr>
          <w:rStyle w:val="52"/>
          <w:rFonts w:hAnsi="仿宋" w:eastAsia="仿宋"/>
          <w:color w:val="auto"/>
          <w:u w:val="none"/>
        </w:rPr>
        <w:t>)</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_Toc481542893 \h </w:instrText>
      </w:r>
      <w:r>
        <w:rPr>
          <w:rStyle w:val="52"/>
          <w:rFonts w:hAnsi="仿宋" w:eastAsia="仿宋"/>
          <w:color w:val="auto"/>
          <w:u w:val="none"/>
        </w:rPr>
        <w:fldChar w:fldCharType="separate"/>
      </w:r>
      <w:r>
        <w:rPr>
          <w:rStyle w:val="52"/>
          <w:rFonts w:hAnsi="仿宋" w:eastAsia="仿宋"/>
          <w:color w:val="auto"/>
          <w:u w:val="none"/>
        </w:rPr>
        <w:t>18</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rPr>
          <w:rStyle w:val="52"/>
          <w:rFonts w:hint="eastAsia" w:hAnsi="仿宋" w:eastAsia="仿宋"/>
          <w:color w:val="auto"/>
          <w:u w:val="none"/>
        </w:rPr>
        <w:t>十一、</w:t>
      </w:r>
      <w:r>
        <w:fldChar w:fldCharType="begin"/>
      </w:r>
      <w:r>
        <w:instrText xml:space="preserve"> HYPERLINK \l "_Toc481542895" </w:instrText>
      </w:r>
      <w:r>
        <w:fldChar w:fldCharType="separate"/>
      </w:r>
      <w:r>
        <w:rPr>
          <w:rStyle w:val="52"/>
          <w:rFonts w:hAnsi="仿宋" w:eastAsia="仿宋"/>
          <w:color w:val="auto"/>
          <w:u w:val="none"/>
        </w:rPr>
        <w:t>PPP</w:t>
      </w:r>
      <w:r>
        <w:rPr>
          <w:rStyle w:val="52"/>
          <w:rFonts w:hint="eastAsia" w:hAnsi="仿宋" w:eastAsia="仿宋"/>
          <w:color w:val="auto"/>
          <w:u w:val="none"/>
        </w:rPr>
        <w:t>项目合同</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_Toc481542895 \h </w:instrText>
      </w:r>
      <w:r>
        <w:rPr>
          <w:rStyle w:val="52"/>
          <w:rFonts w:hAnsi="仿宋" w:eastAsia="仿宋"/>
          <w:color w:val="auto"/>
          <w:u w:val="none"/>
        </w:rPr>
        <w:fldChar w:fldCharType="separate"/>
      </w:r>
      <w:r>
        <w:rPr>
          <w:rStyle w:val="52"/>
          <w:rFonts w:hAnsi="仿宋" w:eastAsia="仿宋"/>
          <w:color w:val="auto"/>
          <w:u w:val="none"/>
        </w:rPr>
        <w:t>22</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rPr>
          <w:rStyle w:val="52"/>
          <w:rFonts w:hint="eastAsia" w:hAnsi="仿宋" w:eastAsia="仿宋"/>
          <w:color w:val="auto"/>
          <w:u w:val="none"/>
        </w:rPr>
        <w:t>十二、项目采购需求、技术标准及要求</w:t>
      </w:r>
      <w:r>
        <w:fldChar w:fldCharType="begin"/>
      </w:r>
      <w:r>
        <w:instrText xml:space="preserve"> HYPERLINK \l "_Toc481542896" </w:instrText>
      </w:r>
      <w:r>
        <w:fldChar w:fldCharType="separate"/>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_Toc481542896 \h </w:instrText>
      </w:r>
      <w:r>
        <w:rPr>
          <w:rStyle w:val="52"/>
          <w:rFonts w:hAnsi="仿宋" w:eastAsia="仿宋"/>
          <w:color w:val="auto"/>
          <w:u w:val="none"/>
        </w:rPr>
        <w:fldChar w:fldCharType="separate"/>
      </w:r>
      <w:r>
        <w:rPr>
          <w:rStyle w:val="52"/>
          <w:rFonts w:hAnsi="仿宋" w:eastAsia="仿宋"/>
          <w:color w:val="auto"/>
          <w:u w:val="none"/>
        </w:rPr>
        <w:t>23</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r>
        <w:rPr>
          <w:rStyle w:val="52"/>
          <w:rFonts w:hint="eastAsia" w:hAnsi="仿宋" w:eastAsia="仿宋"/>
          <w:color w:val="auto"/>
          <w:u w:val="none"/>
        </w:rPr>
        <w:t>十三、</w:t>
      </w:r>
      <w:r>
        <w:fldChar w:fldCharType="begin"/>
      </w:r>
      <w:r>
        <w:instrText xml:space="preserve"> HYPERLINK \l "_Toc481542897" </w:instrText>
      </w:r>
      <w:r>
        <w:fldChar w:fldCharType="separate"/>
      </w:r>
      <w:r>
        <w:rPr>
          <w:rStyle w:val="52"/>
          <w:rFonts w:hint="eastAsia" w:hAnsi="仿宋" w:eastAsia="仿宋"/>
          <w:color w:val="auto"/>
          <w:u w:val="none"/>
        </w:rPr>
        <w:t>投标文件的组成</w:t>
      </w:r>
      <w:r>
        <w:rPr>
          <w:rStyle w:val="52"/>
          <w:rFonts w:hAnsi="仿宋" w:eastAsia="仿宋"/>
          <w:color w:val="auto"/>
          <w:u w:val="none"/>
        </w:rPr>
        <w:tab/>
      </w:r>
      <w:r>
        <w:rPr>
          <w:rStyle w:val="52"/>
          <w:rFonts w:hAnsi="仿宋" w:eastAsia="仿宋"/>
          <w:color w:val="auto"/>
          <w:u w:val="none"/>
        </w:rPr>
        <w:fldChar w:fldCharType="begin"/>
      </w:r>
      <w:r>
        <w:rPr>
          <w:rStyle w:val="52"/>
          <w:rFonts w:hAnsi="仿宋" w:eastAsia="仿宋"/>
          <w:color w:val="auto"/>
          <w:u w:val="none"/>
        </w:rPr>
        <w:instrText xml:space="preserve"> PAGEREF _Toc481542897 \h </w:instrText>
      </w:r>
      <w:r>
        <w:rPr>
          <w:rStyle w:val="52"/>
          <w:rFonts w:hAnsi="仿宋" w:eastAsia="仿宋"/>
          <w:color w:val="auto"/>
          <w:u w:val="none"/>
        </w:rPr>
        <w:fldChar w:fldCharType="separate"/>
      </w:r>
      <w:r>
        <w:rPr>
          <w:rStyle w:val="52"/>
          <w:rFonts w:hAnsi="仿宋" w:eastAsia="仿宋"/>
          <w:color w:val="auto"/>
          <w:u w:val="none"/>
        </w:rPr>
        <w:t>24</w:t>
      </w:r>
      <w:r>
        <w:rPr>
          <w:rStyle w:val="52"/>
          <w:rFonts w:hAnsi="仿宋" w:eastAsia="仿宋"/>
          <w:color w:val="auto"/>
          <w:u w:val="none"/>
        </w:rPr>
        <w:fldChar w:fldCharType="end"/>
      </w:r>
      <w:r>
        <w:rPr>
          <w:rStyle w:val="52"/>
          <w:rFonts w:hAnsi="仿宋" w:eastAsia="仿宋"/>
          <w:color w:val="auto"/>
          <w:u w:val="none"/>
        </w:rPr>
        <w:fldChar w:fldCharType="end"/>
      </w:r>
    </w:p>
    <w:p>
      <w:pPr>
        <w:pStyle w:val="31"/>
        <w:rPr>
          <w:rStyle w:val="52"/>
          <w:rFonts w:hAnsi="仿宋" w:eastAsia="仿宋"/>
          <w:color w:val="auto"/>
          <w:u w:val="none"/>
        </w:rPr>
      </w:pPr>
    </w:p>
    <w:p>
      <w:pPr>
        <w:pStyle w:val="31"/>
        <w:rPr>
          <w:rFonts w:ascii="仿宋_GB2312" w:hAnsi="仿宋" w:eastAsia="仿宋_GB2312"/>
          <w:sz w:val="24"/>
          <w:szCs w:val="24"/>
        </w:rPr>
      </w:pPr>
      <w:r>
        <w:rPr>
          <w:rStyle w:val="52"/>
          <w:rFonts w:hint="eastAsia" w:eastAsia="仿宋"/>
          <w:color w:val="auto"/>
          <w:u w:val="none"/>
        </w:rPr>
        <w:fldChar w:fldCharType="end"/>
      </w:r>
    </w:p>
    <w:p>
      <w:pPr>
        <w:pStyle w:val="24"/>
        <w:adjustRightInd w:val="0"/>
        <w:snapToGrid w:val="0"/>
        <w:spacing w:line="360" w:lineRule="auto"/>
        <w:rPr>
          <w:rFonts w:ascii="仿宋_GB2312" w:hAnsi="Times New Roman" w:eastAsia="仿宋_GB2312" w:cs="Times New Roman"/>
          <w:sz w:val="24"/>
          <w:szCs w:val="24"/>
        </w:rPr>
        <w:sectPr>
          <w:headerReference r:id="rId3" w:type="default"/>
          <w:footerReference r:id="rId4" w:type="default"/>
          <w:pgSz w:w="11906" w:h="16838"/>
          <w:pgMar w:top="1701" w:right="1418" w:bottom="1701" w:left="1701" w:header="1134" w:footer="907" w:gutter="0"/>
          <w:pgNumType w:start="1"/>
          <w:cols w:space="720" w:num="1"/>
          <w:docGrid w:linePitch="312" w:charSpace="0"/>
        </w:sectPr>
      </w:pPr>
      <w:permStart w:id="2" w:edGrp="everyone"/>
      <w:permEnd w:id="2"/>
    </w:p>
    <w:p>
      <w:pPr>
        <w:pStyle w:val="2"/>
        <w:spacing w:before="120" w:beforeLines="50" w:afterLines="50"/>
        <w:jc w:val="center"/>
        <w:rPr>
          <w:rFonts w:ascii="仿宋_GB2312" w:eastAsia="仿宋_GB2312"/>
        </w:rPr>
      </w:pPr>
      <w:r>
        <w:rPr>
          <w:rFonts w:hint="eastAsia" w:ascii="仿宋_GB2312" w:eastAsia="仿宋_GB2312"/>
        </w:rPr>
        <w:t>招标文件前附表</w:t>
      </w:r>
    </w:p>
    <w:tbl>
      <w:tblPr>
        <w:tblStyle w:val="45"/>
        <w:tblW w:w="936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2160"/>
        <w:gridCol w:w="2364"/>
        <w:gridCol w:w="32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trPr>
        <w:tc>
          <w:tcPr>
            <w:tcW w:w="1620" w:type="dxa"/>
            <w:tcBorders>
              <w:top w:val="double" w:color="auto" w:sz="4" w:space="0"/>
            </w:tcBorders>
            <w:vAlign w:val="center"/>
          </w:tcPr>
          <w:p>
            <w:pPr>
              <w:adjustRightInd w:val="0"/>
              <w:snapToGrid w:val="0"/>
              <w:spacing w:before="120" w:beforeLines="50" w:line="360" w:lineRule="exact"/>
              <w:jc w:val="center"/>
              <w:rPr>
                <w:rFonts w:ascii="仿宋_GB2312" w:eastAsia="仿宋_GB2312"/>
                <w:b/>
                <w:szCs w:val="21"/>
              </w:rPr>
            </w:pPr>
            <w:r>
              <w:rPr>
                <w:rFonts w:hint="eastAsia" w:ascii="仿宋_GB2312" w:eastAsia="仿宋_GB2312"/>
                <w:b/>
                <w:szCs w:val="21"/>
              </w:rPr>
              <w:t>条款号</w:t>
            </w:r>
          </w:p>
        </w:tc>
        <w:tc>
          <w:tcPr>
            <w:tcW w:w="2160" w:type="dxa"/>
            <w:tcBorders>
              <w:top w:val="double" w:color="auto" w:sz="4" w:space="0"/>
            </w:tcBorders>
            <w:vAlign w:val="center"/>
          </w:tcPr>
          <w:p>
            <w:pPr>
              <w:adjustRightInd w:val="0"/>
              <w:snapToGrid w:val="0"/>
              <w:spacing w:before="120" w:beforeLines="50" w:line="360" w:lineRule="exact"/>
              <w:jc w:val="center"/>
              <w:rPr>
                <w:rFonts w:ascii="仿宋_GB2312" w:eastAsia="仿宋_GB2312"/>
                <w:b/>
                <w:szCs w:val="21"/>
              </w:rPr>
            </w:pPr>
            <w:r>
              <w:rPr>
                <w:rFonts w:hint="eastAsia" w:ascii="仿宋_GB2312" w:eastAsia="仿宋_GB2312"/>
                <w:b/>
                <w:szCs w:val="21"/>
              </w:rPr>
              <w:t>条款名称</w:t>
            </w:r>
          </w:p>
        </w:tc>
        <w:tc>
          <w:tcPr>
            <w:tcW w:w="5580" w:type="dxa"/>
            <w:gridSpan w:val="2"/>
            <w:tcBorders>
              <w:top w:val="double" w:color="auto" w:sz="4" w:space="0"/>
            </w:tcBorders>
            <w:vAlign w:val="center"/>
          </w:tcPr>
          <w:p>
            <w:pPr>
              <w:adjustRightInd w:val="0"/>
              <w:snapToGrid w:val="0"/>
              <w:spacing w:before="120" w:beforeLines="50" w:line="360" w:lineRule="exact"/>
              <w:jc w:val="center"/>
              <w:rPr>
                <w:rFonts w:ascii="仿宋_GB2312" w:eastAsia="仿宋_GB2312"/>
                <w:b/>
                <w:szCs w:val="21"/>
              </w:rPr>
            </w:pPr>
            <w:r>
              <w:rPr>
                <w:rFonts w:hint="eastAsia" w:ascii="仿宋_GB2312" w:eastAsia="仿宋_GB2312"/>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before="120" w:beforeLines="50" w:line="360" w:lineRule="exact"/>
              <w:jc w:val="center"/>
              <w:rPr>
                <w:rFonts w:ascii="仿宋_GB2312" w:eastAsia="仿宋_GB2312"/>
                <w:b/>
                <w:szCs w:val="21"/>
              </w:rPr>
            </w:pPr>
            <w:r>
              <w:rPr>
                <w:rFonts w:hint="eastAsia" w:ascii="仿宋_GB2312" w:eastAsia="仿宋_GB2312"/>
                <w:b/>
                <w:szCs w:val="21"/>
              </w:rPr>
              <w:t>第一章</w:t>
            </w:r>
            <w:r>
              <w:rPr>
                <w:rFonts w:ascii="仿宋_GB2312" w:eastAsia="仿宋_GB2312"/>
                <w:b/>
                <w:szCs w:val="21"/>
              </w:rPr>
              <w:t xml:space="preserve"> </w:t>
            </w:r>
            <w:r>
              <w:rPr>
                <w:rFonts w:hint="eastAsia" w:ascii="仿宋_GB2312" w:eastAsia="仿宋_GB2312"/>
                <w:b/>
                <w:szCs w:val="21"/>
              </w:rPr>
              <w:t>投标须知（前附表）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before="120" w:beforeLines="50" w:line="360" w:lineRule="exact"/>
              <w:rPr>
                <w:rFonts w:ascii="仿宋_GB2312" w:eastAsia="仿宋_GB2312"/>
                <w:szCs w:val="21"/>
              </w:rPr>
            </w:pPr>
            <w:r>
              <w:rPr>
                <w:rFonts w:hint="eastAsia" w:ascii="仿宋_GB2312" w:eastAsia="仿宋_GB2312"/>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1.1</w:t>
            </w:r>
            <w:r>
              <w:rPr>
                <w:rFonts w:hint="eastAsia" w:ascii="仿宋_GB2312" w:eastAsia="仿宋_GB2312"/>
                <w:szCs w:val="21"/>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采购项目</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克拉玛依石化工业园区污水处理厂改建PPP项目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采购人</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名称：克拉玛依市白碱滩区（克拉玛依高新技术产业开发区）住房和建设局</w:t>
            </w:r>
          </w:p>
          <w:p>
            <w:pPr>
              <w:adjustRightInd w:val="0"/>
              <w:snapToGrid w:val="0"/>
              <w:spacing w:line="360" w:lineRule="exact"/>
              <w:rPr>
                <w:rFonts w:ascii="仿宋_GB2312" w:eastAsia="仿宋_GB2312"/>
                <w:szCs w:val="21"/>
              </w:rPr>
            </w:pPr>
            <w:r>
              <w:rPr>
                <w:rFonts w:hint="eastAsia" w:ascii="仿宋_GB2312" w:eastAsia="仿宋_GB2312"/>
                <w:szCs w:val="21"/>
              </w:rPr>
              <w:t>地址：</w:t>
            </w:r>
            <w:ins w:id="8" w:author="xbany" w:date="2020-07-07T11:39:00Z">
              <w:r>
                <w:rPr>
                  <w:rFonts w:hint="eastAsia" w:ascii="仿宋_GB2312" w:eastAsia="仿宋_GB2312"/>
                  <w:szCs w:val="21"/>
                </w:rPr>
                <w:t>克拉玛依市白碱滩区三平镇街道永新路15号</w:t>
              </w:r>
            </w:ins>
            <w:del w:id="9" w:author="xbany" w:date="2020-07-07T11:39:00Z">
              <w:r>
                <w:rPr>
                  <w:rFonts w:ascii="仿宋_GB2312" w:eastAsia="仿宋_GB2312"/>
                  <w:szCs w:val="21"/>
                </w:rPr>
                <w:delText xml:space="preserve"> </w:delText>
              </w:r>
            </w:del>
            <w:del w:id="10" w:author="xbany" w:date="2020-07-07T11:39:00Z">
              <w:r>
                <w:rPr>
                  <w:rFonts w:hint="eastAsia" w:ascii="仿宋_GB2312" w:eastAsia="仿宋_GB2312"/>
                  <w:szCs w:val="21"/>
                </w:rPr>
                <w:delText>克拉玛依市白碱滩区亭坡路4号</w:delText>
              </w:r>
            </w:del>
          </w:p>
          <w:p>
            <w:pPr>
              <w:adjustRightInd w:val="0"/>
              <w:snapToGrid w:val="0"/>
              <w:spacing w:line="360" w:lineRule="exact"/>
              <w:rPr>
                <w:rFonts w:ascii="仿宋_GB2312" w:eastAsia="仿宋_GB2312"/>
                <w:szCs w:val="21"/>
              </w:rPr>
            </w:pPr>
            <w:r>
              <w:rPr>
                <w:rFonts w:hint="eastAsia" w:ascii="仿宋_GB2312" w:eastAsia="仿宋_GB2312"/>
                <w:szCs w:val="21"/>
              </w:rPr>
              <w:t>联系人：</w:t>
            </w:r>
            <w:r>
              <w:rPr>
                <w:rFonts w:ascii="仿宋_GB2312" w:eastAsia="仿宋_GB2312"/>
                <w:szCs w:val="21"/>
              </w:rPr>
              <w:t xml:space="preserve"> </w:t>
            </w:r>
            <w:r>
              <w:rPr>
                <w:rFonts w:hint="eastAsia" w:ascii="仿宋_GB2312" w:eastAsia="仿宋_GB2312"/>
                <w:szCs w:val="21"/>
              </w:rPr>
              <w:t>郭鹏</w:t>
            </w:r>
          </w:p>
          <w:p>
            <w:pPr>
              <w:adjustRightInd w:val="0"/>
              <w:snapToGrid w:val="0"/>
              <w:spacing w:line="360" w:lineRule="exact"/>
              <w:rPr>
                <w:rFonts w:ascii="仿宋_GB2312" w:eastAsia="仿宋_GB2312"/>
                <w:szCs w:val="21"/>
              </w:rPr>
            </w:pPr>
            <w:r>
              <w:rPr>
                <w:rFonts w:hint="eastAsia" w:ascii="仿宋_GB2312" w:eastAsia="仿宋_GB2312"/>
                <w:szCs w:val="21"/>
              </w:rPr>
              <w:t>联系电话：</w:t>
            </w:r>
            <w:r>
              <w:rPr>
                <w:rFonts w:ascii="仿宋_GB2312" w:eastAsia="仿宋_GB2312"/>
                <w:szCs w:val="21"/>
              </w:rPr>
              <w:t>0990-6982127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2.2</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采购代理机构</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名称：新疆天麒工程项目管理咨询有限责任公司</w:t>
            </w:r>
          </w:p>
          <w:p>
            <w:pPr>
              <w:adjustRightInd w:val="0"/>
              <w:snapToGrid w:val="0"/>
              <w:spacing w:line="360" w:lineRule="exact"/>
              <w:rPr>
                <w:rFonts w:ascii="仿宋_GB2312" w:eastAsia="仿宋_GB2312"/>
                <w:szCs w:val="21"/>
              </w:rPr>
            </w:pPr>
            <w:r>
              <w:rPr>
                <w:rFonts w:hint="eastAsia" w:ascii="仿宋_GB2312" w:eastAsia="仿宋_GB2312"/>
                <w:szCs w:val="21"/>
              </w:rPr>
              <w:t>地址：克拉玛依市通讯路</w:t>
            </w:r>
            <w:r>
              <w:rPr>
                <w:rFonts w:ascii="仿宋_GB2312" w:eastAsia="仿宋_GB2312"/>
                <w:szCs w:val="21"/>
              </w:rPr>
              <w:t>44</w:t>
            </w:r>
            <w:r>
              <w:rPr>
                <w:rFonts w:hint="eastAsia" w:ascii="仿宋_GB2312" w:eastAsia="仿宋_GB2312"/>
                <w:szCs w:val="21"/>
              </w:rPr>
              <w:t>号</w:t>
            </w:r>
          </w:p>
          <w:p>
            <w:pPr>
              <w:adjustRightInd w:val="0"/>
              <w:snapToGrid w:val="0"/>
              <w:spacing w:line="360" w:lineRule="exact"/>
              <w:rPr>
                <w:rFonts w:ascii="仿宋_GB2312" w:eastAsia="仿宋_GB2312"/>
                <w:szCs w:val="21"/>
              </w:rPr>
            </w:pPr>
            <w:r>
              <w:rPr>
                <w:rFonts w:hint="eastAsia" w:ascii="仿宋_GB2312" w:eastAsia="仿宋_GB2312"/>
                <w:szCs w:val="21"/>
              </w:rPr>
              <w:t>联系电话：</w:t>
            </w:r>
            <w:r>
              <w:rPr>
                <w:rFonts w:ascii="仿宋_GB2312" w:eastAsia="仿宋_GB2312"/>
                <w:szCs w:val="21"/>
              </w:rPr>
              <w:t>0990-6230200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bCs/>
                <w:szCs w:val="21"/>
              </w:rPr>
              <w:t>投标人</w:t>
            </w:r>
            <w:r>
              <w:rPr>
                <w:rFonts w:hint="eastAsia" w:ascii="仿宋_GB2312" w:eastAsia="仿宋_GB2312"/>
                <w:szCs w:val="21"/>
              </w:rPr>
              <w:t>资格条件</w:t>
            </w:r>
          </w:p>
        </w:tc>
        <w:tc>
          <w:tcPr>
            <w:tcW w:w="5580" w:type="dxa"/>
            <w:gridSpan w:val="2"/>
          </w:tcPr>
          <w:p>
            <w:pPr>
              <w:adjustRightInd w:val="0"/>
              <w:snapToGrid w:val="0"/>
              <w:spacing w:before="120" w:beforeLines="50"/>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1 \* GB3</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通过资格预审，并接受投标邀请的投标人，且投标人承诺仍满足资格预审条件；</w:t>
            </w:r>
          </w:p>
          <w:p>
            <w:pPr>
              <w:adjustRightInd w:val="0"/>
              <w:snapToGrid w:val="0"/>
              <w:spacing w:before="120" w:beforeLines="50"/>
              <w:rPr>
                <w:rFonts w:ascii="仿宋_GB2312" w:eastAsia="仿宋_GB2312"/>
                <w:bCs/>
                <w:kern w:val="0"/>
                <w:sz w:val="24"/>
              </w:rPr>
            </w:pPr>
            <w:r>
              <w:rPr>
                <w:rFonts w:ascii="仿宋_GB2312" w:eastAsia="仿宋_GB2312"/>
                <w:szCs w:val="21"/>
              </w:rPr>
              <w:fldChar w:fldCharType="begin"/>
            </w:r>
            <w:r>
              <w:rPr>
                <w:rFonts w:ascii="仿宋_GB2312" w:eastAsia="仿宋_GB2312"/>
                <w:szCs w:val="21"/>
              </w:rPr>
              <w:instrText xml:space="preserve">= 2 \* GB3</w:instrText>
            </w:r>
            <w:r>
              <w:rPr>
                <w:rFonts w:ascii="仿宋_GB2312" w:eastAsia="仿宋_GB2312"/>
                <w:szCs w:val="21"/>
              </w:rPr>
              <w:fldChar w:fldCharType="separate"/>
            </w:r>
            <w:r>
              <w:rPr>
                <w:rFonts w:hint="eastAsia" w:ascii="仿宋_GB2312" w:eastAsia="仿宋_GB2312"/>
                <w:szCs w:val="21"/>
              </w:rPr>
              <w:t>②</w:t>
            </w:r>
            <w:r>
              <w:rPr>
                <w:rFonts w:ascii="仿宋_GB2312" w:eastAsia="仿宋_GB2312"/>
                <w:szCs w:val="21"/>
              </w:rPr>
              <w:fldChar w:fldCharType="end"/>
            </w:r>
            <w:r>
              <w:rPr>
                <w:rFonts w:hint="eastAsia" w:ascii="仿宋_GB2312" w:eastAsia="仿宋_GB2312"/>
                <w:bCs/>
                <w:kern w:val="0"/>
                <w:sz w:val="24"/>
              </w:rPr>
              <w:t>按照《财政部关于在政府采购活动中查询及使用信用记录有关问题的通知》（财库〔</w:t>
            </w:r>
            <w:r>
              <w:rPr>
                <w:rFonts w:ascii="仿宋_GB2312" w:eastAsia="仿宋_GB2312"/>
                <w:bCs/>
                <w:kern w:val="0"/>
                <w:sz w:val="24"/>
              </w:rPr>
              <w:t>2016</w:t>
            </w:r>
            <w:r>
              <w:rPr>
                <w:rFonts w:hint="eastAsia" w:ascii="仿宋_GB2312" w:eastAsia="仿宋_GB2312"/>
                <w:bCs/>
                <w:kern w:val="0"/>
                <w:sz w:val="24"/>
              </w:rPr>
              <w:t>〕</w:t>
            </w:r>
            <w:r>
              <w:rPr>
                <w:rFonts w:ascii="仿宋_GB2312" w:eastAsia="仿宋_GB2312"/>
                <w:bCs/>
                <w:kern w:val="0"/>
                <w:sz w:val="24"/>
              </w:rPr>
              <w:t>125</w:t>
            </w:r>
            <w:r>
              <w:rPr>
                <w:rFonts w:hint="eastAsia" w:ascii="仿宋_GB2312" w:eastAsia="仿宋_GB2312"/>
                <w:bCs/>
                <w:kern w:val="0"/>
                <w:sz w:val="24"/>
              </w:rPr>
              <w:t>号）的要求，根据开标当日“信用中国”网站（</w:t>
            </w:r>
            <w:r>
              <w:rPr>
                <w:rFonts w:ascii="仿宋_GB2312" w:eastAsia="仿宋_GB2312"/>
                <w:bCs/>
                <w:kern w:val="0"/>
                <w:sz w:val="24"/>
              </w:rPr>
              <w:t>www.creditchina.gov.cn</w:t>
            </w:r>
            <w:r>
              <w:rPr>
                <w:rFonts w:hint="eastAsia" w:ascii="仿宋_GB2312" w:eastAsia="仿宋_GB2312"/>
                <w:bCs/>
                <w:kern w:val="0"/>
                <w:sz w:val="24"/>
              </w:rPr>
              <w:t>）、中国政府采购网（</w:t>
            </w:r>
            <w:r>
              <w:rPr>
                <w:rFonts w:ascii="仿宋_GB2312" w:eastAsia="仿宋_GB2312"/>
                <w:bCs/>
                <w:kern w:val="0"/>
                <w:sz w:val="24"/>
              </w:rPr>
              <w:t>www.ccgp.gov.cn</w:t>
            </w:r>
            <w:r>
              <w:rPr>
                <w:rFonts w:hint="eastAsia" w:ascii="仿宋_GB2312" w:eastAsia="仿宋_GB2312"/>
                <w:bCs/>
                <w:kern w:val="0"/>
                <w:sz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adjustRightInd w:val="0"/>
              <w:snapToGrid w:val="0"/>
              <w:spacing w:before="120" w:beforeLines="50"/>
              <w:rPr>
                <w:rFonts w:ascii="仿宋_GB2312" w:eastAsia="仿宋_GB2312"/>
                <w:bCs/>
                <w:kern w:val="0"/>
                <w:sz w:val="24"/>
              </w:rPr>
            </w:pPr>
            <w:r>
              <w:rPr>
                <w:rFonts w:hint="eastAsia" w:ascii="仿宋_GB2312" w:eastAsia="仿宋_GB2312"/>
                <w:bCs/>
                <w:kern w:val="0"/>
                <w:sz w:val="24"/>
              </w:rPr>
              <w:t>在克拉玛依市诚信网注册备案（非本地注册企业备案信息有效期为一年，到期后需进行年度审核）。（网址：</w:t>
            </w:r>
            <w:r>
              <w:fldChar w:fldCharType="begin"/>
            </w:r>
            <w:r>
              <w:instrText xml:space="preserve"> HYPERLINK "http://cxw.klmy.gov.cn/Pages/default.aspx" </w:instrText>
            </w:r>
            <w:r>
              <w:fldChar w:fldCharType="separate"/>
            </w:r>
            <w:r>
              <w:t>http://cxw.klmy.gov.cn/Pages/default.aspx</w:t>
            </w:r>
            <w:r>
              <w:fldChar w:fldCharType="end"/>
            </w:r>
            <w:r>
              <w:rPr>
                <w:rFonts w:hint="eastAsia" w:ascii="仿宋_GB2312" w:eastAsia="仿宋_GB2312"/>
                <w:bCs/>
                <w:kern w:val="0"/>
                <w:sz w:val="24"/>
              </w:rPr>
              <w:t>，地址：市政府</w:t>
            </w:r>
            <w:r>
              <w:rPr>
                <w:rFonts w:ascii="仿宋_GB2312" w:eastAsia="仿宋_GB2312"/>
                <w:bCs/>
                <w:kern w:val="0"/>
                <w:sz w:val="24"/>
              </w:rPr>
              <w:t>2</w:t>
            </w:r>
            <w:r>
              <w:rPr>
                <w:rFonts w:hint="eastAsia" w:ascii="仿宋_GB2312" w:eastAsia="仿宋_GB2312"/>
                <w:bCs/>
                <w:kern w:val="0"/>
                <w:sz w:val="24"/>
              </w:rPr>
              <w:t>号楼政务服务大厅</w:t>
            </w:r>
            <w:r>
              <w:rPr>
                <w:rFonts w:ascii="仿宋_GB2312" w:eastAsia="仿宋_GB2312"/>
                <w:bCs/>
                <w:kern w:val="0"/>
                <w:sz w:val="24"/>
              </w:rPr>
              <w:t>31/32</w:t>
            </w:r>
            <w:r>
              <w:rPr>
                <w:rFonts w:hint="eastAsia" w:ascii="仿宋_GB2312" w:eastAsia="仿宋_GB2312"/>
                <w:bCs/>
                <w:kern w:val="0"/>
                <w:sz w:val="24"/>
              </w:rPr>
              <w:t>号窗口，联系电话：</w:t>
            </w:r>
            <w:r>
              <w:rPr>
                <w:rFonts w:ascii="仿宋_GB2312" w:eastAsia="仿宋_GB2312"/>
                <w:bCs/>
                <w:kern w:val="0"/>
                <w:sz w:val="24"/>
              </w:rPr>
              <w:t>0990-6223850</w:t>
            </w:r>
            <w:r>
              <w:rPr>
                <w:rFonts w:hint="eastAsia" w:ascii="仿宋_GB2312" w:eastAsia="仿宋_GB2312"/>
                <w:bCs/>
                <w:kern w:val="0"/>
                <w:sz w:val="24"/>
              </w:rPr>
              <w:t>）。</w:t>
            </w:r>
          </w:p>
          <w:p>
            <w:pPr>
              <w:adjustRightInd w:val="0"/>
              <w:snapToGrid w:val="0"/>
              <w:spacing w:before="120" w:beforeLines="50"/>
              <w:rPr>
                <w:rFonts w:ascii="仿宋_GB2312" w:eastAsia="仿宋_GB2312"/>
                <w:szCs w:val="21"/>
              </w:rPr>
            </w:pPr>
            <w:r>
              <w:rPr>
                <w:rFonts w:hint="eastAsia" w:ascii="仿宋_GB2312" w:eastAsia="仿宋_GB2312"/>
                <w:bCs/>
                <w:kern w:val="0"/>
                <w:sz w:val="24"/>
              </w:rPr>
              <w:t>查询对象包括独立投标人或联合体投标的所有成员单位。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6.1</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联合体投标</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（注：</w:t>
            </w:r>
            <w:r>
              <w:rPr>
                <w:rFonts w:hint="eastAsia" w:ascii="仿宋_GB2312" w:eastAsia="仿宋_GB2312"/>
                <w:kern w:val="0"/>
                <w:szCs w:val="21"/>
                <w:lang w:val="zh-CN"/>
              </w:rPr>
              <w:t>政府采购政策规定</w:t>
            </w:r>
            <w:r>
              <w:rPr>
                <w:rFonts w:hint="eastAsia" w:ascii="仿宋_GB2312" w:eastAsia="仿宋_GB2312"/>
                <w:szCs w:val="21"/>
              </w:rPr>
              <w:t>的除</w:t>
            </w:r>
            <w:r>
              <w:rPr>
                <w:rFonts w:hint="eastAsia" w:ascii="仿宋_GB2312" w:eastAsia="仿宋_GB2312"/>
                <w:spacing w:val="-6"/>
                <w:szCs w:val="21"/>
              </w:rPr>
              <w:t>外</w:t>
            </w:r>
            <w:r>
              <w:rPr>
                <w:rFonts w:hint="eastAsia" w:ascii="仿宋_GB2312" w:eastAsia="仿宋_GB2312"/>
                <w:szCs w:val="21"/>
              </w:rPr>
              <w:t>）</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bdr w:val="single" w:color="auto" w:sz="4" w:space="0"/>
              </w:rPr>
              <w:t>√</w:t>
            </w:r>
            <w:r>
              <w:rPr>
                <w:rFonts w:hint="eastAsia" w:ascii="仿宋_GB2312" w:eastAsia="仿宋_GB2312"/>
                <w:szCs w:val="21"/>
              </w:rPr>
              <w:t>接受</w:t>
            </w:r>
          </w:p>
          <w:p>
            <w:pPr>
              <w:adjustRightInd w:val="0"/>
              <w:snapToGrid w:val="0"/>
              <w:spacing w:line="360" w:lineRule="exact"/>
              <w:rPr>
                <w:rFonts w:ascii="仿宋_GB2312" w:eastAsia="仿宋_GB2312"/>
                <w:szCs w:val="21"/>
              </w:rPr>
            </w:pPr>
            <w:r>
              <w:rPr>
                <w:rFonts w:hint="eastAsia" w:ascii="仿宋_GB2312" w:eastAsia="仿宋_GB2312"/>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b/>
                <w:szCs w:val="21"/>
              </w:rPr>
            </w:pPr>
            <w:r>
              <w:rPr>
                <w:rFonts w:hint="eastAsia" w:ascii="仿宋_GB2312" w:eastAsia="仿宋_GB2312"/>
                <w:b/>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7.3</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财政部门指定的媒体</w:t>
            </w:r>
          </w:p>
        </w:tc>
        <w:tc>
          <w:tcPr>
            <w:tcW w:w="5580" w:type="dxa"/>
            <w:gridSpan w:val="2"/>
            <w:vAlign w:val="center"/>
          </w:tcPr>
          <w:p>
            <w:pPr>
              <w:adjustRightInd w:val="0"/>
              <w:snapToGrid w:val="0"/>
              <w:spacing w:line="360" w:lineRule="exact"/>
              <w:rPr>
                <w:rFonts w:ascii="仿宋_GB2312" w:eastAsia="仿宋_GB2312"/>
                <w:szCs w:val="21"/>
                <w:u w:val="single"/>
              </w:rPr>
            </w:pPr>
            <w:r>
              <w:rPr>
                <w:rFonts w:hint="eastAsia" w:ascii="仿宋_GB2312" w:eastAsia="仿宋_GB2312"/>
                <w:szCs w:val="21"/>
                <w:u w:val="single"/>
              </w:rPr>
              <w:t>新疆政府采购网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8.1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招标文件的提供截止</w:t>
            </w:r>
          </w:p>
        </w:tc>
        <w:tc>
          <w:tcPr>
            <w:tcW w:w="5580" w:type="dxa"/>
            <w:gridSpan w:val="2"/>
            <w:vAlign w:val="center"/>
          </w:tcPr>
          <w:p>
            <w:pPr>
              <w:adjustRightInd w:val="0"/>
              <w:snapToGrid w:val="0"/>
              <w:spacing w:line="360" w:lineRule="exact"/>
              <w:jc w:val="left"/>
              <w:rPr>
                <w:rFonts w:ascii="仿宋_GB2312" w:eastAsia="仿宋_GB2312"/>
                <w:szCs w:val="21"/>
                <w:highlight w:val="none"/>
              </w:rPr>
            </w:pPr>
            <w:del w:id="11" w:author="xbany" w:date="2020-07-07T11:31:00Z">
              <w:r>
                <w:rPr>
                  <w:rFonts w:ascii="仿宋_GB2312" w:eastAsia="仿宋_GB2312"/>
                  <w:szCs w:val="21"/>
                  <w:highlight w:val="none"/>
                </w:rPr>
                <w:delText>2020</w:delText>
              </w:r>
            </w:del>
            <w:del w:id="12" w:author="xbany" w:date="2020-07-07T11:31:00Z">
              <w:r>
                <w:rPr>
                  <w:rFonts w:hint="eastAsia" w:ascii="仿宋_GB2312" w:eastAsia="仿宋_GB2312"/>
                  <w:szCs w:val="21"/>
                  <w:highlight w:val="none"/>
                </w:rPr>
                <w:delText>年</w:delText>
              </w:r>
            </w:del>
            <w:del w:id="13" w:author="xbany" w:date="2020-07-07T11:31:00Z">
              <w:r>
                <w:rPr>
                  <w:rFonts w:ascii="仿宋_GB2312" w:eastAsia="仿宋_GB2312"/>
                  <w:szCs w:val="21"/>
                  <w:highlight w:val="none"/>
                  <w:u w:val="single"/>
                </w:rPr>
                <w:delText>6</w:delText>
              </w:r>
            </w:del>
            <w:ins w:id="14" w:author="xbany" w:date="2020-07-07T11:31:00Z">
              <w:r>
                <w:rPr>
                  <w:rFonts w:ascii="仿宋_GB2312" w:eastAsia="仿宋_GB2312"/>
                  <w:szCs w:val="21"/>
                  <w:highlight w:val="none"/>
                </w:rPr>
                <w:t>2020</w:t>
              </w:r>
            </w:ins>
            <w:ins w:id="15" w:author="xbany" w:date="2020-07-07T11:31:00Z">
              <w:r>
                <w:rPr>
                  <w:rFonts w:hint="eastAsia" w:ascii="仿宋_GB2312" w:eastAsia="仿宋_GB2312"/>
                  <w:szCs w:val="21"/>
                  <w:highlight w:val="none"/>
                </w:rPr>
                <w:t>年</w:t>
              </w:r>
            </w:ins>
            <w:ins w:id="16" w:author="xbany" w:date="2020-07-07T11:31:00Z">
              <w:r>
                <w:rPr>
                  <w:rFonts w:ascii="仿宋_GB2312" w:eastAsia="仿宋_GB2312"/>
                  <w:szCs w:val="21"/>
                  <w:highlight w:val="none"/>
                  <w:u w:val="single"/>
                </w:rPr>
                <w:t>7</w:t>
              </w:r>
            </w:ins>
            <w:r>
              <w:rPr>
                <w:rFonts w:hint="eastAsia" w:ascii="仿宋_GB2312" w:eastAsia="仿宋_GB2312"/>
                <w:szCs w:val="21"/>
                <w:highlight w:val="none"/>
              </w:rPr>
              <w:t>月</w:t>
            </w:r>
            <w:r>
              <w:rPr>
                <w:rFonts w:ascii="仿宋_GB2312" w:eastAsia="仿宋_GB2312"/>
                <w:szCs w:val="21"/>
                <w:highlight w:val="none"/>
                <w:u w:val="single"/>
              </w:rPr>
              <w:t xml:space="preserve"> </w:t>
            </w:r>
            <w:ins w:id="17" w:author="xbany" w:date="2020-07-07T11:32:00Z">
              <w:r>
                <w:rPr>
                  <w:rFonts w:ascii="仿宋_GB2312" w:eastAsia="仿宋_GB2312"/>
                  <w:szCs w:val="21"/>
                  <w:highlight w:val="none"/>
                  <w:u w:val="single"/>
                </w:rPr>
                <w:t>8</w:t>
              </w:r>
            </w:ins>
            <w:del w:id="18" w:author="xbany" w:date="2020-07-07T11:31:00Z">
              <w:r>
                <w:rPr>
                  <w:rFonts w:ascii="仿宋_GB2312" w:eastAsia="仿宋_GB2312"/>
                  <w:szCs w:val="21"/>
                  <w:highlight w:val="none"/>
                  <w:u w:val="single"/>
                </w:rPr>
                <w:delText>19</w:delText>
              </w:r>
            </w:del>
            <w:r>
              <w:rPr>
                <w:rFonts w:ascii="仿宋_GB2312" w:eastAsia="仿宋_GB2312"/>
                <w:szCs w:val="21"/>
                <w:highlight w:val="none"/>
                <w:u w:val="single"/>
              </w:rPr>
              <w:t xml:space="preserve"> </w:t>
            </w:r>
            <w:r>
              <w:rPr>
                <w:rFonts w:hint="eastAsia" w:ascii="仿宋_GB2312" w:eastAsia="仿宋_GB2312"/>
                <w:szCs w:val="21"/>
                <w:highlight w:val="none"/>
              </w:rPr>
              <w:t>日至</w:t>
            </w:r>
            <w:ins w:id="19" w:author="xbany" w:date="2020-07-07T11:32:00Z">
              <w:r>
                <w:rPr>
                  <w:rFonts w:ascii="仿宋_GB2312" w:eastAsia="仿宋_GB2312"/>
                  <w:szCs w:val="21"/>
                  <w:highlight w:val="none"/>
                  <w:u w:val="single"/>
                </w:rPr>
                <w:t>7</w:t>
              </w:r>
            </w:ins>
            <w:del w:id="20" w:author="xbany" w:date="2020-07-07T11:32:00Z">
              <w:r>
                <w:rPr>
                  <w:rFonts w:ascii="仿宋_GB2312" w:eastAsia="仿宋_GB2312"/>
                  <w:szCs w:val="21"/>
                  <w:highlight w:val="none"/>
                  <w:u w:val="single"/>
                </w:rPr>
                <w:delText>6</w:delText>
              </w:r>
            </w:del>
            <w:r>
              <w:rPr>
                <w:rFonts w:hint="eastAsia" w:ascii="仿宋_GB2312" w:eastAsia="仿宋_GB2312"/>
                <w:szCs w:val="21"/>
                <w:highlight w:val="none"/>
              </w:rPr>
              <w:t>月</w:t>
            </w:r>
            <w:r>
              <w:rPr>
                <w:rFonts w:ascii="仿宋_GB2312" w:eastAsia="仿宋_GB2312"/>
                <w:szCs w:val="21"/>
                <w:highlight w:val="none"/>
                <w:u w:val="single"/>
              </w:rPr>
              <w:t xml:space="preserve"> </w:t>
            </w:r>
            <w:ins w:id="21" w:author="xbany" w:date="2020-07-07T11:32:00Z">
              <w:r>
                <w:rPr>
                  <w:rFonts w:ascii="仿宋_GB2312" w:eastAsia="仿宋_GB2312"/>
                  <w:szCs w:val="21"/>
                  <w:highlight w:val="none"/>
                  <w:u w:val="single"/>
                </w:rPr>
                <w:t>14</w:t>
              </w:r>
            </w:ins>
            <w:del w:id="22" w:author="xbany" w:date="2020-07-07T11:32:00Z">
              <w:r>
                <w:rPr>
                  <w:rFonts w:ascii="仿宋_GB2312" w:eastAsia="仿宋_GB2312"/>
                  <w:szCs w:val="21"/>
                  <w:highlight w:val="none"/>
                  <w:u w:val="single"/>
                </w:rPr>
                <w:delText>28</w:delText>
              </w:r>
            </w:del>
            <w:r>
              <w:rPr>
                <w:rFonts w:ascii="仿宋_GB2312" w:eastAsia="仿宋_GB2312"/>
                <w:szCs w:val="21"/>
                <w:highlight w:val="none"/>
                <w:u w:val="single"/>
              </w:rPr>
              <w:t xml:space="preserve"> </w:t>
            </w:r>
            <w:r>
              <w:rPr>
                <w:rFonts w:hint="eastAsia" w:ascii="仿宋_GB2312" w:eastAsia="仿宋_GB2312"/>
                <w:szCs w:val="21"/>
                <w:highlight w:val="none"/>
              </w:rPr>
              <w:t>日（每日上午</w:t>
            </w:r>
            <w:r>
              <w:rPr>
                <w:rFonts w:ascii="仿宋_GB2312" w:eastAsia="仿宋_GB2312"/>
                <w:szCs w:val="21"/>
                <w:highlight w:val="none"/>
              </w:rPr>
              <w:t>10:00-13:0</w:t>
            </w:r>
            <w:r>
              <w:rPr>
                <w:rFonts w:hint="eastAsia" w:ascii="仿宋_GB2312" w:eastAsia="仿宋_GB2312"/>
                <w:szCs w:val="21"/>
                <w:highlight w:val="none"/>
              </w:rPr>
              <w:t>，</w:t>
            </w:r>
          </w:p>
          <w:p>
            <w:pPr>
              <w:adjustRightInd w:val="0"/>
              <w:snapToGrid w:val="0"/>
              <w:spacing w:line="360" w:lineRule="exact"/>
              <w:jc w:val="left"/>
              <w:rPr>
                <w:rFonts w:ascii="仿宋_GB2312" w:eastAsia="仿宋_GB2312"/>
                <w:szCs w:val="21"/>
              </w:rPr>
            </w:pPr>
            <w:r>
              <w:rPr>
                <w:rFonts w:hint="eastAsia" w:ascii="仿宋_GB2312" w:eastAsia="仿宋_GB2312"/>
                <w:szCs w:val="21"/>
                <w:highlight w:val="none"/>
              </w:rPr>
              <w:t>下午</w:t>
            </w:r>
            <w:r>
              <w:rPr>
                <w:rFonts w:ascii="仿宋_GB2312" w:eastAsia="仿宋_GB2312"/>
                <w:szCs w:val="21"/>
                <w:highlight w:val="none"/>
              </w:rPr>
              <w:t>16:00-19:00</w:t>
            </w:r>
            <w:r>
              <w:rPr>
                <w:rFonts w:hint="eastAsia" w:ascii="仿宋_GB2312" w:eastAsia="仿宋_GB2312"/>
                <w:szCs w:val="21"/>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8.2</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获取招标文件时应提供的资料</w:t>
            </w:r>
          </w:p>
        </w:tc>
        <w:tc>
          <w:tcPr>
            <w:tcW w:w="5580" w:type="dxa"/>
            <w:gridSpan w:val="2"/>
            <w:vAlign w:val="center"/>
          </w:tcPr>
          <w:p>
            <w:pPr>
              <w:tabs>
                <w:tab w:val="left" w:pos="0"/>
              </w:tabs>
              <w:adjustRightInd w:val="0"/>
              <w:snapToGrid w:val="0"/>
              <w:spacing w:before="120" w:beforeLines="50"/>
              <w:rPr>
                <w:rFonts w:ascii="仿宋_GB2312" w:eastAsia="仿宋_GB2312"/>
                <w:b/>
                <w:bCs/>
                <w:szCs w:val="21"/>
              </w:rPr>
            </w:pPr>
            <w:r>
              <w:rPr>
                <w:rFonts w:hint="eastAsia" w:ascii="宋体" w:hAnsi="宋体"/>
                <w:b/>
                <w:bCs/>
              </w:rPr>
              <w:t>仅限已参加并通过克拉玛依石化工业园区污水处理厂改建</w:t>
            </w:r>
            <w:r>
              <w:rPr>
                <w:rFonts w:ascii="宋体" w:hAnsi="宋体"/>
                <w:b/>
                <w:bCs/>
              </w:rPr>
              <w:t>PPP</w:t>
            </w:r>
            <w:r>
              <w:rPr>
                <w:rFonts w:hint="eastAsia" w:ascii="宋体" w:hAnsi="宋体"/>
                <w:b/>
                <w:bCs/>
              </w:rPr>
              <w:t>项目资格预审的单位报名。</w:t>
            </w:r>
          </w:p>
          <w:p>
            <w:pPr>
              <w:tabs>
                <w:tab w:val="left" w:pos="0"/>
              </w:tabs>
              <w:adjustRightInd w:val="0"/>
              <w:snapToGrid w:val="0"/>
              <w:spacing w:before="120" w:beforeLines="50"/>
              <w:rPr>
                <w:rFonts w:ascii="仿宋_GB2312" w:eastAsia="仿宋_GB2312"/>
                <w:szCs w:val="21"/>
              </w:rPr>
            </w:pPr>
            <w:r>
              <w:rPr>
                <w:rFonts w:hint="eastAsia" w:ascii="仿宋_GB2312" w:eastAsia="仿宋_GB2312"/>
                <w:szCs w:val="21"/>
              </w:rPr>
              <w:t>请报名获取招标文件的单位带齐以下证件和资料：</w:t>
            </w:r>
          </w:p>
          <w:p>
            <w:pPr>
              <w:tabs>
                <w:tab w:val="left" w:pos="0"/>
              </w:tabs>
              <w:adjustRightInd w:val="0"/>
              <w:snapToGrid w:val="0"/>
              <w:spacing w:before="120" w:beforeLines="50"/>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）法定代表人身份证明复印件、法定代表人授权委托书原件（法定代表人未到场的出具法定代表人授权委托书）和代理人身份证复印件，携代理人身份证原件备查；</w:t>
            </w:r>
          </w:p>
          <w:p>
            <w:pPr>
              <w:tabs>
                <w:tab w:val="left" w:pos="0"/>
              </w:tabs>
              <w:adjustRightInd w:val="0"/>
              <w:snapToGrid w:val="0"/>
              <w:spacing w:before="120" w:beforeLines="50"/>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）三证合一营业执照或营业执照、组织机构代码证、税务登记证复印件。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8.4</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获取招标文件的地点</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名称：新疆天麒工程项目管理咨询有限责任公司</w:t>
            </w:r>
          </w:p>
          <w:p>
            <w:pPr>
              <w:adjustRightInd w:val="0"/>
              <w:snapToGrid w:val="0"/>
              <w:spacing w:line="360" w:lineRule="exact"/>
              <w:rPr>
                <w:rFonts w:ascii="仿宋_GB2312" w:eastAsia="仿宋_GB2312"/>
                <w:szCs w:val="21"/>
              </w:rPr>
            </w:pPr>
            <w:r>
              <w:rPr>
                <w:rFonts w:hint="eastAsia" w:ascii="仿宋_GB2312" w:eastAsia="仿宋_GB2312"/>
                <w:szCs w:val="21"/>
              </w:rPr>
              <w:t>地址：克拉玛依市通讯路</w:t>
            </w:r>
            <w:r>
              <w:rPr>
                <w:rFonts w:ascii="仿宋_GB2312" w:eastAsia="仿宋_GB2312"/>
                <w:szCs w:val="21"/>
              </w:rPr>
              <w:t>44</w:t>
            </w:r>
            <w:r>
              <w:rPr>
                <w:rFonts w:hint="eastAsia" w:ascii="仿宋_GB2312" w:eastAsia="仿宋_GB2312"/>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9.3</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一般条款允许偏离的最高项数</w:t>
            </w:r>
          </w:p>
        </w:tc>
        <w:tc>
          <w:tcPr>
            <w:tcW w:w="5580" w:type="dxa"/>
            <w:gridSpan w:val="2"/>
            <w:vAlign w:val="center"/>
          </w:tcPr>
          <w:p>
            <w:pPr>
              <w:adjustRightInd w:val="0"/>
              <w:snapToGrid w:val="0"/>
              <w:spacing w:before="24" w:beforeLines="10" w:after="24" w:afterLines="10" w:line="360" w:lineRule="exact"/>
              <w:rPr>
                <w:rFonts w:ascii="仿宋_GB2312" w:eastAsia="仿宋_GB2312"/>
                <w:szCs w:val="21"/>
              </w:rPr>
            </w:pPr>
            <w:r>
              <w:rPr>
                <w:rFonts w:hint="eastAsia" w:ascii="仿宋_GB2312" w:eastAsia="仿宋_GB2312"/>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9.4</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条款数（最高项数）的统计方法</w:t>
            </w:r>
          </w:p>
        </w:tc>
        <w:tc>
          <w:tcPr>
            <w:tcW w:w="5580" w:type="dxa"/>
            <w:gridSpan w:val="2"/>
            <w:vAlign w:val="center"/>
          </w:tcPr>
          <w:p>
            <w:pPr>
              <w:adjustRightInd w:val="0"/>
              <w:snapToGrid w:val="0"/>
              <w:spacing w:before="24" w:beforeLines="10" w:after="24" w:afterLines="10" w:line="360" w:lineRule="exact"/>
              <w:rPr>
                <w:rFonts w:ascii="仿宋_GB2312" w:eastAsia="仿宋_GB2312"/>
                <w:szCs w:val="21"/>
              </w:rPr>
            </w:pPr>
            <w:r>
              <w:rPr>
                <w:rFonts w:hint="eastAsia" w:ascii="仿宋_GB2312" w:eastAsia="仿宋_GB2312"/>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10.1</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提交投标文件截止期时间</w:t>
            </w:r>
          </w:p>
        </w:tc>
        <w:tc>
          <w:tcPr>
            <w:tcW w:w="5580" w:type="dxa"/>
            <w:gridSpan w:val="2"/>
            <w:vAlign w:val="center"/>
          </w:tcPr>
          <w:p>
            <w:pPr>
              <w:adjustRightInd w:val="0"/>
              <w:snapToGrid w:val="0"/>
              <w:spacing w:line="360" w:lineRule="exact"/>
              <w:rPr>
                <w:rFonts w:ascii="仿宋_GB2312" w:eastAsia="仿宋_GB2312"/>
                <w:b/>
                <w:szCs w:val="21"/>
              </w:rPr>
            </w:pPr>
            <w:r>
              <w:rPr>
                <w:rFonts w:ascii="仿宋_GB2312" w:eastAsia="仿宋_GB2312"/>
                <w:b/>
                <w:szCs w:val="21"/>
                <w:u w:val="single"/>
              </w:rPr>
              <w:t>2020</w:t>
            </w:r>
            <w:r>
              <w:rPr>
                <w:rFonts w:hint="eastAsia" w:ascii="仿宋_GB2312" w:eastAsia="仿宋_GB2312"/>
                <w:b/>
                <w:szCs w:val="21"/>
              </w:rPr>
              <w:t>年</w:t>
            </w:r>
            <w:r>
              <w:rPr>
                <w:rFonts w:ascii="仿宋_GB2312" w:eastAsia="仿宋_GB2312"/>
                <w:b/>
                <w:szCs w:val="21"/>
                <w:u w:val="single"/>
              </w:rPr>
              <w:t>7</w:t>
            </w:r>
            <w:r>
              <w:rPr>
                <w:rFonts w:hint="eastAsia" w:ascii="仿宋_GB2312" w:eastAsia="仿宋_GB2312"/>
                <w:b/>
                <w:szCs w:val="21"/>
              </w:rPr>
              <w:t>月</w:t>
            </w:r>
            <w:r>
              <w:rPr>
                <w:rFonts w:ascii="仿宋_GB2312" w:eastAsia="仿宋_GB2312"/>
                <w:b/>
                <w:szCs w:val="21"/>
                <w:u w:val="single"/>
              </w:rPr>
              <w:t xml:space="preserve"> </w:t>
            </w:r>
            <w:del w:id="23" w:author="xbany" w:date="2020-07-07T11:32:00Z">
              <w:r>
                <w:rPr>
                  <w:rFonts w:hint="eastAsia" w:ascii="仿宋_GB2312" w:eastAsia="仿宋_GB2312"/>
                  <w:b/>
                  <w:szCs w:val="21"/>
                  <w:u w:val="single"/>
                </w:rPr>
                <w:delText>20</w:delText>
              </w:r>
            </w:del>
            <w:del w:id="24" w:author="xbany" w:date="2020-07-07T11:32:00Z">
              <w:r>
                <w:rPr>
                  <w:rFonts w:ascii="仿宋_GB2312" w:eastAsia="仿宋_GB2312"/>
                  <w:b/>
                  <w:szCs w:val="21"/>
                  <w:u w:val="single"/>
                </w:rPr>
                <w:delText xml:space="preserve"> </w:delText>
              </w:r>
            </w:del>
            <w:ins w:id="25" w:author="xbany" w:date="2020-07-07T11:32:00Z">
              <w:r>
                <w:rPr>
                  <w:rFonts w:hint="eastAsia" w:ascii="仿宋_GB2312" w:eastAsia="仿宋_GB2312"/>
                  <w:b/>
                  <w:szCs w:val="21"/>
                  <w:u w:val="single"/>
                </w:rPr>
                <w:t>2</w:t>
              </w:r>
            </w:ins>
            <w:ins w:id="26" w:author="xbany" w:date="2020-07-07T11:32:00Z">
              <w:r>
                <w:rPr>
                  <w:rFonts w:ascii="仿宋_GB2312" w:eastAsia="仿宋_GB2312"/>
                  <w:b/>
                  <w:szCs w:val="21"/>
                  <w:u w:val="single"/>
                </w:rPr>
                <w:t xml:space="preserve">8 </w:t>
              </w:r>
            </w:ins>
            <w:r>
              <w:rPr>
                <w:rFonts w:hint="eastAsia" w:ascii="仿宋_GB2312" w:eastAsia="仿宋_GB2312"/>
                <w:b/>
                <w:szCs w:val="21"/>
              </w:rPr>
              <w:t>日</w:t>
            </w:r>
            <w:r>
              <w:rPr>
                <w:rFonts w:ascii="仿宋_GB2312" w:eastAsia="仿宋_GB2312"/>
                <w:b/>
                <w:szCs w:val="21"/>
                <w:u w:val="single"/>
              </w:rPr>
              <w:t xml:space="preserve"> </w:t>
            </w:r>
            <w:del w:id="27" w:author="xbany" w:date="2020-07-07T11:32:00Z">
              <w:r>
                <w:rPr>
                  <w:rFonts w:ascii="仿宋_GB2312" w:eastAsia="仿宋_GB2312"/>
                  <w:b/>
                  <w:szCs w:val="21"/>
                  <w:u w:val="single"/>
                </w:rPr>
                <w:delText xml:space="preserve">10 </w:delText>
              </w:r>
            </w:del>
            <w:ins w:id="28" w:author="xbany" w:date="2020-07-07T11:32:00Z">
              <w:r>
                <w:rPr>
                  <w:rFonts w:ascii="仿宋_GB2312" w:eastAsia="仿宋_GB2312"/>
                  <w:b/>
                  <w:szCs w:val="21"/>
                  <w:u w:val="single"/>
                </w:rPr>
                <w:t>11</w:t>
              </w:r>
            </w:ins>
            <w:r>
              <w:rPr>
                <w:rFonts w:hint="eastAsia" w:ascii="仿宋_GB2312" w:eastAsia="仿宋_GB2312"/>
                <w:b/>
                <w:szCs w:val="21"/>
              </w:rPr>
              <w:t>时</w:t>
            </w:r>
            <w:r>
              <w:rPr>
                <w:rFonts w:ascii="仿宋_GB2312" w:eastAsia="仿宋_GB2312"/>
                <w:b/>
                <w:szCs w:val="21"/>
                <w:u w:val="single"/>
              </w:rPr>
              <w:t xml:space="preserve"> </w:t>
            </w:r>
            <w:del w:id="29" w:author="xbany" w:date="2020-07-07T11:32:00Z">
              <w:r>
                <w:rPr>
                  <w:rFonts w:hint="eastAsia" w:ascii="仿宋_GB2312" w:eastAsia="仿宋_GB2312"/>
                  <w:b/>
                  <w:szCs w:val="21"/>
                  <w:u w:val="single"/>
                </w:rPr>
                <w:delText>3</w:delText>
              </w:r>
            </w:del>
            <w:del w:id="30" w:author="xbany" w:date="2020-07-07T11:32:00Z">
              <w:r>
                <w:rPr>
                  <w:rFonts w:ascii="仿宋_GB2312" w:eastAsia="仿宋_GB2312"/>
                  <w:b/>
                  <w:szCs w:val="21"/>
                  <w:u w:val="single"/>
                </w:rPr>
                <w:delText xml:space="preserve">0 </w:delText>
              </w:r>
            </w:del>
            <w:ins w:id="31" w:author="xbany" w:date="2020-07-07T11:32:00Z">
              <w:r>
                <w:rPr>
                  <w:rFonts w:ascii="仿宋_GB2312" w:eastAsia="仿宋_GB2312"/>
                  <w:b/>
                  <w:szCs w:val="21"/>
                  <w:u w:val="single"/>
                </w:rPr>
                <w:t xml:space="preserve">00 </w:t>
              </w:r>
            </w:ins>
            <w:r>
              <w:rPr>
                <w:rFonts w:hint="eastAsia" w:ascii="仿宋_GB2312" w:eastAsia="仿宋_GB2312"/>
                <w:b/>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szCs w:val="21"/>
              </w:rPr>
            </w:pPr>
            <w:r>
              <w:rPr>
                <w:rFonts w:hint="eastAsia" w:ascii="仿宋_GB2312" w:eastAsia="仿宋_GB2312"/>
                <w:b/>
                <w:szCs w:val="21"/>
              </w:rPr>
              <w:t>三、投标文件的编写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15.3</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备选方案</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bdr w:val="single" w:color="auto" w:sz="4" w:space="0"/>
              </w:rPr>
              <w:t>√</w:t>
            </w:r>
            <w:r>
              <w:rPr>
                <w:rFonts w:ascii="仿宋_GB2312" w:eastAsia="仿宋_GB2312"/>
                <w:szCs w:val="21"/>
              </w:rPr>
              <w:t xml:space="preserve"> </w:t>
            </w:r>
            <w:r>
              <w:rPr>
                <w:rFonts w:hint="eastAsia" w:ascii="仿宋_GB2312" w:eastAsia="仿宋_GB2312"/>
                <w:szCs w:val="21"/>
              </w:rPr>
              <w:t>不接受</w:t>
            </w:r>
          </w:p>
          <w:p>
            <w:pPr>
              <w:adjustRightInd w:val="0"/>
              <w:snapToGrid w:val="0"/>
              <w:spacing w:line="360" w:lineRule="exact"/>
              <w:rPr>
                <w:rFonts w:ascii="仿宋_GB2312" w:eastAsia="仿宋_GB2312"/>
                <w:szCs w:val="21"/>
              </w:rPr>
            </w:pP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15.4</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采购项目限价</w:t>
            </w:r>
          </w:p>
        </w:tc>
        <w:tc>
          <w:tcPr>
            <w:tcW w:w="5580" w:type="dxa"/>
            <w:gridSpan w:val="2"/>
            <w:vAlign w:val="center"/>
          </w:tcPr>
          <w:p>
            <w:pPr>
              <w:pStyle w:val="82"/>
              <w:snapToGrid w:val="0"/>
              <w:spacing w:before="120" w:beforeLines="50" w:after="120" w:afterLines="50" w:line="300" w:lineRule="auto"/>
              <w:ind w:firstLine="0" w:firstLineChars="0"/>
            </w:pPr>
            <w:r>
              <w:rPr>
                <w:rFonts w:hint="eastAsia" w:eastAsia="仿宋"/>
                <w:b/>
                <w:color w:val="000000"/>
                <w:szCs w:val="28"/>
              </w:rPr>
              <w:t>污水处理服务费单价</w:t>
            </w:r>
            <w:r>
              <w:rPr>
                <w:rFonts w:eastAsia="仿宋"/>
                <w:b/>
                <w:color w:val="000000"/>
                <w:szCs w:val="28"/>
              </w:rPr>
              <w:t>≤2.895</w:t>
            </w:r>
            <w:r>
              <w:rPr>
                <w:rFonts w:hint="eastAsia" w:eastAsia="仿宋"/>
                <w:b/>
                <w:color w:val="000000"/>
                <w:szCs w:val="28"/>
              </w:rPr>
              <w:t>元</w:t>
            </w:r>
            <w:r>
              <w:rPr>
                <w:rFonts w:eastAsia="仿宋"/>
                <w:b/>
                <w:color w:val="000000"/>
                <w:szCs w:val="28"/>
              </w:rPr>
              <w:t>/m³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18.1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ind w:left="-533" w:leftChars="-254" w:firstLine="533" w:firstLineChars="254"/>
              <w:jc w:val="center"/>
              <w:rPr>
                <w:rFonts w:ascii="仿宋_GB2312" w:eastAsia="仿宋_GB2312"/>
                <w:szCs w:val="21"/>
              </w:rPr>
            </w:pPr>
            <w:r>
              <w:rPr>
                <w:rFonts w:hint="eastAsia" w:ascii="仿宋_GB2312" w:eastAsia="仿宋_GB2312"/>
                <w:szCs w:val="21"/>
              </w:rPr>
              <w:t>投标保证金</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不要求提供</w:t>
            </w:r>
          </w:p>
          <w:p>
            <w:pPr>
              <w:adjustRightInd w:val="0"/>
              <w:snapToGrid w:val="0"/>
              <w:spacing w:line="360" w:lineRule="exact"/>
              <w:rPr>
                <w:rFonts w:ascii="仿宋_GB2312" w:eastAsia="仿宋_GB2312"/>
                <w:szCs w:val="21"/>
              </w:rPr>
            </w:pPr>
            <w:r>
              <w:rPr>
                <w:rFonts w:hint="eastAsia" w:ascii="仿宋_GB2312" w:eastAsia="仿宋_GB2312"/>
                <w:szCs w:val="21"/>
                <w:bdr w:val="single" w:color="auto" w:sz="4" w:space="0"/>
              </w:rPr>
              <w:t>√</w:t>
            </w:r>
            <w:r>
              <w:rPr>
                <w:rFonts w:ascii="仿宋_GB2312" w:eastAsia="仿宋_GB2312"/>
                <w:szCs w:val="21"/>
              </w:rPr>
              <w:t xml:space="preserve"> </w:t>
            </w:r>
            <w:r>
              <w:rPr>
                <w:rFonts w:hint="eastAsia" w:ascii="仿宋_GB2312" w:eastAsia="仿宋_GB2312"/>
                <w:szCs w:val="21"/>
              </w:rPr>
              <w:t>要求提供，数额为：人民币</w:t>
            </w:r>
            <w:r>
              <w:rPr>
                <w:rFonts w:ascii="仿宋_GB2312" w:eastAsia="仿宋_GB2312"/>
                <w:bCs/>
                <w:szCs w:val="21"/>
                <w:u w:val="single"/>
              </w:rPr>
              <w:t>500,000</w:t>
            </w:r>
            <w:r>
              <w:rPr>
                <w:rFonts w:hint="eastAsia" w:ascii="仿宋_GB2312" w:eastAsia="仿宋_GB2312"/>
                <w:szCs w:val="21"/>
              </w:rPr>
              <w:t>元；</w:t>
            </w:r>
          </w:p>
          <w:p>
            <w:pPr>
              <w:spacing w:line="360" w:lineRule="exact"/>
              <w:rPr>
                <w:rFonts w:ascii="仿宋_GB2312" w:eastAsia="仿宋_GB2312"/>
                <w:szCs w:val="21"/>
              </w:rPr>
            </w:pPr>
            <w:r>
              <w:rPr>
                <w:rFonts w:ascii="仿宋_GB2312" w:eastAsia="仿宋_GB2312"/>
                <w:szCs w:val="21"/>
              </w:rPr>
              <w:t>2</w:t>
            </w:r>
            <w:r>
              <w:rPr>
                <w:rFonts w:hint="eastAsia" w:ascii="仿宋_GB2312" w:eastAsia="仿宋_GB2312"/>
                <w:szCs w:val="21"/>
              </w:rPr>
              <w:t>、交纳方式：投标保证金可以银行转账账方式或</w:t>
            </w:r>
            <w:r>
              <w:rPr>
                <w:rFonts w:ascii="仿宋_GB2312" w:eastAsia="仿宋_GB2312"/>
                <w:szCs w:val="21"/>
              </w:rPr>
              <w:t>保函方式</w:t>
            </w:r>
            <w:r>
              <w:rPr>
                <w:rFonts w:hint="eastAsia" w:ascii="仿宋_GB2312" w:eastAsia="仿宋_GB2312"/>
                <w:szCs w:val="21"/>
              </w:rPr>
              <w:t>递交，要求在开标日前一个工作日的上午</w:t>
            </w:r>
            <w:r>
              <w:rPr>
                <w:rFonts w:ascii="仿宋_GB2312" w:eastAsia="仿宋_GB2312"/>
                <w:szCs w:val="21"/>
              </w:rPr>
              <w:t>12</w:t>
            </w:r>
            <w:r>
              <w:rPr>
                <w:rFonts w:hint="eastAsia" w:ascii="仿宋_GB2312" w:eastAsia="仿宋_GB2312"/>
                <w:szCs w:val="21"/>
              </w:rPr>
              <w:t>：</w:t>
            </w:r>
            <w:r>
              <w:rPr>
                <w:rFonts w:ascii="仿宋_GB2312" w:eastAsia="仿宋_GB2312"/>
                <w:szCs w:val="21"/>
              </w:rPr>
              <w:t>00</w:t>
            </w:r>
            <w:r>
              <w:rPr>
                <w:rFonts w:hint="eastAsia" w:ascii="仿宋_GB2312" w:eastAsia="仿宋_GB2312"/>
                <w:szCs w:val="21"/>
              </w:rPr>
              <w:t>之前从各投标单位的基本账户转账并到账，以入账时间为准。</w:t>
            </w:r>
          </w:p>
          <w:p>
            <w:pPr>
              <w:spacing w:line="360" w:lineRule="exact"/>
              <w:rPr>
                <w:rFonts w:ascii="仿宋_GB2312" w:eastAsia="仿宋_GB2312"/>
                <w:szCs w:val="21"/>
              </w:rPr>
            </w:pPr>
            <w:r>
              <w:rPr>
                <w:rFonts w:hint="eastAsia" w:ascii="仿宋_GB2312" w:eastAsia="仿宋_GB2312"/>
                <w:szCs w:val="21"/>
              </w:rPr>
              <w:t>（请各投标人在进账凭证上尽可能的注明项目名称或招标编号，如未注明，造成投标保证金无法查明的，责任由投标人承担）</w:t>
            </w:r>
          </w:p>
          <w:p>
            <w:pPr>
              <w:spacing w:line="360" w:lineRule="exact"/>
              <w:rPr>
                <w:rFonts w:ascii="仿宋_GB2312" w:eastAsia="仿宋_GB2312"/>
                <w:szCs w:val="21"/>
              </w:rPr>
            </w:pPr>
            <w:r>
              <w:rPr>
                <w:rFonts w:hint="eastAsia" w:ascii="仿宋_GB2312" w:eastAsia="仿宋_GB2312"/>
                <w:szCs w:val="21"/>
              </w:rPr>
              <w:t>开户行：昆仑银行股份有限公司克拉玛依钟楼支行</w:t>
            </w:r>
          </w:p>
          <w:p>
            <w:pPr>
              <w:spacing w:line="360" w:lineRule="exact"/>
              <w:rPr>
                <w:rFonts w:ascii="仿宋_GB2312" w:eastAsia="仿宋_GB2312"/>
                <w:szCs w:val="21"/>
              </w:rPr>
            </w:pPr>
            <w:r>
              <w:rPr>
                <w:rFonts w:hint="eastAsia" w:ascii="仿宋_GB2312" w:eastAsia="仿宋_GB2312"/>
                <w:szCs w:val="21"/>
              </w:rPr>
              <w:t>行号：313882000037</w:t>
            </w:r>
          </w:p>
          <w:p>
            <w:pPr>
              <w:spacing w:line="360" w:lineRule="exact"/>
              <w:rPr>
                <w:rFonts w:ascii="仿宋_GB2312" w:eastAsia="仿宋_GB2312"/>
                <w:szCs w:val="21"/>
              </w:rPr>
            </w:pPr>
            <w:r>
              <w:rPr>
                <w:rFonts w:hint="eastAsia" w:ascii="仿宋_GB2312" w:eastAsia="仿宋_GB2312"/>
                <w:szCs w:val="21"/>
              </w:rPr>
              <w:t>银行账号：500000190709016</w:t>
            </w:r>
          </w:p>
          <w:p>
            <w:pPr>
              <w:adjustRightInd w:val="0"/>
              <w:snapToGrid w:val="0"/>
              <w:spacing w:line="360" w:lineRule="exact"/>
              <w:rPr>
                <w:rFonts w:ascii="仿宋_GB2312" w:eastAsia="仿宋_GB2312"/>
                <w:szCs w:val="21"/>
              </w:rPr>
            </w:pPr>
            <w:r>
              <w:rPr>
                <w:rFonts w:ascii="仿宋_GB2312" w:eastAsia="仿宋_GB2312"/>
                <w:szCs w:val="21"/>
              </w:rPr>
              <w:t>3</w:t>
            </w:r>
            <w:r>
              <w:rPr>
                <w:rFonts w:hint="eastAsia" w:ascii="仿宋_GB2312" w:eastAsia="仿宋_GB2312"/>
                <w:szCs w:val="21"/>
              </w:rPr>
              <w:t>、未按时足额并以转账方式交纳投标保证金的，将被视为无效投标（</w:t>
            </w:r>
            <w:r>
              <w:rPr>
                <w:rFonts w:hint="eastAsia" w:ascii="仿宋_GB2312" w:hAnsi="宋体" w:eastAsia="仿宋_GB2312" w:cs="宋体"/>
                <w:szCs w:val="21"/>
              </w:rPr>
              <w:t>★</w:t>
            </w:r>
            <w:r>
              <w:rPr>
                <w:rFonts w:hint="eastAsia" w:ascii="仿宋_GB2312" w:eastAsia="仿宋_GB2312"/>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19.1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bCs/>
                <w:szCs w:val="21"/>
              </w:rPr>
            </w:pPr>
            <w:r>
              <w:rPr>
                <w:rFonts w:hint="eastAsia" w:ascii="仿宋_GB2312" w:eastAsia="仿宋_GB2312"/>
                <w:bCs/>
                <w:szCs w:val="21"/>
              </w:rPr>
              <w:t>投标有效期</w:t>
            </w:r>
          </w:p>
        </w:tc>
        <w:tc>
          <w:tcPr>
            <w:tcW w:w="5580" w:type="dxa"/>
            <w:gridSpan w:val="2"/>
            <w:vAlign w:val="center"/>
          </w:tcPr>
          <w:p>
            <w:pPr>
              <w:adjustRightInd w:val="0"/>
              <w:snapToGrid w:val="0"/>
              <w:spacing w:line="360" w:lineRule="exact"/>
              <w:rPr>
                <w:rFonts w:ascii="仿宋_GB2312" w:eastAsia="仿宋_GB2312"/>
                <w:bCs/>
                <w:szCs w:val="21"/>
              </w:rPr>
            </w:pPr>
            <w:r>
              <w:rPr>
                <w:rFonts w:ascii="仿宋_GB2312" w:eastAsia="仿宋_GB2312"/>
                <w:szCs w:val="21"/>
              </w:rPr>
              <w:t>120</w:t>
            </w:r>
            <w:r>
              <w:rPr>
                <w:rFonts w:hint="eastAsia" w:ascii="仿宋_GB2312" w:eastAsia="仿宋_GB2312"/>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1"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20.1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投标文件副本份数</w:t>
            </w:r>
          </w:p>
        </w:tc>
        <w:tc>
          <w:tcPr>
            <w:tcW w:w="5580" w:type="dxa"/>
            <w:gridSpan w:val="2"/>
            <w:vAlign w:val="center"/>
          </w:tcPr>
          <w:p>
            <w:pPr>
              <w:adjustRightInd w:val="0"/>
              <w:snapToGrid w:val="0"/>
              <w:spacing w:line="360" w:lineRule="exact"/>
              <w:rPr>
                <w:rFonts w:ascii="仿宋_GB2312" w:eastAsia="仿宋_GB2312"/>
                <w:szCs w:val="21"/>
                <w:u w:val="single"/>
              </w:rPr>
            </w:pPr>
            <w:r>
              <w:rPr>
                <w:rFonts w:hint="eastAsia" w:ascii="仿宋_GB2312" w:eastAsia="仿宋_GB2312"/>
                <w:szCs w:val="21"/>
                <w:u w:val="single"/>
              </w:rPr>
              <w:t>技术标、商务标投标文件份数均为一式捌份，正本壹份，副本柒份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b/>
                <w:bCs/>
                <w:szCs w:val="21"/>
              </w:rPr>
            </w:pPr>
            <w:r>
              <w:rPr>
                <w:rFonts w:hint="eastAsia" w:ascii="仿宋_GB2312" w:eastAsia="仿宋_GB2312"/>
                <w:b/>
                <w:szCs w:val="21"/>
              </w:rPr>
              <w:t>四、投标文件的递交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21.2</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color w:val="auto"/>
                <w:szCs w:val="21"/>
                <w:highlight w:val="none"/>
              </w:rPr>
            </w:pPr>
            <w:r>
              <w:rPr>
                <w:rFonts w:hint="eastAsia" w:ascii="仿宋_GB2312" w:eastAsia="仿宋_GB2312"/>
                <w:color w:val="auto"/>
                <w:szCs w:val="21"/>
                <w:highlight w:val="none"/>
              </w:rPr>
              <w:t>封套上应载明的信息</w:t>
            </w:r>
          </w:p>
        </w:tc>
        <w:tc>
          <w:tcPr>
            <w:tcW w:w="5580" w:type="dxa"/>
            <w:gridSpan w:val="2"/>
            <w:vAlign w:val="center"/>
          </w:tcPr>
          <w:p>
            <w:pPr>
              <w:adjustRightInd w:val="0"/>
              <w:snapToGrid w:val="0"/>
              <w:spacing w:line="360" w:lineRule="exact"/>
              <w:rPr>
                <w:rFonts w:ascii="仿宋_GB2312" w:eastAsia="仿宋_GB2312"/>
                <w:color w:val="auto"/>
                <w:szCs w:val="21"/>
                <w:highlight w:val="none"/>
              </w:rPr>
            </w:pPr>
            <w:r>
              <w:rPr>
                <w:rFonts w:hint="eastAsia" w:ascii="仿宋_GB2312" w:eastAsia="仿宋_GB2312"/>
                <w:color w:val="auto"/>
                <w:szCs w:val="21"/>
                <w:highlight w:val="none"/>
              </w:rPr>
              <w:t>克拉玛依石化工业园区污水处理厂改建PPP项目</w:t>
            </w:r>
          </w:p>
          <w:p>
            <w:pPr>
              <w:adjustRightInd w:val="0"/>
              <w:snapToGrid w:val="0"/>
              <w:spacing w:line="360" w:lineRule="exact"/>
              <w:rPr>
                <w:rFonts w:ascii="仿宋_GB2312" w:eastAsia="仿宋_GB2312"/>
                <w:color w:val="auto"/>
                <w:szCs w:val="21"/>
                <w:highlight w:val="none"/>
              </w:rPr>
            </w:pPr>
            <w:r>
              <w:rPr>
                <w:rFonts w:hint="eastAsia" w:ascii="仿宋_GB2312" w:eastAsia="仿宋_GB2312"/>
                <w:color w:val="auto"/>
                <w:szCs w:val="21"/>
                <w:highlight w:val="none"/>
              </w:rPr>
              <w:t>项目编号：</w:t>
            </w:r>
            <w:r>
              <w:rPr>
                <w:rFonts w:hint="eastAsia" w:ascii="仿宋_GB2312" w:eastAsia="仿宋_GB2312"/>
                <w:color w:val="auto"/>
                <w:szCs w:val="21"/>
                <w:highlight w:val="none"/>
                <w:u w:val="single"/>
              </w:rPr>
              <w:t>KSBQGXQZJJ（SHYWSC）2020-02</w:t>
            </w:r>
          </w:p>
          <w:p>
            <w:pPr>
              <w:adjustRightInd w:val="0"/>
              <w:snapToGrid w:val="0"/>
              <w:spacing w:line="360" w:lineRule="exact"/>
              <w:rPr>
                <w:rFonts w:ascii="仿宋_GB2312" w:eastAsia="仿宋_GB2312"/>
                <w:color w:val="auto"/>
                <w:szCs w:val="21"/>
                <w:highlight w:val="none"/>
              </w:rPr>
            </w:pPr>
            <w:r>
              <w:rPr>
                <w:rFonts w:hint="eastAsia" w:ascii="仿宋_GB2312" w:eastAsia="仿宋_GB2312"/>
                <w:color w:val="auto"/>
                <w:szCs w:val="21"/>
                <w:highlight w:val="none"/>
              </w:rPr>
              <w:t>在</w:t>
            </w:r>
            <w:r>
              <w:rPr>
                <w:rFonts w:ascii="仿宋_GB2312" w:eastAsia="仿宋_GB2312"/>
                <w:color w:val="auto"/>
                <w:szCs w:val="21"/>
                <w:highlight w:val="none"/>
                <w:u w:val="single"/>
              </w:rPr>
              <w:t>2020</w:t>
            </w:r>
            <w:r>
              <w:rPr>
                <w:rFonts w:hint="eastAsia" w:ascii="仿宋_GB2312" w:eastAsia="仿宋_GB2312"/>
                <w:color w:val="auto"/>
                <w:szCs w:val="21"/>
                <w:highlight w:val="none"/>
              </w:rPr>
              <w:t>年</w:t>
            </w:r>
            <w:r>
              <w:rPr>
                <w:rFonts w:ascii="仿宋_GB2312" w:eastAsia="仿宋_GB2312"/>
                <w:color w:val="auto"/>
                <w:szCs w:val="21"/>
                <w:highlight w:val="none"/>
                <w:u w:val="single"/>
              </w:rPr>
              <w:t>7</w:t>
            </w:r>
            <w:r>
              <w:rPr>
                <w:rFonts w:hint="eastAsia" w:ascii="仿宋_GB2312" w:eastAsia="仿宋_GB2312"/>
                <w:color w:val="auto"/>
                <w:szCs w:val="21"/>
                <w:highlight w:val="none"/>
              </w:rPr>
              <w:t>月</w:t>
            </w:r>
            <w:r>
              <w:rPr>
                <w:rFonts w:ascii="仿宋_GB2312" w:eastAsia="仿宋_GB2312"/>
                <w:color w:val="auto"/>
                <w:szCs w:val="21"/>
                <w:highlight w:val="none"/>
                <w:u w:val="single"/>
              </w:rPr>
              <w:t xml:space="preserve"> </w:t>
            </w:r>
            <w:del w:id="32" w:author="xbany" w:date="2020-07-07T11:32:00Z">
              <w:r>
                <w:rPr>
                  <w:rFonts w:ascii="仿宋_GB2312" w:eastAsia="仿宋_GB2312"/>
                  <w:color w:val="auto"/>
                  <w:szCs w:val="21"/>
                  <w:highlight w:val="none"/>
                  <w:u w:val="single"/>
                </w:rPr>
                <w:delText xml:space="preserve">20 </w:delText>
              </w:r>
            </w:del>
            <w:ins w:id="33" w:author="xbany" w:date="2020-07-07T11:32:00Z">
              <w:r>
                <w:rPr>
                  <w:rFonts w:ascii="仿宋_GB2312" w:eastAsia="仿宋_GB2312"/>
                  <w:color w:val="auto"/>
                  <w:szCs w:val="21"/>
                  <w:highlight w:val="none"/>
                  <w:u w:val="single"/>
                </w:rPr>
                <w:t xml:space="preserve">28 </w:t>
              </w:r>
            </w:ins>
            <w:r>
              <w:rPr>
                <w:rFonts w:hint="eastAsia" w:ascii="仿宋_GB2312" w:eastAsia="仿宋_GB2312"/>
                <w:color w:val="auto"/>
                <w:szCs w:val="21"/>
                <w:highlight w:val="none"/>
              </w:rPr>
              <w:t>日</w:t>
            </w:r>
            <w:r>
              <w:rPr>
                <w:rFonts w:ascii="仿宋_GB2312" w:eastAsia="仿宋_GB2312"/>
                <w:color w:val="auto"/>
                <w:szCs w:val="21"/>
                <w:highlight w:val="none"/>
                <w:u w:val="single"/>
              </w:rPr>
              <w:t xml:space="preserve"> </w:t>
            </w:r>
            <w:del w:id="34" w:author="xbany" w:date="2020-07-07T11:32:00Z">
              <w:r>
                <w:rPr>
                  <w:rFonts w:ascii="仿宋_GB2312" w:eastAsia="仿宋_GB2312"/>
                  <w:color w:val="auto"/>
                  <w:szCs w:val="21"/>
                  <w:highlight w:val="none"/>
                  <w:u w:val="single"/>
                </w:rPr>
                <w:delText xml:space="preserve">10 </w:delText>
              </w:r>
            </w:del>
            <w:ins w:id="35" w:author="xbany" w:date="2020-07-07T11:32:00Z">
              <w:r>
                <w:rPr>
                  <w:rFonts w:ascii="仿宋_GB2312" w:eastAsia="仿宋_GB2312"/>
                  <w:color w:val="auto"/>
                  <w:szCs w:val="21"/>
                  <w:highlight w:val="none"/>
                  <w:u w:val="single"/>
                </w:rPr>
                <w:t xml:space="preserve">11 </w:t>
              </w:r>
            </w:ins>
            <w:r>
              <w:rPr>
                <w:rFonts w:hint="eastAsia" w:ascii="仿宋_GB2312" w:eastAsia="仿宋_GB2312"/>
                <w:color w:val="auto"/>
                <w:szCs w:val="21"/>
                <w:highlight w:val="none"/>
              </w:rPr>
              <w:t>时</w:t>
            </w:r>
            <w:r>
              <w:rPr>
                <w:rFonts w:ascii="仿宋_GB2312" w:eastAsia="仿宋_GB2312"/>
                <w:color w:val="auto"/>
                <w:szCs w:val="21"/>
                <w:highlight w:val="none"/>
                <w:u w:val="single"/>
              </w:rPr>
              <w:t xml:space="preserve"> </w:t>
            </w:r>
            <w:del w:id="36" w:author="xbany" w:date="2020-07-07T11:32:00Z">
              <w:r>
                <w:rPr>
                  <w:rFonts w:ascii="仿宋_GB2312" w:eastAsia="仿宋_GB2312"/>
                  <w:color w:val="auto"/>
                  <w:szCs w:val="21"/>
                  <w:highlight w:val="none"/>
                  <w:u w:val="single"/>
                </w:rPr>
                <w:delText xml:space="preserve">30 </w:delText>
              </w:r>
            </w:del>
            <w:ins w:id="37" w:author="xbany" w:date="2020-07-07T11:32:00Z">
              <w:r>
                <w:rPr>
                  <w:rFonts w:ascii="仿宋_GB2312" w:eastAsia="仿宋_GB2312"/>
                  <w:color w:val="auto"/>
                  <w:szCs w:val="21"/>
                  <w:highlight w:val="none"/>
                  <w:u w:val="single"/>
                </w:rPr>
                <w:t xml:space="preserve">00 </w:t>
              </w:r>
            </w:ins>
            <w:r>
              <w:rPr>
                <w:rFonts w:hint="eastAsia" w:ascii="仿宋_GB2312" w:eastAsia="仿宋_GB2312"/>
                <w:color w:val="auto"/>
                <w:szCs w:val="21"/>
                <w:highlight w:val="none"/>
              </w:rPr>
              <w:t>分之前不得启封</w:t>
            </w:r>
            <w:r>
              <w:rPr>
                <w:rFonts w:ascii="仿宋_GB2312" w:eastAsia="仿宋_GB2312"/>
                <w:color w:val="auto"/>
                <w:szCs w:val="21"/>
                <w:highlight w:val="none"/>
              </w:rPr>
              <w:t xml:space="preserve"> </w:t>
            </w:r>
          </w:p>
          <w:p>
            <w:pPr>
              <w:adjustRightInd w:val="0"/>
              <w:snapToGrid w:val="0"/>
              <w:spacing w:line="360" w:lineRule="exact"/>
              <w:rPr>
                <w:rFonts w:ascii="仿宋_GB2312" w:eastAsia="仿宋_GB2312"/>
                <w:color w:val="auto"/>
                <w:szCs w:val="21"/>
                <w:highlight w:val="none"/>
              </w:rPr>
            </w:pPr>
            <w:r>
              <w:rPr>
                <w:rFonts w:hint="eastAsia" w:ascii="仿宋_GB2312" w:eastAsia="仿宋_GB2312"/>
                <w:color w:val="auto"/>
                <w:szCs w:val="21"/>
                <w:highlight w:val="none"/>
              </w:rPr>
              <w:t>投标人名称：</w:t>
            </w:r>
            <w:r>
              <w:rPr>
                <w:rFonts w:ascii="仿宋_GB2312" w:eastAsia="仿宋_GB2312"/>
                <w:color w:val="auto"/>
                <w:szCs w:val="21"/>
                <w:highlight w:val="none"/>
                <w:u w:val="single"/>
              </w:rPr>
              <w:t xml:space="preserve">                   </w:t>
            </w:r>
            <w:r>
              <w:rPr>
                <w:rFonts w:ascii="仿宋_GB2312" w:eastAsia="仿宋_GB2312"/>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22.1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投标文件的递交地点</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新疆天麒工程项目管理咨询有限责任公司一楼评标室（克拉玛依市通讯路</w:t>
            </w:r>
            <w:r>
              <w:rPr>
                <w:rFonts w:ascii="仿宋_GB2312" w:eastAsia="仿宋_GB2312"/>
                <w:szCs w:val="21"/>
              </w:rPr>
              <w:t>44</w:t>
            </w:r>
            <w:r>
              <w:rPr>
                <w:rFonts w:hint="eastAsia" w:ascii="仿宋_GB2312" w:eastAsia="仿宋_GB2312"/>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szCs w:val="21"/>
              </w:rPr>
            </w:pPr>
            <w:r>
              <w:rPr>
                <w:rFonts w:hint="eastAsia" w:ascii="仿宋_GB2312" w:eastAsia="仿宋_GB2312"/>
                <w:b/>
                <w:bCs/>
                <w:szCs w:val="21"/>
              </w:rPr>
              <w:t>五、</w:t>
            </w:r>
            <w:r>
              <w:rPr>
                <w:rFonts w:hint="eastAsia" w:ascii="仿宋_GB2312" w:eastAsia="仿宋_GB2312"/>
                <w:b/>
                <w:szCs w:val="21"/>
              </w:rPr>
              <w:t>开标和评标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25.2</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其他唱标内容</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szCs w:val="21"/>
              </w:rPr>
            </w:pPr>
            <w:r>
              <w:rPr>
                <w:rFonts w:hint="eastAsia" w:ascii="仿宋_GB2312" w:eastAsia="仿宋_GB2312"/>
                <w:b/>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31.1</w:t>
            </w:r>
            <w:r>
              <w:rPr>
                <w:rFonts w:hint="eastAsia" w:ascii="仿宋_GB2312" w:eastAsia="仿宋_GB2312"/>
                <w:szCs w:val="21"/>
              </w:rPr>
              <w:t>款</w:t>
            </w:r>
          </w:p>
        </w:tc>
        <w:tc>
          <w:tcPr>
            <w:tcW w:w="2160" w:type="dxa"/>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履约保函</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不要求提供</w:t>
            </w:r>
          </w:p>
          <w:p>
            <w:pPr>
              <w:adjustRightInd w:val="0"/>
              <w:snapToGrid w:val="0"/>
              <w:spacing w:line="360" w:lineRule="exact"/>
              <w:rPr>
                <w:rFonts w:ascii="仿宋_GB2312" w:eastAsia="仿宋_GB2312"/>
                <w:szCs w:val="21"/>
              </w:rPr>
            </w:pPr>
            <w:r>
              <w:rPr>
                <w:rFonts w:hint="eastAsia" w:ascii="仿宋_GB2312" w:eastAsia="仿宋_GB2312"/>
                <w:szCs w:val="21"/>
                <w:bdr w:val="single" w:color="auto" w:sz="4" w:space="0"/>
              </w:rPr>
              <w:t>√</w:t>
            </w:r>
            <w:r>
              <w:rPr>
                <w:rFonts w:ascii="仿宋_GB2312" w:eastAsia="仿宋_GB2312"/>
                <w:szCs w:val="21"/>
              </w:rPr>
              <w:t xml:space="preserve"> </w:t>
            </w:r>
            <w:r>
              <w:rPr>
                <w:rFonts w:hint="eastAsia" w:ascii="仿宋_GB2312" w:eastAsia="仿宋_GB2312"/>
                <w:szCs w:val="21"/>
              </w:rPr>
              <w:t>要求提供，按照P</w:t>
            </w:r>
            <w:r>
              <w:rPr>
                <w:rFonts w:ascii="仿宋_GB2312" w:eastAsia="仿宋_GB2312"/>
                <w:szCs w:val="21"/>
              </w:rPr>
              <w:t>PP</w:t>
            </w:r>
            <w:r>
              <w:rPr>
                <w:rFonts w:hint="eastAsia" w:ascii="仿宋_GB2312" w:eastAsia="仿宋_GB2312"/>
                <w:szCs w:val="21"/>
              </w:rPr>
              <w:t>项目合同约定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9360" w:type="dxa"/>
            <w:gridSpan w:val="4"/>
            <w:vAlign w:val="center"/>
          </w:tcPr>
          <w:p>
            <w:pPr>
              <w:adjustRightInd w:val="0"/>
              <w:snapToGrid w:val="0"/>
              <w:spacing w:line="360" w:lineRule="exact"/>
              <w:rPr>
                <w:rFonts w:ascii="仿宋_GB2312" w:eastAsia="仿宋_GB2312"/>
                <w:b/>
                <w:szCs w:val="21"/>
              </w:rPr>
            </w:pPr>
            <w:r>
              <w:rPr>
                <w:rFonts w:hint="eastAsia" w:ascii="仿宋_GB2312" w:eastAsia="仿宋_GB2312"/>
                <w:b/>
                <w:szCs w:val="21"/>
              </w:rPr>
              <w:t>九、其他规定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36.1</w:t>
            </w:r>
            <w:r>
              <w:rPr>
                <w:rFonts w:hint="eastAsia" w:ascii="仿宋_GB2312" w:eastAsia="仿宋_GB2312"/>
                <w:kern w:val="0"/>
                <w:szCs w:val="21"/>
                <w:lang w:val="zh-CN"/>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招标代理服务费</w:t>
            </w:r>
          </w:p>
        </w:tc>
        <w:tc>
          <w:tcPr>
            <w:tcW w:w="5580" w:type="dxa"/>
            <w:gridSpan w:val="2"/>
            <w:vAlign w:val="center"/>
          </w:tcPr>
          <w:p>
            <w:pPr>
              <w:adjustRightInd w:val="0"/>
              <w:snapToGrid w:val="0"/>
              <w:spacing w:before="24" w:beforeLines="10" w:after="24" w:afterLines="10" w:line="360" w:lineRule="exact"/>
              <w:rPr>
                <w:rFonts w:ascii="仿宋_GB2312" w:eastAsia="仿宋_GB2312"/>
                <w:szCs w:val="21"/>
              </w:rPr>
            </w:pPr>
            <w:r>
              <w:rPr>
                <w:rFonts w:hint="eastAsia" w:ascii="仿宋_GB2312" w:eastAsia="仿宋_GB2312"/>
                <w:szCs w:val="21"/>
              </w:rPr>
              <w:t>项目招标过程中产生的专家费、场地费、文印费等服务费由成交人承担，须在领取成交通知书时一次性支付。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8"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36.2</w:t>
            </w:r>
            <w:r>
              <w:rPr>
                <w:rFonts w:hint="eastAsia" w:ascii="仿宋_GB2312" w:eastAsia="仿宋_GB2312"/>
                <w:kern w:val="0"/>
                <w:szCs w:val="21"/>
                <w:lang w:val="zh-CN"/>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咨询服务费</w:t>
            </w:r>
          </w:p>
        </w:tc>
        <w:tc>
          <w:tcPr>
            <w:tcW w:w="5580" w:type="dxa"/>
            <w:gridSpan w:val="2"/>
            <w:vAlign w:val="center"/>
          </w:tcPr>
          <w:p>
            <w:pPr>
              <w:adjustRightInd w:val="0"/>
              <w:snapToGrid w:val="0"/>
              <w:spacing w:before="24" w:beforeLines="10" w:after="24" w:afterLines="10" w:line="360" w:lineRule="exact"/>
              <w:rPr>
                <w:rFonts w:ascii="仿宋_GB2312" w:eastAsia="仿宋_GB2312"/>
                <w:szCs w:val="21"/>
              </w:rPr>
            </w:pPr>
            <w:r>
              <w:rPr>
                <w:rFonts w:hint="eastAsia" w:ascii="仿宋_GB2312" w:eastAsia="仿宋_GB2312"/>
                <w:szCs w:val="21"/>
              </w:rPr>
              <w:t>由社会资本或项目公司承担，计入项目总投资。</w:t>
            </w:r>
            <w:r>
              <w:rPr>
                <w:rFonts w:ascii="仿宋_GB2312" w:eastAsia="仿宋_GB2312"/>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第一章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37.1</w:t>
            </w:r>
            <w:r>
              <w:rPr>
                <w:rFonts w:hint="eastAsia" w:ascii="仿宋_GB2312" w:eastAsia="仿宋_GB2312"/>
                <w:kern w:val="0"/>
                <w:szCs w:val="21"/>
                <w:lang w:val="zh-CN"/>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其他规定</w:t>
            </w:r>
          </w:p>
        </w:tc>
        <w:tc>
          <w:tcPr>
            <w:tcW w:w="5580" w:type="dxa"/>
            <w:gridSpan w:val="2"/>
            <w:vAlign w:val="center"/>
          </w:tcPr>
          <w:p>
            <w:pPr>
              <w:adjustRightInd w:val="0"/>
              <w:snapToGrid w:val="0"/>
              <w:spacing w:before="24" w:beforeLines="10" w:after="24" w:afterLines="10" w:line="360" w:lineRule="exact"/>
              <w:rPr>
                <w:rFonts w:ascii="仿宋_GB2312" w:eastAsia="仿宋_GB2312"/>
                <w:bCs/>
                <w:szCs w:val="21"/>
              </w:rPr>
            </w:pPr>
            <w:r>
              <w:rPr>
                <w:rFonts w:hint="eastAsia" w:ascii="仿宋_GB2312" w:eastAsia="仿宋_GB2312"/>
                <w:bCs/>
                <w:szCs w:val="21"/>
              </w:rPr>
              <w:t>本项目组织集中现场踏勘，有关费用自理，踏勘期间发生的意外自负。</w:t>
            </w:r>
            <w:r>
              <w:rPr>
                <w:rFonts w:ascii="仿宋_GB2312" w:eastAsia="仿宋_GB2312"/>
                <w:bCs/>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9360" w:type="dxa"/>
            <w:gridSpan w:val="4"/>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b/>
                <w:bCs/>
                <w:szCs w:val="21"/>
              </w:rPr>
              <w:t>第十章</w:t>
            </w:r>
            <w:r>
              <w:rPr>
                <w:rFonts w:ascii="仿宋_GB2312" w:eastAsia="仿宋_GB2312"/>
                <w:b/>
                <w:bCs/>
                <w:szCs w:val="21"/>
              </w:rPr>
              <w:t xml:space="preserve">  </w:t>
            </w:r>
            <w:r>
              <w:rPr>
                <w:rFonts w:hint="eastAsia" w:ascii="仿宋_GB2312" w:eastAsia="仿宋_GB2312"/>
                <w:b/>
                <w:bCs/>
                <w:szCs w:val="21"/>
              </w:rPr>
              <w:t>评标方法及标准</w:t>
            </w:r>
            <w:r>
              <w:rPr>
                <w:rFonts w:ascii="仿宋_GB2312" w:eastAsia="仿宋_GB2312"/>
                <w:b/>
                <w:bCs/>
                <w:szCs w:val="21"/>
              </w:rPr>
              <w:t>(</w:t>
            </w:r>
            <w:r>
              <w:rPr>
                <w:rFonts w:hint="eastAsia" w:ascii="仿宋_GB2312" w:eastAsia="仿宋_GB2312"/>
                <w:b/>
                <w:bCs/>
                <w:szCs w:val="21"/>
              </w:rPr>
              <w:t>综合评分法适用</w:t>
            </w:r>
            <w:r>
              <w:rPr>
                <w:rFonts w:ascii="仿宋_GB2312" w:eastAsia="仿宋_GB2312"/>
                <w:b/>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2.2</w:t>
            </w:r>
            <w:r>
              <w:rPr>
                <w:rFonts w:hint="eastAsia" w:ascii="仿宋_GB2312" w:eastAsia="仿宋_GB2312"/>
                <w:szCs w:val="21"/>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评标因素和标准</w:t>
            </w:r>
          </w:p>
        </w:tc>
        <w:tc>
          <w:tcPr>
            <w:tcW w:w="5580" w:type="dxa"/>
            <w:gridSpan w:val="2"/>
            <w:vAlign w:val="center"/>
          </w:tcPr>
          <w:p>
            <w:pPr>
              <w:adjustRightInd w:val="0"/>
              <w:snapToGrid w:val="0"/>
              <w:spacing w:before="24" w:beforeLines="10" w:after="24" w:afterLines="10" w:line="360" w:lineRule="exact"/>
              <w:rPr>
                <w:rFonts w:ascii="仿宋_GB2312" w:eastAsia="仿宋_GB2312"/>
                <w:szCs w:val="21"/>
              </w:rPr>
            </w:pPr>
            <w:r>
              <w:rPr>
                <w:rFonts w:hint="eastAsia" w:ascii="仿宋_GB2312" w:eastAsia="仿宋_GB2312"/>
                <w:b/>
                <w:szCs w:val="21"/>
              </w:rPr>
              <w:t>见附录</w:t>
            </w:r>
            <w:r>
              <w:rPr>
                <w:rFonts w:ascii="仿宋_GB2312" w:eastAsia="仿宋_GB2312"/>
                <w:b/>
                <w:szCs w:val="21"/>
              </w:rPr>
              <w:t>1</w:t>
            </w:r>
            <w:r>
              <w:rPr>
                <w:rFonts w:hint="eastAsia" w:ascii="仿宋_GB2312" w:eastAsia="仿宋_GB2312"/>
                <w:b/>
                <w:szCs w:val="21"/>
              </w:rPr>
              <w:t>：评标方法细则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trPr>
        <w:tc>
          <w:tcPr>
            <w:tcW w:w="1620" w:type="dxa"/>
            <w:vMerge w:val="restart"/>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2.3</w:t>
            </w:r>
            <w:r>
              <w:rPr>
                <w:rFonts w:hint="eastAsia" w:ascii="仿宋_GB2312" w:eastAsia="仿宋_GB2312"/>
                <w:szCs w:val="21"/>
              </w:rPr>
              <w:t>款</w:t>
            </w:r>
          </w:p>
        </w:tc>
        <w:tc>
          <w:tcPr>
            <w:tcW w:w="2160" w:type="dxa"/>
            <w:vMerge w:val="restart"/>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分值</w:t>
            </w:r>
          </w:p>
        </w:tc>
        <w:tc>
          <w:tcPr>
            <w:tcW w:w="2364" w:type="dxa"/>
            <w:tcBorders>
              <w:righ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评审因素</w:t>
            </w:r>
          </w:p>
        </w:tc>
        <w:tc>
          <w:tcPr>
            <w:tcW w:w="3216" w:type="dxa"/>
            <w:tcBorders>
              <w:lef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权值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trPr>
        <w:tc>
          <w:tcPr>
            <w:tcW w:w="162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16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364" w:type="dxa"/>
            <w:tcBorders>
              <w:bottom w:val="single" w:color="auto" w:sz="4" w:space="0"/>
              <w:righ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商务（企业实力）</w:t>
            </w:r>
          </w:p>
        </w:tc>
        <w:tc>
          <w:tcPr>
            <w:tcW w:w="3216" w:type="dxa"/>
            <w:tcBorders>
              <w:left w:val="single" w:color="auto" w:sz="4" w:space="0"/>
              <w:bottom w:val="single" w:color="auto" w:sz="4" w:space="0"/>
            </w:tcBorders>
            <w:vAlign w:val="center"/>
          </w:tcPr>
          <w:p>
            <w:pPr>
              <w:adjustRightInd w:val="0"/>
              <w:snapToGrid w:val="0"/>
              <w:spacing w:line="360" w:lineRule="exact"/>
              <w:jc w:val="center"/>
              <w:rPr>
                <w:rFonts w:ascii="仿宋_GB2312" w:eastAsia="仿宋_GB2312"/>
                <w:szCs w:val="21"/>
              </w:rPr>
            </w:pPr>
            <w:r>
              <w:rPr>
                <w:rFonts w:ascii="仿宋_GB2312" w:eastAsia="仿宋_GB2312"/>
                <w:szCs w:val="21"/>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trPr>
        <w:tc>
          <w:tcPr>
            <w:tcW w:w="162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16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364" w:type="dxa"/>
            <w:tcBorders>
              <w:bottom w:val="single" w:color="auto" w:sz="4" w:space="0"/>
              <w:righ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ascii="仿宋_GB2312" w:eastAsia="仿宋_GB2312"/>
                <w:szCs w:val="21"/>
              </w:rPr>
              <w:t>PPP</w:t>
            </w:r>
            <w:r>
              <w:rPr>
                <w:rFonts w:hint="eastAsia" w:ascii="仿宋_GB2312" w:eastAsia="仿宋_GB2312"/>
                <w:szCs w:val="21"/>
              </w:rPr>
              <w:t>技术方案</w:t>
            </w:r>
          </w:p>
        </w:tc>
        <w:tc>
          <w:tcPr>
            <w:tcW w:w="3216" w:type="dxa"/>
            <w:tcBorders>
              <w:left w:val="single" w:color="auto" w:sz="4" w:space="0"/>
              <w:bottom w:val="single" w:color="auto" w:sz="4" w:space="0"/>
            </w:tcBorders>
            <w:vAlign w:val="center"/>
          </w:tcPr>
          <w:p>
            <w:pPr>
              <w:adjustRightInd w:val="0"/>
              <w:snapToGrid w:val="0"/>
              <w:spacing w:line="360" w:lineRule="exact"/>
              <w:jc w:val="center"/>
              <w:rPr>
                <w:rFonts w:ascii="仿宋_GB2312" w:eastAsia="仿宋_GB2312"/>
                <w:szCs w:val="21"/>
              </w:rPr>
            </w:pPr>
            <w:r>
              <w:rPr>
                <w:rFonts w:ascii="仿宋_GB2312" w:eastAsia="仿宋_GB2312"/>
                <w:szCs w:val="21"/>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trPr>
        <w:tc>
          <w:tcPr>
            <w:tcW w:w="162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16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364" w:type="dxa"/>
            <w:tcBorders>
              <w:bottom w:val="single" w:color="auto" w:sz="4" w:space="0"/>
              <w:righ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污水处理服务费</w:t>
            </w:r>
          </w:p>
        </w:tc>
        <w:tc>
          <w:tcPr>
            <w:tcW w:w="3216" w:type="dxa"/>
            <w:tcBorders>
              <w:left w:val="single" w:color="auto" w:sz="4" w:space="0"/>
              <w:bottom w:val="single" w:color="auto" w:sz="4" w:space="0"/>
            </w:tcBorders>
            <w:vAlign w:val="center"/>
          </w:tcPr>
          <w:p>
            <w:pPr>
              <w:adjustRightInd w:val="0"/>
              <w:snapToGrid w:val="0"/>
              <w:spacing w:line="360" w:lineRule="exact"/>
              <w:jc w:val="center"/>
              <w:rPr>
                <w:rFonts w:ascii="仿宋_GB2312" w:eastAsia="仿宋_GB2312"/>
                <w:szCs w:val="21"/>
              </w:rPr>
            </w:pPr>
            <w:r>
              <w:rPr>
                <w:rFonts w:ascii="仿宋_GB2312" w:eastAsia="仿宋_GB2312"/>
                <w:szCs w:val="21"/>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trPr>
        <w:tc>
          <w:tcPr>
            <w:tcW w:w="162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160" w:type="dxa"/>
            <w:vMerge w:val="continue"/>
            <w:vAlign w:val="center"/>
          </w:tcPr>
          <w:p>
            <w:pPr>
              <w:adjustRightInd w:val="0"/>
              <w:snapToGrid w:val="0"/>
              <w:spacing w:before="120" w:beforeLines="50" w:line="360" w:lineRule="exact"/>
              <w:jc w:val="center"/>
              <w:rPr>
                <w:rFonts w:ascii="仿宋_GB2312" w:eastAsia="仿宋_GB2312"/>
                <w:szCs w:val="21"/>
              </w:rPr>
            </w:pPr>
          </w:p>
        </w:tc>
        <w:tc>
          <w:tcPr>
            <w:tcW w:w="2364" w:type="dxa"/>
            <w:tcBorders>
              <w:bottom w:val="single" w:color="auto" w:sz="4" w:space="0"/>
              <w:right w:val="single" w:color="auto" w:sz="4" w:space="0"/>
            </w:tcBorders>
            <w:vAlign w:val="center"/>
          </w:tcPr>
          <w:p>
            <w:pPr>
              <w:adjustRightInd w:val="0"/>
              <w:snapToGrid w:val="0"/>
              <w:spacing w:before="120" w:beforeLines="50" w:line="360" w:lineRule="exact"/>
              <w:jc w:val="center"/>
              <w:rPr>
                <w:rFonts w:ascii="仿宋_GB2312" w:eastAsia="仿宋_GB2312"/>
                <w:szCs w:val="21"/>
              </w:rPr>
            </w:pPr>
            <w:r>
              <w:rPr>
                <w:rFonts w:hint="eastAsia" w:ascii="仿宋_GB2312" w:eastAsia="仿宋_GB2312"/>
                <w:szCs w:val="21"/>
              </w:rPr>
              <w:t>审定</w:t>
            </w:r>
            <w:r>
              <w:rPr>
                <w:rFonts w:ascii="仿宋_GB2312" w:eastAsia="仿宋_GB2312"/>
                <w:szCs w:val="21"/>
              </w:rPr>
              <w:t>竣工结算下浮率</w:t>
            </w:r>
          </w:p>
        </w:tc>
        <w:tc>
          <w:tcPr>
            <w:tcW w:w="3216" w:type="dxa"/>
            <w:tcBorders>
              <w:left w:val="single" w:color="auto" w:sz="4" w:space="0"/>
              <w:bottom w:val="single" w:color="auto" w:sz="4" w:space="0"/>
            </w:tcBorders>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3.2</w:t>
            </w:r>
            <w:r>
              <w:rPr>
                <w:rFonts w:hint="eastAsia" w:ascii="仿宋_GB2312" w:eastAsia="仿宋_GB2312"/>
                <w:szCs w:val="21"/>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无效投标的规定</w:t>
            </w:r>
          </w:p>
        </w:tc>
        <w:tc>
          <w:tcPr>
            <w:tcW w:w="5580" w:type="dxa"/>
            <w:gridSpan w:val="2"/>
            <w:vAlign w:val="center"/>
          </w:tcPr>
          <w:p>
            <w:pPr>
              <w:adjustRightInd w:val="0"/>
              <w:snapToGrid w:val="0"/>
              <w:spacing w:before="120" w:beforeLines="50" w:line="360" w:lineRule="exact"/>
              <w:rPr>
                <w:rFonts w:ascii="仿宋_GB2312" w:eastAsia="仿宋_GB2312"/>
                <w:szCs w:val="21"/>
              </w:rPr>
            </w:pPr>
            <w:r>
              <w:rPr>
                <w:rFonts w:hint="eastAsia" w:ascii="仿宋_GB2312" w:eastAsia="仿宋_GB2312"/>
                <w:szCs w:val="21"/>
              </w:rPr>
              <w:t>投标文件属下列情况之一的，应在符合性检查时按照无效投标处理：</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没有按照本前附表中“投标保证金”要求交纳投标保证金的；</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未按照招标文件规定要求对投标文件进行编制、密封、签署、盖章的；</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参加政府采购活动前三年内，在经营活动中有重大违法记录的；</w:t>
            </w:r>
            <w:r>
              <w:rPr>
                <w:rFonts w:ascii="仿宋_GB2312" w:eastAsia="仿宋_GB2312"/>
                <w:szCs w:val="21"/>
              </w:rPr>
              <w:t xml:space="preserve"> </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不具备第一章“投标须知”第</w:t>
            </w:r>
            <w:r>
              <w:rPr>
                <w:rFonts w:ascii="仿宋_GB2312" w:eastAsia="仿宋_GB2312"/>
                <w:szCs w:val="21"/>
              </w:rPr>
              <w:t>3.1</w:t>
            </w:r>
            <w:r>
              <w:rPr>
                <w:rFonts w:hint="eastAsia" w:ascii="仿宋_GB2312" w:eastAsia="仿宋_GB2312"/>
                <w:kern w:val="0"/>
                <w:szCs w:val="21"/>
                <w:lang w:val="zh-CN"/>
              </w:rPr>
              <w:t>款</w:t>
            </w:r>
            <w:r>
              <w:rPr>
                <w:rFonts w:hint="eastAsia" w:ascii="仿宋_GB2312" w:eastAsia="仿宋_GB2312"/>
                <w:szCs w:val="21"/>
              </w:rPr>
              <w:t>规定的资格要求的；</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不满足第一章“投标须知”第</w:t>
            </w:r>
            <w:r>
              <w:rPr>
                <w:rFonts w:ascii="仿宋_GB2312" w:eastAsia="仿宋_GB2312"/>
                <w:szCs w:val="21"/>
              </w:rPr>
              <w:t>9.1</w:t>
            </w:r>
            <w:r>
              <w:rPr>
                <w:rFonts w:hint="eastAsia" w:ascii="仿宋_GB2312" w:eastAsia="仿宋_GB2312"/>
                <w:kern w:val="0"/>
                <w:szCs w:val="21"/>
                <w:lang w:val="zh-CN"/>
              </w:rPr>
              <w:t>款</w:t>
            </w:r>
            <w:r>
              <w:rPr>
                <w:rFonts w:hint="eastAsia" w:ascii="仿宋_GB2312" w:eastAsia="仿宋_GB2312"/>
                <w:szCs w:val="21"/>
              </w:rPr>
              <w:t>、第</w:t>
            </w:r>
            <w:r>
              <w:rPr>
                <w:rFonts w:ascii="仿宋_GB2312" w:eastAsia="仿宋_GB2312"/>
                <w:szCs w:val="21"/>
              </w:rPr>
              <w:t>9.2</w:t>
            </w:r>
            <w:r>
              <w:rPr>
                <w:rFonts w:hint="eastAsia" w:ascii="仿宋_GB2312" w:eastAsia="仿宋_GB2312"/>
                <w:kern w:val="0"/>
                <w:szCs w:val="21"/>
                <w:lang w:val="zh-CN"/>
              </w:rPr>
              <w:t>款</w:t>
            </w:r>
            <w:r>
              <w:rPr>
                <w:rFonts w:hint="eastAsia" w:ascii="仿宋_GB2312" w:eastAsia="仿宋_GB2312"/>
                <w:bCs/>
                <w:szCs w:val="21"/>
              </w:rPr>
              <w:t>规定的</w:t>
            </w:r>
            <w:r>
              <w:rPr>
                <w:rFonts w:hint="eastAsia" w:ascii="仿宋_GB2312" w:eastAsia="仿宋_GB2312"/>
                <w:szCs w:val="21"/>
              </w:rPr>
              <w:t>实质性要求的；</w:t>
            </w:r>
          </w:p>
          <w:p>
            <w:pPr>
              <w:numPr>
                <w:ilvl w:val="0"/>
                <w:numId w:val="3"/>
              </w:numPr>
              <w:adjustRightInd w:val="0"/>
              <w:snapToGrid w:val="0"/>
              <w:spacing w:before="120" w:beforeLines="50" w:line="360" w:lineRule="exact"/>
              <w:ind w:left="252" w:hanging="360"/>
              <w:rPr>
                <w:rFonts w:ascii="仿宋_GB2312" w:eastAsia="仿宋_GB2312"/>
                <w:szCs w:val="21"/>
              </w:rPr>
            </w:pPr>
            <w:r>
              <w:rPr>
                <w:rFonts w:hint="eastAsia" w:ascii="仿宋_GB2312" w:eastAsia="仿宋_GB2312"/>
                <w:szCs w:val="21"/>
              </w:rPr>
              <w:t>投标报价超过采购项目限制的；</w:t>
            </w:r>
          </w:p>
          <w:p>
            <w:pPr>
              <w:numPr>
                <w:ilvl w:val="0"/>
                <w:numId w:val="3"/>
              </w:numPr>
              <w:adjustRightInd w:val="0"/>
              <w:snapToGrid w:val="0"/>
              <w:spacing w:before="120" w:beforeLines="50" w:line="360" w:lineRule="exact"/>
              <w:ind w:left="252" w:hanging="360"/>
              <w:rPr>
                <w:rFonts w:ascii="仿宋_GB2312" w:eastAsia="仿宋_GB2312"/>
                <w:kern w:val="0"/>
                <w:szCs w:val="21"/>
              </w:rPr>
            </w:pPr>
            <w:r>
              <w:rPr>
                <w:rFonts w:hint="eastAsia" w:ascii="仿宋_GB2312" w:eastAsia="仿宋_GB2312"/>
                <w:kern w:val="0"/>
                <w:szCs w:val="21"/>
              </w:rPr>
              <w:t>同一投标人提交两个以上不同的投标文件或者投标报价的；</w:t>
            </w:r>
          </w:p>
          <w:p>
            <w:pPr>
              <w:numPr>
                <w:ilvl w:val="0"/>
                <w:numId w:val="3"/>
              </w:numPr>
              <w:adjustRightInd w:val="0"/>
              <w:snapToGrid w:val="0"/>
              <w:spacing w:before="120" w:beforeLines="50" w:line="360" w:lineRule="exact"/>
              <w:ind w:left="252" w:hanging="360"/>
              <w:rPr>
                <w:rFonts w:ascii="仿宋_GB2312" w:eastAsia="仿宋_GB2312"/>
                <w:kern w:val="0"/>
                <w:szCs w:val="21"/>
              </w:rPr>
            </w:pPr>
            <w:r>
              <w:rPr>
                <w:rFonts w:ascii="仿宋_GB2312" w:eastAsia="仿宋_GB2312"/>
                <w:kern w:val="0"/>
                <w:szCs w:val="21"/>
              </w:rPr>
              <w:t xml:space="preserve"> </w:t>
            </w:r>
            <w:r>
              <w:rPr>
                <w:rFonts w:hint="eastAsia" w:ascii="仿宋_GB2312" w:eastAsia="仿宋_GB2312"/>
                <w:kern w:val="0"/>
                <w:szCs w:val="21"/>
              </w:rPr>
              <w:t>投标文件载明的投标范围小于招标文件规定的招标范围的</w:t>
            </w:r>
            <w:r>
              <w:rPr>
                <w:rFonts w:ascii="仿宋_GB2312" w:eastAsia="仿宋_GB2312"/>
                <w:kern w:val="0"/>
                <w:szCs w:val="21"/>
              </w:rPr>
              <w:t>(</w:t>
            </w:r>
            <w:r>
              <w:rPr>
                <w:rFonts w:hint="eastAsia" w:ascii="仿宋_GB2312" w:eastAsia="仿宋_GB2312"/>
                <w:kern w:val="0"/>
                <w:szCs w:val="21"/>
              </w:rPr>
              <w:t>缺漏招标文件所要求的内容</w:t>
            </w:r>
            <w:r>
              <w:rPr>
                <w:rFonts w:ascii="仿宋_GB2312" w:eastAsia="仿宋_GB2312"/>
                <w:kern w:val="0"/>
                <w:szCs w:val="21"/>
              </w:rPr>
              <w:t>)</w:t>
            </w:r>
            <w:r>
              <w:rPr>
                <w:rFonts w:hint="eastAsia" w:ascii="仿宋_GB2312" w:eastAsia="仿宋_GB2312"/>
                <w:kern w:val="0"/>
                <w:szCs w:val="21"/>
              </w:rPr>
              <w:t>；</w:t>
            </w:r>
          </w:p>
          <w:p>
            <w:pPr>
              <w:numPr>
                <w:ilvl w:val="0"/>
                <w:numId w:val="3"/>
              </w:numPr>
              <w:adjustRightInd w:val="0"/>
              <w:snapToGrid w:val="0"/>
              <w:spacing w:before="120" w:beforeLines="50" w:line="360" w:lineRule="exact"/>
              <w:ind w:left="252" w:hanging="360"/>
              <w:rPr>
                <w:rFonts w:ascii="仿宋_GB2312" w:eastAsia="仿宋_GB2312"/>
                <w:kern w:val="0"/>
                <w:szCs w:val="21"/>
              </w:rPr>
            </w:pPr>
            <w:r>
              <w:rPr>
                <w:rFonts w:ascii="仿宋_GB2312" w:eastAsia="仿宋_GB2312"/>
                <w:kern w:val="0"/>
                <w:szCs w:val="21"/>
              </w:rPr>
              <w:t xml:space="preserve"> </w:t>
            </w:r>
            <w:r>
              <w:rPr>
                <w:rFonts w:hint="eastAsia" w:ascii="仿宋_GB2312" w:eastAsia="仿宋_GB2312"/>
                <w:kern w:val="0"/>
                <w:szCs w:val="21"/>
              </w:rPr>
              <w:t>投标有效期不足的；</w:t>
            </w:r>
          </w:p>
          <w:p>
            <w:pPr>
              <w:numPr>
                <w:ilvl w:val="0"/>
                <w:numId w:val="3"/>
              </w:numPr>
              <w:adjustRightInd w:val="0"/>
              <w:snapToGrid w:val="0"/>
              <w:spacing w:before="120" w:beforeLines="50" w:line="360" w:lineRule="exact"/>
              <w:ind w:left="252" w:hanging="360"/>
              <w:rPr>
                <w:rFonts w:ascii="仿宋_GB2312" w:eastAsia="仿宋_GB2312"/>
                <w:szCs w:val="21"/>
              </w:rPr>
            </w:pPr>
            <w:r>
              <w:rPr>
                <w:rFonts w:ascii="仿宋_GB2312" w:eastAsia="仿宋_GB2312"/>
                <w:kern w:val="0"/>
                <w:szCs w:val="21"/>
              </w:rPr>
              <w:t xml:space="preserve"> </w:t>
            </w:r>
            <w:r>
              <w:rPr>
                <w:rFonts w:hint="eastAsia" w:ascii="仿宋_GB2312" w:eastAsia="仿宋_GB2312"/>
                <w:kern w:val="0"/>
                <w:szCs w:val="21"/>
              </w:rPr>
              <w:t>不符合法律、法规和招标文件规定的。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3.3</w:t>
            </w:r>
            <w:r>
              <w:rPr>
                <w:rFonts w:hint="eastAsia" w:ascii="仿宋_GB2312" w:eastAsia="仿宋_GB2312"/>
                <w:szCs w:val="21"/>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szCs w:val="21"/>
              </w:rPr>
              <w:t>无效投标的规定</w:t>
            </w:r>
          </w:p>
        </w:tc>
        <w:tc>
          <w:tcPr>
            <w:tcW w:w="5580" w:type="dxa"/>
            <w:gridSpan w:val="2"/>
          </w:tcPr>
          <w:p>
            <w:pPr>
              <w:adjustRightInd w:val="0"/>
              <w:snapToGrid w:val="0"/>
              <w:spacing w:line="360" w:lineRule="exact"/>
              <w:ind w:right="-109" w:rightChars="-52"/>
              <w:rPr>
                <w:rFonts w:ascii="仿宋_GB2312" w:eastAsia="仿宋_GB2312"/>
                <w:szCs w:val="21"/>
              </w:rPr>
            </w:pPr>
            <w:r>
              <w:rPr>
                <w:rFonts w:hint="eastAsia" w:ascii="仿宋_GB2312" w:eastAsia="仿宋_GB2312"/>
                <w:szCs w:val="21"/>
              </w:rPr>
              <w:t>有下列情形之一时，评标委员会应予无效投标：</w:t>
            </w:r>
          </w:p>
          <w:p>
            <w:pPr>
              <w:numPr>
                <w:ilvl w:val="0"/>
                <w:numId w:val="4"/>
              </w:numPr>
              <w:adjustRightInd w:val="0"/>
              <w:snapToGrid w:val="0"/>
              <w:spacing w:before="120" w:beforeLines="50" w:line="360" w:lineRule="exact"/>
              <w:ind w:left="249" w:hanging="357"/>
              <w:rPr>
                <w:rFonts w:ascii="仿宋_GB2312" w:eastAsia="仿宋_GB2312"/>
                <w:szCs w:val="21"/>
              </w:rPr>
            </w:pPr>
            <w:r>
              <w:rPr>
                <w:rFonts w:hint="eastAsia" w:ascii="仿宋_GB2312" w:eastAsia="仿宋_GB2312"/>
                <w:szCs w:val="21"/>
              </w:rPr>
              <w:t>符合</w:t>
            </w:r>
            <w:r>
              <w:rPr>
                <w:rFonts w:hint="eastAsia" w:ascii="仿宋_GB2312" w:eastAsia="仿宋_GB2312"/>
                <w:kern w:val="0"/>
                <w:szCs w:val="21"/>
              </w:rPr>
              <w:t>条件</w:t>
            </w:r>
            <w:r>
              <w:rPr>
                <w:rFonts w:hint="eastAsia" w:ascii="仿宋_GB2312" w:eastAsia="仿宋_GB2312"/>
                <w:szCs w:val="21"/>
              </w:rPr>
              <w:t>的投标人或者对招标文件作实质性响应的投标人不足三家的；</w:t>
            </w:r>
          </w:p>
          <w:p>
            <w:pPr>
              <w:numPr>
                <w:ilvl w:val="0"/>
                <w:numId w:val="4"/>
              </w:numPr>
              <w:adjustRightInd w:val="0"/>
              <w:snapToGrid w:val="0"/>
              <w:spacing w:line="360" w:lineRule="exact"/>
              <w:ind w:left="252" w:hanging="360"/>
              <w:rPr>
                <w:rFonts w:ascii="仿宋_GB2312" w:eastAsia="仿宋_GB2312"/>
                <w:szCs w:val="21"/>
              </w:rPr>
            </w:pPr>
            <w:r>
              <w:rPr>
                <w:rFonts w:hint="eastAsia" w:ascii="仿宋_GB2312" w:eastAsia="仿宋_GB2312"/>
                <w:szCs w:val="21"/>
              </w:rPr>
              <w:t>出现</w:t>
            </w:r>
            <w:r>
              <w:rPr>
                <w:rFonts w:hint="eastAsia" w:ascii="仿宋_GB2312" w:eastAsia="仿宋_GB2312"/>
                <w:kern w:val="0"/>
                <w:szCs w:val="21"/>
              </w:rPr>
              <w:t>影响</w:t>
            </w:r>
            <w:r>
              <w:rPr>
                <w:rFonts w:hint="eastAsia" w:ascii="仿宋_GB2312" w:eastAsia="仿宋_GB2312"/>
                <w:szCs w:val="21"/>
              </w:rPr>
              <w:t>采购公正的违法、违规行为的；</w:t>
            </w:r>
          </w:p>
          <w:p>
            <w:pPr>
              <w:numPr>
                <w:ilvl w:val="0"/>
                <w:numId w:val="4"/>
              </w:numPr>
              <w:adjustRightInd w:val="0"/>
              <w:snapToGrid w:val="0"/>
              <w:spacing w:line="360" w:lineRule="exact"/>
              <w:ind w:left="252" w:hanging="360"/>
              <w:rPr>
                <w:rFonts w:ascii="仿宋_GB2312" w:eastAsia="仿宋_GB2312"/>
                <w:szCs w:val="21"/>
              </w:rPr>
            </w:pPr>
            <w:r>
              <w:rPr>
                <w:rFonts w:hint="eastAsia" w:ascii="仿宋_GB2312" w:eastAsia="仿宋_GB2312"/>
                <w:kern w:val="0"/>
                <w:szCs w:val="21"/>
              </w:rPr>
              <w:t>投标人</w:t>
            </w:r>
            <w:r>
              <w:rPr>
                <w:rFonts w:hint="eastAsia" w:ascii="仿宋_GB2312" w:eastAsia="仿宋_GB2312"/>
                <w:szCs w:val="21"/>
              </w:rPr>
              <w:t>的报价均超过了采购限制的；</w:t>
            </w:r>
          </w:p>
          <w:p>
            <w:pPr>
              <w:numPr>
                <w:ilvl w:val="0"/>
                <w:numId w:val="4"/>
              </w:numPr>
              <w:adjustRightInd w:val="0"/>
              <w:snapToGrid w:val="0"/>
              <w:spacing w:line="360" w:lineRule="exact"/>
              <w:ind w:left="252" w:hanging="360"/>
              <w:rPr>
                <w:rFonts w:ascii="仿宋_GB2312" w:eastAsia="仿宋_GB2312"/>
                <w:szCs w:val="21"/>
              </w:rPr>
            </w:pPr>
            <w:r>
              <w:rPr>
                <w:rFonts w:hint="eastAsia" w:ascii="仿宋_GB2312" w:eastAsia="仿宋_GB2312"/>
                <w:szCs w:val="21"/>
              </w:rPr>
              <w:t>因</w:t>
            </w:r>
            <w:r>
              <w:rPr>
                <w:rFonts w:hint="eastAsia" w:ascii="仿宋_GB2312" w:eastAsia="仿宋_GB2312"/>
                <w:kern w:val="0"/>
                <w:szCs w:val="21"/>
              </w:rPr>
              <w:t>重大</w:t>
            </w:r>
            <w:r>
              <w:rPr>
                <w:rFonts w:hint="eastAsia" w:ascii="仿宋_GB2312" w:eastAsia="仿宋_GB2312"/>
                <w:szCs w:val="21"/>
              </w:rPr>
              <w:t>变故，采购任务取消的。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5.4</w:t>
            </w:r>
            <w:r>
              <w:rPr>
                <w:rFonts w:hint="eastAsia" w:ascii="仿宋_GB2312" w:eastAsia="仿宋_GB2312"/>
                <w:szCs w:val="21"/>
              </w:rPr>
              <w:t>款</w:t>
            </w:r>
          </w:p>
        </w:tc>
        <w:tc>
          <w:tcPr>
            <w:tcW w:w="2160" w:type="dxa"/>
            <w:vAlign w:val="center"/>
          </w:tcPr>
          <w:p>
            <w:pPr>
              <w:adjustRightInd w:val="0"/>
              <w:snapToGrid w:val="0"/>
              <w:spacing w:line="360" w:lineRule="exact"/>
              <w:jc w:val="center"/>
              <w:rPr>
                <w:rFonts w:ascii="仿宋_GB2312" w:eastAsia="仿宋_GB2312"/>
                <w:szCs w:val="21"/>
              </w:rPr>
            </w:pPr>
            <w:r>
              <w:rPr>
                <w:rFonts w:hint="eastAsia" w:ascii="仿宋_GB2312" w:eastAsia="仿宋_GB2312"/>
                <w:kern w:val="0"/>
                <w:szCs w:val="21"/>
              </w:rPr>
              <w:t>投标报价</w:t>
            </w:r>
            <w:r>
              <w:rPr>
                <w:rFonts w:hint="eastAsia" w:ascii="仿宋_GB2312" w:eastAsia="仿宋_GB2312"/>
                <w:szCs w:val="21"/>
              </w:rPr>
              <w:t>调整</w:t>
            </w:r>
          </w:p>
        </w:tc>
        <w:tc>
          <w:tcPr>
            <w:tcW w:w="5580" w:type="dxa"/>
            <w:gridSpan w:val="2"/>
            <w:vAlign w:val="center"/>
          </w:tcPr>
          <w:p>
            <w:pPr>
              <w:adjustRightInd w:val="0"/>
              <w:snapToGrid w:val="0"/>
              <w:spacing w:line="360" w:lineRule="exact"/>
              <w:rPr>
                <w:rFonts w:ascii="仿宋_GB2312" w:eastAsia="仿宋_GB2312"/>
                <w:szCs w:val="21"/>
              </w:rPr>
            </w:pPr>
            <w:r>
              <w:rPr>
                <w:rFonts w:ascii="仿宋_GB2312" w:eastAsia="仿宋_GB2312"/>
                <w:bCs/>
                <w:kern w:val="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w:t>
            </w:r>
            <w:r>
              <w:rPr>
                <w:rFonts w:ascii="仿宋_GB2312" w:eastAsia="仿宋_GB2312"/>
                <w:szCs w:val="21"/>
              </w:rPr>
              <w:t>5.5</w:t>
            </w:r>
            <w:r>
              <w:rPr>
                <w:rFonts w:hint="eastAsia" w:ascii="仿宋_GB2312" w:eastAsia="仿宋_GB2312"/>
                <w:szCs w:val="21"/>
              </w:rPr>
              <w:t>款</w:t>
            </w:r>
          </w:p>
        </w:tc>
        <w:tc>
          <w:tcPr>
            <w:tcW w:w="216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多处获得政府采购政策优惠的计算方法</w:t>
            </w:r>
          </w:p>
        </w:tc>
        <w:tc>
          <w:tcPr>
            <w:tcW w:w="5580" w:type="dxa"/>
            <w:gridSpan w:val="2"/>
            <w:vAlign w:val="center"/>
          </w:tcPr>
          <w:p>
            <w:pPr>
              <w:adjustRightInd w:val="0"/>
              <w:snapToGrid w:val="0"/>
              <w:spacing w:line="360" w:lineRule="exact"/>
              <w:rPr>
                <w:rFonts w:ascii="仿宋_GB2312" w:eastAsia="仿宋_GB2312"/>
                <w:szCs w:val="21"/>
              </w:rPr>
            </w:pPr>
            <w:r>
              <w:rPr>
                <w:rFonts w:hint="eastAsia" w:ascii="仿宋_GB2312" w:eastAsia="仿宋_GB2312"/>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rPr>
        <w:tc>
          <w:tcPr>
            <w:tcW w:w="1620" w:type="dxa"/>
            <w:vAlign w:val="center"/>
          </w:tcPr>
          <w:p>
            <w:pPr>
              <w:adjustRightInd w:val="0"/>
              <w:snapToGrid w:val="0"/>
              <w:spacing w:before="24" w:beforeLines="10" w:after="24" w:afterLines="10" w:line="360" w:lineRule="exact"/>
              <w:jc w:val="center"/>
              <w:rPr>
                <w:rFonts w:ascii="仿宋_GB2312" w:eastAsia="仿宋_GB2312"/>
                <w:szCs w:val="21"/>
              </w:rPr>
            </w:pPr>
            <w:r>
              <w:rPr>
                <w:rFonts w:hint="eastAsia" w:ascii="仿宋_GB2312" w:eastAsia="仿宋_GB2312"/>
                <w:szCs w:val="21"/>
              </w:rPr>
              <w:t>第十章</w:t>
            </w:r>
          </w:p>
          <w:p>
            <w:pPr>
              <w:adjustRightInd w:val="0"/>
              <w:snapToGrid w:val="0"/>
              <w:spacing w:before="24" w:beforeLines="10" w:after="24" w:afterLines="10" w:line="360" w:lineRule="exact"/>
              <w:jc w:val="center"/>
              <w:rPr>
                <w:rFonts w:ascii="仿宋_GB2312" w:eastAsia="仿宋_GB2312"/>
                <w:bCs/>
                <w:szCs w:val="21"/>
              </w:rPr>
            </w:pPr>
            <w:r>
              <w:rPr>
                <w:rFonts w:hint="eastAsia" w:ascii="仿宋_GB2312" w:eastAsia="仿宋_GB2312"/>
                <w:szCs w:val="21"/>
              </w:rPr>
              <w:t>第</w:t>
            </w:r>
            <w:r>
              <w:rPr>
                <w:rFonts w:ascii="仿宋_GB2312" w:eastAsia="仿宋_GB2312"/>
                <w:szCs w:val="21"/>
              </w:rPr>
              <w:t>6.2</w:t>
            </w:r>
            <w:r>
              <w:rPr>
                <w:rFonts w:hint="eastAsia" w:ascii="仿宋_GB2312" w:eastAsia="仿宋_GB2312"/>
                <w:kern w:val="0"/>
                <w:szCs w:val="21"/>
                <w:lang w:val="zh-CN"/>
              </w:rPr>
              <w:t>款</w:t>
            </w:r>
          </w:p>
        </w:tc>
        <w:tc>
          <w:tcPr>
            <w:tcW w:w="2160" w:type="dxa"/>
            <w:vAlign w:val="center"/>
          </w:tcPr>
          <w:p>
            <w:pPr>
              <w:adjustRightInd w:val="0"/>
              <w:snapToGrid w:val="0"/>
              <w:spacing w:line="360" w:lineRule="exact"/>
              <w:jc w:val="center"/>
              <w:rPr>
                <w:rFonts w:ascii="仿宋_GB2312" w:eastAsia="仿宋_GB2312"/>
                <w:bCs/>
                <w:szCs w:val="21"/>
              </w:rPr>
            </w:pPr>
            <w:r>
              <w:rPr>
                <w:rFonts w:hint="eastAsia" w:ascii="仿宋_GB2312" w:eastAsia="仿宋_GB2312"/>
                <w:szCs w:val="21"/>
              </w:rPr>
              <w:t>推荐的候选社会资本谈判数量（顺序）</w:t>
            </w:r>
          </w:p>
        </w:tc>
        <w:tc>
          <w:tcPr>
            <w:tcW w:w="5580" w:type="dxa"/>
            <w:gridSpan w:val="2"/>
            <w:vAlign w:val="center"/>
          </w:tcPr>
          <w:p>
            <w:pPr>
              <w:adjustRightInd w:val="0"/>
              <w:snapToGrid w:val="0"/>
              <w:spacing w:line="360" w:lineRule="exact"/>
              <w:rPr>
                <w:rFonts w:ascii="仿宋_GB2312" w:eastAsia="仿宋_GB2312"/>
                <w:szCs w:val="21"/>
              </w:rPr>
            </w:pPr>
            <w:r>
              <w:rPr>
                <w:rFonts w:ascii="仿宋_GB2312" w:eastAsia="仿宋_GB2312"/>
                <w:szCs w:val="21"/>
              </w:rPr>
              <w:t>2</w:t>
            </w:r>
            <w:r>
              <w:rPr>
                <w:rFonts w:hint="eastAsia" w:ascii="仿宋_GB2312" w:eastAsia="仿宋_GB2312"/>
                <w:szCs w:val="21"/>
              </w:rPr>
              <w:t>名</w:t>
            </w:r>
          </w:p>
        </w:tc>
      </w:tr>
    </w:tbl>
    <w:p>
      <w:pPr>
        <w:pStyle w:val="3"/>
        <w:spacing w:before="120" w:beforeLines="50" w:line="360" w:lineRule="exact"/>
        <w:ind w:firstLine="482"/>
        <w:jc w:val="center"/>
        <w:rPr>
          <w:rFonts w:ascii="仿宋_GB2312"/>
          <w:szCs w:val="24"/>
        </w:rPr>
        <w:sectPr>
          <w:headerReference r:id="rId5" w:type="default"/>
          <w:pgSz w:w="11906" w:h="16838"/>
          <w:pgMar w:top="1247" w:right="964" w:bottom="1191" w:left="1134" w:header="1134" w:footer="907" w:gutter="0"/>
          <w:cols w:space="0" w:num="1"/>
          <w:docGrid w:linePitch="312" w:charSpace="0"/>
        </w:sectPr>
      </w:pPr>
    </w:p>
    <w:p>
      <w:pPr>
        <w:pStyle w:val="2"/>
        <w:spacing w:before="120" w:beforeLines="50" w:afterLines="50"/>
        <w:jc w:val="center"/>
        <w:rPr>
          <w:rFonts w:ascii="仿宋_GB2312" w:eastAsia="仿宋_GB2312"/>
        </w:rPr>
      </w:pPr>
      <w:r>
        <w:rPr>
          <w:rFonts w:hint="eastAsia" w:ascii="仿宋_GB2312" w:eastAsia="仿宋_GB2312"/>
        </w:rPr>
        <w:t>投标邀请</w:t>
      </w:r>
    </w:p>
    <w:p>
      <w:pPr>
        <w:pStyle w:val="24"/>
        <w:adjustRightInd w:val="0"/>
        <w:snapToGrid w:val="0"/>
        <w:spacing w:before="120" w:beforeLines="50" w:line="360" w:lineRule="auto"/>
        <w:ind w:firstLine="597" w:firstLineChars="249"/>
        <w:rPr>
          <w:rFonts w:ascii="仿宋_GB2312" w:hAnsi="Times New Roman" w:eastAsia="仿宋_GB2312" w:cs="Times New Roman"/>
          <w:iCs/>
          <w:sz w:val="24"/>
          <w:szCs w:val="24"/>
        </w:rPr>
      </w:pP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新疆天麒工程项目管理咨询有限责任公司受克拉玛依市白碱滩区（克拉玛依高新技术产业开发区）住房和建设局的委托，对克拉玛依石化工业园区污水处理厂改建PPP项目进行公开招标采购，现邀请已通过资格预审的投标人参与投标。</w:t>
      </w:r>
    </w:p>
    <w:p>
      <w:pPr>
        <w:numPr>
          <w:ilvl w:val="0"/>
          <w:numId w:val="5"/>
        </w:numPr>
        <w:adjustRightInd w:val="0"/>
        <w:snapToGrid w:val="0"/>
        <w:spacing w:before="120" w:beforeLines="50" w:line="360" w:lineRule="auto"/>
        <w:ind w:hanging="335"/>
        <w:rPr>
          <w:rFonts w:ascii="仿宋_GB2312" w:eastAsia="仿宋_GB2312"/>
          <w:b/>
          <w:sz w:val="24"/>
        </w:rPr>
      </w:pPr>
      <w:r>
        <w:rPr>
          <w:rFonts w:hint="eastAsia" w:ascii="仿宋_GB2312" w:eastAsia="仿宋_GB2312"/>
          <w:b/>
          <w:iCs/>
          <w:sz w:val="24"/>
        </w:rPr>
        <w:t>采购</w:t>
      </w:r>
      <w:r>
        <w:rPr>
          <w:rFonts w:hint="eastAsia" w:ascii="仿宋_GB2312" w:eastAsia="仿宋_GB2312"/>
          <w:b/>
          <w:sz w:val="24"/>
        </w:rPr>
        <w:t>项目的名称：</w:t>
      </w:r>
      <w:r>
        <w:rPr>
          <w:rFonts w:ascii="仿宋_GB2312" w:eastAsia="仿宋_GB2312"/>
          <w:b/>
          <w:sz w:val="24"/>
        </w:rPr>
        <w:t xml:space="preserve"> </w:t>
      </w:r>
      <w:r>
        <w:rPr>
          <w:rFonts w:hint="eastAsia" w:ascii="仿宋_GB2312" w:eastAsia="仿宋_GB2312"/>
          <w:bCs/>
          <w:kern w:val="0"/>
          <w:sz w:val="24"/>
        </w:rPr>
        <w:t>克拉玛依石化工业园区污水处理厂改建PPP项目</w:t>
      </w:r>
    </w:p>
    <w:p>
      <w:pPr>
        <w:numPr>
          <w:ilvl w:val="0"/>
          <w:numId w:val="5"/>
        </w:numPr>
        <w:adjustRightInd w:val="0"/>
        <w:snapToGrid w:val="0"/>
        <w:spacing w:before="120" w:beforeLines="50" w:line="360" w:lineRule="auto"/>
        <w:ind w:hanging="335"/>
        <w:rPr>
          <w:rFonts w:ascii="仿宋_GB2312" w:eastAsia="仿宋_GB2312"/>
          <w:bCs/>
          <w:kern w:val="0"/>
          <w:sz w:val="24"/>
          <w:u w:val="single"/>
        </w:rPr>
      </w:pPr>
      <w:r>
        <w:rPr>
          <w:rFonts w:hint="eastAsia" w:ascii="仿宋_GB2312" w:eastAsia="仿宋_GB2312"/>
          <w:b/>
          <w:iCs/>
          <w:sz w:val="24"/>
        </w:rPr>
        <w:t>项目编号：</w:t>
      </w:r>
      <w:r>
        <w:rPr>
          <w:rFonts w:ascii="仿宋_GB2312" w:eastAsia="仿宋_GB2312"/>
          <w:bCs/>
          <w:kern w:val="0"/>
          <w:sz w:val="24"/>
          <w:u w:val="single"/>
        </w:rPr>
        <w:t>KSBQGXQZJJ（SHYWSC）2020-02</w:t>
      </w:r>
    </w:p>
    <w:p>
      <w:pPr>
        <w:numPr>
          <w:ilvl w:val="0"/>
          <w:numId w:val="5"/>
        </w:numPr>
        <w:adjustRightInd w:val="0"/>
        <w:snapToGrid w:val="0"/>
        <w:spacing w:before="120" w:beforeLines="50" w:line="360" w:lineRule="auto"/>
        <w:ind w:hanging="335"/>
        <w:rPr>
          <w:rFonts w:eastAsia="仿宋"/>
          <w:b/>
          <w:color w:val="FF0000"/>
          <w:kern w:val="0"/>
          <w:sz w:val="24"/>
          <w:szCs w:val="24"/>
        </w:rPr>
      </w:pPr>
      <w:r>
        <w:rPr>
          <w:rFonts w:hint="eastAsia" w:ascii="仿宋_GB2312" w:eastAsia="仿宋_GB2312"/>
          <w:b/>
          <w:iCs/>
          <w:color w:val="FF0000"/>
          <w:sz w:val="24"/>
        </w:rPr>
        <w:t>采购项目预算：</w:t>
      </w:r>
      <w:r>
        <w:rPr>
          <w:rFonts w:hint="eastAsia" w:eastAsia="仿宋"/>
          <w:b/>
          <w:color w:val="FF0000"/>
          <w:sz w:val="24"/>
          <w:szCs w:val="24"/>
        </w:rPr>
        <w:t>污水处理服务费单价≤</w:t>
      </w:r>
      <w:r>
        <w:rPr>
          <w:rFonts w:eastAsia="仿宋"/>
          <w:b/>
          <w:color w:val="FF0000"/>
          <w:sz w:val="24"/>
          <w:szCs w:val="24"/>
        </w:rPr>
        <w:t>2.895</w:t>
      </w:r>
      <w:r>
        <w:rPr>
          <w:rFonts w:hint="eastAsia" w:eastAsia="仿宋"/>
          <w:b/>
          <w:color w:val="FF0000"/>
          <w:sz w:val="24"/>
          <w:szCs w:val="24"/>
        </w:rPr>
        <w:t>元</w:t>
      </w:r>
      <w:r>
        <w:rPr>
          <w:rFonts w:eastAsia="仿宋"/>
          <w:b/>
          <w:color w:val="FF0000"/>
          <w:sz w:val="24"/>
          <w:szCs w:val="24"/>
        </w:rPr>
        <w:t>/m³</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投标人资格要求</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（1）申请人须为具有独立法人资格，自主经营、独立核算的公司。</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（2）申请人须同时具有建设行政主管部门颁发市建筑工程施工总承包壹级及以上资质、市政公用工程施工总承包壹级及以上资质，且具有有效的《安全生产许可证》。</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3）拟派项目负责人应具有建设行政主管部门核发的建筑工程或市政公用工程壹级建造师注册证书，并取得有效期内的安全生产考核合格证（A类或B类）。疆外申请人拟派的项目主要管理人员必须为建设工程企业信息登记册中相对应的已备案人员。</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（4）疆外申请人应具有新疆维吾尔自治区住房和城乡建设厅出具的有效期内《（2020）年新疆维吾尔自治区区外进疆建筑企业信息报送册》且报送册中具备本招标公告要求的相应施工资质。</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（5）申请人必须在克拉玛依市白碱滩区（克拉玛依高新技术产业开发区）中央大道与金龙大街交叉中心点为圆心，30km（含30km）为半径范围内自有、租赁沥青拌合站、水稳拌合站；</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（6）截至资格预审申请文件递交截止日前五年内，申请人在中国境内至少有一项类似本项目的投资或建设或运营业绩，业绩证明材料以出资证明、中标通知书或合同文件为准。</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（7）申请人应具有足够的资本实力和相应渠道的融资能力，能履行投融资义务：</w:t>
      </w:r>
    </w:p>
    <w:p>
      <w:pPr>
        <w:adjustRightInd w:val="0"/>
        <w:snapToGrid w:val="0"/>
        <w:spacing w:before="120" w:beforeLines="50" w:line="360" w:lineRule="auto"/>
        <w:ind w:firstLine="600" w:firstLineChars="250"/>
        <w:rPr>
          <w:rFonts w:ascii="仿宋" w:hAnsi="仿宋" w:eastAsia="仿宋"/>
          <w:sz w:val="24"/>
          <w:szCs w:val="24"/>
        </w:rPr>
      </w:pPr>
      <w:r>
        <w:rPr>
          <w:rFonts w:ascii="仿宋" w:hAnsi="仿宋" w:eastAsia="仿宋"/>
          <w:sz w:val="24"/>
          <w:szCs w:val="24"/>
        </w:rPr>
        <w:t>a</w:t>
      </w:r>
      <w:r>
        <w:rPr>
          <w:rFonts w:hint="eastAsia" w:ascii="仿宋" w:hAnsi="仿宋" w:eastAsia="仿宋"/>
          <w:sz w:val="24"/>
          <w:szCs w:val="24"/>
        </w:rPr>
        <w:t>、申请人提供201</w:t>
      </w:r>
      <w:r>
        <w:rPr>
          <w:rFonts w:ascii="仿宋" w:hAnsi="仿宋" w:eastAsia="仿宋"/>
          <w:sz w:val="24"/>
          <w:szCs w:val="24"/>
        </w:rPr>
        <w:t>6</w:t>
      </w:r>
      <w:r>
        <w:rPr>
          <w:rFonts w:hint="eastAsia" w:ascii="仿宋" w:hAnsi="仿宋" w:eastAsia="仿宋"/>
          <w:sz w:val="24"/>
          <w:szCs w:val="24"/>
        </w:rPr>
        <w:t>年、201</w:t>
      </w:r>
      <w:r>
        <w:rPr>
          <w:rFonts w:ascii="仿宋" w:hAnsi="仿宋" w:eastAsia="仿宋"/>
          <w:sz w:val="24"/>
          <w:szCs w:val="24"/>
        </w:rPr>
        <w:t>7</w:t>
      </w:r>
      <w:r>
        <w:rPr>
          <w:rFonts w:hint="eastAsia" w:ascii="仿宋" w:hAnsi="仿宋" w:eastAsia="仿宋"/>
          <w:sz w:val="24"/>
          <w:szCs w:val="24"/>
        </w:rPr>
        <w:t>年、201</w:t>
      </w:r>
      <w:r>
        <w:rPr>
          <w:rFonts w:ascii="仿宋" w:hAnsi="仿宋" w:eastAsia="仿宋"/>
          <w:sz w:val="24"/>
          <w:szCs w:val="24"/>
        </w:rPr>
        <w:t>8</w:t>
      </w:r>
      <w:r>
        <w:rPr>
          <w:rFonts w:hint="eastAsia" w:ascii="仿宋" w:hAnsi="仿宋" w:eastAsia="仿宋"/>
          <w:sz w:val="24"/>
          <w:szCs w:val="24"/>
        </w:rPr>
        <w:t>年度经会计师事务所审计的审计报告。</w:t>
      </w:r>
    </w:p>
    <w:p>
      <w:pPr>
        <w:adjustRightInd w:val="0"/>
        <w:snapToGrid w:val="0"/>
        <w:spacing w:before="120" w:beforeLines="50" w:line="360" w:lineRule="auto"/>
        <w:ind w:firstLine="600" w:firstLineChars="250"/>
        <w:rPr>
          <w:rFonts w:ascii="仿宋" w:hAnsi="仿宋" w:eastAsia="仿宋"/>
          <w:sz w:val="24"/>
          <w:szCs w:val="24"/>
        </w:rPr>
      </w:pPr>
      <w:r>
        <w:rPr>
          <w:rFonts w:ascii="仿宋" w:hAnsi="仿宋" w:eastAsia="仿宋"/>
          <w:sz w:val="24"/>
          <w:szCs w:val="24"/>
        </w:rPr>
        <w:t>b</w:t>
      </w:r>
      <w:r>
        <w:rPr>
          <w:rFonts w:hint="eastAsia" w:ascii="仿宋" w:hAnsi="仿宋" w:eastAsia="仿宋"/>
          <w:sz w:val="24"/>
          <w:szCs w:val="24"/>
        </w:rPr>
        <w:t>、申请人不存在因自身违约或不恰当履约引起的特许经营权被提前终止或收回情形，不存在重大涉诉、仲裁等其他可能对我方本项目履约能力造成重大影响的负面情形。申请人近五年以来所有运营项目均未发生过重大安全和质量事故、近五年以来没有任何重大违法情形；</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（8）信用查询</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按照《财政部关于在政府采购活动中查询及使用信用记录有关问题的通知》（财库〔</w:t>
      </w:r>
      <w:r>
        <w:rPr>
          <w:rFonts w:ascii="仿宋" w:hAnsi="仿宋" w:eastAsia="仿宋"/>
          <w:sz w:val="24"/>
          <w:szCs w:val="24"/>
        </w:rPr>
        <w:t>2016</w:t>
      </w:r>
      <w:r>
        <w:rPr>
          <w:rFonts w:hint="eastAsia" w:ascii="仿宋" w:hAnsi="仿宋" w:eastAsia="仿宋"/>
          <w:sz w:val="24"/>
          <w:szCs w:val="24"/>
        </w:rPr>
        <w:t>〕</w:t>
      </w:r>
      <w:r>
        <w:rPr>
          <w:rFonts w:ascii="仿宋" w:hAnsi="仿宋" w:eastAsia="仿宋"/>
          <w:sz w:val="24"/>
          <w:szCs w:val="24"/>
        </w:rPr>
        <w:t>125</w:t>
      </w:r>
      <w:r>
        <w:rPr>
          <w:rFonts w:hint="eastAsia" w:ascii="仿宋" w:hAnsi="仿宋" w:eastAsia="仿宋"/>
          <w:sz w:val="24"/>
          <w:szCs w:val="24"/>
        </w:rPr>
        <w:t>号）的要求，根据开标当日“信用中国”网站（</w:t>
      </w:r>
      <w:r>
        <w:rPr>
          <w:rFonts w:ascii="仿宋" w:hAnsi="仿宋" w:eastAsia="仿宋"/>
          <w:sz w:val="24"/>
          <w:szCs w:val="24"/>
        </w:rPr>
        <w:t>www.creditchina.gov.cn</w:t>
      </w:r>
      <w:r>
        <w:rPr>
          <w:rFonts w:hint="eastAsia" w:ascii="仿宋" w:hAnsi="仿宋" w:eastAsia="仿宋"/>
          <w:sz w:val="24"/>
          <w:szCs w:val="24"/>
        </w:rPr>
        <w:t>）、中国政府采购网（</w:t>
      </w:r>
      <w:r>
        <w:rPr>
          <w:rFonts w:ascii="仿宋" w:hAnsi="仿宋" w:eastAsia="仿宋"/>
          <w:sz w:val="24"/>
          <w:szCs w:val="24"/>
        </w:rPr>
        <w:t>www.ccgp.gov.cn</w:t>
      </w:r>
      <w:r>
        <w:rPr>
          <w:rFonts w:hint="eastAsia" w:ascii="仿宋" w:hAnsi="仿宋" w:eastAsia="仿宋"/>
          <w:sz w:val="24"/>
          <w:szCs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adjustRightInd w:val="0"/>
        <w:snapToGrid w:val="0"/>
        <w:spacing w:before="120" w:beforeLines="50" w:line="360" w:lineRule="auto"/>
        <w:ind w:firstLine="480" w:firstLineChars="200"/>
        <w:rPr>
          <w:rFonts w:ascii="仿宋" w:hAnsi="仿宋" w:eastAsia="仿宋"/>
          <w:sz w:val="24"/>
          <w:szCs w:val="24"/>
        </w:rPr>
      </w:pPr>
      <w:r>
        <w:rPr>
          <w:rFonts w:hint="eastAsia" w:ascii="仿宋" w:hAnsi="仿宋" w:eastAsia="仿宋"/>
          <w:sz w:val="24"/>
          <w:szCs w:val="24"/>
        </w:rPr>
        <w:t>在克拉玛依市诚信网注册备案（非本地注册企业备案信息有效期为一年，到期后需进行年度审核）。（网址：</w:t>
      </w:r>
      <w:r>
        <w:fldChar w:fldCharType="begin"/>
      </w:r>
      <w:r>
        <w:instrText xml:space="preserve"> HYPERLINK "http://cxw.klmy.gov.cn/Pages/default.aspx" </w:instrText>
      </w:r>
      <w:r>
        <w:fldChar w:fldCharType="separate"/>
      </w:r>
      <w:r>
        <w:rPr>
          <w:rFonts w:ascii="仿宋" w:hAnsi="仿宋" w:eastAsia="仿宋"/>
          <w:szCs w:val="24"/>
        </w:rPr>
        <w:t>http://cxw.klmy.gov.cn/Pages/default.aspx</w:t>
      </w:r>
      <w:r>
        <w:rPr>
          <w:rFonts w:ascii="仿宋" w:hAnsi="仿宋" w:eastAsia="仿宋"/>
          <w:szCs w:val="24"/>
        </w:rPr>
        <w:fldChar w:fldCharType="end"/>
      </w:r>
      <w:r>
        <w:rPr>
          <w:rFonts w:hint="eastAsia" w:ascii="仿宋" w:hAnsi="仿宋" w:eastAsia="仿宋"/>
          <w:sz w:val="24"/>
          <w:szCs w:val="24"/>
        </w:rPr>
        <w:t>，地址：市政府</w:t>
      </w:r>
      <w:r>
        <w:rPr>
          <w:rFonts w:ascii="仿宋" w:hAnsi="仿宋" w:eastAsia="仿宋"/>
          <w:sz w:val="24"/>
          <w:szCs w:val="24"/>
        </w:rPr>
        <w:t>2</w:t>
      </w:r>
      <w:r>
        <w:rPr>
          <w:rFonts w:hint="eastAsia" w:ascii="仿宋" w:hAnsi="仿宋" w:eastAsia="仿宋"/>
          <w:sz w:val="24"/>
          <w:szCs w:val="24"/>
        </w:rPr>
        <w:t>号楼政务服务大厅</w:t>
      </w:r>
      <w:r>
        <w:rPr>
          <w:rFonts w:ascii="仿宋" w:hAnsi="仿宋" w:eastAsia="仿宋"/>
          <w:sz w:val="24"/>
          <w:szCs w:val="24"/>
        </w:rPr>
        <w:t>31/32</w:t>
      </w:r>
      <w:r>
        <w:rPr>
          <w:rFonts w:hint="eastAsia" w:ascii="仿宋" w:hAnsi="仿宋" w:eastAsia="仿宋"/>
          <w:sz w:val="24"/>
          <w:szCs w:val="24"/>
        </w:rPr>
        <w:t>号窗口，联系电话：</w:t>
      </w:r>
      <w:r>
        <w:rPr>
          <w:rFonts w:ascii="仿宋" w:hAnsi="仿宋" w:eastAsia="仿宋"/>
          <w:sz w:val="24"/>
          <w:szCs w:val="24"/>
        </w:rPr>
        <w:t>0990-6223850</w:t>
      </w:r>
      <w:r>
        <w:rPr>
          <w:rFonts w:hint="eastAsia" w:ascii="仿宋" w:hAnsi="仿宋" w:eastAsia="仿宋"/>
          <w:sz w:val="24"/>
          <w:szCs w:val="24"/>
        </w:rPr>
        <w:t>）。</w:t>
      </w:r>
    </w:p>
    <w:p>
      <w:pPr>
        <w:tabs>
          <w:tab w:val="left" w:pos="1134"/>
        </w:tabs>
        <w:spacing w:after="120" w:afterLines="50" w:line="360" w:lineRule="auto"/>
        <w:ind w:firstLine="480" w:firstLineChars="200"/>
        <w:jc w:val="left"/>
        <w:rPr>
          <w:rFonts w:ascii="仿宋" w:hAnsi="仿宋" w:eastAsia="仿宋"/>
          <w:sz w:val="24"/>
          <w:szCs w:val="24"/>
        </w:rPr>
      </w:pPr>
      <w:r>
        <w:rPr>
          <w:rFonts w:hint="eastAsia" w:ascii="仿宋" w:hAnsi="仿宋" w:eastAsia="仿宋"/>
          <w:sz w:val="24"/>
          <w:szCs w:val="24"/>
        </w:rPr>
        <w:t>（9）本项目接受联合体投标，但联合体成员不得超过两家。</w:t>
      </w:r>
    </w:p>
    <w:p>
      <w:pPr>
        <w:tabs>
          <w:tab w:val="left" w:pos="1134"/>
        </w:tabs>
        <w:spacing w:after="120" w:afterLines="50" w:line="360" w:lineRule="auto"/>
        <w:ind w:firstLine="600" w:firstLineChars="250"/>
        <w:jc w:val="left"/>
        <w:rPr>
          <w:rFonts w:ascii="仿宋" w:hAnsi="仿宋" w:eastAsia="仿宋"/>
          <w:sz w:val="24"/>
          <w:szCs w:val="24"/>
        </w:rPr>
      </w:pPr>
      <w:r>
        <w:rPr>
          <w:rFonts w:ascii="仿宋" w:hAnsi="仿宋" w:eastAsia="仿宋"/>
          <w:sz w:val="24"/>
          <w:szCs w:val="24"/>
        </w:rPr>
        <w:t>a</w:t>
      </w:r>
      <w:r>
        <w:rPr>
          <w:rFonts w:hint="eastAsia" w:ascii="仿宋" w:hAnsi="仿宋" w:eastAsia="仿宋"/>
          <w:sz w:val="24"/>
          <w:szCs w:val="24"/>
        </w:rPr>
        <w:t>、联合体投标情况下，联合体牵头方应同时满足上述第1、6、8条资格要求，联合体另一方应同时满足上述第1至5、7、8条资格要求；</w:t>
      </w:r>
    </w:p>
    <w:p>
      <w:pPr>
        <w:tabs>
          <w:tab w:val="left" w:pos="1134"/>
        </w:tabs>
        <w:spacing w:after="120" w:afterLines="50" w:line="360" w:lineRule="auto"/>
        <w:ind w:firstLine="600" w:firstLineChars="250"/>
        <w:jc w:val="left"/>
        <w:rPr>
          <w:rFonts w:ascii="仿宋" w:hAnsi="仿宋" w:eastAsia="仿宋"/>
          <w:sz w:val="24"/>
          <w:szCs w:val="24"/>
        </w:rPr>
      </w:pPr>
      <w:r>
        <w:rPr>
          <w:rFonts w:ascii="仿宋" w:hAnsi="仿宋" w:eastAsia="仿宋"/>
          <w:sz w:val="24"/>
          <w:szCs w:val="24"/>
        </w:rPr>
        <w:t>b</w:t>
      </w:r>
      <w:r>
        <w:rPr>
          <w:rFonts w:hint="eastAsia" w:ascii="仿宋" w:hAnsi="仿宋" w:eastAsia="仿宋"/>
          <w:sz w:val="24"/>
          <w:szCs w:val="24"/>
        </w:rPr>
        <w:t>、非联合体投标情形下，申请人需同时满足以上社会资本应具备资格条件的1至</w:t>
      </w:r>
      <w:r>
        <w:rPr>
          <w:rFonts w:ascii="仿宋" w:hAnsi="仿宋" w:eastAsia="仿宋"/>
          <w:sz w:val="24"/>
          <w:szCs w:val="24"/>
        </w:rPr>
        <w:t>8</w:t>
      </w:r>
      <w:r>
        <w:rPr>
          <w:rFonts w:hint="eastAsia" w:ascii="仿宋" w:hAnsi="仿宋" w:eastAsia="仿宋"/>
          <w:sz w:val="24"/>
          <w:szCs w:val="24"/>
        </w:rPr>
        <w:t>条要求。</w:t>
      </w:r>
    </w:p>
    <w:p>
      <w:pPr>
        <w:tabs>
          <w:tab w:val="left" w:pos="1134"/>
        </w:tabs>
        <w:spacing w:after="120" w:afterLines="50" w:line="360" w:lineRule="auto"/>
        <w:ind w:firstLine="480" w:firstLineChars="200"/>
        <w:jc w:val="left"/>
        <w:rPr>
          <w:rFonts w:ascii="仿宋" w:hAnsi="仿宋" w:eastAsia="仿宋"/>
          <w:sz w:val="24"/>
          <w:szCs w:val="24"/>
        </w:rPr>
      </w:pPr>
      <w:r>
        <w:rPr>
          <w:rFonts w:hint="eastAsia" w:ascii="仿宋" w:hAnsi="仿宋" w:eastAsia="仿宋"/>
          <w:sz w:val="24"/>
          <w:szCs w:val="24"/>
        </w:rPr>
        <w:t>（10）联合体各方必须按《资格预审申请文件》中规定的格式签订联合体协议，明确联合体牵头方和另外一方的主要权利和义务；联合体各方不得再以自己名义单独或加入其他联合体参加资格预审；联合体通过资格预审后，其各成员组成、股权比例、职责分工等主要条款不得改变。</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招标文件的获取</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本项目邀请已通过资格预审的投标人应持</w:t>
      </w:r>
      <w:r>
        <w:rPr>
          <w:rFonts w:hint="eastAsia" w:ascii="仿宋_GB2312" w:eastAsia="仿宋_GB2312"/>
          <w:b/>
          <w:bCs/>
          <w:kern w:val="0"/>
          <w:sz w:val="24"/>
        </w:rPr>
        <w:t>招标文件前附表</w:t>
      </w:r>
      <w:r>
        <w:rPr>
          <w:rFonts w:hint="eastAsia" w:ascii="仿宋_GB2312" w:eastAsia="仿宋_GB2312"/>
          <w:bCs/>
          <w:kern w:val="0"/>
          <w:sz w:val="24"/>
        </w:rPr>
        <w:t>规定的资料于</w:t>
      </w:r>
      <w:r>
        <w:rPr>
          <w:rFonts w:ascii="仿宋_GB2312" w:eastAsia="仿宋_GB2312"/>
          <w:bCs/>
          <w:kern w:val="0"/>
          <w:sz w:val="24"/>
          <w:u w:val="single"/>
        </w:rPr>
        <w:t>2020</w:t>
      </w:r>
      <w:r>
        <w:rPr>
          <w:rFonts w:hint="eastAsia" w:ascii="仿宋_GB2312" w:eastAsia="仿宋_GB2312"/>
          <w:bCs/>
          <w:kern w:val="0"/>
          <w:sz w:val="24"/>
          <w:u w:val="single"/>
        </w:rPr>
        <w:t>年</w:t>
      </w:r>
      <w:del w:id="38" w:author="xbany" w:date="2020-07-07T11:33:00Z">
        <w:r>
          <w:rPr>
            <w:rFonts w:ascii="仿宋_GB2312" w:eastAsia="仿宋_GB2312"/>
            <w:bCs/>
            <w:kern w:val="0"/>
            <w:sz w:val="24"/>
            <w:u w:val="single"/>
          </w:rPr>
          <w:delText xml:space="preserve"> </w:delText>
        </w:r>
      </w:del>
      <w:del w:id="39" w:author="xbany" w:date="2020-07-07T11:32:00Z">
        <w:r>
          <w:rPr>
            <w:rFonts w:ascii="仿宋_GB2312" w:eastAsia="仿宋_GB2312"/>
            <w:bCs/>
            <w:kern w:val="0"/>
            <w:sz w:val="24"/>
            <w:u w:val="single"/>
          </w:rPr>
          <w:delText>6</w:delText>
        </w:r>
      </w:del>
      <w:ins w:id="40" w:author="xbany" w:date="2020-07-07T11:32:00Z">
        <w:r>
          <w:rPr>
            <w:rFonts w:ascii="仿宋_GB2312" w:eastAsia="仿宋_GB2312"/>
            <w:bCs/>
            <w:kern w:val="0"/>
            <w:sz w:val="24"/>
            <w:u w:val="single"/>
          </w:rPr>
          <w:t>7</w:t>
        </w:r>
      </w:ins>
      <w:r>
        <w:rPr>
          <w:rFonts w:hint="eastAsia" w:ascii="仿宋_GB2312" w:eastAsia="仿宋_GB2312"/>
          <w:bCs/>
          <w:kern w:val="0"/>
          <w:sz w:val="24"/>
          <w:u w:val="single"/>
        </w:rPr>
        <w:t>月</w:t>
      </w:r>
      <w:ins w:id="41" w:author="xbany" w:date="2020-07-07T11:33:00Z">
        <w:r>
          <w:rPr>
            <w:rFonts w:hint="eastAsia" w:ascii="仿宋_GB2312" w:eastAsia="仿宋_GB2312"/>
            <w:bCs/>
            <w:kern w:val="0"/>
            <w:sz w:val="24"/>
            <w:u w:val="single"/>
          </w:rPr>
          <w:t>8</w:t>
        </w:r>
      </w:ins>
      <w:del w:id="42" w:author="xbany" w:date="2020-07-07T11:33:00Z">
        <w:r>
          <w:rPr>
            <w:rFonts w:hint="eastAsia" w:ascii="仿宋_GB2312" w:eastAsia="仿宋_GB2312"/>
            <w:bCs/>
            <w:kern w:val="0"/>
            <w:sz w:val="24"/>
            <w:u w:val="single"/>
          </w:rPr>
          <w:delText>19</w:delText>
        </w:r>
      </w:del>
      <w:r>
        <w:rPr>
          <w:rFonts w:hint="eastAsia" w:ascii="仿宋_GB2312" w:eastAsia="仿宋_GB2312"/>
          <w:bCs/>
          <w:kern w:val="0"/>
          <w:sz w:val="24"/>
          <w:u w:val="single"/>
        </w:rPr>
        <w:t>日</w:t>
      </w:r>
      <w:r>
        <w:rPr>
          <w:rFonts w:hint="eastAsia" w:ascii="仿宋_GB2312" w:eastAsia="仿宋_GB2312"/>
          <w:bCs/>
          <w:kern w:val="0"/>
          <w:sz w:val="24"/>
        </w:rPr>
        <w:t>至</w:t>
      </w:r>
      <w:del w:id="43" w:author="xbany" w:date="2020-07-07T11:33:00Z">
        <w:r>
          <w:rPr>
            <w:rFonts w:ascii="仿宋_GB2312" w:eastAsia="仿宋_GB2312"/>
            <w:bCs/>
            <w:kern w:val="0"/>
            <w:sz w:val="24"/>
            <w:u w:val="single"/>
          </w:rPr>
          <w:delText>2020</w:delText>
        </w:r>
      </w:del>
      <w:del w:id="44" w:author="xbany" w:date="2020-07-07T11:33:00Z">
        <w:r>
          <w:rPr>
            <w:rFonts w:hint="eastAsia" w:ascii="仿宋_GB2312" w:eastAsia="仿宋_GB2312"/>
            <w:bCs/>
            <w:kern w:val="0"/>
            <w:sz w:val="24"/>
            <w:u w:val="single"/>
          </w:rPr>
          <w:delText>年6</w:delText>
        </w:r>
      </w:del>
      <w:ins w:id="45" w:author="xbany" w:date="2020-07-07T11:33:00Z">
        <w:r>
          <w:rPr>
            <w:rFonts w:ascii="仿宋_GB2312" w:eastAsia="仿宋_GB2312"/>
            <w:bCs/>
            <w:kern w:val="0"/>
            <w:sz w:val="24"/>
            <w:u w:val="single"/>
          </w:rPr>
          <w:t>2020</w:t>
        </w:r>
      </w:ins>
      <w:ins w:id="46" w:author="xbany" w:date="2020-07-07T11:33:00Z">
        <w:r>
          <w:rPr>
            <w:rFonts w:hint="eastAsia" w:ascii="仿宋_GB2312" w:eastAsia="仿宋_GB2312"/>
            <w:bCs/>
            <w:kern w:val="0"/>
            <w:sz w:val="24"/>
            <w:u w:val="single"/>
          </w:rPr>
          <w:t>年</w:t>
        </w:r>
      </w:ins>
      <w:ins w:id="47" w:author="xbany" w:date="2020-07-07T11:33:00Z">
        <w:r>
          <w:rPr>
            <w:rFonts w:ascii="仿宋_GB2312" w:eastAsia="仿宋_GB2312"/>
            <w:bCs/>
            <w:kern w:val="0"/>
            <w:sz w:val="24"/>
            <w:u w:val="single"/>
          </w:rPr>
          <w:t>7</w:t>
        </w:r>
      </w:ins>
      <w:r>
        <w:rPr>
          <w:rFonts w:hint="eastAsia" w:ascii="仿宋_GB2312" w:eastAsia="仿宋_GB2312"/>
          <w:bCs/>
          <w:kern w:val="0"/>
          <w:sz w:val="24"/>
          <w:u w:val="single"/>
        </w:rPr>
        <w:t>月</w:t>
      </w:r>
      <w:del w:id="48" w:author="xbany" w:date="2020-07-07T11:33:00Z">
        <w:r>
          <w:rPr>
            <w:rFonts w:hint="eastAsia" w:ascii="仿宋_GB2312" w:eastAsia="仿宋_GB2312"/>
            <w:bCs/>
            <w:kern w:val="0"/>
            <w:sz w:val="24"/>
            <w:u w:val="single"/>
          </w:rPr>
          <w:delText>28</w:delText>
        </w:r>
      </w:del>
      <w:ins w:id="49" w:author="xbany" w:date="2020-07-07T11:33:00Z">
        <w:r>
          <w:rPr>
            <w:rFonts w:ascii="仿宋_GB2312" w:eastAsia="仿宋_GB2312"/>
            <w:bCs/>
            <w:kern w:val="0"/>
            <w:sz w:val="24"/>
            <w:u w:val="single"/>
          </w:rPr>
          <w:t>14</w:t>
        </w:r>
      </w:ins>
      <w:r>
        <w:rPr>
          <w:rFonts w:hint="eastAsia" w:ascii="仿宋_GB2312" w:eastAsia="仿宋_GB2312"/>
          <w:bCs/>
          <w:kern w:val="0"/>
          <w:sz w:val="24"/>
        </w:rPr>
        <w:t>日，每日上午</w:t>
      </w:r>
      <w:r>
        <w:rPr>
          <w:rFonts w:ascii="仿宋_GB2312" w:eastAsia="仿宋_GB2312"/>
          <w:bCs/>
          <w:kern w:val="0"/>
          <w:sz w:val="24"/>
        </w:rPr>
        <w:t>1</w:t>
      </w:r>
      <w:r>
        <w:rPr>
          <w:rFonts w:hint="eastAsia" w:ascii="仿宋_GB2312" w:eastAsia="仿宋_GB2312"/>
          <w:bCs/>
          <w:kern w:val="0"/>
          <w:sz w:val="24"/>
        </w:rPr>
        <w:t>0</w:t>
      </w:r>
      <w:r>
        <w:rPr>
          <w:rFonts w:ascii="仿宋_GB2312" w:eastAsia="仿宋_GB2312"/>
          <w:bCs/>
          <w:kern w:val="0"/>
          <w:sz w:val="24"/>
        </w:rPr>
        <w:t>:00-13:</w:t>
      </w:r>
      <w:r>
        <w:rPr>
          <w:rFonts w:hint="eastAsia" w:ascii="仿宋_GB2312" w:eastAsia="仿宋_GB2312"/>
          <w:bCs/>
          <w:kern w:val="0"/>
          <w:sz w:val="24"/>
        </w:rPr>
        <w:t>0</w:t>
      </w:r>
      <w:r>
        <w:rPr>
          <w:rFonts w:ascii="仿宋_GB2312" w:eastAsia="仿宋_GB2312"/>
          <w:bCs/>
          <w:kern w:val="0"/>
          <w:sz w:val="24"/>
        </w:rPr>
        <w:t>0</w:t>
      </w:r>
      <w:r>
        <w:rPr>
          <w:rFonts w:hint="eastAsia" w:ascii="仿宋_GB2312" w:eastAsia="仿宋_GB2312"/>
          <w:bCs/>
          <w:kern w:val="0"/>
          <w:sz w:val="24"/>
        </w:rPr>
        <w:t>（北京时间），下午</w:t>
      </w:r>
      <w:r>
        <w:rPr>
          <w:rFonts w:ascii="仿宋_GB2312" w:eastAsia="仿宋_GB2312"/>
          <w:bCs/>
          <w:kern w:val="0"/>
          <w:sz w:val="24"/>
        </w:rPr>
        <w:t>1</w:t>
      </w:r>
      <w:r>
        <w:rPr>
          <w:rFonts w:hint="eastAsia" w:ascii="仿宋_GB2312" w:eastAsia="仿宋_GB2312"/>
          <w:bCs/>
          <w:kern w:val="0"/>
          <w:sz w:val="24"/>
        </w:rPr>
        <w:t>6</w:t>
      </w:r>
      <w:r>
        <w:rPr>
          <w:rFonts w:ascii="仿宋_GB2312" w:eastAsia="仿宋_GB2312"/>
          <w:bCs/>
          <w:kern w:val="0"/>
          <w:sz w:val="24"/>
        </w:rPr>
        <w:t>:</w:t>
      </w:r>
      <w:r>
        <w:rPr>
          <w:rFonts w:hint="eastAsia" w:ascii="仿宋_GB2312" w:eastAsia="仿宋_GB2312"/>
          <w:bCs/>
          <w:kern w:val="0"/>
          <w:sz w:val="24"/>
        </w:rPr>
        <w:t>0</w:t>
      </w:r>
      <w:r>
        <w:rPr>
          <w:rFonts w:ascii="仿宋_GB2312" w:eastAsia="仿宋_GB2312"/>
          <w:bCs/>
          <w:kern w:val="0"/>
          <w:sz w:val="24"/>
        </w:rPr>
        <w:t>0-1</w:t>
      </w:r>
      <w:r>
        <w:rPr>
          <w:rFonts w:hint="eastAsia" w:ascii="仿宋_GB2312" w:eastAsia="仿宋_GB2312"/>
          <w:bCs/>
          <w:kern w:val="0"/>
          <w:sz w:val="24"/>
        </w:rPr>
        <w:t>9</w:t>
      </w:r>
      <w:r>
        <w:rPr>
          <w:rFonts w:ascii="仿宋_GB2312" w:eastAsia="仿宋_GB2312"/>
          <w:bCs/>
          <w:kern w:val="0"/>
          <w:sz w:val="24"/>
        </w:rPr>
        <w:t>:</w:t>
      </w:r>
      <w:r>
        <w:rPr>
          <w:rFonts w:hint="eastAsia" w:ascii="仿宋_GB2312" w:eastAsia="仿宋_GB2312"/>
          <w:bCs/>
          <w:kern w:val="0"/>
          <w:sz w:val="24"/>
        </w:rPr>
        <w:t>0</w:t>
      </w:r>
      <w:r>
        <w:rPr>
          <w:rFonts w:ascii="仿宋_GB2312" w:eastAsia="仿宋_GB2312"/>
          <w:bCs/>
          <w:kern w:val="0"/>
          <w:sz w:val="24"/>
        </w:rPr>
        <w:t>0</w:t>
      </w:r>
      <w:r>
        <w:rPr>
          <w:rFonts w:hint="eastAsia" w:ascii="仿宋_GB2312" w:eastAsia="仿宋_GB2312"/>
          <w:bCs/>
          <w:kern w:val="0"/>
          <w:sz w:val="24"/>
        </w:rPr>
        <w:t>（北京时间，下同），在新疆天麒工程项目管理咨询有限责任公司（克拉玛依市通讯路</w:t>
      </w:r>
      <w:r>
        <w:rPr>
          <w:rFonts w:ascii="仿宋_GB2312" w:eastAsia="仿宋_GB2312"/>
          <w:bCs/>
          <w:kern w:val="0"/>
          <w:sz w:val="24"/>
        </w:rPr>
        <w:t>44</w:t>
      </w:r>
      <w:r>
        <w:rPr>
          <w:rFonts w:hint="eastAsia" w:ascii="仿宋_GB2312" w:eastAsia="仿宋_GB2312"/>
          <w:bCs/>
          <w:kern w:val="0"/>
          <w:sz w:val="24"/>
        </w:rPr>
        <w:t>号）获取招标文件</w:t>
      </w:r>
      <w:ins w:id="50" w:author="xbany" w:date="2020-07-07T11:33:00Z">
        <w:r>
          <w:rPr>
            <w:rFonts w:hint="eastAsia" w:ascii="仿宋_GB2312" w:eastAsia="仿宋_GB2312"/>
            <w:bCs/>
            <w:kern w:val="0"/>
            <w:sz w:val="24"/>
          </w:rPr>
          <w:t>或者</w:t>
        </w:r>
      </w:ins>
      <w:ins w:id="51" w:author="xbany" w:date="2020-07-07T11:33:00Z">
        <w:r>
          <w:rPr>
            <w:rFonts w:ascii="仿宋_GB2312" w:eastAsia="仿宋_GB2312"/>
            <w:bCs/>
            <w:kern w:val="0"/>
            <w:sz w:val="24"/>
          </w:rPr>
          <w:t>网站下载</w:t>
        </w:r>
      </w:ins>
      <w:r>
        <w:rPr>
          <w:rFonts w:hint="eastAsia" w:ascii="仿宋_GB2312" w:eastAsia="仿宋_GB2312"/>
          <w:bCs/>
          <w:kern w:val="0"/>
          <w:sz w:val="24"/>
        </w:rPr>
        <w:t>。</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投标截止时间、开标时间及地点：</w:t>
      </w:r>
    </w:p>
    <w:p>
      <w:pPr>
        <w:pStyle w:val="38"/>
        <w:spacing w:before="120" w:beforeLines="50" w:after="24" w:line="360" w:lineRule="auto"/>
        <w:ind w:firstLine="588" w:firstLineChars="245"/>
        <w:rPr>
          <w:rFonts w:ascii="仿宋_GB2312" w:eastAsia="仿宋_GB2312"/>
          <w:sz w:val="24"/>
        </w:rPr>
      </w:pPr>
      <w:r>
        <w:rPr>
          <w:rFonts w:ascii="仿宋_GB2312" w:eastAsia="仿宋_GB2312"/>
          <w:bCs/>
          <w:sz w:val="24"/>
        </w:rPr>
        <w:t>6.1</w:t>
      </w:r>
      <w:r>
        <w:rPr>
          <w:rFonts w:hint="eastAsia" w:ascii="仿宋_GB2312" w:eastAsia="仿宋_GB2312"/>
          <w:bCs/>
          <w:sz w:val="24"/>
        </w:rPr>
        <w:t>投标截止：</w:t>
      </w:r>
      <w:r>
        <w:rPr>
          <w:rFonts w:ascii="仿宋_GB2312" w:eastAsia="仿宋_GB2312"/>
          <w:sz w:val="24"/>
          <w:u w:val="single"/>
        </w:rPr>
        <w:t>2020</w:t>
      </w:r>
      <w:r>
        <w:rPr>
          <w:rFonts w:hint="eastAsia" w:ascii="仿宋_GB2312" w:eastAsia="仿宋_GB2312"/>
          <w:sz w:val="24"/>
        </w:rPr>
        <w:t>年</w:t>
      </w:r>
      <w:r>
        <w:rPr>
          <w:rFonts w:ascii="仿宋_GB2312" w:eastAsia="仿宋_GB2312"/>
          <w:sz w:val="24"/>
          <w:u w:val="single"/>
        </w:rPr>
        <w:t xml:space="preserve"> 7 </w:t>
      </w:r>
      <w:r>
        <w:rPr>
          <w:rFonts w:hint="eastAsia" w:ascii="仿宋_GB2312" w:eastAsia="仿宋_GB2312"/>
          <w:sz w:val="24"/>
        </w:rPr>
        <w:t>月</w:t>
      </w:r>
      <w:r>
        <w:rPr>
          <w:rFonts w:ascii="仿宋_GB2312" w:eastAsia="仿宋_GB2312"/>
          <w:sz w:val="24"/>
          <w:u w:val="single"/>
        </w:rPr>
        <w:t xml:space="preserve"> </w:t>
      </w:r>
      <w:del w:id="52" w:author="xbany" w:date="2020-07-07T11:33:00Z">
        <w:r>
          <w:rPr>
            <w:rFonts w:hint="eastAsia" w:ascii="仿宋_GB2312" w:eastAsia="仿宋_GB2312"/>
            <w:sz w:val="24"/>
            <w:u w:val="single"/>
          </w:rPr>
          <w:delText>20</w:delText>
        </w:r>
      </w:del>
      <w:del w:id="53" w:author="xbany" w:date="2020-07-07T11:33:00Z">
        <w:r>
          <w:rPr>
            <w:rFonts w:ascii="仿宋_GB2312" w:eastAsia="仿宋_GB2312"/>
            <w:sz w:val="24"/>
            <w:u w:val="single"/>
          </w:rPr>
          <w:delText xml:space="preserve"> </w:delText>
        </w:r>
      </w:del>
      <w:ins w:id="54" w:author="xbany" w:date="2020-07-07T11:33:00Z">
        <w:r>
          <w:rPr>
            <w:rFonts w:hint="eastAsia" w:ascii="仿宋_GB2312" w:eastAsia="仿宋_GB2312"/>
            <w:sz w:val="24"/>
            <w:u w:val="single"/>
          </w:rPr>
          <w:t>2</w:t>
        </w:r>
      </w:ins>
      <w:ins w:id="55" w:author="xbany" w:date="2020-07-07T11:33:00Z">
        <w:r>
          <w:rPr>
            <w:rFonts w:ascii="仿宋_GB2312" w:eastAsia="仿宋_GB2312"/>
            <w:sz w:val="24"/>
            <w:u w:val="single"/>
          </w:rPr>
          <w:t xml:space="preserve">8 </w:t>
        </w:r>
      </w:ins>
      <w:r>
        <w:rPr>
          <w:rFonts w:hint="eastAsia" w:ascii="仿宋_GB2312" w:eastAsia="仿宋_GB2312"/>
          <w:sz w:val="24"/>
        </w:rPr>
        <w:t>日</w:t>
      </w:r>
      <w:r>
        <w:rPr>
          <w:rFonts w:ascii="仿宋_GB2312" w:eastAsia="仿宋_GB2312"/>
          <w:sz w:val="24"/>
          <w:u w:val="single"/>
        </w:rPr>
        <w:t xml:space="preserve"> </w:t>
      </w:r>
      <w:del w:id="56" w:author="xbany" w:date="2020-07-07T11:33:00Z">
        <w:r>
          <w:rPr>
            <w:rFonts w:ascii="仿宋_GB2312" w:eastAsia="仿宋_GB2312"/>
            <w:sz w:val="24"/>
            <w:u w:val="single"/>
          </w:rPr>
          <w:delText>1</w:delText>
        </w:r>
      </w:del>
      <w:del w:id="57" w:author="xbany" w:date="2020-07-07T11:33:00Z">
        <w:r>
          <w:rPr>
            <w:rFonts w:hint="eastAsia" w:ascii="仿宋_GB2312" w:eastAsia="仿宋_GB2312"/>
            <w:sz w:val="24"/>
            <w:u w:val="single"/>
          </w:rPr>
          <w:delText>0</w:delText>
        </w:r>
      </w:del>
      <w:ins w:id="58" w:author="xbany" w:date="2020-07-07T11:33:00Z">
        <w:r>
          <w:rPr>
            <w:rFonts w:ascii="仿宋_GB2312" w:eastAsia="仿宋_GB2312"/>
            <w:sz w:val="24"/>
            <w:u w:val="single"/>
          </w:rPr>
          <w:t>11</w:t>
        </w:r>
      </w:ins>
      <w:r>
        <w:rPr>
          <w:rFonts w:hint="eastAsia" w:ascii="仿宋_GB2312" w:eastAsia="仿宋_GB2312"/>
          <w:sz w:val="24"/>
          <w:u w:val="single"/>
        </w:rPr>
        <w:t>:</w:t>
      </w:r>
      <w:del w:id="59" w:author="xbany" w:date="2020-07-07T11:33:00Z">
        <w:r>
          <w:rPr>
            <w:rFonts w:hint="eastAsia" w:ascii="仿宋_GB2312" w:eastAsia="仿宋_GB2312"/>
            <w:sz w:val="24"/>
            <w:u w:val="single"/>
          </w:rPr>
          <w:delText>30</w:delText>
        </w:r>
      </w:del>
      <w:ins w:id="60" w:author="xbany" w:date="2020-07-07T11:33:00Z">
        <w:r>
          <w:rPr>
            <w:rFonts w:ascii="仿宋_GB2312" w:eastAsia="仿宋_GB2312"/>
            <w:sz w:val="24"/>
            <w:u w:val="single"/>
          </w:rPr>
          <w:t>0</w:t>
        </w:r>
      </w:ins>
      <w:ins w:id="61" w:author="xbany" w:date="2020-07-07T11:33:00Z">
        <w:r>
          <w:rPr>
            <w:rFonts w:hint="eastAsia" w:ascii="仿宋_GB2312" w:eastAsia="仿宋_GB2312"/>
            <w:sz w:val="24"/>
            <w:u w:val="single"/>
          </w:rPr>
          <w:t>0</w:t>
        </w:r>
      </w:ins>
      <w:r>
        <w:rPr>
          <w:rFonts w:hint="eastAsia" w:ascii="仿宋_GB2312" w:eastAsia="仿宋_GB2312"/>
          <w:sz w:val="24"/>
        </w:rPr>
        <w:t>时止；超过截止时间的投标将被拒绝（</w:t>
      </w:r>
      <w:r>
        <w:rPr>
          <w:rFonts w:hint="eastAsia" w:ascii="仿宋_GB2312" w:hAnsi="宋体" w:eastAsia="仿宋_GB2312" w:cs="宋体"/>
          <w:sz w:val="24"/>
        </w:rPr>
        <w:t>★</w:t>
      </w:r>
      <w:r>
        <w:rPr>
          <w:rFonts w:hint="eastAsia" w:ascii="仿宋_GB2312" w:eastAsia="仿宋_GB2312"/>
          <w:sz w:val="24"/>
        </w:rPr>
        <w:t>）。</w:t>
      </w:r>
    </w:p>
    <w:p>
      <w:pPr>
        <w:pStyle w:val="38"/>
        <w:spacing w:before="120" w:beforeLines="50" w:after="24" w:line="360" w:lineRule="auto"/>
        <w:ind w:firstLine="588" w:firstLineChars="245"/>
        <w:rPr>
          <w:rFonts w:ascii="仿宋_GB2312" w:eastAsia="仿宋_GB2312"/>
          <w:sz w:val="24"/>
        </w:rPr>
      </w:pPr>
      <w:r>
        <w:rPr>
          <w:rFonts w:ascii="仿宋_GB2312" w:eastAsia="仿宋_GB2312"/>
          <w:sz w:val="24"/>
        </w:rPr>
        <w:t>6.2</w:t>
      </w:r>
      <w:r>
        <w:rPr>
          <w:rFonts w:hint="eastAsia" w:ascii="仿宋_GB2312" w:eastAsia="仿宋_GB2312"/>
          <w:sz w:val="24"/>
        </w:rPr>
        <w:t>开标时间：</w:t>
      </w:r>
      <w:r>
        <w:rPr>
          <w:rFonts w:ascii="仿宋_GB2312" w:eastAsia="仿宋_GB2312"/>
          <w:sz w:val="24"/>
          <w:u w:val="single"/>
        </w:rPr>
        <w:t>2020</w:t>
      </w:r>
      <w:r>
        <w:rPr>
          <w:rFonts w:hint="eastAsia" w:ascii="仿宋_GB2312" w:eastAsia="仿宋_GB2312"/>
          <w:sz w:val="24"/>
        </w:rPr>
        <w:t>年</w:t>
      </w:r>
      <w:r>
        <w:rPr>
          <w:rFonts w:ascii="仿宋_GB2312" w:eastAsia="仿宋_GB2312"/>
          <w:sz w:val="24"/>
          <w:u w:val="single"/>
        </w:rPr>
        <w:t xml:space="preserve"> 7 </w:t>
      </w:r>
      <w:r>
        <w:rPr>
          <w:rFonts w:hint="eastAsia" w:ascii="仿宋_GB2312" w:eastAsia="仿宋_GB2312"/>
          <w:sz w:val="24"/>
        </w:rPr>
        <w:t>月</w:t>
      </w:r>
      <w:r>
        <w:rPr>
          <w:rFonts w:ascii="仿宋_GB2312" w:eastAsia="仿宋_GB2312"/>
          <w:sz w:val="24"/>
          <w:u w:val="single"/>
        </w:rPr>
        <w:t xml:space="preserve"> </w:t>
      </w:r>
      <w:del w:id="62" w:author="xbany" w:date="2020-07-07T11:33:00Z">
        <w:r>
          <w:rPr>
            <w:rFonts w:ascii="仿宋_GB2312" w:eastAsia="仿宋_GB2312"/>
            <w:sz w:val="24"/>
            <w:u w:val="single"/>
          </w:rPr>
          <w:delText xml:space="preserve">20 </w:delText>
        </w:r>
      </w:del>
      <w:ins w:id="63" w:author="xbany" w:date="2020-07-07T11:33:00Z">
        <w:r>
          <w:rPr>
            <w:rFonts w:ascii="仿宋_GB2312" w:eastAsia="仿宋_GB2312"/>
            <w:sz w:val="24"/>
            <w:u w:val="single"/>
          </w:rPr>
          <w:t xml:space="preserve">28 </w:t>
        </w:r>
      </w:ins>
      <w:r>
        <w:rPr>
          <w:rFonts w:hint="eastAsia" w:ascii="仿宋_GB2312" w:eastAsia="仿宋_GB2312"/>
          <w:sz w:val="24"/>
        </w:rPr>
        <w:t>日</w:t>
      </w:r>
      <w:r>
        <w:rPr>
          <w:rFonts w:ascii="仿宋_GB2312" w:eastAsia="仿宋_GB2312"/>
          <w:sz w:val="24"/>
          <w:u w:val="single"/>
        </w:rPr>
        <w:t xml:space="preserve"> </w:t>
      </w:r>
      <w:del w:id="64" w:author="xbany" w:date="2020-07-07T11:33:00Z">
        <w:r>
          <w:rPr>
            <w:rFonts w:ascii="仿宋_GB2312" w:eastAsia="仿宋_GB2312"/>
            <w:sz w:val="24"/>
            <w:u w:val="single"/>
          </w:rPr>
          <w:delText>1</w:delText>
        </w:r>
      </w:del>
      <w:del w:id="65" w:author="xbany" w:date="2020-07-07T11:33:00Z">
        <w:r>
          <w:rPr>
            <w:rFonts w:hint="eastAsia" w:ascii="仿宋_GB2312" w:eastAsia="仿宋_GB2312"/>
            <w:sz w:val="24"/>
            <w:u w:val="single"/>
          </w:rPr>
          <w:delText>0</w:delText>
        </w:r>
      </w:del>
      <w:ins w:id="66" w:author="xbany" w:date="2020-07-07T11:33:00Z">
        <w:r>
          <w:rPr>
            <w:rFonts w:ascii="仿宋_GB2312" w:eastAsia="仿宋_GB2312"/>
            <w:sz w:val="24"/>
            <w:u w:val="single"/>
          </w:rPr>
          <w:t>11</w:t>
        </w:r>
      </w:ins>
      <w:r>
        <w:rPr>
          <w:rFonts w:hint="eastAsia" w:ascii="仿宋_GB2312" w:eastAsia="仿宋_GB2312"/>
          <w:sz w:val="24"/>
          <w:u w:val="single"/>
        </w:rPr>
        <w:t>:</w:t>
      </w:r>
      <w:del w:id="67" w:author="xbany" w:date="2020-07-07T11:33:00Z">
        <w:r>
          <w:rPr>
            <w:rFonts w:hint="eastAsia" w:ascii="仿宋_GB2312" w:eastAsia="仿宋_GB2312"/>
            <w:sz w:val="24"/>
            <w:u w:val="single"/>
          </w:rPr>
          <w:delText>30</w:delText>
        </w:r>
      </w:del>
      <w:del w:id="68" w:author="xbany" w:date="2020-07-07T11:33:00Z">
        <w:r>
          <w:rPr>
            <w:rFonts w:ascii="仿宋_GB2312" w:eastAsia="仿宋_GB2312"/>
            <w:sz w:val="24"/>
            <w:u w:val="single"/>
          </w:rPr>
          <w:delText xml:space="preserve"> </w:delText>
        </w:r>
      </w:del>
      <w:ins w:id="69" w:author="xbany" w:date="2020-07-07T11:33:00Z">
        <w:r>
          <w:rPr>
            <w:rFonts w:ascii="仿宋_GB2312" w:eastAsia="仿宋_GB2312"/>
            <w:sz w:val="24"/>
            <w:u w:val="single"/>
          </w:rPr>
          <w:t>0</w:t>
        </w:r>
      </w:ins>
      <w:ins w:id="70" w:author="xbany" w:date="2020-07-07T11:33:00Z">
        <w:r>
          <w:rPr>
            <w:rFonts w:hint="eastAsia" w:ascii="仿宋_GB2312" w:eastAsia="仿宋_GB2312"/>
            <w:sz w:val="24"/>
            <w:u w:val="single"/>
          </w:rPr>
          <w:t>0</w:t>
        </w:r>
      </w:ins>
      <w:ins w:id="71" w:author="xbany" w:date="2020-07-07T11:33:00Z">
        <w:r>
          <w:rPr>
            <w:rFonts w:ascii="仿宋_GB2312" w:eastAsia="仿宋_GB2312"/>
            <w:sz w:val="24"/>
            <w:u w:val="single"/>
          </w:rPr>
          <w:t xml:space="preserve"> </w:t>
        </w:r>
      </w:ins>
      <w:r>
        <w:rPr>
          <w:rFonts w:hint="eastAsia" w:ascii="仿宋_GB2312" w:eastAsia="仿宋_GB2312"/>
          <w:sz w:val="24"/>
        </w:rPr>
        <w:t>时。</w:t>
      </w:r>
    </w:p>
    <w:p>
      <w:pPr>
        <w:pStyle w:val="38"/>
        <w:spacing w:before="120" w:beforeLines="50" w:after="24" w:line="360" w:lineRule="auto"/>
        <w:ind w:firstLine="588" w:firstLineChars="245"/>
        <w:rPr>
          <w:rFonts w:ascii="仿宋_GB2312" w:eastAsia="仿宋_GB2312"/>
          <w:sz w:val="24"/>
          <w:u w:val="single"/>
        </w:rPr>
      </w:pPr>
      <w:r>
        <w:rPr>
          <w:rFonts w:ascii="仿宋_GB2312" w:eastAsia="仿宋_GB2312"/>
          <w:sz w:val="24"/>
        </w:rPr>
        <w:t>6.3</w:t>
      </w:r>
      <w:r>
        <w:rPr>
          <w:rFonts w:hint="eastAsia" w:ascii="仿宋_GB2312" w:eastAsia="仿宋_GB2312"/>
          <w:sz w:val="24"/>
        </w:rPr>
        <w:t>开标地点：</w:t>
      </w:r>
      <w:r>
        <w:rPr>
          <w:rFonts w:hint="eastAsia" w:ascii="仿宋_GB2312" w:eastAsia="仿宋_GB2312"/>
          <w:sz w:val="24"/>
          <w:u w:val="single"/>
        </w:rPr>
        <w:t>新疆天麒工程项目管理咨询有限责任公司（克拉玛依市通讯路</w:t>
      </w:r>
      <w:r>
        <w:rPr>
          <w:rFonts w:ascii="仿宋_GB2312" w:eastAsia="仿宋_GB2312"/>
          <w:sz w:val="24"/>
          <w:u w:val="single"/>
        </w:rPr>
        <w:t>44</w:t>
      </w:r>
      <w:r>
        <w:rPr>
          <w:rFonts w:hint="eastAsia" w:ascii="仿宋_GB2312" w:eastAsia="仿宋_GB2312"/>
          <w:sz w:val="24"/>
          <w:u w:val="single"/>
        </w:rPr>
        <w:t>号一楼评标室）</w:t>
      </w:r>
    </w:p>
    <w:p>
      <w:pPr>
        <w:pStyle w:val="38"/>
        <w:spacing w:before="120" w:beforeLines="50" w:after="24" w:line="360" w:lineRule="auto"/>
        <w:ind w:firstLine="588" w:firstLineChars="245"/>
        <w:rPr>
          <w:rFonts w:ascii="仿宋_GB2312" w:eastAsia="仿宋_GB2312"/>
          <w:sz w:val="24"/>
        </w:rPr>
      </w:pPr>
      <w:r>
        <w:rPr>
          <w:rFonts w:ascii="仿宋_GB2312" w:eastAsia="仿宋_GB2312"/>
          <w:sz w:val="24"/>
        </w:rPr>
        <w:t>6.4</w:t>
      </w:r>
      <w:r>
        <w:rPr>
          <w:rFonts w:hint="eastAsia" w:ascii="仿宋_GB2312" w:eastAsia="仿宋_GB2312"/>
          <w:sz w:val="24"/>
        </w:rPr>
        <w:t>法人代表或授权代表须准时到会，出示第二代身份证原件并签名以示出席；否则，其投标被拒绝（</w:t>
      </w:r>
      <w:r>
        <w:rPr>
          <w:rFonts w:hint="eastAsia" w:ascii="仿宋_GB2312" w:hAnsi="宋体" w:eastAsia="仿宋_GB2312" w:cs="宋体"/>
          <w:sz w:val="24"/>
        </w:rPr>
        <w:t>★</w:t>
      </w:r>
      <w:r>
        <w:rPr>
          <w:rFonts w:hint="eastAsia" w:ascii="仿宋_GB2312" w:eastAsia="仿宋_GB2312"/>
          <w:sz w:val="24"/>
        </w:rPr>
        <w:t>）。</w:t>
      </w:r>
    </w:p>
    <w:p>
      <w:pPr>
        <w:pStyle w:val="38"/>
        <w:spacing w:before="120" w:beforeLines="50" w:after="24" w:line="360" w:lineRule="auto"/>
        <w:ind w:firstLine="588" w:firstLineChars="245"/>
        <w:rPr>
          <w:rFonts w:ascii="仿宋_GB2312" w:eastAsia="仿宋_GB2312"/>
          <w:sz w:val="24"/>
        </w:rPr>
      </w:pPr>
      <w:r>
        <w:rPr>
          <w:rFonts w:ascii="仿宋_GB2312" w:eastAsia="仿宋_GB2312"/>
          <w:sz w:val="24"/>
        </w:rPr>
        <w:t>6.5</w:t>
      </w:r>
      <w:r>
        <w:rPr>
          <w:rFonts w:hint="eastAsia" w:ascii="仿宋_GB2312" w:eastAsia="仿宋_GB2312"/>
          <w:sz w:val="24"/>
        </w:rPr>
        <w:t>逾期送达或者不按招标文件要求密封的投标文件，采购代理机构拒绝接受。</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投标保证金：</w:t>
      </w:r>
    </w:p>
    <w:p>
      <w:pPr>
        <w:adjustRightInd w:val="0"/>
        <w:snapToGrid w:val="0"/>
        <w:spacing w:before="120" w:beforeLines="50" w:after="24" w:line="360" w:lineRule="auto"/>
        <w:ind w:firstLine="480" w:firstLineChars="200"/>
        <w:rPr>
          <w:rFonts w:ascii="仿宋_GB2312" w:eastAsia="仿宋_GB2312"/>
          <w:bCs/>
          <w:kern w:val="0"/>
          <w:sz w:val="24"/>
        </w:rPr>
      </w:pPr>
      <w:r>
        <w:rPr>
          <w:rFonts w:ascii="仿宋_GB2312" w:eastAsia="仿宋_GB2312"/>
          <w:bCs/>
          <w:kern w:val="0"/>
          <w:sz w:val="24"/>
        </w:rPr>
        <w:t>7.1</w:t>
      </w:r>
      <w:r>
        <w:rPr>
          <w:rFonts w:hint="eastAsia" w:ascii="仿宋_GB2312" w:eastAsia="仿宋_GB2312"/>
          <w:bCs/>
          <w:kern w:val="0"/>
          <w:sz w:val="24"/>
        </w:rPr>
        <w:t>投标截止时间前一个工作日</w:t>
      </w:r>
      <w:r>
        <w:rPr>
          <w:rFonts w:ascii="仿宋_GB2312" w:eastAsia="仿宋_GB2312"/>
          <w:bCs/>
          <w:kern w:val="0"/>
          <w:sz w:val="24"/>
        </w:rPr>
        <w:t>12</w:t>
      </w:r>
      <w:r>
        <w:rPr>
          <w:rFonts w:hint="eastAsia" w:ascii="仿宋_GB2312" w:eastAsia="仿宋_GB2312"/>
          <w:bCs/>
          <w:kern w:val="0"/>
          <w:sz w:val="24"/>
        </w:rPr>
        <w:t>：</w:t>
      </w:r>
      <w:r>
        <w:rPr>
          <w:rFonts w:ascii="仿宋_GB2312" w:eastAsia="仿宋_GB2312"/>
          <w:bCs/>
          <w:kern w:val="0"/>
          <w:sz w:val="24"/>
        </w:rPr>
        <w:t>00</w:t>
      </w:r>
      <w:r>
        <w:rPr>
          <w:rFonts w:hint="eastAsia" w:ascii="仿宋_GB2312" w:eastAsia="仿宋_GB2312"/>
          <w:bCs/>
          <w:kern w:val="0"/>
          <w:sz w:val="24"/>
        </w:rPr>
        <w:t>前，从投标人基本账户或</w:t>
      </w:r>
      <w:r>
        <w:rPr>
          <w:rFonts w:ascii="仿宋_GB2312" w:eastAsia="仿宋_GB2312"/>
          <w:bCs/>
          <w:kern w:val="0"/>
          <w:sz w:val="24"/>
        </w:rPr>
        <w:t>保函</w:t>
      </w:r>
      <w:r>
        <w:rPr>
          <w:rFonts w:hint="eastAsia" w:ascii="仿宋_GB2312" w:eastAsia="仿宋_GB2312"/>
          <w:bCs/>
          <w:kern w:val="0"/>
          <w:sz w:val="24"/>
        </w:rPr>
        <w:t>交纳人民币伍拾万元（￥</w:t>
      </w:r>
      <w:r>
        <w:rPr>
          <w:rFonts w:ascii="仿宋_GB2312" w:eastAsia="仿宋_GB2312"/>
          <w:bCs/>
          <w:kern w:val="0"/>
          <w:sz w:val="24"/>
        </w:rPr>
        <w:t>5</w:t>
      </w:r>
      <w:r>
        <w:rPr>
          <w:rFonts w:hint="eastAsia" w:ascii="仿宋_GB2312" w:eastAsia="仿宋_GB2312"/>
          <w:bCs/>
          <w:kern w:val="0"/>
          <w:sz w:val="24"/>
        </w:rPr>
        <w:t>00,000</w:t>
      </w:r>
      <w:r>
        <w:rPr>
          <w:rFonts w:hint="eastAsia" w:ascii="仿宋_GB2312" w:eastAsia="仿宋_GB2312"/>
          <w:bCs/>
          <w:kern w:val="0"/>
          <w:sz w:val="24"/>
          <w:lang w:eastAsia="zh-CN"/>
        </w:rPr>
        <w:t>元</w:t>
      </w:r>
      <w:r>
        <w:rPr>
          <w:rFonts w:ascii="仿宋_GB2312" w:eastAsia="仿宋_GB2312"/>
          <w:bCs/>
          <w:kern w:val="0"/>
          <w:sz w:val="24"/>
        </w:rPr>
        <w:t>)</w:t>
      </w:r>
      <w:r>
        <w:rPr>
          <w:rFonts w:hint="eastAsia" w:ascii="仿宋_GB2312" w:eastAsia="仿宋_GB2312"/>
          <w:bCs/>
          <w:kern w:val="0"/>
          <w:sz w:val="24"/>
        </w:rPr>
        <w:t>至投标保证金账户，并在转账票据用途栏或备注栏中注明所投项目名称，同时告知银行应录入项目名称。开标前提供相关转账凭证、</w:t>
      </w:r>
      <w:r>
        <w:rPr>
          <w:rFonts w:ascii="仿宋_GB2312" w:eastAsia="仿宋_GB2312"/>
          <w:bCs/>
          <w:kern w:val="0"/>
          <w:sz w:val="24"/>
        </w:rPr>
        <w:t>保函</w:t>
      </w:r>
      <w:r>
        <w:rPr>
          <w:rFonts w:hint="eastAsia" w:ascii="仿宋_GB2312" w:eastAsia="仿宋_GB2312"/>
          <w:bCs/>
          <w:kern w:val="0"/>
          <w:sz w:val="24"/>
        </w:rPr>
        <w:t>复印件或原件，且经统一查询确认已经到账。</w:t>
      </w:r>
    </w:p>
    <w:p>
      <w:pPr>
        <w:adjustRightInd w:val="0"/>
        <w:snapToGrid w:val="0"/>
        <w:spacing w:before="120" w:beforeLines="50" w:after="24" w:line="360" w:lineRule="auto"/>
        <w:ind w:firstLine="480" w:firstLineChars="200"/>
        <w:rPr>
          <w:rFonts w:ascii="仿宋_GB2312" w:eastAsia="仿宋_GB2312"/>
          <w:bCs/>
          <w:kern w:val="0"/>
          <w:sz w:val="24"/>
        </w:rPr>
      </w:pPr>
      <w:r>
        <w:rPr>
          <w:rFonts w:ascii="仿宋_GB2312" w:eastAsia="仿宋_GB2312"/>
          <w:bCs/>
          <w:kern w:val="0"/>
          <w:sz w:val="24"/>
        </w:rPr>
        <w:t>7.2</w:t>
      </w:r>
      <w:r>
        <w:rPr>
          <w:rFonts w:hint="eastAsia" w:ascii="仿宋_GB2312" w:eastAsia="仿宋_GB2312"/>
          <w:bCs/>
          <w:kern w:val="0"/>
          <w:sz w:val="24"/>
        </w:rPr>
        <w:t>投标保证金账户</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采购代理机构的开户银行及帐号如下：</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采购代理机构：新疆天麒工程项目管理咨询有限责任公司</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开户行：昆仑银行股份有限公司克拉玛依钟楼支行</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行号：313882000037</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银行账号：500000190709016</w:t>
      </w:r>
    </w:p>
    <w:p>
      <w:pPr>
        <w:adjustRightInd w:val="0"/>
        <w:snapToGrid w:val="0"/>
        <w:spacing w:before="120" w:beforeLines="50" w:after="24" w:line="360" w:lineRule="auto"/>
        <w:ind w:firstLine="480" w:firstLineChars="200"/>
        <w:rPr>
          <w:rFonts w:ascii="仿宋_GB2312" w:eastAsia="仿宋_GB2312"/>
          <w:bCs/>
          <w:kern w:val="0"/>
          <w:sz w:val="24"/>
        </w:rPr>
      </w:pPr>
      <w:r>
        <w:rPr>
          <w:rFonts w:hint="eastAsia" w:ascii="仿宋_GB2312" w:eastAsia="仿宋_GB2312"/>
          <w:bCs/>
          <w:kern w:val="0"/>
          <w:sz w:val="24"/>
        </w:rPr>
        <w:t>未按时足额缴纳投标保证金的，其投标将被拒绝（</w:t>
      </w:r>
      <w:r>
        <w:rPr>
          <w:rFonts w:hint="eastAsia" w:ascii="仿宋_GB2312" w:hAnsi="宋体" w:eastAsia="仿宋_GB2312" w:cs="宋体"/>
          <w:bCs/>
          <w:kern w:val="0"/>
          <w:sz w:val="24"/>
        </w:rPr>
        <w:t>★</w:t>
      </w:r>
      <w:r>
        <w:rPr>
          <w:rFonts w:hint="eastAsia" w:ascii="仿宋_GB2312" w:eastAsia="仿宋_GB2312"/>
          <w:bCs/>
          <w:kern w:val="0"/>
          <w:sz w:val="24"/>
        </w:rPr>
        <w:t>）。</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其他说明</w:t>
      </w:r>
    </w:p>
    <w:p>
      <w:pPr>
        <w:adjustRightInd w:val="0"/>
        <w:snapToGrid w:val="0"/>
        <w:spacing w:before="120" w:beforeLines="50" w:after="24" w:line="360" w:lineRule="auto"/>
        <w:ind w:firstLine="480" w:firstLineChars="200"/>
        <w:rPr>
          <w:rFonts w:ascii="仿宋_GB2312" w:eastAsia="仿宋_GB2312"/>
          <w:bCs/>
          <w:kern w:val="0"/>
          <w:sz w:val="24"/>
        </w:rPr>
      </w:pPr>
      <w:r>
        <w:rPr>
          <w:rFonts w:ascii="仿宋_GB2312" w:eastAsia="仿宋_GB2312"/>
          <w:bCs/>
          <w:kern w:val="0"/>
          <w:sz w:val="24"/>
        </w:rPr>
        <w:t>1</w:t>
      </w:r>
      <w:r>
        <w:rPr>
          <w:rFonts w:hint="eastAsia" w:ascii="仿宋_GB2312" w:eastAsia="仿宋_GB2312"/>
          <w:bCs/>
          <w:kern w:val="0"/>
          <w:sz w:val="24"/>
        </w:rPr>
        <w:t>、本项目招标公告发布的网站：</w:t>
      </w:r>
    </w:p>
    <w:p>
      <w:pPr>
        <w:adjustRightInd w:val="0"/>
        <w:snapToGrid w:val="0"/>
        <w:spacing w:before="120" w:beforeLines="50" w:after="24" w:line="360" w:lineRule="auto"/>
        <w:ind w:firstLine="482" w:firstLineChars="200"/>
        <w:rPr>
          <w:rFonts w:ascii="仿宋_GB2312" w:eastAsia="仿宋_GB2312"/>
          <w:b/>
          <w:bCs/>
          <w:kern w:val="0"/>
          <w:sz w:val="24"/>
        </w:rPr>
      </w:pPr>
      <w:r>
        <w:rPr>
          <w:rFonts w:hint="eastAsia" w:ascii="仿宋_GB2312" w:eastAsia="仿宋_GB2312"/>
          <w:b/>
          <w:bCs/>
          <w:kern w:val="0"/>
          <w:sz w:val="24"/>
        </w:rPr>
        <w:t>新疆政府采购网</w:t>
      </w:r>
      <w:r>
        <w:rPr>
          <w:rFonts w:ascii="仿宋_GB2312" w:eastAsia="仿宋_GB2312"/>
          <w:bCs/>
          <w:kern w:val="0"/>
          <w:sz w:val="24"/>
        </w:rPr>
        <w:t xml:space="preserve">                </w:t>
      </w:r>
    </w:p>
    <w:p>
      <w:pPr>
        <w:adjustRightInd w:val="0"/>
        <w:snapToGrid w:val="0"/>
        <w:spacing w:before="120" w:beforeLines="50" w:after="24" w:line="360" w:lineRule="auto"/>
        <w:ind w:firstLine="480" w:firstLineChars="200"/>
        <w:rPr>
          <w:rFonts w:ascii="仿宋_GB2312" w:eastAsia="仿宋_GB2312"/>
          <w:bCs/>
          <w:kern w:val="0"/>
          <w:sz w:val="24"/>
        </w:rPr>
      </w:pPr>
      <w:r>
        <w:rPr>
          <w:rFonts w:ascii="仿宋_GB2312" w:eastAsia="仿宋_GB2312"/>
          <w:bCs/>
          <w:kern w:val="0"/>
          <w:sz w:val="24"/>
        </w:rPr>
        <w:t>2</w:t>
      </w:r>
      <w:r>
        <w:rPr>
          <w:rFonts w:hint="eastAsia" w:ascii="仿宋_GB2312" w:eastAsia="仿宋_GB2312"/>
          <w:bCs/>
          <w:kern w:val="0"/>
          <w:sz w:val="24"/>
        </w:rPr>
        <w:t>、采购人可能对本招标公告进行修改，若有修改，项目实施机构将对报名的单位发布更正公告。</w:t>
      </w:r>
    </w:p>
    <w:p>
      <w:pPr>
        <w:adjustRightInd w:val="0"/>
        <w:snapToGrid w:val="0"/>
        <w:spacing w:before="120" w:beforeLines="50" w:after="24" w:line="360" w:lineRule="auto"/>
        <w:ind w:firstLine="480" w:firstLineChars="200"/>
        <w:rPr>
          <w:rFonts w:ascii="仿宋_GB2312" w:eastAsia="仿宋_GB2312"/>
          <w:bCs/>
          <w:kern w:val="0"/>
          <w:sz w:val="24"/>
        </w:rPr>
      </w:pPr>
      <w:r>
        <w:rPr>
          <w:rFonts w:ascii="仿宋_GB2312" w:eastAsia="仿宋_GB2312"/>
          <w:bCs/>
          <w:kern w:val="0"/>
          <w:sz w:val="24"/>
        </w:rPr>
        <w:t>3</w:t>
      </w:r>
      <w:r>
        <w:rPr>
          <w:rFonts w:hint="eastAsia" w:ascii="仿宋_GB2312" w:eastAsia="仿宋_GB2312"/>
          <w:bCs/>
          <w:kern w:val="0"/>
          <w:sz w:val="24"/>
        </w:rPr>
        <w:t>、本项目优先采购本国货物和服务，必须进行的技术引进和转让需符合国家政策和有利于国内行业的发展。</w:t>
      </w:r>
    </w:p>
    <w:p>
      <w:pPr>
        <w:numPr>
          <w:ilvl w:val="0"/>
          <w:numId w:val="5"/>
        </w:numPr>
        <w:adjustRightInd w:val="0"/>
        <w:snapToGrid w:val="0"/>
        <w:spacing w:before="120" w:beforeLines="50" w:line="360" w:lineRule="auto"/>
        <w:ind w:hanging="335"/>
        <w:rPr>
          <w:rFonts w:ascii="仿宋_GB2312" w:eastAsia="仿宋_GB2312"/>
          <w:b/>
          <w:iCs/>
          <w:sz w:val="24"/>
        </w:rPr>
      </w:pPr>
      <w:r>
        <w:rPr>
          <w:rFonts w:hint="eastAsia" w:ascii="仿宋_GB2312" w:eastAsia="仿宋_GB2312"/>
          <w:b/>
          <w:iCs/>
          <w:sz w:val="24"/>
        </w:rPr>
        <w:t>采购项目联系人姓名和电话：</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采购人名称：克拉玛依市白碱滩区（克拉玛依高新技术产业开发区）住房和建设局</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联系人：</w:t>
      </w:r>
      <w:r>
        <w:rPr>
          <w:rFonts w:ascii="仿宋_GB2312" w:eastAsia="仿宋_GB2312"/>
          <w:sz w:val="24"/>
        </w:rPr>
        <w:t xml:space="preserve"> </w:t>
      </w:r>
      <w:r>
        <w:rPr>
          <w:rFonts w:hint="eastAsia" w:ascii="仿宋_GB2312" w:eastAsia="仿宋_GB2312"/>
          <w:sz w:val="24"/>
        </w:rPr>
        <w:t>郭鹏</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电话：</w:t>
      </w:r>
      <w:r>
        <w:rPr>
          <w:rFonts w:ascii="仿宋_GB2312" w:eastAsia="仿宋_GB2312"/>
          <w:sz w:val="24"/>
        </w:rPr>
        <w:t xml:space="preserve">  0990-6982127</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联系地址：</w:t>
      </w:r>
      <w:ins w:id="72" w:author="xbany" w:date="2020-07-07T11:38:00Z">
        <w:r>
          <w:rPr>
            <w:rFonts w:hint="eastAsia" w:ascii="仿宋_GB2312" w:eastAsia="仿宋_GB2312"/>
            <w:sz w:val="24"/>
          </w:rPr>
          <w:t>克拉玛依市白碱滩区三平镇街道永新路15号</w:t>
        </w:r>
      </w:ins>
      <w:del w:id="73" w:author="xbany" w:date="2020-07-07T11:38:00Z">
        <w:r>
          <w:rPr>
            <w:rFonts w:ascii="仿宋_GB2312" w:eastAsia="仿宋_GB2312"/>
            <w:sz w:val="24"/>
          </w:rPr>
          <w:delText xml:space="preserve"> </w:delText>
        </w:r>
      </w:del>
      <w:del w:id="74" w:author="xbany" w:date="2020-07-07T11:38:00Z">
        <w:r>
          <w:rPr>
            <w:rFonts w:hint="eastAsia" w:ascii="仿宋_GB2312" w:eastAsia="仿宋_GB2312"/>
            <w:sz w:val="24"/>
          </w:rPr>
          <w:delText>克拉玛依市白碱滩区亭坡路4号</w:delText>
        </w:r>
      </w:del>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contextualSpacing/>
        <w:rPr>
          <w:rFonts w:ascii="仿宋_GB2312" w:eastAsia="仿宋_GB2312"/>
          <w:sz w:val="24"/>
        </w:rPr>
      </w:pPr>
      <w:r>
        <w:rPr>
          <w:rFonts w:hint="eastAsia" w:ascii="仿宋_GB2312" w:eastAsia="仿宋_GB2312"/>
          <w:sz w:val="24"/>
        </w:rPr>
        <w:t>采购代理机构：新疆天麒工程项目管理咨询有限责任公司</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联系人：马胜亮</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电话：</w:t>
      </w:r>
      <w:r>
        <w:rPr>
          <w:rFonts w:ascii="仿宋_GB2312" w:eastAsia="仿宋_GB2312"/>
          <w:sz w:val="24"/>
        </w:rPr>
        <w:t>0990-6230200</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rPr>
          <w:rFonts w:ascii="仿宋_GB2312" w:eastAsia="仿宋_GB2312"/>
          <w:sz w:val="24"/>
        </w:rPr>
      </w:pPr>
      <w:r>
        <w:rPr>
          <w:rFonts w:hint="eastAsia" w:ascii="仿宋_GB2312" w:eastAsia="仿宋_GB2312"/>
          <w:sz w:val="24"/>
        </w:rPr>
        <w:t>联系地址：克拉玛依市通讯路</w:t>
      </w:r>
      <w:r>
        <w:rPr>
          <w:rFonts w:ascii="仿宋_GB2312" w:eastAsia="仿宋_GB2312"/>
          <w:sz w:val="24"/>
        </w:rPr>
        <w:t>44</w:t>
      </w:r>
      <w:r>
        <w:rPr>
          <w:rFonts w:hint="eastAsia" w:ascii="仿宋_GB2312" w:eastAsia="仿宋_GB2312"/>
          <w:sz w:val="24"/>
        </w:rPr>
        <w:t>号</w:t>
      </w:r>
    </w:p>
    <w:p>
      <w:pPr>
        <w:tabs>
          <w:tab w:val="left" w:pos="1053"/>
          <w:tab w:val="left" w:pos="2685"/>
          <w:tab w:val="left" w:pos="4413"/>
          <w:tab w:val="left" w:pos="5897"/>
          <w:tab w:val="left" w:pos="7342"/>
          <w:tab w:val="left" w:pos="10724"/>
          <w:tab w:val="left" w:pos="11754"/>
          <w:tab w:val="left" w:pos="12784"/>
        </w:tabs>
        <w:adjustRightInd w:val="0"/>
        <w:snapToGrid w:val="0"/>
        <w:spacing w:before="120" w:beforeLines="50" w:after="24" w:line="360" w:lineRule="auto"/>
        <w:ind w:firstLine="570"/>
        <w:contextualSpacing/>
        <w:rPr>
          <w:rFonts w:ascii="仿宋_GB2312" w:eastAsia="仿宋_GB2312"/>
          <w:sz w:val="24"/>
        </w:rPr>
      </w:pPr>
      <w:r>
        <w:rPr>
          <w:rFonts w:hint="eastAsia" w:ascii="仿宋_GB2312" w:eastAsia="仿宋_GB2312"/>
          <w:sz w:val="24"/>
        </w:rPr>
        <w:t>监督机构：克拉玛依市白碱滩区（克拉玛依高新技术产业开发区）政府采购管理办公室</w:t>
      </w:r>
    </w:p>
    <w:p>
      <w:pPr>
        <w:spacing w:before="120"/>
        <w:jc w:val="center"/>
        <w:rPr>
          <w:rFonts w:ascii="仿宋_GB2312" w:eastAsia="仿宋_GB2312"/>
          <w:sz w:val="24"/>
        </w:rPr>
      </w:pPr>
    </w:p>
    <w:p>
      <w:pPr>
        <w:rPr>
          <w:rFonts w:ascii="仿宋_GB2312" w:eastAsia="仿宋_GB231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del w:id="75" w:author="xbany" w:date="2020-07-07T11:38:00Z"/>
          <w:rFonts w:ascii="仿宋_GB2312" w:eastAsia="仿宋_GB2312"/>
          <w:sz w:val="32"/>
          <w:szCs w:val="32"/>
        </w:rPr>
      </w:pPr>
    </w:p>
    <w:p>
      <w:pPr>
        <w:pStyle w:val="2"/>
        <w:pageBreakBefore w:val="0"/>
        <w:spacing w:before="120" w:beforeLines="50" w:afterLines="50" w:line="240" w:lineRule="auto"/>
        <w:ind w:left="0" w:firstLine="0"/>
        <w:rPr>
          <w:rFonts w:ascii="仿宋_GB2312" w:eastAsia="仿宋_GB2312"/>
          <w:spacing w:val="100"/>
          <w:sz w:val="28"/>
          <w:szCs w:val="28"/>
        </w:rPr>
      </w:pPr>
      <w:bookmarkStart w:id="10" w:name="_Toc429602535"/>
      <w:bookmarkStart w:id="11" w:name="_Toc429862177"/>
      <w:bookmarkStart w:id="12" w:name="_Toc429604176"/>
      <w:bookmarkStart w:id="13" w:name="_Toc481542884"/>
      <w:r>
        <w:rPr>
          <w:rFonts w:hint="eastAsia" w:ascii="仿宋_GB2312" w:eastAsia="仿宋_GB2312"/>
          <w:sz w:val="28"/>
          <w:szCs w:val="28"/>
        </w:rPr>
        <w:t>一、投标须知</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4"/>
        <w:spacing w:before="192" w:beforeLines="80" w:after="0" w:line="360" w:lineRule="auto"/>
        <w:rPr>
          <w:rFonts w:hAnsi="Times New Roman"/>
          <w:sz w:val="24"/>
          <w:szCs w:val="24"/>
        </w:rPr>
      </w:pPr>
      <w:bookmarkStart w:id="14" w:name="_Toc429862178"/>
      <w:bookmarkStart w:id="15" w:name="_Toc18213"/>
      <w:bookmarkStart w:id="16" w:name="_Toc429602536"/>
      <w:bookmarkStart w:id="17" w:name="_Toc333327428"/>
      <w:bookmarkStart w:id="18" w:name="_Toc429604177"/>
      <w:r>
        <w:rPr>
          <w:rFonts w:hAnsi="Times New Roman"/>
          <w:sz w:val="24"/>
          <w:szCs w:val="24"/>
        </w:rPr>
        <w:t>1</w:t>
      </w:r>
      <w:r>
        <w:rPr>
          <w:rFonts w:hint="eastAsia" w:hAnsi="Times New Roman"/>
          <w:sz w:val="24"/>
          <w:szCs w:val="24"/>
        </w:rPr>
        <w:t>、说明</w:t>
      </w:r>
      <w:bookmarkEnd w:id="14"/>
      <w:bookmarkEnd w:id="15"/>
      <w:bookmarkEnd w:id="16"/>
      <w:bookmarkEnd w:id="17"/>
      <w:bookmarkEnd w:id="18"/>
    </w:p>
    <w:p>
      <w:pPr>
        <w:adjustRightInd w:val="0"/>
        <w:snapToGrid w:val="0"/>
        <w:spacing w:before="120" w:beforeLines="50" w:line="360" w:lineRule="auto"/>
        <w:ind w:firstLine="480" w:firstLineChars="200"/>
        <w:rPr>
          <w:rFonts w:ascii="仿宋_GB2312" w:eastAsia="仿宋_GB2312"/>
          <w:sz w:val="24"/>
        </w:rPr>
      </w:pPr>
      <w:bookmarkStart w:id="19" w:name="_Toc429602537"/>
      <w:bookmarkStart w:id="20" w:name="_Toc429604178"/>
      <w:bookmarkStart w:id="21" w:name="_Toc429862179"/>
      <w:bookmarkStart w:id="22" w:name="_Toc333327429"/>
      <w:r>
        <w:rPr>
          <w:rFonts w:ascii="仿宋_GB2312" w:eastAsia="仿宋_GB2312"/>
          <w:sz w:val="24"/>
        </w:rPr>
        <w:t>1.1</w:t>
      </w:r>
      <w:r>
        <w:rPr>
          <w:rFonts w:hint="eastAsia" w:ascii="仿宋_GB2312" w:eastAsia="仿宋_GB2312"/>
          <w:sz w:val="24"/>
        </w:rPr>
        <w:t>适用范围</w:t>
      </w:r>
      <w:bookmarkEnd w:id="19"/>
      <w:bookmarkEnd w:id="20"/>
      <w:bookmarkEnd w:id="21"/>
      <w:bookmarkEnd w:id="22"/>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本招标文件仅适用于 “</w:t>
      </w:r>
      <w:r>
        <w:rPr>
          <w:rFonts w:hint="eastAsia" w:ascii="仿宋_GB2312" w:eastAsia="仿宋_GB2312"/>
          <w:b/>
          <w:sz w:val="24"/>
        </w:rPr>
        <w:t>招标文件前附表</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以下简称</w:t>
      </w:r>
      <w:r>
        <w:rPr>
          <w:rFonts w:hint="eastAsia" w:ascii="仿宋_GB2312" w:eastAsia="仿宋_GB2312"/>
          <w:b/>
          <w:sz w:val="24"/>
        </w:rPr>
        <w:t>招标文件前附表</w:t>
      </w:r>
      <w:r>
        <w:rPr>
          <w:rFonts w:ascii="仿宋_GB2312" w:eastAsia="仿宋_GB2312"/>
          <w:sz w:val="24"/>
        </w:rPr>
        <w:t>)</w:t>
      </w:r>
      <w:r>
        <w:rPr>
          <w:rFonts w:hint="eastAsia" w:ascii="仿宋_GB2312" w:eastAsia="仿宋_GB2312"/>
          <w:sz w:val="24"/>
        </w:rPr>
        <w:t>中所叙述的采购项目。</w:t>
      </w:r>
    </w:p>
    <w:p>
      <w:pPr>
        <w:pStyle w:val="4"/>
        <w:spacing w:before="192" w:beforeLines="80" w:after="0" w:line="360" w:lineRule="auto"/>
      </w:pPr>
      <w:bookmarkStart w:id="23" w:name="_Toc429862180"/>
      <w:bookmarkStart w:id="24" w:name="_Toc429602538"/>
      <w:bookmarkStart w:id="25" w:name="_Toc429604179"/>
      <w:bookmarkStart w:id="26" w:name="_Toc333327430"/>
      <w:r>
        <w:rPr>
          <w:rFonts w:hAnsi="Times New Roman"/>
          <w:sz w:val="24"/>
          <w:szCs w:val="24"/>
        </w:rPr>
        <w:t>2</w:t>
      </w:r>
      <w:r>
        <w:rPr>
          <w:rFonts w:hint="eastAsia" w:hAnsi="Times New Roman"/>
          <w:sz w:val="24"/>
          <w:szCs w:val="24"/>
        </w:rPr>
        <w:t>、定义</w:t>
      </w:r>
      <w:bookmarkEnd w:id="23"/>
      <w:bookmarkEnd w:id="24"/>
      <w:bookmarkEnd w:id="25"/>
      <w:bookmarkEnd w:id="26"/>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2.1</w:t>
      </w:r>
      <w:ins w:id="76" w:author="WangYuhan" w:date="2020-07-06T10:46:00Z">
        <w:r>
          <w:rPr>
            <w:rFonts w:hint="eastAsia" w:ascii="仿宋_GB2312" w:eastAsia="仿宋_GB2312"/>
            <w:sz w:val="24"/>
          </w:rPr>
          <w:t>”</w:t>
        </w:r>
      </w:ins>
      <w:r>
        <w:rPr>
          <w:rFonts w:hint="eastAsia" w:ascii="仿宋_GB2312" w:eastAsia="仿宋_GB2312"/>
          <w:sz w:val="24"/>
        </w:rPr>
        <w:t>采购人”系指依法进行政府采购的国家机关、事业单位、团体组织。本采购项目的采购人名称、地址、电话、联系人见</w:t>
      </w:r>
      <w:r>
        <w:rPr>
          <w:rFonts w:hint="eastAsia" w:ascii="仿宋_GB2312" w:eastAsia="仿宋_GB2312"/>
          <w:b/>
          <w:sz w:val="24"/>
        </w:rPr>
        <w:t>招标文件前附表</w:t>
      </w:r>
      <w:r>
        <w:rPr>
          <w:rFonts w:hint="eastAsia" w:ascii="仿宋_GB2312" w:eastAsia="仿宋_GB2312"/>
          <w:sz w:val="24"/>
        </w:rPr>
        <w:t>。</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2.2</w:t>
      </w:r>
      <w:r>
        <w:rPr>
          <w:rFonts w:hint="eastAsia" w:ascii="仿宋_GB2312" w:eastAsia="仿宋_GB2312"/>
          <w:sz w:val="24"/>
        </w:rPr>
        <w:t>“采购代理机构”系指接受采购人委托，代理采购项目的集中采购机构和经财政部门认定资格的其他采购代理机构。本采购项目的采购代理机构名称、地址、电话、联系人见</w:t>
      </w:r>
      <w:r>
        <w:rPr>
          <w:rFonts w:hint="eastAsia" w:ascii="仿宋_GB2312" w:eastAsia="仿宋_GB2312"/>
          <w:b/>
          <w:sz w:val="24"/>
        </w:rPr>
        <w:t>招标文件前附表</w:t>
      </w:r>
      <w:r>
        <w:rPr>
          <w:rFonts w:hint="eastAsia" w:ascii="仿宋_GB2312" w:eastAsia="仿宋_GB2312"/>
          <w:sz w:val="24"/>
        </w:rPr>
        <w:t>。</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2.3</w:t>
      </w:r>
      <w:r>
        <w:rPr>
          <w:rFonts w:hint="eastAsia" w:ascii="仿宋_GB2312" w:eastAsia="仿宋_GB2312"/>
          <w:sz w:val="24"/>
        </w:rPr>
        <w:t>“投标人”系指响应招标、参加投标竞争的法人、其他组织或自然人。</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2.4</w:t>
      </w:r>
      <w:r>
        <w:rPr>
          <w:rFonts w:hint="eastAsia" w:ascii="仿宋_GB2312" w:eastAsia="仿宋_GB2312"/>
          <w:sz w:val="24"/>
        </w:rPr>
        <w:t>“评标委员会”是指依据《中华人民共和国政府采购法》和财政部《政府采购货物和服务招标投标管理办法》有关规定组建，依法依规履行其职责和义务的机构。</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2.5</w:t>
      </w:r>
      <w:r>
        <w:rPr>
          <w:rFonts w:hint="eastAsia" w:ascii="仿宋_GB2312" w:eastAsia="仿宋_GB2312"/>
          <w:sz w:val="24"/>
        </w:rPr>
        <w:t>“货物”系指各种形态和种类的物品，包括原材料、燃料、设备、产品等，详见《政府采购品分类目录》（财库</w:t>
      </w:r>
      <w:r>
        <w:rPr>
          <w:rFonts w:ascii="仿宋_GB2312" w:eastAsia="仿宋_GB2312"/>
          <w:sz w:val="24"/>
        </w:rPr>
        <w:t>[2013]189</w:t>
      </w:r>
      <w:r>
        <w:rPr>
          <w:rFonts w:hint="eastAsia" w:ascii="仿宋_GB2312" w:eastAsia="仿宋_GB2312"/>
          <w:sz w:val="24"/>
        </w:rPr>
        <w:t>号）。</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2.6</w:t>
      </w:r>
      <w:r>
        <w:rPr>
          <w:rFonts w:hint="eastAsia" w:ascii="仿宋_GB2312" w:eastAsia="仿宋_GB2312"/>
          <w:sz w:val="24"/>
        </w:rPr>
        <w:t>“工程”是指建设工程，包括建筑物和构筑物的新建、改建、扩建、装修、拆除、修缮等，详见《政府采购品目分类目录》</w:t>
      </w:r>
      <w:r>
        <w:rPr>
          <w:rFonts w:ascii="仿宋_GB2312" w:eastAsia="仿宋_GB2312"/>
          <w:sz w:val="24"/>
        </w:rPr>
        <w:t>(</w:t>
      </w:r>
      <w:r>
        <w:rPr>
          <w:rFonts w:hint="eastAsia" w:ascii="仿宋_GB2312" w:eastAsia="仿宋_GB2312"/>
          <w:bCs/>
          <w:sz w:val="24"/>
        </w:rPr>
        <w:t>财库</w:t>
      </w:r>
      <w:r>
        <w:rPr>
          <w:rFonts w:ascii="仿宋_GB2312" w:eastAsia="仿宋_GB2312"/>
          <w:bCs/>
          <w:sz w:val="24"/>
        </w:rPr>
        <w:t>[2013]189</w:t>
      </w:r>
      <w:r>
        <w:rPr>
          <w:rFonts w:hint="eastAsia" w:ascii="仿宋_GB2312" w:eastAsia="仿宋_GB2312"/>
          <w:bCs/>
          <w:sz w:val="24"/>
        </w:rPr>
        <w:t>号</w:t>
      </w:r>
      <w:r>
        <w:rPr>
          <w:rFonts w:ascii="仿宋_GB2312" w:eastAsia="仿宋_GB2312"/>
          <w:sz w:val="24"/>
        </w:rPr>
        <w:t>)</w:t>
      </w:r>
      <w:r>
        <w:rPr>
          <w:rFonts w:hint="eastAsia" w:ascii="仿宋_GB2312" w:eastAsia="仿宋_GB2312"/>
          <w:sz w:val="24"/>
        </w:rPr>
        <w:t>。</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 xml:space="preserve">2.7 </w:t>
      </w:r>
      <w:r>
        <w:rPr>
          <w:rFonts w:hint="eastAsia" w:ascii="仿宋_GB2312" w:eastAsia="仿宋_GB2312"/>
          <w:sz w:val="24"/>
        </w:rPr>
        <w:t>“服务”是政府自身需要的服务和政府向社会公众提供的服务，详见《政府采购品目分类目录》（财库</w:t>
      </w:r>
      <w:r>
        <w:rPr>
          <w:rFonts w:ascii="仿宋_GB2312" w:eastAsia="仿宋_GB2312"/>
          <w:sz w:val="24"/>
        </w:rPr>
        <w:t>[2013]189</w:t>
      </w:r>
      <w:r>
        <w:rPr>
          <w:rFonts w:hint="eastAsia" w:ascii="仿宋_GB2312" w:eastAsia="仿宋_GB2312"/>
          <w:sz w:val="24"/>
        </w:rPr>
        <w:t>号）。</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2.8</w:t>
      </w:r>
      <w:r>
        <w:rPr>
          <w:rFonts w:hint="eastAsia" w:ascii="仿宋_GB2312" w:eastAsia="仿宋_GB2312"/>
          <w:sz w:val="24"/>
        </w:rPr>
        <w:t>“项目公司”指由成交人和政府方指定的公司依照中国法律在克拉玛依市合资设立的有限责任公司。</w:t>
      </w:r>
    </w:p>
    <w:p>
      <w:pPr>
        <w:pStyle w:val="4"/>
        <w:spacing w:before="192" w:beforeLines="80" w:after="0" w:line="360" w:lineRule="auto"/>
        <w:rPr>
          <w:rFonts w:hAnsi="Times New Roman"/>
          <w:sz w:val="24"/>
          <w:szCs w:val="24"/>
        </w:rPr>
      </w:pPr>
      <w:bookmarkStart w:id="27" w:name="_Toc429604180"/>
      <w:bookmarkStart w:id="28" w:name="_Toc429602539"/>
      <w:bookmarkStart w:id="29" w:name="_Toc333327431"/>
      <w:bookmarkStart w:id="30" w:name="_Toc429862181"/>
      <w:r>
        <w:rPr>
          <w:rFonts w:hAnsi="Times New Roman"/>
          <w:sz w:val="24"/>
          <w:szCs w:val="24"/>
        </w:rPr>
        <w:t>3</w:t>
      </w:r>
      <w:r>
        <w:rPr>
          <w:rFonts w:hint="eastAsia" w:hAnsi="Times New Roman"/>
          <w:sz w:val="24"/>
          <w:szCs w:val="24"/>
        </w:rPr>
        <w:t>、投标人的资格要求</w:t>
      </w:r>
      <w:bookmarkEnd w:id="27"/>
      <w:bookmarkEnd w:id="28"/>
      <w:bookmarkEnd w:id="29"/>
      <w:bookmarkEnd w:id="30"/>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3.1</w:t>
      </w:r>
      <w:r>
        <w:rPr>
          <w:rFonts w:hint="eastAsia" w:ascii="仿宋_GB2312" w:eastAsia="仿宋_GB2312"/>
          <w:sz w:val="24"/>
        </w:rPr>
        <w:t>投标人应当符合</w:t>
      </w:r>
      <w:r>
        <w:rPr>
          <w:rFonts w:hint="eastAsia" w:ascii="仿宋_GB2312" w:eastAsia="仿宋_GB2312"/>
          <w:b/>
          <w:sz w:val="24"/>
        </w:rPr>
        <w:t>招标文件前附表</w:t>
      </w:r>
      <w:r>
        <w:rPr>
          <w:rFonts w:hint="eastAsia" w:ascii="仿宋_GB2312" w:eastAsia="仿宋_GB2312"/>
          <w:sz w:val="24"/>
        </w:rPr>
        <w:t>中规定的下列资格条件要求：</w:t>
      </w:r>
    </w:p>
    <w:p>
      <w:pPr>
        <w:tabs>
          <w:tab w:val="left" w:pos="1134"/>
        </w:tabs>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kern w:val="0"/>
          <w:sz w:val="24"/>
          <w:lang w:val="zh-CN"/>
        </w:rPr>
        <w:t>《政府采购法》第二十二条第一款规定的</w:t>
      </w:r>
      <w:r>
        <w:rPr>
          <w:rFonts w:hint="eastAsia" w:ascii="仿宋_GB2312" w:eastAsia="仿宋_GB2312"/>
          <w:sz w:val="24"/>
        </w:rPr>
        <w:t>投标人基本资格条件</w:t>
      </w:r>
      <w:r>
        <w:rPr>
          <w:rFonts w:hint="eastAsia" w:ascii="仿宋_GB2312" w:eastAsia="仿宋_GB2312"/>
          <w:kern w:val="0"/>
          <w:sz w:val="24"/>
          <w:lang w:val="zh-CN"/>
        </w:rPr>
        <w:t>；</w:t>
      </w:r>
    </w:p>
    <w:p>
      <w:pPr>
        <w:tabs>
          <w:tab w:val="left" w:pos="1134"/>
        </w:tabs>
        <w:adjustRightInd w:val="0"/>
        <w:snapToGrid w:val="0"/>
        <w:spacing w:before="120" w:beforeLines="50" w:line="360" w:lineRule="auto"/>
        <w:ind w:firstLine="480" w:firstLineChars="200"/>
        <w:rPr>
          <w:rFonts w:ascii="仿宋_GB2312" w:eastAsia="仿宋_GB2312"/>
          <w:kern w:val="0"/>
          <w:sz w:val="24"/>
          <w:lang w:val="zh-CN"/>
        </w:rPr>
      </w:pPr>
      <w:r>
        <w:rPr>
          <w:rFonts w:hint="eastAsia" w:ascii="仿宋_GB2312" w:eastAsia="仿宋_GB2312"/>
          <w:kern w:val="0"/>
          <w:sz w:val="24"/>
          <w:lang w:val="zh-CN"/>
        </w:rPr>
        <w:t>采购项目有特殊要求，</w:t>
      </w:r>
      <w:r>
        <w:rPr>
          <w:rFonts w:hint="eastAsia" w:ascii="仿宋_GB2312" w:eastAsia="仿宋_GB2312"/>
          <w:b/>
          <w:kern w:val="0"/>
          <w:sz w:val="24"/>
          <w:lang w:val="zh-CN"/>
        </w:rPr>
        <w:t>招标文件前附表</w:t>
      </w:r>
      <w:r>
        <w:rPr>
          <w:rFonts w:hint="eastAsia" w:ascii="仿宋_GB2312" w:eastAsia="仿宋_GB2312"/>
          <w:kern w:val="0"/>
          <w:sz w:val="24"/>
          <w:lang w:val="zh-CN"/>
        </w:rPr>
        <w:t>规定的投标人其他资格条件。</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投标人不得存在下列情形之一：</w:t>
      </w:r>
    </w:p>
    <w:p>
      <w:pPr>
        <w:tabs>
          <w:tab w:val="left" w:pos="1134"/>
        </w:tabs>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与采购人或采购代理机构存在</w:t>
      </w:r>
      <w:r>
        <w:rPr>
          <w:rFonts w:hint="eastAsia" w:ascii="仿宋_GB2312" w:eastAsia="仿宋_GB2312"/>
          <w:bCs/>
          <w:sz w:val="24"/>
        </w:rPr>
        <w:t>隶属关系或者其他利害关系</w:t>
      </w:r>
      <w:r>
        <w:rPr>
          <w:rFonts w:hint="eastAsia" w:ascii="仿宋_GB2312" w:eastAsia="仿宋_GB2312"/>
          <w:sz w:val="24"/>
        </w:rPr>
        <w:t>。</w:t>
      </w:r>
    </w:p>
    <w:p>
      <w:pPr>
        <w:tabs>
          <w:tab w:val="left" w:pos="1134"/>
        </w:tabs>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3.2</w:t>
      </w:r>
      <w:r>
        <w:rPr>
          <w:rFonts w:hint="eastAsia" w:ascii="仿宋_GB2312" w:eastAsia="仿宋_GB2312"/>
          <w:sz w:val="24"/>
        </w:rPr>
        <w:t>投标人或者其法定代表人、董事、监事、高级管理人员因经营活动中的违法行为受到行政处罚，但警告和罚款额在三万元以下的行政处罚除外；</w:t>
      </w:r>
    </w:p>
    <w:p>
      <w:pPr>
        <w:tabs>
          <w:tab w:val="left" w:pos="1134"/>
        </w:tabs>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3.3</w:t>
      </w:r>
      <w:r>
        <w:rPr>
          <w:rFonts w:hint="eastAsia" w:ascii="仿宋_GB2312" w:eastAsia="仿宋_GB2312"/>
          <w:sz w:val="24"/>
        </w:rPr>
        <w:t>投标人或者其法定代表人、董事、监事、高级管理人员因经营活动中的违法行为受到刑事处罚。</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3.4</w:t>
      </w:r>
      <w:r>
        <w:rPr>
          <w:rFonts w:hint="eastAsia" w:ascii="仿宋_GB2312" w:eastAsia="仿宋_GB2312"/>
          <w:sz w:val="24"/>
        </w:rPr>
        <w:t>法定代表人或者负责人为同一人或者存在控股、管理关系的两个以上投标人，不得参加同一政府采购项目投标。</w:t>
      </w:r>
    </w:p>
    <w:p>
      <w:pPr>
        <w:pStyle w:val="4"/>
        <w:spacing w:before="192" w:beforeLines="80" w:after="0" w:line="360" w:lineRule="auto"/>
        <w:rPr>
          <w:rFonts w:hAnsi="Times New Roman"/>
          <w:sz w:val="24"/>
          <w:szCs w:val="24"/>
        </w:rPr>
      </w:pPr>
      <w:bookmarkStart w:id="31" w:name="_Toc333327432"/>
      <w:bookmarkStart w:id="32" w:name="_Toc429604181"/>
      <w:bookmarkStart w:id="33" w:name="_Toc429862182"/>
      <w:bookmarkStart w:id="34" w:name="_Toc429602540"/>
      <w:r>
        <w:rPr>
          <w:rFonts w:hAnsi="Times New Roman"/>
          <w:sz w:val="24"/>
          <w:szCs w:val="24"/>
        </w:rPr>
        <w:t>4</w:t>
      </w:r>
      <w:r>
        <w:rPr>
          <w:rFonts w:hint="eastAsia" w:hAnsi="Times New Roman"/>
          <w:sz w:val="24"/>
          <w:szCs w:val="24"/>
        </w:rPr>
        <w:t>、投标费用</w:t>
      </w:r>
      <w:bookmarkEnd w:id="31"/>
      <w:bookmarkEnd w:id="32"/>
      <w:bookmarkEnd w:id="33"/>
      <w:bookmarkEnd w:id="34"/>
      <w:r>
        <w:rPr>
          <w:rFonts w:hAnsi="Times New Roman"/>
          <w:sz w:val="24"/>
          <w:szCs w:val="24"/>
        </w:rPr>
        <w:t xml:space="preserve"> </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4.1</w:t>
      </w:r>
      <w:r>
        <w:rPr>
          <w:rFonts w:hint="eastAsia" w:ascii="仿宋_GB2312" w:eastAsia="仿宋_GB2312"/>
          <w:sz w:val="24"/>
        </w:rPr>
        <w:t>投标人应自行承担所有参与投标的相关费用，不论投标的结果如何，采购人或者采购代理机构均无义务和责任承担这些费用。</w:t>
      </w:r>
      <w:bookmarkStart w:id="35" w:name="_Toc429862183"/>
      <w:bookmarkStart w:id="36" w:name="_Toc429604182"/>
      <w:bookmarkStart w:id="37" w:name="_Toc429602541"/>
      <w:bookmarkStart w:id="38" w:name="_Toc333327433"/>
    </w:p>
    <w:p>
      <w:pPr>
        <w:pStyle w:val="4"/>
        <w:spacing w:before="192" w:beforeLines="80" w:after="0" w:line="360" w:lineRule="auto"/>
        <w:rPr>
          <w:rFonts w:hAnsi="Times New Roman"/>
          <w:sz w:val="24"/>
          <w:szCs w:val="24"/>
        </w:rPr>
      </w:pPr>
      <w:r>
        <w:rPr>
          <w:rFonts w:hAnsi="Times New Roman"/>
          <w:sz w:val="24"/>
          <w:szCs w:val="24"/>
        </w:rPr>
        <w:t>5</w:t>
      </w:r>
      <w:r>
        <w:rPr>
          <w:rFonts w:hint="eastAsia" w:hAnsi="Times New Roman"/>
          <w:sz w:val="24"/>
          <w:szCs w:val="24"/>
        </w:rPr>
        <w:t>、授权委托</w:t>
      </w:r>
      <w:bookmarkEnd w:id="35"/>
      <w:bookmarkEnd w:id="36"/>
      <w:bookmarkEnd w:id="37"/>
      <w:bookmarkEnd w:id="38"/>
    </w:p>
    <w:p>
      <w:pPr>
        <w:pStyle w:val="24"/>
        <w:adjustRightInd w:val="0"/>
        <w:snapToGrid w:val="0"/>
        <w:spacing w:before="120" w:beforeLines="50" w:line="360" w:lineRule="auto"/>
        <w:ind w:firstLine="480" w:firstLineChars="200"/>
        <w:rPr>
          <w:rFonts w:ascii="仿宋_GB2312" w:hAnsi="Times New Roman" w:eastAsia="仿宋_GB2312" w:cs="Times New Roman"/>
          <w:sz w:val="24"/>
          <w:szCs w:val="24"/>
        </w:rPr>
      </w:pPr>
      <w:r>
        <w:rPr>
          <w:rFonts w:ascii="仿宋_GB2312" w:hAnsi="Times New Roman" w:eastAsia="仿宋_GB2312" w:cs="Times New Roman"/>
          <w:sz w:val="24"/>
          <w:szCs w:val="24"/>
        </w:rPr>
        <w:t>5.1</w:t>
      </w:r>
      <w:r>
        <w:rPr>
          <w:rFonts w:hint="eastAsia" w:ascii="仿宋_GB2312" w:hAnsi="Times New Roman" w:eastAsia="仿宋_GB2312" w:cs="Times New Roman"/>
          <w:sz w:val="24"/>
          <w:szCs w:val="24"/>
        </w:rPr>
        <w:t>投标人代表如果不是投标人的法定代表人，应持有授权委托书，并附法定代表人身份证明（附件</w:t>
      </w:r>
      <w:r>
        <w:rPr>
          <w:rFonts w:ascii="仿宋_GB2312" w:hAnsi="Times New Roman" w:eastAsia="仿宋_GB2312" w:cs="Times New Roman"/>
          <w:sz w:val="24"/>
          <w:szCs w:val="24"/>
        </w:rPr>
        <w:t>1-1</w:t>
      </w:r>
      <w:r>
        <w:rPr>
          <w:rFonts w:hint="eastAsia" w:ascii="仿宋_GB2312" w:hAnsi="Times New Roman" w:eastAsia="仿宋_GB2312" w:cs="Times New Roman"/>
          <w:sz w:val="24"/>
          <w:szCs w:val="24"/>
        </w:rPr>
        <w:t>）。</w:t>
      </w:r>
    </w:p>
    <w:p>
      <w:pPr>
        <w:pStyle w:val="4"/>
        <w:spacing w:before="192" w:beforeLines="80" w:after="0" w:line="360" w:lineRule="auto"/>
        <w:rPr>
          <w:rFonts w:hAnsi="Times New Roman"/>
          <w:sz w:val="24"/>
          <w:szCs w:val="24"/>
        </w:rPr>
      </w:pPr>
      <w:bookmarkStart w:id="39" w:name="_Toc429862184"/>
      <w:bookmarkStart w:id="40" w:name="_Toc333327434"/>
      <w:bookmarkStart w:id="41" w:name="_Toc429604183"/>
      <w:bookmarkStart w:id="42" w:name="_Toc429602542"/>
      <w:r>
        <w:rPr>
          <w:rFonts w:hAnsi="Times New Roman"/>
          <w:sz w:val="24"/>
          <w:szCs w:val="24"/>
        </w:rPr>
        <w:t>6</w:t>
      </w:r>
      <w:r>
        <w:rPr>
          <w:rFonts w:hint="eastAsia" w:hAnsi="Times New Roman"/>
          <w:sz w:val="24"/>
          <w:szCs w:val="24"/>
        </w:rPr>
        <w:t>、联合体投标</w:t>
      </w:r>
      <w:bookmarkEnd w:id="39"/>
      <w:bookmarkEnd w:id="40"/>
      <w:bookmarkEnd w:id="41"/>
      <w:bookmarkEnd w:id="42"/>
    </w:p>
    <w:p>
      <w:pPr>
        <w:pStyle w:val="24"/>
        <w:adjustRightInd w:val="0"/>
        <w:snapToGrid w:val="0"/>
        <w:spacing w:before="120" w:beforeLines="50" w:line="360" w:lineRule="auto"/>
        <w:ind w:firstLine="480" w:firstLineChars="200"/>
      </w:pPr>
      <w:r>
        <w:rPr>
          <w:rFonts w:ascii="仿宋_GB2312" w:hAnsi="Times New Roman" w:eastAsia="仿宋_GB2312" w:cs="Times New Roman"/>
          <w:sz w:val="24"/>
          <w:szCs w:val="22"/>
        </w:rPr>
        <w:t>6.1</w:t>
      </w:r>
      <w:r>
        <w:rPr>
          <w:rFonts w:hint="eastAsia" w:ascii="仿宋_GB2312" w:hAnsi="Times New Roman" w:eastAsia="仿宋_GB2312" w:cs="Times New Roman"/>
          <w:sz w:val="24"/>
          <w:szCs w:val="22"/>
        </w:rPr>
        <w:t>本采购项目接受联合体投标。</w:t>
      </w:r>
      <w:bookmarkStart w:id="43" w:name="_Toc27815"/>
      <w:bookmarkStart w:id="44" w:name="_Toc429602543"/>
      <w:bookmarkStart w:id="45" w:name="_Toc333327436"/>
      <w:bookmarkStart w:id="46" w:name="_Toc429604184"/>
      <w:bookmarkStart w:id="47" w:name="_Toc429862185"/>
    </w:p>
    <w:p>
      <w:pPr>
        <w:pStyle w:val="2"/>
        <w:pageBreakBefore w:val="0"/>
        <w:spacing w:before="120" w:beforeLines="50" w:afterLines="50" w:line="240" w:lineRule="auto"/>
        <w:ind w:left="0" w:firstLine="0"/>
        <w:rPr>
          <w:rFonts w:ascii="仿宋_GB2312" w:eastAsia="仿宋_GB2312"/>
        </w:rPr>
      </w:pPr>
      <w:bookmarkStart w:id="48" w:name="_Toc481542885"/>
      <w:r>
        <w:rPr>
          <w:rFonts w:hint="eastAsia" w:ascii="仿宋_GB2312" w:eastAsia="仿宋_GB2312"/>
        </w:rPr>
        <w:t>二、招标文件</w:t>
      </w:r>
      <w:bookmarkEnd w:id="43"/>
      <w:bookmarkEnd w:id="44"/>
      <w:bookmarkEnd w:id="45"/>
      <w:bookmarkEnd w:id="46"/>
      <w:bookmarkEnd w:id="47"/>
      <w:bookmarkEnd w:id="48"/>
    </w:p>
    <w:p>
      <w:pPr>
        <w:pStyle w:val="4"/>
        <w:spacing w:before="192" w:beforeLines="80" w:after="0" w:line="360" w:lineRule="auto"/>
        <w:rPr>
          <w:rFonts w:hAnsi="Times New Roman"/>
          <w:sz w:val="24"/>
          <w:szCs w:val="24"/>
        </w:rPr>
      </w:pPr>
      <w:bookmarkStart w:id="49" w:name="_Toc429602544"/>
      <w:bookmarkStart w:id="50" w:name="_Toc333327437"/>
      <w:bookmarkStart w:id="51" w:name="_Toc429862186"/>
      <w:bookmarkStart w:id="52" w:name="_Toc429604185"/>
      <w:r>
        <w:rPr>
          <w:rFonts w:hAnsi="Times New Roman"/>
          <w:sz w:val="24"/>
          <w:szCs w:val="24"/>
        </w:rPr>
        <w:t>7</w:t>
      </w:r>
      <w:r>
        <w:rPr>
          <w:rFonts w:hint="eastAsia" w:hAnsi="Times New Roman"/>
          <w:sz w:val="24"/>
          <w:szCs w:val="24"/>
        </w:rPr>
        <w:t>、招标文件的构成</w:t>
      </w:r>
      <w:bookmarkEnd w:id="49"/>
      <w:bookmarkEnd w:id="50"/>
      <w:bookmarkEnd w:id="51"/>
      <w:bookmarkEnd w:id="52"/>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招标文件共十三章。各部分的内容如下：</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第一章</w:t>
      </w:r>
      <w:r>
        <w:rPr>
          <w:rFonts w:ascii="仿宋_GB2312" w:eastAsia="仿宋_GB2312"/>
          <w:sz w:val="24"/>
        </w:rPr>
        <w:t xml:space="preserve"> </w:t>
      </w:r>
      <w:r>
        <w:rPr>
          <w:rFonts w:hint="eastAsia" w:ascii="仿宋_GB2312" w:eastAsia="仿宋_GB2312"/>
          <w:sz w:val="24"/>
        </w:rPr>
        <w:t>投标须知</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第二章</w:t>
      </w:r>
      <w:r>
        <w:rPr>
          <w:rFonts w:ascii="仿宋_GB2312" w:eastAsia="仿宋_GB2312"/>
          <w:sz w:val="24"/>
        </w:rPr>
        <w:t xml:space="preserve"> </w:t>
      </w:r>
      <w:r>
        <w:rPr>
          <w:rFonts w:hint="eastAsia" w:ascii="仿宋_GB2312" w:eastAsia="仿宋_GB2312"/>
          <w:sz w:val="24"/>
        </w:rPr>
        <w:t>招标文件</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第三章</w:t>
      </w:r>
      <w:r>
        <w:rPr>
          <w:rFonts w:ascii="仿宋_GB2312" w:eastAsia="仿宋_GB2312"/>
          <w:sz w:val="24"/>
        </w:rPr>
        <w:t xml:space="preserve"> </w:t>
      </w:r>
      <w:r>
        <w:rPr>
          <w:rFonts w:hint="eastAsia" w:ascii="仿宋_GB2312" w:eastAsia="仿宋_GB2312"/>
          <w:sz w:val="24"/>
        </w:rPr>
        <w:t>投标文件</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第四章 投标文件的递交、修改和撤回</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第五章 开标和评标</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第六章 成交信息公布与投标人质疑</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第七章 合同签订</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第八章 特殊情形的规定</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第九章 其他规定</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第十章 评标方法及标准(综合评分法适用)</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第十一章 PPP项目合同</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第十二章 项目采购需求、技术标准及要求</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第十三章 投标文件的组成</w:t>
      </w:r>
    </w:p>
    <w:p>
      <w:pPr>
        <w:adjustRightInd w:val="0"/>
        <w:snapToGrid w:val="0"/>
        <w:spacing w:before="120" w:beforeLines="50" w:line="360" w:lineRule="auto"/>
        <w:ind w:left="425"/>
        <w:rPr>
          <w:rFonts w:ascii="仿宋_GB2312" w:eastAsia="仿宋_GB2312"/>
          <w:sz w:val="24"/>
        </w:rPr>
      </w:pPr>
      <w:r>
        <w:rPr>
          <w:rFonts w:hint="eastAsia" w:ascii="仿宋_GB2312" w:eastAsia="仿宋_GB2312"/>
          <w:sz w:val="24"/>
        </w:rPr>
        <w:t>本章第</w:t>
      </w:r>
      <w:r>
        <w:rPr>
          <w:rFonts w:ascii="仿宋_GB2312" w:eastAsia="仿宋_GB2312"/>
          <w:sz w:val="24"/>
        </w:rPr>
        <w:t>10.1</w:t>
      </w:r>
      <w:r>
        <w:rPr>
          <w:rFonts w:hint="eastAsia" w:ascii="仿宋_GB2312" w:eastAsia="仿宋_GB2312"/>
          <w:sz w:val="24"/>
        </w:rPr>
        <w:t>款对招标文件所作的澄清、修改，构成招标文件的组成部分。</w:t>
      </w:r>
    </w:p>
    <w:p>
      <w:pPr>
        <w:adjustRightInd w:val="0"/>
        <w:snapToGrid w:val="0"/>
        <w:spacing w:before="120" w:beforeLines="50" w:line="360" w:lineRule="auto"/>
        <w:ind w:left="425"/>
        <w:rPr>
          <w:rFonts w:ascii="仿宋_GB2312" w:eastAsia="仿宋_GB2312"/>
          <w:b/>
          <w:sz w:val="24"/>
        </w:rPr>
      </w:pPr>
      <w:r>
        <w:rPr>
          <w:rFonts w:hint="eastAsia" w:ascii="仿宋_GB2312" w:eastAsia="仿宋_GB2312"/>
          <w:sz w:val="24"/>
        </w:rPr>
        <w:t>采购代理机构发售的纸质招标文件与在财政部门指定的媒体</w:t>
      </w:r>
      <w:r>
        <w:rPr>
          <w:rFonts w:hint="eastAsia" w:ascii="仿宋_GB2312" w:eastAsia="仿宋_GB2312"/>
          <w:kern w:val="0"/>
          <w:sz w:val="24"/>
        </w:rPr>
        <w:t>上发布的</w:t>
      </w:r>
      <w:r>
        <w:rPr>
          <w:rFonts w:hint="eastAsia" w:ascii="仿宋_GB2312" w:eastAsia="仿宋_GB2312"/>
          <w:sz w:val="24"/>
        </w:rPr>
        <w:t>电子招标文件具有同等的法律效力。财政部门指定的媒体见</w:t>
      </w:r>
      <w:r>
        <w:rPr>
          <w:rFonts w:hint="eastAsia" w:ascii="仿宋_GB2312" w:eastAsia="仿宋_GB2312"/>
          <w:b/>
          <w:sz w:val="24"/>
        </w:rPr>
        <w:t>招标文件前附表。</w:t>
      </w:r>
    </w:p>
    <w:p>
      <w:pPr>
        <w:adjustRightInd w:val="0"/>
        <w:snapToGrid w:val="0"/>
        <w:spacing w:before="120" w:beforeLines="50" w:line="360" w:lineRule="auto"/>
        <w:ind w:left="425"/>
        <w:rPr>
          <w:rFonts w:ascii="仿宋_GB2312" w:eastAsia="仿宋_GB2312"/>
          <w:sz w:val="24"/>
        </w:rPr>
      </w:pPr>
      <w:r>
        <w:rPr>
          <w:rFonts w:hint="eastAsia" w:ascii="仿宋_GB2312" w:eastAsia="仿宋_GB2312"/>
          <w:sz w:val="24"/>
        </w:rPr>
        <w:t>投标人应仔细阅读招标文件的全部内容，按照招标文件要求编制投标文件。任何对招标文件的忽略或误解不能作为投标文件存在缺陷或瑕疵的理由，其风险由投标人承担。</w:t>
      </w:r>
    </w:p>
    <w:p>
      <w:pPr>
        <w:pStyle w:val="4"/>
        <w:spacing w:before="192" w:beforeLines="80" w:after="0" w:line="360" w:lineRule="auto"/>
        <w:rPr>
          <w:rFonts w:hAnsi="Times New Roman"/>
          <w:sz w:val="24"/>
          <w:szCs w:val="24"/>
        </w:rPr>
      </w:pPr>
      <w:bookmarkStart w:id="53" w:name="_Toc429862187"/>
      <w:bookmarkStart w:id="54" w:name="_Toc429604186"/>
      <w:bookmarkStart w:id="55" w:name="_Toc333327438"/>
      <w:bookmarkStart w:id="56" w:name="_Toc429602545"/>
      <w:r>
        <w:rPr>
          <w:rFonts w:hAnsi="Times New Roman"/>
          <w:sz w:val="24"/>
          <w:szCs w:val="24"/>
        </w:rPr>
        <w:t>8</w:t>
      </w:r>
      <w:r>
        <w:rPr>
          <w:rFonts w:hint="eastAsia" w:hAnsi="Times New Roman"/>
          <w:sz w:val="24"/>
          <w:szCs w:val="24"/>
        </w:rPr>
        <w:t>、招标文件的</w:t>
      </w:r>
      <w:bookmarkEnd w:id="53"/>
      <w:bookmarkEnd w:id="54"/>
      <w:bookmarkEnd w:id="55"/>
      <w:bookmarkEnd w:id="56"/>
      <w:r>
        <w:rPr>
          <w:rFonts w:hint="eastAsia" w:hAnsi="Times New Roman"/>
          <w:sz w:val="24"/>
          <w:szCs w:val="24"/>
        </w:rPr>
        <w:t>获取</w:t>
      </w:r>
    </w:p>
    <w:p>
      <w:pPr>
        <w:pStyle w:val="24"/>
        <w:numPr>
          <w:ilvl w:val="0"/>
          <w:numId w:val="6"/>
        </w:numPr>
        <w:tabs>
          <w:tab w:val="left" w:pos="851"/>
        </w:tabs>
        <w:adjustRightInd w:val="0"/>
        <w:snapToGrid w:val="0"/>
        <w:spacing w:before="120" w:beforeLines="50" w:line="360" w:lineRule="auto"/>
        <w:ind w:left="851" w:hanging="425"/>
        <w:rPr>
          <w:rFonts w:ascii="仿宋_GB2312" w:hAnsi="Times New Roman" w:eastAsia="仿宋_GB2312" w:cs="Times New Roman"/>
          <w:sz w:val="24"/>
          <w:szCs w:val="24"/>
        </w:rPr>
      </w:pPr>
      <w:r>
        <w:rPr>
          <w:rFonts w:hint="eastAsia" w:ascii="仿宋_GB2312" w:hAnsi="Times New Roman" w:eastAsia="仿宋_GB2312" w:cs="Times New Roman"/>
          <w:sz w:val="24"/>
          <w:szCs w:val="24"/>
        </w:rPr>
        <w:t>招标文件的提供期限自开始发出之日起不得少于五个工作日。具体提供期限见</w:t>
      </w:r>
      <w:r>
        <w:rPr>
          <w:rFonts w:hint="eastAsia" w:ascii="仿宋_GB2312" w:hAnsi="Times New Roman" w:eastAsia="仿宋_GB2312" w:cs="Times New Roman"/>
          <w:b/>
          <w:sz w:val="24"/>
          <w:szCs w:val="24"/>
        </w:rPr>
        <w:t>招标文件前附表</w:t>
      </w:r>
      <w:r>
        <w:rPr>
          <w:rFonts w:hint="eastAsia" w:ascii="仿宋_GB2312" w:hAnsi="Times New Roman" w:eastAsia="仿宋_GB2312" w:cs="Times New Roman"/>
          <w:sz w:val="24"/>
          <w:szCs w:val="24"/>
        </w:rPr>
        <w:t>。</w:t>
      </w:r>
    </w:p>
    <w:p>
      <w:pPr>
        <w:pStyle w:val="24"/>
        <w:numPr>
          <w:ilvl w:val="0"/>
          <w:numId w:val="6"/>
        </w:numPr>
        <w:tabs>
          <w:tab w:val="left" w:pos="851"/>
        </w:tabs>
        <w:adjustRightInd w:val="0"/>
        <w:snapToGrid w:val="0"/>
        <w:spacing w:before="120" w:beforeLines="50" w:line="360" w:lineRule="auto"/>
        <w:ind w:left="851" w:hanging="425"/>
        <w:rPr>
          <w:rFonts w:ascii="仿宋_GB2312" w:hAnsi="Times New Roman" w:eastAsia="仿宋_GB2312" w:cs="Times New Roman"/>
          <w:sz w:val="24"/>
          <w:szCs w:val="24"/>
        </w:rPr>
      </w:pPr>
      <w:r>
        <w:rPr>
          <w:rFonts w:hint="eastAsia" w:ascii="仿宋_GB2312" w:hAnsi="Times New Roman" w:eastAsia="仿宋_GB2312" w:cs="Times New Roman"/>
          <w:sz w:val="24"/>
          <w:szCs w:val="24"/>
        </w:rPr>
        <w:t>投标人应持</w:t>
      </w:r>
      <w:r>
        <w:rPr>
          <w:rFonts w:hint="eastAsia" w:ascii="仿宋_GB2312" w:hAnsi="Times New Roman" w:eastAsia="仿宋_GB2312" w:cs="Times New Roman"/>
          <w:b/>
          <w:sz w:val="24"/>
          <w:szCs w:val="24"/>
        </w:rPr>
        <w:t>招标文件前附表</w:t>
      </w:r>
      <w:r>
        <w:rPr>
          <w:rFonts w:hint="eastAsia" w:ascii="仿宋_GB2312" w:hAnsi="Times New Roman" w:eastAsia="仿宋_GB2312" w:cs="Times New Roman"/>
          <w:sz w:val="24"/>
          <w:szCs w:val="24"/>
        </w:rPr>
        <w:t>规定的资料获取招标文件。</w:t>
      </w:r>
    </w:p>
    <w:p>
      <w:pPr>
        <w:pStyle w:val="24"/>
        <w:numPr>
          <w:ilvl w:val="0"/>
          <w:numId w:val="6"/>
        </w:numPr>
        <w:tabs>
          <w:tab w:val="left" w:pos="851"/>
        </w:tabs>
        <w:adjustRightInd w:val="0"/>
        <w:snapToGrid w:val="0"/>
        <w:spacing w:before="120" w:beforeLines="50" w:line="360" w:lineRule="auto"/>
        <w:ind w:left="851" w:hanging="425"/>
        <w:rPr>
          <w:rFonts w:ascii="仿宋_GB2312" w:hAnsi="Times New Roman" w:eastAsia="仿宋_GB2312" w:cs="Times New Roman"/>
          <w:sz w:val="24"/>
          <w:szCs w:val="24"/>
        </w:rPr>
      </w:pPr>
      <w:r>
        <w:rPr>
          <w:rFonts w:hint="eastAsia" w:ascii="仿宋_GB2312" w:hAnsi="Times New Roman" w:eastAsia="仿宋_GB2312" w:cs="Times New Roman"/>
          <w:sz w:val="24"/>
          <w:szCs w:val="24"/>
        </w:rPr>
        <w:t>招标文件的提供期限截止时，获取招标文件的投标人少于三家，采购代理机构可以延长招标文件的提供期限或者不再限制提供期限，或者修改招标文件。延长招标文件的提供期限或者不再限制提供期限的，遵守本章第</w:t>
      </w:r>
      <w:r>
        <w:rPr>
          <w:rFonts w:ascii="仿宋_GB2312" w:hAnsi="Times New Roman" w:eastAsia="仿宋_GB2312" w:cs="Times New Roman"/>
          <w:sz w:val="24"/>
          <w:szCs w:val="24"/>
        </w:rPr>
        <w:t>10.1</w:t>
      </w:r>
      <w:r>
        <w:rPr>
          <w:rFonts w:hint="eastAsia" w:ascii="仿宋_GB2312" w:hAnsi="Times New Roman" w:eastAsia="仿宋_GB2312" w:cs="Times New Roman"/>
          <w:sz w:val="24"/>
          <w:szCs w:val="24"/>
        </w:rPr>
        <w:t>款关于招标文件修改的规定。</w:t>
      </w:r>
    </w:p>
    <w:p>
      <w:pPr>
        <w:pStyle w:val="24"/>
        <w:numPr>
          <w:ilvl w:val="0"/>
          <w:numId w:val="6"/>
        </w:numPr>
        <w:tabs>
          <w:tab w:val="left" w:pos="851"/>
        </w:tabs>
        <w:adjustRightInd w:val="0"/>
        <w:snapToGrid w:val="0"/>
        <w:spacing w:before="120" w:beforeLines="50" w:line="360" w:lineRule="auto"/>
        <w:ind w:left="851" w:hanging="425"/>
        <w:rPr>
          <w:rFonts w:ascii="仿宋_GB2312" w:hAnsi="Times New Roman" w:eastAsia="仿宋_GB2312" w:cs="Times New Roman"/>
          <w:sz w:val="24"/>
          <w:szCs w:val="24"/>
        </w:rPr>
      </w:pPr>
      <w:r>
        <w:rPr>
          <w:rFonts w:hint="eastAsia" w:ascii="仿宋_GB2312" w:hAnsi="Times New Roman" w:eastAsia="仿宋_GB2312" w:cs="Times New Roman"/>
          <w:sz w:val="24"/>
          <w:szCs w:val="24"/>
        </w:rPr>
        <w:t>各投标人获取招标文件的地点见</w:t>
      </w:r>
      <w:r>
        <w:rPr>
          <w:rFonts w:hint="eastAsia" w:ascii="仿宋_GB2312" w:hAnsi="Times New Roman" w:eastAsia="仿宋_GB2312" w:cs="Times New Roman"/>
          <w:b/>
          <w:sz w:val="24"/>
          <w:szCs w:val="24"/>
        </w:rPr>
        <w:t>招标文件前附表</w:t>
      </w:r>
      <w:r>
        <w:rPr>
          <w:rFonts w:hint="eastAsia" w:ascii="仿宋_GB2312" w:hAnsi="Times New Roman" w:eastAsia="仿宋_GB2312" w:cs="Times New Roman"/>
          <w:sz w:val="24"/>
          <w:szCs w:val="24"/>
        </w:rPr>
        <w:t>。</w:t>
      </w:r>
    </w:p>
    <w:p>
      <w:pPr>
        <w:pStyle w:val="4"/>
        <w:spacing w:before="192" w:beforeLines="80" w:after="0" w:line="360" w:lineRule="auto"/>
        <w:rPr>
          <w:rFonts w:hAnsi="Times New Roman"/>
          <w:sz w:val="24"/>
          <w:szCs w:val="24"/>
        </w:rPr>
      </w:pPr>
      <w:bookmarkStart w:id="57" w:name="_Toc429862188"/>
      <w:bookmarkStart w:id="58" w:name="_Toc429604187"/>
      <w:bookmarkStart w:id="59" w:name="_Toc333327439"/>
      <w:bookmarkStart w:id="60" w:name="_Toc429602546"/>
      <w:r>
        <w:rPr>
          <w:rFonts w:hAnsi="Times New Roman"/>
          <w:sz w:val="24"/>
          <w:szCs w:val="24"/>
        </w:rPr>
        <w:t>9</w:t>
      </w:r>
      <w:r>
        <w:rPr>
          <w:rFonts w:hint="eastAsia" w:hAnsi="Times New Roman"/>
          <w:sz w:val="24"/>
          <w:szCs w:val="24"/>
        </w:rPr>
        <w:t>、偏离</w:t>
      </w:r>
      <w:bookmarkEnd w:id="57"/>
      <w:bookmarkEnd w:id="58"/>
      <w:bookmarkEnd w:id="59"/>
      <w:bookmarkEnd w:id="60"/>
    </w:p>
    <w:p>
      <w:pPr>
        <w:pStyle w:val="41"/>
        <w:numPr>
          <w:ilvl w:val="0"/>
          <w:numId w:val="7"/>
        </w:numPr>
        <w:adjustRightInd w:val="0"/>
        <w:snapToGrid w:val="0"/>
        <w:spacing w:before="0" w:beforeAutospacing="0" w:after="0" w:afterAutospacing="0" w:line="360" w:lineRule="auto"/>
        <w:ind w:left="851" w:right="97" w:rightChars="46" w:hanging="425"/>
        <w:jc w:val="both"/>
        <w:rPr>
          <w:rFonts w:ascii="仿宋_GB2312" w:hAnsi="Times New Roman" w:eastAsia="仿宋_GB2312" w:cs="Times New Roman"/>
        </w:rPr>
      </w:pPr>
      <w:r>
        <w:rPr>
          <w:rFonts w:hint="eastAsia" w:ascii="仿宋_GB2312" w:hAnsi="Times New Roman" w:eastAsia="仿宋_GB2312" w:cs="Times New Roman"/>
          <w:bCs/>
        </w:rPr>
        <w:t>本条所称</w:t>
      </w:r>
      <w:r>
        <w:rPr>
          <w:rFonts w:hint="eastAsia" w:ascii="仿宋_GB2312" w:hAnsi="Times New Roman" w:eastAsia="仿宋_GB2312" w:cs="Times New Roman"/>
        </w:rPr>
        <w:t>偏离为</w:t>
      </w:r>
      <w:r>
        <w:rPr>
          <w:rFonts w:hint="eastAsia" w:ascii="仿宋_GB2312" w:hAnsi="Times New Roman" w:eastAsia="仿宋_GB2312" w:cs="Times New Roman"/>
          <w:bCs/>
        </w:rPr>
        <w:t>投标文件</w:t>
      </w:r>
      <w:r>
        <w:rPr>
          <w:rFonts w:hint="eastAsia" w:ascii="仿宋_GB2312" w:hAnsi="Times New Roman" w:eastAsia="仿宋_GB2312" w:cs="Times New Roman"/>
        </w:rPr>
        <w:t>对招标文件的偏离，即不满足、或不响应招标文件的要求。偏离分为对招标文件的实质性要求条款偏离和对招标文件的一般商务</w:t>
      </w:r>
      <w:r>
        <w:rPr>
          <w:rFonts w:hint="eastAsia" w:ascii="仿宋_GB2312" w:hAnsi="Times New Roman" w:eastAsia="仿宋_GB2312" w:cs="Times New Roman"/>
          <w:spacing w:val="4"/>
        </w:rPr>
        <w:t>和</w:t>
      </w:r>
      <w:r>
        <w:rPr>
          <w:rFonts w:hint="eastAsia" w:ascii="仿宋_GB2312" w:hAnsi="Times New Roman" w:eastAsia="仿宋_GB2312" w:cs="Times New Roman"/>
        </w:rPr>
        <w:t>技术条款（参数）偏离。</w:t>
      </w:r>
    </w:p>
    <w:p>
      <w:pPr>
        <w:pStyle w:val="41"/>
        <w:numPr>
          <w:ilvl w:val="0"/>
          <w:numId w:val="7"/>
        </w:numPr>
        <w:adjustRightInd w:val="0"/>
        <w:snapToGrid w:val="0"/>
        <w:spacing w:before="0" w:beforeAutospacing="0" w:after="0" w:afterAutospacing="0" w:line="360" w:lineRule="auto"/>
        <w:ind w:left="851" w:right="97" w:rightChars="46" w:hanging="425"/>
        <w:jc w:val="both"/>
        <w:rPr>
          <w:rFonts w:ascii="仿宋_GB2312" w:hAnsi="Times New Roman" w:eastAsia="仿宋_GB2312" w:cs="Times New Roman"/>
          <w:bCs/>
        </w:rPr>
      </w:pPr>
      <w:r>
        <w:rPr>
          <w:rFonts w:hint="eastAsia" w:ascii="仿宋_GB2312" w:hAnsi="Times New Roman" w:eastAsia="仿宋_GB2312" w:cs="Times New Roman"/>
          <w:bCs/>
        </w:rPr>
        <w:t>除法律、法规和规章规定外，招标文件中用“拒绝”、“不接受”、“否决”、“无效”、“不得”等文字规定或标注“</w:t>
      </w:r>
      <w:r>
        <w:rPr>
          <w:rFonts w:hint="eastAsia" w:ascii="仿宋_GB2312" w:eastAsia="仿宋_GB2312"/>
          <w:bCs/>
        </w:rPr>
        <w:t>★</w:t>
      </w:r>
      <w:r>
        <w:rPr>
          <w:rFonts w:hint="eastAsia" w:ascii="仿宋_GB2312" w:hAnsi="Times New Roman" w:eastAsia="仿宋_GB2312" w:cs="Times New Roman"/>
          <w:bCs/>
        </w:rPr>
        <w:t>”符号的条款为实质性要求条款（即重要条款），对其中任何一条的偏离，在评标时将其视为无效投标。未用上述文字规定或符号标注的条款为非实质性要求条款</w:t>
      </w:r>
      <w:r>
        <w:rPr>
          <w:rFonts w:ascii="仿宋_GB2312" w:hAnsi="Times New Roman" w:eastAsia="仿宋_GB2312" w:cs="Times New Roman"/>
          <w:bCs/>
        </w:rPr>
        <w:t>(</w:t>
      </w:r>
      <w:r>
        <w:rPr>
          <w:rFonts w:hint="eastAsia" w:ascii="仿宋_GB2312" w:hAnsi="Times New Roman" w:eastAsia="仿宋_GB2312" w:cs="Times New Roman"/>
          <w:bCs/>
        </w:rPr>
        <w:t>即一般条款</w:t>
      </w:r>
      <w:r>
        <w:rPr>
          <w:rFonts w:ascii="仿宋_GB2312" w:hAnsi="Times New Roman" w:eastAsia="仿宋_GB2312" w:cs="Times New Roman"/>
          <w:bCs/>
        </w:rPr>
        <w:t>)</w:t>
      </w:r>
      <w:r>
        <w:rPr>
          <w:rFonts w:hint="eastAsia" w:ascii="仿宋_GB2312" w:hAnsi="Times New Roman" w:eastAsia="仿宋_GB2312" w:cs="Times New Roman"/>
          <w:bCs/>
        </w:rPr>
        <w:t>。</w:t>
      </w:r>
    </w:p>
    <w:p>
      <w:pPr>
        <w:pStyle w:val="41"/>
        <w:numPr>
          <w:ilvl w:val="0"/>
          <w:numId w:val="7"/>
        </w:numPr>
        <w:adjustRightInd w:val="0"/>
        <w:snapToGrid w:val="0"/>
        <w:spacing w:before="0" w:beforeAutospacing="0" w:after="0" w:afterAutospacing="0" w:line="360" w:lineRule="auto"/>
        <w:ind w:left="851" w:right="97" w:rightChars="46" w:hanging="425"/>
        <w:jc w:val="both"/>
        <w:rPr>
          <w:rFonts w:ascii="仿宋_GB2312" w:hAnsi="Times New Roman" w:eastAsia="仿宋_GB2312" w:cs="Times New Roman"/>
          <w:bCs/>
        </w:rPr>
      </w:pPr>
      <w:r>
        <w:rPr>
          <w:rFonts w:hint="eastAsia" w:ascii="仿宋_GB2312" w:hAnsi="Times New Roman" w:eastAsia="仿宋_GB2312" w:cs="Times New Roman"/>
          <w:bCs/>
        </w:rPr>
        <w:t>“</w:t>
      </w:r>
      <w:r>
        <w:rPr>
          <w:rFonts w:hint="eastAsia" w:ascii="仿宋_GB2312" w:hAnsi="Times New Roman" w:eastAsia="仿宋_GB2312" w:cs="Times New Roman"/>
          <w:b/>
          <w:bCs/>
        </w:rPr>
        <w:t>招标文件前附表</w:t>
      </w:r>
      <w:r>
        <w:rPr>
          <w:rFonts w:hint="eastAsia" w:ascii="仿宋_GB2312" w:hAnsi="Times New Roman" w:eastAsia="仿宋_GB2312" w:cs="Times New Roman"/>
          <w:bCs/>
        </w:rPr>
        <w:t>”中“政府采购合同格式条款</w:t>
      </w:r>
      <w:r>
        <w:rPr>
          <w:rFonts w:ascii="仿宋_GB2312" w:hAnsi="Times New Roman" w:eastAsia="仿宋_GB2312" w:cs="Times New Roman"/>
          <w:bCs/>
        </w:rPr>
        <w:t>(</w:t>
      </w:r>
      <w:r>
        <w:rPr>
          <w:rFonts w:hint="eastAsia" w:ascii="仿宋_GB2312" w:hAnsi="Times New Roman" w:eastAsia="仿宋_GB2312" w:cs="Times New Roman"/>
          <w:bCs/>
        </w:rPr>
        <w:t>前附表</w:t>
      </w:r>
      <w:r>
        <w:rPr>
          <w:rFonts w:ascii="仿宋_GB2312" w:hAnsi="Times New Roman" w:eastAsia="仿宋_GB2312" w:cs="Times New Roman"/>
          <w:bCs/>
        </w:rPr>
        <w:t>)</w:t>
      </w:r>
      <w:r>
        <w:rPr>
          <w:rFonts w:hint="eastAsia" w:ascii="仿宋_GB2312" w:hAnsi="Times New Roman" w:eastAsia="仿宋_GB2312" w:cs="Times New Roman"/>
          <w:bCs/>
        </w:rPr>
        <w:t>”和第十二章“项目采购需求、技术标准及要求”中的一般商务和技术条款（参数），在超出允许偏离的条款数（最高项数）时，在评标时将其视为无效投标。前述章节中一般商务和技术条款允许偏离的最高项数见</w:t>
      </w:r>
      <w:r>
        <w:rPr>
          <w:rFonts w:hint="eastAsia" w:ascii="仿宋_GB2312" w:hAnsi="Times New Roman" w:eastAsia="仿宋_GB2312" w:cs="Times New Roman"/>
          <w:b/>
          <w:bCs/>
        </w:rPr>
        <w:t>招标文件前附表</w:t>
      </w:r>
      <w:r>
        <w:rPr>
          <w:rFonts w:hint="eastAsia" w:ascii="仿宋_GB2312" w:hAnsi="Times New Roman" w:eastAsia="仿宋_GB2312" w:cs="Times New Roman"/>
          <w:bCs/>
        </w:rPr>
        <w:t>。</w:t>
      </w:r>
    </w:p>
    <w:p>
      <w:pPr>
        <w:pStyle w:val="41"/>
        <w:numPr>
          <w:ilvl w:val="0"/>
          <w:numId w:val="7"/>
        </w:numPr>
        <w:adjustRightInd w:val="0"/>
        <w:snapToGrid w:val="0"/>
        <w:spacing w:before="0" w:beforeAutospacing="0" w:after="0" w:afterAutospacing="0" w:line="360" w:lineRule="auto"/>
        <w:ind w:left="851" w:right="97" w:rightChars="46" w:hanging="425"/>
        <w:jc w:val="both"/>
        <w:rPr>
          <w:rFonts w:ascii="仿宋_GB2312" w:hAnsi="Times New Roman" w:eastAsia="仿宋_GB2312" w:cs="Times New Roman"/>
          <w:bCs/>
        </w:rPr>
      </w:pPr>
      <w:r>
        <w:rPr>
          <w:rFonts w:hint="eastAsia" w:ascii="仿宋_GB2312" w:hAnsi="Times New Roman" w:eastAsia="仿宋_GB2312" w:cs="Times New Roman"/>
          <w:bCs/>
        </w:rPr>
        <w:t>本章第</w:t>
      </w:r>
      <w:r>
        <w:rPr>
          <w:rFonts w:ascii="仿宋_GB2312" w:hAnsi="Times New Roman" w:eastAsia="仿宋_GB2312" w:cs="Times New Roman"/>
          <w:bCs/>
        </w:rPr>
        <w:t>9.3</w:t>
      </w:r>
      <w:r>
        <w:rPr>
          <w:rFonts w:hint="eastAsia" w:ascii="仿宋_GB2312" w:hAnsi="Times New Roman" w:eastAsia="仿宋_GB2312" w:cs="Times New Roman"/>
          <w:bCs/>
        </w:rPr>
        <w:t>款所称条款数（最高项数）的统计方法见</w:t>
      </w:r>
      <w:r>
        <w:rPr>
          <w:rFonts w:hint="eastAsia" w:ascii="仿宋_GB2312" w:hAnsi="Times New Roman" w:eastAsia="仿宋_GB2312" w:cs="Times New Roman"/>
          <w:b/>
          <w:bCs/>
        </w:rPr>
        <w:t>招标文件前附表</w:t>
      </w:r>
      <w:r>
        <w:rPr>
          <w:rFonts w:hint="eastAsia" w:ascii="仿宋_GB2312" w:hAnsi="Times New Roman" w:eastAsia="仿宋_GB2312" w:cs="Times New Roman"/>
          <w:bCs/>
        </w:rPr>
        <w:t>。</w:t>
      </w:r>
    </w:p>
    <w:p>
      <w:pPr>
        <w:pStyle w:val="4"/>
        <w:spacing w:before="192" w:beforeLines="80" w:after="0" w:line="360" w:lineRule="auto"/>
        <w:rPr>
          <w:rFonts w:hAnsi="Times New Roman"/>
          <w:sz w:val="24"/>
          <w:szCs w:val="24"/>
        </w:rPr>
      </w:pPr>
      <w:bookmarkStart w:id="61" w:name="_Toc429862189"/>
      <w:bookmarkStart w:id="62" w:name="_Toc429602547"/>
      <w:bookmarkStart w:id="63" w:name="_Toc429604188"/>
      <w:bookmarkStart w:id="64" w:name="_Toc333327440"/>
      <w:r>
        <w:rPr>
          <w:rFonts w:hAnsi="Times New Roman"/>
          <w:sz w:val="24"/>
          <w:szCs w:val="24"/>
        </w:rPr>
        <w:t>10</w:t>
      </w:r>
      <w:r>
        <w:rPr>
          <w:rFonts w:hint="eastAsia" w:hAnsi="Times New Roman"/>
          <w:sz w:val="24"/>
          <w:szCs w:val="24"/>
        </w:rPr>
        <w:t>、招标文件的澄清与修改</w:t>
      </w:r>
      <w:bookmarkEnd w:id="61"/>
      <w:bookmarkEnd w:id="62"/>
      <w:bookmarkEnd w:id="63"/>
      <w:bookmarkEnd w:id="64"/>
    </w:p>
    <w:p>
      <w:pPr>
        <w:pStyle w:val="162"/>
        <w:numPr>
          <w:ilvl w:val="0"/>
          <w:numId w:val="8"/>
        </w:numPr>
        <w:adjustRightInd w:val="0"/>
        <w:snapToGrid w:val="0"/>
        <w:spacing w:before="120" w:beforeLines="50" w:line="360" w:lineRule="auto"/>
        <w:ind w:left="851" w:hanging="425"/>
        <w:rPr>
          <w:rFonts w:ascii="仿宋_GB2312" w:eastAsia="仿宋_GB2312"/>
          <w:sz w:val="24"/>
          <w:szCs w:val="24"/>
        </w:rPr>
      </w:pPr>
      <w:r>
        <w:rPr>
          <w:rFonts w:hint="eastAsia" w:ascii="仿宋_GB2312" w:eastAsia="仿宋_GB2312"/>
          <w:sz w:val="24"/>
          <w:szCs w:val="24"/>
        </w:rPr>
        <w:t>采购代理机构对已发出的招标文件进行必要澄清或者修改的，将通知所有招标文件收受人，并在本章第</w:t>
      </w:r>
      <w:r>
        <w:rPr>
          <w:rFonts w:ascii="仿宋_GB2312" w:eastAsia="仿宋_GB2312"/>
          <w:sz w:val="24"/>
          <w:szCs w:val="24"/>
        </w:rPr>
        <w:t>7.3</w:t>
      </w:r>
      <w:r>
        <w:rPr>
          <w:rFonts w:hint="eastAsia" w:ascii="仿宋_GB2312" w:eastAsia="仿宋_GB2312"/>
          <w:sz w:val="24"/>
          <w:szCs w:val="24"/>
          <w:lang w:val="zh-CN"/>
        </w:rPr>
        <w:t>款</w:t>
      </w:r>
      <w:r>
        <w:rPr>
          <w:rFonts w:hint="eastAsia" w:ascii="仿宋_GB2312" w:eastAsia="仿宋_GB2312"/>
          <w:sz w:val="24"/>
          <w:szCs w:val="24"/>
        </w:rPr>
        <w:t>指定的媒体上发布更正公告。</w:t>
      </w:r>
    </w:p>
    <w:p>
      <w:pPr>
        <w:pStyle w:val="162"/>
        <w:numPr>
          <w:ilvl w:val="0"/>
          <w:numId w:val="8"/>
        </w:numPr>
        <w:adjustRightInd w:val="0"/>
        <w:snapToGrid w:val="0"/>
        <w:spacing w:before="120" w:beforeLines="50" w:line="360" w:lineRule="auto"/>
        <w:ind w:left="851" w:hanging="425"/>
        <w:rPr>
          <w:rFonts w:ascii="仿宋_GB2312" w:eastAsia="仿宋_GB2312"/>
          <w:sz w:val="24"/>
          <w:szCs w:val="24"/>
        </w:rPr>
      </w:pPr>
      <w:r>
        <w:rPr>
          <w:rFonts w:hint="eastAsia" w:ascii="仿宋_GB2312" w:eastAsia="仿宋_GB2312"/>
          <w:sz w:val="24"/>
          <w:szCs w:val="24"/>
        </w:rPr>
        <w:t>澄清或者修改内容可能影响投标文件编制的，将在</w:t>
      </w:r>
      <w:r>
        <w:rPr>
          <w:rFonts w:hint="eastAsia" w:ascii="仿宋_GB2312" w:eastAsia="仿宋_GB2312"/>
          <w:b/>
          <w:sz w:val="24"/>
          <w:szCs w:val="24"/>
        </w:rPr>
        <w:t>招标文件前附表</w:t>
      </w:r>
      <w:r>
        <w:rPr>
          <w:rFonts w:hint="eastAsia" w:ascii="仿宋_GB2312" w:eastAsia="仿宋_GB2312"/>
          <w:sz w:val="24"/>
          <w:szCs w:val="24"/>
        </w:rPr>
        <w:t>规定的提交投标文件截止时间十五日前发出，不足十五日，将相应顺延投标截止时间。</w:t>
      </w:r>
    </w:p>
    <w:p>
      <w:pPr>
        <w:pStyle w:val="162"/>
        <w:numPr>
          <w:ilvl w:val="0"/>
          <w:numId w:val="8"/>
        </w:numPr>
        <w:adjustRightInd w:val="0"/>
        <w:snapToGrid w:val="0"/>
        <w:spacing w:before="120" w:beforeLines="50" w:line="360" w:lineRule="auto"/>
        <w:ind w:left="851" w:hanging="425"/>
        <w:rPr>
          <w:rFonts w:ascii="仿宋_GB2312" w:eastAsia="仿宋_GB2312"/>
          <w:sz w:val="24"/>
          <w:szCs w:val="24"/>
        </w:rPr>
      </w:pPr>
      <w:bookmarkStart w:id="65" w:name="_Toc429862190"/>
      <w:bookmarkStart w:id="66" w:name="_Toc429602548"/>
      <w:bookmarkStart w:id="67" w:name="_Toc333327441"/>
      <w:bookmarkStart w:id="68" w:name="_Toc429604189"/>
      <w:r>
        <w:rPr>
          <w:rFonts w:hint="eastAsia" w:ascii="仿宋_GB2312" w:eastAsia="仿宋_GB2312"/>
          <w:sz w:val="24"/>
          <w:szCs w:val="24"/>
        </w:rPr>
        <w:t>获取招标文件的投标人对招标文件有疑问须采购方作出书面回答时，</w:t>
      </w:r>
      <w:r>
        <w:rPr>
          <w:rFonts w:hint="eastAsia" w:ascii="仿宋_GB2312" w:eastAsia="仿宋_GB2312"/>
          <w:sz w:val="24"/>
          <w:szCs w:val="24"/>
          <w:highlight w:val="yellow"/>
        </w:rPr>
        <w:t>须</w:t>
      </w:r>
      <w:del w:id="77" w:author="xbany" w:date="2020-07-07T12:40:00Z">
        <w:r>
          <w:rPr>
            <w:rFonts w:ascii="仿宋_GB2312" w:eastAsia="仿宋_GB2312"/>
            <w:sz w:val="24"/>
            <w:szCs w:val="24"/>
            <w:highlight w:val="yellow"/>
            <w:u w:val="single"/>
          </w:rPr>
          <w:delText>2020</w:delText>
        </w:r>
      </w:del>
      <w:del w:id="78" w:author="xbany" w:date="2020-07-07T12:40:00Z">
        <w:r>
          <w:rPr>
            <w:rFonts w:hint="eastAsia" w:ascii="仿宋_GB2312" w:eastAsia="仿宋_GB2312"/>
            <w:sz w:val="24"/>
            <w:szCs w:val="24"/>
            <w:highlight w:val="yellow"/>
            <w:u w:val="single"/>
          </w:rPr>
          <w:delText>年</w:delText>
        </w:r>
      </w:del>
      <w:del w:id="79" w:author="xbany" w:date="2020-07-07T12:40:00Z">
        <w:r>
          <w:rPr>
            <w:rFonts w:ascii="仿宋_GB2312" w:eastAsia="仿宋_GB2312"/>
            <w:sz w:val="24"/>
            <w:szCs w:val="24"/>
            <w:highlight w:val="yellow"/>
            <w:u w:val="single"/>
          </w:rPr>
          <w:delText>6</w:delText>
        </w:r>
      </w:del>
      <w:ins w:id="80" w:author="xbany" w:date="2020-07-07T12:40:00Z">
        <w:r>
          <w:rPr>
            <w:rFonts w:ascii="仿宋_GB2312" w:eastAsia="仿宋_GB2312"/>
            <w:sz w:val="24"/>
            <w:szCs w:val="24"/>
            <w:highlight w:val="yellow"/>
            <w:u w:val="single"/>
          </w:rPr>
          <w:t>2020</w:t>
        </w:r>
      </w:ins>
      <w:ins w:id="81" w:author="xbany" w:date="2020-07-07T12:40:00Z">
        <w:r>
          <w:rPr>
            <w:rFonts w:hint="eastAsia" w:ascii="仿宋_GB2312" w:eastAsia="仿宋_GB2312"/>
            <w:sz w:val="24"/>
            <w:szCs w:val="24"/>
            <w:highlight w:val="yellow"/>
            <w:u w:val="single"/>
          </w:rPr>
          <w:t>年</w:t>
        </w:r>
      </w:ins>
      <w:ins w:id="82" w:author="xbany" w:date="2020-07-07T12:40:00Z">
        <w:r>
          <w:rPr>
            <w:rFonts w:ascii="仿宋_GB2312" w:eastAsia="仿宋_GB2312"/>
            <w:sz w:val="24"/>
            <w:szCs w:val="24"/>
            <w:highlight w:val="yellow"/>
            <w:u w:val="single"/>
          </w:rPr>
          <w:t>7</w:t>
        </w:r>
      </w:ins>
      <w:r>
        <w:rPr>
          <w:rFonts w:hint="eastAsia" w:ascii="仿宋_GB2312" w:eastAsia="仿宋_GB2312"/>
          <w:sz w:val="24"/>
          <w:szCs w:val="24"/>
          <w:highlight w:val="yellow"/>
          <w:u w:val="single"/>
        </w:rPr>
        <w:t>月</w:t>
      </w:r>
      <w:del w:id="83" w:author="xbany" w:date="2020-07-07T12:41:00Z">
        <w:r>
          <w:rPr>
            <w:rFonts w:ascii="仿宋_GB2312" w:eastAsia="仿宋_GB2312"/>
            <w:sz w:val="24"/>
            <w:szCs w:val="24"/>
            <w:highlight w:val="yellow"/>
            <w:u w:val="single"/>
          </w:rPr>
          <w:delText>28</w:delText>
        </w:r>
      </w:del>
      <w:ins w:id="84" w:author="xbany" w:date="2020-07-07T12:41:00Z">
        <w:r>
          <w:rPr>
            <w:rFonts w:ascii="仿宋_GB2312" w:eastAsia="仿宋_GB2312"/>
            <w:sz w:val="24"/>
            <w:szCs w:val="24"/>
            <w:highlight w:val="yellow"/>
            <w:u w:val="single"/>
          </w:rPr>
          <w:t>14</w:t>
        </w:r>
      </w:ins>
      <w:r>
        <w:rPr>
          <w:rFonts w:hint="eastAsia" w:ascii="仿宋_GB2312" w:eastAsia="仿宋_GB2312"/>
          <w:sz w:val="24"/>
          <w:szCs w:val="24"/>
          <w:highlight w:val="yellow"/>
          <w:u w:val="single"/>
        </w:rPr>
        <w:t>日19:00（北京时间）</w:t>
      </w:r>
      <w:r>
        <w:rPr>
          <w:rFonts w:hint="eastAsia" w:ascii="仿宋_GB2312" w:eastAsia="仿宋_GB2312"/>
          <w:sz w:val="24"/>
          <w:szCs w:val="24"/>
          <w:highlight w:val="yellow"/>
        </w:rPr>
        <w:t>前提出经盖章的书面疑问，采购代理机构对问题作出书面答复。对</w:t>
      </w:r>
      <w:del w:id="85" w:author="xbany" w:date="2020-07-07T12:40:00Z">
        <w:r>
          <w:rPr>
            <w:rFonts w:ascii="仿宋_GB2312" w:eastAsia="仿宋_GB2312"/>
            <w:sz w:val="24"/>
            <w:szCs w:val="24"/>
            <w:highlight w:val="yellow"/>
            <w:u w:val="single"/>
          </w:rPr>
          <w:delText>2020</w:delText>
        </w:r>
      </w:del>
      <w:del w:id="86" w:author="xbany" w:date="2020-07-07T12:40:00Z">
        <w:r>
          <w:rPr>
            <w:rFonts w:hint="eastAsia" w:ascii="仿宋_GB2312" w:eastAsia="仿宋_GB2312"/>
            <w:sz w:val="24"/>
            <w:szCs w:val="24"/>
            <w:highlight w:val="yellow"/>
            <w:u w:val="single"/>
          </w:rPr>
          <w:delText>年</w:delText>
        </w:r>
      </w:del>
      <w:del w:id="87" w:author="xbany" w:date="2020-07-07T12:40:00Z">
        <w:r>
          <w:rPr>
            <w:rFonts w:ascii="仿宋_GB2312" w:eastAsia="仿宋_GB2312"/>
            <w:sz w:val="24"/>
            <w:szCs w:val="24"/>
            <w:highlight w:val="yellow"/>
            <w:u w:val="single"/>
          </w:rPr>
          <w:delText>6</w:delText>
        </w:r>
      </w:del>
      <w:ins w:id="88" w:author="xbany" w:date="2020-07-07T12:40:00Z">
        <w:r>
          <w:rPr>
            <w:rFonts w:ascii="仿宋_GB2312" w:eastAsia="仿宋_GB2312"/>
            <w:sz w:val="24"/>
            <w:szCs w:val="24"/>
            <w:highlight w:val="yellow"/>
            <w:u w:val="single"/>
          </w:rPr>
          <w:t>2020</w:t>
        </w:r>
      </w:ins>
      <w:ins w:id="89" w:author="xbany" w:date="2020-07-07T12:40:00Z">
        <w:r>
          <w:rPr>
            <w:rFonts w:hint="eastAsia" w:ascii="仿宋_GB2312" w:eastAsia="仿宋_GB2312"/>
            <w:sz w:val="24"/>
            <w:szCs w:val="24"/>
            <w:highlight w:val="yellow"/>
            <w:u w:val="single"/>
          </w:rPr>
          <w:t>年</w:t>
        </w:r>
      </w:ins>
      <w:ins w:id="90" w:author="xbany" w:date="2020-07-07T12:40:00Z">
        <w:r>
          <w:rPr>
            <w:rFonts w:ascii="仿宋_GB2312" w:eastAsia="仿宋_GB2312"/>
            <w:sz w:val="24"/>
            <w:szCs w:val="24"/>
            <w:highlight w:val="yellow"/>
            <w:u w:val="single"/>
          </w:rPr>
          <w:t>7</w:t>
        </w:r>
      </w:ins>
      <w:r>
        <w:rPr>
          <w:rFonts w:hint="eastAsia" w:ascii="仿宋_GB2312" w:eastAsia="仿宋_GB2312"/>
          <w:sz w:val="24"/>
          <w:szCs w:val="24"/>
          <w:highlight w:val="yellow"/>
          <w:u w:val="single"/>
        </w:rPr>
        <w:t>月</w:t>
      </w:r>
      <w:del w:id="91" w:author="xbany" w:date="2020-07-07T12:41:00Z">
        <w:r>
          <w:rPr>
            <w:rFonts w:ascii="仿宋_GB2312" w:eastAsia="仿宋_GB2312"/>
            <w:sz w:val="24"/>
            <w:szCs w:val="24"/>
            <w:highlight w:val="yellow"/>
            <w:u w:val="single"/>
          </w:rPr>
          <w:delText>28</w:delText>
        </w:r>
      </w:del>
      <w:ins w:id="92" w:author="xbany" w:date="2020-07-07T12:41:00Z">
        <w:r>
          <w:rPr>
            <w:rFonts w:ascii="仿宋_GB2312" w:eastAsia="仿宋_GB2312"/>
            <w:sz w:val="24"/>
            <w:szCs w:val="24"/>
            <w:highlight w:val="yellow"/>
            <w:u w:val="single"/>
          </w:rPr>
          <w:t>14</w:t>
        </w:r>
      </w:ins>
      <w:r>
        <w:rPr>
          <w:rFonts w:hint="eastAsia" w:ascii="仿宋_GB2312" w:eastAsia="仿宋_GB2312"/>
          <w:sz w:val="24"/>
          <w:szCs w:val="24"/>
          <w:highlight w:val="yellow"/>
          <w:u w:val="single"/>
        </w:rPr>
        <w:t>日19:00（北京时间）</w:t>
      </w:r>
      <w:r>
        <w:rPr>
          <w:rFonts w:hint="eastAsia" w:ascii="仿宋_GB2312" w:eastAsia="仿宋_GB2312"/>
          <w:sz w:val="24"/>
          <w:szCs w:val="24"/>
        </w:rPr>
        <w:t>之后提出的问题将不作出书面答复。</w:t>
      </w:r>
    </w:p>
    <w:p>
      <w:pPr>
        <w:pStyle w:val="4"/>
        <w:spacing w:before="192" w:beforeLines="80" w:after="0" w:line="360" w:lineRule="auto"/>
        <w:rPr>
          <w:rFonts w:hAnsi="Times New Roman"/>
          <w:sz w:val="24"/>
          <w:szCs w:val="24"/>
        </w:rPr>
      </w:pPr>
      <w:r>
        <w:rPr>
          <w:rFonts w:hAnsi="Times New Roman"/>
          <w:sz w:val="24"/>
          <w:szCs w:val="24"/>
        </w:rPr>
        <w:t>11</w:t>
      </w:r>
      <w:r>
        <w:rPr>
          <w:rFonts w:hint="eastAsia" w:hAnsi="Times New Roman"/>
          <w:sz w:val="24"/>
          <w:szCs w:val="24"/>
        </w:rPr>
        <w:t>、延长投标截止时间和开标时间</w:t>
      </w:r>
      <w:bookmarkEnd w:id="65"/>
      <w:bookmarkEnd w:id="66"/>
      <w:bookmarkEnd w:id="67"/>
      <w:bookmarkEnd w:id="68"/>
    </w:p>
    <w:p>
      <w:pPr>
        <w:autoSpaceDE w:val="0"/>
        <w:autoSpaceDN w:val="0"/>
        <w:adjustRightInd w:val="0"/>
        <w:snapToGrid w:val="0"/>
        <w:spacing w:before="120" w:beforeLines="50" w:line="360" w:lineRule="auto"/>
        <w:ind w:left="851"/>
        <w:jc w:val="left"/>
        <w:rPr>
          <w:rFonts w:ascii="仿宋_GB2312" w:eastAsia="仿宋_GB2312"/>
          <w:sz w:val="24"/>
        </w:rPr>
      </w:pPr>
      <w:r>
        <w:rPr>
          <w:rFonts w:hint="eastAsia" w:ascii="仿宋_GB2312" w:eastAsia="仿宋_GB2312"/>
          <w:sz w:val="24"/>
        </w:rPr>
        <w:t>11.1采购代理机构在提交投标文件的截止时间三日前，可以视采购具体情况，延长投标截止时间和开标时间，将变更时间书面通知所有招标文件收受人，并在本章第</w:t>
      </w:r>
      <w:r>
        <w:rPr>
          <w:rFonts w:ascii="仿宋_GB2312" w:eastAsia="仿宋_GB2312"/>
          <w:sz w:val="24"/>
        </w:rPr>
        <w:t>7.3</w:t>
      </w:r>
      <w:r>
        <w:rPr>
          <w:rFonts w:hint="eastAsia" w:ascii="仿宋_GB2312" w:eastAsia="仿宋_GB2312"/>
          <w:sz w:val="24"/>
        </w:rPr>
        <w:t>款指定的媒体上发布更正公告。</w:t>
      </w:r>
      <w:bookmarkStart w:id="69" w:name="_Toc333327442"/>
      <w:bookmarkStart w:id="70" w:name="_Toc429862191"/>
      <w:bookmarkStart w:id="71" w:name="_Toc429602549"/>
      <w:bookmarkStart w:id="72" w:name="_Toc429604190"/>
      <w:bookmarkStart w:id="73" w:name="_Toc433614078"/>
      <w:bookmarkStart w:id="74" w:name="_Toc10544"/>
    </w:p>
    <w:p>
      <w:pPr>
        <w:pStyle w:val="2"/>
        <w:pageBreakBefore w:val="0"/>
        <w:spacing w:before="120" w:beforeLines="50" w:afterLines="50" w:line="240" w:lineRule="auto"/>
        <w:ind w:left="0" w:firstLine="0"/>
        <w:rPr>
          <w:rFonts w:ascii="仿宋_GB2312" w:eastAsia="仿宋_GB2312"/>
        </w:rPr>
      </w:pPr>
      <w:bookmarkStart w:id="75" w:name="_Toc481542886"/>
      <w:r>
        <w:rPr>
          <w:rFonts w:hint="eastAsia" w:ascii="仿宋_GB2312" w:eastAsia="仿宋_GB2312"/>
        </w:rPr>
        <w:t>三、投标文件</w:t>
      </w:r>
      <w:bookmarkEnd w:id="69"/>
      <w:bookmarkEnd w:id="70"/>
      <w:bookmarkEnd w:id="71"/>
      <w:bookmarkEnd w:id="72"/>
      <w:bookmarkEnd w:id="73"/>
      <w:bookmarkEnd w:id="74"/>
      <w:bookmarkEnd w:id="75"/>
    </w:p>
    <w:p>
      <w:pPr>
        <w:pStyle w:val="4"/>
        <w:spacing w:before="192" w:beforeLines="80" w:after="0" w:line="360" w:lineRule="auto"/>
        <w:rPr>
          <w:rFonts w:hAnsi="Times New Roman"/>
          <w:sz w:val="24"/>
          <w:szCs w:val="24"/>
        </w:rPr>
      </w:pPr>
      <w:bookmarkStart w:id="76" w:name="_Toc429602550"/>
      <w:bookmarkStart w:id="77" w:name="_Toc333327443"/>
      <w:bookmarkStart w:id="78" w:name="_Toc429862192"/>
      <w:bookmarkStart w:id="79" w:name="_Toc429604191"/>
      <w:r>
        <w:rPr>
          <w:rFonts w:hAnsi="Times New Roman"/>
          <w:sz w:val="24"/>
          <w:szCs w:val="24"/>
        </w:rPr>
        <w:t>12</w:t>
      </w:r>
      <w:r>
        <w:rPr>
          <w:rFonts w:hint="eastAsia" w:hAnsi="Times New Roman"/>
          <w:sz w:val="24"/>
          <w:szCs w:val="24"/>
        </w:rPr>
        <w:t>、投标语言</w:t>
      </w:r>
      <w:bookmarkEnd w:id="76"/>
      <w:bookmarkEnd w:id="77"/>
      <w:bookmarkEnd w:id="78"/>
      <w:bookmarkEnd w:id="79"/>
    </w:p>
    <w:p>
      <w:pPr>
        <w:adjustRightInd w:val="0"/>
        <w:snapToGrid w:val="0"/>
        <w:spacing w:before="120" w:beforeLines="50" w:line="360" w:lineRule="auto"/>
        <w:ind w:left="848" w:leftChars="202" w:hanging="424" w:hangingChars="177"/>
        <w:jc w:val="left"/>
        <w:rPr>
          <w:rFonts w:ascii="仿宋_GB2312" w:eastAsia="仿宋_GB2312"/>
          <w:sz w:val="24"/>
        </w:rPr>
      </w:pPr>
      <w:r>
        <w:rPr>
          <w:rFonts w:ascii="仿宋_GB2312" w:eastAsia="仿宋_GB2312"/>
          <w:sz w:val="24"/>
        </w:rPr>
        <w:t>12.1</w:t>
      </w:r>
      <w:r>
        <w:rPr>
          <w:rFonts w:hint="eastAsia" w:ascii="仿宋_GB2312" w:eastAsia="仿宋_GB2312"/>
          <w:sz w:val="24"/>
        </w:rPr>
        <w:t>投标人提交的投标文件及投标人与采购代理机构就有关投标的所有来往函电均使用中文。投标人可以提交其它语言的资料，但应附有中文注释，有差异时以中文为准。</w:t>
      </w:r>
    </w:p>
    <w:p>
      <w:pPr>
        <w:pStyle w:val="4"/>
        <w:spacing w:before="192" w:beforeLines="80" w:after="0" w:line="360" w:lineRule="auto"/>
        <w:rPr>
          <w:rFonts w:hAnsi="Times New Roman"/>
          <w:sz w:val="24"/>
          <w:szCs w:val="24"/>
        </w:rPr>
      </w:pPr>
      <w:bookmarkStart w:id="80" w:name="_Toc429862193"/>
      <w:bookmarkStart w:id="81" w:name="_Toc429602551"/>
      <w:bookmarkStart w:id="82" w:name="_Toc429604192"/>
      <w:bookmarkStart w:id="83" w:name="_Toc333327444"/>
      <w:r>
        <w:rPr>
          <w:rFonts w:hAnsi="Times New Roman"/>
          <w:sz w:val="24"/>
          <w:szCs w:val="24"/>
        </w:rPr>
        <w:t>13</w:t>
      </w:r>
      <w:r>
        <w:rPr>
          <w:rFonts w:hint="eastAsia" w:hAnsi="Times New Roman"/>
          <w:sz w:val="24"/>
          <w:szCs w:val="24"/>
        </w:rPr>
        <w:t>、计量单位</w:t>
      </w:r>
      <w:bookmarkEnd w:id="80"/>
      <w:bookmarkEnd w:id="81"/>
      <w:bookmarkEnd w:id="82"/>
      <w:bookmarkEnd w:id="83"/>
    </w:p>
    <w:p>
      <w:pPr>
        <w:numPr>
          <w:ilvl w:val="0"/>
          <w:numId w:val="9"/>
        </w:numPr>
        <w:adjustRightInd w:val="0"/>
        <w:snapToGrid w:val="0"/>
        <w:spacing w:before="120" w:beforeLines="50" w:line="360" w:lineRule="auto"/>
        <w:ind w:left="993" w:hanging="567"/>
        <w:jc w:val="left"/>
        <w:rPr>
          <w:rFonts w:ascii="仿宋_GB2312" w:eastAsia="仿宋_GB2312"/>
          <w:sz w:val="24"/>
          <w:szCs w:val="24"/>
        </w:rPr>
      </w:pPr>
      <w:r>
        <w:rPr>
          <w:rFonts w:hint="eastAsia" w:ascii="仿宋_GB2312" w:eastAsia="仿宋_GB2312"/>
          <w:sz w:val="24"/>
        </w:rPr>
        <w:t>所有计量均采用中华人民共和国法定计量单位。</w:t>
      </w:r>
      <w:bookmarkStart w:id="84" w:name="_Toc333327445"/>
      <w:bookmarkStart w:id="85" w:name="_Toc429602552"/>
      <w:bookmarkStart w:id="86" w:name="_Toc429862194"/>
      <w:bookmarkStart w:id="87" w:name="_Toc429604193"/>
    </w:p>
    <w:p>
      <w:pPr>
        <w:pStyle w:val="4"/>
        <w:spacing w:before="192" w:beforeLines="80" w:after="0" w:line="360" w:lineRule="auto"/>
        <w:rPr>
          <w:rFonts w:hAnsi="Times New Roman"/>
          <w:sz w:val="24"/>
          <w:szCs w:val="24"/>
        </w:rPr>
      </w:pPr>
      <w:r>
        <w:rPr>
          <w:rFonts w:hAnsi="Times New Roman"/>
          <w:sz w:val="24"/>
          <w:szCs w:val="24"/>
        </w:rPr>
        <w:t>14</w:t>
      </w:r>
      <w:r>
        <w:rPr>
          <w:rFonts w:hint="eastAsia" w:hAnsi="Times New Roman"/>
          <w:sz w:val="24"/>
          <w:szCs w:val="24"/>
        </w:rPr>
        <w:t>、投标文件的组成</w:t>
      </w:r>
      <w:bookmarkEnd w:id="84"/>
      <w:bookmarkEnd w:id="85"/>
      <w:bookmarkEnd w:id="86"/>
      <w:bookmarkEnd w:id="87"/>
    </w:p>
    <w:p>
      <w:pPr>
        <w:spacing w:line="360" w:lineRule="auto"/>
        <w:ind w:firstLine="480" w:firstLineChars="200"/>
        <w:rPr>
          <w:rFonts w:ascii="仿宋_GB2312" w:eastAsia="仿宋_GB2312"/>
          <w:sz w:val="24"/>
        </w:rPr>
      </w:pPr>
      <w:r>
        <w:rPr>
          <w:rFonts w:hint="eastAsia" w:ascii="仿宋_GB2312" w:eastAsia="仿宋_GB2312"/>
          <w:sz w:val="24"/>
        </w:rPr>
        <w:t>投标文件由商务标、技术标两部分组成，商务标和技术标均需编制目录及页码。</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14.1</w:t>
      </w:r>
      <w:r>
        <w:rPr>
          <w:rFonts w:hint="eastAsia" w:ascii="仿宋_GB2312" w:eastAsia="仿宋_GB2312"/>
          <w:sz w:val="24"/>
        </w:rPr>
        <w:t>各部分的内容如下：</w:t>
      </w:r>
    </w:p>
    <w:p>
      <w:pPr>
        <w:adjustRightInd w:val="0"/>
        <w:snapToGrid w:val="0"/>
        <w:spacing w:before="120" w:beforeLines="50" w:line="360" w:lineRule="auto"/>
        <w:ind w:firstLine="482" w:firstLineChars="200"/>
        <w:jc w:val="left"/>
        <w:rPr>
          <w:rFonts w:ascii="仿宋_GB2312" w:eastAsia="仿宋_GB2312"/>
          <w:b/>
          <w:sz w:val="24"/>
        </w:rPr>
      </w:pPr>
      <w:r>
        <w:rPr>
          <w:rFonts w:ascii="仿宋_GB2312" w:eastAsia="仿宋_GB2312"/>
          <w:b/>
          <w:sz w:val="24"/>
        </w:rPr>
        <w:t>14.1.1</w:t>
      </w:r>
      <w:r>
        <w:rPr>
          <w:rFonts w:hint="eastAsia" w:ascii="仿宋_GB2312" w:eastAsia="仿宋_GB2312"/>
          <w:b/>
          <w:sz w:val="24"/>
        </w:rPr>
        <w:t>商务标</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（1）投标函</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）投标报价表</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）投标保证金</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）资格条件确认</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 授权委托书</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）法定代表人身份证明</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 投标人基本情况</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）联合体协议书</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）PPP项目合同响应/偏离表</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10</w:t>
      </w:r>
      <w:r>
        <w:rPr>
          <w:rFonts w:hint="eastAsia" w:ascii="仿宋_GB2312" w:eastAsia="仿宋_GB2312"/>
          <w:sz w:val="24"/>
        </w:rPr>
        <w:t>）财务状况报告和银行信用的证明材料</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（1</w:t>
      </w:r>
      <w:r>
        <w:rPr>
          <w:rFonts w:ascii="仿宋_GB2312" w:eastAsia="仿宋_GB2312"/>
          <w:sz w:val="24"/>
        </w:rPr>
        <w:t>1</w:t>
      </w:r>
      <w:r>
        <w:rPr>
          <w:rFonts w:hint="eastAsia" w:ascii="仿宋_GB2312" w:eastAsia="仿宋_GB2312"/>
          <w:sz w:val="24"/>
        </w:rPr>
        <w:t>）参加政府采购活动前三年内在经营活动中没有重大违法记录的书面声明（另附）</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（1</w:t>
      </w:r>
      <w:r>
        <w:rPr>
          <w:rFonts w:ascii="仿宋_GB2312" w:eastAsia="仿宋_GB2312"/>
          <w:sz w:val="24"/>
        </w:rPr>
        <w:t>2</w:t>
      </w:r>
      <w:r>
        <w:rPr>
          <w:rFonts w:hint="eastAsia" w:ascii="仿宋_GB2312" w:eastAsia="仿宋_GB2312"/>
          <w:sz w:val="24"/>
        </w:rPr>
        <w:t>）业绩证明文件</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（1</w:t>
      </w:r>
      <w:r>
        <w:rPr>
          <w:rFonts w:ascii="仿宋_GB2312" w:eastAsia="仿宋_GB2312"/>
          <w:sz w:val="24"/>
        </w:rPr>
        <w:t>3</w:t>
      </w:r>
      <w:r>
        <w:rPr>
          <w:rFonts w:hint="eastAsia" w:ascii="仿宋_GB2312" w:eastAsia="仿宋_GB2312"/>
          <w:sz w:val="24"/>
        </w:rPr>
        <w:t>） 投标承诺汇总表</w:t>
      </w:r>
    </w:p>
    <w:p>
      <w:pPr>
        <w:adjustRightInd w:val="0"/>
        <w:snapToGrid w:val="0"/>
        <w:spacing w:before="120" w:beforeLines="50" w:line="360" w:lineRule="auto"/>
        <w:ind w:firstLine="482" w:firstLineChars="200"/>
        <w:jc w:val="left"/>
        <w:rPr>
          <w:rFonts w:ascii="仿宋_GB2312" w:eastAsia="仿宋_GB2312"/>
          <w:b/>
          <w:sz w:val="24"/>
        </w:rPr>
      </w:pPr>
      <w:r>
        <w:rPr>
          <w:rFonts w:ascii="仿宋_GB2312" w:eastAsia="仿宋_GB2312"/>
          <w:b/>
          <w:sz w:val="24"/>
        </w:rPr>
        <w:t>14.1.</w:t>
      </w:r>
      <w:r>
        <w:rPr>
          <w:rFonts w:hint="eastAsia" w:ascii="仿宋_GB2312" w:eastAsia="仿宋_GB2312"/>
          <w:b/>
          <w:sz w:val="24"/>
        </w:rPr>
        <w:t>2技术标</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（1）投融资方案</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（2）项目建设管理方案</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（3）运营维护方案</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（4）移交方案</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（5）保险方案</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（6）投标符合招标文件规定的证明文件;</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（7）项目负责人简历表；</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（8）主要施工管理人员表；</w:t>
      </w:r>
    </w:p>
    <w:p>
      <w:pPr>
        <w:adjustRightInd w:val="0"/>
        <w:snapToGrid w:val="0"/>
        <w:spacing w:before="120" w:beforeLines="50" w:line="360" w:lineRule="auto"/>
        <w:ind w:left="480"/>
        <w:jc w:val="left"/>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）施工组织设计。</w:t>
      </w:r>
    </w:p>
    <w:p>
      <w:pPr>
        <w:adjustRightInd w:val="0"/>
        <w:snapToGrid w:val="0"/>
        <w:spacing w:before="120" w:beforeLines="50" w:line="360" w:lineRule="auto"/>
        <w:ind w:firstLine="482" w:firstLineChars="200"/>
        <w:jc w:val="left"/>
        <w:rPr>
          <w:rFonts w:ascii="仿宋_GB2312" w:eastAsia="仿宋_GB2312"/>
          <w:b/>
          <w:sz w:val="24"/>
        </w:rPr>
      </w:pPr>
      <w:r>
        <w:rPr>
          <w:rFonts w:hint="eastAsia" w:ascii="仿宋_GB2312" w:eastAsia="仿宋_GB2312"/>
          <w:b/>
          <w:sz w:val="24"/>
        </w:rPr>
        <w:t>施工组织设计内容详见“技术标评标标准”。</w:t>
      </w:r>
    </w:p>
    <w:p>
      <w:pPr>
        <w:adjustRightInd w:val="0"/>
        <w:snapToGrid w:val="0"/>
        <w:spacing w:before="120" w:beforeLines="50" w:line="360" w:lineRule="auto"/>
        <w:ind w:firstLine="482" w:firstLineChars="200"/>
        <w:jc w:val="left"/>
        <w:rPr>
          <w:rFonts w:ascii="仿宋_GB2312" w:eastAsia="仿宋_GB2312"/>
          <w:b/>
          <w:sz w:val="24"/>
        </w:rPr>
      </w:pPr>
      <w:r>
        <w:rPr>
          <w:rFonts w:hint="eastAsia" w:ascii="仿宋_GB2312" w:eastAsia="仿宋_GB2312"/>
          <w:b/>
          <w:sz w:val="24"/>
        </w:rPr>
        <w:t>在总体进度：计划的指导下，投标人应认真组织人员全面深入地结合施工现场实际、施工设计图纸编制施工组织设计。本着有利于为完成本招标项目全部工作内容和保证工期、质量等要求，体现实现质量目标和进度目标的可行性和先进性的技术措施。</w:t>
      </w:r>
    </w:p>
    <w:p>
      <w:pPr>
        <w:adjustRightInd w:val="0"/>
        <w:snapToGrid w:val="0"/>
        <w:spacing w:before="120" w:beforeLines="50" w:line="360" w:lineRule="auto"/>
        <w:ind w:firstLine="482" w:firstLineChars="200"/>
        <w:jc w:val="left"/>
        <w:rPr>
          <w:rFonts w:ascii="仿宋_GB2312" w:eastAsia="仿宋_GB2312"/>
          <w:b/>
          <w:sz w:val="24"/>
        </w:rPr>
      </w:pPr>
      <w:r>
        <w:rPr>
          <w:rFonts w:hint="eastAsia" w:ascii="仿宋_GB2312" w:eastAsia="仿宋_GB2312"/>
          <w:b/>
          <w:sz w:val="24"/>
        </w:rPr>
        <w:t>若投标人成交，应编制更详细、具体的施工组织方案，并在开工前提供给采购人和监理单位审批。</w:t>
      </w:r>
    </w:p>
    <w:p>
      <w:pPr>
        <w:pStyle w:val="4"/>
        <w:spacing w:before="192" w:beforeLines="80" w:after="0" w:line="360" w:lineRule="auto"/>
        <w:rPr>
          <w:rFonts w:hAnsi="Times New Roman"/>
          <w:sz w:val="24"/>
          <w:szCs w:val="24"/>
        </w:rPr>
      </w:pPr>
      <w:r>
        <w:rPr>
          <w:rFonts w:hAnsi="Times New Roman"/>
          <w:sz w:val="24"/>
          <w:szCs w:val="24"/>
        </w:rPr>
        <w:t>15</w:t>
      </w:r>
      <w:r>
        <w:rPr>
          <w:rFonts w:hint="eastAsia" w:hAnsi="Times New Roman"/>
          <w:sz w:val="24"/>
          <w:szCs w:val="24"/>
        </w:rPr>
        <w:t>、投标文件格式</w:t>
      </w:r>
    </w:p>
    <w:p>
      <w:pPr>
        <w:spacing w:line="360" w:lineRule="auto"/>
        <w:ind w:firstLine="482" w:firstLineChars="200"/>
        <w:rPr>
          <w:rFonts w:ascii="仿宋_GB2312" w:eastAsia="仿宋_GB2312"/>
          <w:b/>
          <w:bCs/>
          <w:sz w:val="24"/>
          <w:szCs w:val="24"/>
        </w:rPr>
      </w:pPr>
      <w:r>
        <w:rPr>
          <w:rFonts w:ascii="仿宋_GB2312" w:eastAsia="仿宋_GB2312"/>
          <w:b/>
          <w:bCs/>
          <w:sz w:val="24"/>
          <w:szCs w:val="24"/>
        </w:rPr>
        <w:t>15.1</w:t>
      </w:r>
      <w:r>
        <w:rPr>
          <w:rFonts w:hint="eastAsia" w:ascii="仿宋_GB2312" w:eastAsia="仿宋_GB2312"/>
          <w:b/>
          <w:bCs/>
          <w:sz w:val="24"/>
          <w:szCs w:val="24"/>
        </w:rPr>
        <w:t>投标文件应按规定的格式和本招标文件（包括补充文件）的具体要求编制，做到：</w:t>
      </w:r>
    </w:p>
    <w:p>
      <w:pPr>
        <w:spacing w:line="360" w:lineRule="auto"/>
        <w:ind w:firstLine="482" w:firstLineChars="200"/>
        <w:rPr>
          <w:rFonts w:ascii="仿宋_GB2312" w:eastAsia="仿宋_GB2312"/>
          <w:b/>
          <w:bCs/>
          <w:sz w:val="24"/>
          <w:szCs w:val="24"/>
        </w:rPr>
      </w:pPr>
      <w:r>
        <w:rPr>
          <w:rFonts w:ascii="仿宋_GB2312" w:eastAsia="仿宋_GB2312"/>
          <w:b/>
          <w:bCs/>
          <w:sz w:val="24"/>
          <w:szCs w:val="24"/>
        </w:rPr>
        <w:t>A</w:t>
      </w:r>
      <w:r>
        <w:rPr>
          <w:rFonts w:hint="eastAsia" w:ascii="仿宋_GB2312" w:eastAsia="仿宋_GB2312"/>
          <w:b/>
          <w:bCs/>
          <w:sz w:val="24"/>
          <w:szCs w:val="24"/>
        </w:rPr>
        <w:t>、内容齐全，图文清晰，笔迹端正；</w:t>
      </w:r>
    </w:p>
    <w:p>
      <w:pPr>
        <w:spacing w:line="360" w:lineRule="auto"/>
        <w:ind w:firstLine="480"/>
        <w:rPr>
          <w:rFonts w:ascii="仿宋_GB2312" w:eastAsia="仿宋_GB2312"/>
          <w:b/>
          <w:bCs/>
          <w:sz w:val="24"/>
          <w:szCs w:val="24"/>
        </w:rPr>
      </w:pPr>
      <w:r>
        <w:rPr>
          <w:rFonts w:ascii="仿宋_GB2312" w:eastAsia="仿宋_GB2312"/>
          <w:b/>
          <w:bCs/>
          <w:sz w:val="24"/>
          <w:szCs w:val="24"/>
        </w:rPr>
        <w:t>B</w:t>
      </w:r>
      <w:r>
        <w:rPr>
          <w:rFonts w:hint="eastAsia" w:ascii="仿宋_GB2312" w:eastAsia="仿宋_GB2312"/>
          <w:b/>
          <w:bCs/>
          <w:sz w:val="24"/>
          <w:szCs w:val="24"/>
        </w:rPr>
        <w:t>、</w:t>
      </w:r>
      <w:r>
        <w:rPr>
          <w:rFonts w:hint="eastAsia" w:ascii="仿宋_GB2312" w:eastAsia="仿宋_GB2312"/>
          <w:b/>
          <w:sz w:val="24"/>
          <w:szCs w:val="24"/>
        </w:rPr>
        <w:t>技术标一式捌份，其中</w:t>
      </w:r>
      <w:r>
        <w:rPr>
          <w:rFonts w:hint="eastAsia" w:ascii="仿宋_GB2312" w:eastAsia="仿宋_GB2312"/>
          <w:b/>
          <w:bCs/>
          <w:sz w:val="24"/>
          <w:szCs w:val="24"/>
        </w:rPr>
        <w:t>正本</w:t>
      </w:r>
      <w:r>
        <w:rPr>
          <w:rFonts w:hint="eastAsia" w:ascii="仿宋_GB2312" w:eastAsia="仿宋_GB2312"/>
          <w:b/>
          <w:bCs/>
          <w:sz w:val="24"/>
          <w:szCs w:val="24"/>
          <w:u w:val="single"/>
        </w:rPr>
        <w:t>壹</w:t>
      </w:r>
      <w:r>
        <w:rPr>
          <w:rFonts w:hint="eastAsia" w:ascii="仿宋_GB2312" w:eastAsia="仿宋_GB2312"/>
          <w:b/>
          <w:bCs/>
          <w:sz w:val="24"/>
          <w:szCs w:val="24"/>
        </w:rPr>
        <w:t>份，副本</w:t>
      </w:r>
      <w:r>
        <w:rPr>
          <w:rFonts w:hint="eastAsia" w:ascii="仿宋_GB2312" w:eastAsia="仿宋_GB2312"/>
          <w:b/>
          <w:bCs/>
          <w:sz w:val="24"/>
          <w:szCs w:val="24"/>
          <w:u w:val="single"/>
        </w:rPr>
        <w:t>柒</w:t>
      </w:r>
      <w:r>
        <w:rPr>
          <w:rFonts w:hint="eastAsia" w:ascii="仿宋_GB2312" w:eastAsia="仿宋_GB2312"/>
          <w:b/>
          <w:bCs/>
          <w:sz w:val="24"/>
          <w:szCs w:val="24"/>
        </w:rPr>
        <w:t>份，应注明“正本”或“副本”字样，</w:t>
      </w:r>
      <w:r>
        <w:rPr>
          <w:rFonts w:hint="eastAsia" w:ascii="仿宋_GB2312" w:eastAsia="仿宋_GB2312"/>
          <w:b/>
          <w:sz w:val="24"/>
          <w:szCs w:val="24"/>
        </w:rPr>
        <w:t>单独装订、密封</w:t>
      </w:r>
      <w:r>
        <w:rPr>
          <w:rFonts w:hint="eastAsia" w:ascii="仿宋_GB2312" w:eastAsia="仿宋_GB2312"/>
          <w:b/>
          <w:bCs/>
          <w:sz w:val="24"/>
          <w:szCs w:val="24"/>
        </w:rPr>
        <w:t>；同时</w:t>
      </w:r>
      <w:r>
        <w:rPr>
          <w:rFonts w:ascii="仿宋_GB2312" w:eastAsia="仿宋_GB2312"/>
          <w:b/>
          <w:bCs/>
          <w:sz w:val="24"/>
          <w:szCs w:val="24"/>
        </w:rPr>
        <w:t>提供电子版文件一式四份。</w:t>
      </w:r>
    </w:p>
    <w:p>
      <w:pPr>
        <w:spacing w:line="360" w:lineRule="auto"/>
        <w:ind w:firstLine="480"/>
        <w:rPr>
          <w:rFonts w:ascii="仿宋_GB2312" w:eastAsia="仿宋_GB2312"/>
          <w:b/>
          <w:bCs/>
          <w:sz w:val="24"/>
          <w:szCs w:val="24"/>
        </w:rPr>
      </w:pPr>
      <w:r>
        <w:rPr>
          <w:rFonts w:ascii="仿宋_GB2312" w:eastAsia="仿宋_GB2312"/>
          <w:b/>
          <w:bCs/>
          <w:sz w:val="24"/>
          <w:szCs w:val="24"/>
        </w:rPr>
        <w:t>C</w:t>
      </w:r>
      <w:r>
        <w:rPr>
          <w:rFonts w:hint="eastAsia" w:ascii="仿宋_GB2312" w:eastAsia="仿宋_GB2312"/>
          <w:b/>
          <w:bCs/>
          <w:sz w:val="24"/>
          <w:szCs w:val="24"/>
        </w:rPr>
        <w:t>、</w:t>
      </w:r>
      <w:r>
        <w:rPr>
          <w:rFonts w:hint="eastAsia" w:ascii="仿宋_GB2312" w:eastAsia="仿宋_GB2312"/>
          <w:b/>
          <w:sz w:val="24"/>
          <w:szCs w:val="24"/>
        </w:rPr>
        <w:t>商务标一式</w:t>
      </w:r>
      <w:r>
        <w:rPr>
          <w:rFonts w:hint="eastAsia" w:ascii="仿宋_GB2312" w:eastAsia="仿宋_GB2312"/>
          <w:b/>
          <w:sz w:val="24"/>
          <w:szCs w:val="24"/>
          <w:u w:val="single"/>
        </w:rPr>
        <w:t>捌</w:t>
      </w:r>
      <w:r>
        <w:rPr>
          <w:rFonts w:hint="eastAsia" w:ascii="仿宋_GB2312" w:eastAsia="仿宋_GB2312"/>
          <w:b/>
          <w:sz w:val="24"/>
          <w:szCs w:val="24"/>
        </w:rPr>
        <w:t>份，其中</w:t>
      </w:r>
      <w:r>
        <w:rPr>
          <w:rFonts w:hint="eastAsia" w:ascii="仿宋_GB2312" w:eastAsia="仿宋_GB2312"/>
          <w:b/>
          <w:bCs/>
          <w:sz w:val="24"/>
          <w:szCs w:val="24"/>
        </w:rPr>
        <w:t>正本</w:t>
      </w:r>
      <w:r>
        <w:rPr>
          <w:rFonts w:hint="eastAsia" w:ascii="仿宋_GB2312" w:eastAsia="仿宋_GB2312"/>
          <w:b/>
          <w:bCs/>
          <w:sz w:val="24"/>
          <w:szCs w:val="24"/>
          <w:u w:val="single"/>
        </w:rPr>
        <w:t>壹</w:t>
      </w:r>
      <w:r>
        <w:rPr>
          <w:rFonts w:hint="eastAsia" w:ascii="仿宋_GB2312" w:eastAsia="仿宋_GB2312"/>
          <w:b/>
          <w:bCs/>
          <w:sz w:val="24"/>
          <w:szCs w:val="24"/>
        </w:rPr>
        <w:t>份，副本</w:t>
      </w:r>
      <w:r>
        <w:rPr>
          <w:rFonts w:hint="eastAsia" w:ascii="仿宋_GB2312" w:eastAsia="仿宋_GB2312"/>
          <w:b/>
          <w:bCs/>
          <w:sz w:val="24"/>
          <w:szCs w:val="24"/>
          <w:u w:val="single"/>
        </w:rPr>
        <w:t>柒</w:t>
      </w:r>
      <w:r>
        <w:rPr>
          <w:rFonts w:hint="eastAsia" w:ascii="仿宋_GB2312" w:eastAsia="仿宋_GB2312"/>
          <w:b/>
          <w:bCs/>
          <w:sz w:val="24"/>
          <w:szCs w:val="24"/>
        </w:rPr>
        <w:t>份，应注明“正本”或“副本”字样，</w:t>
      </w:r>
      <w:r>
        <w:rPr>
          <w:rFonts w:hint="eastAsia" w:ascii="仿宋_GB2312" w:eastAsia="仿宋_GB2312"/>
          <w:b/>
          <w:sz w:val="24"/>
          <w:szCs w:val="24"/>
        </w:rPr>
        <w:t>单独装订、密封</w:t>
      </w:r>
      <w:r>
        <w:rPr>
          <w:rFonts w:hint="eastAsia" w:ascii="仿宋_GB2312" w:eastAsia="仿宋_GB2312"/>
          <w:b/>
          <w:bCs/>
          <w:sz w:val="24"/>
          <w:szCs w:val="24"/>
        </w:rPr>
        <w:t>；同时</w:t>
      </w:r>
      <w:r>
        <w:rPr>
          <w:rFonts w:ascii="仿宋_GB2312" w:eastAsia="仿宋_GB2312"/>
          <w:b/>
          <w:bCs/>
          <w:sz w:val="24"/>
          <w:szCs w:val="24"/>
        </w:rPr>
        <w:t>提供电子版文件一式四份。</w:t>
      </w:r>
    </w:p>
    <w:p>
      <w:pPr>
        <w:spacing w:line="360" w:lineRule="auto"/>
        <w:ind w:firstLine="480" w:firstLineChars="200"/>
        <w:rPr>
          <w:rFonts w:ascii="仿宋_GB2312" w:eastAsia="仿宋_GB2312"/>
          <w:sz w:val="24"/>
          <w:szCs w:val="24"/>
        </w:rPr>
      </w:pPr>
      <w:r>
        <w:rPr>
          <w:rFonts w:ascii="仿宋_GB2312" w:eastAsia="仿宋_GB2312"/>
          <w:sz w:val="24"/>
          <w:szCs w:val="24"/>
        </w:rPr>
        <w:t>15.2</w:t>
      </w:r>
      <w:r>
        <w:rPr>
          <w:rFonts w:hint="eastAsia" w:ascii="仿宋_GB2312" w:eastAsia="仿宋_GB2312"/>
          <w:b/>
          <w:bCs/>
          <w:sz w:val="24"/>
          <w:szCs w:val="24"/>
        </w:rPr>
        <w:t>密封要求</w:t>
      </w:r>
      <w:r>
        <w:rPr>
          <w:rFonts w:hint="eastAsia"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投标文件应按“技术标”、“商务标”分袋密封，并在封套正面注明“技术标”、“商务标”投标字样，并应写明工程名称、单位名称、地址、邮政编码、联系人及联系电话，加盖法人公章及法定代表人（或委托代理人）印章。</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）投标文件外封套所有启口处应帖封条，并加盖法人公章或投标专用章。</w:t>
      </w:r>
    </w:p>
    <w:p>
      <w:pPr>
        <w:tabs>
          <w:tab w:val="left" w:pos="993"/>
        </w:tabs>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15.3</w:t>
      </w:r>
      <w:r>
        <w:rPr>
          <w:rFonts w:hint="eastAsia" w:ascii="仿宋_GB2312" w:eastAsia="仿宋_GB2312"/>
          <w:sz w:val="24"/>
        </w:rPr>
        <w:t>投标文件应用不褪色的材料打印或书写，并在招标文件要求签字、盖章处盖单位章和由法定代表人或其委托代理人签字。投标文件中的任何行间插字、涂改和增删，改动之处应加盖单位章或由投标人的法定代表人或其授权的代理人签字确认。不按上述要求盖章和签字的，在评标时将其视为无效投标。</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15.4</w:t>
      </w:r>
      <w:r>
        <w:rPr>
          <w:rFonts w:hint="eastAsia" w:ascii="仿宋_GB2312" w:eastAsia="仿宋_GB2312"/>
          <w:sz w:val="24"/>
        </w:rPr>
        <w:t>根据《政府采购法》第四十二条的规定，投标人无论成交与否，其投标文件不予退还。</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15.5</w:t>
      </w:r>
      <w:r>
        <w:rPr>
          <w:rFonts w:hint="eastAsia" w:ascii="仿宋_GB2312" w:eastAsia="仿宋_GB2312"/>
          <w:sz w:val="24"/>
        </w:rPr>
        <w:t>投标人如有投标优惠，涉及价格的，应当直接在投标报价表的投标报价中给出</w:t>
      </w:r>
      <w:r>
        <w:rPr>
          <w:rFonts w:ascii="仿宋_GB2312" w:eastAsia="仿宋_GB2312"/>
          <w:sz w:val="24"/>
        </w:rPr>
        <w:t>(</w:t>
      </w:r>
      <w:r>
        <w:rPr>
          <w:rFonts w:hint="eastAsia" w:ascii="仿宋_GB2312" w:eastAsia="仿宋_GB2312"/>
          <w:sz w:val="24"/>
        </w:rPr>
        <w:t>即投标报价中己包含价格折扣</w:t>
      </w:r>
      <w:r>
        <w:rPr>
          <w:rFonts w:ascii="仿宋_GB2312" w:eastAsia="仿宋_GB2312"/>
          <w:sz w:val="24"/>
        </w:rPr>
        <w:t>)</w:t>
      </w:r>
      <w:r>
        <w:rPr>
          <w:rFonts w:hint="eastAsia" w:ascii="仿宋_GB2312" w:eastAsia="仿宋_GB2312"/>
          <w:sz w:val="24"/>
        </w:rPr>
        <w:t>；涉及商务、技术内容的，应当在商务条款响应</w:t>
      </w:r>
      <w:r>
        <w:rPr>
          <w:rFonts w:ascii="仿宋_GB2312" w:eastAsia="仿宋_GB2312"/>
          <w:sz w:val="24"/>
        </w:rPr>
        <w:t>/</w:t>
      </w:r>
      <w:r>
        <w:rPr>
          <w:rFonts w:hint="eastAsia" w:ascii="仿宋_GB2312" w:eastAsia="仿宋_GB2312"/>
          <w:sz w:val="24"/>
        </w:rPr>
        <w:t>偏离表或技术规格、参数响应</w:t>
      </w:r>
      <w:r>
        <w:rPr>
          <w:rFonts w:ascii="仿宋_GB2312" w:eastAsia="仿宋_GB2312"/>
          <w:sz w:val="24"/>
        </w:rPr>
        <w:t>/</w:t>
      </w:r>
      <w:r>
        <w:rPr>
          <w:rFonts w:hint="eastAsia" w:ascii="仿宋_GB2312" w:eastAsia="仿宋_GB2312"/>
          <w:sz w:val="24"/>
        </w:rPr>
        <w:t>偏离表中填写。</w:t>
      </w:r>
    </w:p>
    <w:p>
      <w:pPr>
        <w:pStyle w:val="4"/>
        <w:spacing w:before="192" w:beforeLines="80" w:after="0" w:line="360" w:lineRule="auto"/>
        <w:rPr>
          <w:rFonts w:hAnsi="Times New Roman"/>
          <w:sz w:val="24"/>
          <w:szCs w:val="24"/>
        </w:rPr>
      </w:pPr>
      <w:bookmarkStart w:id="88" w:name="_Toc429604194"/>
      <w:bookmarkStart w:id="89" w:name="_Toc429602553"/>
      <w:bookmarkStart w:id="90" w:name="_Toc429862195"/>
      <w:bookmarkStart w:id="91" w:name="_Toc333327446"/>
      <w:r>
        <w:rPr>
          <w:rFonts w:hAnsi="Times New Roman"/>
          <w:sz w:val="24"/>
          <w:szCs w:val="24"/>
        </w:rPr>
        <w:t>16</w:t>
      </w:r>
      <w:r>
        <w:rPr>
          <w:rFonts w:hint="eastAsia" w:hAnsi="Times New Roman"/>
          <w:sz w:val="24"/>
          <w:szCs w:val="24"/>
        </w:rPr>
        <w:t>、投标报价</w:t>
      </w:r>
      <w:bookmarkEnd w:id="88"/>
      <w:bookmarkEnd w:id="89"/>
      <w:bookmarkEnd w:id="90"/>
      <w:bookmarkEnd w:id="91"/>
    </w:p>
    <w:p>
      <w:pPr>
        <w:pStyle w:val="82"/>
        <w:snapToGrid w:val="0"/>
        <w:spacing w:before="120" w:beforeLines="50" w:after="120" w:afterLines="50" w:line="300" w:lineRule="auto"/>
        <w:ind w:firstLine="480"/>
        <w:rPr>
          <w:rFonts w:eastAsia="仿宋"/>
          <w:b/>
          <w:color w:val="000000"/>
          <w:sz w:val="24"/>
          <w:szCs w:val="24"/>
        </w:rPr>
      </w:pPr>
      <w:r>
        <w:rPr>
          <w:rFonts w:ascii="仿宋_GB2312" w:eastAsia="仿宋_GB2312"/>
          <w:color w:val="FF0000"/>
          <w:sz w:val="24"/>
        </w:rPr>
        <w:t>16.1</w:t>
      </w:r>
      <w:r>
        <w:rPr>
          <w:rFonts w:hint="eastAsia" w:ascii="仿宋_GB2312" w:hAnsi="宋体" w:eastAsia="仿宋_GB2312"/>
          <w:b/>
          <w:color w:val="FF0000"/>
          <w:sz w:val="24"/>
          <w:szCs w:val="24"/>
        </w:rPr>
        <w:t>投标人承诺的污水处理服务费（不得高于</w:t>
      </w:r>
      <w:r>
        <w:rPr>
          <w:rFonts w:eastAsia="仿宋"/>
          <w:b/>
          <w:color w:val="FF0000"/>
          <w:sz w:val="24"/>
          <w:szCs w:val="24"/>
        </w:rPr>
        <w:t>2.895</w:t>
      </w:r>
      <w:r>
        <w:rPr>
          <w:rFonts w:hint="eastAsia" w:eastAsia="仿宋"/>
          <w:b/>
          <w:color w:val="FF0000"/>
          <w:sz w:val="24"/>
          <w:szCs w:val="24"/>
        </w:rPr>
        <w:t>元</w:t>
      </w:r>
      <w:r>
        <w:rPr>
          <w:rFonts w:eastAsia="仿宋"/>
          <w:b/>
          <w:color w:val="FF0000"/>
          <w:sz w:val="24"/>
          <w:szCs w:val="24"/>
        </w:rPr>
        <w:t>/m³</w:t>
      </w:r>
      <w:r>
        <w:rPr>
          <w:rFonts w:hint="eastAsia" w:eastAsia="仿宋"/>
          <w:b/>
          <w:color w:val="FF0000"/>
          <w:sz w:val="24"/>
          <w:szCs w:val="24"/>
        </w:rPr>
        <w:t>）</w:t>
      </w:r>
      <w:r>
        <w:rPr>
          <w:rFonts w:hint="eastAsia" w:ascii="仿宋_GB2312" w:hAnsi="宋体" w:eastAsia="仿宋_GB2312"/>
          <w:b/>
          <w:color w:val="FF0000"/>
          <w:sz w:val="24"/>
          <w:szCs w:val="24"/>
        </w:rPr>
        <w:t>，并作为商务标评分的依据</w:t>
      </w:r>
      <w:del w:id="93" w:author="WangYuhan" w:date="2020-07-06T10:45:00Z">
        <w:r>
          <w:rPr>
            <w:rFonts w:hint="eastAsia" w:ascii="仿宋_GB2312" w:hAnsi="宋体" w:eastAsia="仿宋_GB2312"/>
            <w:b/>
            <w:color w:val="FF0000"/>
            <w:sz w:val="24"/>
            <w:szCs w:val="24"/>
          </w:rPr>
          <w:delText>，投资人需提供测算数</w:delText>
        </w:r>
      </w:del>
      <w:del w:id="94" w:author="WangYuhan" w:date="2020-07-06T10:45:00Z">
        <w:r>
          <w:rPr>
            <w:rFonts w:ascii="仿宋_GB2312" w:hAnsi="宋体" w:eastAsia="仿宋_GB2312"/>
            <w:b/>
            <w:color w:val="FF0000"/>
            <w:sz w:val="24"/>
            <w:szCs w:val="24"/>
          </w:rPr>
          <w:delText>列入投标文件中</w:delText>
        </w:r>
      </w:del>
      <w:del w:id="95" w:author="WangYuhan" w:date="2020-07-06T10:45:00Z">
        <w:r>
          <w:rPr>
            <w:rFonts w:hint="eastAsia" w:ascii="仿宋_GB2312" w:hAnsi="宋体" w:eastAsia="仿宋_GB2312"/>
            <w:b/>
            <w:color w:val="FF0000"/>
            <w:sz w:val="24"/>
            <w:szCs w:val="24"/>
          </w:rPr>
          <w:delText>。</w:delText>
        </w:r>
      </w:del>
    </w:p>
    <w:p>
      <w:pPr>
        <w:pStyle w:val="4"/>
        <w:spacing w:before="192" w:beforeLines="80" w:after="0" w:line="360" w:lineRule="auto"/>
        <w:rPr>
          <w:rFonts w:hAnsi="Times New Roman"/>
          <w:sz w:val="24"/>
          <w:szCs w:val="24"/>
        </w:rPr>
      </w:pPr>
      <w:bookmarkStart w:id="92" w:name="_Toc429862196"/>
      <w:bookmarkStart w:id="93" w:name="_Toc429604195"/>
      <w:bookmarkStart w:id="94" w:name="_Toc333327447"/>
      <w:bookmarkStart w:id="95" w:name="_Toc429602554"/>
      <w:r>
        <w:rPr>
          <w:rFonts w:hAnsi="Times New Roman"/>
          <w:sz w:val="24"/>
          <w:szCs w:val="24"/>
        </w:rPr>
        <w:t>17</w:t>
      </w:r>
      <w:r>
        <w:rPr>
          <w:rFonts w:hint="eastAsia" w:hAnsi="Times New Roman"/>
          <w:sz w:val="24"/>
          <w:szCs w:val="24"/>
        </w:rPr>
        <w:t>、备选方案</w:t>
      </w:r>
      <w:bookmarkEnd w:id="92"/>
      <w:bookmarkEnd w:id="93"/>
      <w:bookmarkEnd w:id="94"/>
      <w:bookmarkEnd w:id="95"/>
    </w:p>
    <w:p>
      <w:pPr>
        <w:pStyle w:val="24"/>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ascii="仿宋_GB2312" w:hAnsi="Times New Roman" w:eastAsia="仿宋_GB2312" w:cs="Times New Roman"/>
          <w:sz w:val="24"/>
          <w:szCs w:val="24"/>
        </w:rPr>
        <w:t>17.1</w:t>
      </w:r>
      <w:r>
        <w:rPr>
          <w:rFonts w:hint="eastAsia" w:ascii="仿宋_GB2312" w:hAnsi="Times New Roman" w:eastAsia="仿宋_GB2312" w:cs="Times New Roman"/>
          <w:sz w:val="24"/>
          <w:szCs w:val="24"/>
        </w:rPr>
        <w:t>除</w:t>
      </w:r>
      <w:r>
        <w:rPr>
          <w:rFonts w:hint="eastAsia" w:ascii="仿宋_GB2312" w:hAnsi="Times New Roman" w:eastAsia="仿宋_GB2312" w:cs="Times New Roman"/>
          <w:b/>
          <w:sz w:val="24"/>
          <w:szCs w:val="24"/>
        </w:rPr>
        <w:t>招标文件前附表</w:t>
      </w:r>
      <w:r>
        <w:rPr>
          <w:rFonts w:hint="eastAsia" w:ascii="仿宋_GB2312" w:hAnsi="Times New Roman" w:eastAsia="仿宋_GB2312" w:cs="Times New Roman"/>
          <w:sz w:val="24"/>
          <w:szCs w:val="24"/>
        </w:rPr>
        <w:t>第</w:t>
      </w:r>
      <w:r>
        <w:rPr>
          <w:rFonts w:ascii="仿宋_GB2312" w:hAnsi="Times New Roman" w:eastAsia="仿宋_GB2312" w:cs="Times New Roman"/>
          <w:sz w:val="24"/>
          <w:szCs w:val="24"/>
        </w:rPr>
        <w:t>15.3</w:t>
      </w:r>
      <w:r>
        <w:rPr>
          <w:rFonts w:hint="eastAsia" w:ascii="仿宋_GB2312" w:hAnsi="Times New Roman" w:eastAsia="仿宋_GB2312" w:cs="Times New Roman"/>
          <w:kern w:val="0"/>
          <w:sz w:val="24"/>
          <w:szCs w:val="24"/>
          <w:lang w:val="zh-CN"/>
        </w:rPr>
        <w:t>款</w:t>
      </w:r>
      <w:r>
        <w:rPr>
          <w:rFonts w:hint="eastAsia" w:ascii="仿宋_GB2312" w:hAnsi="Times New Roman" w:eastAsia="仿宋_GB2312" w:cs="Times New Roman"/>
          <w:sz w:val="24"/>
          <w:szCs w:val="24"/>
        </w:rPr>
        <w:t>另有规定外，本采购项目不接受备选方案投标。</w:t>
      </w:r>
    </w:p>
    <w:p>
      <w:pPr>
        <w:pStyle w:val="4"/>
        <w:spacing w:before="192" w:beforeLines="80" w:after="0" w:line="360" w:lineRule="auto"/>
        <w:rPr>
          <w:rFonts w:hAnsi="Times New Roman"/>
          <w:sz w:val="24"/>
          <w:szCs w:val="24"/>
        </w:rPr>
      </w:pPr>
      <w:bookmarkStart w:id="96" w:name="_Toc429862197"/>
      <w:bookmarkStart w:id="97" w:name="_Toc429602555"/>
      <w:bookmarkStart w:id="98" w:name="_Toc429604196"/>
      <w:bookmarkStart w:id="99" w:name="_Toc333327448"/>
      <w:r>
        <w:rPr>
          <w:rFonts w:hAnsi="Times New Roman"/>
          <w:sz w:val="24"/>
          <w:szCs w:val="24"/>
        </w:rPr>
        <w:t>18</w:t>
      </w:r>
      <w:r>
        <w:rPr>
          <w:rFonts w:hint="eastAsia" w:hAnsi="Times New Roman"/>
          <w:sz w:val="24"/>
          <w:szCs w:val="24"/>
        </w:rPr>
        <w:t>、投标人的资格证明文件</w:t>
      </w:r>
      <w:bookmarkEnd w:id="96"/>
      <w:bookmarkEnd w:id="97"/>
      <w:bookmarkEnd w:id="98"/>
      <w:bookmarkEnd w:id="99"/>
    </w:p>
    <w:p>
      <w:pPr>
        <w:tabs>
          <w:tab w:val="left" w:pos="993"/>
        </w:tabs>
        <w:adjustRightInd w:val="0"/>
        <w:snapToGrid w:val="0"/>
        <w:spacing w:before="120" w:beforeLines="50" w:line="360" w:lineRule="auto"/>
        <w:ind w:right="17" w:rightChars="8" w:firstLine="480" w:firstLineChars="200"/>
        <w:rPr>
          <w:rFonts w:ascii="仿宋_GB2312" w:eastAsia="仿宋_GB2312"/>
          <w:sz w:val="24"/>
        </w:rPr>
      </w:pPr>
      <w:r>
        <w:rPr>
          <w:rFonts w:ascii="仿宋_GB2312" w:eastAsia="仿宋_GB2312"/>
          <w:sz w:val="24"/>
        </w:rPr>
        <w:t>18</w:t>
      </w:r>
      <w:r>
        <w:rPr>
          <w:rFonts w:hint="eastAsia" w:ascii="仿宋_GB2312" w:eastAsia="仿宋_GB2312"/>
          <w:sz w:val="24"/>
        </w:rPr>
        <w:t>、投标人应提交满足</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3.1</w:t>
      </w:r>
      <w:r>
        <w:rPr>
          <w:rFonts w:hint="eastAsia" w:ascii="仿宋_GB2312" w:eastAsia="仿宋_GB2312"/>
          <w:kern w:val="0"/>
          <w:sz w:val="24"/>
          <w:lang w:val="zh-CN"/>
        </w:rPr>
        <w:t>款</w:t>
      </w:r>
      <w:r>
        <w:rPr>
          <w:rFonts w:hint="eastAsia" w:ascii="仿宋_GB2312" w:eastAsia="仿宋_GB2312"/>
          <w:sz w:val="24"/>
        </w:rPr>
        <w:t>规定的资格条件要求的证明文件，该证明文件作为投标文件的一部分。</w:t>
      </w:r>
    </w:p>
    <w:p>
      <w:pPr>
        <w:pStyle w:val="4"/>
        <w:spacing w:before="192" w:beforeLines="80" w:after="0" w:line="360" w:lineRule="auto"/>
        <w:rPr>
          <w:rFonts w:hAnsi="Times New Roman"/>
          <w:sz w:val="24"/>
          <w:szCs w:val="24"/>
        </w:rPr>
      </w:pPr>
      <w:bookmarkStart w:id="100" w:name="_Toc333327450"/>
      <w:bookmarkStart w:id="101" w:name="_Toc429862198"/>
      <w:bookmarkStart w:id="102" w:name="_Toc429602556"/>
      <w:bookmarkStart w:id="103" w:name="_Toc429604197"/>
      <w:r>
        <w:rPr>
          <w:rFonts w:hAnsi="Times New Roman"/>
          <w:sz w:val="24"/>
          <w:szCs w:val="24"/>
        </w:rPr>
        <w:t>19</w:t>
      </w:r>
      <w:r>
        <w:rPr>
          <w:rFonts w:hint="eastAsia" w:hAnsi="Times New Roman"/>
          <w:sz w:val="24"/>
          <w:szCs w:val="24"/>
        </w:rPr>
        <w:t>、投标保证金</w:t>
      </w:r>
      <w:bookmarkEnd w:id="100"/>
      <w:bookmarkEnd w:id="101"/>
      <w:bookmarkEnd w:id="102"/>
      <w:bookmarkEnd w:id="103"/>
    </w:p>
    <w:p>
      <w:pPr>
        <w:adjustRightInd w:val="0"/>
        <w:snapToGrid w:val="0"/>
        <w:spacing w:before="120" w:beforeLines="50" w:line="360" w:lineRule="auto"/>
        <w:ind w:firstLine="482" w:firstLineChars="200"/>
        <w:jc w:val="left"/>
        <w:rPr>
          <w:rFonts w:ascii="仿宋_GB2312" w:eastAsia="仿宋_GB2312"/>
          <w:sz w:val="24"/>
        </w:rPr>
      </w:pPr>
      <w:r>
        <w:rPr>
          <w:rFonts w:ascii="仿宋_GB2312" w:eastAsia="仿宋_GB2312"/>
          <w:b/>
          <w:sz w:val="24"/>
        </w:rPr>
        <w:t>19.1</w:t>
      </w:r>
      <w:r>
        <w:rPr>
          <w:rFonts w:hint="eastAsia" w:ascii="仿宋_GB2312" w:eastAsia="仿宋_GB2312"/>
          <w:b/>
          <w:sz w:val="24"/>
        </w:rPr>
        <w:t>招标文件前附表</w:t>
      </w:r>
      <w:r>
        <w:rPr>
          <w:rFonts w:hint="eastAsia" w:ascii="仿宋_GB2312" w:eastAsia="仿宋_GB2312"/>
          <w:sz w:val="24"/>
        </w:rPr>
        <w:t>规定交纳</w:t>
      </w:r>
      <w:r>
        <w:rPr>
          <w:rFonts w:hint="eastAsia" w:ascii="仿宋_GB2312" w:eastAsia="仿宋_GB2312"/>
          <w:bCs/>
          <w:sz w:val="24"/>
        </w:rPr>
        <w:t>投标保证金的</w:t>
      </w:r>
      <w:r>
        <w:rPr>
          <w:rFonts w:hint="eastAsia" w:ascii="仿宋_GB2312" w:eastAsia="仿宋_GB2312"/>
          <w:sz w:val="24"/>
        </w:rPr>
        <w:t>，</w:t>
      </w:r>
      <w:r>
        <w:rPr>
          <w:rFonts w:hint="eastAsia" w:ascii="仿宋_GB2312" w:eastAsia="仿宋_GB2312"/>
          <w:bCs/>
          <w:sz w:val="24"/>
        </w:rPr>
        <w:t>投标人应</w:t>
      </w:r>
      <w:r>
        <w:rPr>
          <w:rFonts w:hint="eastAsia" w:ascii="仿宋_GB2312" w:eastAsia="仿宋_GB2312"/>
          <w:sz w:val="24"/>
        </w:rPr>
        <w:t>以银行转账、</w:t>
      </w:r>
      <w:r>
        <w:rPr>
          <w:rFonts w:ascii="仿宋_GB2312" w:eastAsia="仿宋_GB2312"/>
          <w:sz w:val="24"/>
        </w:rPr>
        <w:t>保函</w:t>
      </w:r>
      <w:r>
        <w:rPr>
          <w:rFonts w:hint="eastAsia" w:ascii="仿宋_GB2312" w:eastAsia="仿宋_GB2312"/>
          <w:sz w:val="24"/>
        </w:rPr>
        <w:t>等非现金形式，</w:t>
      </w:r>
      <w:r>
        <w:rPr>
          <w:rFonts w:hint="eastAsia" w:ascii="仿宋_GB2312" w:eastAsia="仿宋_GB2312"/>
          <w:bCs/>
          <w:sz w:val="24"/>
        </w:rPr>
        <w:t>在投标截止时间前，向采购人提交</w:t>
      </w:r>
      <w:r>
        <w:rPr>
          <w:rFonts w:hint="eastAsia" w:ascii="仿宋_GB2312" w:eastAsia="仿宋_GB2312"/>
          <w:bCs/>
          <w:sz w:val="24"/>
          <w:highlight w:val="yellow"/>
        </w:rPr>
        <w:t>伍拾万元（</w:t>
      </w:r>
      <w:r>
        <w:rPr>
          <w:rFonts w:ascii="仿宋_GB2312" w:eastAsia="仿宋_GB2312"/>
          <w:bCs/>
          <w:sz w:val="24"/>
          <w:highlight w:val="yellow"/>
        </w:rPr>
        <w:t>500</w:t>
      </w:r>
      <w:r>
        <w:rPr>
          <w:rFonts w:hint="eastAsia" w:ascii="仿宋_GB2312" w:eastAsia="仿宋_GB2312"/>
          <w:bCs/>
          <w:sz w:val="24"/>
          <w:highlight w:val="yellow"/>
        </w:rPr>
        <w:t>,000元）</w:t>
      </w:r>
      <w:r>
        <w:rPr>
          <w:rFonts w:hint="eastAsia" w:ascii="仿宋_GB2312" w:eastAsia="仿宋_GB2312"/>
          <w:bCs/>
          <w:sz w:val="24"/>
        </w:rPr>
        <w:t>的投标保证金</w:t>
      </w:r>
      <w:r>
        <w:rPr>
          <w:rFonts w:hint="eastAsia" w:ascii="仿宋_GB2312" w:eastAsia="仿宋_GB2312"/>
          <w:sz w:val="24"/>
        </w:rPr>
        <w:t>。</w:t>
      </w:r>
      <w:r>
        <w:rPr>
          <w:rFonts w:hint="eastAsia" w:ascii="仿宋_GB2312" w:eastAsia="仿宋_GB2312"/>
          <w:bCs/>
          <w:sz w:val="24"/>
        </w:rPr>
        <w:t>投标保证金有效期应与</w:t>
      </w:r>
      <w:r>
        <w:rPr>
          <w:rFonts w:hint="eastAsia" w:ascii="仿宋_GB2312" w:eastAsia="仿宋_GB2312"/>
          <w:sz w:val="24"/>
        </w:rPr>
        <w:t>本章规定</w:t>
      </w:r>
      <w:r>
        <w:rPr>
          <w:rFonts w:hint="eastAsia" w:ascii="仿宋_GB2312" w:eastAsia="仿宋_GB2312"/>
          <w:bCs/>
          <w:sz w:val="24"/>
        </w:rPr>
        <w:t>的投标有效期一致。投标人</w:t>
      </w:r>
      <w:r>
        <w:rPr>
          <w:rFonts w:hint="eastAsia" w:ascii="仿宋_GB2312" w:eastAsia="仿宋_GB2312"/>
          <w:sz w:val="24"/>
        </w:rPr>
        <w:t>未按照招标文件要求提交投标保证金的，</w:t>
      </w:r>
      <w:r>
        <w:rPr>
          <w:rFonts w:hint="eastAsia" w:ascii="仿宋_GB2312" w:eastAsia="仿宋_GB2312"/>
          <w:bCs/>
          <w:sz w:val="24"/>
        </w:rPr>
        <w:t>采购代理机构</w:t>
      </w:r>
      <w:r>
        <w:rPr>
          <w:rFonts w:hint="eastAsia" w:ascii="仿宋_GB2312" w:eastAsia="仿宋_GB2312"/>
          <w:sz w:val="24"/>
        </w:rPr>
        <w:t>将拒绝接收投标人的投标文件或评标委员会在评标时将其视为无效投标。</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19.2</w:t>
      </w:r>
      <w:r>
        <w:rPr>
          <w:rFonts w:hint="eastAsia" w:ascii="仿宋_GB2312" w:eastAsia="仿宋_GB2312"/>
          <w:sz w:val="24"/>
        </w:rPr>
        <w:t>未成交的投标人的投标保证金，将在成交通知书发出后五个工作日内无息退还。</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19.3</w:t>
      </w:r>
      <w:r>
        <w:rPr>
          <w:rFonts w:hint="eastAsia" w:ascii="仿宋_GB2312" w:eastAsia="仿宋_GB2312"/>
          <w:sz w:val="24"/>
        </w:rPr>
        <w:t>成交的投标人的投标保证金，将在《</w:t>
      </w:r>
      <w:r>
        <w:rPr>
          <w:rFonts w:ascii="仿宋_GB2312" w:eastAsia="仿宋_GB2312"/>
          <w:sz w:val="24"/>
        </w:rPr>
        <w:t>PPP</w:t>
      </w:r>
      <w:r>
        <w:rPr>
          <w:rFonts w:hint="eastAsia" w:ascii="仿宋_GB2312" w:eastAsia="仿宋_GB2312"/>
          <w:sz w:val="24"/>
        </w:rPr>
        <w:t>项目合同》签订后五个工作日内无息退还。</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19.4</w:t>
      </w:r>
      <w:r>
        <w:rPr>
          <w:rFonts w:hint="eastAsia" w:ascii="仿宋_GB2312" w:eastAsia="仿宋_GB2312"/>
          <w:sz w:val="24"/>
        </w:rPr>
        <w:t>有以下情形之一的，投标保证金将不予退还：</w:t>
      </w:r>
    </w:p>
    <w:p>
      <w:pPr>
        <w:tabs>
          <w:tab w:val="left" w:pos="1134"/>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）投标人在本章第</w:t>
      </w:r>
      <w:r>
        <w:rPr>
          <w:rFonts w:ascii="仿宋_GB2312" w:eastAsia="仿宋_GB2312"/>
          <w:sz w:val="24"/>
        </w:rPr>
        <w:t>20.1</w:t>
      </w:r>
      <w:r>
        <w:rPr>
          <w:rFonts w:hint="eastAsia" w:ascii="仿宋_GB2312" w:eastAsia="仿宋_GB2312"/>
          <w:kern w:val="0"/>
          <w:sz w:val="24"/>
          <w:lang w:val="zh-CN"/>
        </w:rPr>
        <w:t>款</w:t>
      </w:r>
      <w:r>
        <w:rPr>
          <w:rFonts w:hint="eastAsia" w:ascii="仿宋_GB2312" w:eastAsia="仿宋_GB2312"/>
          <w:bCs/>
          <w:sz w:val="24"/>
        </w:rPr>
        <w:t>规定的</w:t>
      </w:r>
      <w:r>
        <w:rPr>
          <w:rFonts w:hint="eastAsia" w:ascii="仿宋_GB2312" w:eastAsia="仿宋_GB2312"/>
          <w:sz w:val="24"/>
        </w:rPr>
        <w:t>投标有效期内撤回或修改投标文件；</w:t>
      </w:r>
      <w:r>
        <w:rPr>
          <w:rFonts w:ascii="仿宋_GB2312" w:eastAsia="仿宋_GB2312"/>
          <w:sz w:val="24"/>
        </w:rPr>
        <w:t xml:space="preserve"> </w:t>
      </w:r>
    </w:p>
    <w:p>
      <w:pPr>
        <w:tabs>
          <w:tab w:val="left" w:pos="1134"/>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）投标提供虚假材料谋取成交的；</w:t>
      </w:r>
    </w:p>
    <w:p>
      <w:pPr>
        <w:tabs>
          <w:tab w:val="left" w:pos="1134"/>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）确定成交人后，成交人无正当理由放弃成交资格的；</w:t>
      </w:r>
    </w:p>
    <w:p>
      <w:pPr>
        <w:tabs>
          <w:tab w:val="left" w:pos="1134"/>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）成交后，无正当理由不签订投资合作合同、</w:t>
      </w:r>
      <w:r>
        <w:rPr>
          <w:rFonts w:ascii="仿宋_GB2312" w:eastAsia="仿宋_GB2312"/>
          <w:sz w:val="24"/>
        </w:rPr>
        <w:t>PPP</w:t>
      </w:r>
      <w:r>
        <w:rPr>
          <w:rFonts w:hint="eastAsia" w:ascii="仿宋_GB2312" w:eastAsia="仿宋_GB2312"/>
          <w:sz w:val="24"/>
        </w:rPr>
        <w:t>项目合同等法律文本或转让、分包项目以及拒绝履行合同或协议义务的；</w:t>
      </w:r>
    </w:p>
    <w:p>
      <w:pPr>
        <w:tabs>
          <w:tab w:val="left" w:pos="1134"/>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）招标文件规定的其他情形。</w:t>
      </w:r>
    </w:p>
    <w:p>
      <w:pPr>
        <w:pStyle w:val="4"/>
        <w:spacing w:before="192" w:beforeLines="80" w:after="0" w:line="360" w:lineRule="auto"/>
        <w:rPr>
          <w:rFonts w:hAnsi="Times New Roman"/>
          <w:sz w:val="24"/>
          <w:szCs w:val="24"/>
        </w:rPr>
      </w:pPr>
      <w:bookmarkStart w:id="104" w:name="_Toc429862199"/>
      <w:bookmarkStart w:id="105" w:name="_Toc429604198"/>
      <w:bookmarkStart w:id="106" w:name="_Toc333327451"/>
      <w:bookmarkStart w:id="107" w:name="_Toc429602557"/>
      <w:r>
        <w:rPr>
          <w:rFonts w:hAnsi="Times New Roman"/>
          <w:sz w:val="24"/>
          <w:szCs w:val="24"/>
        </w:rPr>
        <w:t>20</w:t>
      </w:r>
      <w:r>
        <w:rPr>
          <w:rFonts w:hint="eastAsia" w:hAnsi="Times New Roman"/>
          <w:sz w:val="24"/>
          <w:szCs w:val="24"/>
        </w:rPr>
        <w:t>、投标有效期</w:t>
      </w:r>
      <w:bookmarkEnd w:id="104"/>
      <w:bookmarkEnd w:id="105"/>
      <w:bookmarkEnd w:id="106"/>
      <w:bookmarkEnd w:id="107"/>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20.1</w:t>
      </w:r>
      <w:r>
        <w:rPr>
          <w:rFonts w:hint="eastAsia" w:ascii="仿宋_GB2312" w:eastAsia="仿宋_GB2312"/>
          <w:sz w:val="24"/>
        </w:rPr>
        <w:t>投标有效期见</w:t>
      </w:r>
      <w:r>
        <w:rPr>
          <w:rFonts w:hint="eastAsia" w:ascii="仿宋_GB2312" w:eastAsia="仿宋_GB2312"/>
          <w:b/>
          <w:sz w:val="24"/>
        </w:rPr>
        <w:t>招标文件前附表</w:t>
      </w:r>
      <w:r>
        <w:rPr>
          <w:rFonts w:hint="eastAsia" w:ascii="仿宋_GB2312" w:eastAsia="仿宋_GB2312"/>
          <w:sz w:val="24"/>
        </w:rPr>
        <w:t>，在此期间投标文件对投标人具有法律约束力，以保证采购人有足够的时间完成评标、定标以及签订合同。投标有效期从</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10.1</w:t>
      </w:r>
      <w:r>
        <w:rPr>
          <w:rFonts w:hint="eastAsia" w:ascii="仿宋_GB2312" w:eastAsia="仿宋_GB2312"/>
          <w:kern w:val="0"/>
          <w:sz w:val="24"/>
          <w:lang w:val="zh-CN"/>
        </w:rPr>
        <w:t>款</w:t>
      </w:r>
      <w:r>
        <w:rPr>
          <w:rFonts w:hint="eastAsia" w:ascii="仿宋_GB2312" w:eastAsia="仿宋_GB2312"/>
          <w:sz w:val="24"/>
        </w:rPr>
        <w:t>规定的投标截止之日起计算。投标有效期不足的，在评标时将其视为无效投标。</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20.2</w:t>
      </w:r>
      <w:r>
        <w:rPr>
          <w:rFonts w:hint="eastAsia" w:ascii="仿宋_GB2312" w:eastAsia="仿宋_GB2312"/>
          <w:sz w:val="24"/>
        </w:rPr>
        <w:t>特殊情况需延长投标有效期的，采购代理机构可于投标有效期届满之前，要求投标人同意延长有效期，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2"/>
        <w:pageBreakBefore w:val="0"/>
        <w:spacing w:before="120" w:beforeLines="50" w:afterLines="50" w:line="240" w:lineRule="auto"/>
        <w:ind w:left="0" w:firstLine="0"/>
        <w:rPr>
          <w:rFonts w:ascii="仿宋_GB2312" w:eastAsia="仿宋_GB2312"/>
        </w:rPr>
      </w:pPr>
      <w:bookmarkStart w:id="108" w:name="_Toc429862201"/>
      <w:bookmarkStart w:id="109" w:name="_Toc333327453"/>
      <w:bookmarkStart w:id="110" w:name="_Toc429602559"/>
      <w:bookmarkStart w:id="111" w:name="_Toc32031"/>
      <w:bookmarkStart w:id="112" w:name="_Toc429604200"/>
      <w:bookmarkStart w:id="113" w:name="_Toc481542887"/>
      <w:r>
        <w:rPr>
          <w:rFonts w:hint="eastAsia" w:ascii="仿宋_GB2312" w:eastAsia="仿宋_GB2312"/>
        </w:rPr>
        <w:t>四、投标文件的递交</w:t>
      </w:r>
      <w:bookmarkEnd w:id="108"/>
      <w:bookmarkEnd w:id="109"/>
      <w:bookmarkEnd w:id="110"/>
      <w:bookmarkEnd w:id="111"/>
      <w:bookmarkEnd w:id="112"/>
      <w:r>
        <w:rPr>
          <w:rFonts w:hint="eastAsia" w:ascii="仿宋_GB2312" w:eastAsia="仿宋_GB2312"/>
        </w:rPr>
        <w:t>、修改和撤回</w:t>
      </w:r>
      <w:bookmarkEnd w:id="113"/>
    </w:p>
    <w:p>
      <w:pPr>
        <w:pStyle w:val="4"/>
        <w:spacing w:before="192" w:beforeLines="80" w:after="0" w:line="360" w:lineRule="auto"/>
        <w:rPr>
          <w:rFonts w:hAnsi="Times New Roman"/>
          <w:sz w:val="24"/>
          <w:szCs w:val="24"/>
        </w:rPr>
      </w:pPr>
      <w:bookmarkStart w:id="114" w:name="_Toc333327455"/>
      <w:bookmarkStart w:id="115" w:name="_Toc429604202"/>
      <w:bookmarkStart w:id="116" w:name="_Toc429602561"/>
      <w:bookmarkStart w:id="117" w:name="_Toc429862203"/>
      <w:r>
        <w:rPr>
          <w:rFonts w:hAnsi="Times New Roman"/>
          <w:sz w:val="24"/>
          <w:szCs w:val="24"/>
        </w:rPr>
        <w:t>21</w:t>
      </w:r>
      <w:r>
        <w:rPr>
          <w:rFonts w:hint="eastAsia" w:hAnsi="Times New Roman"/>
          <w:sz w:val="24"/>
          <w:szCs w:val="24"/>
        </w:rPr>
        <w:t>、投标文件的递交</w:t>
      </w:r>
      <w:bookmarkEnd w:id="114"/>
      <w:bookmarkEnd w:id="115"/>
      <w:bookmarkEnd w:id="116"/>
      <w:bookmarkEnd w:id="117"/>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21.1</w:t>
      </w:r>
      <w:r>
        <w:rPr>
          <w:rFonts w:hint="eastAsia" w:ascii="仿宋_GB2312" w:eastAsia="仿宋_GB2312"/>
          <w:sz w:val="24"/>
        </w:rPr>
        <w:t>投标文件应在本章规定的投标截止时间之前送达</w:t>
      </w:r>
      <w:r>
        <w:rPr>
          <w:rFonts w:hint="eastAsia" w:ascii="仿宋_GB2312" w:eastAsia="仿宋_GB2312"/>
          <w:b/>
          <w:sz w:val="24"/>
        </w:rPr>
        <w:t>招标文件前附表</w:t>
      </w:r>
      <w:r>
        <w:rPr>
          <w:rFonts w:hint="eastAsia" w:ascii="仿宋_GB2312" w:eastAsia="仿宋_GB2312"/>
          <w:sz w:val="24"/>
        </w:rPr>
        <w:t>指定的地点。</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21.2</w:t>
      </w:r>
      <w:r>
        <w:rPr>
          <w:rFonts w:hint="eastAsia" w:ascii="仿宋_GB2312" w:eastAsia="仿宋_GB2312"/>
          <w:sz w:val="24"/>
        </w:rPr>
        <w:t>逾期送达或未送达指定地点的投标文件，采购代理机构将拒绝接收。</w:t>
      </w:r>
    </w:p>
    <w:p>
      <w:pPr>
        <w:pStyle w:val="4"/>
        <w:spacing w:before="192" w:beforeLines="80" w:after="0" w:line="360" w:lineRule="auto"/>
        <w:rPr>
          <w:rFonts w:hAnsi="Times New Roman"/>
          <w:sz w:val="24"/>
          <w:szCs w:val="24"/>
        </w:rPr>
      </w:pPr>
      <w:bookmarkStart w:id="118" w:name="_Toc429862204"/>
      <w:bookmarkStart w:id="119" w:name="_Toc429604203"/>
      <w:bookmarkStart w:id="120" w:name="_Toc429602562"/>
      <w:bookmarkStart w:id="121" w:name="_Toc333327456"/>
      <w:r>
        <w:rPr>
          <w:rFonts w:hAnsi="Times New Roman"/>
          <w:sz w:val="24"/>
          <w:szCs w:val="24"/>
        </w:rPr>
        <w:t>22</w:t>
      </w:r>
      <w:r>
        <w:rPr>
          <w:rFonts w:hint="eastAsia" w:hAnsi="Times New Roman"/>
          <w:sz w:val="24"/>
          <w:szCs w:val="24"/>
        </w:rPr>
        <w:t>、投标文件的修改和撤回</w:t>
      </w:r>
      <w:bookmarkEnd w:id="118"/>
      <w:bookmarkEnd w:id="119"/>
      <w:bookmarkEnd w:id="120"/>
      <w:bookmarkEnd w:id="121"/>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22.1</w:t>
      </w:r>
      <w:r>
        <w:rPr>
          <w:rFonts w:hint="eastAsia" w:ascii="仿宋_GB2312" w:eastAsia="仿宋_GB2312"/>
          <w:sz w:val="24"/>
        </w:rPr>
        <w:t>在</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10.1</w:t>
      </w:r>
      <w:r>
        <w:rPr>
          <w:rFonts w:hint="eastAsia" w:ascii="仿宋_GB2312" w:eastAsia="仿宋_GB2312"/>
          <w:kern w:val="0"/>
          <w:sz w:val="24"/>
          <w:lang w:val="zh-CN"/>
        </w:rPr>
        <w:t>款</w:t>
      </w:r>
      <w:r>
        <w:rPr>
          <w:rFonts w:hint="eastAsia" w:ascii="仿宋_GB2312" w:eastAsia="仿宋_GB2312"/>
          <w:sz w:val="24"/>
        </w:rPr>
        <w:t>规定的投标截止时间前，投标人可以书面形式修改、补充或撤回己递交的投标文件，但应以书面形式通知采购代理机构。</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22.2</w:t>
      </w:r>
      <w:r>
        <w:rPr>
          <w:rFonts w:hint="eastAsia" w:ascii="仿宋_GB2312" w:eastAsia="仿宋_GB2312"/>
          <w:sz w:val="24"/>
        </w:rPr>
        <w:t>修改、补充的内容为投标文件的组成部分。修改、补充的投标文件应按本章第</w:t>
      </w:r>
      <w:r>
        <w:rPr>
          <w:rFonts w:ascii="仿宋_GB2312" w:eastAsia="仿宋_GB2312"/>
          <w:sz w:val="24"/>
        </w:rPr>
        <w:t>21</w:t>
      </w:r>
      <w:r>
        <w:rPr>
          <w:rFonts w:hint="eastAsia" w:ascii="仿宋_GB2312" w:eastAsia="仿宋_GB2312"/>
          <w:sz w:val="24"/>
        </w:rPr>
        <w:t>、</w:t>
      </w:r>
      <w:r>
        <w:rPr>
          <w:rFonts w:ascii="仿宋_GB2312" w:eastAsia="仿宋_GB2312"/>
          <w:sz w:val="24"/>
        </w:rPr>
        <w:t>22</w:t>
      </w:r>
      <w:r>
        <w:rPr>
          <w:rFonts w:hint="eastAsia" w:ascii="仿宋_GB2312" w:eastAsia="仿宋_GB2312"/>
          <w:sz w:val="24"/>
        </w:rPr>
        <w:t>项规定编制、签署、密封、标记和递交，并标明“修改、补充”字样。</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22.3</w:t>
      </w:r>
      <w:r>
        <w:rPr>
          <w:rFonts w:hint="eastAsia" w:ascii="仿宋_GB2312" w:eastAsia="仿宋_GB2312"/>
          <w:sz w:val="24"/>
        </w:rPr>
        <w:t>投标人撤回投标文件的，采购代理机构自收到投标人书面撤回通知之日起五日内退还已收取的投标保证金。</w:t>
      </w:r>
    </w:p>
    <w:p>
      <w:pPr>
        <w:pStyle w:val="4"/>
        <w:spacing w:before="192" w:beforeLines="80" w:after="0" w:line="360" w:lineRule="auto"/>
        <w:rPr>
          <w:rFonts w:hAnsi="Times New Roman"/>
          <w:sz w:val="24"/>
          <w:szCs w:val="24"/>
        </w:rPr>
      </w:pPr>
      <w:bookmarkStart w:id="122" w:name="_Toc429862205"/>
      <w:bookmarkStart w:id="123" w:name="_Toc429602563"/>
      <w:bookmarkStart w:id="124" w:name="_Toc429604204"/>
      <w:bookmarkStart w:id="125" w:name="_Toc333327457"/>
      <w:r>
        <w:rPr>
          <w:rFonts w:hAnsi="Times New Roman"/>
          <w:sz w:val="24"/>
          <w:szCs w:val="24"/>
        </w:rPr>
        <w:t>23</w:t>
      </w:r>
      <w:r>
        <w:rPr>
          <w:rFonts w:hint="eastAsia" w:hAnsi="Times New Roman"/>
          <w:sz w:val="24"/>
          <w:szCs w:val="24"/>
        </w:rPr>
        <w:t>、串通投标行为</w:t>
      </w:r>
      <w:bookmarkEnd w:id="122"/>
      <w:bookmarkEnd w:id="123"/>
      <w:bookmarkEnd w:id="124"/>
      <w:bookmarkEnd w:id="125"/>
    </w:p>
    <w:p>
      <w:pPr>
        <w:pStyle w:val="41"/>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ascii="仿宋_GB2312" w:hAnsi="Times New Roman" w:eastAsia="仿宋_GB2312" w:cs="Times New Roman"/>
        </w:rPr>
        <w:t>23.1</w:t>
      </w:r>
      <w:r>
        <w:rPr>
          <w:rFonts w:hint="eastAsia" w:ascii="仿宋_GB2312" w:hAnsi="Times New Roman" w:eastAsia="仿宋_GB2312" w:cs="Times New Roman"/>
        </w:rPr>
        <w:t>投标人有以下情形之一的，可认定其有串通投标行为，成交无效：</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1</w:t>
      </w:r>
      <w:r>
        <w:rPr>
          <w:rFonts w:hint="eastAsia" w:ascii="仿宋_GB2312" w:hAnsi="Times New Roman" w:eastAsia="仿宋_GB2312" w:cs="Times New Roman"/>
        </w:rPr>
        <w:t>）投标人之间协商投标报价等投标文件的实质性内容；</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2</w:t>
      </w:r>
      <w:r>
        <w:rPr>
          <w:rFonts w:hint="eastAsia" w:ascii="仿宋_GB2312" w:hAnsi="Times New Roman" w:eastAsia="仿宋_GB2312" w:cs="Times New Roman"/>
        </w:rPr>
        <w:t>）投标人之间约定成交人；</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3</w:t>
      </w:r>
      <w:r>
        <w:rPr>
          <w:rFonts w:hint="eastAsia" w:ascii="仿宋_GB2312" w:hAnsi="Times New Roman" w:eastAsia="仿宋_GB2312" w:cs="Times New Roman"/>
        </w:rPr>
        <w:t>）投标人之间约定部分投标人放弃投标或者成交；</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4</w:t>
      </w:r>
      <w:r>
        <w:rPr>
          <w:rFonts w:hint="eastAsia" w:ascii="仿宋_GB2312" w:hAnsi="Times New Roman" w:eastAsia="仿宋_GB2312" w:cs="Times New Roman"/>
        </w:rPr>
        <w:t>）属于同一集团、协会、商会等组织成员的投标人按照该组织要求协同投标；</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5</w:t>
      </w:r>
      <w:r>
        <w:rPr>
          <w:rFonts w:hint="eastAsia" w:ascii="仿宋_GB2312" w:hAnsi="Times New Roman" w:eastAsia="仿宋_GB2312" w:cs="Times New Roman"/>
        </w:rPr>
        <w:t>）投标人之间为谋取成交或者排斥特定投标人而采取的其他联合行动；</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6</w:t>
      </w:r>
      <w:r>
        <w:rPr>
          <w:rFonts w:hint="eastAsia" w:ascii="仿宋_GB2312" w:hAnsi="Times New Roman" w:eastAsia="仿宋_GB2312" w:cs="Times New Roman"/>
        </w:rPr>
        <w:t>）不同投标人的投标文件由同一单位或者个人编制；</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7</w:t>
      </w:r>
      <w:r>
        <w:rPr>
          <w:rFonts w:hint="eastAsia" w:ascii="仿宋_GB2312" w:hAnsi="Times New Roman" w:eastAsia="仿宋_GB2312" w:cs="Times New Roman"/>
        </w:rPr>
        <w:t>）不同投标人委托同一单位或者个人办理投标事宜；</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8</w:t>
      </w:r>
      <w:r>
        <w:rPr>
          <w:rFonts w:hint="eastAsia" w:ascii="仿宋_GB2312" w:hAnsi="Times New Roman" w:eastAsia="仿宋_GB2312" w:cs="Times New Roman"/>
        </w:rPr>
        <w:t>）不同投标人的投标文件载明的项目管理成员为同一人；</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9</w:t>
      </w:r>
      <w:r>
        <w:rPr>
          <w:rFonts w:hint="eastAsia" w:ascii="仿宋_GB2312" w:hAnsi="Times New Roman" w:eastAsia="仿宋_GB2312" w:cs="Times New Roman"/>
        </w:rPr>
        <w:t>）不同投标人的投标文件异常一致或者投标报价呈规律性差异；</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10</w:t>
      </w:r>
      <w:r>
        <w:rPr>
          <w:rFonts w:hint="eastAsia" w:ascii="仿宋_GB2312" w:hAnsi="Times New Roman" w:eastAsia="仿宋_GB2312" w:cs="Times New Roman"/>
        </w:rPr>
        <w:t>）不同投标人的投标文件相互混装；</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11</w:t>
      </w:r>
      <w:r>
        <w:rPr>
          <w:rFonts w:hint="eastAsia" w:ascii="仿宋_GB2312" w:hAnsi="Times New Roman" w:eastAsia="仿宋_GB2312" w:cs="Times New Roman"/>
        </w:rPr>
        <w:t>）不同投标人的投标保证金从同一单位或者个人的账户转出；</w:t>
      </w:r>
    </w:p>
    <w:p>
      <w:pPr>
        <w:pStyle w:val="41"/>
        <w:tabs>
          <w:tab w:val="left" w:pos="1134"/>
        </w:tabs>
        <w:adjustRightInd w:val="0"/>
        <w:snapToGrid w:val="0"/>
        <w:spacing w:before="120" w:beforeLines="50" w:beforeAutospacing="0" w:after="0" w:afterAutospacing="0"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w:t>
      </w:r>
      <w:r>
        <w:rPr>
          <w:rFonts w:ascii="仿宋_GB2312" w:hAnsi="Times New Roman" w:eastAsia="仿宋_GB2312" w:cs="Times New Roman"/>
        </w:rPr>
        <w:t>12</w:t>
      </w:r>
      <w:r>
        <w:rPr>
          <w:rFonts w:hint="eastAsia" w:ascii="仿宋_GB2312" w:hAnsi="Times New Roman" w:eastAsia="仿宋_GB2312" w:cs="Times New Roman"/>
        </w:rPr>
        <w:t>）法律、法规或规章规定的其他串通投标行为。</w:t>
      </w:r>
    </w:p>
    <w:p>
      <w:pPr>
        <w:pStyle w:val="2"/>
        <w:pageBreakBefore w:val="0"/>
        <w:spacing w:before="120" w:beforeLines="50" w:afterLines="50" w:line="240" w:lineRule="auto"/>
        <w:ind w:left="0" w:firstLine="0"/>
        <w:rPr>
          <w:rFonts w:ascii="仿宋_GB2312" w:eastAsia="仿宋_GB2312"/>
        </w:rPr>
      </w:pPr>
      <w:bookmarkStart w:id="126" w:name="_Toc333327458"/>
      <w:bookmarkStart w:id="127" w:name="_Toc429602564"/>
      <w:bookmarkStart w:id="128" w:name="_Toc429862206"/>
      <w:bookmarkStart w:id="129" w:name="_Toc429604205"/>
      <w:bookmarkStart w:id="130" w:name="_Toc29344"/>
      <w:bookmarkStart w:id="131" w:name="_Toc481542888"/>
      <w:r>
        <w:rPr>
          <w:rFonts w:hint="eastAsia" w:ascii="仿宋_GB2312" w:eastAsia="仿宋_GB2312"/>
        </w:rPr>
        <w:t>五、开标和评标</w:t>
      </w:r>
      <w:bookmarkEnd w:id="126"/>
      <w:bookmarkEnd w:id="127"/>
      <w:bookmarkEnd w:id="128"/>
      <w:bookmarkEnd w:id="129"/>
      <w:bookmarkEnd w:id="130"/>
      <w:bookmarkEnd w:id="131"/>
    </w:p>
    <w:p>
      <w:pPr>
        <w:pStyle w:val="4"/>
        <w:spacing w:before="192" w:beforeLines="80" w:after="0" w:line="360" w:lineRule="auto"/>
        <w:rPr>
          <w:rFonts w:hAnsi="Times New Roman"/>
          <w:sz w:val="24"/>
          <w:szCs w:val="24"/>
        </w:rPr>
      </w:pPr>
      <w:bookmarkStart w:id="132" w:name="_Toc429604206"/>
      <w:bookmarkStart w:id="133" w:name="_Toc429862207"/>
      <w:bookmarkStart w:id="134" w:name="_Toc429602565"/>
      <w:bookmarkStart w:id="135" w:name="_Toc333327459"/>
      <w:r>
        <w:rPr>
          <w:rFonts w:hAnsi="Times New Roman"/>
          <w:sz w:val="24"/>
          <w:szCs w:val="24"/>
        </w:rPr>
        <w:t>24</w:t>
      </w:r>
      <w:r>
        <w:rPr>
          <w:rFonts w:hint="eastAsia" w:hAnsi="Times New Roman"/>
          <w:sz w:val="24"/>
          <w:szCs w:val="24"/>
        </w:rPr>
        <w:t>、开标</w:t>
      </w:r>
      <w:bookmarkEnd w:id="132"/>
      <w:bookmarkEnd w:id="133"/>
      <w:bookmarkEnd w:id="134"/>
      <w:bookmarkEnd w:id="135"/>
    </w:p>
    <w:p>
      <w:pPr>
        <w:tabs>
          <w:tab w:val="left" w:pos="426"/>
          <w:tab w:val="left" w:pos="993"/>
          <w:tab w:val="left" w:pos="7560"/>
          <w:tab w:val="left" w:pos="8280"/>
        </w:tabs>
        <w:adjustRightInd w:val="0"/>
        <w:snapToGrid w:val="0"/>
        <w:spacing w:before="120" w:beforeLines="50" w:line="360" w:lineRule="auto"/>
        <w:ind w:right="31" w:rightChars="15" w:firstLine="480" w:firstLineChars="200"/>
        <w:jc w:val="left"/>
        <w:rPr>
          <w:rFonts w:ascii="仿宋_GB2312" w:eastAsia="仿宋_GB2312"/>
          <w:sz w:val="24"/>
        </w:rPr>
      </w:pPr>
      <w:r>
        <w:rPr>
          <w:rFonts w:ascii="仿宋_GB2312" w:eastAsia="仿宋_GB2312"/>
          <w:sz w:val="24"/>
        </w:rPr>
        <w:t>24.1</w:t>
      </w:r>
      <w:r>
        <w:rPr>
          <w:rFonts w:hint="eastAsia" w:ascii="仿宋_GB2312" w:eastAsia="仿宋_GB2312"/>
          <w:sz w:val="24"/>
        </w:rPr>
        <w:t>采购代理机构在</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10.1</w:t>
      </w:r>
      <w:r>
        <w:rPr>
          <w:rFonts w:hint="eastAsia" w:ascii="仿宋_GB2312" w:eastAsia="仿宋_GB2312"/>
          <w:kern w:val="0"/>
          <w:sz w:val="24"/>
          <w:lang w:val="zh-CN"/>
        </w:rPr>
        <w:t>款</w:t>
      </w:r>
      <w:r>
        <w:rPr>
          <w:rFonts w:hint="eastAsia" w:ascii="仿宋_GB2312" w:eastAsia="仿宋_GB2312"/>
          <w:sz w:val="24"/>
        </w:rPr>
        <w:t>规定的投标截止时间</w:t>
      </w:r>
      <w:r>
        <w:rPr>
          <w:rFonts w:ascii="仿宋_GB2312" w:eastAsia="仿宋_GB2312"/>
          <w:sz w:val="24"/>
        </w:rPr>
        <w:t>(</w:t>
      </w:r>
      <w:r>
        <w:rPr>
          <w:rFonts w:hint="eastAsia" w:ascii="仿宋_GB2312" w:eastAsia="仿宋_GB2312"/>
          <w:sz w:val="24"/>
        </w:rPr>
        <w:t>开标时间</w:t>
      </w:r>
      <w:r>
        <w:rPr>
          <w:rFonts w:ascii="仿宋_GB2312" w:eastAsia="仿宋_GB2312"/>
          <w:sz w:val="24"/>
        </w:rPr>
        <w:t>)</w:t>
      </w:r>
      <w:r>
        <w:rPr>
          <w:rFonts w:hint="eastAsia" w:ascii="仿宋_GB2312" w:eastAsia="仿宋_GB2312"/>
          <w:sz w:val="24"/>
        </w:rPr>
        <w:t>和本章第</w:t>
      </w:r>
      <w:r>
        <w:rPr>
          <w:rFonts w:ascii="仿宋_GB2312" w:eastAsia="仿宋_GB2312"/>
          <w:sz w:val="24"/>
        </w:rPr>
        <w:t>22.1</w:t>
      </w:r>
      <w:r>
        <w:rPr>
          <w:rFonts w:hint="eastAsia" w:ascii="仿宋_GB2312" w:eastAsia="仿宋_GB2312"/>
          <w:sz w:val="24"/>
        </w:rPr>
        <w:t>项规定的地点组织公开开标，并邀请所有投标人法定代表人或其授权的代理人参加。参加开标的投标人代表应签名以证明其出席。</w:t>
      </w:r>
    </w:p>
    <w:p>
      <w:pPr>
        <w:tabs>
          <w:tab w:val="left" w:pos="426"/>
          <w:tab w:val="left" w:pos="993"/>
          <w:tab w:val="left" w:pos="7560"/>
          <w:tab w:val="left" w:pos="8280"/>
        </w:tabs>
        <w:adjustRightInd w:val="0"/>
        <w:snapToGrid w:val="0"/>
        <w:spacing w:before="120" w:beforeLines="50" w:line="360" w:lineRule="auto"/>
        <w:ind w:right="31" w:rightChars="15" w:firstLine="480" w:firstLineChars="200"/>
        <w:jc w:val="left"/>
        <w:rPr>
          <w:rFonts w:ascii="仿宋_GB2312" w:eastAsia="仿宋_GB2312"/>
          <w:sz w:val="24"/>
        </w:rPr>
      </w:pPr>
      <w:r>
        <w:rPr>
          <w:rFonts w:ascii="仿宋_GB2312" w:eastAsia="仿宋_GB2312"/>
          <w:sz w:val="24"/>
        </w:rPr>
        <w:t>24.2</w:t>
      </w:r>
      <w:r>
        <w:rPr>
          <w:rFonts w:hint="eastAsia" w:ascii="仿宋_GB2312" w:eastAsia="仿宋_GB2312"/>
          <w:sz w:val="24"/>
        </w:rPr>
        <w:t>开标时，公布在投标截止时间前递交投标文件的投标人名称；由投标人或其推选的代表检查投标文件的密封情况，也可以由采购代理机构委托的公证机构检查并公证；经确认无误后，由采购代理机构当众拆封投标文件，宣读投标人名称、投标价格、</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15.3</w:t>
      </w:r>
      <w:r>
        <w:rPr>
          <w:rFonts w:hint="eastAsia" w:ascii="仿宋_GB2312" w:eastAsia="仿宋_GB2312"/>
          <w:sz w:val="24"/>
        </w:rPr>
        <w:t>款规定的备选方案和</w:t>
      </w:r>
      <w:r>
        <w:rPr>
          <w:rFonts w:hint="eastAsia" w:ascii="仿宋_GB2312" w:eastAsia="仿宋_GB2312"/>
          <w:b/>
          <w:sz w:val="24"/>
        </w:rPr>
        <w:t>招标文件前附表</w:t>
      </w:r>
      <w:r>
        <w:rPr>
          <w:rFonts w:hint="eastAsia" w:ascii="仿宋_GB2312" w:eastAsia="仿宋_GB2312"/>
          <w:sz w:val="24"/>
        </w:rPr>
        <w:t>规定的投标文件的其他主要内容，并记录在案。</w:t>
      </w:r>
    </w:p>
    <w:p>
      <w:pPr>
        <w:tabs>
          <w:tab w:val="left" w:pos="426"/>
          <w:tab w:val="left" w:pos="993"/>
          <w:tab w:val="left" w:pos="7560"/>
          <w:tab w:val="left" w:pos="8280"/>
        </w:tabs>
        <w:adjustRightInd w:val="0"/>
        <w:snapToGrid w:val="0"/>
        <w:spacing w:before="120" w:beforeLines="50" w:line="360" w:lineRule="auto"/>
        <w:ind w:right="31" w:rightChars="15" w:firstLine="480" w:firstLineChars="200"/>
        <w:jc w:val="left"/>
        <w:rPr>
          <w:rFonts w:ascii="仿宋_GB2312" w:eastAsia="仿宋_GB2312"/>
          <w:sz w:val="24"/>
        </w:rPr>
      </w:pPr>
      <w:r>
        <w:rPr>
          <w:rFonts w:ascii="仿宋_GB2312" w:eastAsia="仿宋_GB2312"/>
          <w:sz w:val="24"/>
        </w:rPr>
        <w:t>24.3</w:t>
      </w:r>
      <w:r>
        <w:rPr>
          <w:rFonts w:hint="eastAsia" w:ascii="仿宋_GB2312" w:eastAsia="仿宋_GB2312"/>
          <w:sz w:val="24"/>
        </w:rPr>
        <w:t>开标时，如唱标人宣读的内容与投标文件不一致时，投标人代表应当当场提出。未宣读的投标价格和</w:t>
      </w:r>
      <w:r>
        <w:rPr>
          <w:rFonts w:hint="eastAsia" w:ascii="仿宋_GB2312" w:eastAsia="仿宋_GB2312"/>
          <w:b/>
          <w:sz w:val="24"/>
        </w:rPr>
        <w:t>招标文件前附表</w:t>
      </w:r>
      <w:r>
        <w:rPr>
          <w:rFonts w:hint="eastAsia" w:ascii="仿宋_GB2312" w:eastAsia="仿宋_GB2312"/>
          <w:sz w:val="24"/>
        </w:rPr>
        <w:t>第</w:t>
      </w:r>
      <w:r>
        <w:rPr>
          <w:rFonts w:ascii="仿宋_GB2312" w:eastAsia="仿宋_GB2312"/>
          <w:sz w:val="24"/>
        </w:rPr>
        <w:t>15.3</w:t>
      </w:r>
      <w:r>
        <w:rPr>
          <w:rFonts w:hint="eastAsia" w:ascii="仿宋_GB2312" w:eastAsia="仿宋_GB2312"/>
          <w:sz w:val="24"/>
        </w:rPr>
        <w:t>款规定的备选方案等实质性内容，评标时不予承认。</w:t>
      </w:r>
    </w:p>
    <w:p>
      <w:pPr>
        <w:tabs>
          <w:tab w:val="left" w:pos="426"/>
          <w:tab w:val="left" w:pos="993"/>
          <w:tab w:val="left" w:pos="7560"/>
          <w:tab w:val="left" w:pos="8280"/>
        </w:tabs>
        <w:adjustRightInd w:val="0"/>
        <w:snapToGrid w:val="0"/>
        <w:spacing w:before="120" w:beforeLines="50" w:line="360" w:lineRule="auto"/>
        <w:ind w:right="31" w:rightChars="15" w:firstLine="480" w:firstLineChars="200"/>
        <w:jc w:val="left"/>
        <w:rPr>
          <w:rFonts w:ascii="仿宋_GB2312" w:eastAsia="仿宋_GB2312"/>
          <w:sz w:val="24"/>
        </w:rPr>
      </w:pPr>
      <w:r>
        <w:rPr>
          <w:rFonts w:ascii="仿宋_GB2312" w:eastAsia="仿宋_GB2312"/>
          <w:sz w:val="24"/>
        </w:rPr>
        <w:t>24.4</w:t>
      </w:r>
      <w:r>
        <w:rPr>
          <w:rFonts w:hint="eastAsia" w:ascii="仿宋_GB2312" w:eastAsia="仿宋_GB2312"/>
          <w:sz w:val="24"/>
        </w:rPr>
        <w:t>投标人代表、采购人代表、采购代理机构代表、监督人（如果在现场）、记录人等有关人员在开标记录上签字确认。</w:t>
      </w:r>
    </w:p>
    <w:p>
      <w:pPr>
        <w:pStyle w:val="4"/>
        <w:spacing w:before="192" w:beforeLines="80" w:after="0" w:line="360" w:lineRule="auto"/>
        <w:rPr>
          <w:rFonts w:hAnsi="Times New Roman"/>
          <w:sz w:val="24"/>
          <w:szCs w:val="24"/>
        </w:rPr>
      </w:pPr>
      <w:bookmarkStart w:id="136" w:name="_Toc429862208"/>
      <w:bookmarkStart w:id="137" w:name="_Toc429602566"/>
      <w:bookmarkStart w:id="138" w:name="_Toc333327460"/>
      <w:bookmarkStart w:id="139" w:name="_Toc429604207"/>
      <w:r>
        <w:rPr>
          <w:rFonts w:hAnsi="Times New Roman"/>
          <w:sz w:val="24"/>
          <w:szCs w:val="24"/>
        </w:rPr>
        <w:t>25</w:t>
      </w:r>
      <w:r>
        <w:rPr>
          <w:rFonts w:hint="eastAsia" w:hAnsi="Times New Roman"/>
          <w:sz w:val="24"/>
          <w:szCs w:val="24"/>
        </w:rPr>
        <w:t>、评标委员会</w:t>
      </w:r>
      <w:bookmarkEnd w:id="136"/>
      <w:bookmarkEnd w:id="137"/>
      <w:bookmarkEnd w:id="138"/>
      <w:bookmarkEnd w:id="139"/>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25.1</w:t>
      </w:r>
      <w:r>
        <w:rPr>
          <w:rFonts w:hint="eastAsia" w:ascii="仿宋_GB2312" w:eastAsia="仿宋_GB2312"/>
          <w:sz w:val="24"/>
        </w:rPr>
        <w:t>评标由采购人或采购代理机构依法组建的评标委员会负责，评标委员会由采购人的代表和技术、商务、财务、法律等方面的专家组成。</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25.2</w:t>
      </w:r>
      <w:r>
        <w:rPr>
          <w:rFonts w:hint="eastAsia" w:ascii="仿宋_GB2312" w:eastAsia="仿宋_GB2312"/>
          <w:sz w:val="24"/>
        </w:rPr>
        <w:t>评标委员会成员与投标人存在利害关系的，应当回避。</w:t>
      </w:r>
    </w:p>
    <w:p>
      <w:pPr>
        <w:pStyle w:val="4"/>
        <w:spacing w:before="192" w:beforeLines="80" w:after="0" w:line="360" w:lineRule="auto"/>
        <w:rPr>
          <w:rFonts w:hAnsi="Times New Roman"/>
          <w:sz w:val="24"/>
          <w:szCs w:val="24"/>
        </w:rPr>
      </w:pPr>
      <w:bookmarkStart w:id="140" w:name="_Toc333327461"/>
      <w:bookmarkStart w:id="141" w:name="_Toc429862209"/>
      <w:bookmarkStart w:id="142" w:name="_Toc429604208"/>
      <w:bookmarkStart w:id="143" w:name="_Toc429602567"/>
      <w:r>
        <w:rPr>
          <w:rFonts w:hAnsi="Times New Roman"/>
          <w:sz w:val="24"/>
          <w:szCs w:val="24"/>
        </w:rPr>
        <w:t>26</w:t>
      </w:r>
      <w:r>
        <w:rPr>
          <w:rFonts w:hint="eastAsia" w:hAnsi="Times New Roman"/>
          <w:sz w:val="24"/>
          <w:szCs w:val="24"/>
        </w:rPr>
        <w:t>、评标</w:t>
      </w:r>
      <w:bookmarkEnd w:id="140"/>
      <w:bookmarkEnd w:id="141"/>
      <w:bookmarkEnd w:id="142"/>
      <w:bookmarkEnd w:id="143"/>
    </w:p>
    <w:p>
      <w:pPr>
        <w:pStyle w:val="24"/>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ascii="仿宋_GB2312" w:hAnsi="Times New Roman" w:eastAsia="仿宋_GB2312" w:cs="Times New Roman"/>
          <w:sz w:val="24"/>
          <w:szCs w:val="24"/>
        </w:rPr>
        <w:t>26.1</w:t>
      </w:r>
      <w:r>
        <w:rPr>
          <w:rFonts w:hint="eastAsia" w:ascii="仿宋_GB2312" w:hAnsi="Times New Roman" w:eastAsia="仿宋_GB2312" w:cs="Times New Roman"/>
          <w:sz w:val="24"/>
          <w:szCs w:val="24"/>
        </w:rPr>
        <w:t>评标委员会按照</w:t>
      </w:r>
      <w:r>
        <w:rPr>
          <w:rFonts w:hint="eastAsia" w:ascii="仿宋_GB2312" w:hAnsi="Times New Roman" w:eastAsia="仿宋_GB2312" w:cs="Times New Roman"/>
          <w:bCs/>
          <w:sz w:val="24"/>
          <w:szCs w:val="24"/>
        </w:rPr>
        <w:t>第十章“评标方法及标准(综合评分法适用)”</w:t>
      </w:r>
      <w:r>
        <w:rPr>
          <w:rFonts w:hint="eastAsia" w:ascii="仿宋_GB2312" w:hAnsi="Times New Roman" w:eastAsia="仿宋_GB2312" w:cs="Times New Roman"/>
          <w:sz w:val="24"/>
          <w:szCs w:val="24"/>
        </w:rPr>
        <w:t>规定的评标方法、评审因素、标准和程序以及有关法律、法规及规章对投标文件进行评审。</w:t>
      </w:r>
    </w:p>
    <w:p>
      <w:pPr>
        <w:pStyle w:val="2"/>
        <w:pageBreakBefore w:val="0"/>
        <w:spacing w:before="120" w:beforeLines="50" w:afterLines="50" w:line="240" w:lineRule="auto"/>
        <w:ind w:left="0" w:firstLine="0"/>
        <w:rPr>
          <w:rFonts w:ascii="仿宋_GB2312" w:eastAsia="仿宋_GB2312"/>
        </w:rPr>
      </w:pPr>
      <w:bookmarkStart w:id="144" w:name="_Toc333327462"/>
      <w:bookmarkStart w:id="145" w:name="_Toc21598"/>
      <w:bookmarkStart w:id="146" w:name="_Toc429604209"/>
      <w:bookmarkStart w:id="147" w:name="_Toc481542889"/>
      <w:bookmarkStart w:id="148" w:name="_Toc429602568"/>
      <w:bookmarkStart w:id="149" w:name="_Toc429862210"/>
      <w:r>
        <w:rPr>
          <w:rFonts w:hint="eastAsia" w:ascii="仿宋_GB2312" w:eastAsia="仿宋_GB2312"/>
        </w:rPr>
        <w:t>六、成交信息公布与投标人质疑</w:t>
      </w:r>
      <w:bookmarkEnd w:id="144"/>
      <w:bookmarkEnd w:id="145"/>
      <w:bookmarkEnd w:id="146"/>
      <w:bookmarkEnd w:id="147"/>
      <w:bookmarkEnd w:id="148"/>
      <w:bookmarkEnd w:id="149"/>
    </w:p>
    <w:p>
      <w:pPr>
        <w:pStyle w:val="4"/>
        <w:spacing w:before="192" w:beforeLines="80" w:after="0" w:line="360" w:lineRule="auto"/>
        <w:rPr>
          <w:rFonts w:hAnsi="Times New Roman"/>
          <w:sz w:val="24"/>
          <w:szCs w:val="24"/>
        </w:rPr>
      </w:pPr>
      <w:bookmarkStart w:id="150" w:name="_Toc429602569"/>
      <w:bookmarkStart w:id="151" w:name="_Toc333327463"/>
      <w:bookmarkStart w:id="152" w:name="_Toc429604210"/>
      <w:bookmarkStart w:id="153" w:name="_Toc429862211"/>
      <w:r>
        <w:rPr>
          <w:rFonts w:hAnsi="Times New Roman"/>
          <w:sz w:val="24"/>
          <w:szCs w:val="24"/>
        </w:rPr>
        <w:t>27</w:t>
      </w:r>
      <w:r>
        <w:rPr>
          <w:rFonts w:hint="eastAsia" w:hAnsi="Times New Roman"/>
          <w:sz w:val="24"/>
          <w:szCs w:val="24"/>
        </w:rPr>
        <w:t>、成交信息公布</w:t>
      </w:r>
      <w:bookmarkEnd w:id="150"/>
      <w:bookmarkEnd w:id="151"/>
      <w:bookmarkEnd w:id="152"/>
      <w:bookmarkEnd w:id="153"/>
    </w:p>
    <w:p>
      <w:pPr>
        <w:adjustRightInd w:val="0"/>
        <w:snapToGrid w:val="0"/>
        <w:spacing w:before="120" w:beforeLines="50" w:line="360" w:lineRule="auto"/>
        <w:ind w:firstLine="480" w:firstLineChars="200"/>
        <w:jc w:val="left"/>
        <w:rPr>
          <w:rFonts w:ascii="仿宋_GB2312" w:eastAsia="仿宋_GB2312"/>
          <w:bCs/>
          <w:sz w:val="24"/>
        </w:rPr>
      </w:pPr>
      <w:r>
        <w:rPr>
          <w:rFonts w:ascii="仿宋_GB2312" w:eastAsia="仿宋_GB2312"/>
          <w:bCs/>
          <w:sz w:val="24"/>
        </w:rPr>
        <w:t>27.1</w:t>
      </w:r>
      <w:r>
        <w:rPr>
          <w:rFonts w:hint="eastAsia" w:ascii="仿宋_GB2312" w:eastAsia="仿宋_GB2312"/>
          <w:bCs/>
          <w:sz w:val="24"/>
        </w:rPr>
        <w:t>确定成交人</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1</w:t>
      </w:r>
      <w:r>
        <w:rPr>
          <w:rFonts w:hint="eastAsia" w:ascii="仿宋_GB2312" w:eastAsia="仿宋_GB2312"/>
          <w:bCs/>
          <w:sz w:val="24"/>
        </w:rPr>
        <w:t>）成交候选人结果公布确定成交候选人后，采购人将排名结果对各投标人公布。</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2</w:t>
      </w:r>
      <w:r>
        <w:rPr>
          <w:rFonts w:hint="eastAsia" w:ascii="仿宋_GB2312" w:eastAsia="仿宋_GB2312"/>
          <w:bCs/>
          <w:sz w:val="24"/>
        </w:rPr>
        <w:t>）成交人将从评标委员会推荐的成交候选人中按排名顺序确定。</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3</w:t>
      </w:r>
      <w:r>
        <w:rPr>
          <w:rFonts w:hint="eastAsia" w:ascii="仿宋_GB2312" w:eastAsia="仿宋_GB2312"/>
          <w:bCs/>
          <w:sz w:val="24"/>
        </w:rPr>
        <w:t>）根据《政府和社会资本合作项目政府采购管理办法》财库（</w:t>
      </w:r>
      <w:r>
        <w:rPr>
          <w:rFonts w:ascii="仿宋_GB2312" w:eastAsia="仿宋_GB2312"/>
          <w:bCs/>
          <w:sz w:val="24"/>
        </w:rPr>
        <w:t>2014</w:t>
      </w:r>
      <w:r>
        <w:rPr>
          <w:rFonts w:hint="eastAsia" w:ascii="仿宋_GB2312" w:eastAsia="仿宋_GB2312"/>
          <w:bCs/>
          <w:sz w:val="24"/>
        </w:rPr>
        <w:t>）</w:t>
      </w:r>
      <w:r>
        <w:rPr>
          <w:rFonts w:ascii="仿宋_GB2312" w:eastAsia="仿宋_GB2312"/>
          <w:bCs/>
          <w:sz w:val="24"/>
        </w:rPr>
        <w:t>215</w:t>
      </w:r>
      <w:r>
        <w:rPr>
          <w:rFonts w:hint="eastAsia" w:ascii="仿宋_GB2312" w:eastAsia="仿宋_GB2312"/>
          <w:bCs/>
          <w:sz w:val="24"/>
        </w:rPr>
        <w:t>号文，本</w:t>
      </w:r>
      <w:r>
        <w:rPr>
          <w:rFonts w:ascii="仿宋_GB2312" w:eastAsia="仿宋_GB2312"/>
          <w:bCs/>
          <w:sz w:val="24"/>
        </w:rPr>
        <w:t>PPP</w:t>
      </w:r>
      <w:r>
        <w:rPr>
          <w:rFonts w:hint="eastAsia" w:ascii="仿宋_GB2312" w:eastAsia="仿宋_GB2312"/>
          <w:bCs/>
          <w:sz w:val="24"/>
        </w:rPr>
        <w:t>项目采购评审结束后，采购人将成立专门的采购结果确认谈判工作组，负责采购结果确认前的谈判和最终的采购结果确认工作。采购人将优先与排名第一的成交候选人进行谈判。</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4</w:t>
      </w:r>
      <w:r>
        <w:rPr>
          <w:rFonts w:hint="eastAsia" w:ascii="仿宋_GB2312" w:eastAsia="仿宋_GB2312"/>
          <w:bCs/>
          <w:sz w:val="24"/>
        </w:rPr>
        <w:t>）采购人与排名第一的成交候选人就非实质性内容谈判达成一致，则排名第一的成交候选人为预成交人。</w:t>
      </w:r>
      <w:r>
        <w:rPr>
          <w:rFonts w:ascii="仿宋_GB2312" w:eastAsia="仿宋_GB2312"/>
          <w:bCs/>
          <w:sz w:val="24"/>
        </w:rPr>
        <w:t xml:space="preserve"> </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5</w:t>
      </w:r>
      <w:r>
        <w:rPr>
          <w:rFonts w:hint="eastAsia" w:ascii="仿宋_GB2312" w:eastAsia="仿宋_GB2312"/>
          <w:bCs/>
          <w:sz w:val="24"/>
        </w:rPr>
        <w:t>）采购人将与预成交人谈判的结果公示后，预成交人即为成交人。</w:t>
      </w:r>
    </w:p>
    <w:p>
      <w:pPr>
        <w:adjustRightInd w:val="0"/>
        <w:snapToGrid w:val="0"/>
        <w:spacing w:before="120" w:beforeLines="50" w:line="360" w:lineRule="auto"/>
        <w:ind w:firstLine="480" w:firstLineChars="200"/>
        <w:jc w:val="left"/>
        <w:rPr>
          <w:rFonts w:ascii="仿宋_GB2312" w:eastAsia="仿宋_GB2312"/>
          <w:bCs/>
          <w:sz w:val="24"/>
        </w:rPr>
      </w:pPr>
      <w:r>
        <w:rPr>
          <w:rFonts w:ascii="仿宋_GB2312" w:eastAsia="仿宋_GB2312"/>
          <w:bCs/>
          <w:sz w:val="24"/>
        </w:rPr>
        <w:t>27.2</w:t>
      </w:r>
      <w:r>
        <w:rPr>
          <w:rFonts w:hint="eastAsia" w:ascii="仿宋_GB2312" w:eastAsia="仿宋_GB2312"/>
          <w:bCs/>
          <w:sz w:val="24"/>
        </w:rPr>
        <w:t>预成交结果公示</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bCs/>
          <w:sz w:val="24"/>
        </w:rPr>
        <w:t>确定预成交人后，采购人将招标结果公示于</w:t>
      </w:r>
      <w:r>
        <w:rPr>
          <w:rFonts w:hint="eastAsia" w:ascii="仿宋_GB2312" w:eastAsia="仿宋_GB2312"/>
          <w:sz w:val="24"/>
        </w:rPr>
        <w:t>本招标文件指定的媒体</w:t>
      </w:r>
      <w:r>
        <w:rPr>
          <w:rFonts w:hint="eastAsia" w:ascii="仿宋_GB2312" w:eastAsia="仿宋_GB2312"/>
          <w:bCs/>
          <w:sz w:val="24"/>
        </w:rPr>
        <w:t>，公示</w:t>
      </w:r>
      <w:r>
        <w:rPr>
          <w:rFonts w:ascii="仿宋_GB2312" w:eastAsia="仿宋_GB2312"/>
          <w:bCs/>
          <w:sz w:val="24"/>
        </w:rPr>
        <w:t>5</w:t>
      </w:r>
      <w:r>
        <w:rPr>
          <w:rFonts w:hint="eastAsia" w:ascii="仿宋_GB2312" w:eastAsia="仿宋_GB2312"/>
          <w:bCs/>
          <w:sz w:val="24"/>
        </w:rPr>
        <w:t>个工作日。</w:t>
      </w:r>
    </w:p>
    <w:p>
      <w:pPr>
        <w:adjustRightInd w:val="0"/>
        <w:snapToGrid w:val="0"/>
        <w:spacing w:before="120" w:beforeLines="50" w:line="360" w:lineRule="auto"/>
        <w:ind w:firstLine="480" w:firstLineChars="200"/>
        <w:jc w:val="left"/>
        <w:rPr>
          <w:rFonts w:ascii="仿宋_GB2312" w:eastAsia="仿宋_GB2312"/>
          <w:bCs/>
          <w:sz w:val="24"/>
        </w:rPr>
      </w:pPr>
      <w:r>
        <w:rPr>
          <w:rFonts w:ascii="仿宋_GB2312" w:eastAsia="仿宋_GB2312"/>
          <w:bCs/>
          <w:sz w:val="24"/>
        </w:rPr>
        <w:t>27.3</w:t>
      </w:r>
      <w:r>
        <w:rPr>
          <w:rFonts w:hint="eastAsia" w:ascii="仿宋_GB2312" w:eastAsia="仿宋_GB2312"/>
          <w:bCs/>
          <w:sz w:val="24"/>
        </w:rPr>
        <w:t>预成交公示无异议后，向成交人发出成交通知书，并将成交结果公示</w:t>
      </w:r>
      <w:r>
        <w:rPr>
          <w:rFonts w:ascii="仿宋_GB2312" w:eastAsia="仿宋_GB2312"/>
          <w:bCs/>
          <w:sz w:val="24"/>
        </w:rPr>
        <w:t>3</w:t>
      </w:r>
      <w:r>
        <w:rPr>
          <w:rFonts w:hint="eastAsia" w:ascii="仿宋_GB2312" w:eastAsia="仿宋_GB2312"/>
          <w:bCs/>
          <w:sz w:val="24"/>
        </w:rPr>
        <w:t>个工作日。</w:t>
      </w:r>
    </w:p>
    <w:p>
      <w:pPr>
        <w:pStyle w:val="4"/>
        <w:spacing w:before="192" w:beforeLines="80" w:after="0" w:line="360" w:lineRule="auto"/>
        <w:rPr>
          <w:rFonts w:hAnsi="Times New Roman"/>
          <w:sz w:val="24"/>
          <w:szCs w:val="24"/>
        </w:rPr>
      </w:pPr>
      <w:bookmarkStart w:id="154" w:name="_Toc429602570"/>
      <w:bookmarkStart w:id="155" w:name="_Toc333327464"/>
      <w:bookmarkStart w:id="156" w:name="_Toc429604211"/>
      <w:bookmarkStart w:id="157" w:name="_Toc429862212"/>
      <w:r>
        <w:rPr>
          <w:rFonts w:hAnsi="Times New Roman"/>
          <w:sz w:val="24"/>
          <w:szCs w:val="24"/>
        </w:rPr>
        <w:t>28</w:t>
      </w:r>
      <w:r>
        <w:rPr>
          <w:rFonts w:hint="eastAsia" w:hAnsi="Times New Roman"/>
          <w:sz w:val="24"/>
          <w:szCs w:val="24"/>
        </w:rPr>
        <w:t>、投标人质疑</w:t>
      </w:r>
      <w:bookmarkEnd w:id="154"/>
      <w:bookmarkEnd w:id="155"/>
      <w:bookmarkEnd w:id="156"/>
      <w:bookmarkEnd w:id="157"/>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28.1</w:t>
      </w:r>
      <w:r>
        <w:rPr>
          <w:rFonts w:hint="eastAsia" w:ascii="仿宋_GB2312" w:eastAsia="仿宋_GB2312"/>
          <w:sz w:val="24"/>
        </w:rPr>
        <w:t>投标人对政府采购活动事项有疑问的，可以向采购人或采购代理机构提出询问。采购人或采购代理机构将在七个工作日内作出答复。</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28.2</w:t>
      </w:r>
      <w:r>
        <w:rPr>
          <w:rFonts w:hint="eastAsia" w:ascii="仿宋_GB2312" w:eastAsia="仿宋_GB2312"/>
          <w:sz w:val="24"/>
        </w:rPr>
        <w:t>投标人若认为招标文件、采购过程和成交结果使自己的权益受到损害，应当在下列时间内以书面形式向采购人或采购代理机构提出：</w:t>
      </w:r>
    </w:p>
    <w:p>
      <w:pPr>
        <w:tabs>
          <w:tab w:val="left" w:pos="1134"/>
          <w:tab w:val="left" w:pos="1418"/>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）关于招标文件的质疑，应从招标文件发出之日起七个工作日内提出。</w:t>
      </w:r>
    </w:p>
    <w:p>
      <w:pPr>
        <w:tabs>
          <w:tab w:val="left" w:pos="1134"/>
          <w:tab w:val="left" w:pos="1418"/>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）关于采购过程的质疑，应在采购程序环节结束之日起七个工作日内提出。</w:t>
      </w:r>
    </w:p>
    <w:p>
      <w:pPr>
        <w:tabs>
          <w:tab w:val="left" w:pos="1134"/>
          <w:tab w:val="left" w:pos="1418"/>
        </w:tabs>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）关于成交结果的质疑，应在预成交公示信息发布后五个工作日内提出。</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28.2</w:t>
      </w:r>
      <w:r>
        <w:rPr>
          <w:rFonts w:hint="eastAsia" w:ascii="仿宋_GB2312" w:eastAsia="仿宋_GB2312"/>
          <w:sz w:val="24"/>
        </w:rPr>
        <w:t>投标人提出质疑的，应提供质疑书原件。采购人或采购代理机构应当向质疑投标人签收回执。</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28.3</w:t>
      </w:r>
      <w:r>
        <w:rPr>
          <w:rFonts w:hint="eastAsia" w:ascii="仿宋_GB2312" w:eastAsia="仿宋_GB2312"/>
          <w:sz w:val="24"/>
        </w:rPr>
        <w:t>质疑书应当包括下列内容：</w:t>
      </w:r>
    </w:p>
    <w:p>
      <w:pPr>
        <w:pStyle w:val="24"/>
        <w:tabs>
          <w:tab w:val="left" w:pos="1134"/>
        </w:tabs>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）质疑投标人的名称、地址及有效联系方式；</w:t>
      </w:r>
    </w:p>
    <w:p>
      <w:pPr>
        <w:pStyle w:val="24"/>
        <w:tabs>
          <w:tab w:val="left" w:pos="1134"/>
        </w:tabs>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）质疑事项；</w:t>
      </w:r>
    </w:p>
    <w:p>
      <w:pPr>
        <w:pStyle w:val="24"/>
        <w:tabs>
          <w:tab w:val="left" w:pos="1134"/>
        </w:tabs>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3</w:t>
      </w:r>
      <w:r>
        <w:rPr>
          <w:rFonts w:hint="eastAsia" w:ascii="仿宋_GB2312" w:hAnsi="Times New Roman" w:eastAsia="仿宋_GB2312" w:cs="Times New Roman"/>
          <w:sz w:val="24"/>
          <w:szCs w:val="24"/>
        </w:rPr>
        <w:t>）事实依据及相关证明材料；</w:t>
      </w:r>
    </w:p>
    <w:p>
      <w:pPr>
        <w:pStyle w:val="24"/>
        <w:tabs>
          <w:tab w:val="left" w:pos="1134"/>
        </w:tabs>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4</w:t>
      </w:r>
      <w:r>
        <w:rPr>
          <w:rFonts w:hint="eastAsia" w:ascii="仿宋_GB2312" w:hAnsi="Times New Roman" w:eastAsia="仿宋_GB2312" w:cs="Times New Roman"/>
          <w:sz w:val="24"/>
          <w:szCs w:val="24"/>
        </w:rPr>
        <w:t>）相关请求及主张。</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28.4</w:t>
      </w:r>
      <w:r>
        <w:rPr>
          <w:rFonts w:hint="eastAsia" w:ascii="仿宋_GB2312" w:eastAsia="仿宋_GB2312"/>
          <w:sz w:val="24"/>
        </w:rPr>
        <w:t>质疑书应当由投标人法定代表人或其授权的代理人签字并加盖投标人单位章，质疑书由授权的代理人签字的应附投标人法定代表人委托授权书。</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28.5</w:t>
      </w:r>
      <w:r>
        <w:rPr>
          <w:rFonts w:hint="eastAsia" w:ascii="仿宋_GB2312" w:eastAsia="仿宋_GB2312"/>
          <w:sz w:val="24"/>
        </w:rPr>
        <w:t>采购人或采购代理机构将在签收回执之日起七个工作日内作出书面答复，并以书面形式通知质疑投标人和其他有关的投标人。</w:t>
      </w:r>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28.6</w:t>
      </w:r>
      <w:r>
        <w:rPr>
          <w:rFonts w:hint="eastAsia" w:ascii="仿宋_GB2312" w:eastAsia="仿宋_GB2312"/>
          <w:sz w:val="24"/>
        </w:rPr>
        <w:t>投标人对采购人或采购代理机构的答复不满意，采购人或采购代理机构未在规定的期限作出答复的，可在答复期满后十五个工作日内，按政府采购相关法律法规规章的规定及程序，向同级财政部门提出投诉。</w:t>
      </w:r>
    </w:p>
    <w:p>
      <w:pPr>
        <w:pStyle w:val="2"/>
        <w:pageBreakBefore w:val="0"/>
        <w:spacing w:before="120" w:beforeLines="50" w:afterLines="50" w:line="240" w:lineRule="auto"/>
        <w:ind w:left="0" w:firstLine="0"/>
        <w:rPr>
          <w:rFonts w:ascii="仿宋_GB2312" w:eastAsia="仿宋_GB2312"/>
        </w:rPr>
      </w:pPr>
      <w:bookmarkStart w:id="158" w:name="_Toc333327465"/>
      <w:bookmarkStart w:id="159" w:name="_Toc26067"/>
      <w:bookmarkStart w:id="160" w:name="_Toc429602571"/>
      <w:bookmarkStart w:id="161" w:name="_Toc429604212"/>
      <w:bookmarkStart w:id="162" w:name="_Toc429862213"/>
      <w:bookmarkStart w:id="163" w:name="_Toc481542890"/>
      <w:r>
        <w:rPr>
          <w:rFonts w:hint="eastAsia" w:ascii="仿宋_GB2312" w:eastAsia="仿宋_GB2312"/>
        </w:rPr>
        <w:t>七、合同签订</w:t>
      </w:r>
      <w:bookmarkEnd w:id="158"/>
      <w:bookmarkEnd w:id="159"/>
      <w:bookmarkEnd w:id="160"/>
      <w:bookmarkEnd w:id="161"/>
      <w:bookmarkEnd w:id="162"/>
      <w:bookmarkEnd w:id="163"/>
    </w:p>
    <w:p>
      <w:pPr>
        <w:pStyle w:val="4"/>
        <w:spacing w:before="192" w:beforeLines="80" w:after="0" w:line="360" w:lineRule="auto"/>
        <w:rPr>
          <w:rFonts w:hAnsi="Times New Roman"/>
          <w:sz w:val="24"/>
          <w:szCs w:val="24"/>
        </w:rPr>
      </w:pPr>
      <w:bookmarkStart w:id="164" w:name="_Toc333327466"/>
      <w:bookmarkStart w:id="165" w:name="_Toc429602572"/>
      <w:bookmarkStart w:id="166" w:name="_Toc429604213"/>
      <w:bookmarkStart w:id="167" w:name="_Toc429862214"/>
      <w:r>
        <w:rPr>
          <w:rFonts w:hAnsi="Times New Roman"/>
          <w:sz w:val="24"/>
          <w:szCs w:val="24"/>
        </w:rPr>
        <w:t>29</w:t>
      </w:r>
      <w:r>
        <w:rPr>
          <w:rFonts w:hint="eastAsia" w:hAnsi="Times New Roman"/>
          <w:sz w:val="24"/>
          <w:szCs w:val="24"/>
        </w:rPr>
        <w:t>、成交结果通知</w:t>
      </w:r>
      <w:bookmarkEnd w:id="164"/>
      <w:bookmarkEnd w:id="165"/>
      <w:bookmarkEnd w:id="166"/>
      <w:bookmarkEnd w:id="167"/>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29.1</w:t>
      </w:r>
      <w:r>
        <w:rPr>
          <w:rFonts w:hint="eastAsia" w:ascii="仿宋_GB2312" w:eastAsia="仿宋_GB2312"/>
          <w:sz w:val="24"/>
        </w:rPr>
        <w:t>在本章第</w:t>
      </w:r>
      <w:r>
        <w:rPr>
          <w:rFonts w:ascii="仿宋_GB2312" w:eastAsia="仿宋_GB2312"/>
          <w:sz w:val="24"/>
        </w:rPr>
        <w:t>19.1</w:t>
      </w:r>
      <w:r>
        <w:rPr>
          <w:rFonts w:hint="eastAsia" w:ascii="仿宋_GB2312" w:eastAsia="仿宋_GB2312"/>
          <w:sz w:val="24"/>
        </w:rPr>
        <w:t>款规定的投标有效期内，采购代理机构将以书面形式向成交投标人发出《成交通知书》。《成交通知书》对采购人和成交投标人具有同等法律效力。</w:t>
      </w:r>
    </w:p>
    <w:p>
      <w:pPr>
        <w:pStyle w:val="4"/>
        <w:spacing w:before="192" w:beforeLines="80" w:after="0" w:line="360" w:lineRule="auto"/>
        <w:rPr>
          <w:rFonts w:hAnsi="Times New Roman"/>
          <w:sz w:val="24"/>
          <w:szCs w:val="24"/>
        </w:rPr>
      </w:pPr>
      <w:bookmarkStart w:id="168" w:name="_Toc333327467"/>
      <w:bookmarkStart w:id="169" w:name="_Toc429602573"/>
      <w:bookmarkStart w:id="170" w:name="_Toc429604214"/>
      <w:bookmarkStart w:id="171" w:name="_Toc429862215"/>
      <w:r>
        <w:rPr>
          <w:rFonts w:hAnsi="Times New Roman"/>
          <w:sz w:val="24"/>
          <w:szCs w:val="24"/>
        </w:rPr>
        <w:t>30</w:t>
      </w:r>
      <w:r>
        <w:rPr>
          <w:rFonts w:hint="eastAsia" w:hAnsi="Times New Roman"/>
          <w:sz w:val="24"/>
          <w:szCs w:val="24"/>
        </w:rPr>
        <w:t>、履约</w:t>
      </w:r>
      <w:bookmarkEnd w:id="168"/>
      <w:r>
        <w:rPr>
          <w:rFonts w:hint="eastAsia" w:hAnsi="Times New Roman"/>
          <w:sz w:val="24"/>
          <w:szCs w:val="24"/>
        </w:rPr>
        <w:t>保函</w:t>
      </w:r>
      <w:bookmarkEnd w:id="169"/>
      <w:bookmarkEnd w:id="170"/>
      <w:bookmarkEnd w:id="171"/>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bCs/>
          <w:sz w:val="24"/>
          <w:szCs w:val="20"/>
        </w:rPr>
        <w:t>30.1</w:t>
      </w:r>
      <w:r>
        <w:rPr>
          <w:rFonts w:hint="eastAsia" w:ascii="仿宋_GB2312" w:eastAsia="仿宋_GB2312"/>
          <w:bCs/>
          <w:sz w:val="24"/>
          <w:szCs w:val="20"/>
        </w:rPr>
        <w:t>成交人在成交通知书发出后</w:t>
      </w:r>
      <w:r>
        <w:rPr>
          <w:rFonts w:ascii="仿宋_GB2312" w:eastAsia="仿宋_GB2312"/>
          <w:bCs/>
          <w:sz w:val="24"/>
          <w:szCs w:val="20"/>
        </w:rPr>
        <w:t>15</w:t>
      </w:r>
      <w:r>
        <w:rPr>
          <w:rFonts w:hint="eastAsia" w:ascii="仿宋_GB2312" w:eastAsia="仿宋_GB2312"/>
          <w:bCs/>
          <w:sz w:val="24"/>
          <w:szCs w:val="20"/>
        </w:rPr>
        <w:t>日内，</w:t>
      </w:r>
      <w:r>
        <w:rPr>
          <w:rFonts w:hint="eastAsia" w:ascii="仿宋_GB2312" w:eastAsia="仿宋_GB2312"/>
          <w:sz w:val="24"/>
        </w:rPr>
        <w:t>应按照</w:t>
      </w:r>
      <w:r>
        <w:rPr>
          <w:rFonts w:hint="eastAsia" w:ascii="仿宋_GB2312" w:eastAsia="仿宋_GB2312"/>
          <w:b/>
          <w:sz w:val="24"/>
        </w:rPr>
        <w:t>招标文件前附表</w:t>
      </w:r>
      <w:r>
        <w:rPr>
          <w:rFonts w:hint="eastAsia" w:ascii="仿宋_GB2312" w:eastAsia="仿宋_GB2312"/>
          <w:sz w:val="24"/>
        </w:rPr>
        <w:t>的规定提交履约保函。</w:t>
      </w:r>
    </w:p>
    <w:p>
      <w:pPr>
        <w:adjustRightInd w:val="0"/>
        <w:snapToGrid w:val="0"/>
        <w:spacing w:before="120" w:beforeLines="50" w:line="360" w:lineRule="auto"/>
        <w:ind w:firstLine="480" w:firstLineChars="200"/>
        <w:rPr>
          <w:rFonts w:ascii="仿宋_GB2312" w:eastAsia="仿宋_GB2312"/>
          <w:bCs/>
          <w:sz w:val="24"/>
          <w:szCs w:val="20"/>
        </w:rPr>
      </w:pPr>
      <w:r>
        <w:rPr>
          <w:rFonts w:ascii="仿宋_GB2312" w:eastAsia="仿宋_GB2312"/>
          <w:bCs/>
          <w:sz w:val="24"/>
          <w:szCs w:val="20"/>
        </w:rPr>
        <w:t>30.2</w:t>
      </w:r>
      <w:r>
        <w:rPr>
          <w:rFonts w:hint="eastAsia" w:ascii="仿宋_GB2312" w:eastAsia="仿宋_GB2312"/>
          <w:bCs/>
          <w:sz w:val="24"/>
          <w:szCs w:val="20"/>
        </w:rPr>
        <w:t>成交人没有按照本章第</w:t>
      </w:r>
      <w:r>
        <w:rPr>
          <w:rFonts w:ascii="仿宋_GB2312" w:eastAsia="仿宋_GB2312"/>
          <w:bCs/>
          <w:sz w:val="24"/>
          <w:szCs w:val="20"/>
        </w:rPr>
        <w:t>31.1</w:t>
      </w:r>
      <w:r>
        <w:rPr>
          <w:rFonts w:hint="eastAsia" w:ascii="仿宋_GB2312" w:eastAsia="仿宋_GB2312"/>
          <w:bCs/>
          <w:sz w:val="24"/>
          <w:szCs w:val="20"/>
        </w:rPr>
        <w:t>款规定提交履约保函的，视为放弃成交，其投标保证金不予退还。</w:t>
      </w:r>
    </w:p>
    <w:p>
      <w:pPr>
        <w:adjustRightInd w:val="0"/>
        <w:snapToGrid w:val="0"/>
        <w:spacing w:before="120" w:beforeLines="50" w:line="360" w:lineRule="auto"/>
        <w:ind w:firstLine="480" w:firstLineChars="200"/>
        <w:rPr>
          <w:rFonts w:ascii="仿宋_GB2312" w:eastAsia="仿宋_GB2312"/>
          <w:bCs/>
          <w:sz w:val="24"/>
          <w:szCs w:val="20"/>
        </w:rPr>
      </w:pPr>
      <w:bookmarkStart w:id="172" w:name="_Toc148406978"/>
      <w:bookmarkStart w:id="173" w:name="_Toc150307508"/>
      <w:bookmarkStart w:id="174" w:name="_Toc151096359"/>
      <w:bookmarkStart w:id="175" w:name="_Toc151098881"/>
      <w:bookmarkStart w:id="176" w:name="_Toc151099177"/>
      <w:bookmarkStart w:id="177" w:name="_Toc151196525"/>
      <w:bookmarkStart w:id="178" w:name="_Toc417583976"/>
      <w:r>
        <w:rPr>
          <w:rFonts w:ascii="仿宋_GB2312" w:eastAsia="仿宋_GB2312"/>
          <w:bCs/>
          <w:sz w:val="24"/>
          <w:szCs w:val="20"/>
        </w:rPr>
        <w:t>30.3</w:t>
      </w:r>
      <w:r>
        <w:rPr>
          <w:rFonts w:hint="eastAsia" w:ascii="仿宋_GB2312" w:eastAsia="仿宋_GB2312"/>
          <w:bCs/>
          <w:sz w:val="24"/>
          <w:szCs w:val="20"/>
        </w:rPr>
        <w:t>履约保函退还</w:t>
      </w:r>
      <w:bookmarkEnd w:id="172"/>
      <w:bookmarkEnd w:id="173"/>
      <w:bookmarkEnd w:id="174"/>
      <w:bookmarkEnd w:id="175"/>
      <w:bookmarkEnd w:id="176"/>
      <w:bookmarkEnd w:id="177"/>
      <w:bookmarkEnd w:id="178"/>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1</w:t>
      </w:r>
      <w:r>
        <w:rPr>
          <w:rFonts w:hint="eastAsia" w:ascii="仿宋_GB2312" w:eastAsia="仿宋_GB2312"/>
          <w:bCs/>
          <w:sz w:val="24"/>
        </w:rPr>
        <w:t>）如果采购人终止招标过程，或放弃本项目，采购人将立即退还所有的履约保函。</w:t>
      </w:r>
    </w:p>
    <w:p>
      <w:pPr>
        <w:adjustRightInd w:val="0"/>
        <w:snapToGrid w:val="0"/>
        <w:spacing w:before="120" w:beforeLines="50" w:line="360" w:lineRule="auto"/>
        <w:ind w:firstLine="480" w:firstLineChars="200"/>
        <w:rPr>
          <w:rFonts w:ascii="仿宋_GB2312" w:eastAsia="仿宋_GB2312"/>
          <w:bCs/>
          <w:sz w:val="24"/>
        </w:rPr>
      </w:pPr>
      <w:bookmarkStart w:id="179" w:name="_Toc151196526"/>
      <w:bookmarkStart w:id="180" w:name="_Toc151098882"/>
      <w:bookmarkStart w:id="181" w:name="_Toc151099178"/>
      <w:bookmarkStart w:id="182" w:name="_Toc150307509"/>
      <w:bookmarkStart w:id="183" w:name="_Toc151096360"/>
      <w:bookmarkStart w:id="184" w:name="_Toc148406979"/>
      <w:bookmarkStart w:id="185" w:name="_Toc417583977"/>
      <w:r>
        <w:rPr>
          <w:rFonts w:hint="eastAsia" w:ascii="仿宋_GB2312" w:eastAsia="仿宋_GB2312"/>
          <w:bCs/>
          <w:sz w:val="24"/>
        </w:rPr>
        <w:t>由于成交人或项目公司的原因发生如下情况，采购人将提取其履约保函并要求成交人承担违约责任</w:t>
      </w:r>
      <w:bookmarkEnd w:id="179"/>
      <w:bookmarkEnd w:id="180"/>
      <w:bookmarkEnd w:id="181"/>
      <w:bookmarkEnd w:id="182"/>
      <w:bookmarkEnd w:id="183"/>
      <w:bookmarkEnd w:id="184"/>
      <w:r>
        <w:rPr>
          <w:rFonts w:hint="eastAsia" w:ascii="仿宋_GB2312" w:eastAsia="仿宋_GB2312"/>
          <w:bCs/>
          <w:sz w:val="24"/>
        </w:rPr>
        <w:t>：</w:t>
      </w:r>
      <w:bookmarkEnd w:id="185"/>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2</w:t>
      </w:r>
      <w:r>
        <w:rPr>
          <w:rFonts w:hint="eastAsia" w:ascii="仿宋_GB2312" w:eastAsia="仿宋_GB2312"/>
          <w:bCs/>
          <w:sz w:val="24"/>
        </w:rPr>
        <w:t>）未能根据本须知的要求签署投资合作合同或股东协议或公司章程；</w:t>
      </w:r>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3</w:t>
      </w:r>
      <w:r>
        <w:rPr>
          <w:rFonts w:hint="eastAsia" w:ascii="仿宋_GB2312" w:eastAsia="仿宋_GB2312"/>
          <w:bCs/>
          <w:sz w:val="24"/>
        </w:rPr>
        <w:t>）未能成立和注册项目公司；</w:t>
      </w:r>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4</w:t>
      </w:r>
      <w:r>
        <w:rPr>
          <w:rFonts w:hint="eastAsia" w:ascii="仿宋_GB2312" w:eastAsia="仿宋_GB2312"/>
          <w:bCs/>
          <w:sz w:val="24"/>
        </w:rPr>
        <w:t>）未能责成项目公司根据本须知的要求签署</w:t>
      </w:r>
      <w:r>
        <w:rPr>
          <w:rFonts w:ascii="仿宋_GB2312" w:eastAsia="仿宋_GB2312"/>
          <w:bCs/>
          <w:sz w:val="24"/>
        </w:rPr>
        <w:t>PPP</w:t>
      </w:r>
      <w:r>
        <w:rPr>
          <w:rFonts w:hint="eastAsia" w:ascii="仿宋_GB2312" w:eastAsia="仿宋_GB2312"/>
          <w:bCs/>
          <w:sz w:val="24"/>
        </w:rPr>
        <w:t>项目合同。</w:t>
      </w:r>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5</w:t>
      </w:r>
      <w:r>
        <w:rPr>
          <w:rFonts w:hint="eastAsia" w:ascii="仿宋_GB2312" w:eastAsia="仿宋_GB2312"/>
          <w:bCs/>
          <w:sz w:val="24"/>
        </w:rPr>
        <w:t>）未按投资合作合同、股东协议、公司章程或</w:t>
      </w:r>
      <w:r>
        <w:rPr>
          <w:rFonts w:ascii="仿宋_GB2312" w:eastAsia="仿宋_GB2312"/>
          <w:bCs/>
          <w:sz w:val="24"/>
        </w:rPr>
        <w:t>PPP</w:t>
      </w:r>
      <w:r>
        <w:rPr>
          <w:rFonts w:hint="eastAsia" w:ascii="仿宋_GB2312" w:eastAsia="仿宋_GB2312"/>
          <w:bCs/>
          <w:sz w:val="24"/>
        </w:rPr>
        <w:t>项目合同约定建设项目。</w:t>
      </w:r>
    </w:p>
    <w:p>
      <w:pPr>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bCs/>
          <w:sz w:val="24"/>
        </w:rPr>
        <w:t>（</w:t>
      </w:r>
      <w:r>
        <w:rPr>
          <w:rFonts w:ascii="仿宋_GB2312" w:eastAsia="仿宋_GB2312"/>
          <w:bCs/>
          <w:sz w:val="24"/>
        </w:rPr>
        <w:t>6</w:t>
      </w:r>
      <w:r>
        <w:rPr>
          <w:rFonts w:hint="eastAsia" w:ascii="仿宋_GB2312" w:eastAsia="仿宋_GB2312"/>
          <w:bCs/>
          <w:sz w:val="24"/>
        </w:rPr>
        <w:t>）其它违反投资合作合同、股东协议、公司章程或</w:t>
      </w:r>
      <w:r>
        <w:rPr>
          <w:rFonts w:ascii="仿宋_GB2312" w:eastAsia="仿宋_GB2312"/>
          <w:bCs/>
          <w:sz w:val="24"/>
        </w:rPr>
        <w:t>PPP</w:t>
      </w:r>
      <w:r>
        <w:rPr>
          <w:rFonts w:hint="eastAsia" w:ascii="仿宋_GB2312" w:eastAsia="仿宋_GB2312"/>
          <w:bCs/>
          <w:sz w:val="24"/>
        </w:rPr>
        <w:t>项目合同的行为将按合同约定扣除相应履约保函金额。</w:t>
      </w:r>
    </w:p>
    <w:p>
      <w:pPr>
        <w:pStyle w:val="4"/>
        <w:spacing w:before="192" w:beforeLines="80" w:after="0" w:line="360" w:lineRule="auto"/>
        <w:rPr>
          <w:rFonts w:hAnsi="Times New Roman"/>
          <w:sz w:val="24"/>
          <w:szCs w:val="24"/>
        </w:rPr>
      </w:pPr>
      <w:bookmarkStart w:id="186" w:name="_Toc333327468"/>
      <w:bookmarkStart w:id="187" w:name="_Toc429602574"/>
      <w:bookmarkStart w:id="188" w:name="_Toc429604215"/>
      <w:bookmarkStart w:id="189" w:name="_Toc429862216"/>
      <w:r>
        <w:rPr>
          <w:rFonts w:hAnsi="Times New Roman"/>
          <w:sz w:val="24"/>
          <w:szCs w:val="24"/>
        </w:rPr>
        <w:t>31</w:t>
      </w:r>
      <w:r>
        <w:rPr>
          <w:rFonts w:hint="eastAsia" w:hAnsi="Times New Roman"/>
          <w:sz w:val="24"/>
          <w:szCs w:val="24"/>
        </w:rPr>
        <w:t>、签订合同</w:t>
      </w:r>
      <w:bookmarkEnd w:id="186"/>
      <w:bookmarkEnd w:id="187"/>
      <w:bookmarkEnd w:id="188"/>
      <w:bookmarkEnd w:id="189"/>
    </w:p>
    <w:p>
      <w:pPr>
        <w:tabs>
          <w:tab w:val="left" w:pos="993"/>
        </w:tabs>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31.1</w:t>
      </w:r>
      <w:r>
        <w:rPr>
          <w:rFonts w:hint="eastAsia" w:ascii="仿宋_GB2312" w:eastAsia="仿宋_GB2312"/>
          <w:sz w:val="24"/>
        </w:rPr>
        <w:t>采购人应自成交通知书发出之日起三十日内，按成交通知书指定的时间、地点与成交人签订合同。</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1</w:t>
      </w:r>
      <w:r>
        <w:rPr>
          <w:rFonts w:hint="eastAsia" w:ascii="仿宋_GB2312" w:eastAsia="仿宋_GB2312"/>
          <w:bCs/>
          <w:sz w:val="24"/>
        </w:rPr>
        <w:t>）成交人应与采购方签署投资合作合同、股东协议、公司章程、草签</w:t>
      </w:r>
      <w:r>
        <w:rPr>
          <w:rFonts w:ascii="仿宋_GB2312" w:eastAsia="仿宋_GB2312"/>
          <w:bCs/>
          <w:sz w:val="24"/>
        </w:rPr>
        <w:t>PPP</w:t>
      </w:r>
      <w:r>
        <w:rPr>
          <w:rFonts w:hint="eastAsia" w:ascii="仿宋_GB2312" w:eastAsia="仿宋_GB2312"/>
          <w:bCs/>
          <w:sz w:val="24"/>
        </w:rPr>
        <w:t>项目合同等法律文本，招标文件、成交人的投标文件均为签订合同的依据。</w:t>
      </w:r>
      <w:r>
        <w:rPr>
          <w:rFonts w:ascii="仿宋_GB2312" w:eastAsia="仿宋_GB2312"/>
          <w:bCs/>
          <w:sz w:val="24"/>
        </w:rPr>
        <w:t>PPP</w:t>
      </w:r>
      <w:r>
        <w:rPr>
          <w:rFonts w:hint="eastAsia" w:ascii="仿宋_GB2312" w:eastAsia="仿宋_GB2312"/>
          <w:bCs/>
          <w:sz w:val="24"/>
        </w:rPr>
        <w:t>合同文本在项目公司签字时不得有任何修改和变更，除非双方达成一致的修改意见。</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2</w:t>
      </w:r>
      <w:r>
        <w:rPr>
          <w:rFonts w:hint="eastAsia" w:ascii="仿宋_GB2312" w:eastAsia="仿宋_GB2312"/>
          <w:bCs/>
          <w:sz w:val="24"/>
        </w:rPr>
        <w:t>）如成交人未能按第（</w:t>
      </w:r>
      <w:r>
        <w:rPr>
          <w:rFonts w:ascii="仿宋_GB2312" w:eastAsia="仿宋_GB2312"/>
          <w:bCs/>
          <w:sz w:val="24"/>
        </w:rPr>
        <w:t>1</w:t>
      </w:r>
      <w:r>
        <w:rPr>
          <w:rFonts w:hint="eastAsia" w:ascii="仿宋_GB2312" w:eastAsia="仿宋_GB2312"/>
          <w:bCs/>
          <w:sz w:val="24"/>
        </w:rPr>
        <w:t>）款规定签署投资合作合同、股东协议、公司章程、</w:t>
      </w:r>
      <w:r>
        <w:rPr>
          <w:rFonts w:ascii="仿宋_GB2312" w:eastAsia="仿宋_GB2312"/>
          <w:bCs/>
          <w:sz w:val="24"/>
        </w:rPr>
        <w:t>PPP</w:t>
      </w:r>
      <w:r>
        <w:rPr>
          <w:rFonts w:hint="eastAsia" w:ascii="仿宋_GB2312" w:eastAsia="仿宋_GB2312"/>
          <w:bCs/>
          <w:sz w:val="24"/>
        </w:rPr>
        <w:t>项目合同等法律文本，则采购人可以兑取其投标保证金，且撤销授标。</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3</w:t>
      </w:r>
      <w:r>
        <w:rPr>
          <w:rFonts w:hint="eastAsia" w:ascii="仿宋_GB2312" w:eastAsia="仿宋_GB2312"/>
          <w:bCs/>
          <w:sz w:val="24"/>
        </w:rPr>
        <w:t>）如成交人未能按第（</w:t>
      </w:r>
      <w:r>
        <w:rPr>
          <w:rFonts w:ascii="仿宋_GB2312" w:eastAsia="仿宋_GB2312"/>
          <w:bCs/>
          <w:sz w:val="24"/>
        </w:rPr>
        <w:t>1</w:t>
      </w:r>
      <w:r>
        <w:rPr>
          <w:rFonts w:hint="eastAsia" w:ascii="仿宋_GB2312" w:eastAsia="仿宋_GB2312"/>
          <w:bCs/>
          <w:sz w:val="24"/>
        </w:rPr>
        <w:t>）款的规定签署投资合作合同、股东协议、公司章程、</w:t>
      </w:r>
      <w:r>
        <w:rPr>
          <w:rFonts w:ascii="仿宋_GB2312" w:eastAsia="仿宋_GB2312"/>
          <w:bCs/>
          <w:sz w:val="24"/>
        </w:rPr>
        <w:t>PPP</w:t>
      </w:r>
      <w:r>
        <w:rPr>
          <w:rFonts w:hint="eastAsia" w:ascii="仿宋_GB2312" w:eastAsia="仿宋_GB2312"/>
          <w:bCs/>
          <w:sz w:val="24"/>
        </w:rPr>
        <w:t>项目合同等法律文本是由于采购人的原因或不可抗力事件，则第（</w:t>
      </w:r>
      <w:r>
        <w:rPr>
          <w:rFonts w:ascii="仿宋_GB2312" w:eastAsia="仿宋_GB2312"/>
          <w:bCs/>
          <w:sz w:val="24"/>
        </w:rPr>
        <w:t>2</w:t>
      </w:r>
      <w:r>
        <w:rPr>
          <w:rFonts w:hint="eastAsia" w:ascii="仿宋_GB2312" w:eastAsia="仿宋_GB2312"/>
          <w:bCs/>
          <w:sz w:val="24"/>
        </w:rPr>
        <w:t>）款不适用。</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4</w:t>
      </w:r>
      <w:r>
        <w:rPr>
          <w:rFonts w:hint="eastAsia" w:ascii="仿宋_GB2312" w:eastAsia="仿宋_GB2312"/>
          <w:bCs/>
          <w:sz w:val="24"/>
        </w:rPr>
        <w:t>）如果采购方不按第（</w:t>
      </w:r>
      <w:r>
        <w:rPr>
          <w:rFonts w:ascii="仿宋_GB2312" w:eastAsia="仿宋_GB2312"/>
          <w:bCs/>
          <w:sz w:val="24"/>
        </w:rPr>
        <w:t>1</w:t>
      </w:r>
      <w:r>
        <w:rPr>
          <w:rFonts w:hint="eastAsia" w:ascii="仿宋_GB2312" w:eastAsia="仿宋_GB2312"/>
          <w:bCs/>
          <w:sz w:val="24"/>
        </w:rPr>
        <w:t>）款规定签署投资合作合同、股东协议、公司章程、</w:t>
      </w:r>
      <w:r>
        <w:rPr>
          <w:rFonts w:ascii="仿宋_GB2312" w:eastAsia="仿宋_GB2312"/>
          <w:bCs/>
          <w:sz w:val="24"/>
        </w:rPr>
        <w:t>PPP</w:t>
      </w:r>
      <w:r>
        <w:rPr>
          <w:rFonts w:hint="eastAsia" w:ascii="仿宋_GB2312" w:eastAsia="仿宋_GB2312"/>
          <w:bCs/>
          <w:sz w:val="24"/>
        </w:rPr>
        <w:t>项目合同等法律文本，则成交人可以撤回投标文件，其保证金不会被没收。</w:t>
      </w:r>
    </w:p>
    <w:p>
      <w:pPr>
        <w:adjustRightInd w:val="0"/>
        <w:snapToGrid w:val="0"/>
        <w:spacing w:before="120" w:beforeLines="50" w:line="360" w:lineRule="auto"/>
        <w:ind w:firstLine="480" w:firstLineChars="200"/>
        <w:jc w:val="left"/>
        <w:rPr>
          <w:rFonts w:ascii="仿宋_GB2312" w:eastAsia="仿宋_GB2312"/>
          <w:bCs/>
          <w:sz w:val="24"/>
        </w:rPr>
      </w:pPr>
      <w:r>
        <w:rPr>
          <w:rFonts w:hint="eastAsia" w:ascii="仿宋_GB2312" w:eastAsia="仿宋_GB2312"/>
          <w:bCs/>
          <w:sz w:val="24"/>
        </w:rPr>
        <w:t>（</w:t>
      </w:r>
      <w:r>
        <w:rPr>
          <w:rFonts w:ascii="仿宋_GB2312" w:eastAsia="仿宋_GB2312"/>
          <w:bCs/>
          <w:sz w:val="24"/>
        </w:rPr>
        <w:t>5</w:t>
      </w:r>
      <w:r>
        <w:rPr>
          <w:rFonts w:hint="eastAsia" w:ascii="仿宋_GB2312" w:eastAsia="仿宋_GB2312"/>
          <w:bCs/>
          <w:sz w:val="24"/>
        </w:rPr>
        <w:t>）如成交人未能按第（</w:t>
      </w:r>
      <w:r>
        <w:rPr>
          <w:rFonts w:ascii="仿宋_GB2312" w:eastAsia="仿宋_GB2312"/>
          <w:bCs/>
          <w:sz w:val="24"/>
        </w:rPr>
        <w:t>1</w:t>
      </w:r>
      <w:r>
        <w:rPr>
          <w:rFonts w:hint="eastAsia" w:ascii="仿宋_GB2312" w:eastAsia="仿宋_GB2312"/>
          <w:bCs/>
          <w:sz w:val="24"/>
        </w:rPr>
        <w:t>）款规定签署投资合作合同、股东协议、公司章程、</w:t>
      </w:r>
      <w:r>
        <w:rPr>
          <w:rFonts w:ascii="仿宋_GB2312" w:eastAsia="仿宋_GB2312"/>
          <w:bCs/>
          <w:sz w:val="24"/>
        </w:rPr>
        <w:t>PPP</w:t>
      </w:r>
      <w:r>
        <w:rPr>
          <w:rFonts w:hint="eastAsia" w:ascii="仿宋_GB2312" w:eastAsia="仿宋_GB2312"/>
          <w:bCs/>
          <w:sz w:val="24"/>
        </w:rPr>
        <w:t>项目合同等法律文本，或其他原因被取消成交资格，采购人将重新确定成交人。</w:t>
      </w:r>
    </w:p>
    <w:p>
      <w:pPr>
        <w:tabs>
          <w:tab w:val="left" w:pos="993"/>
        </w:tabs>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31.2</w:t>
      </w:r>
      <w:r>
        <w:rPr>
          <w:rFonts w:hint="eastAsia" w:ascii="仿宋_GB2312" w:eastAsia="仿宋_GB2312"/>
          <w:sz w:val="24"/>
        </w:rPr>
        <w:t>成交人应当按照合同约定履行义务。</w:t>
      </w:r>
    </w:p>
    <w:p>
      <w:pPr>
        <w:pStyle w:val="2"/>
        <w:pageBreakBefore w:val="0"/>
        <w:spacing w:before="120" w:beforeLines="50" w:afterLines="50" w:line="240" w:lineRule="auto"/>
        <w:ind w:left="0" w:firstLine="0"/>
        <w:rPr>
          <w:rFonts w:ascii="仿宋_GB2312" w:eastAsia="仿宋_GB2312"/>
        </w:rPr>
      </w:pPr>
      <w:bookmarkStart w:id="190" w:name="_Toc333327470"/>
      <w:bookmarkStart w:id="191" w:name="_Toc21785"/>
      <w:bookmarkStart w:id="192" w:name="_Toc429862217"/>
      <w:bookmarkStart w:id="193" w:name="_Toc429604216"/>
      <w:bookmarkStart w:id="194" w:name="_Toc429602575"/>
      <w:bookmarkStart w:id="195" w:name="_Toc481542891"/>
      <w:r>
        <w:rPr>
          <w:rFonts w:hint="eastAsia" w:ascii="仿宋_GB2312" w:eastAsia="仿宋_GB2312"/>
        </w:rPr>
        <w:t>八、特殊情形的规定</w:t>
      </w:r>
      <w:bookmarkEnd w:id="190"/>
      <w:bookmarkEnd w:id="191"/>
      <w:bookmarkEnd w:id="192"/>
      <w:bookmarkEnd w:id="193"/>
      <w:bookmarkEnd w:id="194"/>
      <w:bookmarkEnd w:id="195"/>
    </w:p>
    <w:p>
      <w:pPr>
        <w:pStyle w:val="4"/>
        <w:spacing w:before="192" w:beforeLines="80" w:after="0" w:line="360" w:lineRule="auto"/>
        <w:rPr>
          <w:rFonts w:hAnsi="Times New Roman"/>
          <w:sz w:val="24"/>
          <w:szCs w:val="24"/>
        </w:rPr>
      </w:pPr>
      <w:bookmarkStart w:id="196" w:name="_Toc429604217"/>
      <w:bookmarkStart w:id="197" w:name="_Toc429862218"/>
      <w:bookmarkStart w:id="198" w:name="_Toc429602576"/>
      <w:bookmarkStart w:id="199" w:name="_Toc333327471"/>
      <w:r>
        <w:rPr>
          <w:rFonts w:hAnsi="Times New Roman"/>
          <w:sz w:val="24"/>
          <w:szCs w:val="24"/>
        </w:rPr>
        <w:t>32</w:t>
      </w:r>
      <w:r>
        <w:rPr>
          <w:rFonts w:hint="eastAsia" w:hAnsi="Times New Roman"/>
          <w:sz w:val="24"/>
          <w:szCs w:val="24"/>
        </w:rPr>
        <w:t>、特殊情形</w:t>
      </w:r>
      <w:bookmarkEnd w:id="196"/>
      <w:bookmarkEnd w:id="197"/>
      <w:bookmarkEnd w:id="198"/>
      <w:bookmarkEnd w:id="199"/>
    </w:p>
    <w:p>
      <w:pPr>
        <w:pStyle w:val="24"/>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ascii="仿宋_GB2312" w:hAnsi="Times New Roman" w:eastAsia="仿宋_GB2312" w:cs="Times New Roman"/>
          <w:sz w:val="24"/>
          <w:szCs w:val="24"/>
        </w:rPr>
        <w:t>32.1</w:t>
      </w:r>
      <w:r>
        <w:rPr>
          <w:rFonts w:hint="eastAsia" w:ascii="仿宋_GB2312" w:hAnsi="Times New Roman" w:eastAsia="仿宋_GB2312" w:cs="Times New Roman"/>
          <w:sz w:val="24"/>
          <w:szCs w:val="24"/>
        </w:rPr>
        <w:t>特殊情形是指：在本章第</w:t>
      </w:r>
      <w:r>
        <w:rPr>
          <w:rFonts w:ascii="仿宋_GB2312" w:hAnsi="Times New Roman" w:eastAsia="仿宋_GB2312" w:cs="Times New Roman"/>
          <w:sz w:val="24"/>
          <w:szCs w:val="24"/>
        </w:rPr>
        <w:t>10.1</w:t>
      </w:r>
      <w:r>
        <w:rPr>
          <w:rFonts w:hint="eastAsia" w:ascii="仿宋_GB2312" w:hAnsi="Times New Roman" w:eastAsia="仿宋_GB2312" w:cs="Times New Roman"/>
          <w:kern w:val="0"/>
          <w:sz w:val="24"/>
          <w:szCs w:val="24"/>
          <w:lang w:val="zh-CN"/>
        </w:rPr>
        <w:t>款</w:t>
      </w:r>
      <w:r>
        <w:rPr>
          <w:rFonts w:hint="eastAsia" w:ascii="仿宋_GB2312" w:hAnsi="Times New Roman" w:eastAsia="仿宋_GB2312" w:cs="Times New Roman"/>
          <w:sz w:val="24"/>
          <w:szCs w:val="24"/>
        </w:rPr>
        <w:t>规定的投标截止时间</w:t>
      </w:r>
      <w:r>
        <w:rPr>
          <w:rFonts w:hint="eastAsia" w:ascii="仿宋_GB2312" w:hAnsi="Times New Roman" w:eastAsia="仿宋_GB2312" w:cs="Times New Roman"/>
          <w:kern w:val="0"/>
          <w:sz w:val="24"/>
          <w:szCs w:val="24"/>
          <w:lang w:val="zh-CN"/>
        </w:rPr>
        <w:t>递交投标文件或者经评审实质性响应招标文件要求的投标人只有两家的情形。</w:t>
      </w:r>
    </w:p>
    <w:p>
      <w:pPr>
        <w:pStyle w:val="4"/>
        <w:spacing w:before="192" w:beforeLines="80" w:after="0" w:line="360" w:lineRule="auto"/>
        <w:rPr>
          <w:rFonts w:hAnsi="Times New Roman"/>
          <w:sz w:val="24"/>
          <w:szCs w:val="24"/>
        </w:rPr>
      </w:pPr>
      <w:bookmarkStart w:id="200" w:name="_Toc429602577"/>
      <w:bookmarkStart w:id="201" w:name="_Toc429604218"/>
      <w:bookmarkStart w:id="202" w:name="_Toc429862219"/>
      <w:bookmarkStart w:id="203" w:name="_Toc333327472"/>
      <w:r>
        <w:rPr>
          <w:rFonts w:hAnsi="Times New Roman"/>
          <w:sz w:val="24"/>
          <w:szCs w:val="24"/>
        </w:rPr>
        <w:t>33</w:t>
      </w:r>
      <w:r>
        <w:rPr>
          <w:rFonts w:hint="eastAsia" w:hAnsi="Times New Roman"/>
          <w:sz w:val="24"/>
          <w:szCs w:val="24"/>
        </w:rPr>
        <w:t>、特殊情形规定</w:t>
      </w:r>
      <w:bookmarkEnd w:id="200"/>
      <w:bookmarkEnd w:id="201"/>
      <w:bookmarkEnd w:id="202"/>
      <w:bookmarkEnd w:id="203"/>
    </w:p>
    <w:p>
      <w:pPr>
        <w:pStyle w:val="24"/>
        <w:adjustRightInd w:val="0"/>
        <w:snapToGrid w:val="0"/>
        <w:spacing w:before="120" w:beforeLines="50" w:line="360" w:lineRule="auto"/>
        <w:ind w:firstLine="480" w:firstLineChars="200"/>
        <w:jc w:val="left"/>
        <w:rPr>
          <w:rFonts w:ascii="仿宋_GB2312" w:hAnsi="Times New Roman" w:eastAsia="仿宋_GB2312" w:cs="Times New Roman"/>
          <w:sz w:val="24"/>
          <w:szCs w:val="24"/>
        </w:rPr>
      </w:pPr>
      <w:r>
        <w:rPr>
          <w:rFonts w:ascii="仿宋_GB2312" w:hAnsi="Times New Roman" w:eastAsia="仿宋_GB2312" w:cs="Times New Roman"/>
          <w:sz w:val="24"/>
          <w:szCs w:val="24"/>
        </w:rPr>
        <w:t>33.1</w:t>
      </w:r>
      <w:r>
        <w:rPr>
          <w:rFonts w:hint="eastAsia" w:ascii="仿宋_GB2312" w:hAnsi="Times New Roman" w:eastAsia="仿宋_GB2312" w:cs="Times New Roman"/>
          <w:sz w:val="24"/>
          <w:szCs w:val="24"/>
        </w:rPr>
        <w:t>符合本章第</w:t>
      </w:r>
      <w:r>
        <w:rPr>
          <w:rFonts w:ascii="仿宋_GB2312" w:hAnsi="Times New Roman" w:eastAsia="仿宋_GB2312" w:cs="Times New Roman"/>
          <w:sz w:val="24"/>
          <w:szCs w:val="24"/>
        </w:rPr>
        <w:t>32.1</w:t>
      </w:r>
      <w:r>
        <w:rPr>
          <w:rFonts w:hint="eastAsia" w:ascii="仿宋_GB2312" w:hAnsi="Times New Roman" w:eastAsia="仿宋_GB2312" w:cs="Times New Roman"/>
          <w:sz w:val="24"/>
          <w:szCs w:val="24"/>
        </w:rPr>
        <w:t>款情形未进行符合性检查的，按第十章“评标方法及标准(综合评分法适用)”第</w:t>
      </w:r>
      <w:r>
        <w:rPr>
          <w:rFonts w:ascii="仿宋_GB2312" w:hAnsi="Times New Roman" w:eastAsia="仿宋_GB2312" w:cs="Times New Roman"/>
          <w:sz w:val="24"/>
          <w:szCs w:val="24"/>
        </w:rPr>
        <w:t>2.1</w:t>
      </w:r>
      <w:r>
        <w:rPr>
          <w:rFonts w:hint="eastAsia" w:ascii="仿宋_GB2312" w:hAnsi="Times New Roman" w:eastAsia="仿宋_GB2312" w:cs="Times New Roman"/>
          <w:sz w:val="24"/>
          <w:szCs w:val="24"/>
        </w:rPr>
        <w:t>款规定进行符合性审查。当符合招标文件第十章“评标方法及标准(综合评分法适用)”第</w:t>
      </w:r>
      <w:r>
        <w:rPr>
          <w:rFonts w:ascii="仿宋_GB2312" w:hAnsi="Times New Roman" w:eastAsia="仿宋_GB2312" w:cs="Times New Roman"/>
          <w:sz w:val="24"/>
          <w:szCs w:val="24"/>
        </w:rPr>
        <w:t>2.1</w:t>
      </w:r>
      <w:r>
        <w:rPr>
          <w:rFonts w:hint="eastAsia" w:ascii="仿宋_GB2312" w:hAnsi="Times New Roman" w:eastAsia="仿宋_GB2312" w:cs="Times New Roman"/>
          <w:sz w:val="24"/>
          <w:szCs w:val="24"/>
        </w:rPr>
        <w:t>款规定的投标人少于两家</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不含两家</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时，重新采购。</w:t>
      </w:r>
    </w:p>
    <w:p>
      <w:pPr>
        <w:pStyle w:val="2"/>
        <w:pageBreakBefore w:val="0"/>
        <w:spacing w:before="120" w:beforeLines="50" w:afterLines="50" w:line="240" w:lineRule="auto"/>
        <w:ind w:left="0" w:firstLine="0"/>
        <w:rPr>
          <w:rFonts w:ascii="仿宋_GB2312" w:eastAsia="仿宋_GB2312"/>
        </w:rPr>
      </w:pPr>
      <w:bookmarkStart w:id="204" w:name="_Toc429602578"/>
      <w:bookmarkStart w:id="205" w:name="_Toc429862220"/>
      <w:bookmarkStart w:id="206" w:name="_Toc333327473"/>
      <w:bookmarkStart w:id="207" w:name="_Toc429604219"/>
      <w:bookmarkStart w:id="208" w:name="_Toc1352"/>
      <w:bookmarkStart w:id="209" w:name="_Toc481542892"/>
      <w:r>
        <w:rPr>
          <w:rFonts w:hint="eastAsia" w:ascii="仿宋_GB2312" w:eastAsia="仿宋_GB2312"/>
        </w:rPr>
        <w:t>九、其他规定</w:t>
      </w:r>
      <w:bookmarkEnd w:id="204"/>
      <w:bookmarkEnd w:id="205"/>
      <w:bookmarkEnd w:id="206"/>
      <w:bookmarkEnd w:id="207"/>
      <w:bookmarkEnd w:id="208"/>
      <w:bookmarkEnd w:id="209"/>
    </w:p>
    <w:p>
      <w:pPr>
        <w:pStyle w:val="4"/>
        <w:spacing w:before="192" w:beforeLines="80" w:after="0" w:line="360" w:lineRule="auto"/>
        <w:rPr>
          <w:rFonts w:hAnsi="Times New Roman"/>
          <w:sz w:val="24"/>
          <w:szCs w:val="24"/>
        </w:rPr>
      </w:pPr>
      <w:bookmarkStart w:id="210" w:name="_Toc429862221"/>
      <w:bookmarkStart w:id="211" w:name="_Toc333327474"/>
      <w:bookmarkStart w:id="212" w:name="_Toc429602579"/>
      <w:bookmarkStart w:id="213" w:name="_Toc429604220"/>
      <w:r>
        <w:rPr>
          <w:rFonts w:hAnsi="Times New Roman"/>
          <w:sz w:val="24"/>
          <w:szCs w:val="24"/>
        </w:rPr>
        <w:t>34</w:t>
      </w:r>
      <w:r>
        <w:rPr>
          <w:rFonts w:hint="eastAsia" w:hAnsi="Times New Roman"/>
          <w:sz w:val="24"/>
          <w:szCs w:val="24"/>
        </w:rPr>
        <w:t>、政策与法规</w:t>
      </w:r>
      <w:bookmarkEnd w:id="210"/>
      <w:bookmarkEnd w:id="211"/>
      <w:bookmarkEnd w:id="212"/>
      <w:bookmarkEnd w:id="213"/>
    </w:p>
    <w:p>
      <w:pPr>
        <w:adjustRightInd w:val="0"/>
        <w:snapToGrid w:val="0"/>
        <w:spacing w:before="120" w:beforeLines="50" w:line="360" w:lineRule="auto"/>
        <w:ind w:firstLine="480" w:firstLineChars="200"/>
        <w:jc w:val="left"/>
        <w:rPr>
          <w:rFonts w:ascii="仿宋_GB2312" w:eastAsia="仿宋_GB2312"/>
          <w:sz w:val="24"/>
        </w:rPr>
      </w:pPr>
      <w:r>
        <w:rPr>
          <w:rFonts w:ascii="仿宋_GB2312" w:eastAsia="仿宋_GB2312"/>
          <w:sz w:val="24"/>
        </w:rPr>
        <w:t>34.1</w:t>
      </w:r>
      <w:r>
        <w:rPr>
          <w:rFonts w:hint="eastAsia" w:ascii="仿宋_GB2312" w:eastAsia="仿宋_GB2312"/>
          <w:sz w:val="24"/>
        </w:rPr>
        <w:t>法律、法规、规章和省级以上财政、发改等部门涉及政府采购政策功能及其他规定，见</w:t>
      </w:r>
      <w:r>
        <w:rPr>
          <w:rFonts w:hint="eastAsia" w:ascii="仿宋_GB2312" w:eastAsia="仿宋_GB2312"/>
          <w:b/>
          <w:sz w:val="24"/>
        </w:rPr>
        <w:t>招标文件前附表</w:t>
      </w:r>
      <w:r>
        <w:rPr>
          <w:rFonts w:hint="eastAsia" w:ascii="仿宋_GB2312" w:eastAsia="仿宋_GB2312"/>
          <w:sz w:val="24"/>
        </w:rPr>
        <w:t>。</w:t>
      </w:r>
    </w:p>
    <w:p>
      <w:pPr>
        <w:pStyle w:val="4"/>
        <w:spacing w:before="192" w:beforeLines="80" w:after="0" w:line="360" w:lineRule="auto"/>
        <w:rPr>
          <w:rFonts w:hAnsi="Times New Roman"/>
          <w:sz w:val="24"/>
          <w:szCs w:val="24"/>
        </w:rPr>
      </w:pPr>
      <w:bookmarkStart w:id="214" w:name="_Toc429604221"/>
      <w:bookmarkStart w:id="215" w:name="_Toc333327475"/>
      <w:bookmarkStart w:id="216" w:name="_Toc429602580"/>
      <w:bookmarkStart w:id="217" w:name="_Toc429862222"/>
      <w:r>
        <w:rPr>
          <w:rFonts w:hAnsi="Times New Roman"/>
          <w:sz w:val="24"/>
          <w:szCs w:val="24"/>
        </w:rPr>
        <w:t>35</w:t>
      </w:r>
      <w:r>
        <w:rPr>
          <w:rFonts w:hint="eastAsia" w:hAnsi="Times New Roman"/>
          <w:sz w:val="24"/>
          <w:szCs w:val="24"/>
        </w:rPr>
        <w:t>、招标代理服务费</w:t>
      </w:r>
      <w:bookmarkEnd w:id="214"/>
      <w:bookmarkEnd w:id="215"/>
      <w:bookmarkEnd w:id="216"/>
      <w:bookmarkEnd w:id="217"/>
      <w:r>
        <w:rPr>
          <w:rFonts w:hint="eastAsia" w:hAnsi="Times New Roman"/>
          <w:sz w:val="24"/>
          <w:szCs w:val="24"/>
        </w:rPr>
        <w:t>及咨询服务费</w:t>
      </w:r>
    </w:p>
    <w:p>
      <w:pPr>
        <w:tabs>
          <w:tab w:val="left" w:pos="420"/>
          <w:tab w:val="left" w:pos="7560"/>
          <w:tab w:val="left" w:pos="7740"/>
          <w:tab w:val="left" w:pos="7920"/>
        </w:tabs>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35.1</w:t>
      </w:r>
      <w:r>
        <w:rPr>
          <w:rFonts w:hint="eastAsia" w:ascii="仿宋_GB2312" w:eastAsia="仿宋_GB2312"/>
          <w:sz w:val="24"/>
        </w:rPr>
        <w:t>成交人应按</w:t>
      </w:r>
      <w:r>
        <w:rPr>
          <w:rFonts w:hint="eastAsia" w:ascii="仿宋_GB2312" w:eastAsia="仿宋_GB2312"/>
          <w:b/>
          <w:sz w:val="24"/>
        </w:rPr>
        <w:t>招标文件前附表</w:t>
      </w:r>
      <w:r>
        <w:rPr>
          <w:rFonts w:hint="eastAsia" w:ascii="仿宋_GB2312" w:eastAsia="仿宋_GB2312"/>
          <w:sz w:val="24"/>
        </w:rPr>
        <w:t>规定交纳本项目的招标代理服务费。</w:t>
      </w:r>
    </w:p>
    <w:p>
      <w:pPr>
        <w:tabs>
          <w:tab w:val="left" w:pos="420"/>
          <w:tab w:val="left" w:pos="7560"/>
          <w:tab w:val="left" w:pos="7740"/>
          <w:tab w:val="left" w:pos="7920"/>
        </w:tabs>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35.2</w:t>
      </w:r>
      <w:r>
        <w:rPr>
          <w:rFonts w:hint="eastAsia" w:ascii="仿宋_GB2312" w:eastAsia="仿宋_GB2312"/>
          <w:sz w:val="24"/>
        </w:rPr>
        <w:t>成交人应按</w:t>
      </w:r>
      <w:r>
        <w:rPr>
          <w:rFonts w:hint="eastAsia" w:ascii="仿宋_GB2312" w:eastAsia="仿宋_GB2312"/>
          <w:b/>
          <w:sz w:val="24"/>
        </w:rPr>
        <w:t>招标文件前附表</w:t>
      </w:r>
      <w:r>
        <w:rPr>
          <w:rFonts w:hint="eastAsia" w:ascii="仿宋_GB2312" w:eastAsia="仿宋_GB2312"/>
          <w:sz w:val="24"/>
        </w:rPr>
        <w:t>规定预付本项目的咨询服务费。</w:t>
      </w:r>
    </w:p>
    <w:p>
      <w:pPr>
        <w:pStyle w:val="4"/>
        <w:spacing w:before="192" w:beforeLines="80" w:after="0" w:line="360" w:lineRule="auto"/>
        <w:rPr>
          <w:rFonts w:hAnsi="Times New Roman"/>
          <w:sz w:val="24"/>
          <w:szCs w:val="24"/>
        </w:rPr>
      </w:pPr>
      <w:bookmarkStart w:id="218" w:name="_Toc429602581"/>
      <w:bookmarkStart w:id="219" w:name="_Toc333327476"/>
      <w:bookmarkStart w:id="220" w:name="_Toc429604222"/>
      <w:bookmarkStart w:id="221" w:name="_Toc429862223"/>
      <w:r>
        <w:rPr>
          <w:rFonts w:hAnsi="Times New Roman"/>
          <w:sz w:val="24"/>
          <w:szCs w:val="24"/>
        </w:rPr>
        <w:t>36</w:t>
      </w:r>
      <w:r>
        <w:rPr>
          <w:rFonts w:hint="eastAsia" w:hAnsi="Times New Roman"/>
          <w:sz w:val="24"/>
          <w:szCs w:val="24"/>
        </w:rPr>
        <w:t>、其他规定</w:t>
      </w:r>
      <w:bookmarkEnd w:id="218"/>
      <w:bookmarkEnd w:id="219"/>
      <w:bookmarkEnd w:id="220"/>
      <w:bookmarkEnd w:id="221"/>
    </w:p>
    <w:p>
      <w:pPr>
        <w:pStyle w:val="24"/>
        <w:adjustRightInd w:val="0"/>
        <w:snapToGrid w:val="0"/>
        <w:spacing w:before="120" w:beforeLines="50" w:line="360" w:lineRule="auto"/>
        <w:ind w:firstLine="480" w:firstLineChars="200"/>
        <w:jc w:val="left"/>
        <w:rPr>
          <w:rFonts w:ascii="仿宋_GB2312" w:hAnsi="Times New Roman" w:eastAsia="仿宋_GB2312" w:cs="Times New Roman"/>
        </w:rPr>
        <w:sectPr>
          <w:footerReference r:id="rId6" w:type="default"/>
          <w:pgSz w:w="11906" w:h="16838"/>
          <w:pgMar w:top="1701" w:right="964" w:bottom="1701" w:left="964" w:header="1134" w:footer="907" w:gutter="0"/>
          <w:cols w:space="0" w:num="1"/>
          <w:docGrid w:linePitch="312" w:charSpace="0"/>
        </w:sectPr>
      </w:pPr>
      <w:r>
        <w:rPr>
          <w:rFonts w:ascii="仿宋_GB2312" w:hAnsi="Times New Roman" w:eastAsia="仿宋_GB2312" w:cs="Times New Roman"/>
          <w:sz w:val="24"/>
          <w:szCs w:val="24"/>
        </w:rPr>
        <w:t>36.1</w:t>
      </w:r>
      <w:r>
        <w:rPr>
          <w:rFonts w:hint="eastAsia" w:ascii="仿宋_GB2312" w:hAnsi="Times New Roman" w:eastAsia="仿宋_GB2312" w:cs="Times New Roman"/>
          <w:sz w:val="24"/>
          <w:szCs w:val="24"/>
        </w:rPr>
        <w:t>招标文件的其他规定见</w:t>
      </w:r>
      <w:r>
        <w:rPr>
          <w:rFonts w:hint="eastAsia" w:ascii="仿宋_GB2312" w:hAnsi="Times New Roman" w:eastAsia="仿宋_GB2312" w:cs="Times New Roman"/>
          <w:b/>
          <w:sz w:val="24"/>
          <w:szCs w:val="24"/>
        </w:rPr>
        <w:t>招标文件前附表</w:t>
      </w:r>
      <w:r>
        <w:rPr>
          <w:rFonts w:hint="eastAsia" w:ascii="仿宋_GB2312" w:hAnsi="Times New Roman" w:eastAsia="仿宋_GB2312" w:cs="Times New Roman"/>
          <w:sz w:val="24"/>
          <w:szCs w:val="24"/>
        </w:rPr>
        <w:t>。</w:t>
      </w:r>
      <w:bookmarkStart w:id="222" w:name="_Toc333327477"/>
      <w:bookmarkStart w:id="223" w:name="_Toc32748"/>
    </w:p>
    <w:p>
      <w:pPr>
        <w:pStyle w:val="2"/>
        <w:pageBreakBefore w:val="0"/>
        <w:spacing w:before="120" w:beforeLines="50" w:afterLines="50" w:line="240" w:lineRule="auto"/>
        <w:ind w:left="0" w:firstLine="0"/>
        <w:rPr>
          <w:rFonts w:ascii="仿宋_GB2312" w:eastAsia="仿宋_GB2312"/>
          <w:b w:val="0"/>
        </w:rPr>
      </w:pPr>
      <w:bookmarkStart w:id="224" w:name="_Toc481542893"/>
      <w:bookmarkStart w:id="225" w:name="_Toc429604223"/>
      <w:bookmarkStart w:id="226" w:name="_Toc429602582"/>
      <w:bookmarkStart w:id="227" w:name="_Toc429862224"/>
      <w:r>
        <w:rPr>
          <w:rFonts w:hint="eastAsia" w:ascii="仿宋_GB2312" w:eastAsia="仿宋_GB2312"/>
        </w:rPr>
        <w:t>十、</w:t>
      </w:r>
      <w:bookmarkEnd w:id="224"/>
      <w:r>
        <w:rPr>
          <w:rFonts w:hint="eastAsia" w:ascii="仿宋_GB2312" w:eastAsia="仿宋_GB2312"/>
        </w:rPr>
        <w:t>评标方法及标准</w:t>
      </w:r>
      <w:r>
        <w:rPr>
          <w:rFonts w:ascii="仿宋_GB2312" w:eastAsia="仿宋_GB2312"/>
        </w:rPr>
        <w:t>(</w:t>
      </w:r>
      <w:r>
        <w:rPr>
          <w:rFonts w:hint="eastAsia" w:ascii="仿宋_GB2312" w:eastAsia="仿宋_GB2312"/>
        </w:rPr>
        <w:t>综合评分法适用</w:t>
      </w:r>
      <w:r>
        <w:rPr>
          <w:rFonts w:ascii="仿宋_GB2312" w:eastAsia="仿宋_GB2312"/>
        </w:rPr>
        <w:t>)</w:t>
      </w:r>
      <w:bookmarkEnd w:id="222"/>
      <w:bookmarkEnd w:id="223"/>
      <w:bookmarkEnd w:id="225"/>
      <w:bookmarkEnd w:id="226"/>
      <w:bookmarkEnd w:id="227"/>
      <w:bookmarkStart w:id="228" w:name="_Toc333327478"/>
      <w:bookmarkStart w:id="229" w:name="_Toc429602583"/>
      <w:bookmarkStart w:id="230" w:name="_Toc7899"/>
      <w:bookmarkStart w:id="231" w:name="_Toc429862225"/>
      <w:bookmarkStart w:id="232" w:name="_Toc429604224"/>
    </w:p>
    <w:bookmarkEnd w:id="228"/>
    <w:bookmarkEnd w:id="229"/>
    <w:bookmarkEnd w:id="230"/>
    <w:bookmarkEnd w:id="231"/>
    <w:bookmarkEnd w:id="232"/>
    <w:p>
      <w:pPr>
        <w:pStyle w:val="4"/>
        <w:spacing w:before="192" w:beforeLines="80" w:after="0" w:line="360" w:lineRule="auto"/>
        <w:rPr>
          <w:rFonts w:hAnsi="Times New Roman"/>
          <w:sz w:val="24"/>
          <w:szCs w:val="24"/>
        </w:rPr>
      </w:pPr>
      <w:bookmarkStart w:id="233" w:name="_Toc429862226"/>
      <w:bookmarkStart w:id="234" w:name="_Toc429602584"/>
      <w:bookmarkStart w:id="235" w:name="_Toc429604225"/>
      <w:bookmarkStart w:id="236" w:name="_Toc333327479"/>
      <w:r>
        <w:rPr>
          <w:rFonts w:hAnsi="Times New Roman"/>
          <w:sz w:val="24"/>
          <w:szCs w:val="24"/>
        </w:rPr>
        <w:t>1</w:t>
      </w:r>
      <w:r>
        <w:rPr>
          <w:rFonts w:hint="eastAsia" w:hAnsi="Times New Roman"/>
          <w:sz w:val="24"/>
          <w:szCs w:val="24"/>
        </w:rPr>
        <w:t>、评标委员会</w:t>
      </w:r>
      <w:bookmarkEnd w:id="233"/>
      <w:bookmarkEnd w:id="234"/>
      <w:bookmarkEnd w:id="235"/>
      <w:bookmarkEnd w:id="236"/>
    </w:p>
    <w:p>
      <w:pPr>
        <w:adjustRightInd w:val="0"/>
        <w:snapToGrid w:val="0"/>
        <w:spacing w:before="120" w:beforeLines="50" w:line="360" w:lineRule="auto"/>
        <w:rPr>
          <w:rFonts w:ascii="仿宋_GB2312" w:eastAsia="仿宋_GB2312"/>
          <w:sz w:val="24"/>
        </w:rPr>
      </w:pPr>
      <w:r>
        <w:rPr>
          <w:rFonts w:ascii="仿宋_GB2312" w:eastAsia="仿宋_GB2312"/>
          <w:sz w:val="24"/>
        </w:rPr>
        <w:t>1.1</w:t>
      </w:r>
      <w:r>
        <w:rPr>
          <w:rFonts w:hint="eastAsia" w:ascii="仿宋_GB2312" w:eastAsia="仿宋_GB2312"/>
          <w:sz w:val="24"/>
        </w:rPr>
        <w:t>评标由依法组成的评标委员会负责。</w:t>
      </w:r>
    </w:p>
    <w:p>
      <w:pPr>
        <w:pStyle w:val="4"/>
        <w:spacing w:before="192" w:beforeLines="80" w:after="0" w:line="360" w:lineRule="auto"/>
        <w:rPr>
          <w:rFonts w:hAnsi="Times New Roman"/>
          <w:sz w:val="24"/>
          <w:szCs w:val="24"/>
        </w:rPr>
      </w:pPr>
      <w:bookmarkStart w:id="237" w:name="_Toc429862227"/>
      <w:bookmarkStart w:id="238" w:name="_Toc429604226"/>
      <w:bookmarkStart w:id="239" w:name="_Toc429602585"/>
      <w:bookmarkStart w:id="240" w:name="_Toc333327480"/>
      <w:r>
        <w:rPr>
          <w:rFonts w:hAnsi="Times New Roman"/>
          <w:sz w:val="24"/>
          <w:szCs w:val="24"/>
        </w:rPr>
        <w:t>2</w:t>
      </w:r>
      <w:r>
        <w:rPr>
          <w:rFonts w:hint="eastAsia" w:hAnsi="Times New Roman"/>
          <w:sz w:val="24"/>
          <w:szCs w:val="24"/>
        </w:rPr>
        <w:t>、评标方法</w:t>
      </w:r>
      <w:bookmarkEnd w:id="237"/>
      <w:bookmarkEnd w:id="238"/>
      <w:bookmarkEnd w:id="239"/>
      <w:bookmarkEnd w:id="240"/>
    </w:p>
    <w:p>
      <w:pPr>
        <w:tabs>
          <w:tab w:val="left" w:pos="0"/>
        </w:tabs>
        <w:adjustRightInd w:val="0"/>
        <w:snapToGrid w:val="0"/>
        <w:spacing w:before="120" w:beforeLines="50" w:line="360" w:lineRule="auto"/>
        <w:rPr>
          <w:rFonts w:ascii="仿宋_GB2312" w:eastAsia="仿宋_GB2312"/>
          <w:sz w:val="24"/>
        </w:rPr>
      </w:pPr>
      <w:r>
        <w:rPr>
          <w:rFonts w:ascii="仿宋_GB2312" w:eastAsia="仿宋_GB2312"/>
          <w:sz w:val="24"/>
        </w:rPr>
        <w:t>2.1</w:t>
      </w:r>
      <w:r>
        <w:rPr>
          <w:rFonts w:hint="eastAsia" w:ascii="仿宋_GB2312" w:eastAsia="仿宋_GB2312"/>
          <w:sz w:val="24"/>
        </w:rPr>
        <w:t>评标方法：综合评分法，即投标文件能够最大限度的满足招标文件规定的各项综合评价标准且经评审得分最高的投标人为成交候选人的评标方法。</w:t>
      </w:r>
    </w:p>
    <w:p>
      <w:pPr>
        <w:tabs>
          <w:tab w:val="left" w:pos="0"/>
        </w:tabs>
        <w:adjustRightInd w:val="0"/>
        <w:snapToGrid w:val="0"/>
        <w:spacing w:before="120" w:beforeLines="50" w:line="360" w:lineRule="auto"/>
        <w:rPr>
          <w:rFonts w:ascii="仿宋_GB2312" w:eastAsia="仿宋_GB2312"/>
          <w:sz w:val="24"/>
        </w:rPr>
      </w:pPr>
      <w:r>
        <w:rPr>
          <w:rFonts w:ascii="仿宋_GB2312" w:eastAsia="仿宋_GB2312"/>
          <w:sz w:val="24"/>
        </w:rPr>
        <w:t>2.2</w:t>
      </w:r>
      <w:r>
        <w:rPr>
          <w:rFonts w:hint="eastAsia" w:ascii="仿宋_GB2312" w:eastAsia="仿宋_GB2312"/>
          <w:sz w:val="24"/>
        </w:rPr>
        <w:t>本采购项目的评标因素和标准见</w:t>
      </w:r>
      <w:r>
        <w:rPr>
          <w:rFonts w:hint="eastAsia" w:ascii="仿宋_GB2312" w:eastAsia="仿宋_GB2312"/>
          <w:b/>
          <w:sz w:val="24"/>
        </w:rPr>
        <w:t>招标文件前附表</w:t>
      </w:r>
      <w:r>
        <w:rPr>
          <w:rFonts w:hint="eastAsia" w:ascii="仿宋_GB2312" w:eastAsia="仿宋_GB2312"/>
          <w:sz w:val="24"/>
        </w:rPr>
        <w:t>，不得对投标文件优于招标文件要求的评标因素给予加分。</w:t>
      </w:r>
    </w:p>
    <w:p>
      <w:pPr>
        <w:tabs>
          <w:tab w:val="left" w:pos="0"/>
        </w:tabs>
        <w:adjustRightInd w:val="0"/>
        <w:snapToGrid w:val="0"/>
        <w:spacing w:before="120" w:beforeLines="50" w:line="360" w:lineRule="auto"/>
        <w:rPr>
          <w:rFonts w:ascii="仿宋_GB2312" w:eastAsia="仿宋_GB2312"/>
          <w:sz w:val="24"/>
        </w:rPr>
      </w:pPr>
      <w:r>
        <w:rPr>
          <w:rFonts w:hint="eastAsia" w:ascii="仿宋_GB2312" w:eastAsia="仿宋_GB2312"/>
          <w:sz w:val="24"/>
        </w:rPr>
        <w:t>评标因素：技术、商务的响应程度，以及相应的分值等。</w:t>
      </w:r>
    </w:p>
    <w:p>
      <w:pPr>
        <w:tabs>
          <w:tab w:val="left" w:pos="0"/>
        </w:tabs>
        <w:adjustRightInd w:val="0"/>
        <w:snapToGrid w:val="0"/>
        <w:spacing w:before="120" w:beforeLines="50" w:line="360" w:lineRule="auto"/>
        <w:rPr>
          <w:rFonts w:ascii="仿宋_GB2312" w:eastAsia="仿宋_GB2312"/>
          <w:sz w:val="24"/>
        </w:rPr>
      </w:pPr>
      <w:r>
        <w:rPr>
          <w:rFonts w:ascii="仿宋_GB2312" w:eastAsia="仿宋_GB2312"/>
          <w:sz w:val="24"/>
        </w:rPr>
        <w:t>2.3</w:t>
      </w:r>
      <w:r>
        <w:rPr>
          <w:rFonts w:hint="eastAsia" w:ascii="仿宋_GB2312" w:eastAsia="仿宋_GB2312"/>
          <w:sz w:val="24"/>
        </w:rPr>
        <w:t>打分取值范围见下表，本采购项目的分值见</w:t>
      </w:r>
      <w:r>
        <w:rPr>
          <w:rFonts w:hint="eastAsia" w:ascii="仿宋_GB2312" w:eastAsia="仿宋_GB2312"/>
          <w:b/>
          <w:sz w:val="24"/>
        </w:rPr>
        <w:t>招标文件前附表</w:t>
      </w:r>
      <w:r>
        <w:rPr>
          <w:rFonts w:hint="eastAsia" w:ascii="仿宋_GB2312" w:eastAsia="仿宋_GB2312"/>
          <w:sz w:val="24"/>
        </w:rPr>
        <w:t>。</w:t>
      </w:r>
    </w:p>
    <w:tbl>
      <w:tblPr>
        <w:tblStyle w:val="45"/>
        <w:tblW w:w="882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2"/>
        <w:gridCol w:w="4318"/>
        <w:gridCol w:w="36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902" w:type="dxa"/>
            <w:tcBorders>
              <w:top w:val="doub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4318" w:type="dxa"/>
            <w:tcBorders>
              <w:top w:val="double" w:color="auto" w:sz="4" w:space="0"/>
            </w:tcBorders>
            <w:vAlign w:val="center"/>
          </w:tcPr>
          <w:p>
            <w:pPr>
              <w:adjustRightInd w:val="0"/>
              <w:snapToGrid w:val="0"/>
              <w:ind w:firstLine="482"/>
              <w:jc w:val="center"/>
              <w:rPr>
                <w:rFonts w:ascii="仿宋_GB2312" w:eastAsia="仿宋_GB2312"/>
                <w:b/>
                <w:sz w:val="24"/>
              </w:rPr>
            </w:pPr>
            <w:r>
              <w:rPr>
                <w:rFonts w:hint="eastAsia" w:ascii="仿宋_GB2312" w:eastAsia="仿宋_GB2312"/>
                <w:b/>
                <w:sz w:val="24"/>
              </w:rPr>
              <w:t>项目</w:t>
            </w:r>
          </w:p>
        </w:tc>
        <w:tc>
          <w:tcPr>
            <w:tcW w:w="3600" w:type="dxa"/>
            <w:tcBorders>
              <w:top w:val="double" w:color="auto" w:sz="4" w:space="0"/>
            </w:tcBorders>
            <w:vAlign w:val="center"/>
          </w:tcPr>
          <w:p>
            <w:pPr>
              <w:adjustRightInd w:val="0"/>
              <w:snapToGrid w:val="0"/>
              <w:ind w:firstLine="482"/>
              <w:jc w:val="center"/>
              <w:rPr>
                <w:rFonts w:ascii="仿宋_GB2312" w:eastAsia="仿宋_GB2312"/>
                <w:b/>
                <w:sz w:val="24"/>
              </w:rPr>
            </w:pPr>
            <w:r>
              <w:rPr>
                <w:rFonts w:hint="eastAsia" w:ascii="仿宋_GB2312" w:eastAsia="仿宋_GB2312"/>
                <w:b/>
                <w:sz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1</w:t>
            </w:r>
          </w:p>
        </w:tc>
        <w:tc>
          <w:tcPr>
            <w:tcW w:w="4318" w:type="dxa"/>
            <w:vAlign w:val="center"/>
          </w:tcPr>
          <w:p>
            <w:pPr>
              <w:adjustRightInd w:val="0"/>
              <w:snapToGrid w:val="0"/>
              <w:spacing w:before="120" w:beforeLines="50"/>
              <w:ind w:firstLine="480"/>
              <w:jc w:val="center"/>
              <w:rPr>
                <w:rFonts w:ascii="仿宋_GB2312" w:eastAsia="仿宋_GB2312"/>
                <w:sz w:val="24"/>
              </w:rPr>
            </w:pPr>
            <w:r>
              <w:rPr>
                <w:rFonts w:hint="eastAsia" w:ascii="仿宋_GB2312" w:eastAsia="仿宋_GB2312"/>
                <w:sz w:val="24"/>
              </w:rPr>
              <w:t>商务（企业实力）</w:t>
            </w:r>
          </w:p>
        </w:tc>
        <w:tc>
          <w:tcPr>
            <w:tcW w:w="3600" w:type="dxa"/>
            <w:vAlign w:val="center"/>
          </w:tcPr>
          <w:p>
            <w:pPr>
              <w:adjustRightInd w:val="0"/>
              <w:snapToGrid w:val="0"/>
              <w:ind w:firstLine="480"/>
              <w:jc w:val="center"/>
              <w:rPr>
                <w:rFonts w:ascii="仿宋_GB2312" w:eastAsia="仿宋_GB2312"/>
                <w:sz w:val="24"/>
              </w:rPr>
            </w:pPr>
            <w:r>
              <w:rPr>
                <w:rFonts w:ascii="仿宋_GB2312" w:eastAsia="仿宋_GB2312"/>
                <w:sz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2</w:t>
            </w:r>
          </w:p>
        </w:tc>
        <w:tc>
          <w:tcPr>
            <w:tcW w:w="4318" w:type="dxa"/>
            <w:vAlign w:val="center"/>
          </w:tcPr>
          <w:p>
            <w:pPr>
              <w:adjustRightInd w:val="0"/>
              <w:snapToGrid w:val="0"/>
              <w:spacing w:before="120" w:beforeLines="50"/>
              <w:ind w:firstLine="480"/>
              <w:jc w:val="center"/>
              <w:rPr>
                <w:rFonts w:ascii="仿宋_GB2312" w:eastAsia="仿宋_GB2312"/>
                <w:sz w:val="24"/>
              </w:rPr>
            </w:pPr>
            <w:r>
              <w:rPr>
                <w:rFonts w:ascii="仿宋_GB2312" w:eastAsia="仿宋_GB2312"/>
                <w:sz w:val="24"/>
              </w:rPr>
              <w:t>PPP</w:t>
            </w:r>
            <w:r>
              <w:rPr>
                <w:rFonts w:hint="eastAsia" w:ascii="仿宋_GB2312" w:eastAsia="仿宋_GB2312"/>
                <w:sz w:val="24"/>
              </w:rPr>
              <w:t>技术方案</w:t>
            </w:r>
          </w:p>
        </w:tc>
        <w:tc>
          <w:tcPr>
            <w:tcW w:w="3600" w:type="dxa"/>
            <w:vAlign w:val="center"/>
          </w:tcPr>
          <w:p>
            <w:pPr>
              <w:adjustRightInd w:val="0"/>
              <w:snapToGrid w:val="0"/>
              <w:ind w:firstLine="480"/>
              <w:jc w:val="center"/>
              <w:rPr>
                <w:rFonts w:ascii="仿宋_GB2312" w:eastAsia="仿宋_GB2312"/>
                <w:sz w:val="24"/>
              </w:rPr>
            </w:pPr>
            <w:r>
              <w:rPr>
                <w:rFonts w:ascii="仿宋_GB2312" w:eastAsia="仿宋_GB2312"/>
                <w:sz w:val="24"/>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3</w:t>
            </w:r>
          </w:p>
        </w:tc>
        <w:tc>
          <w:tcPr>
            <w:tcW w:w="4318" w:type="dxa"/>
            <w:vAlign w:val="center"/>
          </w:tcPr>
          <w:p>
            <w:pPr>
              <w:adjustRightInd w:val="0"/>
              <w:snapToGrid w:val="0"/>
              <w:spacing w:before="120" w:beforeLines="50"/>
              <w:ind w:firstLine="480"/>
              <w:jc w:val="center"/>
              <w:rPr>
                <w:rFonts w:ascii="仿宋_GB2312" w:eastAsia="仿宋_GB2312"/>
                <w:sz w:val="24"/>
              </w:rPr>
            </w:pPr>
            <w:r>
              <w:rPr>
                <w:rFonts w:hint="eastAsia" w:ascii="仿宋_GB2312" w:eastAsia="仿宋_GB2312"/>
                <w:sz w:val="24"/>
                <w:highlight w:val="yellow"/>
              </w:rPr>
              <w:t>污水处理服务费</w:t>
            </w:r>
          </w:p>
        </w:tc>
        <w:tc>
          <w:tcPr>
            <w:tcW w:w="3600" w:type="dxa"/>
            <w:vAlign w:val="center"/>
          </w:tcPr>
          <w:p>
            <w:pPr>
              <w:adjustRightInd w:val="0"/>
              <w:snapToGrid w:val="0"/>
              <w:ind w:firstLine="480"/>
              <w:jc w:val="center"/>
              <w:rPr>
                <w:rFonts w:ascii="仿宋_GB2312" w:eastAsia="仿宋_GB2312"/>
                <w:sz w:val="24"/>
              </w:rPr>
            </w:pPr>
            <w:r>
              <w:rPr>
                <w:rFonts w:ascii="仿宋_GB2312" w:eastAsia="仿宋_GB2312"/>
                <w:sz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4318" w:type="dxa"/>
            <w:vAlign w:val="center"/>
          </w:tcPr>
          <w:p>
            <w:pPr>
              <w:adjustRightInd w:val="0"/>
              <w:snapToGrid w:val="0"/>
              <w:spacing w:before="120" w:beforeLines="50"/>
              <w:ind w:firstLine="480"/>
              <w:jc w:val="center"/>
              <w:rPr>
                <w:rFonts w:ascii="仿宋_GB2312" w:eastAsia="仿宋_GB2312"/>
                <w:sz w:val="24"/>
                <w:highlight w:val="yellow"/>
              </w:rPr>
            </w:pPr>
            <w:r>
              <w:rPr>
                <w:rFonts w:hint="eastAsia" w:ascii="仿宋_GB2312" w:eastAsia="仿宋_GB2312"/>
                <w:sz w:val="24"/>
              </w:rPr>
              <w:t>审定竣工结算下浮率</w:t>
            </w:r>
          </w:p>
        </w:tc>
        <w:tc>
          <w:tcPr>
            <w:tcW w:w="3600" w:type="dxa"/>
            <w:vAlign w:val="center"/>
          </w:tcPr>
          <w:p>
            <w:pPr>
              <w:adjustRightInd w:val="0"/>
              <w:snapToGrid w:val="0"/>
              <w:ind w:firstLine="480"/>
              <w:jc w:val="center"/>
              <w:rPr>
                <w:rFonts w:ascii="仿宋_GB2312" w:eastAsia="仿宋_GB2312"/>
                <w:sz w:val="24"/>
              </w:rPr>
            </w:pPr>
            <w:r>
              <w:rPr>
                <w:rFonts w:hint="eastAsia" w:ascii="仿宋_GB2312" w:eastAsia="仿宋_GB2312"/>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220" w:type="dxa"/>
            <w:gridSpan w:val="2"/>
            <w:tcBorders>
              <w:bottom w:val="double" w:color="auto" w:sz="4" w:space="0"/>
            </w:tcBorders>
            <w:vAlign w:val="center"/>
          </w:tcPr>
          <w:p>
            <w:pPr>
              <w:adjustRightInd w:val="0"/>
              <w:snapToGrid w:val="0"/>
              <w:ind w:firstLine="480"/>
              <w:jc w:val="center"/>
              <w:rPr>
                <w:rFonts w:ascii="仿宋_GB2312" w:eastAsia="仿宋_GB2312"/>
                <w:sz w:val="24"/>
              </w:rPr>
            </w:pPr>
            <w:r>
              <w:rPr>
                <w:rFonts w:hint="eastAsia" w:ascii="仿宋_GB2312" w:eastAsia="仿宋_GB2312"/>
                <w:sz w:val="24"/>
              </w:rPr>
              <w:t>∑（</w:t>
            </w:r>
            <w:r>
              <w:rPr>
                <w:rFonts w:ascii="仿宋_GB2312" w:eastAsia="仿宋_GB2312"/>
                <w:sz w:val="24"/>
              </w:rPr>
              <w:t>1+2+3+4</w:t>
            </w:r>
            <w:r>
              <w:rPr>
                <w:rFonts w:hint="eastAsia" w:ascii="仿宋_GB2312" w:eastAsia="仿宋_GB2312"/>
                <w:sz w:val="24"/>
              </w:rPr>
              <w:t>）</w:t>
            </w:r>
            <w:r>
              <w:rPr>
                <w:rFonts w:ascii="仿宋_GB2312" w:eastAsia="仿宋_GB2312"/>
                <w:sz w:val="24"/>
              </w:rPr>
              <w:t>=100</w:t>
            </w:r>
          </w:p>
        </w:tc>
        <w:tc>
          <w:tcPr>
            <w:tcW w:w="3600" w:type="dxa"/>
            <w:tcBorders>
              <w:bottom w:val="double" w:color="auto" w:sz="4" w:space="0"/>
            </w:tcBorders>
            <w:vAlign w:val="center"/>
          </w:tcPr>
          <w:p>
            <w:pPr>
              <w:adjustRightInd w:val="0"/>
              <w:snapToGrid w:val="0"/>
              <w:ind w:firstLine="480"/>
              <w:jc w:val="center"/>
              <w:rPr>
                <w:rFonts w:ascii="仿宋_GB2312" w:eastAsia="仿宋_GB2312"/>
                <w:sz w:val="24"/>
              </w:rPr>
            </w:pPr>
            <w:r>
              <w:rPr>
                <w:rFonts w:ascii="仿宋_GB2312" w:eastAsia="仿宋_GB2312"/>
                <w:sz w:val="24"/>
              </w:rPr>
              <w:t>100</w:t>
            </w:r>
          </w:p>
        </w:tc>
      </w:tr>
    </w:tbl>
    <w:p>
      <w:pPr>
        <w:tabs>
          <w:tab w:val="left" w:pos="0"/>
        </w:tabs>
        <w:adjustRightInd w:val="0"/>
        <w:snapToGrid w:val="0"/>
        <w:spacing w:before="120" w:beforeLines="50" w:line="360" w:lineRule="auto"/>
        <w:ind w:firstLine="480" w:firstLineChars="200"/>
        <w:rPr>
          <w:rFonts w:ascii="仿宋_GB2312" w:eastAsia="仿宋_GB2312"/>
          <w:sz w:val="24"/>
        </w:rPr>
      </w:pPr>
    </w:p>
    <w:p>
      <w:pPr>
        <w:pStyle w:val="4"/>
        <w:spacing w:before="192" w:beforeLines="80" w:after="0" w:line="360" w:lineRule="auto"/>
        <w:rPr>
          <w:rFonts w:hAnsi="Times New Roman"/>
          <w:sz w:val="24"/>
          <w:szCs w:val="24"/>
        </w:rPr>
      </w:pPr>
      <w:bookmarkStart w:id="241" w:name="_Toc429862229"/>
      <w:bookmarkStart w:id="242" w:name="_Toc429602587"/>
      <w:bookmarkStart w:id="243" w:name="_Toc333327482"/>
      <w:bookmarkStart w:id="244" w:name="_Toc429604228"/>
      <w:r>
        <w:rPr>
          <w:rFonts w:hAnsi="Times New Roman"/>
          <w:sz w:val="24"/>
          <w:szCs w:val="24"/>
        </w:rPr>
        <w:t>3</w:t>
      </w:r>
      <w:r>
        <w:rPr>
          <w:rFonts w:hint="eastAsia" w:hAnsi="Times New Roman"/>
          <w:sz w:val="24"/>
          <w:szCs w:val="24"/>
        </w:rPr>
        <w:t>、投标文件的初步评审</w:t>
      </w:r>
      <w:bookmarkEnd w:id="241"/>
      <w:bookmarkEnd w:id="242"/>
      <w:bookmarkEnd w:id="243"/>
      <w:bookmarkEnd w:id="244"/>
    </w:p>
    <w:p>
      <w:pPr>
        <w:tabs>
          <w:tab w:val="left" w:pos="851"/>
          <w:tab w:val="left" w:pos="1276"/>
        </w:tabs>
        <w:adjustRightInd w:val="0"/>
        <w:snapToGrid w:val="0"/>
        <w:spacing w:before="120" w:beforeLines="50" w:line="360" w:lineRule="auto"/>
        <w:ind w:firstLine="480" w:firstLineChars="200"/>
        <w:rPr>
          <w:rFonts w:ascii="仿宋_GB2312" w:eastAsia="仿宋_GB2312"/>
          <w:bCs/>
          <w:sz w:val="24"/>
        </w:rPr>
      </w:pPr>
      <w:r>
        <w:rPr>
          <w:rFonts w:ascii="仿宋_GB2312" w:eastAsia="仿宋_GB2312"/>
          <w:bCs/>
          <w:sz w:val="24"/>
        </w:rPr>
        <w:t>3.1</w:t>
      </w:r>
      <w:r>
        <w:rPr>
          <w:rFonts w:hint="eastAsia" w:ascii="仿宋_GB2312" w:eastAsia="仿宋_GB2312"/>
          <w:bCs/>
          <w:sz w:val="24"/>
        </w:rPr>
        <w:t>初步评审为符合性检查。</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符合性检查。依据招标文件的规定，从投标文件的有效性、完整性和对招标文件的响应程度、投标保证金进行审查，以确定是否对招标文件的实质性要求作出响应。评标委员会决定投标文件的响应性只根据投标文件真实无误的内容，而不依据外部的证据，但投标文件有不真实、不正确的内容时除外。</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）投标人不得通过修正或撤销不合要求的偏离从而使其投标成为实质上响应的投标。</w:t>
      </w:r>
    </w:p>
    <w:p>
      <w:pPr>
        <w:tabs>
          <w:tab w:val="left" w:pos="851"/>
          <w:tab w:val="left" w:pos="1276"/>
        </w:tabs>
        <w:adjustRightInd w:val="0"/>
        <w:snapToGrid w:val="0"/>
        <w:spacing w:before="120" w:beforeLines="50" w:line="360" w:lineRule="auto"/>
        <w:ind w:firstLine="480" w:firstLineChars="200"/>
        <w:rPr>
          <w:rFonts w:ascii="仿宋_GB2312" w:eastAsia="仿宋_GB2312"/>
          <w:bCs/>
          <w:sz w:val="24"/>
        </w:rPr>
      </w:pPr>
      <w:r>
        <w:rPr>
          <w:rFonts w:ascii="仿宋_GB2312" w:eastAsia="仿宋_GB2312"/>
          <w:sz w:val="24"/>
        </w:rPr>
        <w:t>3.2</w:t>
      </w:r>
      <w:r>
        <w:rPr>
          <w:rFonts w:hint="eastAsia" w:ascii="仿宋_GB2312" w:eastAsia="仿宋_GB2312"/>
          <w:bCs/>
          <w:sz w:val="24"/>
        </w:rPr>
        <w:t>投标文件属下列情况之一的，应当在符合性检查时按照无效投标处理，无效投标的情况同时在</w:t>
      </w:r>
      <w:r>
        <w:rPr>
          <w:rFonts w:hint="eastAsia" w:ascii="仿宋_GB2312" w:eastAsia="仿宋_GB2312"/>
          <w:b/>
          <w:bCs/>
          <w:sz w:val="24"/>
        </w:rPr>
        <w:t>招标文件前附表</w:t>
      </w:r>
      <w:r>
        <w:rPr>
          <w:rFonts w:hint="eastAsia" w:ascii="仿宋_GB2312" w:eastAsia="仿宋_GB2312"/>
          <w:bCs/>
          <w:sz w:val="24"/>
        </w:rPr>
        <w:t>集中列示：</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）没有按照</w:t>
      </w:r>
      <w:r>
        <w:rPr>
          <w:rFonts w:hint="eastAsia" w:ascii="仿宋_GB2312" w:eastAsia="仿宋_GB2312"/>
          <w:b/>
          <w:bCs/>
          <w:sz w:val="24"/>
        </w:rPr>
        <w:t>招标文件前附表</w:t>
      </w:r>
      <w:r>
        <w:rPr>
          <w:rFonts w:hint="eastAsia" w:ascii="仿宋_GB2312" w:eastAsia="仿宋_GB2312"/>
          <w:sz w:val="24"/>
        </w:rPr>
        <w:t>中“投标保证金”要求交纳投标保证金；</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）未按照招标文件规定要求对投标文件进行编制、密封、签署、盖章的；</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）参加政府采购活动前三年内，在经营活动中有重大违法记录的；</w:t>
      </w:r>
      <w:r>
        <w:rPr>
          <w:rFonts w:ascii="仿宋_GB2312" w:eastAsia="仿宋_GB2312"/>
          <w:sz w:val="24"/>
        </w:rPr>
        <w:t xml:space="preserve"> </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）不具备第一章“投标须知”第</w:t>
      </w:r>
      <w:r>
        <w:rPr>
          <w:rFonts w:ascii="仿宋_GB2312" w:eastAsia="仿宋_GB2312"/>
          <w:sz w:val="24"/>
        </w:rPr>
        <w:t>3.1</w:t>
      </w:r>
      <w:r>
        <w:rPr>
          <w:rFonts w:hint="eastAsia" w:ascii="仿宋_GB2312" w:eastAsia="仿宋_GB2312"/>
          <w:sz w:val="24"/>
        </w:rPr>
        <w:t>款规定的投标人资格要求的；</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）不满足第一章“投标须知”第</w:t>
      </w:r>
      <w:r>
        <w:rPr>
          <w:rFonts w:ascii="仿宋_GB2312" w:eastAsia="仿宋_GB2312"/>
          <w:sz w:val="24"/>
        </w:rPr>
        <w:t>9.1</w:t>
      </w:r>
      <w:r>
        <w:rPr>
          <w:rFonts w:hint="eastAsia" w:ascii="仿宋_GB2312" w:eastAsia="仿宋_GB2312"/>
          <w:sz w:val="24"/>
        </w:rPr>
        <w:t>款、第</w:t>
      </w:r>
      <w:r>
        <w:rPr>
          <w:rFonts w:ascii="仿宋_GB2312" w:eastAsia="仿宋_GB2312"/>
          <w:sz w:val="24"/>
        </w:rPr>
        <w:t>9.2</w:t>
      </w:r>
      <w:r>
        <w:rPr>
          <w:rFonts w:hint="eastAsia" w:ascii="仿宋_GB2312" w:eastAsia="仿宋_GB2312"/>
          <w:sz w:val="24"/>
        </w:rPr>
        <w:t>款规定的实质性要求的；</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）投标报价超过采购项目限制的；</w:t>
      </w:r>
    </w:p>
    <w:p>
      <w:pPr>
        <w:tabs>
          <w:tab w:val="left" w:pos="735"/>
          <w:tab w:val="left" w:pos="1134"/>
          <w:tab w:val="left" w:pos="7920"/>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）同一投标人提交两个以上不同的投标文件或者投标报价的；</w:t>
      </w:r>
    </w:p>
    <w:p>
      <w:pPr>
        <w:tabs>
          <w:tab w:val="left" w:pos="735"/>
          <w:tab w:val="left" w:pos="1134"/>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（8）投标文件载明的投标范围小于招标文件规定的招标范围的</w:t>
      </w:r>
      <w:r>
        <w:rPr>
          <w:rFonts w:ascii="仿宋_GB2312" w:eastAsia="仿宋_GB2312"/>
          <w:sz w:val="24"/>
        </w:rPr>
        <w:t>(</w:t>
      </w:r>
      <w:r>
        <w:rPr>
          <w:rFonts w:hint="eastAsia" w:ascii="仿宋_GB2312" w:eastAsia="仿宋_GB2312"/>
          <w:sz w:val="24"/>
        </w:rPr>
        <w:t>缺漏招标文件所要求的内容</w:t>
      </w:r>
      <w:r>
        <w:rPr>
          <w:rFonts w:ascii="仿宋_GB2312" w:eastAsia="仿宋_GB2312"/>
          <w:sz w:val="24"/>
        </w:rPr>
        <w:t>)</w:t>
      </w:r>
      <w:r>
        <w:rPr>
          <w:rFonts w:hint="eastAsia" w:ascii="仿宋_GB2312" w:eastAsia="仿宋_GB2312"/>
          <w:sz w:val="24"/>
        </w:rPr>
        <w:t>；</w:t>
      </w:r>
    </w:p>
    <w:p>
      <w:pPr>
        <w:tabs>
          <w:tab w:val="left" w:pos="735"/>
          <w:tab w:val="left" w:pos="1134"/>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（9）投标有效期不足的；</w:t>
      </w:r>
    </w:p>
    <w:p>
      <w:pPr>
        <w:tabs>
          <w:tab w:val="left" w:pos="735"/>
          <w:tab w:val="left" w:pos="1134"/>
        </w:tabs>
        <w:adjustRightInd w:val="0"/>
        <w:snapToGrid w:val="0"/>
        <w:spacing w:before="120" w:beforeLines="50" w:line="360" w:lineRule="auto"/>
        <w:ind w:right="23" w:rightChars="1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0）不符合法律、法规和招标文件规定的。</w:t>
      </w:r>
    </w:p>
    <w:p>
      <w:pPr>
        <w:adjustRightInd w:val="0"/>
        <w:snapToGrid w:val="0"/>
        <w:spacing w:before="120" w:beforeLines="50" w:line="360" w:lineRule="auto"/>
        <w:ind w:right="-107" w:rightChars="-51" w:firstLine="482" w:firstLineChars="200"/>
        <w:rPr>
          <w:rFonts w:ascii="仿宋_GB2312" w:eastAsia="仿宋_GB2312"/>
          <w:b/>
          <w:sz w:val="24"/>
        </w:rPr>
      </w:pPr>
      <w:r>
        <w:rPr>
          <w:rFonts w:ascii="仿宋_GB2312" w:eastAsia="仿宋_GB2312"/>
          <w:b/>
          <w:sz w:val="24"/>
        </w:rPr>
        <w:t>3.3</w:t>
      </w:r>
      <w:r>
        <w:rPr>
          <w:rFonts w:hint="eastAsia" w:ascii="仿宋_GB2312" w:eastAsia="仿宋_GB2312"/>
          <w:b/>
          <w:sz w:val="24"/>
        </w:rPr>
        <w:t>有下列情形之一时，评标委员会应予无效投标，并将理由通知所有投标人。无效投标的情形同时在招标文件前附表集中列示：</w:t>
      </w:r>
    </w:p>
    <w:p>
      <w:pPr>
        <w:tabs>
          <w:tab w:val="left" w:pos="1134"/>
        </w:tabs>
        <w:adjustRightInd w:val="0"/>
        <w:snapToGrid w:val="0"/>
        <w:spacing w:before="120" w:beforeLines="50" w:line="360" w:lineRule="auto"/>
        <w:ind w:right="-107" w:rightChars="-5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）符合条件的投标人或者对招标文件作实质性响应的投标人不足三家的；</w:t>
      </w:r>
    </w:p>
    <w:p>
      <w:pPr>
        <w:tabs>
          <w:tab w:val="left" w:pos="1134"/>
        </w:tabs>
        <w:adjustRightInd w:val="0"/>
        <w:snapToGrid w:val="0"/>
        <w:spacing w:before="120" w:beforeLines="50" w:line="360" w:lineRule="auto"/>
        <w:ind w:right="-107" w:rightChars="-5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）出现影响采购公正的违法、违规行为的；</w:t>
      </w:r>
    </w:p>
    <w:p>
      <w:pPr>
        <w:tabs>
          <w:tab w:val="left" w:pos="1134"/>
        </w:tabs>
        <w:adjustRightInd w:val="0"/>
        <w:snapToGrid w:val="0"/>
        <w:spacing w:before="120" w:beforeLines="50" w:line="360" w:lineRule="auto"/>
        <w:ind w:right="-107" w:rightChars="-5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）投标人的报价均超过了采购限值；</w:t>
      </w:r>
    </w:p>
    <w:p>
      <w:pPr>
        <w:tabs>
          <w:tab w:val="left" w:pos="1134"/>
        </w:tabs>
        <w:adjustRightInd w:val="0"/>
        <w:snapToGrid w:val="0"/>
        <w:spacing w:before="120" w:beforeLines="50" w:line="360" w:lineRule="auto"/>
        <w:ind w:right="-107" w:rightChars="-51"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）因重大变故，采购任务取消的。</w:t>
      </w:r>
    </w:p>
    <w:p>
      <w:pPr>
        <w:pStyle w:val="4"/>
        <w:spacing w:before="192" w:beforeLines="80" w:after="0" w:line="360" w:lineRule="auto"/>
        <w:rPr>
          <w:rFonts w:hAnsi="Times New Roman"/>
          <w:sz w:val="24"/>
          <w:szCs w:val="24"/>
        </w:rPr>
      </w:pPr>
      <w:bookmarkStart w:id="245" w:name="_Toc429602588"/>
      <w:bookmarkStart w:id="246" w:name="_Toc429604229"/>
      <w:bookmarkStart w:id="247" w:name="_Toc429862230"/>
      <w:bookmarkStart w:id="248" w:name="_Toc333327483"/>
      <w:r>
        <w:rPr>
          <w:rFonts w:hAnsi="Times New Roman"/>
          <w:sz w:val="24"/>
          <w:szCs w:val="24"/>
        </w:rPr>
        <w:t>4</w:t>
      </w:r>
      <w:r>
        <w:rPr>
          <w:rFonts w:hint="eastAsia" w:hAnsi="Times New Roman"/>
          <w:sz w:val="24"/>
          <w:szCs w:val="24"/>
        </w:rPr>
        <w:t>、澄清有关问题</w:t>
      </w:r>
      <w:bookmarkEnd w:id="245"/>
      <w:bookmarkEnd w:id="246"/>
      <w:bookmarkEnd w:id="247"/>
      <w:bookmarkEnd w:id="248"/>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4.1</w:t>
      </w:r>
      <w:r>
        <w:rPr>
          <w:rFonts w:hint="eastAsia" w:ascii="仿宋_GB2312" w:eastAsia="仿宋_GB2312"/>
          <w:sz w:val="24"/>
        </w:rPr>
        <w:t>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4.2</w:t>
      </w:r>
      <w:r>
        <w:rPr>
          <w:rFonts w:hint="eastAsia" w:ascii="仿宋_GB2312" w:eastAsia="仿宋_GB2312"/>
          <w:sz w:val="24"/>
        </w:rPr>
        <w:t>投标人不得对下列内容其进行澄清或补充：</w:t>
      </w:r>
    </w:p>
    <w:p>
      <w:pPr>
        <w:tabs>
          <w:tab w:val="left" w:pos="0"/>
          <w:tab w:val="left" w:pos="1134"/>
        </w:tabs>
        <w:adjustRightInd w:val="0"/>
        <w:snapToGrid w:val="0"/>
        <w:spacing w:before="120" w:beforeLines="50" w:line="360" w:lineRule="auto"/>
        <w:ind w:firstLine="480" w:firstLineChars="200"/>
        <w:rPr>
          <w:rFonts w:ascii="仿宋_GB2312" w:eastAsia="仿宋_GB2312"/>
          <w:bCs/>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）开标时，</w:t>
      </w:r>
      <w:r>
        <w:rPr>
          <w:rFonts w:hint="eastAsia" w:ascii="仿宋_GB2312" w:eastAsia="仿宋_GB2312"/>
          <w:bCs/>
          <w:sz w:val="24"/>
        </w:rPr>
        <w:t>未宣读的投标价格、价格折扣和</w:t>
      </w:r>
      <w:r>
        <w:rPr>
          <w:rFonts w:hint="eastAsia" w:ascii="仿宋_GB2312" w:eastAsia="仿宋_GB2312"/>
          <w:sz w:val="24"/>
        </w:rPr>
        <w:t>第一章“投标须知”第</w:t>
      </w:r>
      <w:r>
        <w:rPr>
          <w:rFonts w:ascii="仿宋_GB2312" w:eastAsia="仿宋_GB2312"/>
          <w:sz w:val="24"/>
        </w:rPr>
        <w:t>16.3</w:t>
      </w:r>
      <w:r>
        <w:rPr>
          <w:rFonts w:hint="eastAsia" w:ascii="仿宋_GB2312" w:eastAsia="仿宋_GB2312"/>
          <w:kern w:val="0"/>
          <w:sz w:val="24"/>
          <w:lang w:val="zh-CN"/>
        </w:rPr>
        <w:t>款</w:t>
      </w:r>
      <w:r>
        <w:rPr>
          <w:rFonts w:hint="eastAsia" w:ascii="仿宋_GB2312" w:eastAsia="仿宋_GB2312"/>
          <w:bCs/>
          <w:sz w:val="24"/>
        </w:rPr>
        <w:t>允许提</w:t>
      </w:r>
      <w:r>
        <w:rPr>
          <w:rFonts w:hint="eastAsia" w:ascii="仿宋_GB2312" w:eastAsia="仿宋_GB2312"/>
          <w:sz w:val="24"/>
        </w:rPr>
        <w:t>交</w:t>
      </w:r>
      <w:r>
        <w:rPr>
          <w:rFonts w:hint="eastAsia" w:ascii="仿宋_GB2312" w:eastAsia="仿宋_GB2312"/>
          <w:bCs/>
          <w:sz w:val="24"/>
        </w:rPr>
        <w:t>的备选方案等实质性内容。</w:t>
      </w:r>
    </w:p>
    <w:p>
      <w:pPr>
        <w:tabs>
          <w:tab w:val="left" w:pos="0"/>
          <w:tab w:val="left" w:pos="1134"/>
        </w:tabs>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）不满足第一章投标须知第</w:t>
      </w:r>
      <w:r>
        <w:rPr>
          <w:rFonts w:ascii="仿宋_GB2312" w:eastAsia="仿宋_GB2312"/>
          <w:sz w:val="24"/>
        </w:rPr>
        <w:t>9.1</w:t>
      </w:r>
      <w:r>
        <w:rPr>
          <w:rFonts w:hint="eastAsia" w:ascii="仿宋_GB2312" w:eastAsia="仿宋_GB2312"/>
          <w:sz w:val="24"/>
        </w:rPr>
        <w:t>款、第</w:t>
      </w:r>
      <w:r>
        <w:rPr>
          <w:rFonts w:ascii="仿宋_GB2312" w:eastAsia="仿宋_GB2312"/>
          <w:sz w:val="24"/>
        </w:rPr>
        <w:t>9.2</w:t>
      </w:r>
      <w:r>
        <w:rPr>
          <w:rFonts w:hint="eastAsia" w:ascii="仿宋_GB2312" w:eastAsia="仿宋_GB2312"/>
          <w:sz w:val="24"/>
        </w:rPr>
        <w:t>款规定的实质性要求的投标文件内容。</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4.3</w:t>
      </w:r>
      <w:r>
        <w:rPr>
          <w:rFonts w:hint="eastAsia" w:ascii="仿宋_GB2312" w:eastAsia="仿宋_GB2312"/>
          <w:sz w:val="24"/>
        </w:rPr>
        <w:t>计算错误将按以下方法修正：如果投标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投标人拒绝接受上述修正，在评标时将其视为无效投标。</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4.4</w:t>
      </w:r>
      <w:r>
        <w:rPr>
          <w:rFonts w:hint="eastAsia" w:ascii="仿宋_GB2312" w:eastAsia="仿宋_GB2312"/>
          <w:sz w:val="24"/>
        </w:rPr>
        <w:t>投标人的澄清、说明或者补正应该采用书面形式，由法定代表人或其授权的代理人签字，并按评标委员会的通知要求递交。</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4.5</w:t>
      </w:r>
      <w:r>
        <w:rPr>
          <w:rFonts w:hint="eastAsia" w:ascii="仿宋_GB2312" w:eastAsia="仿宋_GB2312"/>
          <w:sz w:val="24"/>
        </w:rPr>
        <w:t>有效的书面澄清材料，是投标文件的补充材料，成为投标文件的组成部分。</w:t>
      </w:r>
    </w:p>
    <w:p>
      <w:pPr>
        <w:pStyle w:val="4"/>
        <w:spacing w:before="192" w:beforeLines="80" w:after="0" w:line="360" w:lineRule="auto"/>
        <w:rPr>
          <w:rFonts w:hAnsi="Times New Roman"/>
          <w:sz w:val="24"/>
          <w:szCs w:val="24"/>
        </w:rPr>
      </w:pPr>
      <w:bookmarkStart w:id="249" w:name="_Toc429602589"/>
      <w:bookmarkStart w:id="250" w:name="_Toc429862231"/>
      <w:bookmarkStart w:id="251" w:name="_Toc429604230"/>
      <w:bookmarkStart w:id="252" w:name="_Toc333327484"/>
      <w:r>
        <w:rPr>
          <w:rFonts w:hAnsi="Times New Roman"/>
          <w:sz w:val="24"/>
          <w:szCs w:val="24"/>
        </w:rPr>
        <w:t>5</w:t>
      </w:r>
      <w:r>
        <w:rPr>
          <w:rFonts w:hint="eastAsia" w:hAnsi="Times New Roman"/>
          <w:sz w:val="24"/>
          <w:szCs w:val="24"/>
        </w:rPr>
        <w:t>、比较与评价</w:t>
      </w:r>
      <w:bookmarkEnd w:id="249"/>
      <w:bookmarkEnd w:id="250"/>
      <w:bookmarkEnd w:id="251"/>
      <w:bookmarkEnd w:id="252"/>
    </w:p>
    <w:p>
      <w:pPr>
        <w:tabs>
          <w:tab w:val="left" w:pos="851"/>
        </w:tabs>
        <w:adjustRightInd w:val="0"/>
        <w:snapToGrid w:val="0"/>
        <w:spacing w:before="120" w:beforeLines="50" w:line="360" w:lineRule="auto"/>
        <w:ind w:firstLine="480" w:firstLineChars="200"/>
        <w:rPr>
          <w:rFonts w:ascii="仿宋_GB2312" w:eastAsia="仿宋_GB2312"/>
          <w:bCs/>
          <w:sz w:val="24"/>
        </w:rPr>
      </w:pPr>
      <w:r>
        <w:rPr>
          <w:rFonts w:ascii="仿宋_GB2312" w:eastAsia="仿宋_GB2312"/>
          <w:bCs/>
          <w:sz w:val="24"/>
        </w:rPr>
        <w:t>5.1</w:t>
      </w:r>
      <w:r>
        <w:rPr>
          <w:rFonts w:hint="eastAsia" w:ascii="仿宋_GB2312" w:eastAsia="仿宋_GB2312"/>
          <w:bCs/>
          <w:sz w:val="24"/>
        </w:rPr>
        <w:t>评标委员会应按照招标文件中规定的评标方法、</w:t>
      </w:r>
      <w:r>
        <w:rPr>
          <w:rFonts w:hint="eastAsia" w:ascii="仿宋_GB2312" w:eastAsia="仿宋_GB2312"/>
          <w:sz w:val="24"/>
        </w:rPr>
        <w:t>标准和评标因素，</w:t>
      </w:r>
      <w:r>
        <w:rPr>
          <w:rFonts w:hint="eastAsia" w:ascii="仿宋_GB2312" w:eastAsia="仿宋_GB2312"/>
          <w:bCs/>
          <w:sz w:val="24"/>
        </w:rPr>
        <w:t>对</w:t>
      </w:r>
      <w:r>
        <w:rPr>
          <w:rFonts w:hint="eastAsia" w:ascii="仿宋_GB2312" w:eastAsia="仿宋_GB2312"/>
          <w:sz w:val="24"/>
        </w:rPr>
        <w:t>符合性检查</w:t>
      </w:r>
      <w:r>
        <w:rPr>
          <w:rFonts w:hint="eastAsia" w:ascii="仿宋_GB2312" w:eastAsia="仿宋_GB2312"/>
          <w:bCs/>
          <w:sz w:val="24"/>
        </w:rPr>
        <w:t>合格的投标文件进行评估，综合比较与评价。</w:t>
      </w:r>
    </w:p>
    <w:p>
      <w:pPr>
        <w:tabs>
          <w:tab w:val="left" w:pos="851"/>
        </w:tabs>
        <w:adjustRightInd w:val="0"/>
        <w:snapToGrid w:val="0"/>
        <w:spacing w:before="120" w:beforeLines="50" w:line="360" w:lineRule="auto"/>
        <w:ind w:firstLine="480" w:firstLineChars="200"/>
        <w:rPr>
          <w:rFonts w:ascii="仿宋_GB2312" w:eastAsia="仿宋_GB2312"/>
          <w:bCs/>
          <w:sz w:val="24"/>
        </w:rPr>
      </w:pPr>
      <w:r>
        <w:rPr>
          <w:rFonts w:ascii="仿宋_GB2312" w:eastAsia="仿宋_GB2312"/>
          <w:bCs/>
          <w:sz w:val="24"/>
        </w:rPr>
        <w:t>5.2</w:t>
      </w:r>
      <w:r>
        <w:rPr>
          <w:rFonts w:hint="eastAsia" w:ascii="仿宋_GB2312" w:eastAsia="仿宋_GB2312"/>
          <w:bCs/>
          <w:sz w:val="24"/>
        </w:rPr>
        <w:t>评标时，评标委员会各成员应当独立对每个投标人的投标文件进行评价、评分，然后汇总每个投标人每项评分因素的得分。</w:t>
      </w:r>
    </w:p>
    <w:p>
      <w:pPr>
        <w:pStyle w:val="4"/>
        <w:spacing w:before="192" w:beforeLines="80" w:after="0" w:line="360" w:lineRule="auto"/>
        <w:rPr>
          <w:rFonts w:hAnsi="Times New Roman"/>
          <w:sz w:val="24"/>
          <w:szCs w:val="24"/>
        </w:rPr>
      </w:pPr>
      <w:bookmarkStart w:id="253" w:name="_Toc429604231"/>
      <w:bookmarkStart w:id="254" w:name="_Toc429602590"/>
      <w:bookmarkStart w:id="255" w:name="_Toc429862232"/>
      <w:r>
        <w:rPr>
          <w:rFonts w:hAnsi="Times New Roman"/>
          <w:sz w:val="24"/>
          <w:szCs w:val="24"/>
        </w:rPr>
        <w:t>6</w:t>
      </w:r>
      <w:r>
        <w:rPr>
          <w:rFonts w:hint="eastAsia" w:hAnsi="Times New Roman"/>
          <w:sz w:val="24"/>
          <w:szCs w:val="24"/>
        </w:rPr>
        <w:t>、成交候选人谈判排序</w:t>
      </w:r>
      <w:bookmarkEnd w:id="253"/>
      <w:bookmarkEnd w:id="254"/>
      <w:bookmarkEnd w:id="255"/>
    </w:p>
    <w:p>
      <w:pPr>
        <w:widowControl/>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按评审后得分由高到低顺序确定成交候选人谈判的排序。总得分相同的，</w:t>
      </w:r>
      <w:r>
        <w:rPr>
          <w:rFonts w:hint="eastAsia" w:ascii="仿宋_GB2312" w:eastAsia="仿宋_GB2312"/>
          <w:bCs/>
          <w:sz w:val="24"/>
        </w:rPr>
        <w:t>按投标报价得分由高到低的顺序排列</w:t>
      </w:r>
      <w:r>
        <w:rPr>
          <w:rFonts w:hint="eastAsia" w:ascii="仿宋_GB2312" w:eastAsia="仿宋_GB2312"/>
          <w:sz w:val="24"/>
        </w:rPr>
        <w:t>。</w:t>
      </w:r>
      <w:r>
        <w:rPr>
          <w:rFonts w:hint="eastAsia" w:ascii="仿宋_GB2312" w:eastAsia="仿宋_GB2312"/>
          <w:bCs/>
          <w:sz w:val="24"/>
        </w:rPr>
        <w:t>得分且投标报价得分相同的，按技术方案得分由高到低的顺序排列。</w:t>
      </w:r>
    </w:p>
    <w:p>
      <w:pPr>
        <w:pStyle w:val="4"/>
        <w:spacing w:before="192" w:beforeLines="80" w:after="0" w:line="360" w:lineRule="auto"/>
        <w:rPr>
          <w:rFonts w:hAnsi="Times New Roman"/>
          <w:sz w:val="24"/>
          <w:szCs w:val="24"/>
        </w:rPr>
      </w:pPr>
      <w:bookmarkStart w:id="256" w:name="_Toc429604232"/>
      <w:bookmarkStart w:id="257" w:name="_Toc429862233"/>
      <w:bookmarkStart w:id="258" w:name="_Toc429602591"/>
      <w:r>
        <w:rPr>
          <w:rFonts w:hAnsi="Times New Roman"/>
          <w:sz w:val="24"/>
          <w:szCs w:val="24"/>
        </w:rPr>
        <w:t>7</w:t>
      </w:r>
      <w:r>
        <w:rPr>
          <w:rFonts w:hint="eastAsia" w:hAnsi="Times New Roman"/>
          <w:sz w:val="24"/>
          <w:szCs w:val="24"/>
        </w:rPr>
        <w:t>、编写评标报告</w:t>
      </w:r>
      <w:bookmarkEnd w:id="256"/>
      <w:bookmarkEnd w:id="257"/>
      <w:bookmarkEnd w:id="258"/>
    </w:p>
    <w:p>
      <w:pPr>
        <w:widowControl/>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评标委员会根据全体评标成员签字的原始评标记录和评标结果编写评标报告。</w:t>
      </w:r>
    </w:p>
    <w:p>
      <w:pPr>
        <w:widowControl/>
        <w:adjustRightInd w:val="0"/>
        <w:snapToGrid w:val="0"/>
        <w:spacing w:before="120" w:beforeLines="50" w:line="360" w:lineRule="auto"/>
        <w:jc w:val="left"/>
        <w:rPr>
          <w:rFonts w:ascii="仿宋_GB2312" w:eastAsia="仿宋_GB2312"/>
          <w:sz w:val="24"/>
        </w:rPr>
        <w:sectPr>
          <w:pgSz w:w="11906" w:h="16838"/>
          <w:pgMar w:top="1701" w:right="964" w:bottom="1701" w:left="964" w:header="1134" w:footer="624" w:gutter="0"/>
          <w:cols w:space="0" w:num="1"/>
          <w:docGrid w:linePitch="312" w:charSpace="0"/>
        </w:sectPr>
      </w:pPr>
    </w:p>
    <w:p>
      <w:pPr>
        <w:pStyle w:val="3"/>
        <w:numPr>
          <w:ilvl w:val="0"/>
          <w:numId w:val="0"/>
        </w:numPr>
        <w:spacing w:before="120" w:beforeLines="50" w:line="360" w:lineRule="exact"/>
        <w:ind w:left="600" w:hanging="600"/>
        <w:jc w:val="center"/>
        <w:rPr>
          <w:rFonts w:ascii="仿宋_GB2312"/>
        </w:rPr>
      </w:pPr>
      <w:bookmarkStart w:id="259" w:name="_Toc481542895"/>
      <w:bookmarkStart w:id="260" w:name="_Toc4318"/>
      <w:bookmarkStart w:id="261" w:name="_Toc12446"/>
      <w:r>
        <w:rPr>
          <w:rFonts w:hint="eastAsia" w:ascii="仿宋_GB2312"/>
        </w:rPr>
        <w:t>附录</w:t>
      </w:r>
      <w:r>
        <w:rPr>
          <w:rFonts w:ascii="仿宋_GB2312"/>
        </w:rPr>
        <w:t>1</w:t>
      </w:r>
      <w:r>
        <w:rPr>
          <w:rFonts w:hint="eastAsia" w:ascii="仿宋_GB2312"/>
        </w:rPr>
        <w:t>：评标方法细则</w:t>
      </w:r>
    </w:p>
    <w:p>
      <w:pPr>
        <w:adjustRightInd w:val="0"/>
        <w:snapToGrid w:val="0"/>
        <w:spacing w:before="120" w:beforeLines="50" w:line="360" w:lineRule="exact"/>
        <w:ind w:right="-109" w:rightChars="-52" w:firstLine="569" w:firstLineChars="236"/>
        <w:rPr>
          <w:rFonts w:ascii="仿宋_GB2312" w:eastAsia="仿宋_GB2312"/>
          <w:b/>
          <w:kern w:val="0"/>
          <w:sz w:val="24"/>
        </w:rPr>
      </w:pPr>
      <w:r>
        <w:rPr>
          <w:rFonts w:ascii="仿宋_GB2312" w:eastAsia="仿宋_GB2312"/>
          <w:b/>
          <w:kern w:val="0"/>
          <w:sz w:val="24"/>
        </w:rPr>
        <w:t>1</w:t>
      </w:r>
      <w:r>
        <w:rPr>
          <w:rFonts w:hint="eastAsia" w:ascii="仿宋_GB2312" w:eastAsia="仿宋_GB2312"/>
          <w:b/>
          <w:kern w:val="0"/>
          <w:sz w:val="24"/>
        </w:rPr>
        <w:t>、通则</w:t>
      </w:r>
    </w:p>
    <w:p>
      <w:pPr>
        <w:numPr>
          <w:ilvl w:val="1"/>
          <w:numId w:val="10"/>
        </w:numPr>
        <w:spacing w:before="120" w:beforeLines="50" w:line="360" w:lineRule="exact"/>
        <w:rPr>
          <w:rFonts w:ascii="仿宋_GB2312" w:eastAsia="仿宋_GB2312"/>
          <w:sz w:val="24"/>
        </w:rPr>
      </w:pPr>
      <w:r>
        <w:rPr>
          <w:rFonts w:hint="eastAsia" w:ascii="仿宋_GB2312" w:eastAsia="仿宋_GB2312"/>
          <w:sz w:val="24"/>
        </w:rPr>
        <w:t>评标根据本招标文件第十章“评标方法及标准</w:t>
      </w:r>
      <w:r>
        <w:rPr>
          <w:rFonts w:ascii="仿宋_GB2312" w:eastAsia="仿宋_GB2312"/>
          <w:sz w:val="24"/>
        </w:rPr>
        <w:t>(</w:t>
      </w:r>
      <w:r>
        <w:rPr>
          <w:rFonts w:hint="eastAsia" w:ascii="仿宋_GB2312" w:eastAsia="仿宋_GB2312"/>
          <w:sz w:val="24"/>
        </w:rPr>
        <w:t>综合评分法适用</w:t>
      </w:r>
      <w:r>
        <w:rPr>
          <w:rFonts w:ascii="仿宋_GB2312" w:eastAsia="仿宋_GB2312"/>
          <w:sz w:val="24"/>
        </w:rPr>
        <w:t>)</w:t>
      </w:r>
      <w:r>
        <w:rPr>
          <w:rFonts w:hint="eastAsia" w:ascii="仿宋_GB2312" w:eastAsia="仿宋_GB2312"/>
          <w:sz w:val="24"/>
        </w:rPr>
        <w:t>”进行。</w:t>
      </w:r>
    </w:p>
    <w:p>
      <w:pPr>
        <w:numPr>
          <w:ilvl w:val="1"/>
          <w:numId w:val="10"/>
        </w:numPr>
        <w:spacing w:before="120" w:beforeLines="50" w:line="360" w:lineRule="exact"/>
        <w:rPr>
          <w:rFonts w:ascii="仿宋_GB2312" w:eastAsia="仿宋_GB2312"/>
          <w:sz w:val="24"/>
        </w:rPr>
      </w:pPr>
      <w:r>
        <w:rPr>
          <w:rFonts w:hint="eastAsia" w:ascii="仿宋_GB2312" w:eastAsia="仿宋_GB2312"/>
          <w:sz w:val="24"/>
        </w:rPr>
        <w:t>评标因素：技术、商务的响应程度，以及相应的比重或者权值等，但不包括《</w:t>
      </w:r>
      <w:r>
        <w:rPr>
          <w:rFonts w:hint="eastAsia" w:ascii="仿宋_GB2312" w:eastAsia="仿宋_GB2312"/>
          <w:b/>
          <w:sz w:val="24"/>
        </w:rPr>
        <w:t>招标文件前附表</w:t>
      </w:r>
      <w:r>
        <w:rPr>
          <w:rFonts w:hint="eastAsia" w:ascii="仿宋_GB2312" w:eastAsia="仿宋_GB2312"/>
          <w:sz w:val="24"/>
        </w:rPr>
        <w:t>》第一章第</w:t>
      </w:r>
      <w:r>
        <w:rPr>
          <w:rFonts w:ascii="仿宋_GB2312" w:eastAsia="仿宋_GB2312"/>
          <w:sz w:val="24"/>
        </w:rPr>
        <w:t>3.1</w:t>
      </w:r>
      <w:r>
        <w:rPr>
          <w:rFonts w:hint="eastAsia" w:ascii="仿宋_GB2312" w:eastAsia="仿宋_GB2312"/>
          <w:sz w:val="24"/>
        </w:rPr>
        <w:t>项规定的投标人资格条件。</w:t>
      </w:r>
    </w:p>
    <w:p>
      <w:pPr>
        <w:numPr>
          <w:ilvl w:val="1"/>
          <w:numId w:val="10"/>
        </w:numPr>
        <w:spacing w:before="120" w:beforeLines="50" w:after="120" w:afterLines="50" w:line="360" w:lineRule="exact"/>
        <w:rPr>
          <w:rFonts w:ascii="仿宋_GB2312" w:eastAsia="仿宋_GB2312"/>
          <w:sz w:val="24"/>
        </w:rPr>
      </w:pPr>
      <w:r>
        <w:rPr>
          <w:rFonts w:hint="eastAsia" w:ascii="仿宋_GB2312" w:eastAsia="仿宋_GB2312"/>
          <w:sz w:val="24"/>
        </w:rPr>
        <w:t>评标满分为</w:t>
      </w:r>
      <w:r>
        <w:rPr>
          <w:rFonts w:ascii="仿宋_GB2312" w:eastAsia="仿宋_GB2312"/>
          <w:sz w:val="24"/>
        </w:rPr>
        <w:t>100</w:t>
      </w:r>
      <w:r>
        <w:rPr>
          <w:rFonts w:hint="eastAsia" w:ascii="仿宋_GB2312" w:eastAsia="仿宋_GB2312"/>
          <w:sz w:val="24"/>
        </w:rPr>
        <w:t>分，取值范围如下：</w:t>
      </w:r>
    </w:p>
    <w:tbl>
      <w:tblPr>
        <w:tblStyle w:val="45"/>
        <w:tblW w:w="882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2"/>
        <w:gridCol w:w="4318"/>
        <w:gridCol w:w="36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902" w:type="dxa"/>
            <w:tcBorders>
              <w:top w:val="doub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4318" w:type="dxa"/>
            <w:tcBorders>
              <w:top w:val="doub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项目</w:t>
            </w:r>
          </w:p>
        </w:tc>
        <w:tc>
          <w:tcPr>
            <w:tcW w:w="3600" w:type="dxa"/>
            <w:tcBorders>
              <w:top w:val="doub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1</w:t>
            </w:r>
          </w:p>
        </w:tc>
        <w:tc>
          <w:tcPr>
            <w:tcW w:w="4318" w:type="dxa"/>
            <w:vAlign w:val="center"/>
          </w:tcPr>
          <w:p>
            <w:pPr>
              <w:adjustRightInd w:val="0"/>
              <w:snapToGrid w:val="0"/>
              <w:spacing w:before="120" w:beforeLines="50"/>
              <w:jc w:val="center"/>
              <w:rPr>
                <w:rFonts w:ascii="仿宋_GB2312" w:eastAsia="仿宋_GB2312"/>
                <w:sz w:val="24"/>
              </w:rPr>
            </w:pPr>
            <w:r>
              <w:rPr>
                <w:rFonts w:hint="eastAsia" w:ascii="仿宋_GB2312" w:eastAsia="仿宋_GB2312"/>
                <w:sz w:val="24"/>
              </w:rPr>
              <w:t>商务（企业实力）</w:t>
            </w:r>
          </w:p>
        </w:tc>
        <w:tc>
          <w:tcPr>
            <w:tcW w:w="3600" w:type="dxa"/>
            <w:vAlign w:val="center"/>
          </w:tcPr>
          <w:p>
            <w:pPr>
              <w:adjustRightInd w:val="0"/>
              <w:snapToGrid w:val="0"/>
              <w:jc w:val="center"/>
              <w:rPr>
                <w:rFonts w:ascii="仿宋_GB2312" w:eastAsia="仿宋_GB2312"/>
                <w:sz w:val="24"/>
              </w:rPr>
            </w:pPr>
            <w:r>
              <w:rPr>
                <w:rFonts w:ascii="仿宋_GB2312" w:eastAsia="仿宋_GB2312"/>
                <w:sz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2</w:t>
            </w:r>
          </w:p>
        </w:tc>
        <w:tc>
          <w:tcPr>
            <w:tcW w:w="4318" w:type="dxa"/>
            <w:vAlign w:val="center"/>
          </w:tcPr>
          <w:p>
            <w:pPr>
              <w:adjustRightInd w:val="0"/>
              <w:snapToGrid w:val="0"/>
              <w:spacing w:before="120" w:beforeLines="50"/>
              <w:jc w:val="center"/>
              <w:rPr>
                <w:rFonts w:ascii="仿宋_GB2312" w:eastAsia="仿宋_GB2312"/>
                <w:sz w:val="24"/>
              </w:rPr>
            </w:pPr>
            <w:r>
              <w:rPr>
                <w:rFonts w:ascii="仿宋_GB2312" w:eastAsia="仿宋_GB2312"/>
                <w:sz w:val="24"/>
              </w:rPr>
              <w:t>PPP</w:t>
            </w:r>
            <w:r>
              <w:rPr>
                <w:rFonts w:hint="eastAsia" w:ascii="仿宋_GB2312" w:eastAsia="仿宋_GB2312"/>
                <w:sz w:val="24"/>
              </w:rPr>
              <w:t>技术方案</w:t>
            </w:r>
          </w:p>
        </w:tc>
        <w:tc>
          <w:tcPr>
            <w:tcW w:w="3600" w:type="dxa"/>
            <w:vAlign w:val="center"/>
          </w:tcPr>
          <w:p>
            <w:pPr>
              <w:adjustRightInd w:val="0"/>
              <w:snapToGrid w:val="0"/>
              <w:jc w:val="center"/>
              <w:rPr>
                <w:rFonts w:ascii="仿宋_GB2312" w:eastAsia="仿宋_GB2312"/>
                <w:sz w:val="24"/>
              </w:rPr>
            </w:pPr>
            <w:r>
              <w:rPr>
                <w:rFonts w:ascii="仿宋_GB2312" w:eastAsia="仿宋_GB2312"/>
                <w:sz w:val="24"/>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ascii="仿宋_GB2312" w:eastAsia="仿宋_GB2312"/>
                <w:sz w:val="24"/>
              </w:rPr>
              <w:t>3</w:t>
            </w:r>
          </w:p>
        </w:tc>
        <w:tc>
          <w:tcPr>
            <w:tcW w:w="4318" w:type="dxa"/>
            <w:vAlign w:val="center"/>
          </w:tcPr>
          <w:p>
            <w:pPr>
              <w:adjustRightInd w:val="0"/>
              <w:snapToGrid w:val="0"/>
              <w:spacing w:before="120" w:beforeLines="50"/>
              <w:jc w:val="center"/>
              <w:rPr>
                <w:rFonts w:ascii="仿宋_GB2312" w:eastAsia="仿宋_GB2312"/>
                <w:sz w:val="24"/>
              </w:rPr>
            </w:pPr>
            <w:r>
              <w:rPr>
                <w:rFonts w:hint="eastAsia" w:ascii="仿宋_GB2312" w:eastAsia="仿宋_GB2312"/>
                <w:sz w:val="24"/>
              </w:rPr>
              <w:t>污水处理服务费</w:t>
            </w:r>
          </w:p>
        </w:tc>
        <w:tc>
          <w:tcPr>
            <w:tcW w:w="3600" w:type="dxa"/>
            <w:vAlign w:val="center"/>
          </w:tcPr>
          <w:p>
            <w:pPr>
              <w:adjustRightInd w:val="0"/>
              <w:snapToGrid w:val="0"/>
              <w:jc w:val="center"/>
              <w:rPr>
                <w:rFonts w:ascii="仿宋_GB2312" w:eastAsia="仿宋_GB2312"/>
                <w:sz w:val="24"/>
              </w:rPr>
            </w:pPr>
            <w:r>
              <w:rPr>
                <w:rFonts w:ascii="仿宋_GB2312" w:eastAsia="仿宋_GB2312"/>
                <w:sz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2" w:type="dxa"/>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4318" w:type="dxa"/>
            <w:vAlign w:val="center"/>
          </w:tcPr>
          <w:p>
            <w:pPr>
              <w:adjustRightInd w:val="0"/>
              <w:snapToGrid w:val="0"/>
              <w:spacing w:before="120" w:beforeLines="50"/>
              <w:jc w:val="center"/>
              <w:rPr>
                <w:rFonts w:ascii="仿宋_GB2312" w:eastAsia="仿宋_GB2312"/>
                <w:sz w:val="24"/>
              </w:rPr>
            </w:pPr>
            <w:r>
              <w:rPr>
                <w:rFonts w:hint="eastAsia" w:ascii="仿宋_GB2312" w:eastAsia="仿宋_GB2312"/>
                <w:sz w:val="24"/>
              </w:rPr>
              <w:t>审定</w:t>
            </w:r>
            <w:r>
              <w:rPr>
                <w:rFonts w:ascii="仿宋_GB2312" w:eastAsia="仿宋_GB2312"/>
                <w:sz w:val="24"/>
              </w:rPr>
              <w:t>竣工结算下浮率</w:t>
            </w:r>
          </w:p>
        </w:tc>
        <w:tc>
          <w:tcPr>
            <w:tcW w:w="3600" w:type="dxa"/>
            <w:vAlign w:val="center"/>
          </w:tcPr>
          <w:p>
            <w:pPr>
              <w:adjustRightInd w:val="0"/>
              <w:snapToGrid w:val="0"/>
              <w:jc w:val="center"/>
              <w:rPr>
                <w:rFonts w:ascii="仿宋_GB2312" w:eastAsia="仿宋_GB2312"/>
                <w:sz w:val="24"/>
              </w:rPr>
            </w:pPr>
            <w:r>
              <w:rPr>
                <w:rFonts w:hint="eastAsia" w:ascii="仿宋_GB2312" w:eastAsia="仿宋_GB2312"/>
                <w:sz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220" w:type="dxa"/>
            <w:gridSpan w:val="2"/>
            <w:tcBorders>
              <w:bottom w:val="doub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w:t>
            </w:r>
            <w:r>
              <w:rPr>
                <w:rFonts w:ascii="仿宋_GB2312" w:eastAsia="仿宋_GB2312"/>
                <w:sz w:val="24"/>
              </w:rPr>
              <w:t>1+2+3+4</w:t>
            </w:r>
            <w:r>
              <w:rPr>
                <w:rFonts w:hint="eastAsia" w:ascii="仿宋_GB2312" w:eastAsia="仿宋_GB2312"/>
                <w:sz w:val="24"/>
              </w:rPr>
              <w:t>）</w:t>
            </w:r>
            <w:r>
              <w:rPr>
                <w:rFonts w:ascii="仿宋_GB2312" w:eastAsia="仿宋_GB2312"/>
                <w:sz w:val="24"/>
              </w:rPr>
              <w:t>=100</w:t>
            </w:r>
          </w:p>
        </w:tc>
        <w:tc>
          <w:tcPr>
            <w:tcW w:w="3600" w:type="dxa"/>
            <w:tcBorders>
              <w:bottom w:val="doub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100</w:t>
            </w:r>
          </w:p>
        </w:tc>
      </w:tr>
    </w:tbl>
    <w:p>
      <w:pPr>
        <w:adjustRightInd w:val="0"/>
        <w:snapToGrid w:val="0"/>
        <w:spacing w:before="120" w:beforeLines="50" w:line="360" w:lineRule="exact"/>
        <w:ind w:right="-109" w:rightChars="-52" w:firstLine="569" w:firstLineChars="236"/>
        <w:rPr>
          <w:rFonts w:ascii="仿宋_GB2312" w:eastAsia="仿宋_GB2312"/>
          <w:b/>
          <w:kern w:val="0"/>
          <w:sz w:val="24"/>
        </w:rPr>
      </w:pPr>
      <w:r>
        <w:rPr>
          <w:rFonts w:ascii="仿宋_GB2312" w:eastAsia="仿宋_GB2312"/>
          <w:b/>
          <w:kern w:val="0"/>
          <w:sz w:val="24"/>
        </w:rPr>
        <w:t>2</w:t>
      </w:r>
      <w:r>
        <w:rPr>
          <w:rFonts w:hint="eastAsia" w:ascii="仿宋_GB2312" w:eastAsia="仿宋_GB2312"/>
          <w:b/>
          <w:kern w:val="0"/>
          <w:sz w:val="24"/>
        </w:rPr>
        <w:t>、评标程序</w:t>
      </w:r>
    </w:p>
    <w:p>
      <w:pPr>
        <w:adjustRightInd w:val="0"/>
        <w:snapToGrid w:val="0"/>
        <w:spacing w:before="120" w:beforeLines="50" w:line="360" w:lineRule="exact"/>
        <w:ind w:right="-109" w:rightChars="-52" w:firstLine="566" w:firstLineChars="236"/>
        <w:rPr>
          <w:rFonts w:ascii="仿宋_GB2312" w:eastAsia="仿宋_GB2312"/>
          <w:sz w:val="24"/>
        </w:rPr>
      </w:pPr>
      <w:r>
        <w:rPr>
          <w:rFonts w:hint="eastAsia" w:ascii="仿宋_GB2312" w:eastAsia="仿宋_GB2312"/>
          <w:kern w:val="0"/>
          <w:sz w:val="24"/>
        </w:rPr>
        <w:t>评标程序</w:t>
      </w:r>
      <w:r>
        <w:rPr>
          <w:rFonts w:hint="eastAsia" w:ascii="仿宋_GB2312" w:eastAsia="仿宋_GB2312"/>
          <w:sz w:val="24"/>
        </w:rPr>
        <w:t>分为</w:t>
      </w:r>
      <w:r>
        <w:rPr>
          <w:rFonts w:hint="eastAsia" w:ascii="仿宋_GB2312" w:eastAsia="仿宋_GB2312"/>
          <w:kern w:val="0"/>
          <w:sz w:val="24"/>
        </w:rPr>
        <w:t>投标文件初审、澄清有关问题、比较和评价、候选社会资本谈判排序、采购结果谈判和预成交公示、成交社会资本的确定以及</w:t>
      </w:r>
      <w:r>
        <w:rPr>
          <w:rFonts w:ascii="仿宋_GB2312" w:eastAsia="仿宋_GB2312"/>
          <w:kern w:val="0"/>
          <w:sz w:val="24"/>
        </w:rPr>
        <w:t>PPP</w:t>
      </w:r>
      <w:r>
        <w:rPr>
          <w:rFonts w:hint="eastAsia" w:ascii="仿宋_GB2312" w:eastAsia="仿宋_GB2312"/>
          <w:kern w:val="0"/>
          <w:sz w:val="24"/>
        </w:rPr>
        <w:t>项目合同的签订</w:t>
      </w:r>
      <w:r>
        <w:rPr>
          <w:rFonts w:hint="eastAsia" w:ascii="仿宋_GB2312" w:eastAsia="仿宋_GB2312"/>
          <w:b/>
          <w:sz w:val="24"/>
        </w:rPr>
        <w:t>。</w:t>
      </w:r>
    </w:p>
    <w:p>
      <w:pPr>
        <w:numPr>
          <w:ilvl w:val="1"/>
          <w:numId w:val="11"/>
        </w:numPr>
        <w:spacing w:before="120" w:beforeLines="50" w:line="360" w:lineRule="exact"/>
        <w:rPr>
          <w:rFonts w:ascii="仿宋_GB2312" w:eastAsia="仿宋_GB2312"/>
          <w:b/>
          <w:sz w:val="24"/>
        </w:rPr>
      </w:pPr>
      <w:r>
        <w:rPr>
          <w:rFonts w:hint="eastAsia" w:ascii="仿宋_GB2312" w:eastAsia="仿宋_GB2312"/>
          <w:b/>
          <w:sz w:val="24"/>
        </w:rPr>
        <w:t>投标文件的初步评审</w:t>
      </w:r>
    </w:p>
    <w:p>
      <w:pPr>
        <w:numPr>
          <w:ilvl w:val="2"/>
          <w:numId w:val="12"/>
        </w:numPr>
        <w:adjustRightInd w:val="0"/>
        <w:snapToGrid w:val="0"/>
        <w:spacing w:before="120" w:beforeLines="50" w:line="360" w:lineRule="exact"/>
        <w:rPr>
          <w:rFonts w:ascii="仿宋_GB2312" w:eastAsia="仿宋_GB2312"/>
          <w:sz w:val="24"/>
        </w:rPr>
      </w:pPr>
      <w:r>
        <w:rPr>
          <w:rFonts w:hint="eastAsia" w:ascii="仿宋_GB2312" w:eastAsia="仿宋_GB2312"/>
          <w:sz w:val="24"/>
        </w:rPr>
        <w:t>符合性检查</w:t>
      </w:r>
    </w:p>
    <w:p>
      <w:pPr>
        <w:adjustRightInd w:val="0"/>
        <w:snapToGrid w:val="0"/>
        <w:spacing w:line="360" w:lineRule="exact"/>
        <w:ind w:right="-109" w:rightChars="-52" w:firstLine="566" w:firstLineChars="236"/>
        <w:rPr>
          <w:rFonts w:ascii="仿宋_GB2312" w:eastAsia="仿宋_GB2312"/>
          <w:sz w:val="24"/>
        </w:rPr>
      </w:pPr>
      <w:r>
        <w:rPr>
          <w:rFonts w:hint="eastAsia" w:ascii="仿宋_GB2312" w:eastAsia="仿宋_GB2312"/>
          <w:sz w:val="24"/>
        </w:rPr>
        <w:t>依据招标文件的规定，从投标文件的有效性、完整性和对招标文件的响应程度、投标保证金提交进行审查，以确定是否对招标文件的实质性要求作出响应。</w:t>
      </w:r>
    </w:p>
    <w:p>
      <w:pPr>
        <w:widowControl/>
        <w:spacing w:after="48" w:afterLines="20" w:line="360" w:lineRule="exact"/>
        <w:ind w:firstLine="472" w:firstLineChars="196"/>
        <w:rPr>
          <w:rFonts w:ascii="仿宋_GB2312" w:eastAsia="仿宋_GB2312"/>
          <w:b/>
          <w:sz w:val="24"/>
        </w:rPr>
      </w:pPr>
      <w:r>
        <w:rPr>
          <w:rFonts w:hint="eastAsia" w:ascii="仿宋_GB2312" w:eastAsia="仿宋_GB2312"/>
          <w:b/>
          <w:sz w:val="24"/>
        </w:rPr>
        <w:t>表</w:t>
      </w:r>
      <w:r>
        <w:rPr>
          <w:rFonts w:ascii="仿宋_GB2312" w:eastAsia="仿宋_GB2312"/>
          <w:b/>
          <w:sz w:val="24"/>
        </w:rPr>
        <w:t>2-1</w:t>
      </w:r>
      <w:r>
        <w:rPr>
          <w:rFonts w:hint="eastAsia" w:ascii="仿宋_GB2312" w:eastAsia="仿宋_GB2312"/>
          <w:b/>
          <w:sz w:val="24"/>
        </w:rPr>
        <w:t>：符合性审查表</w:t>
      </w:r>
    </w:p>
    <w:tbl>
      <w:tblPr>
        <w:tblStyle w:val="45"/>
        <w:tblW w:w="90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4370"/>
        <w:gridCol w:w="851"/>
        <w:gridCol w:w="852"/>
        <w:gridCol w:w="852"/>
        <w:gridCol w:w="852"/>
        <w:gridCol w:w="830"/>
        <w:gridCol w:w="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40" w:hRule="atLeast"/>
          <w:tblHeader/>
          <w:jc w:val="center"/>
        </w:trPr>
        <w:tc>
          <w:tcPr>
            <w:tcW w:w="459" w:type="dxa"/>
            <w:vMerge w:val="restart"/>
            <w:tcBorders>
              <w:top w:val="double" w:color="auto" w:sz="4" w:space="0"/>
            </w:tcBorders>
            <w:vAlign w:val="center"/>
          </w:tcPr>
          <w:p>
            <w:pPr>
              <w:spacing w:before="24" w:beforeLines="10" w:after="24" w:afterLines="10" w:line="360" w:lineRule="exact"/>
              <w:rPr>
                <w:rFonts w:ascii="仿宋_GB2312" w:eastAsia="仿宋_GB2312"/>
                <w:sz w:val="24"/>
              </w:rPr>
            </w:pPr>
            <w:r>
              <w:rPr>
                <w:rFonts w:hint="eastAsia" w:ascii="仿宋_GB2312" w:eastAsia="仿宋_GB2312"/>
                <w:b/>
                <w:sz w:val="24"/>
              </w:rPr>
              <w:t>序号</w:t>
            </w:r>
          </w:p>
        </w:tc>
        <w:tc>
          <w:tcPr>
            <w:tcW w:w="4370" w:type="dxa"/>
            <w:vMerge w:val="restart"/>
            <w:tcBorders>
              <w:top w:val="double" w:color="auto" w:sz="4" w:space="0"/>
            </w:tcBorders>
            <w:vAlign w:val="center"/>
          </w:tcPr>
          <w:p>
            <w:pPr>
              <w:spacing w:before="24" w:beforeLines="10" w:after="24" w:afterLines="10" w:line="360" w:lineRule="exact"/>
              <w:jc w:val="center"/>
              <w:rPr>
                <w:rFonts w:ascii="仿宋_GB2312" w:eastAsia="仿宋_GB2312"/>
                <w:sz w:val="24"/>
              </w:rPr>
            </w:pPr>
            <w:r>
              <w:rPr>
                <w:rFonts w:hint="eastAsia" w:ascii="仿宋_GB2312" w:eastAsia="仿宋_GB2312"/>
                <w:b/>
                <w:sz w:val="24"/>
              </w:rPr>
              <w:t>检查项目</w:t>
            </w:r>
          </w:p>
        </w:tc>
        <w:tc>
          <w:tcPr>
            <w:tcW w:w="4237" w:type="dxa"/>
            <w:gridSpan w:val="5"/>
            <w:tcBorders>
              <w:top w:val="double" w:color="auto" w:sz="4" w:space="0"/>
            </w:tcBorders>
            <w:vAlign w:val="center"/>
          </w:tcPr>
          <w:p>
            <w:pPr>
              <w:widowControl/>
              <w:spacing w:before="24" w:beforeLines="10" w:after="24" w:afterLines="10" w:line="360" w:lineRule="exact"/>
              <w:jc w:val="center"/>
              <w:rPr>
                <w:rFonts w:ascii="仿宋_GB2312" w:eastAsia="仿宋_GB2312"/>
                <w:sz w:val="24"/>
              </w:rPr>
            </w:pPr>
            <w:r>
              <w:rPr>
                <w:rFonts w:hint="eastAsia" w:ascii="仿宋_GB2312" w:eastAsia="仿宋_GB2312"/>
                <w:b/>
                <w:sz w:val="24"/>
              </w:rPr>
              <w:t>投标人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59" w:type="dxa"/>
            <w:vMerge w:val="continue"/>
            <w:vAlign w:val="center"/>
          </w:tcPr>
          <w:p>
            <w:pPr>
              <w:widowControl/>
              <w:spacing w:before="24" w:beforeLines="10" w:after="24" w:afterLines="10" w:line="360" w:lineRule="exact"/>
              <w:rPr>
                <w:rFonts w:ascii="仿宋_GB2312" w:eastAsia="仿宋_GB2312"/>
                <w:sz w:val="24"/>
              </w:rPr>
            </w:pPr>
          </w:p>
        </w:tc>
        <w:tc>
          <w:tcPr>
            <w:tcW w:w="4370" w:type="dxa"/>
            <w:vMerge w:val="continue"/>
            <w:vAlign w:val="center"/>
          </w:tcPr>
          <w:p>
            <w:pPr>
              <w:widowControl/>
              <w:spacing w:before="24" w:beforeLines="10" w:after="24" w:afterLines="10" w:line="360" w:lineRule="exact"/>
              <w:rPr>
                <w:rFonts w:ascii="仿宋_GB2312" w:eastAsia="仿宋_GB2312"/>
                <w:sz w:val="24"/>
              </w:rPr>
            </w:pPr>
          </w:p>
        </w:tc>
        <w:tc>
          <w:tcPr>
            <w:tcW w:w="851" w:type="dxa"/>
            <w:vAlign w:val="center"/>
          </w:tcPr>
          <w:p>
            <w:pPr>
              <w:widowControl/>
              <w:spacing w:before="24" w:beforeLines="10" w:after="24" w:afterLines="10" w:line="360" w:lineRule="exact"/>
              <w:jc w:val="center"/>
              <w:rPr>
                <w:rFonts w:ascii="仿宋_GB2312" w:eastAsia="仿宋_GB2312"/>
                <w:b/>
                <w:sz w:val="24"/>
              </w:rPr>
            </w:pPr>
            <w:r>
              <w:rPr>
                <w:rFonts w:ascii="仿宋_GB2312" w:eastAsia="仿宋_GB2312"/>
                <w:b/>
                <w:sz w:val="24"/>
              </w:rPr>
              <w:t>1</w:t>
            </w:r>
          </w:p>
        </w:tc>
        <w:tc>
          <w:tcPr>
            <w:tcW w:w="852" w:type="dxa"/>
            <w:vAlign w:val="center"/>
          </w:tcPr>
          <w:p>
            <w:pPr>
              <w:widowControl/>
              <w:spacing w:before="24" w:beforeLines="10" w:after="24" w:afterLines="10" w:line="360" w:lineRule="exact"/>
              <w:jc w:val="center"/>
              <w:rPr>
                <w:rFonts w:ascii="仿宋_GB2312" w:eastAsia="仿宋_GB2312"/>
                <w:b/>
                <w:sz w:val="24"/>
              </w:rPr>
            </w:pPr>
            <w:r>
              <w:rPr>
                <w:rFonts w:ascii="仿宋_GB2312" w:eastAsia="仿宋_GB2312"/>
                <w:b/>
                <w:sz w:val="24"/>
              </w:rPr>
              <w:t>2</w:t>
            </w:r>
          </w:p>
        </w:tc>
        <w:tc>
          <w:tcPr>
            <w:tcW w:w="852" w:type="dxa"/>
            <w:vAlign w:val="center"/>
          </w:tcPr>
          <w:p>
            <w:pPr>
              <w:widowControl/>
              <w:spacing w:before="24" w:beforeLines="10" w:after="24" w:afterLines="10" w:line="360" w:lineRule="exact"/>
              <w:jc w:val="center"/>
              <w:rPr>
                <w:rFonts w:ascii="仿宋_GB2312" w:eastAsia="仿宋_GB2312"/>
                <w:b/>
                <w:sz w:val="24"/>
              </w:rPr>
            </w:pPr>
            <w:r>
              <w:rPr>
                <w:rFonts w:ascii="仿宋_GB2312" w:eastAsia="仿宋_GB2312"/>
                <w:b/>
                <w:sz w:val="24"/>
              </w:rPr>
              <w:t>3</w:t>
            </w:r>
          </w:p>
        </w:tc>
        <w:tc>
          <w:tcPr>
            <w:tcW w:w="852" w:type="dxa"/>
            <w:vAlign w:val="center"/>
          </w:tcPr>
          <w:p>
            <w:pPr>
              <w:widowControl/>
              <w:spacing w:before="24" w:beforeLines="10" w:after="24" w:afterLines="10" w:line="360" w:lineRule="exact"/>
              <w:jc w:val="center"/>
              <w:rPr>
                <w:rFonts w:ascii="仿宋_GB2312" w:eastAsia="仿宋_GB2312"/>
                <w:b/>
                <w:sz w:val="24"/>
              </w:rPr>
            </w:pPr>
            <w:r>
              <w:rPr>
                <w:rFonts w:ascii="仿宋_GB2312" w:eastAsia="仿宋_GB2312"/>
                <w:b/>
                <w:sz w:val="24"/>
              </w:rPr>
              <w:t>4</w:t>
            </w:r>
          </w:p>
        </w:tc>
        <w:tc>
          <w:tcPr>
            <w:tcW w:w="852" w:type="dxa"/>
            <w:gridSpan w:val="2"/>
            <w:vAlign w:val="center"/>
          </w:tcPr>
          <w:p>
            <w:pPr>
              <w:widowControl/>
              <w:spacing w:before="24" w:beforeLines="10" w:after="24" w:afterLines="10" w:line="360" w:lineRule="exact"/>
              <w:jc w:val="center"/>
              <w:rPr>
                <w:rFonts w:ascii="仿宋_GB2312" w:eastAsia="仿宋_GB2312"/>
                <w:b/>
                <w:sz w:val="24"/>
              </w:rPr>
            </w:pPr>
            <w:r>
              <w:rPr>
                <w:rFonts w:ascii="仿宋_GB2312" w:eastAsia="仿宋_GB2312"/>
                <w:b/>
                <w:sz w:val="24"/>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投标保证金已按招标文件规定提交</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投标有效期符合招标文件要求</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投标文件的编制、密封、签署、盖章符合招标文件的相关规定</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投标人递交的投标报价唯一</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投标文件报价范围符合招标文件要求</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投标文件完全响应招标边界条件</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不满足招标文件中用“拒绝”、“否决”、“不接受”、“无效”、“不得”等文字规定或标注“</w:t>
            </w:r>
            <w:r>
              <w:rPr>
                <w:rFonts w:hint="eastAsia" w:ascii="仿宋_GB2312" w:hAnsi="宋体" w:eastAsia="仿宋_GB2312" w:cs="宋体"/>
                <w:sz w:val="24"/>
              </w:rPr>
              <w:t>★</w:t>
            </w:r>
            <w:r>
              <w:rPr>
                <w:rFonts w:hint="eastAsia" w:ascii="仿宋_GB2312" w:eastAsia="仿宋_GB2312"/>
                <w:sz w:val="24"/>
              </w:rPr>
              <w:t>”符号的条款</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投标文件中无采购人不能接受的条件</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Align w:val="center"/>
          </w:tcPr>
          <w:p>
            <w:pPr>
              <w:widowControl/>
              <w:numPr>
                <w:ilvl w:val="0"/>
                <w:numId w:val="13"/>
              </w:numPr>
              <w:spacing w:before="24" w:beforeLines="10" w:after="24" w:afterLines="10" w:line="360" w:lineRule="exact"/>
              <w:jc w:val="center"/>
              <w:rPr>
                <w:rFonts w:ascii="仿宋_GB2312" w:eastAsia="仿宋_GB2312"/>
                <w:sz w:val="24"/>
              </w:rPr>
            </w:pPr>
          </w:p>
        </w:tc>
        <w:tc>
          <w:tcPr>
            <w:tcW w:w="4370" w:type="dxa"/>
            <w:vAlign w:val="center"/>
          </w:tcPr>
          <w:p>
            <w:pPr>
              <w:widowControl/>
              <w:spacing w:before="24" w:beforeLines="10" w:after="24" w:afterLines="10" w:line="360" w:lineRule="exact"/>
              <w:rPr>
                <w:rFonts w:ascii="仿宋_GB2312" w:eastAsia="仿宋_GB2312"/>
                <w:sz w:val="24"/>
              </w:rPr>
            </w:pPr>
            <w:r>
              <w:rPr>
                <w:rFonts w:hint="eastAsia" w:ascii="仿宋_GB2312" w:eastAsia="仿宋_GB2312"/>
                <w:sz w:val="24"/>
              </w:rPr>
              <w:t>投标文件无不符合法律、法规和招标文件规定的内容</w:t>
            </w:r>
          </w:p>
        </w:tc>
        <w:tc>
          <w:tcPr>
            <w:tcW w:w="851"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vAlign w:val="center"/>
          </w:tcPr>
          <w:p>
            <w:pPr>
              <w:widowControl/>
              <w:spacing w:before="24" w:beforeLines="10" w:after="24" w:afterLines="10" w:line="360" w:lineRule="exact"/>
              <w:jc w:val="center"/>
              <w:rPr>
                <w:rFonts w:ascii="仿宋_GB2312" w:eastAsia="仿宋_GB2312"/>
                <w:sz w:val="24"/>
              </w:rPr>
            </w:pPr>
          </w:p>
        </w:tc>
        <w:tc>
          <w:tcPr>
            <w:tcW w:w="852" w:type="dxa"/>
            <w:gridSpan w:val="2"/>
            <w:vAlign w:val="center"/>
          </w:tcPr>
          <w:p>
            <w:pPr>
              <w:widowControl/>
              <w:spacing w:before="24" w:beforeLines="10" w:after="24" w:afterLines="10"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9" w:type="dxa"/>
            <w:gridSpan w:val="2"/>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r>
              <w:rPr>
                <w:rFonts w:hint="eastAsia" w:ascii="仿宋_GB2312" w:eastAsia="仿宋_GB2312"/>
                <w:sz w:val="24"/>
              </w:rPr>
              <w:t>结论</w:t>
            </w:r>
          </w:p>
        </w:tc>
        <w:tc>
          <w:tcPr>
            <w:tcW w:w="851" w:type="dxa"/>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p>
        </w:tc>
        <w:tc>
          <w:tcPr>
            <w:tcW w:w="852" w:type="dxa"/>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p>
        </w:tc>
        <w:tc>
          <w:tcPr>
            <w:tcW w:w="852" w:type="dxa"/>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p>
        </w:tc>
        <w:tc>
          <w:tcPr>
            <w:tcW w:w="852" w:type="dxa"/>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p>
        </w:tc>
        <w:tc>
          <w:tcPr>
            <w:tcW w:w="852" w:type="dxa"/>
            <w:gridSpan w:val="2"/>
            <w:tcBorders>
              <w:bottom w:val="double" w:color="auto" w:sz="4" w:space="0"/>
            </w:tcBorders>
            <w:vAlign w:val="center"/>
          </w:tcPr>
          <w:p>
            <w:pPr>
              <w:widowControl/>
              <w:spacing w:before="24" w:beforeLines="10" w:after="24" w:afterLines="10" w:line="360" w:lineRule="exact"/>
              <w:jc w:val="center"/>
              <w:rPr>
                <w:rFonts w:ascii="仿宋_GB2312" w:eastAsia="仿宋_GB2312"/>
                <w:sz w:val="24"/>
              </w:rPr>
            </w:pPr>
          </w:p>
        </w:tc>
      </w:tr>
    </w:tbl>
    <w:p>
      <w:pPr>
        <w:pStyle w:val="19"/>
        <w:spacing w:before="50" w:line="360" w:lineRule="exact"/>
        <w:ind w:left="0" w:leftChars="0"/>
        <w:rPr>
          <w:rFonts w:ascii="仿宋_GB2312" w:eastAsia="仿宋_GB2312"/>
          <w:sz w:val="24"/>
        </w:rPr>
      </w:pPr>
      <w:r>
        <w:rPr>
          <w:rFonts w:hint="eastAsia" w:ascii="仿宋_GB2312" w:eastAsia="仿宋_GB2312"/>
          <w:sz w:val="24"/>
        </w:rPr>
        <w:t>注：</w:t>
      </w:r>
      <w:r>
        <w:rPr>
          <w:rFonts w:ascii="仿宋_GB2312" w:eastAsia="仿宋_GB2312"/>
          <w:sz w:val="24"/>
        </w:rPr>
        <w:t>1</w:t>
      </w:r>
      <w:r>
        <w:rPr>
          <w:rFonts w:hint="eastAsia" w:ascii="仿宋_GB2312" w:eastAsia="仿宋_GB2312"/>
          <w:sz w:val="24"/>
        </w:rPr>
        <w:t>、上述内容合格用“√”表示，不合格用“×”表示。</w:t>
      </w:r>
    </w:p>
    <w:p>
      <w:pPr>
        <w:adjustRightInd w:val="0"/>
        <w:snapToGrid w:val="0"/>
        <w:spacing w:before="120" w:beforeLines="50" w:line="360" w:lineRule="exact"/>
        <w:ind w:right="-109" w:rightChars="-52"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、以上内容有一项不合格的，则初步评审的综合评定结果为不合格。</w:t>
      </w:r>
    </w:p>
    <w:p>
      <w:pPr>
        <w:numPr>
          <w:ilvl w:val="1"/>
          <w:numId w:val="11"/>
        </w:numPr>
        <w:spacing w:before="120" w:beforeLines="50" w:line="360" w:lineRule="exact"/>
        <w:rPr>
          <w:rFonts w:ascii="仿宋_GB2312" w:eastAsia="仿宋_GB2312"/>
          <w:sz w:val="24"/>
        </w:rPr>
      </w:pPr>
      <w:r>
        <w:rPr>
          <w:rFonts w:hint="eastAsia" w:ascii="仿宋_GB2312" w:eastAsia="仿宋_GB2312"/>
          <w:sz w:val="24"/>
        </w:rPr>
        <w:t>澄清有关问题</w:t>
      </w:r>
    </w:p>
    <w:p>
      <w:pPr>
        <w:adjustRightInd w:val="0"/>
        <w:snapToGrid w:val="0"/>
        <w:spacing w:line="360" w:lineRule="exact"/>
        <w:ind w:left="630" w:leftChars="300" w:right="-109" w:rightChars="-52"/>
        <w:rPr>
          <w:rFonts w:ascii="仿宋_GB2312" w:eastAsia="仿宋_GB2312"/>
          <w:sz w:val="24"/>
        </w:rPr>
      </w:pPr>
      <w:r>
        <w:rPr>
          <w:rFonts w:hint="eastAsia" w:ascii="仿宋_GB2312" w:eastAsia="仿宋_GB2312"/>
          <w:sz w:val="24"/>
        </w:rPr>
        <w:t>根据本招标文件第十章“评标方法及标准</w:t>
      </w:r>
      <w:r>
        <w:rPr>
          <w:rFonts w:ascii="仿宋_GB2312" w:eastAsia="仿宋_GB2312"/>
          <w:sz w:val="24"/>
        </w:rPr>
        <w:t>(</w:t>
      </w:r>
      <w:r>
        <w:rPr>
          <w:rFonts w:hint="eastAsia" w:ascii="仿宋_GB2312" w:eastAsia="仿宋_GB2312"/>
          <w:sz w:val="24"/>
        </w:rPr>
        <w:t>综合评分法适用</w:t>
      </w:r>
      <w:r>
        <w:rPr>
          <w:rFonts w:ascii="仿宋_GB2312" w:eastAsia="仿宋_GB2312"/>
          <w:sz w:val="24"/>
        </w:rPr>
        <w:t>)</w:t>
      </w:r>
      <w:r>
        <w:rPr>
          <w:rFonts w:hint="eastAsia" w:ascii="仿宋_GB2312" w:eastAsia="仿宋_GB2312"/>
          <w:sz w:val="24"/>
        </w:rPr>
        <w:t>”进行。</w:t>
      </w:r>
    </w:p>
    <w:p>
      <w:pPr>
        <w:widowControl/>
        <w:spacing w:after="48" w:afterLines="20" w:line="360" w:lineRule="exact"/>
        <w:ind w:right="105"/>
        <w:rPr>
          <w:rFonts w:ascii="仿宋_GB2312" w:eastAsia="仿宋_GB2312"/>
          <w:b/>
          <w:sz w:val="24"/>
        </w:rPr>
      </w:pPr>
      <w:r>
        <w:rPr>
          <w:rFonts w:hint="eastAsia" w:ascii="仿宋_GB2312" w:eastAsia="仿宋_GB2312"/>
          <w:b/>
          <w:sz w:val="24"/>
        </w:rPr>
        <w:t>表</w:t>
      </w:r>
      <w:r>
        <w:rPr>
          <w:rFonts w:ascii="仿宋_GB2312" w:eastAsia="仿宋_GB2312"/>
          <w:b/>
          <w:sz w:val="24"/>
        </w:rPr>
        <w:t>2-2</w:t>
      </w:r>
      <w:r>
        <w:rPr>
          <w:rFonts w:hint="eastAsia" w:ascii="仿宋_GB2312" w:eastAsia="仿宋_GB2312"/>
          <w:b/>
          <w:sz w:val="24"/>
        </w:rPr>
        <w:t>：澄清、说明、补正事项纪要表</w:t>
      </w:r>
    </w:p>
    <w:p>
      <w:pPr>
        <w:widowControl/>
        <w:spacing w:after="48" w:afterLines="20" w:line="360" w:lineRule="exact"/>
        <w:ind w:right="105"/>
        <w:rPr>
          <w:rFonts w:ascii="仿宋_GB2312" w:eastAsia="仿宋_GB2312"/>
          <w:b/>
          <w:sz w:val="24"/>
        </w:rPr>
      </w:pPr>
    </w:p>
    <w:tbl>
      <w:tblPr>
        <w:tblStyle w:val="45"/>
        <w:tblW w:w="925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690"/>
        <w:gridCol w:w="1691"/>
        <w:gridCol w:w="1691"/>
        <w:gridCol w:w="1691"/>
        <w:gridCol w:w="1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序号</w:t>
            </w:r>
          </w:p>
        </w:tc>
        <w:tc>
          <w:tcPr>
            <w:tcW w:w="1690"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投标人</w:t>
            </w:r>
          </w:p>
        </w:tc>
        <w:tc>
          <w:tcPr>
            <w:tcW w:w="1691"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投标文件中需要澄清的页次</w:t>
            </w:r>
          </w:p>
        </w:tc>
        <w:tc>
          <w:tcPr>
            <w:tcW w:w="1691"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投标文件中含义不明确</w:t>
            </w:r>
          </w:p>
        </w:tc>
        <w:tc>
          <w:tcPr>
            <w:tcW w:w="1691"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对同类问题表述不一致</w:t>
            </w:r>
          </w:p>
        </w:tc>
        <w:tc>
          <w:tcPr>
            <w:tcW w:w="1691" w:type="dxa"/>
            <w:tcBorders>
              <w:top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明显文字和计算错误的内容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widowControl/>
              <w:spacing w:line="360" w:lineRule="exact"/>
              <w:jc w:val="center"/>
              <w:rPr>
                <w:rFonts w:ascii="仿宋_GB2312" w:eastAsia="仿宋_GB2312"/>
                <w:sz w:val="24"/>
              </w:rPr>
            </w:pPr>
            <w:r>
              <w:rPr>
                <w:rFonts w:ascii="仿宋_GB2312" w:eastAsia="仿宋_GB2312"/>
                <w:sz w:val="24"/>
              </w:rPr>
              <w:t>1</w:t>
            </w:r>
          </w:p>
        </w:tc>
        <w:tc>
          <w:tcPr>
            <w:tcW w:w="1690"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widowControl/>
              <w:spacing w:line="360" w:lineRule="exact"/>
              <w:jc w:val="center"/>
              <w:rPr>
                <w:rFonts w:ascii="仿宋_GB2312" w:eastAsia="仿宋_GB2312"/>
                <w:sz w:val="24"/>
              </w:rPr>
            </w:pPr>
            <w:r>
              <w:rPr>
                <w:rFonts w:ascii="仿宋_GB2312" w:eastAsia="仿宋_GB2312"/>
                <w:sz w:val="24"/>
              </w:rPr>
              <w:t>2</w:t>
            </w:r>
          </w:p>
        </w:tc>
        <w:tc>
          <w:tcPr>
            <w:tcW w:w="1690"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center"/>
          </w:tcPr>
          <w:p>
            <w:pPr>
              <w:widowControl/>
              <w:spacing w:line="360" w:lineRule="exact"/>
              <w:jc w:val="center"/>
              <w:rPr>
                <w:rFonts w:ascii="仿宋_GB2312" w:eastAsia="仿宋_GB2312"/>
                <w:sz w:val="24"/>
              </w:rPr>
            </w:pPr>
            <w:r>
              <w:rPr>
                <w:rFonts w:ascii="仿宋_GB2312" w:eastAsia="仿宋_GB2312"/>
                <w:sz w:val="24"/>
              </w:rPr>
              <w:t>3</w:t>
            </w:r>
          </w:p>
        </w:tc>
        <w:tc>
          <w:tcPr>
            <w:tcW w:w="1690"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c>
          <w:tcPr>
            <w:tcW w:w="1691" w:type="dxa"/>
            <w:vAlign w:val="center"/>
          </w:tcPr>
          <w:p>
            <w:pPr>
              <w:widowControl/>
              <w:spacing w:line="3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tcBorders>
              <w:bottom w:val="doub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sz w:val="24"/>
              </w:rPr>
              <w:t>…</w:t>
            </w:r>
          </w:p>
        </w:tc>
        <w:tc>
          <w:tcPr>
            <w:tcW w:w="1690" w:type="dxa"/>
            <w:tcBorders>
              <w:bottom w:val="double" w:color="auto" w:sz="4" w:space="0"/>
            </w:tcBorders>
            <w:vAlign w:val="center"/>
          </w:tcPr>
          <w:p>
            <w:pPr>
              <w:widowControl/>
              <w:spacing w:line="360" w:lineRule="exact"/>
              <w:jc w:val="center"/>
              <w:rPr>
                <w:rFonts w:ascii="仿宋_GB2312" w:eastAsia="仿宋_GB2312"/>
                <w:sz w:val="24"/>
              </w:rPr>
            </w:pPr>
          </w:p>
        </w:tc>
        <w:tc>
          <w:tcPr>
            <w:tcW w:w="1691" w:type="dxa"/>
            <w:tcBorders>
              <w:bottom w:val="double" w:color="auto" w:sz="4" w:space="0"/>
            </w:tcBorders>
            <w:vAlign w:val="center"/>
          </w:tcPr>
          <w:p>
            <w:pPr>
              <w:widowControl/>
              <w:spacing w:line="360" w:lineRule="exact"/>
              <w:jc w:val="center"/>
              <w:rPr>
                <w:rFonts w:ascii="仿宋_GB2312" w:eastAsia="仿宋_GB2312"/>
                <w:sz w:val="24"/>
              </w:rPr>
            </w:pPr>
          </w:p>
        </w:tc>
        <w:tc>
          <w:tcPr>
            <w:tcW w:w="1691" w:type="dxa"/>
            <w:tcBorders>
              <w:bottom w:val="double" w:color="auto" w:sz="4" w:space="0"/>
            </w:tcBorders>
            <w:vAlign w:val="center"/>
          </w:tcPr>
          <w:p>
            <w:pPr>
              <w:widowControl/>
              <w:spacing w:line="360" w:lineRule="exact"/>
              <w:jc w:val="center"/>
              <w:rPr>
                <w:rFonts w:ascii="仿宋_GB2312" w:eastAsia="仿宋_GB2312"/>
                <w:sz w:val="24"/>
              </w:rPr>
            </w:pPr>
          </w:p>
        </w:tc>
        <w:tc>
          <w:tcPr>
            <w:tcW w:w="1691" w:type="dxa"/>
            <w:tcBorders>
              <w:bottom w:val="double" w:color="auto" w:sz="4" w:space="0"/>
            </w:tcBorders>
            <w:vAlign w:val="center"/>
          </w:tcPr>
          <w:p>
            <w:pPr>
              <w:widowControl/>
              <w:spacing w:line="360" w:lineRule="exact"/>
              <w:jc w:val="center"/>
              <w:rPr>
                <w:rFonts w:ascii="仿宋_GB2312" w:eastAsia="仿宋_GB2312"/>
                <w:sz w:val="24"/>
              </w:rPr>
            </w:pPr>
          </w:p>
        </w:tc>
        <w:tc>
          <w:tcPr>
            <w:tcW w:w="1691" w:type="dxa"/>
            <w:tcBorders>
              <w:bottom w:val="double" w:color="auto" w:sz="4" w:space="0"/>
            </w:tcBorders>
            <w:vAlign w:val="center"/>
          </w:tcPr>
          <w:p>
            <w:pPr>
              <w:widowControl/>
              <w:spacing w:line="360" w:lineRule="exact"/>
              <w:jc w:val="center"/>
              <w:rPr>
                <w:rFonts w:ascii="仿宋_GB2312" w:eastAsia="仿宋_GB2312"/>
                <w:sz w:val="24"/>
              </w:rPr>
            </w:pPr>
          </w:p>
        </w:tc>
      </w:tr>
    </w:tbl>
    <w:p>
      <w:pPr>
        <w:numPr>
          <w:ilvl w:val="1"/>
          <w:numId w:val="11"/>
        </w:numPr>
        <w:spacing w:before="240" w:beforeLines="100" w:line="360" w:lineRule="exact"/>
        <w:rPr>
          <w:rFonts w:ascii="仿宋_GB2312" w:eastAsia="仿宋_GB2312"/>
          <w:sz w:val="24"/>
        </w:rPr>
      </w:pPr>
      <w:r>
        <w:rPr>
          <w:rFonts w:hint="eastAsia" w:ascii="仿宋_GB2312" w:eastAsia="仿宋_GB2312"/>
          <w:sz w:val="24"/>
        </w:rPr>
        <w:t>比较与评价</w:t>
      </w:r>
    </w:p>
    <w:p>
      <w:pPr>
        <w:adjustRightInd w:val="0"/>
        <w:snapToGrid w:val="0"/>
        <w:spacing w:before="120" w:beforeLines="50" w:after="120" w:afterLines="50" w:line="360" w:lineRule="exact"/>
        <w:ind w:firstLine="480" w:firstLineChars="200"/>
        <w:rPr>
          <w:rFonts w:ascii="仿宋_GB2312" w:eastAsia="仿宋_GB2312"/>
          <w:sz w:val="24"/>
        </w:rPr>
      </w:pPr>
      <w:r>
        <w:rPr>
          <w:rFonts w:hint="eastAsia" w:ascii="仿宋_GB2312" w:eastAsia="仿宋_GB2312"/>
          <w:sz w:val="24"/>
        </w:rPr>
        <w:t>评标委员会应按照招标文件中规定的评标方法和标准，对符合性检查合格的投标文件进行商务、技术和报价评估，综合比较与评价。</w:t>
      </w:r>
    </w:p>
    <w:p>
      <w:pPr>
        <w:numPr>
          <w:ilvl w:val="1"/>
          <w:numId w:val="11"/>
        </w:numPr>
        <w:tabs>
          <w:tab w:val="left" w:pos="567"/>
        </w:tabs>
        <w:spacing w:before="240" w:beforeLines="100" w:line="360" w:lineRule="exact"/>
        <w:rPr>
          <w:rFonts w:ascii="仿宋_GB2312" w:eastAsia="仿宋_GB2312"/>
          <w:sz w:val="24"/>
        </w:rPr>
      </w:pPr>
      <w:r>
        <w:rPr>
          <w:rFonts w:hint="eastAsia" w:ascii="仿宋_GB2312" w:eastAsia="仿宋_GB2312"/>
          <w:sz w:val="24"/>
        </w:rPr>
        <w:t>评标标准附表见后</w:t>
      </w:r>
    </w:p>
    <w:p>
      <w:pPr>
        <w:jc w:val="center"/>
        <w:rPr>
          <w:rFonts w:ascii="仿宋_GB2312" w:eastAsia="仿宋_GB2312"/>
          <w:b/>
          <w:bCs/>
          <w:sz w:val="24"/>
        </w:rPr>
        <w:sectPr>
          <w:headerReference r:id="rId7" w:type="default"/>
          <w:pgSz w:w="11906" w:h="16838"/>
          <w:pgMar w:top="1701" w:right="1418" w:bottom="1701" w:left="1701" w:header="1134" w:footer="907" w:gutter="0"/>
          <w:cols w:space="720" w:num="1"/>
          <w:docGrid w:linePitch="312" w:charSpace="0"/>
        </w:sectPr>
      </w:pPr>
    </w:p>
    <w:p>
      <w:pPr>
        <w:jc w:val="center"/>
        <w:rPr>
          <w:rFonts w:ascii="仿宋_GB2312" w:eastAsia="仿宋_GB2312"/>
          <w:b/>
          <w:bCs/>
          <w:sz w:val="24"/>
        </w:rPr>
      </w:pPr>
    </w:p>
    <w:p>
      <w:pPr>
        <w:jc w:val="center"/>
        <w:rPr>
          <w:rFonts w:ascii="仿宋_GB2312" w:eastAsia="仿宋_GB2312"/>
          <w:b/>
          <w:bCs/>
          <w:sz w:val="24"/>
        </w:rPr>
      </w:pPr>
      <w:r>
        <w:rPr>
          <w:rFonts w:hint="eastAsia" w:ascii="仿宋_GB2312" w:eastAsia="仿宋_GB2312"/>
          <w:b/>
          <w:bCs/>
          <w:sz w:val="24"/>
        </w:rPr>
        <w:t>表</w:t>
      </w:r>
      <w:r>
        <w:rPr>
          <w:rFonts w:ascii="仿宋_GB2312" w:eastAsia="仿宋_GB2312"/>
          <w:b/>
          <w:bCs/>
          <w:sz w:val="24"/>
        </w:rPr>
        <w:t xml:space="preserve">2-5.1 </w:t>
      </w:r>
      <w:r>
        <w:rPr>
          <w:rFonts w:hint="eastAsia" w:ascii="仿宋_GB2312" w:eastAsia="仿宋_GB2312"/>
          <w:b/>
          <w:bCs/>
          <w:sz w:val="24"/>
        </w:rPr>
        <w:t>评标标准</w:t>
      </w:r>
    </w:p>
    <w:p>
      <w:pPr>
        <w:spacing w:line="360" w:lineRule="auto"/>
        <w:jc w:val="center"/>
        <w:rPr>
          <w:rFonts w:ascii="仿宋_GB2312" w:eastAsia="仿宋_GB2312"/>
          <w:sz w:val="28"/>
          <w:szCs w:val="28"/>
        </w:rPr>
      </w:pPr>
    </w:p>
    <w:tbl>
      <w:tblPr>
        <w:tblStyle w:val="45"/>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911"/>
        <w:gridCol w:w="5936"/>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645" w:type="dxa"/>
            <w:vAlign w:val="center"/>
          </w:tcPr>
          <w:p>
            <w:pPr>
              <w:spacing w:line="240" w:lineRule="atLeast"/>
              <w:jc w:val="center"/>
              <w:rPr>
                <w:rFonts w:ascii="仿宋_GB2312" w:eastAsia="仿宋_GB2312"/>
                <w:b/>
                <w:szCs w:val="21"/>
              </w:rPr>
            </w:pPr>
            <w:r>
              <w:rPr>
                <w:rFonts w:hint="eastAsia" w:ascii="仿宋_GB2312" w:eastAsia="仿宋_GB2312"/>
                <w:b/>
                <w:szCs w:val="21"/>
              </w:rPr>
              <w:t>投标文件组成</w:t>
            </w:r>
          </w:p>
        </w:tc>
        <w:tc>
          <w:tcPr>
            <w:tcW w:w="1911" w:type="dxa"/>
            <w:vAlign w:val="center"/>
          </w:tcPr>
          <w:p>
            <w:pPr>
              <w:spacing w:line="240" w:lineRule="atLeast"/>
              <w:jc w:val="center"/>
              <w:rPr>
                <w:rFonts w:ascii="仿宋_GB2312" w:eastAsia="仿宋_GB2312"/>
                <w:b/>
                <w:szCs w:val="21"/>
              </w:rPr>
            </w:pPr>
            <w:r>
              <w:rPr>
                <w:rFonts w:hint="eastAsia" w:ascii="仿宋_GB2312" w:eastAsia="仿宋_GB2312"/>
                <w:b/>
                <w:szCs w:val="21"/>
              </w:rPr>
              <w:t>评审因素</w:t>
            </w:r>
          </w:p>
        </w:tc>
        <w:tc>
          <w:tcPr>
            <w:tcW w:w="5936" w:type="dxa"/>
            <w:vAlign w:val="center"/>
          </w:tcPr>
          <w:p>
            <w:pPr>
              <w:spacing w:line="240" w:lineRule="atLeast"/>
              <w:jc w:val="center"/>
              <w:rPr>
                <w:rFonts w:ascii="仿宋_GB2312" w:eastAsia="仿宋_GB2312"/>
                <w:b/>
                <w:szCs w:val="21"/>
              </w:rPr>
            </w:pPr>
            <w:r>
              <w:rPr>
                <w:rFonts w:hint="eastAsia" w:ascii="仿宋_GB2312" w:eastAsia="仿宋_GB2312"/>
                <w:b/>
                <w:szCs w:val="21"/>
              </w:rPr>
              <w:t>评审原则</w:t>
            </w:r>
          </w:p>
        </w:tc>
        <w:tc>
          <w:tcPr>
            <w:tcW w:w="3649" w:type="dxa"/>
            <w:vAlign w:val="center"/>
          </w:tcPr>
          <w:p>
            <w:pPr>
              <w:spacing w:line="240" w:lineRule="atLeast"/>
              <w:jc w:val="center"/>
              <w:rPr>
                <w:rFonts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645" w:type="dxa"/>
            <w:vMerge w:val="restart"/>
            <w:vAlign w:val="center"/>
          </w:tcPr>
          <w:p>
            <w:pPr>
              <w:spacing w:line="240" w:lineRule="atLeast"/>
              <w:jc w:val="center"/>
              <w:rPr>
                <w:rFonts w:ascii="仿宋_GB2312" w:eastAsia="仿宋_GB2312"/>
                <w:szCs w:val="21"/>
              </w:rPr>
            </w:pPr>
            <w:r>
              <w:rPr>
                <w:rFonts w:hint="eastAsia" w:ascii="仿宋_GB2312" w:eastAsia="仿宋_GB2312"/>
                <w:szCs w:val="21"/>
              </w:rPr>
              <w:t>商务部分（企业实力）</w:t>
            </w:r>
          </w:p>
          <w:p>
            <w:pPr>
              <w:spacing w:line="240" w:lineRule="atLeast"/>
              <w:jc w:val="center"/>
              <w:rPr>
                <w:rFonts w:ascii="仿宋_GB2312" w:eastAsia="仿宋_GB2312"/>
                <w:szCs w:val="21"/>
              </w:rPr>
            </w:pPr>
            <w:r>
              <w:rPr>
                <w:rFonts w:hint="eastAsia" w:ascii="仿宋_GB2312" w:eastAsia="仿宋_GB2312"/>
                <w:szCs w:val="21"/>
              </w:rPr>
              <w:t>（</w:t>
            </w:r>
            <w:r>
              <w:rPr>
                <w:rFonts w:ascii="仿宋_GB2312" w:eastAsia="仿宋_GB2312"/>
                <w:szCs w:val="21"/>
              </w:rPr>
              <w:t>20</w:t>
            </w:r>
            <w:r>
              <w:rPr>
                <w:rFonts w:hint="eastAsia" w:ascii="仿宋_GB2312" w:eastAsia="仿宋_GB2312"/>
                <w:szCs w:val="21"/>
              </w:rPr>
              <w:t>分）</w:t>
            </w:r>
          </w:p>
        </w:tc>
        <w:tc>
          <w:tcPr>
            <w:tcW w:w="1911" w:type="dxa"/>
            <w:vAlign w:val="center"/>
          </w:tcPr>
          <w:p>
            <w:pPr>
              <w:spacing w:line="240" w:lineRule="atLeast"/>
              <w:jc w:val="center"/>
              <w:rPr>
                <w:rFonts w:ascii="仿宋_GB2312" w:eastAsia="仿宋_GB2312"/>
                <w:color w:val="FF0000"/>
                <w:szCs w:val="21"/>
              </w:rPr>
            </w:pPr>
            <w:r>
              <w:rPr>
                <w:rFonts w:hint="eastAsia" w:ascii="仿宋_GB2312" w:eastAsia="仿宋_GB2312"/>
                <w:szCs w:val="21"/>
              </w:rPr>
              <w:t>项目经理</w:t>
            </w:r>
            <w:r>
              <w:rPr>
                <w:rFonts w:ascii="仿宋_GB2312" w:eastAsia="仿宋_GB2312"/>
                <w:szCs w:val="21"/>
              </w:rPr>
              <w:t xml:space="preserve"> </w:t>
            </w:r>
            <w:r>
              <w:rPr>
                <w:rFonts w:hint="eastAsia" w:ascii="仿宋_GB2312" w:eastAsia="仿宋_GB2312"/>
                <w:szCs w:val="21"/>
              </w:rPr>
              <w:t>（满分</w:t>
            </w:r>
            <w:r>
              <w:rPr>
                <w:rFonts w:ascii="仿宋_GB2312" w:eastAsia="仿宋_GB2312"/>
                <w:szCs w:val="21"/>
              </w:rPr>
              <w:t xml:space="preserve"> 5 </w:t>
            </w:r>
            <w:r>
              <w:rPr>
                <w:rFonts w:hint="eastAsia" w:ascii="仿宋_GB2312" w:eastAsia="仿宋_GB2312"/>
                <w:szCs w:val="21"/>
              </w:rPr>
              <w:t>分）</w:t>
            </w:r>
          </w:p>
        </w:tc>
        <w:tc>
          <w:tcPr>
            <w:tcW w:w="5936" w:type="dxa"/>
            <w:vAlign w:val="center"/>
          </w:tcPr>
          <w:p>
            <w:pPr>
              <w:spacing w:line="240" w:lineRule="atLeast"/>
              <w:rPr>
                <w:rFonts w:ascii="仿宋_GB2312" w:eastAsia="仿宋_GB2312"/>
                <w:szCs w:val="21"/>
              </w:rPr>
            </w:pPr>
            <w:r>
              <w:rPr>
                <w:rFonts w:ascii="仿宋_GB2312" w:eastAsia="仿宋_GB2312"/>
                <w:szCs w:val="21"/>
              </w:rPr>
              <w:t>1</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资质分（满分</w:t>
            </w:r>
            <w:r>
              <w:rPr>
                <w:rFonts w:ascii="仿宋_GB2312" w:eastAsia="仿宋_GB2312"/>
                <w:szCs w:val="21"/>
              </w:rPr>
              <w:t xml:space="preserve"> 3</w:t>
            </w:r>
            <w:r>
              <w:rPr>
                <w:rFonts w:hint="eastAsia" w:ascii="仿宋_GB2312" w:eastAsia="仿宋_GB2312"/>
                <w:szCs w:val="21"/>
              </w:rPr>
              <w:t>分）：拟派项目经理具有高级及以上职称，同时具有一级注册建造师（建筑工程）</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“三类人员”安全产考核</w:t>
            </w:r>
            <w:r>
              <w:rPr>
                <w:rFonts w:ascii="仿宋_GB2312" w:eastAsia="仿宋_GB2312"/>
                <w:szCs w:val="21"/>
              </w:rPr>
              <w:t xml:space="preserve"> B </w:t>
            </w:r>
            <w:r>
              <w:rPr>
                <w:rFonts w:hint="eastAsia" w:ascii="仿宋_GB2312" w:eastAsia="仿宋_GB2312"/>
                <w:szCs w:val="21"/>
              </w:rPr>
              <w:t>类合格证的得</w:t>
            </w:r>
            <w:r>
              <w:rPr>
                <w:rFonts w:ascii="仿宋_GB2312" w:eastAsia="仿宋_GB2312"/>
                <w:szCs w:val="21"/>
              </w:rPr>
              <w:t xml:space="preserve"> 1 </w:t>
            </w:r>
            <w:r>
              <w:rPr>
                <w:rFonts w:hint="eastAsia" w:ascii="仿宋_GB2312" w:eastAsia="仿宋_GB2312"/>
                <w:szCs w:val="21"/>
              </w:rPr>
              <w:t>分；未能同时满足上述资质要求的由专家根据情况打分。</w:t>
            </w:r>
            <w:r>
              <w:rPr>
                <w:rFonts w:ascii="仿宋_GB2312" w:eastAsia="仿宋_GB2312"/>
                <w:szCs w:val="21"/>
              </w:rPr>
              <w:t xml:space="preserve"> </w:t>
            </w:r>
            <w:r>
              <w:rPr>
                <w:rFonts w:hint="eastAsia" w:ascii="仿宋_GB2312" w:eastAsia="仿宋_GB2312"/>
                <w:szCs w:val="21"/>
              </w:rPr>
              <w:t>（需提供证书原件以供查验）</w:t>
            </w:r>
          </w:p>
          <w:p>
            <w:pPr>
              <w:spacing w:line="240" w:lineRule="atLeast"/>
              <w:rPr>
                <w:rFonts w:ascii="仿宋_GB2312" w:eastAsia="仿宋_GB2312"/>
                <w:szCs w:val="21"/>
              </w:rPr>
            </w:pPr>
            <w:r>
              <w:rPr>
                <w:rFonts w:ascii="仿宋_GB2312" w:eastAsia="仿宋_GB2312"/>
                <w:szCs w:val="21"/>
              </w:rPr>
              <w:t>2</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业绩分（满分</w:t>
            </w:r>
            <w:r>
              <w:rPr>
                <w:rFonts w:ascii="仿宋_GB2312" w:eastAsia="仿宋_GB2312"/>
                <w:szCs w:val="21"/>
              </w:rPr>
              <w:t xml:space="preserve"> 2 </w:t>
            </w:r>
            <w:r>
              <w:rPr>
                <w:rFonts w:hint="eastAsia" w:ascii="仿宋_GB2312" w:eastAsia="仿宋_GB2312"/>
                <w:szCs w:val="21"/>
              </w:rPr>
              <w:t>分）：拟派项目经理具有</w:t>
            </w:r>
            <w:r>
              <w:rPr>
                <w:rFonts w:ascii="仿宋_GB2312" w:eastAsia="仿宋_GB2312"/>
                <w:szCs w:val="21"/>
              </w:rPr>
              <w:t xml:space="preserve"> 1 </w:t>
            </w:r>
            <w:r>
              <w:rPr>
                <w:rFonts w:hint="eastAsia" w:ascii="仿宋_GB2312" w:eastAsia="仿宋_GB2312"/>
                <w:szCs w:val="21"/>
              </w:rPr>
              <w:t>项类似工程业绩的得</w:t>
            </w:r>
            <w:r>
              <w:rPr>
                <w:rFonts w:ascii="仿宋_GB2312" w:eastAsia="仿宋_GB2312"/>
                <w:szCs w:val="21"/>
              </w:rPr>
              <w:t xml:space="preserve"> 1.5 </w:t>
            </w:r>
            <w:r>
              <w:rPr>
                <w:rFonts w:hint="eastAsia" w:ascii="仿宋_GB2312" w:eastAsia="仿宋_GB2312"/>
                <w:szCs w:val="21"/>
              </w:rPr>
              <w:t>分，具有</w:t>
            </w:r>
            <w:r>
              <w:rPr>
                <w:rFonts w:ascii="仿宋_GB2312" w:eastAsia="仿宋_GB2312"/>
                <w:szCs w:val="21"/>
              </w:rPr>
              <w:t xml:space="preserve"> 2 </w:t>
            </w:r>
            <w:r>
              <w:rPr>
                <w:rFonts w:hint="eastAsia" w:ascii="仿宋_GB2312" w:eastAsia="仿宋_GB2312"/>
                <w:szCs w:val="21"/>
              </w:rPr>
              <w:t>项或</w:t>
            </w:r>
            <w:r>
              <w:rPr>
                <w:rFonts w:ascii="仿宋_GB2312" w:eastAsia="仿宋_GB2312"/>
                <w:szCs w:val="21"/>
              </w:rPr>
              <w:t xml:space="preserve"> 2 </w:t>
            </w:r>
            <w:r>
              <w:rPr>
                <w:rFonts w:hint="eastAsia" w:ascii="仿宋_GB2312" w:eastAsia="仿宋_GB2312"/>
                <w:szCs w:val="21"/>
              </w:rPr>
              <w:t>项以上类似工程业绩</w:t>
            </w:r>
          </w:p>
          <w:p>
            <w:pPr>
              <w:spacing w:line="240" w:lineRule="atLeast"/>
              <w:rPr>
                <w:rFonts w:ascii="仿宋_GB2312" w:eastAsia="仿宋_GB2312"/>
                <w:color w:val="FF0000"/>
                <w:szCs w:val="21"/>
                <w:highlight w:val="yellow"/>
              </w:rPr>
            </w:pPr>
            <w:r>
              <w:rPr>
                <w:rFonts w:hint="eastAsia" w:ascii="仿宋_GB2312" w:eastAsia="仿宋_GB2312"/>
                <w:szCs w:val="21"/>
              </w:rPr>
              <w:t>得</w:t>
            </w:r>
            <w:r>
              <w:rPr>
                <w:rFonts w:ascii="仿宋_GB2312" w:eastAsia="仿宋_GB2312"/>
                <w:szCs w:val="21"/>
              </w:rPr>
              <w:t xml:space="preserve"> 2 </w:t>
            </w:r>
            <w:r>
              <w:rPr>
                <w:rFonts w:hint="eastAsia" w:ascii="仿宋_GB2312" w:eastAsia="仿宋_GB2312"/>
                <w:szCs w:val="21"/>
              </w:rPr>
              <w:t>分。（需提供合同原件和单位证明材料以供查验）</w:t>
            </w:r>
          </w:p>
        </w:tc>
        <w:tc>
          <w:tcPr>
            <w:tcW w:w="3649" w:type="dxa"/>
            <w:vAlign w:val="center"/>
          </w:tcPr>
          <w:p>
            <w:pPr>
              <w:spacing w:line="240" w:lineRule="atLeast"/>
              <w:rPr>
                <w:rFonts w:ascii="仿宋_GB2312"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45" w:type="dxa"/>
            <w:vMerge w:val="continue"/>
            <w:vAlign w:val="center"/>
          </w:tcPr>
          <w:p>
            <w:pPr>
              <w:spacing w:line="240" w:lineRule="atLeast"/>
              <w:jc w:val="center"/>
              <w:rPr>
                <w:rFonts w:ascii="仿宋_GB2312" w:eastAsia="仿宋_GB2312"/>
                <w:szCs w:val="21"/>
              </w:rPr>
            </w:pPr>
          </w:p>
        </w:tc>
        <w:tc>
          <w:tcPr>
            <w:tcW w:w="1911" w:type="dxa"/>
            <w:vAlign w:val="center"/>
          </w:tcPr>
          <w:p>
            <w:pPr>
              <w:spacing w:line="240" w:lineRule="atLeast"/>
              <w:jc w:val="center"/>
              <w:rPr>
                <w:rFonts w:ascii="仿宋_GB2312" w:eastAsia="仿宋_GB2312"/>
                <w:szCs w:val="21"/>
              </w:rPr>
            </w:pPr>
            <w:r>
              <w:rPr>
                <w:rFonts w:hint="eastAsia" w:ascii="仿宋_GB2312" w:eastAsia="仿宋_GB2312"/>
                <w:szCs w:val="21"/>
              </w:rPr>
              <w:t>项目总工程师</w:t>
            </w:r>
            <w:r>
              <w:rPr>
                <w:rFonts w:ascii="仿宋_GB2312" w:eastAsia="仿宋_GB2312"/>
                <w:szCs w:val="21"/>
              </w:rPr>
              <w:t xml:space="preserve"> </w:t>
            </w:r>
            <w:r>
              <w:rPr>
                <w:rFonts w:hint="eastAsia" w:ascii="仿宋_GB2312" w:eastAsia="仿宋_GB2312"/>
                <w:szCs w:val="21"/>
              </w:rPr>
              <w:t>（满分</w:t>
            </w:r>
            <w:r>
              <w:rPr>
                <w:rFonts w:ascii="仿宋_GB2312" w:eastAsia="仿宋_GB2312"/>
                <w:szCs w:val="21"/>
              </w:rPr>
              <w:t xml:space="preserve"> 5</w:t>
            </w:r>
            <w:r>
              <w:rPr>
                <w:rFonts w:hint="eastAsia" w:ascii="仿宋_GB2312" w:eastAsia="仿宋_GB2312"/>
                <w:szCs w:val="21"/>
              </w:rPr>
              <w:t>分）</w:t>
            </w:r>
          </w:p>
        </w:tc>
        <w:tc>
          <w:tcPr>
            <w:tcW w:w="5936" w:type="dxa"/>
            <w:vAlign w:val="center"/>
          </w:tcPr>
          <w:p>
            <w:pPr>
              <w:spacing w:line="240" w:lineRule="atLeast"/>
              <w:rPr>
                <w:rFonts w:ascii="仿宋_GB2312" w:eastAsia="仿宋_GB2312"/>
                <w:szCs w:val="21"/>
              </w:rPr>
            </w:pPr>
            <w:r>
              <w:rPr>
                <w:rFonts w:ascii="仿宋_GB2312" w:eastAsia="仿宋_GB2312"/>
                <w:szCs w:val="21"/>
              </w:rPr>
              <w:t>1</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资质分（满分</w:t>
            </w:r>
            <w:r>
              <w:rPr>
                <w:rFonts w:ascii="仿宋_GB2312" w:eastAsia="仿宋_GB2312"/>
                <w:szCs w:val="21"/>
              </w:rPr>
              <w:t xml:space="preserve"> 5</w:t>
            </w:r>
            <w:r>
              <w:rPr>
                <w:rFonts w:hint="eastAsia" w:ascii="仿宋_GB2312" w:eastAsia="仿宋_GB2312"/>
                <w:szCs w:val="21"/>
              </w:rPr>
              <w:t>分）：拟派项目总工程师学历为本科及以上得</w:t>
            </w:r>
            <w:r>
              <w:rPr>
                <w:rFonts w:ascii="仿宋_GB2312" w:eastAsia="仿宋_GB2312"/>
                <w:szCs w:val="21"/>
              </w:rPr>
              <w:t xml:space="preserve"> 2</w:t>
            </w:r>
            <w:r>
              <w:rPr>
                <w:rFonts w:hint="eastAsia" w:ascii="仿宋_GB2312" w:eastAsia="仿宋_GB2312"/>
                <w:szCs w:val="21"/>
              </w:rPr>
              <w:t>分，专业为工程类相关专业，具有高级及以上职称的得</w:t>
            </w:r>
            <w:r>
              <w:rPr>
                <w:rFonts w:ascii="仿宋_GB2312" w:eastAsia="仿宋_GB2312"/>
                <w:szCs w:val="21"/>
              </w:rPr>
              <w:t xml:space="preserve">3 </w:t>
            </w:r>
            <w:r>
              <w:rPr>
                <w:rFonts w:hint="eastAsia" w:ascii="仿宋_GB2312" w:eastAsia="仿宋_GB2312"/>
                <w:szCs w:val="21"/>
              </w:rPr>
              <w:t>分；未能同时满足上述资质要求的由专家根据情况打分。（需提供证书原件以待查验）</w:t>
            </w:r>
          </w:p>
        </w:tc>
        <w:tc>
          <w:tcPr>
            <w:tcW w:w="3649"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45" w:type="dxa"/>
            <w:vMerge w:val="continue"/>
            <w:vAlign w:val="center"/>
          </w:tcPr>
          <w:p>
            <w:pPr>
              <w:spacing w:line="240" w:lineRule="atLeast"/>
              <w:jc w:val="center"/>
              <w:rPr>
                <w:rFonts w:ascii="仿宋_GB2312" w:eastAsia="仿宋_GB2312"/>
                <w:szCs w:val="21"/>
              </w:rPr>
            </w:pPr>
          </w:p>
        </w:tc>
        <w:tc>
          <w:tcPr>
            <w:tcW w:w="1911" w:type="dxa"/>
            <w:vAlign w:val="center"/>
          </w:tcPr>
          <w:p>
            <w:pPr>
              <w:spacing w:line="240" w:lineRule="atLeast"/>
              <w:jc w:val="center"/>
              <w:rPr>
                <w:rFonts w:ascii="仿宋_GB2312" w:eastAsia="仿宋_GB2312"/>
                <w:szCs w:val="21"/>
              </w:rPr>
            </w:pPr>
            <w:r>
              <w:rPr>
                <w:rFonts w:hint="eastAsia" w:ascii="仿宋_GB2312" w:eastAsia="仿宋_GB2312"/>
                <w:szCs w:val="21"/>
              </w:rPr>
              <w:t>建设及运营期</w:t>
            </w:r>
            <w:r>
              <w:rPr>
                <w:rFonts w:ascii="仿宋_GB2312" w:eastAsia="仿宋_GB2312"/>
                <w:szCs w:val="21"/>
              </w:rPr>
              <w:t xml:space="preserve"> </w:t>
            </w:r>
            <w:r>
              <w:rPr>
                <w:rFonts w:hint="eastAsia" w:ascii="仿宋_GB2312" w:eastAsia="仿宋_GB2312"/>
                <w:szCs w:val="21"/>
              </w:rPr>
              <w:t>其他主要人员</w:t>
            </w:r>
            <w:r>
              <w:rPr>
                <w:rFonts w:ascii="仿宋_GB2312" w:eastAsia="仿宋_GB2312"/>
                <w:szCs w:val="21"/>
              </w:rPr>
              <w:t xml:space="preserve"> </w:t>
            </w:r>
            <w:r>
              <w:rPr>
                <w:rFonts w:hint="eastAsia" w:ascii="仿宋_GB2312" w:eastAsia="仿宋_GB2312"/>
                <w:szCs w:val="21"/>
              </w:rPr>
              <w:t>配备方案</w:t>
            </w:r>
            <w:r>
              <w:rPr>
                <w:rFonts w:ascii="仿宋_GB2312" w:eastAsia="仿宋_GB2312"/>
                <w:szCs w:val="21"/>
              </w:rPr>
              <w:t xml:space="preserve"> </w:t>
            </w:r>
            <w:r>
              <w:rPr>
                <w:rFonts w:hint="eastAsia" w:ascii="仿宋_GB2312" w:eastAsia="仿宋_GB2312"/>
                <w:szCs w:val="21"/>
              </w:rPr>
              <w:t>（满分</w:t>
            </w:r>
            <w:r>
              <w:rPr>
                <w:rFonts w:ascii="仿宋_GB2312" w:eastAsia="仿宋_GB2312"/>
                <w:szCs w:val="21"/>
              </w:rPr>
              <w:t xml:space="preserve"> 2 </w:t>
            </w:r>
            <w:r>
              <w:rPr>
                <w:rFonts w:hint="eastAsia" w:ascii="仿宋_GB2312" w:eastAsia="仿宋_GB2312"/>
                <w:szCs w:val="21"/>
              </w:rPr>
              <w:t>分）</w:t>
            </w:r>
          </w:p>
        </w:tc>
        <w:tc>
          <w:tcPr>
            <w:tcW w:w="5936" w:type="dxa"/>
            <w:vAlign w:val="center"/>
          </w:tcPr>
          <w:p>
            <w:pPr>
              <w:spacing w:line="240" w:lineRule="atLeast"/>
              <w:rPr>
                <w:rFonts w:ascii="仿宋_GB2312" w:eastAsia="仿宋_GB2312"/>
                <w:szCs w:val="21"/>
              </w:rPr>
            </w:pPr>
            <w:r>
              <w:rPr>
                <w:rFonts w:ascii="仿宋_GB2312" w:eastAsia="仿宋_GB2312"/>
                <w:szCs w:val="21"/>
              </w:rPr>
              <w:t>1</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其他主要人员设置方案：施工、财务等方面人员在专业、经验等方面搭配。投资人应具备施工建设必备人员，项目公司应具备中级会计师，财务人员应具备中级以上职称等。专家根据方案的合理性打分，其中【优】：</w:t>
            </w:r>
          </w:p>
          <w:p>
            <w:pPr>
              <w:spacing w:line="240" w:lineRule="atLeast"/>
              <w:rPr>
                <w:rFonts w:ascii="仿宋_GB2312" w:eastAsia="仿宋_GB2312"/>
                <w:szCs w:val="21"/>
              </w:rPr>
            </w:pPr>
            <w:r>
              <w:rPr>
                <w:rFonts w:ascii="仿宋_GB2312" w:eastAsia="仿宋_GB2312"/>
                <w:szCs w:val="21"/>
              </w:rPr>
              <w:t>1.5</w:t>
            </w:r>
            <w:r>
              <w:rPr>
                <w:rFonts w:hint="eastAsia" w:ascii="仿宋_GB2312" w:eastAsia="仿宋_GB2312"/>
                <w:szCs w:val="21"/>
              </w:rPr>
              <w:t>～</w:t>
            </w:r>
            <w:r>
              <w:rPr>
                <w:rFonts w:ascii="仿宋_GB2312" w:eastAsia="仿宋_GB2312"/>
                <w:szCs w:val="21"/>
              </w:rPr>
              <w:t xml:space="preserve">2 </w:t>
            </w:r>
            <w:r>
              <w:rPr>
                <w:rFonts w:hint="eastAsia" w:ascii="仿宋_GB2312" w:eastAsia="仿宋_GB2312"/>
                <w:szCs w:val="21"/>
              </w:rPr>
              <w:t>分；【良】：</w:t>
            </w:r>
            <w:r>
              <w:rPr>
                <w:rFonts w:ascii="仿宋_GB2312" w:eastAsia="仿宋_GB2312"/>
                <w:szCs w:val="21"/>
              </w:rPr>
              <w:t>1.0</w:t>
            </w:r>
            <w:r>
              <w:rPr>
                <w:rFonts w:hint="eastAsia" w:ascii="仿宋_GB2312" w:eastAsia="仿宋_GB2312"/>
                <w:szCs w:val="21"/>
              </w:rPr>
              <w:t>～</w:t>
            </w:r>
            <w:r>
              <w:rPr>
                <w:rFonts w:ascii="仿宋_GB2312" w:eastAsia="仿宋_GB2312"/>
                <w:szCs w:val="21"/>
              </w:rPr>
              <w:t xml:space="preserve">1.5 </w:t>
            </w:r>
            <w:r>
              <w:rPr>
                <w:rFonts w:hint="eastAsia" w:ascii="仿宋_GB2312" w:eastAsia="仿宋_GB2312"/>
                <w:szCs w:val="21"/>
              </w:rPr>
              <w:t>分；【一般】：</w:t>
            </w:r>
            <w:r>
              <w:rPr>
                <w:rFonts w:ascii="仿宋_GB2312" w:eastAsia="仿宋_GB2312"/>
                <w:szCs w:val="21"/>
              </w:rPr>
              <w:t>0.5</w:t>
            </w:r>
            <w:r>
              <w:rPr>
                <w:rFonts w:hint="eastAsia" w:ascii="仿宋_GB2312" w:eastAsia="仿宋_GB2312"/>
                <w:szCs w:val="21"/>
              </w:rPr>
              <w:t>～</w:t>
            </w:r>
            <w:r>
              <w:rPr>
                <w:rFonts w:ascii="仿宋_GB2312" w:eastAsia="仿宋_GB2312"/>
                <w:szCs w:val="21"/>
              </w:rPr>
              <w:t xml:space="preserve">1.0 </w:t>
            </w:r>
            <w:r>
              <w:rPr>
                <w:rFonts w:hint="eastAsia" w:ascii="仿宋_GB2312" w:eastAsia="仿宋_GB2312"/>
                <w:szCs w:val="21"/>
              </w:rPr>
              <w:t>分；【差】：</w:t>
            </w:r>
            <w:r>
              <w:rPr>
                <w:rFonts w:ascii="仿宋_GB2312" w:eastAsia="仿宋_GB2312"/>
                <w:szCs w:val="21"/>
              </w:rPr>
              <w:t>0</w:t>
            </w:r>
            <w:r>
              <w:rPr>
                <w:rFonts w:hint="eastAsia" w:ascii="仿宋_GB2312" w:eastAsia="仿宋_GB2312"/>
                <w:szCs w:val="21"/>
              </w:rPr>
              <w:t>～</w:t>
            </w:r>
            <w:r>
              <w:rPr>
                <w:rFonts w:ascii="仿宋_GB2312" w:eastAsia="仿宋_GB2312"/>
                <w:szCs w:val="21"/>
              </w:rPr>
              <w:t xml:space="preserve">0.5 </w:t>
            </w:r>
            <w:r>
              <w:rPr>
                <w:rFonts w:hint="eastAsia" w:ascii="仿宋_GB2312" w:eastAsia="仿宋_GB2312"/>
                <w:szCs w:val="21"/>
              </w:rPr>
              <w:t>分。（需提供专业人员证书原件以待查验）</w:t>
            </w:r>
          </w:p>
        </w:tc>
        <w:tc>
          <w:tcPr>
            <w:tcW w:w="3649"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645" w:type="dxa"/>
            <w:vMerge w:val="continue"/>
            <w:vAlign w:val="center"/>
          </w:tcPr>
          <w:p>
            <w:pPr>
              <w:spacing w:line="240" w:lineRule="atLeast"/>
              <w:jc w:val="center"/>
              <w:rPr>
                <w:rFonts w:ascii="仿宋_GB2312" w:eastAsia="仿宋_GB2312"/>
                <w:szCs w:val="21"/>
              </w:rPr>
            </w:pPr>
          </w:p>
        </w:tc>
        <w:tc>
          <w:tcPr>
            <w:tcW w:w="1911" w:type="dxa"/>
            <w:vAlign w:val="center"/>
          </w:tcPr>
          <w:p>
            <w:pPr>
              <w:spacing w:line="240" w:lineRule="atLeast"/>
              <w:jc w:val="center"/>
              <w:rPr>
                <w:rFonts w:ascii="仿宋_GB2312" w:eastAsia="仿宋_GB2312"/>
                <w:szCs w:val="21"/>
              </w:rPr>
            </w:pPr>
            <w:r>
              <w:rPr>
                <w:rFonts w:hint="eastAsia" w:ascii="仿宋_GB2312" w:eastAsia="仿宋_GB2312"/>
                <w:szCs w:val="21"/>
              </w:rPr>
              <w:t>投标人经验和业绩</w:t>
            </w:r>
          </w:p>
          <w:p>
            <w:pPr>
              <w:spacing w:line="240" w:lineRule="atLeast"/>
              <w:jc w:val="center"/>
              <w:rPr>
                <w:rFonts w:ascii="仿宋_GB2312" w:eastAsia="仿宋_GB2312"/>
                <w:szCs w:val="21"/>
              </w:rPr>
            </w:pPr>
            <w:r>
              <w:rPr>
                <w:rFonts w:hint="eastAsia" w:ascii="仿宋_GB2312" w:eastAsia="仿宋_GB2312"/>
                <w:szCs w:val="21"/>
              </w:rPr>
              <w:t>（</w:t>
            </w:r>
            <w:r>
              <w:rPr>
                <w:rFonts w:ascii="仿宋_GB2312" w:eastAsia="仿宋_GB2312"/>
                <w:szCs w:val="21"/>
              </w:rPr>
              <w:t>8</w:t>
            </w:r>
            <w:r>
              <w:rPr>
                <w:rFonts w:hint="eastAsia" w:ascii="仿宋_GB2312" w:eastAsia="仿宋_GB2312"/>
                <w:szCs w:val="21"/>
              </w:rPr>
              <w:t>分）</w:t>
            </w:r>
          </w:p>
        </w:tc>
        <w:tc>
          <w:tcPr>
            <w:tcW w:w="5936" w:type="dxa"/>
            <w:vAlign w:val="center"/>
          </w:tcPr>
          <w:p>
            <w:pPr>
              <w:spacing w:line="240" w:lineRule="atLeast"/>
              <w:rPr>
                <w:rFonts w:ascii="仿宋_GB2312" w:eastAsia="仿宋_GB2312"/>
                <w:szCs w:val="21"/>
              </w:rPr>
            </w:pPr>
            <w:r>
              <w:rPr>
                <w:rFonts w:ascii="仿宋_GB2312" w:eastAsia="仿宋_GB2312"/>
                <w:szCs w:val="21"/>
              </w:rPr>
              <w:t>1</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符合性基础分（满分</w:t>
            </w:r>
            <w:r>
              <w:rPr>
                <w:rFonts w:ascii="仿宋_GB2312" w:eastAsia="仿宋_GB2312"/>
                <w:szCs w:val="21"/>
              </w:rPr>
              <w:t xml:space="preserve"> 2 </w:t>
            </w:r>
            <w:r>
              <w:rPr>
                <w:rFonts w:hint="eastAsia" w:ascii="仿宋_GB2312" w:eastAsia="仿宋_GB2312"/>
                <w:szCs w:val="21"/>
              </w:rPr>
              <w:t>分）：</w:t>
            </w:r>
            <w:r>
              <w:rPr>
                <w:rFonts w:ascii="仿宋_GB2312" w:eastAsia="仿宋_GB2312"/>
                <w:szCs w:val="21"/>
              </w:rPr>
              <w:t xml:space="preserve"> </w:t>
            </w:r>
            <w:r>
              <w:rPr>
                <w:rFonts w:hint="eastAsia" w:ascii="仿宋_GB2312" w:eastAsia="仿宋_GB2312"/>
                <w:szCs w:val="21"/>
              </w:rPr>
              <w:t>提供的业绩中有</w:t>
            </w:r>
            <w:r>
              <w:rPr>
                <w:rFonts w:ascii="仿宋_GB2312" w:eastAsia="仿宋_GB2312"/>
                <w:szCs w:val="21"/>
              </w:rPr>
              <w:t xml:space="preserve"> 1 </w:t>
            </w:r>
            <w:r>
              <w:rPr>
                <w:rFonts w:hint="eastAsia" w:ascii="仿宋_GB2312" w:eastAsia="仿宋_GB2312"/>
                <w:szCs w:val="21"/>
              </w:rPr>
              <w:t>个在</w:t>
            </w:r>
            <w:r>
              <w:rPr>
                <w:rFonts w:ascii="仿宋_GB2312" w:eastAsia="仿宋_GB2312"/>
                <w:szCs w:val="21"/>
              </w:rPr>
              <w:t xml:space="preserve"> 2013 </w:t>
            </w:r>
            <w:r>
              <w:rPr>
                <w:rFonts w:hint="eastAsia" w:ascii="仿宋_GB2312" w:eastAsia="仿宋_GB2312"/>
                <w:szCs w:val="21"/>
              </w:rPr>
              <w:t>年</w:t>
            </w:r>
            <w:r>
              <w:rPr>
                <w:rFonts w:ascii="仿宋_GB2312" w:eastAsia="仿宋_GB2312"/>
                <w:szCs w:val="21"/>
              </w:rPr>
              <w:t xml:space="preserve"> 1 </w:t>
            </w:r>
            <w:r>
              <w:rPr>
                <w:rFonts w:hint="eastAsia" w:ascii="仿宋_GB2312" w:eastAsia="仿宋_GB2312"/>
                <w:szCs w:val="21"/>
              </w:rPr>
              <w:t>月</w:t>
            </w:r>
            <w:r>
              <w:rPr>
                <w:rFonts w:ascii="仿宋_GB2312" w:eastAsia="仿宋_GB2312"/>
                <w:szCs w:val="21"/>
              </w:rPr>
              <w:t xml:space="preserve"> 1 </w:t>
            </w:r>
            <w:r>
              <w:rPr>
                <w:rFonts w:hint="eastAsia" w:ascii="仿宋_GB2312" w:eastAsia="仿宋_GB2312"/>
                <w:szCs w:val="21"/>
              </w:rPr>
              <w:t>日以来合同金额在</w:t>
            </w:r>
            <w:r>
              <w:rPr>
                <w:rFonts w:ascii="仿宋_GB2312" w:eastAsia="仿宋_GB2312"/>
                <w:szCs w:val="21"/>
              </w:rPr>
              <w:t xml:space="preserve"> </w:t>
            </w:r>
            <w:r>
              <w:rPr>
                <w:rFonts w:hint="eastAsia" w:ascii="仿宋_GB2312" w:eastAsia="仿宋_GB2312"/>
                <w:szCs w:val="21"/>
              </w:rPr>
              <w:t>3</w:t>
            </w:r>
            <w:r>
              <w:rPr>
                <w:rFonts w:ascii="仿宋_GB2312" w:eastAsia="仿宋_GB2312"/>
                <w:szCs w:val="21"/>
              </w:rPr>
              <w:t xml:space="preserve">000 </w:t>
            </w:r>
            <w:r>
              <w:rPr>
                <w:rFonts w:hint="eastAsia" w:ascii="仿宋_GB2312" w:eastAsia="仿宋_GB2312"/>
                <w:szCs w:val="21"/>
              </w:rPr>
              <w:t>万元以上的投资、建设类似项目，得基础分</w:t>
            </w:r>
            <w:r>
              <w:rPr>
                <w:rFonts w:ascii="仿宋_GB2312" w:eastAsia="仿宋_GB2312"/>
                <w:szCs w:val="21"/>
              </w:rPr>
              <w:t xml:space="preserve"> 2 </w:t>
            </w:r>
            <w:r>
              <w:rPr>
                <w:rFonts w:hint="eastAsia" w:ascii="仿宋_GB2312" w:eastAsia="仿宋_GB2312"/>
                <w:szCs w:val="21"/>
              </w:rPr>
              <w:t>分。</w:t>
            </w:r>
            <w:r>
              <w:rPr>
                <w:rFonts w:ascii="仿宋_GB2312" w:eastAsia="仿宋_GB2312"/>
                <w:szCs w:val="21"/>
              </w:rPr>
              <w:t xml:space="preserve"> 2</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加分项：</w:t>
            </w:r>
            <w:r>
              <w:rPr>
                <w:rFonts w:ascii="仿宋_GB2312" w:eastAsia="仿宋_GB2312"/>
                <w:szCs w:val="21"/>
              </w:rPr>
              <w:t xml:space="preserve"> 1) </w:t>
            </w:r>
            <w:r>
              <w:rPr>
                <w:rFonts w:hint="eastAsia" w:ascii="仿宋_GB2312" w:eastAsia="仿宋_GB2312"/>
                <w:szCs w:val="21"/>
              </w:rPr>
              <w:t>投标人近三年承担过</w:t>
            </w:r>
            <w:r>
              <w:rPr>
                <w:rFonts w:ascii="仿宋_GB2312" w:eastAsia="仿宋_GB2312"/>
                <w:szCs w:val="21"/>
              </w:rPr>
              <w:t xml:space="preserve"> 1 </w:t>
            </w:r>
            <w:r>
              <w:rPr>
                <w:rFonts w:hint="eastAsia" w:ascii="仿宋_GB2312" w:eastAsia="仿宋_GB2312"/>
                <w:szCs w:val="21"/>
              </w:rPr>
              <w:t>项及以上总投资在</w:t>
            </w:r>
            <w:r>
              <w:rPr>
                <w:rFonts w:ascii="仿宋_GB2312" w:eastAsia="仿宋_GB2312"/>
                <w:szCs w:val="21"/>
              </w:rPr>
              <w:t xml:space="preserve"> </w:t>
            </w:r>
            <w:r>
              <w:rPr>
                <w:rFonts w:hint="eastAsia" w:ascii="仿宋_GB2312" w:eastAsia="仿宋_GB2312"/>
                <w:szCs w:val="21"/>
              </w:rPr>
              <w:t>1</w:t>
            </w:r>
            <w:r>
              <w:rPr>
                <w:rFonts w:ascii="仿宋_GB2312" w:eastAsia="仿宋_GB2312"/>
                <w:szCs w:val="21"/>
              </w:rPr>
              <w:t xml:space="preserve">0000 </w:t>
            </w:r>
            <w:r>
              <w:rPr>
                <w:rFonts w:hint="eastAsia" w:ascii="仿宋_GB2312" w:eastAsia="仿宋_GB2312"/>
                <w:szCs w:val="21"/>
              </w:rPr>
              <w:t>万元以上的类似项目的投资建设业绩得</w:t>
            </w:r>
            <w:r>
              <w:rPr>
                <w:rFonts w:ascii="仿宋_GB2312" w:eastAsia="仿宋_GB2312"/>
                <w:szCs w:val="21"/>
              </w:rPr>
              <w:t xml:space="preserve"> 5 </w:t>
            </w:r>
            <w:r>
              <w:rPr>
                <w:rFonts w:hint="eastAsia" w:ascii="仿宋_GB2312" w:eastAsia="仿宋_GB2312"/>
                <w:szCs w:val="21"/>
              </w:rPr>
              <w:t>分；</w:t>
            </w:r>
            <w:r>
              <w:rPr>
                <w:rFonts w:ascii="仿宋_GB2312" w:eastAsia="仿宋_GB2312"/>
                <w:szCs w:val="21"/>
              </w:rPr>
              <w:t xml:space="preserve"> 2) </w:t>
            </w:r>
            <w:r>
              <w:rPr>
                <w:rFonts w:hint="eastAsia" w:ascii="仿宋_GB2312" w:eastAsia="仿宋_GB2312"/>
                <w:szCs w:val="21"/>
              </w:rPr>
              <w:t>投标人近三年承担过</w:t>
            </w:r>
            <w:r>
              <w:rPr>
                <w:rFonts w:ascii="仿宋_GB2312" w:eastAsia="仿宋_GB2312"/>
                <w:szCs w:val="21"/>
              </w:rPr>
              <w:t xml:space="preserve"> 2 </w:t>
            </w:r>
            <w:r>
              <w:rPr>
                <w:rFonts w:hint="eastAsia" w:ascii="仿宋_GB2312" w:eastAsia="仿宋_GB2312"/>
                <w:szCs w:val="21"/>
              </w:rPr>
              <w:t>项总投资在</w:t>
            </w:r>
            <w:r>
              <w:rPr>
                <w:rFonts w:ascii="仿宋_GB2312" w:eastAsia="仿宋_GB2312"/>
                <w:szCs w:val="21"/>
              </w:rPr>
              <w:t xml:space="preserve"> </w:t>
            </w:r>
            <w:r>
              <w:rPr>
                <w:rFonts w:hint="eastAsia" w:ascii="仿宋_GB2312" w:eastAsia="仿宋_GB2312"/>
                <w:szCs w:val="21"/>
              </w:rPr>
              <w:t>1</w:t>
            </w:r>
            <w:r>
              <w:rPr>
                <w:rFonts w:ascii="仿宋_GB2312" w:eastAsia="仿宋_GB2312"/>
                <w:szCs w:val="21"/>
              </w:rPr>
              <w:t xml:space="preserve">0000 </w:t>
            </w:r>
            <w:r>
              <w:rPr>
                <w:rFonts w:hint="eastAsia" w:ascii="仿宋_GB2312" w:eastAsia="仿宋_GB2312"/>
                <w:szCs w:val="21"/>
              </w:rPr>
              <w:t>万元以上的类似项目的投资建设业绩得</w:t>
            </w:r>
            <w:r>
              <w:rPr>
                <w:rFonts w:ascii="仿宋_GB2312" w:eastAsia="仿宋_GB2312"/>
                <w:szCs w:val="21"/>
              </w:rPr>
              <w:t xml:space="preserve"> 3 </w:t>
            </w:r>
            <w:r>
              <w:rPr>
                <w:rFonts w:hint="eastAsia" w:ascii="仿宋_GB2312" w:eastAsia="仿宋_GB2312"/>
                <w:szCs w:val="21"/>
              </w:rPr>
              <w:t>分；</w:t>
            </w:r>
            <w:r>
              <w:rPr>
                <w:rFonts w:ascii="仿宋_GB2312" w:eastAsia="仿宋_GB2312"/>
                <w:szCs w:val="21"/>
              </w:rPr>
              <w:t xml:space="preserve"> 3) </w:t>
            </w:r>
            <w:r>
              <w:rPr>
                <w:rFonts w:hint="eastAsia" w:ascii="仿宋_GB2312" w:eastAsia="仿宋_GB2312"/>
                <w:szCs w:val="21"/>
              </w:rPr>
              <w:t>投标人近三年承担过</w:t>
            </w:r>
            <w:r>
              <w:rPr>
                <w:rFonts w:ascii="仿宋_GB2312" w:eastAsia="仿宋_GB2312"/>
                <w:szCs w:val="21"/>
              </w:rPr>
              <w:t xml:space="preserve"> 1 </w:t>
            </w:r>
            <w:r>
              <w:rPr>
                <w:rFonts w:hint="eastAsia" w:ascii="仿宋_GB2312" w:eastAsia="仿宋_GB2312"/>
                <w:szCs w:val="21"/>
              </w:rPr>
              <w:t>项总投资在</w:t>
            </w:r>
            <w:r>
              <w:rPr>
                <w:rFonts w:ascii="仿宋_GB2312" w:eastAsia="仿宋_GB2312"/>
                <w:szCs w:val="21"/>
              </w:rPr>
              <w:t xml:space="preserve"> </w:t>
            </w:r>
            <w:r>
              <w:rPr>
                <w:rFonts w:hint="eastAsia" w:ascii="仿宋_GB2312" w:eastAsia="仿宋_GB2312"/>
                <w:szCs w:val="21"/>
              </w:rPr>
              <w:t>1</w:t>
            </w:r>
            <w:r>
              <w:rPr>
                <w:rFonts w:ascii="仿宋_GB2312" w:eastAsia="仿宋_GB2312"/>
                <w:szCs w:val="21"/>
              </w:rPr>
              <w:t xml:space="preserve">0000 </w:t>
            </w:r>
            <w:r>
              <w:rPr>
                <w:rFonts w:hint="eastAsia" w:ascii="仿宋_GB2312" w:eastAsia="仿宋_GB2312"/>
                <w:szCs w:val="21"/>
              </w:rPr>
              <w:t>万元以上的类似项目投资建设业绩得</w:t>
            </w:r>
            <w:r>
              <w:rPr>
                <w:rFonts w:ascii="仿宋_GB2312" w:eastAsia="仿宋_GB2312"/>
                <w:szCs w:val="21"/>
              </w:rPr>
              <w:t xml:space="preserve"> 1 </w:t>
            </w:r>
            <w:r>
              <w:rPr>
                <w:rFonts w:hint="eastAsia" w:ascii="仿宋_GB2312" w:eastAsia="仿宋_GB2312"/>
                <w:szCs w:val="21"/>
              </w:rPr>
              <w:t>分。</w:t>
            </w:r>
            <w:r>
              <w:rPr>
                <w:rFonts w:ascii="仿宋_GB2312" w:eastAsia="仿宋_GB2312"/>
                <w:szCs w:val="21"/>
              </w:rPr>
              <w:t xml:space="preserve"> 3</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加分项：第三方对同类项目的评价以及信誉等进行分析、比较，专家根据相关评价优劣程度酌情打分，</w:t>
            </w:r>
            <w:r>
              <w:rPr>
                <w:rFonts w:ascii="仿宋_GB2312" w:eastAsia="仿宋_GB2312"/>
                <w:szCs w:val="21"/>
              </w:rPr>
              <w:t xml:space="preserve">0-2 </w:t>
            </w:r>
            <w:r>
              <w:rPr>
                <w:rFonts w:hint="eastAsia" w:ascii="仿宋_GB2312" w:eastAsia="仿宋_GB2312"/>
                <w:szCs w:val="21"/>
              </w:rPr>
              <w:t>分。</w:t>
            </w:r>
            <w:r>
              <w:rPr>
                <w:rFonts w:ascii="仿宋_GB2312" w:eastAsia="仿宋_GB2312"/>
                <w:szCs w:val="21"/>
              </w:rPr>
              <w:t xml:space="preserve"> 4</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加分项：承担过</w:t>
            </w:r>
            <w:r>
              <w:rPr>
                <w:rFonts w:ascii="仿宋_GB2312" w:eastAsia="仿宋_GB2312"/>
                <w:szCs w:val="21"/>
              </w:rPr>
              <w:t xml:space="preserve"> PPP </w:t>
            </w:r>
            <w:r>
              <w:rPr>
                <w:rFonts w:hint="eastAsia" w:ascii="仿宋_GB2312" w:eastAsia="仿宋_GB2312"/>
                <w:szCs w:val="21"/>
              </w:rPr>
              <w:t>项目的加</w:t>
            </w:r>
            <w:r>
              <w:rPr>
                <w:rFonts w:ascii="仿宋_GB2312" w:eastAsia="仿宋_GB2312"/>
                <w:szCs w:val="21"/>
              </w:rPr>
              <w:t xml:space="preserve"> 2 </w:t>
            </w:r>
            <w:r>
              <w:rPr>
                <w:rFonts w:hint="eastAsia" w:ascii="仿宋_GB2312" w:eastAsia="仿宋_GB2312"/>
                <w:szCs w:val="21"/>
              </w:rPr>
              <w:t>分。</w:t>
            </w:r>
            <w:r>
              <w:rPr>
                <w:rFonts w:ascii="仿宋_GB2312" w:eastAsia="仿宋_GB2312"/>
                <w:szCs w:val="21"/>
              </w:rPr>
              <w:t xml:space="preserve"> 5</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加分项：投资人能够自行开展运营维护，有专业的符合资质要求的运营维护管理公司，加</w:t>
            </w:r>
            <w:r>
              <w:rPr>
                <w:rFonts w:ascii="仿宋_GB2312" w:eastAsia="仿宋_GB2312"/>
                <w:szCs w:val="21"/>
              </w:rPr>
              <w:t xml:space="preserve"> 1 </w:t>
            </w:r>
            <w:r>
              <w:rPr>
                <w:rFonts w:hint="eastAsia" w:ascii="仿宋_GB2312" w:eastAsia="仿宋_GB2312"/>
                <w:szCs w:val="21"/>
              </w:rPr>
              <w:t>分。</w:t>
            </w:r>
            <w:r>
              <w:rPr>
                <w:rFonts w:ascii="仿宋_GB2312" w:eastAsia="仿宋_GB2312"/>
                <w:szCs w:val="21"/>
              </w:rPr>
              <w:t xml:space="preserve"> </w:t>
            </w:r>
            <w:r>
              <w:rPr>
                <w:rFonts w:hint="eastAsia" w:ascii="仿宋_GB2312" w:eastAsia="仿宋_GB2312"/>
                <w:szCs w:val="21"/>
              </w:rPr>
              <w:t>（需提供营</w:t>
            </w:r>
            <w:r>
              <w:rPr>
                <w:rFonts w:ascii="仿宋_GB2312" w:eastAsia="仿宋_GB2312"/>
                <w:szCs w:val="21"/>
              </w:rPr>
              <w:t xml:space="preserve"> </w:t>
            </w:r>
            <w:r>
              <w:rPr>
                <w:rFonts w:hint="eastAsia" w:ascii="仿宋_GB2312" w:eastAsia="仿宋_GB2312"/>
                <w:szCs w:val="21"/>
              </w:rPr>
              <w:t>业执照证明材料）</w:t>
            </w:r>
            <w:r>
              <w:rPr>
                <w:rFonts w:ascii="仿宋_GB2312" w:eastAsia="仿宋_GB2312"/>
                <w:szCs w:val="21"/>
              </w:rPr>
              <w:t xml:space="preserve"> 6</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本项目满分为</w:t>
            </w:r>
            <w:r>
              <w:rPr>
                <w:rFonts w:ascii="仿宋_GB2312" w:eastAsia="仿宋_GB2312"/>
                <w:szCs w:val="21"/>
              </w:rPr>
              <w:t xml:space="preserve"> 7 </w:t>
            </w:r>
            <w:r>
              <w:rPr>
                <w:rFonts w:hint="eastAsia" w:ascii="仿宋_GB2312" w:eastAsia="仿宋_GB2312"/>
                <w:szCs w:val="21"/>
              </w:rPr>
              <w:t>分，加分后满分不得超过</w:t>
            </w:r>
            <w:r>
              <w:rPr>
                <w:rFonts w:ascii="仿宋_GB2312" w:eastAsia="仿宋_GB2312"/>
                <w:szCs w:val="21"/>
              </w:rPr>
              <w:t xml:space="preserve"> 7 </w:t>
            </w:r>
            <w:r>
              <w:rPr>
                <w:rFonts w:hint="eastAsia" w:ascii="仿宋_GB2312" w:eastAsia="仿宋_GB2312"/>
                <w:szCs w:val="21"/>
              </w:rPr>
              <w:t>分。本项得分及加分项需提供业绩合同证明原件。</w:t>
            </w:r>
          </w:p>
        </w:tc>
        <w:tc>
          <w:tcPr>
            <w:tcW w:w="3649" w:type="dxa"/>
            <w:vAlign w:val="center"/>
          </w:tcPr>
          <w:p>
            <w:pPr>
              <w:spacing w:line="240" w:lineRule="atLeast"/>
              <w:rPr>
                <w:rFonts w:ascii="仿宋_GB2312" w:eastAsia="仿宋_GB2312"/>
                <w:szCs w:val="21"/>
              </w:rPr>
            </w:pPr>
            <w:r>
              <w:rPr>
                <w:rFonts w:hint="eastAsia" w:ascii="仿宋_GB2312" w:eastAsia="仿宋_GB2312"/>
                <w:szCs w:val="21"/>
              </w:rPr>
              <w:t>业绩证明材料以合同签订时间为准</w:t>
            </w:r>
          </w:p>
        </w:tc>
      </w:tr>
    </w:tbl>
    <w:p>
      <w:pPr>
        <w:rPr>
          <w:rFonts w:ascii="仿宋_GB2312" w:eastAsia="仿宋_GB2312"/>
        </w:rPr>
      </w:pPr>
    </w:p>
    <w:p>
      <w:pPr>
        <w:rPr>
          <w:rFonts w:ascii="仿宋_GB2312" w:eastAsia="仿宋_GB2312"/>
        </w:rPr>
      </w:pPr>
      <w:r>
        <w:rPr>
          <w:rFonts w:ascii="仿宋_GB2312" w:eastAsia="仿宋_GB2312"/>
        </w:rPr>
        <w:br w:type="page"/>
      </w:r>
    </w:p>
    <w:tbl>
      <w:tblPr>
        <w:tblStyle w:val="45"/>
        <w:tblW w:w="1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2848"/>
        <w:gridCol w:w="8693"/>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5" w:type="dxa"/>
            <w:vAlign w:val="center"/>
          </w:tcPr>
          <w:p>
            <w:pPr>
              <w:spacing w:line="240" w:lineRule="atLeast"/>
              <w:jc w:val="center"/>
              <w:rPr>
                <w:rFonts w:ascii="仿宋_GB2312" w:eastAsia="仿宋_GB2312"/>
                <w:szCs w:val="21"/>
              </w:rPr>
            </w:pPr>
            <w:r>
              <w:rPr>
                <w:rFonts w:hint="eastAsia" w:ascii="仿宋_GB2312" w:eastAsia="仿宋_GB2312"/>
                <w:b/>
                <w:szCs w:val="21"/>
              </w:rPr>
              <w:t>投标文件组成</w:t>
            </w:r>
          </w:p>
        </w:tc>
        <w:tc>
          <w:tcPr>
            <w:tcW w:w="2848" w:type="dxa"/>
            <w:vAlign w:val="center"/>
          </w:tcPr>
          <w:p>
            <w:pPr>
              <w:spacing w:line="240" w:lineRule="atLeast"/>
              <w:jc w:val="center"/>
              <w:rPr>
                <w:rFonts w:ascii="仿宋_GB2312" w:eastAsia="仿宋_GB2312"/>
                <w:szCs w:val="21"/>
              </w:rPr>
            </w:pPr>
            <w:r>
              <w:rPr>
                <w:rFonts w:hint="eastAsia" w:ascii="仿宋_GB2312" w:eastAsia="仿宋_GB2312"/>
                <w:b/>
                <w:szCs w:val="21"/>
              </w:rPr>
              <w:t>评审因素</w:t>
            </w:r>
          </w:p>
        </w:tc>
        <w:tc>
          <w:tcPr>
            <w:tcW w:w="8693" w:type="dxa"/>
            <w:vAlign w:val="center"/>
          </w:tcPr>
          <w:p>
            <w:pPr>
              <w:spacing w:line="240" w:lineRule="atLeast"/>
              <w:jc w:val="center"/>
              <w:rPr>
                <w:rFonts w:ascii="仿宋_GB2312" w:eastAsia="仿宋_GB2312"/>
                <w:szCs w:val="21"/>
              </w:rPr>
            </w:pPr>
            <w:r>
              <w:rPr>
                <w:rFonts w:hint="eastAsia" w:ascii="仿宋_GB2312" w:eastAsia="仿宋_GB2312"/>
                <w:b/>
                <w:szCs w:val="21"/>
              </w:rPr>
              <w:t>评审原则</w:t>
            </w:r>
          </w:p>
        </w:tc>
        <w:tc>
          <w:tcPr>
            <w:tcW w:w="1215" w:type="dxa"/>
            <w:vAlign w:val="center"/>
          </w:tcPr>
          <w:p>
            <w:pPr>
              <w:spacing w:line="240" w:lineRule="atLeast"/>
              <w:jc w:val="center"/>
              <w:rPr>
                <w:rFonts w:ascii="仿宋_GB2312" w:eastAsia="仿宋_GB2312"/>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825" w:type="dxa"/>
            <w:vMerge w:val="restart"/>
            <w:vAlign w:val="center"/>
          </w:tcPr>
          <w:p>
            <w:pPr>
              <w:spacing w:line="240" w:lineRule="atLeast"/>
              <w:jc w:val="center"/>
              <w:rPr>
                <w:rFonts w:ascii="仿宋_GB2312" w:eastAsia="仿宋_GB2312"/>
                <w:szCs w:val="21"/>
              </w:rPr>
            </w:pPr>
            <w:r>
              <w:rPr>
                <w:rFonts w:ascii="仿宋_GB2312" w:eastAsia="仿宋_GB2312"/>
                <w:szCs w:val="21"/>
              </w:rPr>
              <w:t>PPP</w:t>
            </w:r>
            <w:r>
              <w:rPr>
                <w:rFonts w:hint="eastAsia" w:ascii="仿宋_GB2312" w:eastAsia="仿宋_GB2312"/>
                <w:szCs w:val="21"/>
              </w:rPr>
              <w:t>技术方案</w:t>
            </w:r>
          </w:p>
          <w:p>
            <w:pPr>
              <w:spacing w:line="240" w:lineRule="atLeast"/>
              <w:jc w:val="center"/>
              <w:rPr>
                <w:rFonts w:ascii="仿宋_GB2312" w:eastAsia="仿宋_GB2312"/>
                <w:szCs w:val="21"/>
              </w:rPr>
            </w:pPr>
            <w:r>
              <w:rPr>
                <w:rFonts w:hint="eastAsia" w:ascii="仿宋_GB2312" w:eastAsia="仿宋_GB2312"/>
                <w:szCs w:val="21"/>
              </w:rPr>
              <w:t>（</w:t>
            </w:r>
            <w:r>
              <w:rPr>
                <w:rFonts w:ascii="仿宋_GB2312" w:eastAsia="仿宋_GB2312"/>
                <w:szCs w:val="21"/>
              </w:rPr>
              <w:t>50</w:t>
            </w:r>
            <w:r>
              <w:rPr>
                <w:rFonts w:hint="eastAsia" w:ascii="仿宋_GB2312" w:eastAsia="仿宋_GB2312"/>
                <w:szCs w:val="21"/>
              </w:rPr>
              <w:t>分）</w:t>
            </w:r>
          </w:p>
        </w:tc>
        <w:tc>
          <w:tcPr>
            <w:tcW w:w="2848" w:type="dxa"/>
            <w:vAlign w:val="center"/>
          </w:tcPr>
          <w:p>
            <w:pPr>
              <w:spacing w:line="240" w:lineRule="atLeast"/>
              <w:jc w:val="center"/>
              <w:rPr>
                <w:rFonts w:ascii="仿宋_GB2312" w:eastAsia="仿宋_GB2312"/>
                <w:szCs w:val="21"/>
              </w:rPr>
            </w:pPr>
            <w:r>
              <w:rPr>
                <w:rFonts w:hint="eastAsia" w:ascii="仿宋_GB2312" w:eastAsia="仿宋_GB2312"/>
                <w:szCs w:val="21"/>
              </w:rPr>
              <w:t>投融资方案</w:t>
            </w:r>
          </w:p>
          <w:p>
            <w:pPr>
              <w:spacing w:line="240" w:lineRule="atLeast"/>
              <w:jc w:val="center"/>
              <w:rPr>
                <w:rFonts w:ascii="仿宋_GB2312" w:eastAsia="仿宋_GB2312"/>
                <w:szCs w:val="21"/>
              </w:rPr>
            </w:pPr>
            <w:r>
              <w:rPr>
                <w:rFonts w:hint="eastAsia" w:ascii="仿宋_GB2312" w:eastAsia="仿宋_GB2312"/>
                <w:szCs w:val="21"/>
              </w:rPr>
              <w:t>（</w:t>
            </w:r>
            <w:r>
              <w:rPr>
                <w:rFonts w:ascii="仿宋_GB2312" w:eastAsia="仿宋_GB2312"/>
                <w:szCs w:val="21"/>
              </w:rPr>
              <w:t>10</w:t>
            </w:r>
            <w:r>
              <w:rPr>
                <w:rFonts w:hint="eastAsia" w:ascii="仿宋_GB2312" w:eastAsia="仿宋_GB2312"/>
                <w:szCs w:val="21"/>
              </w:rPr>
              <w:t>分）</w:t>
            </w:r>
          </w:p>
        </w:tc>
        <w:tc>
          <w:tcPr>
            <w:tcW w:w="8693" w:type="dxa"/>
            <w:vAlign w:val="center"/>
          </w:tcPr>
          <w:p>
            <w:pPr>
              <w:spacing w:line="240" w:lineRule="atLeast"/>
              <w:rPr>
                <w:rFonts w:ascii="仿宋_GB2312" w:eastAsia="仿宋_GB2312"/>
                <w:szCs w:val="21"/>
              </w:rPr>
            </w:pPr>
            <w:r>
              <w:rPr>
                <w:rFonts w:hint="eastAsia" w:ascii="仿宋_GB2312" w:eastAsia="仿宋_GB2312"/>
                <w:szCs w:val="21"/>
              </w:rPr>
              <w:t>视投标人近三年的财务状况、、金融机构资信证明、投融资方案合理性等评分：</w:t>
            </w:r>
          </w:p>
          <w:p>
            <w:pPr>
              <w:numPr>
                <w:ilvl w:val="0"/>
                <w:numId w:val="14"/>
              </w:numPr>
              <w:spacing w:line="240" w:lineRule="atLeast"/>
              <w:ind w:left="0" w:firstLine="98" w:firstLineChars="47"/>
              <w:rPr>
                <w:rFonts w:ascii="仿宋_GB2312" w:eastAsia="仿宋_GB2312"/>
                <w:szCs w:val="21"/>
              </w:rPr>
            </w:pPr>
            <w:r>
              <w:rPr>
                <w:rFonts w:hint="eastAsia" w:ascii="仿宋_GB2312" w:eastAsia="仿宋_GB2312"/>
                <w:szCs w:val="21"/>
              </w:rPr>
              <w:t>按投标人近三年财务状况情况，打分</w:t>
            </w:r>
            <w:r>
              <w:rPr>
                <w:rFonts w:ascii="仿宋_GB2312" w:eastAsia="仿宋_GB2312"/>
                <w:szCs w:val="21"/>
              </w:rPr>
              <w:t>0-4</w:t>
            </w:r>
            <w:r>
              <w:rPr>
                <w:rFonts w:hint="eastAsia" w:ascii="仿宋_GB2312" w:eastAsia="仿宋_GB2312"/>
                <w:szCs w:val="21"/>
              </w:rPr>
              <w:t>分；</w:t>
            </w:r>
          </w:p>
          <w:p>
            <w:pPr>
              <w:numPr>
                <w:ilvl w:val="0"/>
                <w:numId w:val="14"/>
              </w:numPr>
              <w:spacing w:line="240" w:lineRule="atLeast"/>
              <w:ind w:left="0" w:firstLine="98" w:firstLineChars="47"/>
              <w:rPr>
                <w:rFonts w:ascii="仿宋_GB2312" w:eastAsia="仿宋_GB2312"/>
                <w:szCs w:val="21"/>
              </w:rPr>
            </w:pPr>
            <w:r>
              <w:rPr>
                <w:rFonts w:hint="eastAsia" w:ascii="仿宋_GB2312" w:eastAsia="仿宋_GB2312"/>
                <w:szCs w:val="21"/>
              </w:rPr>
              <w:t>金融机出具的资信证明材料、支持函件或授信协议及额度。有，得</w:t>
            </w:r>
            <w:r>
              <w:rPr>
                <w:rFonts w:ascii="仿宋_GB2312" w:eastAsia="仿宋_GB2312"/>
                <w:szCs w:val="21"/>
              </w:rPr>
              <w:t>2</w:t>
            </w:r>
            <w:r>
              <w:rPr>
                <w:rFonts w:hint="eastAsia" w:ascii="仿宋_GB2312" w:eastAsia="仿宋_GB2312"/>
                <w:szCs w:val="21"/>
              </w:rPr>
              <w:t>分；无，得</w:t>
            </w:r>
            <w:r>
              <w:rPr>
                <w:rFonts w:ascii="仿宋_GB2312" w:eastAsia="仿宋_GB2312"/>
                <w:szCs w:val="21"/>
              </w:rPr>
              <w:t>0</w:t>
            </w:r>
            <w:r>
              <w:rPr>
                <w:rFonts w:hint="eastAsia" w:ascii="仿宋_GB2312" w:eastAsia="仿宋_GB2312"/>
                <w:szCs w:val="21"/>
              </w:rPr>
              <w:t>分；</w:t>
            </w:r>
          </w:p>
          <w:p>
            <w:pPr>
              <w:numPr>
                <w:ilvl w:val="0"/>
                <w:numId w:val="14"/>
              </w:numPr>
              <w:spacing w:line="240" w:lineRule="atLeast"/>
              <w:ind w:left="0" w:firstLine="98" w:firstLineChars="47"/>
              <w:rPr>
                <w:rFonts w:ascii="仿宋_GB2312" w:eastAsia="仿宋_GB2312"/>
                <w:szCs w:val="21"/>
              </w:rPr>
            </w:pPr>
            <w:r>
              <w:rPr>
                <w:rFonts w:hint="eastAsia" w:ascii="仿宋_GB2312" w:eastAsia="仿宋_GB2312"/>
                <w:szCs w:val="21"/>
              </w:rPr>
              <w:t>项目投融资方案合理性评价：包括项目资金筹措计划、项目资金到位计划和资金使用计划等，打分</w:t>
            </w:r>
            <w:r>
              <w:rPr>
                <w:rFonts w:ascii="仿宋_GB2312" w:eastAsia="仿宋_GB2312"/>
                <w:szCs w:val="21"/>
              </w:rPr>
              <w:t>0-4</w:t>
            </w:r>
            <w:r>
              <w:rPr>
                <w:rFonts w:hint="eastAsia" w:ascii="仿宋_GB2312" w:eastAsia="仿宋_GB2312"/>
                <w:szCs w:val="21"/>
              </w:rPr>
              <w:t>分。</w:t>
            </w:r>
          </w:p>
        </w:tc>
        <w:tc>
          <w:tcPr>
            <w:tcW w:w="1215"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825" w:type="dxa"/>
            <w:vMerge w:val="continue"/>
            <w:vAlign w:val="center"/>
          </w:tcPr>
          <w:p>
            <w:pPr>
              <w:spacing w:line="240" w:lineRule="atLeast"/>
              <w:jc w:val="center"/>
              <w:rPr>
                <w:rFonts w:ascii="仿宋_GB2312" w:eastAsia="仿宋_GB2312"/>
                <w:szCs w:val="21"/>
              </w:rPr>
            </w:pPr>
          </w:p>
        </w:tc>
        <w:tc>
          <w:tcPr>
            <w:tcW w:w="2848" w:type="dxa"/>
            <w:vAlign w:val="center"/>
          </w:tcPr>
          <w:p>
            <w:pPr>
              <w:spacing w:line="240" w:lineRule="atLeast"/>
              <w:jc w:val="center"/>
              <w:rPr>
                <w:rFonts w:ascii="仿宋_GB2312" w:eastAsia="仿宋_GB2312"/>
                <w:szCs w:val="21"/>
              </w:rPr>
            </w:pPr>
            <w:r>
              <w:rPr>
                <w:rFonts w:hint="eastAsia" w:ascii="仿宋_GB2312" w:eastAsia="仿宋_GB2312"/>
                <w:szCs w:val="21"/>
              </w:rPr>
              <w:t>项目建设管理方案（</w:t>
            </w:r>
            <w:r>
              <w:rPr>
                <w:rFonts w:ascii="仿宋_GB2312" w:eastAsia="仿宋_GB2312"/>
                <w:szCs w:val="21"/>
              </w:rPr>
              <w:t>15</w:t>
            </w:r>
            <w:r>
              <w:rPr>
                <w:rFonts w:hint="eastAsia" w:ascii="仿宋_GB2312" w:eastAsia="仿宋_GB2312"/>
                <w:szCs w:val="21"/>
              </w:rPr>
              <w:t>分）</w:t>
            </w:r>
          </w:p>
        </w:tc>
        <w:tc>
          <w:tcPr>
            <w:tcW w:w="8693" w:type="dxa"/>
            <w:vAlign w:val="center"/>
          </w:tcPr>
          <w:p>
            <w:pPr>
              <w:spacing w:before="120" w:beforeLines="50" w:after="120" w:afterLines="50" w:line="240" w:lineRule="atLeast"/>
              <w:rPr>
                <w:rFonts w:ascii="仿宋_GB2312" w:eastAsia="仿宋_GB2312"/>
                <w:szCs w:val="21"/>
              </w:rPr>
            </w:pPr>
            <w:r>
              <w:rPr>
                <w:rFonts w:ascii="仿宋_GB2312" w:eastAsia="仿宋_GB2312"/>
                <w:szCs w:val="21"/>
              </w:rPr>
              <w:t>建设方案内容完整、合理，</w:t>
            </w:r>
            <w:r>
              <w:rPr>
                <w:rFonts w:hint="eastAsia" w:ascii="仿宋_GB2312" w:eastAsia="仿宋_GB2312"/>
                <w:szCs w:val="21"/>
              </w:rPr>
              <w:t>具有详细的施工进度计划、质量、安全、文明施工、环境保护保证体系和保障措施，施工技术方案完备，施工技术方案合理且能指导施工，主要工序阐述明细、全面、合理，主要工程施工方法得当，且对采购项目的关键技术、工艺有明确、深入的表述，对施工重点、难点有合理、经济、安全的解决方案和可行保证措施，质量承诺满足采购文件且有具体的违约责任承诺，工期承诺满足采购文件要求，有工期保证措施及具体的违约责任承诺。</w:t>
            </w:r>
          </w:p>
          <w:p>
            <w:pPr>
              <w:spacing w:line="240" w:lineRule="atLeast"/>
              <w:rPr>
                <w:rFonts w:ascii="仿宋_GB2312" w:eastAsia="仿宋_GB2312"/>
                <w:szCs w:val="21"/>
              </w:rPr>
            </w:pPr>
            <w:r>
              <w:rPr>
                <w:rFonts w:hint="eastAsia" w:ascii="仿宋_GB2312" w:eastAsia="仿宋_GB2312"/>
                <w:szCs w:val="21"/>
              </w:rPr>
              <w:t>此项优秀得</w:t>
            </w:r>
            <w:r>
              <w:rPr>
                <w:rFonts w:ascii="仿宋_GB2312" w:eastAsia="仿宋_GB2312"/>
                <w:szCs w:val="21"/>
              </w:rPr>
              <w:t>10</w:t>
            </w:r>
            <w:r>
              <w:rPr>
                <w:rFonts w:hint="eastAsia" w:ascii="仿宋_GB2312" w:eastAsia="仿宋_GB2312"/>
                <w:szCs w:val="21"/>
              </w:rPr>
              <w:t>＜</w:t>
            </w:r>
            <w:r>
              <w:rPr>
                <w:rFonts w:ascii="仿宋_GB2312" w:eastAsia="仿宋_GB2312"/>
                <w:szCs w:val="21"/>
              </w:rPr>
              <w:t>X</w:t>
            </w:r>
            <w:r>
              <w:rPr>
                <w:rFonts w:hint="eastAsia" w:ascii="仿宋_GB2312" w:eastAsia="仿宋_GB2312"/>
                <w:szCs w:val="21"/>
              </w:rPr>
              <w:t>≤</w:t>
            </w:r>
            <w:r>
              <w:rPr>
                <w:rFonts w:ascii="仿宋_GB2312" w:eastAsia="仿宋_GB2312"/>
                <w:szCs w:val="21"/>
              </w:rPr>
              <w:t>15</w:t>
            </w:r>
            <w:r>
              <w:rPr>
                <w:rFonts w:hint="eastAsia" w:ascii="仿宋_GB2312" w:eastAsia="仿宋_GB2312"/>
                <w:szCs w:val="21"/>
              </w:rPr>
              <w:t>分；良好得</w:t>
            </w:r>
            <w:r>
              <w:rPr>
                <w:rFonts w:ascii="仿宋_GB2312" w:eastAsia="仿宋_GB2312"/>
                <w:szCs w:val="21"/>
              </w:rPr>
              <w:t>5</w:t>
            </w:r>
            <w:r>
              <w:rPr>
                <w:rFonts w:hint="eastAsia" w:ascii="仿宋_GB2312" w:eastAsia="仿宋_GB2312"/>
                <w:szCs w:val="21"/>
              </w:rPr>
              <w:t>＜</w:t>
            </w:r>
            <w:r>
              <w:rPr>
                <w:rFonts w:ascii="仿宋_GB2312" w:eastAsia="仿宋_GB2312"/>
                <w:szCs w:val="21"/>
              </w:rPr>
              <w:t>X</w:t>
            </w:r>
            <w:r>
              <w:rPr>
                <w:rFonts w:hint="eastAsia" w:ascii="仿宋_GB2312" w:eastAsia="仿宋_GB2312"/>
                <w:szCs w:val="21"/>
              </w:rPr>
              <w:t>≤</w:t>
            </w:r>
            <w:r>
              <w:rPr>
                <w:rFonts w:ascii="仿宋_GB2312" w:eastAsia="仿宋_GB2312"/>
                <w:szCs w:val="21"/>
              </w:rPr>
              <w:t>10</w:t>
            </w:r>
            <w:r>
              <w:rPr>
                <w:rFonts w:hint="eastAsia" w:ascii="仿宋_GB2312" w:eastAsia="仿宋_GB2312"/>
                <w:szCs w:val="21"/>
              </w:rPr>
              <w:t>分；及格得</w:t>
            </w:r>
            <w:r>
              <w:rPr>
                <w:rFonts w:ascii="仿宋_GB2312" w:eastAsia="仿宋_GB2312"/>
                <w:szCs w:val="21"/>
              </w:rPr>
              <w:t>0</w:t>
            </w:r>
            <w:r>
              <w:rPr>
                <w:rFonts w:hint="eastAsia" w:ascii="仿宋_GB2312" w:eastAsia="仿宋_GB2312"/>
                <w:szCs w:val="21"/>
              </w:rPr>
              <w:t>＜</w:t>
            </w:r>
            <w:r>
              <w:rPr>
                <w:rFonts w:ascii="仿宋_GB2312" w:eastAsia="仿宋_GB2312"/>
                <w:szCs w:val="21"/>
              </w:rPr>
              <w:t>X</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分；差或缺项得0分。</w:t>
            </w:r>
          </w:p>
        </w:tc>
        <w:tc>
          <w:tcPr>
            <w:tcW w:w="1215"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25" w:type="dxa"/>
            <w:vMerge w:val="continue"/>
            <w:vAlign w:val="center"/>
          </w:tcPr>
          <w:p>
            <w:pPr>
              <w:spacing w:line="240" w:lineRule="atLeast"/>
              <w:jc w:val="center"/>
              <w:rPr>
                <w:rFonts w:ascii="仿宋_GB2312" w:eastAsia="仿宋_GB2312"/>
                <w:szCs w:val="21"/>
              </w:rPr>
            </w:pPr>
          </w:p>
        </w:tc>
        <w:tc>
          <w:tcPr>
            <w:tcW w:w="2848" w:type="dxa"/>
            <w:vAlign w:val="center"/>
          </w:tcPr>
          <w:p>
            <w:pPr>
              <w:spacing w:line="240" w:lineRule="atLeast"/>
              <w:jc w:val="center"/>
              <w:rPr>
                <w:rFonts w:ascii="仿宋_GB2312" w:eastAsia="仿宋_GB2312"/>
                <w:szCs w:val="21"/>
              </w:rPr>
            </w:pPr>
            <w:r>
              <w:rPr>
                <w:rFonts w:hint="eastAsia" w:ascii="仿宋_GB2312" w:eastAsia="仿宋_GB2312"/>
                <w:szCs w:val="21"/>
              </w:rPr>
              <w:t>项目运营管理方案</w:t>
            </w:r>
          </w:p>
          <w:p>
            <w:pPr>
              <w:spacing w:line="240" w:lineRule="atLeast"/>
              <w:jc w:val="center"/>
              <w:rPr>
                <w:rFonts w:ascii="仿宋_GB2312" w:eastAsia="仿宋_GB2312"/>
                <w:szCs w:val="21"/>
              </w:rPr>
            </w:pPr>
            <w:r>
              <w:rPr>
                <w:rFonts w:hint="eastAsia" w:ascii="仿宋_GB2312" w:eastAsia="仿宋_GB2312"/>
                <w:szCs w:val="21"/>
              </w:rPr>
              <w:t>（</w:t>
            </w:r>
            <w:r>
              <w:rPr>
                <w:rFonts w:ascii="仿宋_GB2312" w:eastAsia="仿宋_GB2312"/>
                <w:szCs w:val="21"/>
              </w:rPr>
              <w:t>15</w:t>
            </w:r>
            <w:r>
              <w:rPr>
                <w:rFonts w:hint="eastAsia" w:ascii="仿宋_GB2312" w:eastAsia="仿宋_GB2312"/>
                <w:szCs w:val="21"/>
              </w:rPr>
              <w:t>分）</w:t>
            </w:r>
          </w:p>
        </w:tc>
        <w:tc>
          <w:tcPr>
            <w:tcW w:w="8693" w:type="dxa"/>
            <w:vAlign w:val="center"/>
          </w:tcPr>
          <w:p>
            <w:pPr>
              <w:spacing w:line="240" w:lineRule="atLeast"/>
              <w:rPr>
                <w:rFonts w:ascii="仿宋_GB2312" w:eastAsia="仿宋_GB2312"/>
                <w:szCs w:val="21"/>
              </w:rPr>
            </w:pPr>
            <w:r>
              <w:rPr>
                <w:rFonts w:hint="eastAsia" w:ascii="仿宋_GB2312" w:eastAsia="仿宋_GB2312"/>
                <w:szCs w:val="21"/>
              </w:rPr>
              <w:t>运营维护方案基本分</w:t>
            </w:r>
            <w:r>
              <w:rPr>
                <w:rFonts w:ascii="仿宋_GB2312" w:eastAsia="仿宋_GB2312"/>
                <w:szCs w:val="21"/>
              </w:rPr>
              <w:t>10</w:t>
            </w:r>
            <w:r>
              <w:rPr>
                <w:rFonts w:hint="eastAsia" w:ascii="仿宋_GB2312" w:eastAsia="仿宋_GB2312"/>
                <w:szCs w:val="21"/>
              </w:rPr>
              <w:t>分。</w:t>
            </w:r>
          </w:p>
          <w:p>
            <w:pPr>
              <w:spacing w:line="240" w:lineRule="atLeast"/>
              <w:rPr>
                <w:rFonts w:ascii="仿宋_GB2312" w:eastAsia="仿宋_GB2312"/>
                <w:szCs w:val="21"/>
              </w:rPr>
            </w:pPr>
            <w:r>
              <w:rPr>
                <w:rFonts w:hint="eastAsia" w:ascii="仿宋_GB2312" w:eastAsia="仿宋_GB2312"/>
                <w:szCs w:val="21"/>
              </w:rPr>
              <w:t>根据维护、安全管理和突发事件管理、环境保护等的完整性、合理性打分（</w:t>
            </w:r>
            <w:r>
              <w:rPr>
                <w:rFonts w:ascii="仿宋_GB2312" w:eastAsia="仿宋_GB2312"/>
                <w:szCs w:val="21"/>
              </w:rPr>
              <w:t>5</w:t>
            </w:r>
            <w:r>
              <w:rPr>
                <w:rFonts w:hint="eastAsia" w:ascii="仿宋_GB2312" w:eastAsia="仿宋_GB2312"/>
                <w:szCs w:val="21"/>
              </w:rPr>
              <w:t>分）：</w:t>
            </w:r>
          </w:p>
          <w:p>
            <w:pPr>
              <w:numPr>
                <w:ilvl w:val="0"/>
                <w:numId w:val="14"/>
              </w:numPr>
              <w:spacing w:line="240" w:lineRule="atLeast"/>
              <w:ind w:left="0" w:firstLine="98" w:firstLineChars="47"/>
              <w:rPr>
                <w:rFonts w:ascii="仿宋_GB2312" w:eastAsia="仿宋_GB2312"/>
                <w:szCs w:val="21"/>
              </w:rPr>
            </w:pPr>
            <w:r>
              <w:rPr>
                <w:rFonts w:hint="eastAsia" w:ascii="仿宋_GB2312" w:eastAsia="仿宋_GB2312"/>
                <w:szCs w:val="21"/>
              </w:rPr>
              <w:t>维护及时合理、充分考虑安全及突发事件，管理到位，得</w:t>
            </w:r>
            <w:r>
              <w:rPr>
                <w:rFonts w:ascii="仿宋_GB2312" w:eastAsia="仿宋_GB2312"/>
                <w:szCs w:val="21"/>
              </w:rPr>
              <w:t>1-3</w:t>
            </w:r>
            <w:r>
              <w:rPr>
                <w:rFonts w:hint="eastAsia" w:ascii="仿宋_GB2312" w:eastAsia="仿宋_GB2312"/>
                <w:szCs w:val="21"/>
              </w:rPr>
              <w:t>分；</w:t>
            </w:r>
          </w:p>
          <w:p>
            <w:pPr>
              <w:numPr>
                <w:ilvl w:val="0"/>
                <w:numId w:val="14"/>
              </w:numPr>
              <w:spacing w:line="240" w:lineRule="atLeast"/>
              <w:ind w:left="0" w:firstLine="98" w:firstLineChars="47"/>
              <w:rPr>
                <w:rFonts w:ascii="仿宋_GB2312" w:eastAsia="仿宋_GB2312"/>
                <w:szCs w:val="21"/>
              </w:rPr>
            </w:pPr>
            <w:r>
              <w:rPr>
                <w:rFonts w:hint="eastAsia" w:ascii="仿宋_GB2312" w:eastAsia="仿宋_GB2312"/>
                <w:szCs w:val="21"/>
              </w:rPr>
              <w:t>维护基本合理、考虑了突发事件，得</w:t>
            </w:r>
            <w:r>
              <w:rPr>
                <w:rFonts w:ascii="仿宋_GB2312" w:eastAsia="仿宋_GB2312"/>
                <w:szCs w:val="21"/>
              </w:rPr>
              <w:t>0-1</w:t>
            </w:r>
            <w:r>
              <w:rPr>
                <w:rFonts w:hint="eastAsia" w:ascii="仿宋_GB2312" w:eastAsia="仿宋_GB2312"/>
                <w:szCs w:val="21"/>
              </w:rPr>
              <w:t>分。</w:t>
            </w:r>
          </w:p>
          <w:p>
            <w:pPr>
              <w:numPr>
                <w:ilvl w:val="0"/>
                <w:numId w:val="14"/>
              </w:numPr>
              <w:spacing w:line="240" w:lineRule="atLeast"/>
              <w:ind w:left="0" w:firstLine="98" w:firstLineChars="47"/>
              <w:rPr>
                <w:rFonts w:ascii="仿宋_GB2312" w:eastAsia="仿宋_GB2312"/>
                <w:szCs w:val="21"/>
                <w:u w:val="single"/>
              </w:rPr>
            </w:pPr>
            <w:r>
              <w:rPr>
                <w:rFonts w:hint="eastAsia" w:ascii="仿宋_GB2312" w:eastAsia="仿宋_GB2312"/>
                <w:szCs w:val="21"/>
              </w:rPr>
              <w:t>运营</w:t>
            </w:r>
            <w:r>
              <w:rPr>
                <w:rFonts w:hint="eastAsia" w:ascii="仿宋_GB2312" w:eastAsia="仿宋_GB2312"/>
                <w:szCs w:val="21"/>
                <w:u w:val="single"/>
              </w:rPr>
              <w:t>管理中，须承诺财务管理人员中有一名为政府方人员，得0-1分。</w:t>
            </w:r>
            <w:r>
              <w:rPr>
                <w:rFonts w:hint="eastAsia" w:ascii="仿宋_GB2312" w:eastAsia="仿宋_GB2312"/>
                <w:szCs w:val="21"/>
              </w:rPr>
              <w:t>（必须承诺）</w:t>
            </w:r>
          </w:p>
        </w:tc>
        <w:tc>
          <w:tcPr>
            <w:tcW w:w="1215"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5" w:type="dxa"/>
            <w:vMerge w:val="continue"/>
            <w:vAlign w:val="center"/>
          </w:tcPr>
          <w:p>
            <w:pPr>
              <w:spacing w:line="240" w:lineRule="atLeast"/>
              <w:jc w:val="center"/>
              <w:rPr>
                <w:rFonts w:ascii="仿宋_GB2312" w:eastAsia="仿宋_GB2312"/>
                <w:szCs w:val="21"/>
              </w:rPr>
            </w:pPr>
          </w:p>
        </w:tc>
        <w:tc>
          <w:tcPr>
            <w:tcW w:w="2848" w:type="dxa"/>
            <w:vAlign w:val="center"/>
          </w:tcPr>
          <w:p>
            <w:pPr>
              <w:spacing w:line="240" w:lineRule="atLeast"/>
              <w:jc w:val="center"/>
              <w:rPr>
                <w:rFonts w:ascii="仿宋_GB2312" w:eastAsia="仿宋_GB2312"/>
                <w:szCs w:val="21"/>
              </w:rPr>
            </w:pPr>
            <w:r>
              <w:rPr>
                <w:rFonts w:hint="eastAsia" w:ascii="仿宋_GB2312" w:eastAsia="仿宋_GB2312"/>
                <w:szCs w:val="21"/>
              </w:rPr>
              <w:t>移交方案（</w:t>
            </w:r>
            <w:r>
              <w:rPr>
                <w:rFonts w:ascii="仿宋_GB2312" w:eastAsia="仿宋_GB2312"/>
                <w:szCs w:val="21"/>
              </w:rPr>
              <w:t>5</w:t>
            </w:r>
            <w:r>
              <w:rPr>
                <w:rFonts w:hint="eastAsia" w:ascii="仿宋_GB2312" w:eastAsia="仿宋_GB2312"/>
                <w:szCs w:val="21"/>
              </w:rPr>
              <w:t>分）</w:t>
            </w:r>
          </w:p>
        </w:tc>
        <w:tc>
          <w:tcPr>
            <w:tcW w:w="8693" w:type="dxa"/>
            <w:vAlign w:val="center"/>
          </w:tcPr>
          <w:p>
            <w:pPr>
              <w:spacing w:line="240" w:lineRule="atLeast"/>
              <w:rPr>
                <w:rFonts w:ascii="仿宋_GB2312" w:eastAsia="仿宋_GB2312"/>
                <w:szCs w:val="21"/>
              </w:rPr>
            </w:pPr>
            <w:r>
              <w:rPr>
                <w:rFonts w:hint="eastAsia" w:ascii="仿宋_GB2312" w:eastAsia="仿宋_GB2312"/>
                <w:szCs w:val="21"/>
              </w:rPr>
              <w:t>根据移交方案、移交资产范围、移交时项目设施养护情况等是否合理，打分</w:t>
            </w:r>
            <w:r>
              <w:rPr>
                <w:rFonts w:ascii="仿宋_GB2312" w:eastAsia="仿宋_GB2312"/>
                <w:szCs w:val="21"/>
              </w:rPr>
              <w:t>0-5</w:t>
            </w:r>
            <w:r>
              <w:rPr>
                <w:rFonts w:hint="eastAsia" w:ascii="仿宋_GB2312" w:eastAsia="仿宋_GB2312"/>
                <w:szCs w:val="21"/>
              </w:rPr>
              <w:t>分。</w:t>
            </w:r>
          </w:p>
        </w:tc>
        <w:tc>
          <w:tcPr>
            <w:tcW w:w="1215"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5" w:type="dxa"/>
            <w:vMerge w:val="continue"/>
            <w:vAlign w:val="center"/>
          </w:tcPr>
          <w:p>
            <w:pPr>
              <w:spacing w:line="240" w:lineRule="atLeast"/>
              <w:jc w:val="center"/>
              <w:rPr>
                <w:rFonts w:ascii="仿宋_GB2312" w:eastAsia="仿宋_GB2312"/>
                <w:szCs w:val="21"/>
              </w:rPr>
            </w:pPr>
          </w:p>
        </w:tc>
        <w:tc>
          <w:tcPr>
            <w:tcW w:w="2848" w:type="dxa"/>
            <w:vAlign w:val="center"/>
          </w:tcPr>
          <w:p>
            <w:pPr>
              <w:spacing w:line="240" w:lineRule="atLeast"/>
              <w:jc w:val="center"/>
              <w:rPr>
                <w:rFonts w:ascii="仿宋_GB2312" w:eastAsia="仿宋_GB2312"/>
                <w:szCs w:val="21"/>
              </w:rPr>
            </w:pPr>
            <w:r>
              <w:rPr>
                <w:rFonts w:hint="eastAsia" w:ascii="仿宋_GB2312" w:eastAsia="仿宋_GB2312"/>
                <w:szCs w:val="21"/>
              </w:rPr>
              <w:t>保险方案（</w:t>
            </w:r>
            <w:r>
              <w:rPr>
                <w:rFonts w:ascii="仿宋_GB2312" w:eastAsia="仿宋_GB2312"/>
                <w:szCs w:val="21"/>
              </w:rPr>
              <w:t>5</w:t>
            </w:r>
            <w:r>
              <w:rPr>
                <w:rFonts w:hint="eastAsia" w:ascii="仿宋_GB2312" w:eastAsia="仿宋_GB2312"/>
                <w:szCs w:val="21"/>
              </w:rPr>
              <w:t>分）</w:t>
            </w:r>
          </w:p>
        </w:tc>
        <w:tc>
          <w:tcPr>
            <w:tcW w:w="8693" w:type="dxa"/>
            <w:vAlign w:val="center"/>
          </w:tcPr>
          <w:p>
            <w:pPr>
              <w:spacing w:line="240" w:lineRule="atLeast"/>
              <w:rPr>
                <w:rFonts w:ascii="仿宋_GB2312" w:eastAsia="仿宋_GB2312"/>
                <w:szCs w:val="21"/>
              </w:rPr>
            </w:pPr>
            <w:r>
              <w:rPr>
                <w:rFonts w:hint="eastAsia" w:ascii="仿宋_GB2312" w:eastAsia="仿宋_GB2312"/>
                <w:szCs w:val="21"/>
              </w:rPr>
              <w:t>根据保险方案的合理性和操作性，打分</w:t>
            </w:r>
            <w:r>
              <w:rPr>
                <w:rFonts w:ascii="仿宋_GB2312" w:eastAsia="仿宋_GB2312"/>
                <w:szCs w:val="21"/>
              </w:rPr>
              <w:t>0-5</w:t>
            </w:r>
            <w:r>
              <w:rPr>
                <w:rFonts w:hint="eastAsia" w:ascii="仿宋_GB2312" w:eastAsia="仿宋_GB2312"/>
                <w:szCs w:val="21"/>
              </w:rPr>
              <w:t>分。</w:t>
            </w:r>
          </w:p>
        </w:tc>
        <w:tc>
          <w:tcPr>
            <w:tcW w:w="1215" w:type="dxa"/>
            <w:vAlign w:val="center"/>
          </w:tcPr>
          <w:p>
            <w:pPr>
              <w:spacing w:line="24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5" w:type="dxa"/>
            <w:vAlign w:val="center"/>
          </w:tcPr>
          <w:p>
            <w:pPr>
              <w:spacing w:line="240" w:lineRule="atLeast"/>
              <w:jc w:val="center"/>
              <w:rPr>
                <w:rFonts w:ascii="仿宋_GB2312" w:eastAsia="仿宋_GB2312"/>
                <w:kern w:val="0"/>
                <w:szCs w:val="21"/>
              </w:rPr>
            </w:pPr>
            <w:r>
              <w:rPr>
                <w:rFonts w:hint="eastAsia" w:ascii="仿宋_GB2312" w:eastAsia="仿宋_GB2312"/>
                <w:kern w:val="0"/>
                <w:szCs w:val="21"/>
              </w:rPr>
              <w:t>污水处理服务费</w:t>
            </w:r>
          </w:p>
          <w:p>
            <w:pPr>
              <w:spacing w:line="240" w:lineRule="atLeast"/>
              <w:jc w:val="center"/>
              <w:rPr>
                <w:rFonts w:ascii="仿宋_GB2312" w:eastAsia="仿宋_GB2312"/>
                <w:kern w:val="0"/>
                <w:szCs w:val="21"/>
              </w:rPr>
            </w:pPr>
            <w:r>
              <w:rPr>
                <w:rFonts w:hint="eastAsia" w:ascii="仿宋_GB2312" w:eastAsia="仿宋_GB2312"/>
                <w:kern w:val="0"/>
                <w:szCs w:val="21"/>
              </w:rPr>
              <w:t>（</w:t>
            </w:r>
            <w:r>
              <w:rPr>
                <w:rFonts w:ascii="仿宋_GB2312" w:eastAsia="仿宋_GB2312"/>
                <w:kern w:val="0"/>
                <w:szCs w:val="21"/>
              </w:rPr>
              <w:t>20</w:t>
            </w:r>
            <w:r>
              <w:rPr>
                <w:rFonts w:hint="eastAsia" w:ascii="仿宋_GB2312" w:eastAsia="仿宋_GB2312"/>
                <w:kern w:val="0"/>
                <w:szCs w:val="21"/>
              </w:rPr>
              <w:t>分）</w:t>
            </w:r>
          </w:p>
        </w:tc>
        <w:tc>
          <w:tcPr>
            <w:tcW w:w="2848" w:type="dxa"/>
            <w:vAlign w:val="center"/>
          </w:tcPr>
          <w:p>
            <w:pPr>
              <w:spacing w:line="240" w:lineRule="atLeast"/>
              <w:jc w:val="center"/>
              <w:rPr>
                <w:rFonts w:ascii="仿宋_GB2312" w:eastAsia="仿宋_GB2312"/>
                <w:kern w:val="0"/>
                <w:szCs w:val="21"/>
              </w:rPr>
            </w:pPr>
            <w:r>
              <w:rPr>
                <w:rFonts w:hint="eastAsia" w:ascii="仿宋_GB2312" w:eastAsia="仿宋_GB2312"/>
                <w:kern w:val="0"/>
                <w:szCs w:val="21"/>
              </w:rPr>
              <w:t>污水处理服务费</w:t>
            </w:r>
          </w:p>
          <w:p>
            <w:pPr>
              <w:spacing w:line="240" w:lineRule="atLeast"/>
              <w:jc w:val="center"/>
              <w:rPr>
                <w:rFonts w:ascii="仿宋_GB2312" w:eastAsia="仿宋_GB2312"/>
                <w:kern w:val="0"/>
                <w:szCs w:val="21"/>
              </w:rPr>
            </w:pPr>
            <w:r>
              <w:rPr>
                <w:rFonts w:hint="eastAsia" w:ascii="仿宋_GB2312" w:eastAsia="仿宋_GB2312"/>
                <w:kern w:val="0"/>
                <w:szCs w:val="21"/>
              </w:rPr>
              <w:t>（</w:t>
            </w:r>
            <w:r>
              <w:rPr>
                <w:rFonts w:ascii="仿宋_GB2312" w:eastAsia="仿宋_GB2312"/>
                <w:kern w:val="0"/>
                <w:szCs w:val="21"/>
              </w:rPr>
              <w:t>20</w:t>
            </w:r>
            <w:r>
              <w:rPr>
                <w:rFonts w:hint="eastAsia" w:ascii="仿宋_GB2312" w:eastAsia="仿宋_GB2312"/>
                <w:kern w:val="0"/>
                <w:szCs w:val="21"/>
              </w:rPr>
              <w:t>分）</w:t>
            </w:r>
          </w:p>
        </w:tc>
        <w:tc>
          <w:tcPr>
            <w:tcW w:w="8693" w:type="dxa"/>
            <w:vAlign w:val="center"/>
          </w:tcPr>
          <w:p>
            <w:pPr>
              <w:spacing w:line="240" w:lineRule="atLeast"/>
              <w:rPr>
                <w:rFonts w:ascii="仿宋_GB2312" w:eastAsia="仿宋_GB2312"/>
                <w:kern w:val="0"/>
                <w:szCs w:val="21"/>
              </w:rPr>
            </w:pPr>
            <w:r>
              <w:rPr>
                <w:rFonts w:hint="eastAsia" w:ascii="仿宋_GB2312" w:eastAsia="仿宋_GB2312"/>
                <w:kern w:val="0"/>
                <w:szCs w:val="21"/>
              </w:rPr>
              <w:t>有效报价</w:t>
            </w:r>
            <w:r>
              <w:rPr>
                <w:rFonts w:ascii="仿宋_GB2312" w:eastAsia="仿宋_GB2312"/>
                <w:kern w:val="0"/>
                <w:szCs w:val="21"/>
              </w:rPr>
              <w:t>X</w:t>
            </w:r>
            <w:r>
              <w:rPr>
                <w:rFonts w:hint="eastAsia" w:ascii="仿宋_GB2312" w:eastAsia="仿宋_GB2312"/>
                <w:kern w:val="0"/>
                <w:szCs w:val="21"/>
              </w:rPr>
              <w:t>为最低时得最高分</w:t>
            </w:r>
            <w:r>
              <w:rPr>
                <w:rFonts w:ascii="仿宋_GB2312" w:eastAsia="仿宋_GB2312"/>
                <w:kern w:val="0"/>
                <w:szCs w:val="21"/>
              </w:rPr>
              <w:t>20</w:t>
            </w:r>
            <w:r>
              <w:rPr>
                <w:rFonts w:hint="eastAsia" w:ascii="仿宋_GB2312" w:eastAsia="仿宋_GB2312"/>
                <w:kern w:val="0"/>
                <w:szCs w:val="21"/>
              </w:rPr>
              <w:t>分。</w:t>
            </w:r>
          </w:p>
          <w:p>
            <w:pPr>
              <w:spacing w:line="240" w:lineRule="atLeast"/>
              <w:rPr>
                <w:rFonts w:ascii="仿宋_GB2312" w:eastAsia="仿宋_GB2312"/>
                <w:kern w:val="0"/>
                <w:szCs w:val="21"/>
              </w:rPr>
            </w:pPr>
            <w:r>
              <w:rPr>
                <w:rFonts w:hint="eastAsia" w:ascii="仿宋_GB2312" w:eastAsia="仿宋_GB2312"/>
                <w:kern w:val="0"/>
                <w:szCs w:val="21"/>
              </w:rPr>
              <w:t>其余报价（</w:t>
            </w:r>
            <w:r>
              <w:rPr>
                <w:rFonts w:ascii="仿宋_GB2312" w:eastAsia="仿宋_GB2312"/>
                <w:kern w:val="0"/>
                <w:szCs w:val="21"/>
              </w:rPr>
              <w:t>Y</w:t>
            </w:r>
            <w:r>
              <w:rPr>
                <w:rFonts w:hint="eastAsia" w:ascii="仿宋_GB2312" w:eastAsia="仿宋_GB2312"/>
                <w:kern w:val="0"/>
                <w:szCs w:val="21"/>
              </w:rPr>
              <w:t>）得分为：打分</w:t>
            </w:r>
            <w:r>
              <w:rPr>
                <w:rFonts w:ascii="仿宋_GB2312" w:eastAsia="仿宋_GB2312"/>
                <w:kern w:val="0"/>
                <w:szCs w:val="21"/>
              </w:rPr>
              <w:t>=X/Y*40</w:t>
            </w:r>
          </w:p>
        </w:tc>
        <w:tc>
          <w:tcPr>
            <w:tcW w:w="1215" w:type="dxa"/>
            <w:vAlign w:val="center"/>
          </w:tcPr>
          <w:p>
            <w:pPr>
              <w:spacing w:line="240" w:lineRule="atLeast"/>
              <w:rPr>
                <w:rFonts w:ascii="仿宋_GB2312" w:eastAsia="仿宋_GB2312"/>
                <w:szCs w:val="21"/>
              </w:rPr>
            </w:pPr>
            <w:r>
              <w:rPr>
                <w:rFonts w:hint="eastAsia" w:ascii="仿宋_GB2312" w:eastAsia="仿宋_GB2312"/>
                <w:szCs w:val="21"/>
              </w:rPr>
              <w:t>精确到</w:t>
            </w:r>
            <w:del w:id="96" w:author="WangYuhan" w:date="2020-07-06T10:45:00Z">
              <w:r>
                <w:rPr>
                  <w:rFonts w:ascii="仿宋_GB2312" w:eastAsia="仿宋_GB2312"/>
                  <w:szCs w:val="21"/>
                </w:rPr>
                <w:delText>2</w:delText>
              </w:r>
            </w:del>
            <w:ins w:id="97" w:author="WangYuhan" w:date="2020-07-06T10:45:00Z">
              <w:r>
                <w:rPr>
                  <w:rFonts w:ascii="仿宋_GB2312" w:eastAsia="仿宋_GB2312"/>
                  <w:szCs w:val="21"/>
                </w:rPr>
                <w:t>3</w:t>
              </w:r>
            </w:ins>
            <w:r>
              <w:rPr>
                <w:rFonts w:hint="eastAsia" w:ascii="仿宋_GB2312" w:eastAsia="仿宋_GB2312"/>
                <w:szCs w:val="21"/>
              </w:rPr>
              <w:t>位小数点。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5" w:type="dxa"/>
            <w:vAlign w:val="center"/>
          </w:tcPr>
          <w:p>
            <w:pPr>
              <w:spacing w:line="240" w:lineRule="atLeast"/>
              <w:jc w:val="center"/>
              <w:rPr>
                <w:rFonts w:ascii="仿宋_GB2312" w:eastAsia="仿宋_GB2312"/>
                <w:kern w:val="0"/>
                <w:szCs w:val="21"/>
              </w:rPr>
            </w:pPr>
            <w:r>
              <w:rPr>
                <w:rFonts w:hint="eastAsia" w:ascii="仿宋_GB2312" w:eastAsia="仿宋_GB2312"/>
                <w:kern w:val="0"/>
                <w:szCs w:val="21"/>
              </w:rPr>
              <w:t>审定竣工结算下浮率（10分）</w:t>
            </w:r>
          </w:p>
        </w:tc>
        <w:tc>
          <w:tcPr>
            <w:tcW w:w="2848" w:type="dxa"/>
            <w:vAlign w:val="center"/>
          </w:tcPr>
          <w:p>
            <w:pPr>
              <w:spacing w:line="240" w:lineRule="atLeast"/>
              <w:jc w:val="center"/>
              <w:rPr>
                <w:rFonts w:ascii="仿宋_GB2312" w:eastAsia="仿宋_GB2312"/>
                <w:kern w:val="0"/>
                <w:szCs w:val="21"/>
              </w:rPr>
            </w:pPr>
            <w:r>
              <w:rPr>
                <w:rFonts w:hint="eastAsia" w:ascii="仿宋_GB2312" w:eastAsia="仿宋_GB2312"/>
                <w:kern w:val="0"/>
                <w:szCs w:val="21"/>
              </w:rPr>
              <w:t>承诺最终经审定的结算下浮率（不含采购人组织招标或提供的材料、设备费用及采购人确认价格的材料、设备费用）（共</w:t>
            </w:r>
            <w:r>
              <w:rPr>
                <w:rFonts w:ascii="仿宋_GB2312" w:eastAsia="仿宋_GB2312"/>
                <w:kern w:val="0"/>
                <w:szCs w:val="21"/>
              </w:rPr>
              <w:t>10</w:t>
            </w:r>
            <w:r>
              <w:rPr>
                <w:rFonts w:hint="eastAsia" w:ascii="仿宋_GB2312" w:eastAsia="仿宋_GB2312"/>
                <w:kern w:val="0"/>
                <w:szCs w:val="21"/>
              </w:rPr>
              <w:t>分）</w:t>
            </w:r>
          </w:p>
        </w:tc>
        <w:tc>
          <w:tcPr>
            <w:tcW w:w="8693" w:type="dxa"/>
            <w:vAlign w:val="center"/>
          </w:tcPr>
          <w:p>
            <w:pPr>
              <w:spacing w:line="240" w:lineRule="atLeast"/>
              <w:rPr>
                <w:rFonts w:ascii="仿宋_GB2312" w:eastAsia="仿宋_GB2312"/>
                <w:kern w:val="0"/>
                <w:szCs w:val="21"/>
              </w:rPr>
            </w:pPr>
            <w:r>
              <w:rPr>
                <w:rFonts w:hint="eastAsia" w:ascii="仿宋_GB2312" w:eastAsia="仿宋_GB2312"/>
                <w:kern w:val="0"/>
                <w:szCs w:val="21"/>
              </w:rPr>
              <w:t>承诺经审定的竣工结算下浮率：以各投标人承诺的最低竣工结算下浮率（如4%为高，5%为低）为计分基准值，分值为</w:t>
            </w:r>
            <w:r>
              <w:rPr>
                <w:rFonts w:ascii="仿宋_GB2312" w:eastAsia="仿宋_GB2312"/>
                <w:kern w:val="0"/>
                <w:szCs w:val="21"/>
              </w:rPr>
              <w:t>10</w:t>
            </w:r>
            <w:r>
              <w:rPr>
                <w:rFonts w:hint="eastAsia" w:ascii="仿宋_GB2312" w:eastAsia="仿宋_GB2312"/>
                <w:kern w:val="0"/>
                <w:szCs w:val="21"/>
              </w:rPr>
              <w:t>分，其他投标人所报的承诺竣工结算下浮率较计分基准值每高1%扣</w:t>
            </w:r>
            <w:r>
              <w:rPr>
                <w:rFonts w:ascii="仿宋_GB2312" w:eastAsia="仿宋_GB2312"/>
                <w:kern w:val="0"/>
                <w:szCs w:val="21"/>
              </w:rPr>
              <w:t>1</w:t>
            </w:r>
            <w:r>
              <w:rPr>
                <w:rFonts w:hint="eastAsia" w:ascii="仿宋_GB2312" w:eastAsia="仿宋_GB2312"/>
                <w:kern w:val="0"/>
                <w:szCs w:val="21"/>
              </w:rPr>
              <w:t>分，扣至零分为止。（例：假如结算下浮率计分基准值为5.0%，投标自报为4.0%，则高1%，扣</w:t>
            </w:r>
            <w:r>
              <w:rPr>
                <w:rFonts w:ascii="仿宋_GB2312" w:eastAsia="仿宋_GB2312"/>
                <w:kern w:val="0"/>
                <w:szCs w:val="21"/>
              </w:rPr>
              <w:t>1</w:t>
            </w:r>
            <w:r>
              <w:rPr>
                <w:rFonts w:hint="eastAsia" w:ascii="仿宋_GB2312" w:eastAsia="仿宋_GB2312"/>
                <w:kern w:val="0"/>
                <w:szCs w:val="21"/>
              </w:rPr>
              <w:t>分；以此类推）。</w:t>
            </w:r>
          </w:p>
        </w:tc>
        <w:tc>
          <w:tcPr>
            <w:tcW w:w="1215" w:type="dxa"/>
            <w:vAlign w:val="center"/>
          </w:tcPr>
          <w:p>
            <w:pPr>
              <w:spacing w:line="240" w:lineRule="atLeast"/>
              <w:rPr>
                <w:rFonts w:ascii="仿宋_GB2312" w:eastAsia="仿宋_GB2312"/>
                <w:szCs w:val="21"/>
              </w:rPr>
            </w:pPr>
            <w:r>
              <w:rPr>
                <w:rFonts w:hint="eastAsia" w:ascii="仿宋_GB2312" w:eastAsia="仿宋_GB2312"/>
                <w:szCs w:val="21"/>
              </w:rPr>
              <w:t>精确到</w:t>
            </w:r>
            <w:r>
              <w:rPr>
                <w:rFonts w:ascii="仿宋_GB2312" w:eastAsia="仿宋_GB2312"/>
                <w:szCs w:val="21"/>
              </w:rPr>
              <w:t>2</w:t>
            </w:r>
            <w:r>
              <w:rPr>
                <w:rFonts w:hint="eastAsia" w:ascii="仿宋_GB2312" w:eastAsia="仿宋_GB2312"/>
                <w:szCs w:val="21"/>
              </w:rPr>
              <w:t>位小数点。</w:t>
            </w:r>
          </w:p>
        </w:tc>
      </w:tr>
    </w:tbl>
    <w:p>
      <w:pPr>
        <w:jc w:val="center"/>
        <w:rPr>
          <w:rFonts w:ascii="仿宋_GB2312" w:eastAsia="仿宋_GB2312"/>
          <w:b/>
          <w:bCs/>
          <w:sz w:val="24"/>
        </w:rPr>
      </w:pPr>
    </w:p>
    <w:p>
      <w:pPr>
        <w:rPr>
          <w:rFonts w:ascii="仿宋_GB2312" w:eastAsia="仿宋_GB2312"/>
          <w:b/>
          <w:bCs/>
          <w:sz w:val="24"/>
        </w:rPr>
        <w:sectPr>
          <w:pgSz w:w="16838" w:h="11906" w:orient="landscape"/>
          <w:pgMar w:top="1701" w:right="1701" w:bottom="1418" w:left="1701" w:header="1134" w:footer="907" w:gutter="0"/>
          <w:cols w:space="720" w:num="1"/>
          <w:docGrid w:linePitch="312" w:charSpace="0"/>
        </w:sectPr>
      </w:pPr>
    </w:p>
    <w:p>
      <w:pPr>
        <w:pStyle w:val="2"/>
        <w:pageBreakBefore w:val="0"/>
        <w:spacing w:before="120" w:beforeLines="50" w:afterLines="50" w:line="240" w:lineRule="auto"/>
        <w:ind w:left="0" w:firstLine="0"/>
        <w:rPr>
          <w:rFonts w:ascii="仿宋_GB2312" w:eastAsia="仿宋_GB2312"/>
        </w:rPr>
      </w:pPr>
      <w:r>
        <w:rPr>
          <w:rFonts w:hint="eastAsia" w:ascii="仿宋_GB2312" w:eastAsia="仿宋_GB2312"/>
        </w:rPr>
        <w:t>十一、</w:t>
      </w:r>
      <w:r>
        <w:rPr>
          <w:rFonts w:ascii="仿宋_GB2312" w:eastAsia="仿宋_GB2312"/>
        </w:rPr>
        <w:t>PPP</w:t>
      </w:r>
      <w:r>
        <w:rPr>
          <w:rFonts w:hint="eastAsia" w:ascii="仿宋_GB2312" w:eastAsia="仿宋_GB2312"/>
        </w:rPr>
        <w:t>项目合同</w:t>
      </w:r>
      <w:bookmarkEnd w:id="259"/>
    </w:p>
    <w:p>
      <w:pPr>
        <w:widowControl/>
        <w:adjustRightInd w:val="0"/>
        <w:snapToGrid w:val="0"/>
        <w:spacing w:before="120" w:beforeLines="50" w:line="360" w:lineRule="auto"/>
        <w:ind w:firstLine="480" w:firstLineChars="200"/>
        <w:jc w:val="left"/>
        <w:rPr>
          <w:rFonts w:ascii="仿宋_GB2312" w:eastAsia="仿宋_GB2312"/>
          <w:sz w:val="24"/>
        </w:rPr>
      </w:pPr>
    </w:p>
    <w:p>
      <w:pPr>
        <w:widowControl/>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《克拉玛依石化工业园区污水处理厂改建PPP项目合同》另行装订。</w:t>
      </w:r>
    </w:p>
    <w:p>
      <w:pPr>
        <w:widowControl/>
        <w:adjustRightInd w:val="0"/>
        <w:snapToGrid w:val="0"/>
        <w:spacing w:before="120" w:beforeLines="50" w:line="360" w:lineRule="auto"/>
        <w:ind w:firstLine="420" w:firstLineChars="200"/>
        <w:jc w:val="left"/>
        <w:rPr>
          <w:rFonts w:ascii="仿宋_GB2312" w:eastAsia="仿宋_GB2312"/>
        </w:rPr>
      </w:pPr>
    </w:p>
    <w:p>
      <w:pPr>
        <w:widowControl/>
        <w:jc w:val="left"/>
        <w:rPr>
          <w:rFonts w:ascii="仿宋_GB2312" w:eastAsia="仿宋_GB2312"/>
        </w:rPr>
      </w:pPr>
      <w:r>
        <w:rPr>
          <w:rFonts w:ascii="仿宋_GB2312" w:eastAsia="仿宋_GB2312"/>
        </w:rPr>
        <w:br w:type="page"/>
      </w:r>
    </w:p>
    <w:p>
      <w:pPr>
        <w:pStyle w:val="2"/>
        <w:pageBreakBefore w:val="0"/>
        <w:spacing w:before="120" w:beforeLines="50" w:afterLines="50" w:line="240" w:lineRule="auto"/>
        <w:ind w:left="0" w:firstLine="0"/>
        <w:rPr>
          <w:rFonts w:ascii="仿宋_GB2312" w:eastAsia="仿宋_GB2312"/>
        </w:rPr>
      </w:pPr>
      <w:bookmarkStart w:id="262" w:name="_Toc505732345"/>
      <w:bookmarkStart w:id="263" w:name="_Toc503252197"/>
      <w:r>
        <w:rPr>
          <w:rFonts w:hint="eastAsia" w:ascii="仿宋_GB2312" w:eastAsia="仿宋_GB2312"/>
        </w:rPr>
        <w:t>十二、项目采购需求</w:t>
      </w:r>
      <w:bookmarkStart w:id="264" w:name="_Toc461580685"/>
      <w:bookmarkStart w:id="265" w:name="_Toc460777769"/>
      <w:r>
        <w:rPr>
          <w:rFonts w:hint="eastAsia" w:ascii="仿宋_GB2312" w:eastAsia="仿宋_GB2312"/>
        </w:rPr>
        <w:t>、技术标准及要求</w:t>
      </w:r>
      <w:bookmarkEnd w:id="262"/>
      <w:bookmarkEnd w:id="263"/>
      <w:bookmarkEnd w:id="264"/>
      <w:bookmarkEnd w:id="265"/>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hint="eastAsia" w:ascii="仿宋_GB2312" w:eastAsia="仿宋_GB2312"/>
          <w:sz w:val="24"/>
          <w:szCs w:val="24"/>
        </w:rPr>
        <w:t>（本章内容是不可谈判条款，在P</w:t>
      </w:r>
      <w:r>
        <w:rPr>
          <w:rFonts w:ascii="仿宋_GB2312" w:eastAsia="仿宋_GB2312"/>
          <w:sz w:val="24"/>
          <w:szCs w:val="24"/>
        </w:rPr>
        <w:t>PP</w:t>
      </w:r>
      <w:r>
        <w:rPr>
          <w:rFonts w:hint="eastAsia" w:ascii="仿宋_GB2312" w:eastAsia="仿宋_GB2312"/>
          <w:sz w:val="24"/>
          <w:szCs w:val="24"/>
        </w:rPr>
        <w:t>项目合同响应/偏离表中不得偏离）</w:t>
      </w:r>
    </w:p>
    <w:p>
      <w:pPr>
        <w:pStyle w:val="202"/>
        <w:widowControl/>
        <w:numPr>
          <w:ilvl w:val="0"/>
          <w:numId w:val="15"/>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项目基本情况</w:t>
      </w:r>
    </w:p>
    <w:p>
      <w:pPr>
        <w:pStyle w:val="202"/>
        <w:widowControl/>
        <w:numPr>
          <w:ilvl w:val="1"/>
          <w:numId w:val="16"/>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项目概况</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项目名称：克拉玛依石化工业园污水处理厂改建PPP项目</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发起类型：政府发起</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项目领域：市政工程-污水处理</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项目类型：改建+委托运营</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项目范围：本项目包括3个子项目：（1）石化工业园区污水处理厂一期改建工程；（2）泵站提升改造；（3）泵站和配套市政排水管网。</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运作模式：ROT+O</w:t>
      </w:r>
      <w:r>
        <w:rPr>
          <w:rFonts w:ascii="仿宋_GB2312" w:eastAsia="仿宋_GB2312"/>
          <w:sz w:val="24"/>
          <w:szCs w:val="24"/>
        </w:rPr>
        <w:t>&amp;</w:t>
      </w:r>
      <w:r>
        <w:rPr>
          <w:rFonts w:hint="eastAsia" w:ascii="仿宋_GB2312" w:eastAsia="仿宋_GB2312"/>
          <w:sz w:val="24"/>
          <w:szCs w:val="24"/>
        </w:rPr>
        <w:t>M（改建-运营-移交+委托运营）</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拟合作期限：本项目合作期限为30年。</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项目地点：克拉玛依市石化工业园区</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项目估算总投资：项目总投资27398.38万元，包括一期改建总投资7768.61万元，存量资产19629.77万元。</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项目实施机构：克拉玛依市白碱滩区（克拉玛依高新技术产业开发区）住房和建设局</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政府方出资代表：无</w:t>
      </w:r>
    </w:p>
    <w:p>
      <w:pPr>
        <w:pStyle w:val="202"/>
        <w:widowControl/>
        <w:numPr>
          <w:ilvl w:val="0"/>
          <w:numId w:val="15"/>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项目运作方式</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克拉玛依市白碱滩区人民政府授权区住建局担任项目实施机构，具体负责本项目的识别、准备和社会资本采购等相关工作，并根据采购结果签署PPP项目合同；采购完成后，由中标社会资本独资组建项目公司负责改扩建项目的投资、融资、建设、运营维护和移交；项目建设和运营过程中，区住建局代表区政府对项目进行监管和绩效考核；区财政局按照项目公司与区住建局签署的</w:t>
      </w:r>
      <w:r>
        <w:rPr>
          <w:rFonts w:ascii="仿宋_GB2312" w:eastAsia="仿宋_GB2312"/>
          <w:sz w:val="24"/>
          <w:szCs w:val="24"/>
        </w:rPr>
        <w:t>PPP</w:t>
      </w:r>
      <w:r>
        <w:rPr>
          <w:rFonts w:hint="eastAsia" w:ascii="仿宋_GB2312" w:eastAsia="仿宋_GB2312"/>
          <w:sz w:val="24"/>
          <w:szCs w:val="24"/>
        </w:rPr>
        <w:t>项目协议（及其补充协议）中的约定及各项目的绩效考核结果付费至项目公司；项目合作期满，项目公司将本项目及项下资产无偿移交给区政府或其指定机构。</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为更好地体现引入社会资本所带来的融资、施工和运营优势，综合考虑本项目的进度要求、回报机制、风险分配基本框架、融资需求等因素，本项目以PPP模式开展，宜采用的运作方式为ROT+O</w:t>
      </w:r>
      <w:r>
        <w:rPr>
          <w:rFonts w:ascii="仿宋_GB2312" w:eastAsia="仿宋_GB2312"/>
          <w:sz w:val="24"/>
          <w:szCs w:val="24"/>
        </w:rPr>
        <w:t>&amp;</w:t>
      </w:r>
      <w:r>
        <w:rPr>
          <w:rFonts w:hint="eastAsia" w:ascii="仿宋_GB2312" w:eastAsia="仿宋_GB2312"/>
          <w:sz w:val="24"/>
          <w:szCs w:val="24"/>
        </w:rPr>
        <w:t>M的组合模式。具体子项目的运作方式包括：</w:t>
      </w:r>
    </w:p>
    <w:p>
      <w:pPr>
        <w:widowControl/>
        <w:adjustRightInd w:val="0"/>
        <w:snapToGrid w:val="0"/>
        <w:spacing w:before="120" w:beforeLines="50" w:line="360" w:lineRule="auto"/>
        <w:ind w:left="420"/>
        <w:jc w:val="left"/>
        <w:rPr>
          <w:rFonts w:ascii="仿宋_GB2312" w:eastAsia="仿宋_GB2312"/>
          <w:sz w:val="24"/>
          <w:szCs w:val="24"/>
        </w:rPr>
      </w:pPr>
      <w:r>
        <w:rPr>
          <w:rFonts w:ascii="仿宋_GB2312" w:eastAsia="仿宋_GB2312"/>
          <w:sz w:val="24"/>
          <w:szCs w:val="24"/>
        </w:rPr>
        <w:t xml:space="preserve">2.1 </w:t>
      </w:r>
      <w:r>
        <w:rPr>
          <w:rFonts w:hint="eastAsia" w:ascii="仿宋_GB2312" w:eastAsia="仿宋_GB2312"/>
          <w:sz w:val="24"/>
          <w:szCs w:val="24"/>
        </w:rPr>
        <w:t>克拉玛依石化工业园污水处理厂一期改建工程和泵站提升改造工程采用“改建-运营-移交（ROT）”模式</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社会资本向区住建局支付存量资产对价，取得克拉玛依石化工业园污水处理厂和泵站的经营权，在合作期内负责改建和运营维护工作，合作期满后将项下资产及设施无偿移交给克拉玛依市白碱滩区人民政府指定机构。</w:t>
      </w:r>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ascii="仿宋_GB2312" w:eastAsia="仿宋_GB2312"/>
          <w:sz w:val="24"/>
          <w:szCs w:val="24"/>
        </w:rPr>
        <w:t>2.2</w:t>
      </w:r>
      <w:r>
        <w:rPr>
          <w:rFonts w:hint="eastAsia" w:ascii="仿宋_GB2312" w:eastAsia="仿宋_GB2312"/>
          <w:sz w:val="24"/>
          <w:szCs w:val="24"/>
        </w:rPr>
        <w:t>泵站和配套市政排水管网采用“委托运营（O</w:t>
      </w:r>
      <w:r>
        <w:rPr>
          <w:rFonts w:ascii="仿宋_GB2312" w:eastAsia="仿宋_GB2312"/>
          <w:sz w:val="24"/>
          <w:szCs w:val="24"/>
        </w:rPr>
        <w:t>&amp;</w:t>
      </w:r>
      <w:r>
        <w:rPr>
          <w:rFonts w:hint="eastAsia" w:ascii="仿宋_GB2312" w:eastAsia="仿宋_GB2312"/>
          <w:sz w:val="24"/>
          <w:szCs w:val="24"/>
        </w:rPr>
        <w:t>M）”模式</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社会资本受区住建局委托，在合作期内负责克拉玛依石化工业园污水处理厂配套泵站和市政排水管网的运营维护工作，在合作期满后将项下资产及设施无偿移交给克拉玛依市白碱滩区人民政府指定机构。</w:t>
      </w:r>
    </w:p>
    <w:p>
      <w:pPr>
        <w:pStyle w:val="202"/>
        <w:widowControl/>
        <w:numPr>
          <w:ilvl w:val="0"/>
          <w:numId w:val="15"/>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项目付费来源、付费方式及回报机制</w:t>
      </w:r>
    </w:p>
    <w:p>
      <w:pPr>
        <w:widowControl/>
        <w:adjustRightInd w:val="0"/>
        <w:snapToGrid w:val="0"/>
        <w:spacing w:before="120" w:beforeLines="50" w:line="360" w:lineRule="auto"/>
        <w:ind w:left="420"/>
        <w:jc w:val="left"/>
        <w:rPr>
          <w:rFonts w:ascii="仿宋_GB2312" w:eastAsia="仿宋_GB2312"/>
          <w:sz w:val="24"/>
          <w:szCs w:val="24"/>
        </w:rPr>
      </w:pPr>
      <w:r>
        <w:rPr>
          <w:rFonts w:ascii="仿宋_GB2312" w:eastAsia="仿宋_GB2312"/>
          <w:sz w:val="24"/>
          <w:szCs w:val="24"/>
        </w:rPr>
        <w:t xml:space="preserve">3.1 </w:t>
      </w:r>
      <w:r>
        <w:rPr>
          <w:rFonts w:hint="eastAsia" w:ascii="仿宋_GB2312" w:eastAsia="仿宋_GB2312"/>
          <w:sz w:val="24"/>
          <w:szCs w:val="24"/>
        </w:rPr>
        <w:t>回报机制</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根据本项目的运作方式，本项目的回报为政府支付的污水处理服务费，回报机制为政府付费：自本项目商业试运营日起至本项目合作期满，政府按照PPP协议，根据绩效考核结果向项目公司支付污水处理服务费，以覆盖项目总投资和运营维护成本费用。</w:t>
      </w:r>
    </w:p>
    <w:p>
      <w:pPr>
        <w:widowControl/>
        <w:adjustRightInd w:val="0"/>
        <w:snapToGrid w:val="0"/>
        <w:spacing w:before="120" w:beforeLines="50" w:line="360" w:lineRule="auto"/>
        <w:ind w:left="420"/>
        <w:jc w:val="left"/>
        <w:rPr>
          <w:rFonts w:ascii="仿宋_GB2312" w:eastAsia="仿宋_GB2312"/>
          <w:sz w:val="24"/>
          <w:szCs w:val="24"/>
        </w:rPr>
      </w:pPr>
      <w:r>
        <w:rPr>
          <w:rFonts w:ascii="仿宋_GB2312" w:eastAsia="仿宋_GB2312"/>
          <w:sz w:val="24"/>
          <w:szCs w:val="24"/>
        </w:rPr>
        <w:t xml:space="preserve">3.2 </w:t>
      </w:r>
      <w:r>
        <w:rPr>
          <w:rFonts w:hint="eastAsia" w:ascii="仿宋_GB2312" w:eastAsia="仿宋_GB2312"/>
          <w:sz w:val="24"/>
          <w:szCs w:val="24"/>
        </w:rPr>
        <w:t>付费方式</w:t>
      </w:r>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hint="eastAsia" w:ascii="仿宋_GB2312" w:eastAsia="仿宋_GB2312"/>
          <w:sz w:val="24"/>
          <w:szCs w:val="24"/>
        </w:rPr>
        <w:t>污水处理服务费“按日计量、按月付费”。</w:t>
      </w:r>
    </w:p>
    <w:p>
      <w:pPr>
        <w:widowControl/>
        <w:adjustRightInd w:val="0"/>
        <w:snapToGrid w:val="0"/>
        <w:spacing w:before="120" w:beforeLines="50" w:line="360" w:lineRule="auto"/>
        <w:ind w:left="420"/>
        <w:jc w:val="left"/>
        <w:rPr>
          <w:rFonts w:ascii="仿宋_GB2312" w:eastAsia="仿宋_GB2312"/>
          <w:sz w:val="24"/>
          <w:szCs w:val="24"/>
        </w:rPr>
      </w:pPr>
      <w:r>
        <w:rPr>
          <w:rFonts w:ascii="仿宋_GB2312" w:eastAsia="仿宋_GB2312"/>
          <w:sz w:val="24"/>
          <w:szCs w:val="24"/>
        </w:rPr>
        <w:t xml:space="preserve">3.3 </w:t>
      </w:r>
      <w:r>
        <w:rPr>
          <w:rFonts w:hint="eastAsia" w:ascii="仿宋_GB2312" w:eastAsia="仿宋_GB2312"/>
          <w:sz w:val="24"/>
          <w:szCs w:val="24"/>
        </w:rPr>
        <w:t>付费来源</w:t>
      </w:r>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hint="eastAsia" w:ascii="仿宋_GB2312" w:eastAsia="仿宋_GB2312"/>
          <w:sz w:val="24"/>
          <w:szCs w:val="24"/>
        </w:rPr>
        <w:t>本项目政府付费来源为财政资金。</w:t>
      </w:r>
    </w:p>
    <w:p>
      <w:pPr>
        <w:pStyle w:val="202"/>
        <w:widowControl/>
        <w:numPr>
          <w:ilvl w:val="0"/>
          <w:numId w:val="15"/>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项目竣工验收要求</w:t>
      </w:r>
    </w:p>
    <w:p>
      <w:pPr>
        <w:widowControl/>
        <w:adjustRightInd w:val="0"/>
        <w:snapToGrid w:val="0"/>
        <w:spacing w:before="120" w:beforeLines="50" w:line="360" w:lineRule="auto"/>
        <w:ind w:left="420"/>
        <w:jc w:val="left"/>
        <w:rPr>
          <w:rFonts w:ascii="仿宋_GB2312" w:eastAsia="仿宋_GB2312"/>
          <w:sz w:val="24"/>
          <w:szCs w:val="24"/>
        </w:rPr>
      </w:pPr>
      <w:r>
        <w:rPr>
          <w:rFonts w:hint="eastAsia" w:ascii="仿宋_GB2312" w:eastAsia="仿宋_GB2312"/>
          <w:sz w:val="24"/>
          <w:szCs w:val="24"/>
        </w:rPr>
        <w:t>根据《PPP项目合同》约定执行。</w:t>
      </w:r>
    </w:p>
    <w:p>
      <w:pPr>
        <w:pStyle w:val="202"/>
        <w:widowControl/>
        <w:numPr>
          <w:ilvl w:val="0"/>
          <w:numId w:val="15"/>
        </w:numPr>
        <w:adjustRightInd w:val="0"/>
        <w:snapToGrid w:val="0"/>
        <w:spacing w:before="120" w:beforeLines="50" w:line="360" w:lineRule="auto"/>
        <w:ind w:firstLineChars="0"/>
        <w:jc w:val="left"/>
        <w:rPr>
          <w:rFonts w:ascii="仿宋_GB2312" w:eastAsia="仿宋_GB2312"/>
          <w:sz w:val="24"/>
          <w:szCs w:val="24"/>
        </w:rPr>
      </w:pPr>
      <w:r>
        <w:rPr>
          <w:rFonts w:hint="eastAsia" w:ascii="仿宋_GB2312" w:eastAsia="仿宋_GB2312"/>
          <w:sz w:val="24"/>
          <w:szCs w:val="24"/>
        </w:rPr>
        <w:t>风险分担</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本项目建设投资大，运营维护期长，对项目风险因素识别是本项目成功的前提。本项目风险分配遵循以下原则：</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（1）风险分配最优原则，由对风险最有控制力的一方承担本项目的主要风险；</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（2）风险收益对等原则，承担的风险程度与所得的回报收益相匹配；</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（3）风险可控原则，建立风险预控机制，承担的风险应有上限。</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原则上金融、建设、运营、移交等商业风险主要由社会资本方承担；政府行为风险等主要由政府方承担；设计、法律、政策、税务、不可抗力风险等由政府方和社会资本方合理共担。</w:t>
      </w:r>
    </w:p>
    <w:p>
      <w:pPr>
        <w:widowControl/>
        <w:adjustRightInd w:val="0"/>
        <w:snapToGrid w:val="0"/>
        <w:spacing w:before="120" w:beforeLines="50" w:line="360" w:lineRule="auto"/>
        <w:ind w:left="420" w:firstLine="480" w:firstLineChars="200"/>
        <w:jc w:val="left"/>
        <w:rPr>
          <w:rFonts w:ascii="仿宋_GB2312" w:eastAsia="仿宋_GB2312"/>
          <w:sz w:val="24"/>
          <w:szCs w:val="24"/>
        </w:rPr>
      </w:pPr>
      <w:r>
        <w:rPr>
          <w:rFonts w:hint="eastAsia" w:ascii="仿宋_GB2312" w:eastAsia="仿宋_GB2312"/>
          <w:sz w:val="24"/>
          <w:szCs w:val="24"/>
        </w:rPr>
        <w:t>具体风险识别与分配如下表所示：</w:t>
      </w:r>
    </w:p>
    <w:p>
      <w:pPr>
        <w:snapToGrid w:val="0"/>
        <w:spacing w:before="120" w:beforeLines="50" w:after="120" w:afterLines="50" w:line="300" w:lineRule="auto"/>
        <w:jc w:val="center"/>
        <w:rPr>
          <w:rFonts w:eastAsia="仿宋"/>
          <w:sz w:val="24"/>
          <w:szCs w:val="24"/>
        </w:rPr>
      </w:pPr>
      <w:r>
        <w:rPr>
          <w:rFonts w:hint="eastAsia" w:eastAsia="仿宋"/>
          <w:sz w:val="24"/>
          <w:szCs w:val="24"/>
        </w:rPr>
        <w:t>风险预计分配框架表</w:t>
      </w:r>
    </w:p>
    <w:tbl>
      <w:tblPr>
        <w:tblStyle w:val="4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15"/>
        <w:gridCol w:w="2350"/>
        <w:gridCol w:w="909"/>
        <w:gridCol w:w="720"/>
        <w:gridCol w:w="814"/>
        <w:gridCol w:w="90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4" w:type="dxa"/>
            <w:vMerge w:val="restart"/>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风险类别</w:t>
            </w:r>
          </w:p>
        </w:tc>
        <w:tc>
          <w:tcPr>
            <w:tcW w:w="1215" w:type="dxa"/>
            <w:vMerge w:val="restart"/>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主要风险</w:t>
            </w:r>
          </w:p>
        </w:tc>
        <w:tc>
          <w:tcPr>
            <w:tcW w:w="2350" w:type="dxa"/>
            <w:vMerge w:val="restart"/>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风险要义</w:t>
            </w:r>
          </w:p>
        </w:tc>
        <w:tc>
          <w:tcPr>
            <w:tcW w:w="909" w:type="dxa"/>
            <w:vMerge w:val="restart"/>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发生期</w:t>
            </w:r>
          </w:p>
        </w:tc>
        <w:tc>
          <w:tcPr>
            <w:tcW w:w="2443" w:type="dxa"/>
            <w:gridSpan w:val="3"/>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风险分配（√）</w:t>
            </w:r>
          </w:p>
        </w:tc>
        <w:tc>
          <w:tcPr>
            <w:tcW w:w="2063" w:type="dxa"/>
            <w:vMerge w:val="restart"/>
            <w:shd w:val="clear" w:color="000000" w:fill="BFBFBF"/>
            <w:vAlign w:val="center"/>
          </w:tcPr>
          <w:p>
            <w:pPr>
              <w:snapToGrid w:val="0"/>
              <w:spacing w:before="120" w:beforeLines="50" w:after="120" w:afterLines="50" w:line="300" w:lineRule="auto"/>
              <w:ind w:firstLine="39" w:firstLineChars="16"/>
              <w:jc w:val="center"/>
              <w:rPr>
                <w:rFonts w:eastAsia="仿宋"/>
                <w:b/>
                <w:bCs/>
                <w:sz w:val="24"/>
                <w:szCs w:val="24"/>
              </w:rPr>
            </w:pPr>
            <w:r>
              <w:rPr>
                <w:rFonts w:hint="eastAsia" w:eastAsia="仿宋"/>
                <w:b/>
                <w:bCs/>
                <w:sz w:val="24"/>
                <w:szCs w:val="24"/>
              </w:rPr>
              <w:t>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4" w:type="dxa"/>
            <w:vMerge w:val="continue"/>
            <w:vAlign w:val="center"/>
          </w:tcPr>
          <w:p>
            <w:pPr>
              <w:snapToGrid w:val="0"/>
              <w:spacing w:before="120" w:beforeLines="50" w:after="120" w:afterLines="50" w:line="300" w:lineRule="auto"/>
              <w:jc w:val="center"/>
              <w:rPr>
                <w:rFonts w:eastAsia="仿宋"/>
                <w:b/>
                <w:bCs/>
                <w:sz w:val="24"/>
                <w:szCs w:val="24"/>
              </w:rPr>
            </w:pPr>
          </w:p>
        </w:tc>
        <w:tc>
          <w:tcPr>
            <w:tcW w:w="1215" w:type="dxa"/>
            <w:vMerge w:val="continue"/>
            <w:vAlign w:val="center"/>
          </w:tcPr>
          <w:p>
            <w:pPr>
              <w:snapToGrid w:val="0"/>
              <w:spacing w:before="120" w:beforeLines="50" w:after="120" w:afterLines="50" w:line="300" w:lineRule="auto"/>
              <w:jc w:val="center"/>
              <w:rPr>
                <w:rFonts w:eastAsia="仿宋"/>
                <w:b/>
                <w:bCs/>
                <w:sz w:val="24"/>
                <w:szCs w:val="24"/>
              </w:rPr>
            </w:pPr>
          </w:p>
        </w:tc>
        <w:tc>
          <w:tcPr>
            <w:tcW w:w="2350" w:type="dxa"/>
            <w:vMerge w:val="continue"/>
            <w:vAlign w:val="center"/>
          </w:tcPr>
          <w:p>
            <w:pPr>
              <w:snapToGrid w:val="0"/>
              <w:spacing w:before="120" w:beforeLines="50" w:after="120" w:afterLines="50" w:line="300" w:lineRule="auto"/>
              <w:jc w:val="center"/>
              <w:rPr>
                <w:rFonts w:eastAsia="仿宋"/>
                <w:b/>
                <w:bCs/>
                <w:sz w:val="24"/>
                <w:szCs w:val="24"/>
              </w:rPr>
            </w:pPr>
          </w:p>
        </w:tc>
        <w:tc>
          <w:tcPr>
            <w:tcW w:w="909" w:type="dxa"/>
            <w:vMerge w:val="continue"/>
            <w:vAlign w:val="center"/>
          </w:tcPr>
          <w:p>
            <w:pPr>
              <w:snapToGrid w:val="0"/>
              <w:spacing w:before="120" w:beforeLines="50" w:after="120" w:afterLines="50" w:line="300" w:lineRule="auto"/>
              <w:jc w:val="center"/>
              <w:rPr>
                <w:rFonts w:eastAsia="仿宋"/>
                <w:b/>
                <w:bCs/>
                <w:sz w:val="24"/>
                <w:szCs w:val="24"/>
              </w:rPr>
            </w:pPr>
          </w:p>
        </w:tc>
        <w:tc>
          <w:tcPr>
            <w:tcW w:w="720" w:type="dxa"/>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政府方</w:t>
            </w:r>
          </w:p>
        </w:tc>
        <w:tc>
          <w:tcPr>
            <w:tcW w:w="814" w:type="dxa"/>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社会资本方</w:t>
            </w:r>
          </w:p>
        </w:tc>
        <w:tc>
          <w:tcPr>
            <w:tcW w:w="909" w:type="dxa"/>
            <w:shd w:val="clear" w:color="000000" w:fill="BFBFBF"/>
            <w:vAlign w:val="center"/>
          </w:tcPr>
          <w:p>
            <w:pPr>
              <w:snapToGrid w:val="0"/>
              <w:spacing w:before="120" w:beforeLines="50" w:after="120" w:afterLines="50" w:line="300" w:lineRule="auto"/>
              <w:jc w:val="center"/>
              <w:rPr>
                <w:rFonts w:eastAsia="仿宋"/>
                <w:b/>
                <w:bCs/>
                <w:sz w:val="24"/>
                <w:szCs w:val="24"/>
              </w:rPr>
            </w:pPr>
            <w:r>
              <w:rPr>
                <w:rFonts w:hint="eastAsia" w:eastAsia="仿宋"/>
                <w:b/>
                <w:bCs/>
                <w:sz w:val="24"/>
                <w:szCs w:val="24"/>
              </w:rPr>
              <w:t>项目公司</w:t>
            </w:r>
          </w:p>
        </w:tc>
        <w:tc>
          <w:tcPr>
            <w:tcW w:w="2063" w:type="dxa"/>
            <w:vMerge w:val="continue"/>
            <w:shd w:val="clear" w:color="000000" w:fill="BFBFBF"/>
            <w:vAlign w:val="center"/>
          </w:tcPr>
          <w:p>
            <w:pPr>
              <w:snapToGrid w:val="0"/>
              <w:spacing w:before="120" w:beforeLines="50" w:after="120" w:afterLines="50" w:line="300" w:lineRule="auto"/>
              <w:jc w:val="center"/>
              <w:rPr>
                <w:rFonts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金融风险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融资风险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融资不到位导致项目实施受阻，直接影响项目建设和推进</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Align w:val="center"/>
          </w:tcPr>
          <w:p>
            <w:pPr>
              <w:snapToGrid w:val="0"/>
              <w:spacing w:before="120" w:beforeLines="50" w:after="120" w:afterLines="50" w:line="300" w:lineRule="auto"/>
              <w:rPr>
                <w:rFonts w:eastAsia="仿宋"/>
                <w:sz w:val="24"/>
                <w:szCs w:val="24"/>
              </w:rPr>
            </w:pPr>
            <w:r>
              <w:rPr>
                <w:rFonts w:eastAsia="仿宋"/>
                <w:sz w:val="24"/>
                <w:szCs w:val="24"/>
              </w:rPr>
              <w:t>1</w:t>
            </w:r>
            <w:r>
              <w:rPr>
                <w:rFonts w:hint="eastAsia" w:eastAsia="仿宋"/>
                <w:sz w:val="24"/>
                <w:szCs w:val="24"/>
              </w:rPr>
              <w:t>、综合考虑目前融资环境，合理设置项目条件，确保项目对投资人有吸引力；</w:t>
            </w:r>
            <w:r>
              <w:rPr>
                <w:rFonts w:eastAsia="仿宋"/>
                <w:sz w:val="24"/>
                <w:szCs w:val="24"/>
              </w:rPr>
              <w:t>2</w:t>
            </w:r>
            <w:r>
              <w:rPr>
                <w:rFonts w:hint="eastAsia" w:eastAsia="仿宋"/>
                <w:sz w:val="24"/>
                <w:szCs w:val="24"/>
              </w:rPr>
              <w:t>、选择财务实力较强的投资人；</w:t>
            </w:r>
            <w:r>
              <w:rPr>
                <w:rFonts w:eastAsia="仿宋"/>
                <w:sz w:val="24"/>
                <w:szCs w:val="24"/>
              </w:rPr>
              <w:t>3</w:t>
            </w:r>
            <w:r>
              <w:rPr>
                <w:rFonts w:hint="eastAsia" w:eastAsia="仿宋"/>
                <w:sz w:val="24"/>
                <w:szCs w:val="24"/>
              </w:rPr>
              <w:t>、</w:t>
            </w:r>
            <w:r>
              <w:rPr>
                <w:rFonts w:eastAsia="仿宋"/>
                <w:sz w:val="24"/>
                <w:szCs w:val="24"/>
              </w:rPr>
              <w:t>PPP</w:t>
            </w:r>
            <w:r>
              <w:rPr>
                <w:rFonts w:hint="eastAsia" w:eastAsia="仿宋"/>
                <w:sz w:val="24"/>
                <w:szCs w:val="24"/>
              </w:rPr>
              <w:t>项目协议中明确投资人资金投入及融资的相关责任。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利率风险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利率变动导致的成本增加</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建设期和运营期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Align w:val="center"/>
          </w:tcPr>
          <w:p>
            <w:pPr>
              <w:snapToGrid w:val="0"/>
              <w:spacing w:before="120" w:beforeLines="50" w:after="120" w:afterLines="50" w:line="300" w:lineRule="auto"/>
              <w:rPr>
                <w:rFonts w:eastAsia="仿宋"/>
                <w:sz w:val="24"/>
                <w:szCs w:val="24"/>
              </w:rPr>
            </w:pPr>
            <w:r>
              <w:rPr>
                <w:rFonts w:hint="eastAsia" w:eastAsia="仿宋"/>
                <w:sz w:val="24"/>
                <w:szCs w:val="24"/>
              </w:rPr>
              <w:t>通过设置合理的价格调整机制设置降低利率变动带来的影响。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再融资风险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项目实际融资需求与原计划存在较大差异而导致的再融资成本</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Align w:val="center"/>
          </w:tcPr>
          <w:p>
            <w:pPr>
              <w:snapToGrid w:val="0"/>
              <w:spacing w:before="120" w:beforeLines="50" w:after="120" w:afterLines="50" w:line="300" w:lineRule="auto"/>
              <w:rPr>
                <w:rFonts w:eastAsia="仿宋"/>
                <w:sz w:val="24"/>
                <w:szCs w:val="24"/>
              </w:rPr>
            </w:pPr>
            <w:r>
              <w:rPr>
                <w:rFonts w:hint="eastAsia" w:eastAsia="仿宋"/>
                <w:sz w:val="24"/>
                <w:szCs w:val="24"/>
              </w:rPr>
              <w:t>设置合理的再融资机制，确保项目运营所需资金能够顺利解决。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通货膨胀风险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因通货膨胀引起整体物价水平上升，货币的购买力下降，导致项目成本远大于预测值</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Align w:val="center"/>
          </w:tcPr>
          <w:p>
            <w:pPr>
              <w:snapToGrid w:val="0"/>
              <w:spacing w:before="120" w:beforeLines="50" w:after="120" w:afterLines="50" w:line="300" w:lineRule="auto"/>
              <w:rPr>
                <w:rFonts w:eastAsia="仿宋"/>
                <w:sz w:val="24"/>
                <w:szCs w:val="24"/>
              </w:rPr>
            </w:pPr>
            <w:r>
              <w:rPr>
                <w:rFonts w:hint="eastAsia" w:eastAsia="仿宋"/>
                <w:sz w:val="24"/>
                <w:szCs w:val="24"/>
              </w:rPr>
              <w:t>设置合理的价格调整机制，同时亦可考虑将部分风险转移给施工承包商或运营承包商。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流动性风险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由于营业收入不足以偿还债务缺少流动资金风险</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项目公司建立良好的财务管理制度并配备专业人员加以管控。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其他金融风险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原则上，其他金融风险由项目公司及社会资本方承担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设计风险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深度不足</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节点设计深度不足导致的项目工期延误、成本增加</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sz w:val="24"/>
                <w:szCs w:val="24"/>
              </w:rPr>
            </w:pPr>
            <w:r>
              <w:rPr>
                <w:rFonts w:hint="eastAsia" w:eastAsia="仿宋"/>
                <w:sz w:val="24"/>
                <w:szCs w:val="24"/>
              </w:rPr>
              <w:t>确保初步设计及施工图设计深度，确保项目可行性及加强投资控制；</w:t>
            </w:r>
          </w:p>
          <w:p>
            <w:pPr>
              <w:snapToGrid w:val="0"/>
              <w:spacing w:before="120" w:beforeLines="50" w:after="120" w:afterLines="50" w:line="300" w:lineRule="auto"/>
              <w:rPr>
                <w:rFonts w:eastAsia="仿宋"/>
                <w:sz w:val="24"/>
                <w:szCs w:val="24"/>
              </w:rPr>
            </w:pPr>
            <w:r>
              <w:rPr>
                <w:rFonts w:hint="eastAsia" w:eastAsia="仿宋"/>
                <w:sz w:val="24"/>
                <w:szCs w:val="24"/>
              </w:rPr>
              <w:t>采购时应对进行资格审查，签署完备的设计合同，设计单位提供技术或者工艺流程担保，政府加强对设计的监管。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设计变更</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eastAsia="仿宋"/>
                <w:sz w:val="24"/>
                <w:szCs w:val="24"/>
              </w:rPr>
              <w:t>1</w:t>
            </w:r>
            <w:r>
              <w:rPr>
                <w:rFonts w:hint="eastAsia" w:eastAsia="仿宋"/>
                <w:sz w:val="24"/>
                <w:szCs w:val="24"/>
              </w:rPr>
              <w:t>、由于规范标准变化、合同变更等而产生的额外成本增加；</w:t>
            </w:r>
            <w:r>
              <w:rPr>
                <w:rFonts w:eastAsia="仿宋"/>
                <w:sz w:val="24"/>
                <w:szCs w:val="24"/>
              </w:rPr>
              <w:t>2</w:t>
            </w:r>
            <w:r>
              <w:rPr>
                <w:rFonts w:hint="eastAsia" w:eastAsia="仿宋"/>
                <w:sz w:val="24"/>
                <w:szCs w:val="24"/>
              </w:rPr>
              <w:t>、设计变更的风险负担原则为</w:t>
            </w:r>
            <w:r>
              <w:rPr>
                <w:rFonts w:eastAsia="仿宋"/>
                <w:sz w:val="24"/>
                <w:szCs w:val="24"/>
              </w:rPr>
              <w:t>“</w:t>
            </w:r>
            <w:r>
              <w:rPr>
                <w:rFonts w:hint="eastAsia" w:eastAsia="仿宋"/>
                <w:sz w:val="24"/>
                <w:szCs w:val="24"/>
              </w:rPr>
              <w:t>谁提出、谁承担</w:t>
            </w:r>
            <w:r>
              <w:rPr>
                <w:rFonts w:eastAsia="仿宋"/>
                <w:sz w:val="24"/>
                <w:szCs w:val="24"/>
              </w:rPr>
              <w:t>”</w:t>
            </w: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设计缺陷</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eastAsia="仿宋"/>
                <w:sz w:val="24"/>
                <w:szCs w:val="24"/>
              </w:rPr>
              <w:t>1</w:t>
            </w:r>
            <w:r>
              <w:rPr>
                <w:rFonts w:hint="eastAsia" w:eastAsia="仿宋"/>
                <w:sz w:val="24"/>
                <w:szCs w:val="24"/>
              </w:rPr>
              <w:t>、设计缺陷是指由于设计存在缺陷，导致施工或运营过程中出现问题产生的修复成本；</w:t>
            </w:r>
          </w:p>
          <w:p>
            <w:pPr>
              <w:snapToGrid w:val="0"/>
              <w:spacing w:before="120" w:beforeLines="50" w:after="120" w:afterLines="50" w:line="300" w:lineRule="auto"/>
              <w:rPr>
                <w:rFonts w:eastAsia="仿宋"/>
                <w:sz w:val="24"/>
                <w:szCs w:val="24"/>
              </w:rPr>
            </w:pPr>
            <w:r>
              <w:rPr>
                <w:rFonts w:eastAsia="仿宋"/>
                <w:sz w:val="24"/>
                <w:szCs w:val="24"/>
              </w:rPr>
              <w:t>2</w:t>
            </w:r>
            <w:r>
              <w:rPr>
                <w:rFonts w:hint="eastAsia" w:eastAsia="仿宋"/>
                <w:sz w:val="24"/>
                <w:szCs w:val="24"/>
              </w:rPr>
              <w:t>、设计缺陷风险负担原则为</w:t>
            </w:r>
            <w:r>
              <w:rPr>
                <w:rFonts w:eastAsia="仿宋"/>
                <w:sz w:val="24"/>
                <w:szCs w:val="24"/>
              </w:rPr>
              <w:t>“</w:t>
            </w:r>
            <w:r>
              <w:rPr>
                <w:rFonts w:hint="eastAsia" w:eastAsia="仿宋"/>
                <w:sz w:val="24"/>
                <w:szCs w:val="24"/>
              </w:rPr>
              <w:t>谁负责，谁承担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其他设计风险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由于设计变更和设计缺陷之外的其他原因导致的成本增加的风险。原则上，其他设计风险承担原则：</w:t>
            </w:r>
            <w:r>
              <w:rPr>
                <w:rFonts w:eastAsia="仿宋"/>
                <w:sz w:val="24"/>
                <w:szCs w:val="24"/>
              </w:rPr>
              <w:t>“</w:t>
            </w:r>
            <w:r>
              <w:rPr>
                <w:rFonts w:hint="eastAsia" w:eastAsia="仿宋"/>
                <w:sz w:val="24"/>
                <w:szCs w:val="24"/>
              </w:rPr>
              <w:t>谁负责，谁承担；谁提出，谁承担</w:t>
            </w:r>
            <w:r>
              <w:rPr>
                <w:rFonts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74" w:type="dxa"/>
            <w:vMerge w:val="continue"/>
            <w:shd w:val="clear" w:color="auto" w:fill="auto"/>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工期超期</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因非政府方因素导致的工期超期而带来项目效益下降及成本增加的可能性风险</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b/>
                <w:bCs/>
                <w:sz w:val="24"/>
                <w:szCs w:val="24"/>
              </w:rPr>
            </w:pPr>
            <w:r>
              <w:rPr>
                <w:rFonts w:hint="eastAsia" w:eastAsia="仿宋"/>
                <w:sz w:val="24"/>
                <w:szCs w:val="24"/>
              </w:rPr>
              <w:t>建议政府聘请专业的造价管理单位对项目建设成本进行管理和监管；</w:t>
            </w:r>
          </w:p>
          <w:p>
            <w:pPr>
              <w:snapToGrid w:val="0"/>
              <w:spacing w:before="120" w:beforeLines="50" w:after="120" w:afterLines="50" w:line="300" w:lineRule="auto"/>
              <w:rPr>
                <w:rFonts w:eastAsia="仿宋"/>
                <w:sz w:val="24"/>
                <w:szCs w:val="24"/>
              </w:rPr>
            </w:pPr>
            <w:r>
              <w:rPr>
                <w:rFonts w:hint="eastAsia" w:eastAsia="仿宋"/>
                <w:sz w:val="24"/>
                <w:szCs w:val="24"/>
              </w:rPr>
              <w:t>其他建设风险由项目公司通过施工合同合理转移给工程施工方。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工程质量</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施工质量不达标而导致返工等情况的可能性</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投资控制风险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项目公司投资控制不力，导致项目超出概预算</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安全及环境保护</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施工人员的人身安全、施工现场的财产安全及施工地的环境保护等</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文物保护</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施工过程中发现文物并因此造成的成本增加或工程延期</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其他建设风险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原则上，其他建设风险由项目公司承担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74" w:type="dxa"/>
            <w:vMerge w:val="restart"/>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运营风险</w:t>
            </w:r>
          </w:p>
        </w:tc>
        <w:tc>
          <w:tcPr>
            <w:tcW w:w="1215"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进水水质不达标</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指污水厂收集的生活污水和工业污水超出设计进水水质标准，影响污水处理成本或出水水质等</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2063" w:type="dxa"/>
            <w:vMerge w:val="restart"/>
            <w:vAlign w:val="center"/>
          </w:tcPr>
          <w:p>
            <w:pPr>
              <w:snapToGrid w:val="0"/>
              <w:spacing w:before="120" w:beforeLines="50" w:after="120" w:afterLines="50" w:line="300" w:lineRule="auto"/>
              <w:rPr>
                <w:rFonts w:eastAsia="仿宋"/>
                <w:sz w:val="24"/>
                <w:szCs w:val="24"/>
              </w:rPr>
            </w:pPr>
            <w:r>
              <w:rPr>
                <w:rFonts w:eastAsia="仿宋"/>
                <w:sz w:val="24"/>
                <w:szCs w:val="24"/>
              </w:rPr>
              <w:t>1</w:t>
            </w:r>
            <w:r>
              <w:rPr>
                <w:rFonts w:hint="eastAsia" w:eastAsia="仿宋"/>
                <w:sz w:val="24"/>
                <w:szCs w:val="24"/>
              </w:rPr>
              <w:t>、项目公司需组织设计高效的运营管理方案；</w:t>
            </w:r>
            <w:r>
              <w:rPr>
                <w:rFonts w:eastAsia="仿宋"/>
                <w:sz w:val="24"/>
                <w:szCs w:val="24"/>
              </w:rPr>
              <w:t>2</w:t>
            </w:r>
            <w:r>
              <w:rPr>
                <w:rFonts w:hint="eastAsia" w:eastAsia="仿宋"/>
                <w:sz w:val="24"/>
                <w:szCs w:val="24"/>
              </w:rPr>
              <w:t>、增加必要的运营维护频次和管理人员投入；</w:t>
            </w:r>
            <w:r>
              <w:rPr>
                <w:rFonts w:eastAsia="仿宋"/>
                <w:sz w:val="24"/>
                <w:szCs w:val="24"/>
              </w:rPr>
              <w:t>3</w:t>
            </w:r>
            <w:r>
              <w:rPr>
                <w:rFonts w:hint="eastAsia" w:eastAsia="仿宋"/>
                <w:sz w:val="24"/>
                <w:szCs w:val="24"/>
              </w:rPr>
              <w:t>、通过保险公司转移部分风险；</w:t>
            </w:r>
            <w:r>
              <w:rPr>
                <w:rFonts w:eastAsia="仿宋"/>
                <w:sz w:val="24"/>
                <w:szCs w:val="24"/>
              </w:rPr>
              <w:t>4</w:t>
            </w:r>
            <w:r>
              <w:rPr>
                <w:rFonts w:hint="eastAsia" w:eastAsia="仿宋"/>
                <w:sz w:val="24"/>
                <w:szCs w:val="24"/>
              </w:rPr>
              <w:t>、加强运营安全管理及绩效考核；</w:t>
            </w:r>
            <w:r>
              <w:rPr>
                <w:rFonts w:eastAsia="仿宋"/>
                <w:sz w:val="24"/>
                <w:szCs w:val="24"/>
              </w:rPr>
              <w:t>5</w:t>
            </w:r>
            <w:r>
              <w:rPr>
                <w:rFonts w:hint="eastAsia" w:eastAsia="仿宋"/>
                <w:sz w:val="24"/>
                <w:szCs w:val="24"/>
              </w:rPr>
              <w:t>、政府方通过对项目公司运营期绩效考核确保运营质量；</w:t>
            </w:r>
            <w:r>
              <w:rPr>
                <w:rFonts w:eastAsia="仿宋"/>
                <w:sz w:val="24"/>
                <w:szCs w:val="24"/>
              </w:rPr>
              <w:t>6</w:t>
            </w:r>
            <w:r>
              <w:rPr>
                <w:rFonts w:hint="eastAsia" w:eastAsia="仿宋"/>
                <w:sz w:val="24"/>
                <w:szCs w:val="24"/>
              </w:rPr>
              <w:t>、政府方需制定控制园区内污水排放标准，对于超标排放进行处罚和追责。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74" w:type="dxa"/>
            <w:vMerge w:val="continue"/>
            <w:shd w:val="clear" w:color="auto" w:fill="auto"/>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出水水质不达标</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指项目公司运营问题导致出水水质不达标</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运营安全</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指项目公司管理不善致发生安全责任事故，或者增加运营成本</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收入不足</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经营性收入严重低于预期，导致政府付费高于预期</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运营成本</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运营过程中因运营商自身管理原因造成运营成本居高不下</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其他运营风险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原则上，其他运营风险由项目公司承担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移交风险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移交质量不达标</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项目公司移交项目时未能达到政府方验收标准</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移交期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sz w:val="24"/>
                <w:szCs w:val="24"/>
              </w:rPr>
            </w:pPr>
            <w:r>
              <w:rPr>
                <w:rFonts w:hint="eastAsia" w:eastAsia="仿宋"/>
                <w:sz w:val="24"/>
                <w:szCs w:val="24"/>
              </w:rPr>
              <w:t>政府对项目定期进行绩效考核，做好运营过程中和项目移交前绩效评估。</w:t>
            </w:r>
          </w:p>
          <w:p>
            <w:pPr>
              <w:snapToGrid w:val="0"/>
              <w:spacing w:before="120" w:beforeLines="50" w:after="120" w:afterLines="50" w:line="300" w:lineRule="auto"/>
              <w:rPr>
                <w:rFonts w:eastAsia="仿宋"/>
                <w:sz w:val="24"/>
                <w:szCs w:val="24"/>
              </w:rPr>
            </w:pPr>
            <w:r>
              <w:rPr>
                <w:rFonts w:hint="eastAsia" w:eastAsia="仿宋"/>
                <w:sz w:val="24"/>
                <w:szCs w:val="24"/>
              </w:rPr>
              <w:t>在</w:t>
            </w:r>
            <w:r>
              <w:rPr>
                <w:rFonts w:eastAsia="仿宋"/>
                <w:sz w:val="24"/>
                <w:szCs w:val="24"/>
              </w:rPr>
              <w:t>PPP</w:t>
            </w:r>
            <w:r>
              <w:rPr>
                <w:rFonts w:hint="eastAsia" w:eastAsia="仿宋"/>
                <w:sz w:val="24"/>
                <w:szCs w:val="24"/>
              </w:rPr>
              <w:t>项目协议中明确规定项目移交条件、移交范围、验收程序、项目不满足移交条件的处理方案及惩罚措施等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移交资产界定纠纷</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移交时项目的资产界定出现纠纷，因此造成成本、费用增加</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移交期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其他移交风险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原则上，其他移交风险由项目公司和社会资本方承担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移交期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法律和政策</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非本级政府原因的法律法规和政策变动</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由于非本级政府原因导致的法律法规及政策变化而引起项目成本增加、收益降低等后果</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b/>
                <w:bCs/>
                <w:sz w:val="24"/>
                <w:szCs w:val="24"/>
              </w:rPr>
            </w:pPr>
            <w:r>
              <w:rPr>
                <w:rFonts w:hint="eastAsia" w:eastAsia="仿宋"/>
                <w:sz w:val="24"/>
                <w:szCs w:val="24"/>
              </w:rPr>
              <w:t>将法律变更风险与合作期限等联系起来，以合理方式补偿项目公司由于法律变更蒙受的损失。在</w:t>
            </w:r>
            <w:r>
              <w:rPr>
                <w:rFonts w:eastAsia="仿宋"/>
                <w:sz w:val="24"/>
                <w:szCs w:val="24"/>
              </w:rPr>
              <w:t>PPP</w:t>
            </w:r>
            <w:r>
              <w:rPr>
                <w:rFonts w:hint="eastAsia" w:eastAsia="仿宋"/>
                <w:sz w:val="24"/>
                <w:szCs w:val="24"/>
              </w:rPr>
              <w:t>项目协议中予以明确。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本级政府政策变动</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本级政府经济政策的变化而引起项目成本增加、收益降低等后果</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税务风险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全国性普遍增税或税法规定适用性</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包括中央或者地方政府的税收政策变更使得总成本费用增加或减少</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Align w:val="center"/>
          </w:tcPr>
          <w:p>
            <w:pPr>
              <w:snapToGrid w:val="0"/>
              <w:spacing w:before="120" w:beforeLines="50" w:after="120" w:afterLines="50" w:line="300" w:lineRule="auto"/>
              <w:rPr>
                <w:rFonts w:eastAsia="仿宋"/>
                <w:sz w:val="24"/>
                <w:szCs w:val="24"/>
              </w:rPr>
            </w:pPr>
            <w:r>
              <w:rPr>
                <w:rFonts w:hint="eastAsia" w:eastAsia="仿宋"/>
                <w:sz w:val="24"/>
                <w:szCs w:val="24"/>
              </w:rPr>
              <w:t>在</w:t>
            </w:r>
            <w:r>
              <w:rPr>
                <w:rFonts w:eastAsia="仿宋"/>
                <w:sz w:val="24"/>
                <w:szCs w:val="24"/>
              </w:rPr>
              <w:t>PPP</w:t>
            </w:r>
            <w:r>
              <w:rPr>
                <w:rFonts w:hint="eastAsia" w:eastAsia="仿宋"/>
                <w:sz w:val="24"/>
                <w:szCs w:val="24"/>
              </w:rPr>
              <w:t>项目协议中予以明确具体的分担方式。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税费处理不当</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项目公司未能合理处理税费，造成的成本增加</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建设期和运营期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sz w:val="24"/>
                <w:szCs w:val="24"/>
              </w:rPr>
            </w:pPr>
            <w:r>
              <w:rPr>
                <w:rFonts w:hint="eastAsia" w:eastAsia="仿宋"/>
                <w:sz w:val="24"/>
                <w:szCs w:val="24"/>
              </w:rPr>
              <w:t>项目公司应设定良好的税务管理制度并配备专业人员来规避风险。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其他税务风险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原则上，其他税务风险由项目公司承担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政府行为风险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审批延误</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政府审批流程过多或审批效率低下造成项目的延误</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建设期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2063" w:type="dxa"/>
            <w:vMerge w:val="restart"/>
            <w:vAlign w:val="center"/>
          </w:tcPr>
          <w:p>
            <w:pPr>
              <w:snapToGrid w:val="0"/>
              <w:spacing w:before="120" w:beforeLines="50" w:after="120" w:afterLines="50" w:line="300" w:lineRule="auto"/>
              <w:rPr>
                <w:rFonts w:eastAsia="仿宋"/>
                <w:b/>
                <w:bCs/>
                <w:sz w:val="24"/>
                <w:szCs w:val="24"/>
              </w:rPr>
            </w:pPr>
            <w:r>
              <w:rPr>
                <w:rFonts w:hint="eastAsia" w:eastAsia="仿宋"/>
                <w:sz w:val="24"/>
                <w:szCs w:val="24"/>
              </w:rPr>
              <w:t>政府方建立多个部门的协调机制，提高办事效率，加快项目审批速度。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经营权收回</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设施被征用或实施公有化</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其他政府行为风险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原则上，其他政府行为风险由政府方承担</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2063" w:type="dxa"/>
            <w:vMerge w:val="continue"/>
            <w:vAlign w:val="center"/>
          </w:tcPr>
          <w:p>
            <w:pPr>
              <w:snapToGrid w:val="0"/>
              <w:spacing w:before="120" w:beforeLines="50" w:after="120" w:afterLines="50" w:line="300" w:lineRule="auto"/>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4" w:type="dxa"/>
            <w:vMerge w:val="restart"/>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不可抗力风险</w:t>
            </w: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自然环境风险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地震、洪水、暴雨等自然灾害以及战乱等</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restart"/>
            <w:vAlign w:val="center"/>
          </w:tcPr>
          <w:p>
            <w:pPr>
              <w:snapToGrid w:val="0"/>
              <w:spacing w:before="120" w:beforeLines="50" w:after="120" w:afterLines="50" w:line="300" w:lineRule="auto"/>
              <w:rPr>
                <w:rFonts w:eastAsia="仿宋"/>
                <w:sz w:val="24"/>
                <w:szCs w:val="24"/>
              </w:rPr>
            </w:pPr>
            <w:r>
              <w:rPr>
                <w:rFonts w:hint="eastAsia" w:eastAsia="仿宋"/>
                <w:sz w:val="24"/>
                <w:szCs w:val="24"/>
              </w:rPr>
              <w:t>在</w:t>
            </w:r>
            <w:r>
              <w:rPr>
                <w:rFonts w:eastAsia="仿宋"/>
                <w:sz w:val="24"/>
                <w:szCs w:val="24"/>
              </w:rPr>
              <w:t>PPP</w:t>
            </w:r>
            <w:r>
              <w:rPr>
                <w:rFonts w:hint="eastAsia" w:eastAsia="仿宋"/>
                <w:sz w:val="24"/>
                <w:szCs w:val="24"/>
              </w:rPr>
              <w:t>项目协议中明确定义不可抗力事件，并明确发生之后的应对措施。项目公司可通过购买相应保险把风险转移给有承担能力的保险公司。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74" w:type="dxa"/>
            <w:vMerge w:val="continue"/>
            <w:vAlign w:val="center"/>
          </w:tcPr>
          <w:p>
            <w:pPr>
              <w:snapToGrid w:val="0"/>
              <w:spacing w:before="120" w:beforeLines="50" w:after="120" w:afterLines="50" w:line="300" w:lineRule="auto"/>
              <w:jc w:val="center"/>
              <w:rPr>
                <w:rFonts w:eastAsia="仿宋"/>
                <w:sz w:val="24"/>
                <w:szCs w:val="24"/>
              </w:rPr>
            </w:pPr>
          </w:p>
        </w:tc>
        <w:tc>
          <w:tcPr>
            <w:tcW w:w="1215"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非自然因素导致的不可抗力风险</w:t>
            </w:r>
          </w:p>
        </w:tc>
        <w:tc>
          <w:tcPr>
            <w:tcW w:w="2350" w:type="dxa"/>
            <w:shd w:val="clear" w:color="auto" w:fill="auto"/>
            <w:vAlign w:val="center"/>
          </w:tcPr>
          <w:p>
            <w:pPr>
              <w:snapToGrid w:val="0"/>
              <w:spacing w:before="120" w:beforeLines="50" w:after="120" w:afterLines="50" w:line="300" w:lineRule="auto"/>
              <w:rPr>
                <w:rFonts w:eastAsia="仿宋"/>
                <w:sz w:val="24"/>
                <w:szCs w:val="24"/>
              </w:rPr>
            </w:pPr>
            <w:r>
              <w:rPr>
                <w:rFonts w:hint="eastAsia" w:eastAsia="仿宋"/>
                <w:sz w:val="24"/>
                <w:szCs w:val="24"/>
              </w:rPr>
              <w:t>战争、暴乱、罢工等事件发生导致项目失败或收益大幅减少的风险</w:t>
            </w: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全生命周期</w:t>
            </w:r>
          </w:p>
        </w:tc>
        <w:tc>
          <w:tcPr>
            <w:tcW w:w="720"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814" w:type="dxa"/>
            <w:shd w:val="clear" w:color="auto" w:fill="auto"/>
            <w:vAlign w:val="center"/>
          </w:tcPr>
          <w:p>
            <w:pPr>
              <w:snapToGrid w:val="0"/>
              <w:spacing w:before="120" w:beforeLines="50" w:after="120" w:afterLines="50" w:line="300" w:lineRule="auto"/>
              <w:jc w:val="center"/>
              <w:rPr>
                <w:rFonts w:eastAsia="仿宋"/>
                <w:sz w:val="24"/>
                <w:szCs w:val="24"/>
              </w:rPr>
            </w:pPr>
          </w:p>
        </w:tc>
        <w:tc>
          <w:tcPr>
            <w:tcW w:w="909" w:type="dxa"/>
            <w:shd w:val="clear" w:color="auto" w:fill="auto"/>
            <w:vAlign w:val="center"/>
          </w:tcPr>
          <w:p>
            <w:pPr>
              <w:snapToGrid w:val="0"/>
              <w:spacing w:before="120" w:beforeLines="50" w:after="120" w:afterLines="50" w:line="300" w:lineRule="auto"/>
              <w:jc w:val="center"/>
              <w:rPr>
                <w:rFonts w:eastAsia="仿宋"/>
                <w:sz w:val="24"/>
                <w:szCs w:val="24"/>
              </w:rPr>
            </w:pPr>
            <w:r>
              <w:rPr>
                <w:rFonts w:hint="eastAsia" w:eastAsia="仿宋"/>
                <w:sz w:val="24"/>
                <w:szCs w:val="24"/>
              </w:rPr>
              <w:t>√</w:t>
            </w:r>
          </w:p>
        </w:tc>
        <w:tc>
          <w:tcPr>
            <w:tcW w:w="2063" w:type="dxa"/>
            <w:vMerge w:val="continue"/>
            <w:vAlign w:val="center"/>
          </w:tcPr>
          <w:p>
            <w:pPr>
              <w:snapToGrid w:val="0"/>
              <w:spacing w:before="120" w:beforeLines="50" w:after="120" w:afterLines="50" w:line="300" w:lineRule="auto"/>
              <w:jc w:val="center"/>
              <w:rPr>
                <w:rFonts w:eastAsia="仿宋"/>
                <w:sz w:val="24"/>
                <w:szCs w:val="24"/>
              </w:rPr>
            </w:pPr>
          </w:p>
        </w:tc>
      </w:tr>
    </w:tbl>
    <w:p>
      <w:pPr>
        <w:snapToGrid w:val="0"/>
        <w:spacing w:before="120" w:beforeLines="50" w:after="120" w:afterLines="50" w:line="300" w:lineRule="auto"/>
        <w:ind w:firstLine="480"/>
        <w:rPr>
          <w:rFonts w:eastAsia="仿宋"/>
          <w:sz w:val="24"/>
          <w:szCs w:val="24"/>
        </w:rPr>
      </w:pPr>
      <w:r>
        <w:rPr>
          <w:rFonts w:hint="eastAsia" w:eastAsia="仿宋"/>
          <w:sz w:val="24"/>
          <w:szCs w:val="24"/>
        </w:rPr>
        <w:t>注：本表中描述的仅为主要预计风险，表格中风险的具体承担方式及未在表格中明示的风险以</w:t>
      </w:r>
      <w:r>
        <w:rPr>
          <w:rFonts w:eastAsia="仿宋"/>
          <w:sz w:val="24"/>
          <w:szCs w:val="24"/>
        </w:rPr>
        <w:t>PPP</w:t>
      </w:r>
      <w:r>
        <w:rPr>
          <w:rFonts w:hint="eastAsia" w:eastAsia="仿宋"/>
          <w:sz w:val="24"/>
          <w:szCs w:val="24"/>
        </w:rPr>
        <w:t>项目协议约定为准。政府方指本项目实施机构，不包括政府方出资代表。</w:t>
      </w:r>
    </w:p>
    <w:p>
      <w:pPr>
        <w:snapToGrid w:val="0"/>
        <w:spacing w:before="120" w:beforeLines="50" w:after="120" w:afterLines="50" w:line="300" w:lineRule="auto"/>
        <w:ind w:firstLine="480" w:firstLineChars="200"/>
        <w:rPr>
          <w:rFonts w:eastAsia="仿宋"/>
          <w:sz w:val="24"/>
          <w:szCs w:val="24"/>
        </w:rPr>
      </w:pPr>
      <w:r>
        <w:rPr>
          <w:rFonts w:eastAsia="仿宋"/>
          <w:sz w:val="24"/>
          <w:szCs w:val="24"/>
        </w:rPr>
        <w:t>6</w:t>
      </w:r>
      <w:r>
        <w:rPr>
          <w:rFonts w:hint="eastAsia" w:eastAsia="仿宋"/>
          <w:sz w:val="24"/>
          <w:szCs w:val="24"/>
        </w:rPr>
        <w:t>、相关批准文件</w:t>
      </w:r>
    </w:p>
    <w:p>
      <w:pPr>
        <w:snapToGrid w:val="0"/>
        <w:spacing w:before="120" w:beforeLines="50" w:after="120" w:afterLines="50" w:line="300" w:lineRule="auto"/>
        <w:ind w:firstLine="480" w:firstLineChars="200"/>
        <w:rPr>
          <w:rFonts w:eastAsia="仿宋"/>
          <w:sz w:val="24"/>
          <w:szCs w:val="24"/>
        </w:rPr>
      </w:pPr>
      <w:r>
        <w:rPr>
          <w:rFonts w:eastAsia="仿宋"/>
          <w:sz w:val="24"/>
          <w:szCs w:val="24"/>
        </w:rPr>
        <w:t xml:space="preserve">6.1 </w:t>
      </w:r>
      <w:r>
        <w:rPr>
          <w:rFonts w:hint="eastAsia" w:eastAsia="仿宋"/>
          <w:sz w:val="24"/>
          <w:szCs w:val="24"/>
        </w:rPr>
        <w:t>实施机构授权</w:t>
      </w:r>
    </w:p>
    <w:p>
      <w:pPr>
        <w:snapToGrid w:val="0"/>
        <w:spacing w:before="120" w:beforeLines="50" w:after="120" w:afterLines="50" w:line="300" w:lineRule="auto"/>
        <w:ind w:firstLine="480" w:firstLineChars="200"/>
        <w:rPr>
          <w:rFonts w:eastAsia="仿宋"/>
          <w:sz w:val="24"/>
          <w:szCs w:val="24"/>
        </w:rPr>
      </w:pPr>
      <w:r>
        <w:rPr>
          <w:rFonts w:eastAsia="仿宋"/>
          <w:sz w:val="24"/>
          <w:szCs w:val="24"/>
        </w:rPr>
        <w:t xml:space="preserve">6.2 </w:t>
      </w:r>
      <w:r>
        <w:rPr>
          <w:rFonts w:hint="eastAsia" w:eastAsia="仿宋"/>
          <w:sz w:val="24"/>
          <w:szCs w:val="24"/>
        </w:rPr>
        <w:t>项目实施方案批复</w:t>
      </w:r>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hint="eastAsia" w:ascii="仿宋_GB2312" w:eastAsia="仿宋_GB2312"/>
          <w:sz w:val="24"/>
          <w:szCs w:val="24"/>
          <w:highlight w:val="yellow"/>
        </w:rPr>
        <w:t>7、P</w:t>
      </w:r>
      <w:r>
        <w:rPr>
          <w:rFonts w:ascii="仿宋_GB2312" w:eastAsia="仿宋_GB2312"/>
          <w:sz w:val="24"/>
          <w:szCs w:val="24"/>
          <w:highlight w:val="yellow"/>
        </w:rPr>
        <w:t>PP</w:t>
      </w:r>
      <w:r>
        <w:rPr>
          <w:rFonts w:hint="eastAsia" w:ascii="仿宋_GB2312" w:eastAsia="仿宋_GB2312"/>
          <w:sz w:val="24"/>
          <w:szCs w:val="24"/>
          <w:highlight w:val="yellow"/>
        </w:rPr>
        <w:t>项目合同中的不可谈判条款</w:t>
      </w:r>
    </w:p>
    <w:p>
      <w:pPr>
        <w:widowControl/>
        <w:adjustRightInd w:val="0"/>
        <w:snapToGrid w:val="0"/>
        <w:spacing w:before="120" w:beforeLines="50" w:line="360" w:lineRule="auto"/>
        <w:ind w:firstLine="480" w:firstLineChars="200"/>
        <w:jc w:val="left"/>
        <w:rPr>
          <w:rFonts w:ascii="仿宋_GB2312" w:eastAsia="仿宋_GB2312"/>
          <w:sz w:val="24"/>
          <w:szCs w:val="24"/>
        </w:rPr>
      </w:pPr>
      <w:r>
        <w:rPr>
          <w:rFonts w:hint="eastAsia" w:ascii="仿宋_GB2312" w:eastAsia="仿宋_GB2312"/>
          <w:sz w:val="24"/>
          <w:szCs w:val="24"/>
        </w:rPr>
        <w:t>PPP项目合同中涉及到建设内容、合作期、运作方式、付费来源、付费方式、回报机制、风险分担、项目公司注册资本、股权转让、分红、存量资产内容和价值的相关条款为不可谈判条款。</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8</w:t>
      </w:r>
      <w:r>
        <w:rPr>
          <w:rFonts w:hint="eastAsia" w:ascii="仿宋_GB2312" w:eastAsia="仿宋_GB2312"/>
          <w:b/>
          <w:color w:val="000000"/>
          <w:sz w:val="24"/>
          <w:szCs w:val="24"/>
        </w:rPr>
        <w:t>、成交人依据竣工图纸编制的工程量清单、竣工结算的编制依据及要求</w:t>
      </w:r>
    </w:p>
    <w:p>
      <w:pPr>
        <w:spacing w:line="360" w:lineRule="auto"/>
        <w:ind w:firstLine="482" w:firstLineChars="200"/>
        <w:rPr>
          <w:rFonts w:ascii="仿宋_GB2312" w:eastAsia="仿宋_GB2312"/>
          <w:b/>
          <w:color w:val="000000"/>
          <w:sz w:val="24"/>
          <w:szCs w:val="24"/>
        </w:rPr>
      </w:pPr>
      <w:r>
        <w:rPr>
          <w:rFonts w:hint="eastAsia" w:ascii="仿宋_GB2312" w:eastAsia="仿宋_GB2312"/>
          <w:b/>
          <w:color w:val="000000"/>
          <w:sz w:val="24"/>
          <w:szCs w:val="24"/>
        </w:rPr>
        <w:t>8.1编制依据：</w:t>
      </w:r>
    </w:p>
    <w:p>
      <w:pPr>
        <w:spacing w:line="360" w:lineRule="auto"/>
        <w:ind w:firstLine="482" w:firstLineChars="200"/>
        <w:rPr>
          <w:rFonts w:ascii="仿宋_GB2312" w:eastAsia="仿宋_GB2312"/>
          <w:b/>
          <w:color w:val="000000"/>
          <w:sz w:val="24"/>
          <w:szCs w:val="24"/>
        </w:rPr>
      </w:pPr>
      <w:r>
        <w:rPr>
          <w:rFonts w:hint="eastAsia" w:ascii="仿宋_GB2312" w:eastAsia="仿宋_GB2312"/>
          <w:b/>
          <w:color w:val="000000"/>
          <w:sz w:val="24"/>
          <w:szCs w:val="24"/>
        </w:rPr>
        <w:t>8.1.1竣工结算编制依据：施工设计图纸、竣工图纸、成交人依据竣工图纸编制的工程量清单、采购人推荐的主要材料及设备品牌、本招标文件补遗文件和答疑会会议纪要；本招标文件（包括竣工图纸、采购人要求的设计变更、现场签证的工程量资料及相关技术资料等）。</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w:t>
      </w:r>
      <w:r>
        <w:rPr>
          <w:rFonts w:hint="eastAsia" w:ascii="仿宋_GB2312" w:hAnsi="宋体" w:eastAsia="仿宋_GB2312"/>
          <w:color w:val="000000"/>
          <w:sz w:val="24"/>
          <w:szCs w:val="24"/>
          <w:highlight w:val="yellow"/>
        </w:rPr>
        <w:t>计价方式</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8.1.2.1采用工程量清单计价方式</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8.1.2.2工程量清单计价方式是指按《建设工程工程量清单计价规范》（GB50500-2013</w:t>
      </w:r>
      <w:r>
        <w:rPr>
          <w:rFonts w:ascii="仿宋_GB2312" w:hAnsi="宋体" w:eastAsia="仿宋_GB2312"/>
          <w:color w:val="000000"/>
          <w:sz w:val="24"/>
          <w:szCs w:val="24"/>
        </w:rPr>
        <w:t>）</w:t>
      </w:r>
      <w:r>
        <w:rPr>
          <w:rFonts w:hint="eastAsia" w:ascii="仿宋_GB2312" w:hAnsi="宋体" w:eastAsia="仿宋_GB2312"/>
          <w:color w:val="000000"/>
          <w:sz w:val="24"/>
          <w:szCs w:val="24"/>
        </w:rPr>
        <w:t>、新疆维吾尔自治区及克拉玛依市、白碱滩区（克拉玛依高新技术产业开发区）、成交人依据竣工图纸编制的工程量清单、采购人推荐的主要材料及设备品牌，成交人根据企业自身实力自主报价的计价方式。</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8.1.2.3</w:t>
      </w:r>
      <w:r>
        <w:rPr>
          <w:rFonts w:hint="eastAsia" w:ascii="仿宋_GB2312" w:hAnsi="宋体" w:eastAsia="仿宋_GB2312"/>
          <w:color w:val="000000"/>
          <w:sz w:val="24"/>
          <w:szCs w:val="24"/>
          <w:highlight w:val="yellow"/>
        </w:rPr>
        <w:t>工程量清单的编制：</w:t>
      </w:r>
      <w:r>
        <w:rPr>
          <w:rFonts w:hint="eastAsia" w:ascii="仿宋_GB2312" w:hAnsi="宋体" w:eastAsia="仿宋_GB2312"/>
          <w:color w:val="000000"/>
          <w:sz w:val="24"/>
          <w:szCs w:val="24"/>
        </w:rPr>
        <w:t>由成交人按照《建设工程工程量清单计价规范》（GB50500-2013</w:t>
      </w:r>
      <w:r>
        <w:rPr>
          <w:rFonts w:ascii="仿宋_GB2312" w:hAnsi="宋体" w:eastAsia="仿宋_GB2312"/>
          <w:color w:val="000000"/>
          <w:sz w:val="24"/>
          <w:szCs w:val="24"/>
        </w:rPr>
        <w:t>）</w:t>
      </w:r>
      <w:r>
        <w:rPr>
          <w:rFonts w:hint="eastAsia" w:ascii="仿宋_GB2312" w:hAnsi="宋体" w:eastAsia="仿宋_GB2312"/>
          <w:color w:val="000000"/>
          <w:sz w:val="24"/>
          <w:szCs w:val="24"/>
        </w:rPr>
        <w:t>及《工程量计算规范》（GB50854-2013至</w:t>
      </w:r>
      <w:r>
        <w:rPr>
          <w:rFonts w:ascii="仿宋_GB2312" w:hAnsi="宋体" w:eastAsia="仿宋_GB2312"/>
          <w:color w:val="000000"/>
          <w:sz w:val="24"/>
          <w:szCs w:val="24"/>
        </w:rPr>
        <w:t>GB508</w:t>
      </w:r>
      <w:r>
        <w:rPr>
          <w:rFonts w:hint="eastAsia" w:ascii="仿宋_GB2312" w:hAnsi="宋体" w:eastAsia="仿宋_GB2312"/>
          <w:color w:val="000000"/>
          <w:sz w:val="24"/>
          <w:szCs w:val="24"/>
        </w:rPr>
        <w:t>62</w:t>
      </w:r>
      <w:r>
        <w:rPr>
          <w:rFonts w:ascii="仿宋_GB2312" w:hAnsi="宋体" w:eastAsia="仿宋_GB2312"/>
          <w:color w:val="000000"/>
          <w:sz w:val="24"/>
          <w:szCs w:val="24"/>
        </w:rPr>
        <w:t>-2013</w:t>
      </w:r>
      <w:r>
        <w:rPr>
          <w:rFonts w:hint="eastAsia" w:ascii="仿宋_GB2312" w:hAnsi="宋体" w:eastAsia="仿宋_GB2312"/>
          <w:color w:val="000000"/>
          <w:sz w:val="24"/>
          <w:szCs w:val="24"/>
        </w:rPr>
        <w:t>）以及新疆维吾尔自治区及克拉玛依市、白碱滩区（克拉玛依高新技术产业开发区）相关计价依据及规定和竣工图纸、招标范围、成交人依据竣工图纸编制的工程量清单、采购人推荐的主要材料及设备品牌，根据工程项目情况及施工现场实际情况进行编制。</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8.1.2.4成交人依据竣工图纸编制的工程量清单格式：包括招标工程量清单封面、招标工程量清单扉页、工程量清单总说明、分部分项工程和单价措施项目清单与计价表、总价措施项目清单与计价表、其他项目清单与计价汇总表【包括暂列金额明细表、材料（工程设备）暂估单价及调整表、专业工程暂估价及结算价表、计日工表、总承包服务费计价表</w:t>
      </w:r>
      <w:r>
        <w:rPr>
          <w:rFonts w:hint="eastAsia" w:ascii="仿宋_GB2312" w:hAnsi="宋体" w:eastAsia="仿宋_GB2312"/>
          <w:color w:val="FF0000"/>
          <w:sz w:val="24"/>
          <w:szCs w:val="24"/>
        </w:rPr>
        <w:t>】</w:t>
      </w:r>
      <w:r>
        <w:rPr>
          <w:rFonts w:hint="eastAsia" w:ascii="仿宋_GB2312" w:hAnsi="宋体" w:eastAsia="仿宋_GB2312"/>
          <w:color w:val="000000"/>
          <w:sz w:val="24"/>
          <w:szCs w:val="24"/>
        </w:rPr>
        <w:t>，规费、税金项目清单与计价表等。</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8.1.2.5工程量清单竣工结算报价计价格式：包括投标总价封面、投标总价扉页、投标总价总说明、建设项目竣工结算报价汇总表、单项工程竣工结算报价汇总表、单位工程竣工结算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承包人提供主要材料和工程设备一览表等。 </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8.1.3竣工结算编制要求：</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8.1.3.1成交人依据竣工图纸编制的工程量清单、采购人推荐的主要材料及设备品牌、招标文件、招标答疑纪要等在招标过程中发至成交人所有文件及相应的技术规范、标准内容以及合同约定的相关内容，依据《建设工程工程量清单计价规范》（GB50500-2013</w:t>
      </w:r>
      <w:r>
        <w:rPr>
          <w:rFonts w:ascii="仿宋_GB2312" w:hAnsi="宋体" w:eastAsia="仿宋_GB2312"/>
          <w:color w:val="000000"/>
          <w:sz w:val="24"/>
          <w:szCs w:val="24"/>
        </w:rPr>
        <w:t>）</w:t>
      </w:r>
      <w:r>
        <w:rPr>
          <w:rFonts w:hint="eastAsia" w:ascii="仿宋_GB2312" w:hAnsi="宋体" w:eastAsia="仿宋_GB2312"/>
          <w:color w:val="000000"/>
          <w:sz w:val="24"/>
          <w:szCs w:val="24"/>
        </w:rPr>
        <w:t>及《工程量计算规范》（GB50854-2013至</w:t>
      </w:r>
      <w:r>
        <w:rPr>
          <w:rFonts w:ascii="仿宋_GB2312" w:hAnsi="宋体" w:eastAsia="仿宋_GB2312"/>
          <w:color w:val="000000"/>
          <w:sz w:val="24"/>
          <w:szCs w:val="24"/>
        </w:rPr>
        <w:t>GB508</w:t>
      </w:r>
      <w:r>
        <w:rPr>
          <w:rFonts w:hint="eastAsia" w:ascii="仿宋_GB2312" w:hAnsi="宋体" w:eastAsia="仿宋_GB2312"/>
          <w:color w:val="000000"/>
          <w:sz w:val="24"/>
          <w:szCs w:val="24"/>
        </w:rPr>
        <w:t>62</w:t>
      </w:r>
      <w:r>
        <w:rPr>
          <w:rFonts w:ascii="仿宋_GB2312" w:hAnsi="宋体" w:eastAsia="仿宋_GB2312"/>
          <w:color w:val="000000"/>
          <w:sz w:val="24"/>
          <w:szCs w:val="24"/>
        </w:rPr>
        <w:t>-2013</w:t>
      </w:r>
      <w:r>
        <w:rPr>
          <w:rFonts w:hint="eastAsia" w:ascii="仿宋_GB2312" w:hAnsi="宋体" w:eastAsia="仿宋_GB2312"/>
          <w:color w:val="000000"/>
          <w:sz w:val="24"/>
          <w:szCs w:val="24"/>
        </w:rPr>
        <w:t>）以及新疆维吾尔自治区、克拉玛依市、白碱滩区（克拉玛依高新技术产业开发区）相关计价依据及规定和招标范围，根据工程项目情况及施工现场实际情况编制的施工组织设计（或施工方案），结合市场情况报出各项综合单价和合价。</w:t>
      </w:r>
    </w:p>
    <w:p>
      <w:pPr>
        <w:spacing w:line="360" w:lineRule="auto"/>
        <w:ind w:firstLine="480" w:firstLineChars="200"/>
        <w:jc w:val="left"/>
        <w:rPr>
          <w:rFonts w:ascii="仿宋_GB2312" w:hAnsi="宋体" w:eastAsia="仿宋_GB2312"/>
          <w:color w:val="000000"/>
          <w:sz w:val="24"/>
          <w:szCs w:val="24"/>
        </w:rPr>
      </w:pPr>
      <w:r>
        <w:rPr>
          <w:rFonts w:hint="eastAsia" w:ascii="仿宋_GB2312" w:eastAsia="仿宋_GB2312"/>
          <w:color w:val="000000"/>
          <w:sz w:val="24"/>
          <w:szCs w:val="24"/>
        </w:rPr>
        <w:t>8.1.3.2成交人依据竣工图纸编制的工程量清单、采购人推荐的主要材料及设备品牌逐项填写单价及合价，成交人依据竣工图纸编制的工程量清单中的</w:t>
      </w:r>
      <w:r>
        <w:rPr>
          <w:rFonts w:hint="eastAsia" w:ascii="仿宋_GB2312" w:hAnsi="宋体" w:eastAsia="仿宋_GB2312"/>
          <w:b/>
          <w:color w:val="000000"/>
          <w:sz w:val="24"/>
          <w:szCs w:val="24"/>
        </w:rPr>
        <w:t>每一项只允许有一个报价，任何有选择性的报价将不予接受。</w:t>
      </w:r>
      <w:r>
        <w:rPr>
          <w:rFonts w:hint="eastAsia" w:ascii="仿宋_GB2312" w:hAnsi="宋体" w:eastAsia="仿宋_GB2312"/>
          <w:color w:val="000000"/>
          <w:sz w:val="24"/>
          <w:szCs w:val="24"/>
        </w:rPr>
        <w:t>成交人未报出综合单价或合价的分项工程，在实施过程中，采购人将不予支付并视为该分项费用已含在已标价工程量清单中其他项目单价和合价内。竣工结算时，此项目不得重新组价予以调整。</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8.1.3.3成交人应依据《建设工程工程量清单计价规范》（GB50500-2013</w:t>
      </w:r>
      <w:r>
        <w:rPr>
          <w:rFonts w:ascii="仿宋_GB2312" w:hAnsi="宋体" w:eastAsia="仿宋_GB2312"/>
          <w:color w:val="000000"/>
          <w:sz w:val="24"/>
          <w:szCs w:val="24"/>
        </w:rPr>
        <w:t>）</w:t>
      </w:r>
      <w:r>
        <w:rPr>
          <w:rFonts w:hint="eastAsia" w:ascii="仿宋_GB2312" w:hAnsi="宋体" w:eastAsia="仿宋_GB2312"/>
          <w:color w:val="000000"/>
          <w:sz w:val="24"/>
          <w:szCs w:val="24"/>
        </w:rPr>
        <w:t>及《工程量计算规范》（GB50854-2013至</w:t>
      </w:r>
      <w:r>
        <w:rPr>
          <w:rFonts w:ascii="仿宋_GB2312" w:hAnsi="宋体" w:eastAsia="仿宋_GB2312"/>
          <w:color w:val="000000"/>
          <w:sz w:val="24"/>
          <w:szCs w:val="24"/>
        </w:rPr>
        <w:t>GB508</w:t>
      </w:r>
      <w:r>
        <w:rPr>
          <w:rFonts w:hint="eastAsia" w:ascii="仿宋_GB2312" w:hAnsi="宋体" w:eastAsia="仿宋_GB2312"/>
          <w:color w:val="000000"/>
          <w:sz w:val="24"/>
          <w:szCs w:val="24"/>
        </w:rPr>
        <w:t>62</w:t>
      </w:r>
      <w:r>
        <w:rPr>
          <w:rFonts w:ascii="仿宋_GB2312" w:hAnsi="宋体" w:eastAsia="仿宋_GB2312"/>
          <w:color w:val="000000"/>
          <w:sz w:val="24"/>
          <w:szCs w:val="24"/>
        </w:rPr>
        <w:t>-2013</w:t>
      </w:r>
      <w:r>
        <w:rPr>
          <w:rFonts w:hint="eastAsia" w:ascii="仿宋_GB2312" w:hAnsi="宋体" w:eastAsia="仿宋_GB2312"/>
          <w:color w:val="000000"/>
          <w:sz w:val="24"/>
          <w:szCs w:val="24"/>
        </w:rPr>
        <w:t>）以及新疆维吾尔自治区、克拉玛依市、白碱滩区（克拉玛依高新技术产业开发区）相关计价依据及规定、竣工图纸、招标范围、成交人依据竣工图纸编制的工程量清单、采购人推荐的主要材料及设备品牌编制竣工结算报价，竣工结算报价中所填写的单价、合价、各项费率、规费、税金应被视为是对本招标文件、工程项目情况及相应的技术规范、标准所述的所有条款考虑清楚后所填写的价格，并以综合单价形式确定。本工程所涉及的范围必须按工程项目情况、招标文件、协议书及合同条款、施工及验收技术规范标准要求进行，成交人在结算时出现的减少工程量或漏填工程量清单的风险，一律由成交人自行承担。中标单价不会因成交人的少算和/或漏算而做出调整。</w:t>
      </w:r>
      <w:r>
        <w:rPr>
          <w:rFonts w:hint="eastAsia" w:ascii="仿宋_GB2312" w:hAnsi="宋体" w:eastAsia="仿宋_GB2312" w:cs="宋体"/>
          <w:color w:val="000000"/>
          <w:sz w:val="24"/>
        </w:rPr>
        <w:t>综合单价中一切在竣工结算时没有加入综合单价的项目，而该项为招标文件、成交人依据竣工图纸编制的工程量清单、采购人推荐的主要材料及设备品牌、工程项目情况、施工验收及技术规范、标准或为完成某项工程或安装所需者，均被视为已包含在报价内</w:t>
      </w:r>
      <w:r>
        <w:rPr>
          <w:rFonts w:hint="eastAsia" w:ascii="仿宋_GB2312" w:hAnsi="宋体" w:eastAsia="仿宋_GB2312"/>
          <w:color w:val="000000"/>
          <w:sz w:val="24"/>
          <w:szCs w:val="24"/>
        </w:rPr>
        <w:t>。</w:t>
      </w:r>
    </w:p>
    <w:p>
      <w:pPr>
        <w:spacing w:line="360" w:lineRule="auto"/>
        <w:ind w:right="240" w:firstLine="482" w:firstLineChars="200"/>
        <w:jc w:val="left"/>
        <w:rPr>
          <w:rFonts w:ascii="仿宋_GB2312" w:eastAsia="仿宋_GB2312"/>
          <w:b/>
          <w:bCs/>
          <w:color w:val="000000"/>
          <w:sz w:val="24"/>
          <w:szCs w:val="24"/>
        </w:rPr>
      </w:pPr>
      <w:r>
        <w:rPr>
          <w:rFonts w:hint="eastAsia" w:ascii="仿宋_GB2312" w:eastAsia="仿宋_GB2312"/>
          <w:b/>
          <w:bCs/>
          <w:color w:val="000000"/>
          <w:sz w:val="24"/>
          <w:szCs w:val="24"/>
        </w:rPr>
        <w:t>8.1.4设备、材料价格均由成交人参考《关于实施建筑业增值税新税率调整克拉玛依地区建设工程计价依据的通知》（克住建发【2018】59号文所涉及各个专业的除税预算价格）、《克拉玛依地区当年当月建设工程价格信息》中的价格信息（除税预算价格），并结合市场价并考虑风险自行报价进入成交人依据施工设计图纸编制的工程量清单报价、成交人依据竣工图纸编制的工程量清单报价、竣工结算。</w:t>
      </w:r>
    </w:p>
    <w:p>
      <w:pPr>
        <w:spacing w:line="360" w:lineRule="auto"/>
        <w:ind w:right="240" w:firstLine="482" w:firstLineChars="200"/>
        <w:jc w:val="left"/>
        <w:rPr>
          <w:rFonts w:ascii="仿宋_GB2312" w:eastAsia="仿宋_GB2312"/>
          <w:b/>
          <w:bCs/>
          <w:color w:val="000000"/>
          <w:sz w:val="24"/>
          <w:szCs w:val="24"/>
        </w:rPr>
      </w:pPr>
      <w:r>
        <w:rPr>
          <w:rFonts w:hint="eastAsia" w:ascii="仿宋_GB2312" w:eastAsia="仿宋_GB2312"/>
          <w:b/>
          <w:bCs/>
          <w:color w:val="000000"/>
          <w:sz w:val="24"/>
          <w:szCs w:val="24"/>
        </w:rPr>
        <w:t>《关于实施建筑业增值税新税率调整克拉玛依地区建设工程计价依据的通知》（克住建发【2018】59号文所涉及各个专业的除税预算价格）中无价格的设备、材料均由成交人结合市场价自行考虑进入成交人依据施工设计图纸编制的工程量清单报价、成交人依据竣工图纸编制的工程量清单报价、竣工结算报价，设备、材料价格均应为除税价格。</w:t>
      </w:r>
    </w:p>
    <w:p>
      <w:pPr>
        <w:spacing w:line="360" w:lineRule="auto"/>
        <w:ind w:firstLine="482" w:firstLineChars="200"/>
        <w:rPr>
          <w:rFonts w:ascii="仿宋_GB2312" w:eastAsia="仿宋_GB2312"/>
          <w:b/>
          <w:bCs/>
          <w:color w:val="000000"/>
          <w:sz w:val="24"/>
          <w:szCs w:val="24"/>
        </w:rPr>
      </w:pPr>
      <w:r>
        <w:rPr>
          <w:rFonts w:hint="eastAsia" w:ascii="仿宋_GB2312" w:eastAsia="仿宋_GB2312"/>
          <w:b/>
          <w:bCs/>
          <w:color w:val="000000"/>
          <w:sz w:val="24"/>
          <w:szCs w:val="24"/>
        </w:rPr>
        <w:t>8.1.5人工费单价执行《关于发布克拉玛依地区2019年建设工程定额内市场人工单价信息的通知》的标准规定，施工生产期内如有后续人工费政策性调整文件，执行政策性调整文件；如果未发布新的人工费政策性调整文件，则执行本文件。</w:t>
      </w:r>
    </w:p>
    <w:p>
      <w:pPr>
        <w:spacing w:line="360" w:lineRule="auto"/>
        <w:ind w:firstLine="482" w:firstLineChars="200"/>
        <w:rPr>
          <w:rFonts w:ascii="仿宋_GB2312" w:eastAsia="仿宋_GB2312"/>
          <w:b/>
          <w:color w:val="000000"/>
          <w:sz w:val="24"/>
          <w:szCs w:val="24"/>
        </w:rPr>
      </w:pPr>
      <w:r>
        <w:rPr>
          <w:rFonts w:hint="eastAsia" w:ascii="仿宋_GB2312" w:eastAsia="仿宋_GB2312"/>
          <w:b/>
          <w:color w:val="000000"/>
          <w:sz w:val="24"/>
          <w:szCs w:val="24"/>
        </w:rPr>
        <w:t>8.1.6本工程涉及营改增的费率调整按调整费率执行，详见《关于建筑业营业税改增值税调整克拉玛依市建设工程计价依据的通知》（克建发[2016]65号）附件1-建筑业营改增建设工程费用调整表的规定。除此之外的其他费用执行《新疆维吾尔自治区市政工程费用定额》（2012年）、《新疆维吾尔自治区建筑安装工程费用定额》（2010年）、《新疆维吾尔自治区抗震加固工程计价定额》（2010年）、《1999年新疆维吾尔族自治区房屋修缮工程预算定额》和《新疆维吾尔自治区园林绿化工程费用定额》（2014年）。</w:t>
      </w:r>
    </w:p>
    <w:p>
      <w:pPr>
        <w:spacing w:line="360" w:lineRule="auto"/>
        <w:ind w:right="240"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8.1.7</w:t>
      </w:r>
      <w:r>
        <w:rPr>
          <w:rFonts w:hint="eastAsia" w:ascii="仿宋_GB2312" w:eastAsia="仿宋_GB2312"/>
          <w:b/>
          <w:bCs/>
          <w:color w:val="000000"/>
          <w:sz w:val="24"/>
          <w:szCs w:val="24"/>
        </w:rPr>
        <w:t>成交人计取的企业管理费费率及利润率不得超过</w:t>
      </w:r>
      <w:r>
        <w:rPr>
          <w:rFonts w:ascii="仿宋_GB2312" w:eastAsia="仿宋_GB2312"/>
          <w:b/>
          <w:bCs/>
          <w:color w:val="000000"/>
          <w:sz w:val="24"/>
          <w:szCs w:val="24"/>
        </w:rPr>
        <w:t>区间范围。</w:t>
      </w:r>
      <w:r>
        <w:rPr>
          <w:rFonts w:hint="eastAsia" w:ascii="仿宋_GB2312" w:eastAsia="仿宋_GB2312"/>
          <w:b/>
          <w:bCs/>
          <w:color w:val="000000"/>
          <w:sz w:val="24"/>
          <w:szCs w:val="24"/>
        </w:rPr>
        <w:t xml:space="preserve"> </w:t>
      </w:r>
      <w:r>
        <w:rPr>
          <w:rFonts w:hint="eastAsia" w:ascii="仿宋_GB2312" w:eastAsia="仿宋_GB2312"/>
          <w:b/>
          <w:color w:val="000000"/>
          <w:sz w:val="24"/>
          <w:szCs w:val="24"/>
        </w:rPr>
        <w:t xml:space="preserve"> </w:t>
      </w:r>
    </w:p>
    <w:p>
      <w:pPr>
        <w:spacing w:line="360" w:lineRule="auto"/>
        <w:ind w:right="240"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8.1.8垃圾（含弃土）由成交人按就近原则选择环保部门指定的垃圾倾倒地点，自行踏勘现场测算垃圾外运运距，经采购人确认后进入成交人依据施工设计图纸编制的工程量清单报价、成交人依据竣工图纸编制的工程量清单报价、竣工结算。如发现不按就近原则计算运距或不符合实事求是情况的，将在工程竣工结算时予以扣减。如招标答疑纪要中明确运距的，以招标答疑纪要明确的运距为准。</w:t>
      </w:r>
    </w:p>
    <w:p>
      <w:pPr>
        <w:spacing w:line="360" w:lineRule="auto"/>
        <w:ind w:right="240"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本工程的取土（含种植土）运距由成交人根据国土、城管部门等相关规定按就近原则自行踏勘现场测算取土点运距，经采购人确认后进入成交人依据施工设计图纸编制的工程量清单报价、成交人依据竣工图纸编制的工程量清单报价、竣工结算，竣工结算时不予调整。如发现不按就近原则计算运距或不符合实事求是情况的，将在工程竣工结算时予以扣减。如招标答疑纪要中明确运距的，以招标答疑纪要明确的运距为准。</w:t>
      </w:r>
    </w:p>
    <w:p>
      <w:pPr>
        <w:spacing w:line="360" w:lineRule="auto"/>
        <w:ind w:firstLine="482" w:firstLineChars="200"/>
        <w:rPr>
          <w:rFonts w:ascii="仿宋_GB2312" w:eastAsia="仿宋_GB2312"/>
          <w:b/>
          <w:bCs/>
          <w:color w:val="000000"/>
          <w:sz w:val="24"/>
          <w:szCs w:val="24"/>
        </w:rPr>
      </w:pPr>
      <w:r>
        <w:rPr>
          <w:rFonts w:hint="eastAsia" w:ascii="仿宋_GB2312" w:eastAsia="仿宋_GB2312"/>
          <w:b/>
          <w:bCs/>
          <w:color w:val="000000"/>
          <w:sz w:val="24"/>
          <w:szCs w:val="24"/>
        </w:rPr>
        <w:t>8.1.9本项目施工现场有水源、电源，接水、接电由成交人自行考虑进入成交人依据施工设计图纸编制的工程量清单报价、成交人依据竣工图纸编制的工程量清单报价、竣工结算，施工期间需要进行拉水，施工现场拉水、用水、用电费用由成交人自行考虑计入成交人依据竣工图纸编制的工程量清单综合单价中。</w:t>
      </w:r>
    </w:p>
    <w:p>
      <w:pPr>
        <w:spacing w:line="360" w:lineRule="auto"/>
        <w:ind w:firstLine="482" w:firstLineChars="200"/>
        <w:rPr>
          <w:rFonts w:ascii="仿宋_GB2312" w:eastAsia="仿宋_GB2312"/>
          <w:b/>
          <w:bCs/>
          <w:color w:val="FF0000"/>
          <w:sz w:val="24"/>
          <w:szCs w:val="24"/>
        </w:rPr>
      </w:pPr>
      <w:r>
        <w:rPr>
          <w:rFonts w:hint="eastAsia" w:ascii="仿宋_GB2312" w:eastAsia="仿宋_GB2312"/>
          <w:b/>
          <w:bCs/>
          <w:color w:val="FF0000"/>
          <w:sz w:val="24"/>
          <w:szCs w:val="24"/>
        </w:rPr>
        <w:t>8.1.10本项目施工现场位于城区已建成城区内，成交人应充分考虑施工安全措施及周边建筑物的基础保护措施及相关费用，并将所涉及的措施项目及费用竣工结算时均计入成交人依据竣工图纸编制的工程量清单《总价措施项目清单与计价表》中，竣工结算时不予调整。</w:t>
      </w:r>
    </w:p>
    <w:p>
      <w:pPr>
        <w:spacing w:line="360" w:lineRule="auto"/>
        <w:ind w:firstLine="482" w:firstLineChars="200"/>
        <w:rPr>
          <w:rFonts w:ascii="仿宋_GB2312" w:eastAsia="仿宋_GB2312"/>
          <w:b/>
          <w:bCs/>
          <w:color w:val="FF0000"/>
          <w:sz w:val="24"/>
          <w:szCs w:val="24"/>
        </w:rPr>
      </w:pPr>
      <w:r>
        <w:rPr>
          <w:rFonts w:hint="eastAsia" w:ascii="仿宋_GB2312" w:eastAsia="仿宋_GB2312"/>
          <w:b/>
          <w:bCs/>
          <w:color w:val="FF0000"/>
          <w:sz w:val="24"/>
          <w:szCs w:val="24"/>
        </w:rPr>
        <w:t>8.1.11成交人应按照《关于应对新冠肺炎疫情影响做好建设工程计价有关工作的通知》新建标【2020】1号文的有关规定，充分考虑本次疫情的相关各项费用、措施费用等，编制结算时增加各项相关费用进入成交人依据竣工图纸编制的工程量清单中，竣工结算不调整。</w:t>
      </w:r>
    </w:p>
    <w:p>
      <w:pPr>
        <w:spacing w:line="360" w:lineRule="auto"/>
        <w:ind w:firstLine="482" w:firstLineChars="200"/>
        <w:rPr>
          <w:rFonts w:ascii="仿宋_GB2312" w:eastAsia="仿宋_GB2312"/>
          <w:b/>
          <w:bCs/>
          <w:color w:val="FF0000"/>
          <w:sz w:val="24"/>
          <w:szCs w:val="24"/>
        </w:rPr>
      </w:pPr>
      <w:r>
        <w:rPr>
          <w:rFonts w:hint="eastAsia" w:ascii="仿宋_GB2312" w:eastAsia="仿宋_GB2312"/>
          <w:b/>
          <w:color w:val="000000"/>
          <w:sz w:val="24"/>
          <w:szCs w:val="24"/>
        </w:rPr>
        <w:t>8.1.12</w:t>
      </w:r>
      <w:r>
        <w:rPr>
          <w:rFonts w:hint="eastAsia" w:ascii="仿宋_GB2312" w:eastAsia="仿宋_GB2312"/>
          <w:b/>
          <w:bCs/>
          <w:color w:val="FF0000"/>
          <w:sz w:val="24"/>
          <w:szCs w:val="24"/>
        </w:rPr>
        <w:t>安全文明施工费按附表《安全文明施工费明细表》单独列出，不计入成交人依据施工设计图纸编制的工程量清单报价、成交人依据竣工图纸编制的工程量清单报价，计入竣工结算。安全文明施工费的计取应执行《关于建筑业营业税改增值税调整克拉玛依市建设工程计价依据的通知》（克建发[2016]65号）附件1-建筑业营改增建设工程费用调整表，竣工结算时均按建设行政主管部门核定的等级标准调整和采购人、现场监理共同确认的实际发生的工程量进行结算。成交人在实施过程中应严格按安全文明施工规范做到安全、文明施工。</w:t>
      </w:r>
    </w:p>
    <w:p>
      <w:pPr>
        <w:spacing w:line="360" w:lineRule="auto"/>
        <w:ind w:firstLine="482" w:firstLineChars="200"/>
        <w:rPr>
          <w:rFonts w:ascii="仿宋_GB2312" w:hAnsi="仿宋" w:eastAsia="仿宋_GB2312"/>
          <w:b/>
          <w:bCs/>
          <w:color w:val="000000"/>
          <w:sz w:val="24"/>
          <w:szCs w:val="24"/>
        </w:rPr>
      </w:pPr>
      <w:r>
        <w:rPr>
          <w:rFonts w:hint="eastAsia" w:ascii="仿宋_GB2312" w:hAnsi="仿宋" w:eastAsia="仿宋_GB2312"/>
          <w:b/>
          <w:bCs/>
          <w:color w:val="000000"/>
          <w:sz w:val="24"/>
          <w:szCs w:val="24"/>
        </w:rPr>
        <w:t>此项费用的计取应执行《关于调整建设工程安全文明施工费用计取方法的通知》（克建发【2014】225号）。</w:t>
      </w:r>
    </w:p>
    <w:p>
      <w:pPr>
        <w:spacing w:line="360" w:lineRule="auto"/>
        <w:ind w:firstLine="482" w:firstLineChars="200"/>
        <w:rPr>
          <w:rFonts w:ascii="仿宋_GB2312" w:hAnsi="仿宋" w:eastAsia="仿宋_GB2312"/>
          <w:b/>
          <w:bCs/>
          <w:color w:val="000000"/>
          <w:sz w:val="24"/>
          <w:szCs w:val="24"/>
        </w:rPr>
      </w:pPr>
      <w:r>
        <w:rPr>
          <w:rFonts w:hint="eastAsia" w:ascii="仿宋_GB2312" w:hAnsi="仿宋" w:eastAsia="仿宋_GB2312"/>
          <w:b/>
          <w:bCs/>
          <w:color w:val="000000"/>
          <w:sz w:val="24"/>
          <w:szCs w:val="24"/>
        </w:rPr>
        <w:t>8.1.13竣工结算报价原则及最终竣工结算</w:t>
      </w:r>
    </w:p>
    <w:p>
      <w:pPr>
        <w:spacing w:line="360" w:lineRule="auto"/>
        <w:ind w:firstLine="482" w:firstLineChars="200"/>
        <w:rPr>
          <w:rFonts w:ascii="仿宋_GB2312" w:hAnsi="仿宋" w:eastAsia="仿宋_GB2312"/>
          <w:b/>
          <w:bCs/>
          <w:color w:val="000000"/>
          <w:sz w:val="24"/>
          <w:szCs w:val="24"/>
        </w:rPr>
      </w:pPr>
      <w:r>
        <w:rPr>
          <w:rFonts w:hint="eastAsia" w:ascii="仿宋_GB2312" w:hAnsi="仿宋" w:eastAsia="仿宋_GB2312"/>
          <w:b/>
          <w:bCs/>
          <w:color w:val="000000"/>
          <w:sz w:val="24"/>
          <w:szCs w:val="24"/>
        </w:rPr>
        <w:t>8.1.13.1竣工结算报价原则：</w:t>
      </w:r>
    </w:p>
    <w:p>
      <w:pPr>
        <w:spacing w:line="360" w:lineRule="auto"/>
        <w:ind w:firstLine="482" w:firstLineChars="200"/>
        <w:rPr>
          <w:rFonts w:ascii="仿宋_GB2312" w:hAnsi="仿宋" w:eastAsia="仿宋_GB2312"/>
          <w:b/>
          <w:bCs/>
          <w:color w:val="000000"/>
          <w:sz w:val="24"/>
          <w:szCs w:val="24"/>
        </w:rPr>
      </w:pPr>
      <w:r>
        <w:rPr>
          <w:rFonts w:hint="eastAsia" w:ascii="仿宋_GB2312" w:hAnsi="仿宋" w:eastAsia="仿宋_GB2312"/>
          <w:b/>
          <w:bCs/>
          <w:color w:val="000000"/>
          <w:sz w:val="24"/>
          <w:szCs w:val="24"/>
        </w:rPr>
        <w:t>8.1.13.1.</w:t>
      </w:r>
      <w:r>
        <w:rPr>
          <w:rFonts w:ascii="仿宋_GB2312" w:hAnsi="仿宋" w:eastAsia="仿宋_GB2312"/>
          <w:b/>
          <w:bCs/>
          <w:color w:val="000000"/>
          <w:sz w:val="24"/>
          <w:szCs w:val="24"/>
        </w:rPr>
        <w:t>1</w:t>
      </w:r>
      <w:r>
        <w:rPr>
          <w:rFonts w:hint="eastAsia" w:ascii="仿宋_GB2312" w:hAnsi="仿宋" w:eastAsia="仿宋_GB2312"/>
          <w:b/>
          <w:bCs/>
          <w:color w:val="000000"/>
          <w:sz w:val="24"/>
          <w:szCs w:val="24"/>
        </w:rPr>
        <w:t>经审定的成交人依据竣工图纸编制的已标价工程量清单竣工图纸结算价：工程竣工验收合格后，竣工图纸完成后，成交人按竣工图纸（不含经审定的成交人依据施工设计图纸编制的已标价工程量清单施工设计图纸结算价）编制的工程量清单，按照招标文件的相关要求自行报价进入报价，经采购人、跟踪审计单位或委托的第三方审计单位审核确定后，经采购人、成交人确认后作为经审定的成交人依据竣工图纸编制的已标价工程量清单竣工图纸结算价。经审定的成交人依据竣工图纸编制的已标价工程量清单最终竣工结算价，按成交人承诺的经审定的竣工结算价下浮率下浮后，进行竣工结算。</w:t>
      </w:r>
    </w:p>
    <w:p>
      <w:pPr>
        <w:spacing w:line="360" w:lineRule="auto"/>
        <w:ind w:firstLine="482" w:firstLineChars="200"/>
        <w:rPr>
          <w:rFonts w:ascii="仿宋_GB2312" w:hAnsi="仿宋" w:eastAsia="仿宋_GB2312"/>
          <w:b/>
          <w:bCs/>
          <w:color w:val="000000"/>
          <w:sz w:val="24"/>
          <w:szCs w:val="24"/>
        </w:rPr>
      </w:pPr>
      <w:r>
        <w:rPr>
          <w:rFonts w:ascii="仿宋_GB2312" w:hAnsi="仿宋" w:eastAsia="仿宋_GB2312"/>
          <w:b/>
          <w:bCs/>
          <w:color w:val="000000"/>
          <w:sz w:val="24"/>
          <w:szCs w:val="24"/>
        </w:rPr>
        <w:t>8.1.1</w:t>
      </w:r>
      <w:r>
        <w:rPr>
          <w:rFonts w:hint="eastAsia" w:ascii="仿宋_GB2312" w:hAnsi="仿宋" w:eastAsia="仿宋_GB2312"/>
          <w:b/>
          <w:bCs/>
          <w:color w:val="000000"/>
          <w:sz w:val="24"/>
          <w:szCs w:val="24"/>
        </w:rPr>
        <w:t>3.1.</w:t>
      </w:r>
      <w:r>
        <w:rPr>
          <w:rFonts w:ascii="仿宋_GB2312" w:hAnsi="仿宋" w:eastAsia="仿宋_GB2312"/>
          <w:b/>
          <w:bCs/>
          <w:color w:val="000000"/>
          <w:sz w:val="24"/>
          <w:szCs w:val="24"/>
        </w:rPr>
        <w:t>2</w:t>
      </w:r>
      <w:r>
        <w:rPr>
          <w:rFonts w:hint="eastAsia" w:ascii="仿宋_GB2312" w:hAnsi="仿宋" w:eastAsia="仿宋_GB2312"/>
          <w:b/>
          <w:bCs/>
          <w:color w:val="000000"/>
          <w:sz w:val="24"/>
          <w:szCs w:val="24"/>
        </w:rPr>
        <w:t>承诺经审定的竣工结算价下浮率（不含采购人组织招标或提供的材料、设备费用及采购人确认价格的材料、设备费用）：各投标人须报出经审定的竣工结算价下浮率（不含采购人组织招标或提供的材料、设备费用及采购人确认价格的材料、设备费用），并作为商务标评分的依据，但承诺下浮率绝对值的数值范围应大于或等于</w:t>
      </w:r>
      <w:r>
        <w:rPr>
          <w:rFonts w:ascii="仿宋_GB2312" w:hAnsi="仿宋" w:eastAsia="仿宋_GB2312"/>
          <w:b/>
          <w:bCs/>
          <w:color w:val="000000"/>
          <w:sz w:val="24"/>
          <w:szCs w:val="24"/>
        </w:rPr>
        <w:t>0</w:t>
      </w:r>
      <w:r>
        <w:rPr>
          <w:rFonts w:hint="eastAsia" w:ascii="仿宋_GB2312" w:hAnsi="仿宋" w:eastAsia="仿宋_GB2312"/>
          <w:b/>
          <w:bCs/>
          <w:color w:val="000000"/>
          <w:sz w:val="24"/>
          <w:szCs w:val="24"/>
        </w:rPr>
        <w:t>,小于或等于</w:t>
      </w:r>
      <w:r>
        <w:rPr>
          <w:rFonts w:ascii="仿宋_GB2312" w:hAnsi="仿宋" w:eastAsia="仿宋_GB2312"/>
          <w:b/>
          <w:bCs/>
          <w:color w:val="000000"/>
          <w:sz w:val="24"/>
          <w:szCs w:val="24"/>
        </w:rPr>
        <w:t>5</w:t>
      </w:r>
      <w:r>
        <w:rPr>
          <w:rFonts w:hint="eastAsia" w:ascii="仿宋_GB2312" w:hAnsi="仿宋" w:eastAsia="仿宋_GB2312"/>
          <w:b/>
          <w:bCs/>
          <w:color w:val="000000"/>
          <w:sz w:val="24"/>
          <w:szCs w:val="24"/>
        </w:rPr>
        <w:t>,即</w:t>
      </w:r>
      <w:r>
        <w:rPr>
          <w:rFonts w:ascii="仿宋_GB2312" w:hAnsi="仿宋" w:eastAsia="仿宋_GB2312"/>
          <w:b/>
          <w:bCs/>
          <w:color w:val="000000"/>
          <w:sz w:val="24"/>
          <w:szCs w:val="24"/>
        </w:rPr>
        <w:t>0</w:t>
      </w:r>
      <w:r>
        <w:rPr>
          <w:rFonts w:hint="eastAsia" w:ascii="仿宋_GB2312" w:hAnsi="仿宋" w:eastAsia="仿宋_GB2312"/>
          <w:b/>
          <w:bCs/>
          <w:color w:val="000000"/>
          <w:sz w:val="24"/>
          <w:szCs w:val="24"/>
        </w:rPr>
        <w:t>≤下浮率绝对值数值≤</w:t>
      </w:r>
      <w:r>
        <w:rPr>
          <w:rFonts w:ascii="仿宋_GB2312" w:hAnsi="仿宋" w:eastAsia="仿宋_GB2312"/>
          <w:b/>
          <w:bCs/>
          <w:color w:val="000000"/>
          <w:sz w:val="24"/>
          <w:szCs w:val="24"/>
        </w:rPr>
        <w:t>5</w:t>
      </w:r>
      <w:r>
        <w:rPr>
          <w:rFonts w:hint="eastAsia" w:ascii="仿宋_GB2312" w:hAnsi="仿宋" w:eastAsia="仿宋_GB2312"/>
          <w:b/>
          <w:bCs/>
          <w:color w:val="000000"/>
          <w:sz w:val="24"/>
          <w:szCs w:val="24"/>
        </w:rPr>
        <w:t>。</w:t>
      </w:r>
    </w:p>
    <w:p>
      <w:pPr>
        <w:spacing w:line="360" w:lineRule="auto"/>
        <w:ind w:firstLine="482" w:firstLineChars="200"/>
        <w:rPr>
          <w:rFonts w:ascii="仿宋_GB2312" w:hAnsi="仿宋" w:eastAsia="仿宋_GB2312"/>
          <w:b/>
          <w:bCs/>
          <w:color w:val="000000"/>
          <w:sz w:val="24"/>
          <w:szCs w:val="24"/>
        </w:rPr>
      </w:pPr>
      <w:r>
        <w:rPr>
          <w:rFonts w:ascii="仿宋_GB2312" w:hAnsi="仿宋" w:eastAsia="仿宋_GB2312"/>
          <w:b/>
          <w:bCs/>
          <w:color w:val="000000"/>
          <w:sz w:val="24"/>
          <w:szCs w:val="24"/>
        </w:rPr>
        <w:t>8.1.1</w:t>
      </w:r>
      <w:r>
        <w:rPr>
          <w:rFonts w:hint="eastAsia" w:ascii="仿宋_GB2312" w:hAnsi="仿宋" w:eastAsia="仿宋_GB2312"/>
          <w:b/>
          <w:bCs/>
          <w:color w:val="000000"/>
          <w:sz w:val="24"/>
          <w:szCs w:val="24"/>
        </w:rPr>
        <w:t>3.2本工程最终结算价=</w:t>
      </w:r>
      <w:r>
        <w:rPr>
          <w:rFonts w:hint="eastAsia" w:ascii="仿宋" w:hAnsi="仿宋" w:eastAsia="仿宋"/>
          <w:b/>
          <w:bCs/>
          <w:color w:val="000000"/>
          <w:sz w:val="24"/>
          <w:szCs w:val="24"/>
        </w:rPr>
        <w:t>【</w:t>
      </w:r>
      <w:r>
        <w:rPr>
          <w:rFonts w:hint="eastAsia" w:ascii="仿宋_GB2312" w:hAnsi="仿宋" w:eastAsia="仿宋_GB2312"/>
          <w:b/>
          <w:bCs/>
          <w:color w:val="000000"/>
          <w:sz w:val="24"/>
          <w:szCs w:val="24"/>
        </w:rPr>
        <w:t>经审定的成交人依据竣工图纸编制的已标价工程量清单竣工图纸结算价</w:t>
      </w:r>
      <w:r>
        <w:rPr>
          <w:rFonts w:hint="eastAsia" w:ascii="仿宋" w:hAnsi="仿宋" w:eastAsia="仿宋"/>
          <w:b/>
          <w:bCs/>
          <w:color w:val="000000"/>
          <w:sz w:val="24"/>
          <w:szCs w:val="24"/>
        </w:rPr>
        <w:t>】</w:t>
      </w:r>
      <w:r>
        <w:rPr>
          <w:rFonts w:hint="eastAsia" w:ascii="仿宋_GB2312" w:hAnsi="仿宋" w:eastAsia="仿宋_GB2312"/>
          <w:b/>
          <w:bCs/>
          <w:color w:val="000000"/>
          <w:sz w:val="24"/>
          <w:szCs w:val="24"/>
        </w:rPr>
        <w:t>×【1-经审定的竣工结算价下浮率（不含采购人组织招标或提供的材料、设备费用及采购人确认价格的材料、设备费用）】。</w:t>
      </w:r>
    </w:p>
    <w:p>
      <w:pPr>
        <w:spacing w:line="360" w:lineRule="auto"/>
        <w:ind w:firstLine="480" w:firstLineChars="200"/>
        <w:rPr>
          <w:rFonts w:ascii="仿宋_GB2312" w:eastAsia="仿宋_GB2312"/>
          <w:color w:val="000000"/>
          <w:sz w:val="24"/>
          <w:szCs w:val="24"/>
        </w:rPr>
      </w:pPr>
      <w:r>
        <w:rPr>
          <w:rFonts w:hint="eastAsia" w:ascii="仿宋_GB2312" w:eastAsia="仿宋_GB2312"/>
          <w:color w:val="000000"/>
          <w:sz w:val="24"/>
          <w:szCs w:val="24"/>
        </w:rPr>
        <w:t>8.1.14竣工结算总价：</w:t>
      </w:r>
    </w:p>
    <w:p>
      <w:pPr>
        <w:spacing w:line="360" w:lineRule="auto"/>
        <w:ind w:firstLine="480" w:firstLineChars="200"/>
        <w:rPr>
          <w:rFonts w:ascii="仿宋_GB2312" w:eastAsia="仿宋_GB2312"/>
          <w:color w:val="000000"/>
          <w:sz w:val="24"/>
          <w:szCs w:val="24"/>
        </w:rPr>
      </w:pPr>
      <w:r>
        <w:rPr>
          <w:rFonts w:hint="eastAsia" w:ascii="仿宋_GB2312" w:eastAsia="仿宋_GB2312"/>
          <w:color w:val="000000"/>
          <w:sz w:val="24"/>
          <w:szCs w:val="24"/>
        </w:rPr>
        <w:t>8.1.14.1自报竣工结算</w:t>
      </w:r>
      <w:r>
        <w:rPr>
          <w:rFonts w:hint="eastAsia" w:ascii="仿宋_GB2312" w:hAnsi="宋体" w:eastAsia="仿宋_GB2312"/>
          <w:bCs/>
          <w:color w:val="000000"/>
          <w:sz w:val="24"/>
          <w:szCs w:val="24"/>
        </w:rPr>
        <w:t>报价</w:t>
      </w:r>
    </w:p>
    <w:p>
      <w:pPr>
        <w:spacing w:line="360" w:lineRule="auto"/>
        <w:ind w:firstLine="480" w:firstLineChars="200"/>
        <w:rPr>
          <w:rFonts w:ascii="仿宋_GB2312" w:eastAsia="仿宋_GB2312"/>
          <w:color w:val="000000"/>
          <w:sz w:val="24"/>
          <w:szCs w:val="24"/>
        </w:rPr>
      </w:pPr>
      <w:r>
        <w:rPr>
          <w:rFonts w:hint="eastAsia" w:ascii="仿宋_GB2312" w:eastAsia="仿宋_GB2312"/>
          <w:color w:val="000000"/>
          <w:sz w:val="24"/>
          <w:szCs w:val="24"/>
        </w:rPr>
        <w:t>成交人根据施工设计图纸、竣工图纸、招标范围内的施工内容和具体情况，施工设计图纸、竣工图纸及竣工结算总价的编制依据及要求，依据成交人依据竣工图纸编制的工程量清单、采购人推荐的主要材料及设备品牌及工程项目情况所示全部内容、施工方案或施工组织设计、合同条款约定的内容等有关要求，按照企业定额或参照现行新计价依据以及工程造价管理机构发布的价格信息及结合市场价格，在保证工期、质量、安全、环境保护的前提下结合企业自身的实力，自报竣工结算报价。</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成交人的</w:t>
      </w:r>
      <w:r>
        <w:rPr>
          <w:rFonts w:hint="eastAsia" w:ascii="仿宋_GB2312" w:eastAsia="仿宋_GB2312"/>
          <w:color w:val="000000"/>
          <w:sz w:val="24"/>
          <w:szCs w:val="24"/>
        </w:rPr>
        <w:t>竣工结算报价</w:t>
      </w:r>
      <w:r>
        <w:rPr>
          <w:rFonts w:hint="eastAsia" w:ascii="仿宋_GB2312" w:hAnsi="宋体" w:eastAsia="仿宋_GB2312"/>
          <w:color w:val="000000"/>
          <w:sz w:val="24"/>
          <w:szCs w:val="24"/>
        </w:rPr>
        <w:t>均包括本工程招标范围和成交人依据竣工图纸编制的工程量清单、工程项目情况、合同条款约定等所述的全部工作内容和完成该工程的全部费用，包括分部分项工程和单价措施项目清单费用、总价措施项目清单费用、其他项目清单费用和规费及税金等所有费用，各级建设主管部门颁发的现行有关建设工程施工验收规范、技术标准、质量、安全、环境保护规程、规范、标准，以及新疆维吾尔自治区建设厅、克拉玛依市、白碱滩区（克拉玛依高新技术产业开发区）建设行政主管部门规定应由成交人支付的其它应缴纳的全部费用。</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8.1.14.2分部分项工程和措施项目中的单价项目清单费用</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分部分项工程和措施项目中的单价项目清单综合单价包括分部分项工程和措施项目中的单价项目所发生的人工费、材料费、机械费、管理费、利润及成交人承担的风险等全部费用。成交人漏报或少报，采购人将视为其费用已包括在工程量清单项目的其它单价及合价中，采购人将不予支付。</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8.1.14.3措施项目中的总价项目费用</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成交人应根据本工程的规模、项目复杂程度、施工难易程度、项目特点及施工现场实际情况，结合竣工结算时自身编制的施工组织设计或施工方案确定措施项目，充分考虑完成本工程全部施工内容所需的各项措施项目费用。成交人漏报或少报，采购人将视为其费用已包括在其它费用内而不予调整。</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8.1.14.4其他项目费用</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8.1.14.4.1暂列金额</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8.1.14.4.1.1暂列金额的确定执行《克拉玛依市建筑工程合同价款管理办法》（克建发[2016]46号）的相关规定。</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8.1.14.4.1.2暂列金额的作用：暂列金额是采购人在成交人依据施工设计图纸编制的工程量清单中暂定并包括在合同价格中的一笔款项，用于合同签订时尚未确定或者不可预见的所需材料、工程设备、服务的采购，施工中可能发生的工程变更、合同约定调整因素出现时的合同价款调整以及发生的索赔、现场签证确认等费用。成交人应按</w:t>
      </w:r>
      <w:r>
        <w:rPr>
          <w:rFonts w:hint="eastAsia" w:ascii="仿宋_GB2312" w:hAnsi="宋体" w:eastAsia="仿宋_GB2312"/>
          <w:color w:val="FF0000"/>
          <w:sz w:val="24"/>
          <w:szCs w:val="24"/>
        </w:rPr>
        <w:t>《其他项目清单与计价汇总表》中</w:t>
      </w:r>
      <w:r>
        <w:rPr>
          <w:rFonts w:hint="eastAsia" w:ascii="仿宋_GB2312" w:hAnsi="宋体" w:eastAsia="仿宋_GB2312"/>
          <w:color w:val="000000"/>
          <w:sz w:val="24"/>
          <w:szCs w:val="24"/>
        </w:rPr>
        <w:t>的金额进行填写，计入竣工结算总价中，暂列金额不得更改。暂列金额减去工程实施过程中发生的合同价格调整、索赔、设计变更等金额后，余额归属于采购人。</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8.1.14.4.2材料、工程设备暂估价应按成交人依据施工设计图纸编制的工程量清单中列出的单价计入综合单价。成交人不得改变。</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8.1.14.4.3专业工程暂估价应按成交人依据施工设计图纸编制的工程量清单中列出的金额填写。成交人不得改变。</w:t>
      </w:r>
    </w:p>
    <w:p>
      <w:pPr>
        <w:spacing w:line="360"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8.1.14.4.4工程量清单编制时，其他项目清单中的材料暂估单价、工程设备暂估单价应为除税单价，专业工程暂估价应为不含进项税额的税前工程造价。</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8.1.14.4.5计日工应按成交人依据竣工图纸编制的工程量清单中列出的项目和数量自主确定综合单价并计算计日工金额。</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8.1.14.4.6总承包服务费应根据成交人依据施工设计图纸编制的工程量清单列出的专业工程暂估价内容和供应材料、设备情况，按照采购人提出的协调、配合及服务要求和施工现场管理需要自主确定。</w:t>
      </w:r>
    </w:p>
    <w:p>
      <w:pPr>
        <w:spacing w:line="360"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8.1.14.5规费、税金</w:t>
      </w:r>
    </w:p>
    <w:p>
      <w:pPr>
        <w:spacing w:line="360"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8.1.14.5.1成交人所报的规费应包括工程排污费、社会保险费（养老保险费、失业保险费、医疗保险费、工伤保险费、生育保险费）、住房公积金。</w:t>
      </w:r>
    </w:p>
    <w:p>
      <w:pPr>
        <w:spacing w:line="360"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8.1.14.5.2成交人所报的税金是指国家税法规定应计入建筑安装工程造价内的增值税销项税额。</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成交人在竣工结算报价时应按照国家或省级建设行政主管部门的有关规定标准计算规费、税金，不得作为竞争性费用或随意调整计算标准。</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8.1.14.6竣工结算报价风险</w:t>
      </w:r>
    </w:p>
    <w:p>
      <w:pPr>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8.1.14.6.1所有风险均应由成交人自行考虑在竣工结算报价中。</w:t>
      </w:r>
    </w:p>
    <w:p>
      <w:pPr>
        <w:spacing w:line="360" w:lineRule="auto"/>
        <w:ind w:firstLine="482" w:firstLineChars="200"/>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8.1.15成交人应依据《建设工程工程量清单计价规范》（GB50500-2013）及《工程量计算规范》（GB50854-2013至GB50862-2013）以及新疆维吾尔自治区、克拉玛依市、白碱滩区（克拉玛依高新技术产业开发区）相关计价依据及规定和招标范围，编制竣工结算报价书，竣工结算报价依据如使用现行的定额、估价表时：综合单价中管理费、利润计取的基数不得包含人工、机械的价差；计算施工组织措施费、规费计价基数也不得包含人工、机械的价差，价差只计取税金。</w:t>
      </w:r>
    </w:p>
    <w:p>
      <w:pPr>
        <w:spacing w:line="360" w:lineRule="auto"/>
        <w:ind w:firstLine="482" w:firstLineChars="200"/>
        <w:rPr>
          <w:rFonts w:ascii="仿宋_GB2312" w:hAnsi="宋体" w:eastAsia="仿宋_GB2312"/>
          <w:b/>
          <w:color w:val="FF0000"/>
          <w:kern w:val="0"/>
          <w:sz w:val="24"/>
          <w:szCs w:val="24"/>
        </w:rPr>
      </w:pPr>
      <w:r>
        <w:rPr>
          <w:rFonts w:hint="eastAsia" w:ascii="仿宋_GB2312" w:hAnsi="宋体" w:eastAsia="仿宋_GB2312"/>
          <w:b/>
          <w:color w:val="FF0000"/>
          <w:kern w:val="0"/>
          <w:sz w:val="24"/>
          <w:szCs w:val="24"/>
        </w:rPr>
        <w:t>估价表应执行调整后的克拉玛依地区现行估价表（除税后的估价表）【《新疆维吾尔自治区市政工程克拉玛依地区单位估价表》（201</w:t>
      </w:r>
      <w:r>
        <w:rPr>
          <w:rFonts w:ascii="仿宋_GB2312" w:hAnsi="宋体" w:eastAsia="仿宋_GB2312"/>
          <w:b/>
          <w:color w:val="FF0000"/>
          <w:kern w:val="0"/>
          <w:sz w:val="24"/>
          <w:szCs w:val="24"/>
        </w:rPr>
        <w:t>8</w:t>
      </w:r>
      <w:r>
        <w:rPr>
          <w:rFonts w:hint="eastAsia" w:ascii="仿宋_GB2312" w:hAnsi="宋体" w:eastAsia="仿宋_GB2312"/>
          <w:b/>
          <w:color w:val="FF0000"/>
          <w:kern w:val="0"/>
          <w:sz w:val="24"/>
          <w:szCs w:val="24"/>
        </w:rPr>
        <w:t>年）、《新疆维吾尔自治区建筑工程消耗量定额》（2018年）克拉玛依地区单位估价表（实体项目和措施项目）、《全国统一安装工程预算定额》（2018年）克拉玛依地区单位估价表、《全国统一建筑装饰装修工程消耗量定额》（2018年）克拉玛依地区单位估价表、建筑安装工程2018年克拉玛依地区单位估价表材料预算单价、《新疆维吾尔自治区建筑工程补充消耗量定额》（2018年）克拉玛依地区单位估价表、《新疆维吾尔自治区抗震加固工程计价定额（2018年）克拉玛依地区估价表》、《新疆维吾尔自治区园林绿化工程消耗量定额》（2018年）乌鲁木齐地区单位估价表</w:t>
      </w:r>
      <w:r>
        <w:rPr>
          <w:rFonts w:hint="eastAsia" w:ascii="仿宋" w:hAnsi="仿宋" w:eastAsia="仿宋"/>
          <w:b/>
          <w:color w:val="FF0000"/>
          <w:kern w:val="0"/>
          <w:sz w:val="24"/>
          <w:szCs w:val="24"/>
        </w:rPr>
        <w:t>】</w:t>
      </w:r>
      <w:r>
        <w:rPr>
          <w:rFonts w:hint="eastAsia" w:ascii="仿宋_GB2312" w:hAnsi="宋体" w:eastAsia="仿宋_GB2312"/>
          <w:b/>
          <w:color w:val="FF0000"/>
          <w:kern w:val="0"/>
          <w:sz w:val="24"/>
          <w:szCs w:val="24"/>
        </w:rPr>
        <w:t>，不得执行原《新疆维吾尔自治区市政工程克拉玛依地区单位估价表（2013年）》单位估价表、2015年的克拉玛依地区单位估价表（建筑工程）、《新疆维吾尔自治区抗震加固工程计价定额（2010年）克拉玛依地区估价表》、《新疆园林绿化工程消耗量定额乌鲁木齐地区单位估价汇总表（2014）》单位估价表。</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hAnsi="宋体" w:eastAsia="仿宋_GB2312"/>
          <w:b/>
          <w:color w:val="000000"/>
          <w:sz w:val="24"/>
          <w:szCs w:val="24"/>
        </w:rPr>
        <w:t>、</w:t>
      </w:r>
      <w:r>
        <w:rPr>
          <w:rFonts w:hint="eastAsia" w:ascii="仿宋_GB2312" w:eastAsia="仿宋_GB2312"/>
          <w:b/>
          <w:color w:val="000000"/>
          <w:sz w:val="24"/>
          <w:szCs w:val="24"/>
        </w:rPr>
        <w:t>材料供应方式及材料质量保证</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.1除由采购人组织招标采购的材料、设备外均由成交人自行组织供货。</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2甲供乙管（如果有，保管费按规定计取）：指采购人对部分选定的材料、设备，由成交人进行施工、安装调试。成交人必须对到场的材料、实体设备、附件、备件等从到场起即行保管及仓储，并组织施工、安装及调试，直到竣工验收合格、试运行，部分与安装工程关系密切的设备、材料，在采购人的要求下，成交人亦可配合参与采供的前期工作（如有甲供材料、设备，清单另附）。</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.3甲指乙办（如果有，采购、保管费按规定计算）：指较为大宗的设备材料，由采购人指定或参与前期选型，由成交人采办。</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.4无论采取上述任何一种供货方式，必须确定选型及供货、采购人乃至具体人员，目的是落实责任制，对工程质量负责。</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.5自行组织供货要求</w:t>
      </w:r>
    </w:p>
    <w:p>
      <w:pPr>
        <w:spacing w:line="360" w:lineRule="auto"/>
        <w:ind w:firstLine="482" w:firstLineChars="200"/>
        <w:rPr>
          <w:rFonts w:ascii="仿宋_GB2312" w:eastAsia="仿宋_GB2312"/>
          <w:b/>
          <w:color w:val="000000"/>
          <w:sz w:val="24"/>
          <w:szCs w:val="24"/>
        </w:rPr>
      </w:pPr>
      <w:r>
        <w:rPr>
          <w:rFonts w:ascii="仿宋_GB2312" w:eastAsia="仿宋_GB2312"/>
          <w:b/>
          <w:color w:val="000000"/>
          <w:sz w:val="24"/>
          <w:szCs w:val="24"/>
        </w:rPr>
        <w:t>9</w:t>
      </w:r>
      <w:r>
        <w:rPr>
          <w:rFonts w:hint="eastAsia" w:ascii="仿宋_GB2312" w:eastAsia="仿宋_GB2312"/>
          <w:b/>
          <w:color w:val="000000"/>
          <w:sz w:val="24"/>
          <w:szCs w:val="24"/>
        </w:rPr>
        <w:t>.5.1成交人负责选择质量过硬、技术先进、价格合理、供货及时、信誉好、有实力且售后服务跟得上的厂商供货。</w:t>
      </w:r>
    </w:p>
    <w:p>
      <w:pPr>
        <w:spacing w:line="360" w:lineRule="auto"/>
        <w:ind w:firstLine="482" w:firstLineChars="200"/>
        <w:rPr>
          <w:rFonts w:ascii="仿宋_GB2312" w:eastAsia="仿宋_GB2312"/>
          <w:b/>
          <w:sz w:val="24"/>
          <w:szCs w:val="24"/>
        </w:rPr>
      </w:pPr>
      <w:r>
        <w:rPr>
          <w:rFonts w:ascii="仿宋_GB2312" w:eastAsia="仿宋_GB2312"/>
          <w:b/>
          <w:color w:val="000000"/>
          <w:sz w:val="24"/>
          <w:szCs w:val="24"/>
        </w:rPr>
        <w:t>9</w:t>
      </w:r>
      <w:r>
        <w:rPr>
          <w:rFonts w:hint="eastAsia" w:ascii="仿宋_GB2312" w:eastAsia="仿宋_GB2312"/>
          <w:b/>
          <w:color w:val="000000"/>
          <w:sz w:val="24"/>
          <w:szCs w:val="24"/>
        </w:rPr>
        <w:t>.5.2成交人采购材料、设备时，应根据投标文件所报材料、设备品牌、规格等进行采购，组织供货，未按要求，一经发现，限期退场 ，</w:t>
      </w:r>
      <w:r>
        <w:rPr>
          <w:rFonts w:hint="eastAsia" w:ascii="仿宋_GB2312" w:hAnsi="宋体" w:eastAsia="仿宋_GB2312"/>
          <w:b/>
          <w:color w:val="000000"/>
          <w:sz w:val="24"/>
          <w:szCs w:val="24"/>
        </w:rPr>
        <w:t>每发生一次，成交人向采购人</w:t>
      </w:r>
      <w:r>
        <w:rPr>
          <w:rFonts w:hint="eastAsia" w:ascii="仿宋_GB2312" w:hAnsi="宋体" w:eastAsia="仿宋_GB2312"/>
          <w:b/>
          <w:sz w:val="24"/>
          <w:szCs w:val="24"/>
        </w:rPr>
        <w:t>支付至少壹拾万元/次的违约金。</w:t>
      </w:r>
    </w:p>
    <w:p>
      <w:pPr>
        <w:spacing w:line="360" w:lineRule="auto"/>
        <w:ind w:firstLine="482" w:firstLineChars="200"/>
        <w:rPr>
          <w:rFonts w:ascii="仿宋_GB2312" w:eastAsia="仿宋_GB2312"/>
          <w:b/>
          <w:sz w:val="24"/>
        </w:rPr>
      </w:pPr>
      <w:r>
        <w:rPr>
          <w:rFonts w:ascii="仿宋_GB2312" w:eastAsia="仿宋_GB2312"/>
          <w:b/>
          <w:sz w:val="24"/>
          <w:szCs w:val="24"/>
        </w:rPr>
        <w:t>9</w:t>
      </w:r>
      <w:r>
        <w:rPr>
          <w:rFonts w:hint="eastAsia" w:ascii="仿宋_GB2312" w:eastAsia="仿宋_GB2312"/>
          <w:b/>
          <w:sz w:val="24"/>
          <w:szCs w:val="24"/>
        </w:rPr>
        <w:t>.5.3</w:t>
      </w:r>
      <w:r>
        <w:rPr>
          <w:rFonts w:hint="eastAsia" w:ascii="仿宋_GB2312" w:eastAsia="仿宋_GB2312"/>
          <w:b/>
          <w:sz w:val="24"/>
        </w:rPr>
        <w:t>成交人</w:t>
      </w:r>
      <w:r>
        <w:rPr>
          <w:rFonts w:hint="eastAsia" w:ascii="仿宋_GB2312" w:hAnsi="仿宋_GB2312" w:eastAsia="仿宋_GB2312" w:cs="仿宋_GB2312"/>
          <w:b/>
          <w:sz w:val="24"/>
        </w:rPr>
        <w:t>应根据市场情况选择符合设计要求质量好、价格合理的合格产品，并在编制成交人依据施工设计图纸编制的工程量清单</w:t>
      </w:r>
      <w:r>
        <w:rPr>
          <w:rFonts w:hint="eastAsia" w:ascii="仿宋_GB2312" w:eastAsia="仿宋_GB2312"/>
          <w:b/>
          <w:sz w:val="24"/>
        </w:rPr>
        <w:t>《主要材料、设备价格表（采购人提供）》中列出材料的品牌、型号、规格（包括厚度）、材质、生产厂家以及所选品牌系列号、品种、名称等内容和在</w:t>
      </w:r>
      <w:r>
        <w:rPr>
          <w:rFonts w:hint="eastAsia" w:ascii="仿宋_GB2312" w:hAnsi="仿宋_GB2312" w:eastAsia="仿宋_GB2312" w:cs="仿宋_GB2312"/>
          <w:b/>
          <w:sz w:val="24"/>
        </w:rPr>
        <w:t>成交人依据施工设计图纸编制的工程量清单</w:t>
      </w:r>
      <w:r>
        <w:rPr>
          <w:rFonts w:hint="eastAsia" w:ascii="仿宋_GB2312" w:eastAsia="仿宋_GB2312"/>
          <w:b/>
          <w:sz w:val="24"/>
        </w:rPr>
        <w:t>《苗木规格及价格表（采购人提供）》中列出苗木的规格、来源等内容，若中标，除采购人要求更换的材料、设备、苗木外，一律不予调整，</w:t>
      </w:r>
      <w:r>
        <w:rPr>
          <w:rFonts w:hint="eastAsia" w:ascii="仿宋_GB2312" w:eastAsia="仿宋_GB2312"/>
          <w:b/>
          <w:sz w:val="24"/>
          <w:szCs w:val="24"/>
        </w:rPr>
        <w:t>按照所报材料的品牌及厂家供货、进场及验收。</w:t>
      </w:r>
      <w:r>
        <w:rPr>
          <w:rFonts w:hint="eastAsia" w:ascii="仿宋_GB2312" w:eastAsia="仿宋_GB2312"/>
          <w:b/>
          <w:sz w:val="24"/>
        </w:rPr>
        <w:t>未按要求的，每发生一次，成交人向采购人支付至少壹拾万元/次的违约金。</w:t>
      </w:r>
    </w:p>
    <w:p>
      <w:pPr>
        <w:spacing w:line="360" w:lineRule="auto"/>
        <w:ind w:firstLine="482" w:firstLineChars="200"/>
        <w:rPr>
          <w:rFonts w:ascii="仿宋_GB2312" w:eastAsia="仿宋_GB2312"/>
          <w:b/>
          <w:sz w:val="24"/>
        </w:rPr>
      </w:pPr>
      <w:r>
        <w:rPr>
          <w:rFonts w:hint="eastAsia" w:ascii="仿宋_GB2312" w:eastAsia="仿宋_GB2312"/>
          <w:b/>
          <w:sz w:val="24"/>
        </w:rPr>
        <w:t>由于园林绿化工程项目实施的季节性、特殊性，在苗木种植期间成交人提供的苗木达不到施工设计图纸要求，每发生一次，成交人向采购人支付至少壹拾万元/次的违约金。招标将要求成交人将该苗木清理出场，如由于工期原因，种植的达不到施工设计图纸要求的苗木的价格，按该苗木经采购人确认的市场价格的30%至50%的价格，在工程结算时予以扣减。</w:t>
      </w:r>
    </w:p>
    <w:p>
      <w:pPr>
        <w:spacing w:line="360" w:lineRule="auto"/>
        <w:ind w:firstLine="482" w:firstLineChars="200"/>
        <w:rPr>
          <w:rFonts w:ascii="仿宋_GB2312" w:eastAsia="仿宋_GB2312"/>
          <w:b/>
          <w:sz w:val="24"/>
        </w:rPr>
      </w:pPr>
      <w:r>
        <w:rPr>
          <w:rFonts w:ascii="仿宋_GB2312" w:eastAsia="仿宋_GB2312"/>
          <w:b/>
          <w:sz w:val="24"/>
        </w:rPr>
        <w:t>9</w:t>
      </w:r>
      <w:r>
        <w:rPr>
          <w:rFonts w:hint="eastAsia" w:ascii="仿宋_GB2312" w:eastAsia="仿宋_GB2312"/>
          <w:b/>
          <w:sz w:val="24"/>
        </w:rPr>
        <w:t>.5.4如成交人依据施工设计图纸编制的工程量清单中所列材料、设备不符合设计要求、质量低劣者，采购人有权要求更换为符合设计要求且质量好的合格产品，投标文件中所列价格高于实际供货价格的，采购人有权予以扣减。</w:t>
      </w:r>
    </w:p>
    <w:p>
      <w:pPr>
        <w:spacing w:line="360" w:lineRule="auto"/>
        <w:ind w:firstLine="482" w:firstLineChars="200"/>
        <w:rPr>
          <w:rFonts w:ascii="仿宋_GB2312" w:eastAsia="仿宋_GB2312"/>
          <w:b/>
          <w:sz w:val="24"/>
          <w:szCs w:val="24"/>
        </w:rPr>
      </w:pPr>
      <w:r>
        <w:rPr>
          <w:rFonts w:ascii="仿宋_GB2312" w:eastAsia="仿宋_GB2312"/>
          <w:b/>
          <w:sz w:val="24"/>
          <w:szCs w:val="24"/>
        </w:rPr>
        <w:t>9</w:t>
      </w:r>
      <w:r>
        <w:rPr>
          <w:rFonts w:hint="eastAsia" w:ascii="仿宋_GB2312" w:eastAsia="仿宋_GB2312"/>
          <w:b/>
          <w:sz w:val="24"/>
          <w:szCs w:val="24"/>
        </w:rPr>
        <w:t>.5.5</w:t>
      </w:r>
      <w:r>
        <w:rPr>
          <w:rFonts w:hint="eastAsia" w:ascii="仿宋_GB2312" w:eastAsia="仿宋_GB2312"/>
          <w:b/>
          <w:color w:val="000000"/>
          <w:sz w:val="24"/>
          <w:szCs w:val="24"/>
        </w:rPr>
        <w:t>采购人如推荐材料、设备品牌，成交人应在采购人推荐的同一货物品牌中任选材料、设备品牌进行报价，并在编制成交人依据施工设计图纸编制的工程量清单</w:t>
      </w:r>
      <w:r>
        <w:rPr>
          <w:rFonts w:hint="eastAsia" w:ascii="仿宋_GB2312" w:eastAsia="仿宋_GB2312"/>
          <w:b/>
          <w:color w:val="000000"/>
          <w:sz w:val="24"/>
        </w:rPr>
        <w:t>《主要材料、设备价格表（采购人提供）》中列出材料、设备的品牌、型号、规格（包括厚度）、材质、生产厂家以及所选品牌系列</w:t>
      </w:r>
      <w:r>
        <w:rPr>
          <w:rFonts w:hint="eastAsia" w:ascii="仿宋_GB2312" w:eastAsia="仿宋_GB2312"/>
          <w:b/>
          <w:sz w:val="24"/>
        </w:rPr>
        <w:t>号、品种、名称等内容，若中标，除采购人要求更换的材料、设备外，一律不予调整，</w:t>
      </w:r>
      <w:r>
        <w:rPr>
          <w:rFonts w:hint="eastAsia" w:ascii="仿宋_GB2312" w:eastAsia="仿宋_GB2312"/>
          <w:b/>
          <w:sz w:val="24"/>
          <w:szCs w:val="24"/>
        </w:rPr>
        <w:t>按照所报材料的品牌及厂家供货、进场及验收。</w:t>
      </w:r>
      <w:r>
        <w:rPr>
          <w:rFonts w:hint="eastAsia" w:ascii="仿宋_GB2312" w:eastAsia="仿宋_GB2312"/>
          <w:b/>
          <w:sz w:val="24"/>
        </w:rPr>
        <w:t>同时在</w:t>
      </w:r>
      <w:r>
        <w:rPr>
          <w:rFonts w:hint="eastAsia" w:ascii="仿宋_GB2312" w:hAnsi="仿宋_GB2312" w:eastAsia="仿宋_GB2312" w:cs="仿宋_GB2312"/>
          <w:b/>
          <w:sz w:val="24"/>
        </w:rPr>
        <w:t>成交人依据施工设计图纸编制的工程量清单</w:t>
      </w:r>
      <w:r>
        <w:rPr>
          <w:rFonts w:hint="eastAsia" w:ascii="仿宋_GB2312" w:eastAsia="仿宋_GB2312"/>
          <w:b/>
          <w:sz w:val="24"/>
        </w:rPr>
        <w:t>《苗木规格及价格表（采购人提供）》中列出苗木的规格、来源等内容，</w:t>
      </w:r>
      <w:r>
        <w:rPr>
          <w:rFonts w:hint="eastAsia" w:ascii="仿宋_GB2312" w:eastAsia="仿宋_GB2312"/>
          <w:b/>
          <w:sz w:val="24"/>
          <w:szCs w:val="24"/>
        </w:rPr>
        <w:t>未报出以上内容的，采购人有权按该材料（或设备）的最好品牌、苗木</w:t>
      </w:r>
      <w:r>
        <w:rPr>
          <w:rFonts w:ascii="仿宋_GB2312" w:eastAsia="仿宋_GB2312"/>
          <w:b/>
          <w:sz w:val="24"/>
          <w:szCs w:val="24"/>
        </w:rPr>
        <w:t>规格、</w:t>
      </w:r>
      <w:r>
        <w:rPr>
          <w:rFonts w:hint="eastAsia" w:ascii="仿宋_GB2312" w:eastAsia="仿宋_GB2312"/>
          <w:b/>
          <w:sz w:val="24"/>
          <w:szCs w:val="24"/>
        </w:rPr>
        <w:t>最高档次产品予以确认，成交人必须按采购人确认的品牌、苗木</w:t>
      </w:r>
      <w:r>
        <w:rPr>
          <w:rFonts w:ascii="仿宋_GB2312" w:eastAsia="仿宋_GB2312"/>
          <w:b/>
          <w:sz w:val="24"/>
          <w:szCs w:val="24"/>
        </w:rPr>
        <w:t>规格、</w:t>
      </w:r>
      <w:r>
        <w:rPr>
          <w:rFonts w:hint="eastAsia" w:ascii="仿宋_GB2312" w:eastAsia="仿宋_GB2312"/>
          <w:b/>
          <w:sz w:val="24"/>
          <w:szCs w:val="24"/>
        </w:rPr>
        <w:t>档次予以购买，价差部分不予调整。成交人不得以采购不到或其他理由拒绝采购人所选材料或设备且不得延误工期，否则将承担违约责任。</w:t>
      </w:r>
    </w:p>
    <w:p>
      <w:pPr>
        <w:spacing w:line="360" w:lineRule="auto"/>
        <w:ind w:firstLine="482" w:firstLineChars="200"/>
        <w:rPr>
          <w:rFonts w:ascii="仿宋_GB2312" w:hAnsi="仿宋" w:eastAsia="仿宋_GB2312"/>
          <w:b/>
          <w:sz w:val="24"/>
          <w:szCs w:val="24"/>
        </w:rPr>
      </w:pPr>
      <w:r>
        <w:rPr>
          <w:rFonts w:ascii="仿宋_GB2312" w:eastAsia="仿宋_GB2312"/>
          <w:b/>
          <w:sz w:val="24"/>
        </w:rPr>
        <w:t>9</w:t>
      </w:r>
      <w:r>
        <w:rPr>
          <w:rFonts w:hint="eastAsia" w:ascii="仿宋_GB2312" w:eastAsia="仿宋_GB2312"/>
          <w:b/>
          <w:sz w:val="24"/>
        </w:rPr>
        <w:t>.5.6</w:t>
      </w:r>
      <w:r>
        <w:rPr>
          <w:rFonts w:hint="eastAsia" w:ascii="仿宋_GB2312" w:hAnsi="仿宋" w:eastAsia="仿宋_GB2312"/>
          <w:b/>
          <w:sz w:val="24"/>
        </w:rPr>
        <w:t>如成交人未在采购人推荐的品牌中选择材料、设备品牌或未在成交人依据施工设计图纸编制的工程量清单</w:t>
      </w:r>
      <w:r>
        <w:rPr>
          <w:rFonts w:hint="eastAsia" w:ascii="仿宋_GB2312" w:hAnsi="仿宋" w:eastAsia="仿宋_GB2312"/>
          <w:b/>
          <w:color w:val="0C0C0C"/>
          <w:sz w:val="24"/>
        </w:rPr>
        <w:t>《主要材料、设备价格表（采购人提供）》中完整列出按采购人推荐品牌选择材料、设备品牌的</w:t>
      </w:r>
      <w:r>
        <w:rPr>
          <w:rFonts w:hint="eastAsia" w:ascii="仿宋_GB2312" w:eastAsia="仿宋_GB2312"/>
          <w:b/>
          <w:color w:val="0C0C0C"/>
          <w:sz w:val="24"/>
        </w:rPr>
        <w:t>或成交人未在成交人依据施工设计图纸编制的工程量清单</w:t>
      </w:r>
      <w:r>
        <w:rPr>
          <w:rFonts w:hint="eastAsia" w:ascii="仿宋_GB2312" w:eastAsia="仿宋_GB2312"/>
          <w:b/>
          <w:color w:val="0C0C0C"/>
          <w:sz w:val="24"/>
          <w:szCs w:val="24"/>
        </w:rPr>
        <w:t>《苗木规格及价格表（采购人提供）》中列出符合施工设计图纸、招标文件及招标答疑纪要（包括各类通知及其附件等）要求的苗木的规格、来源等内容或未完全列出的</w:t>
      </w:r>
      <w:r>
        <w:rPr>
          <w:rFonts w:hint="eastAsia" w:ascii="仿宋_GB2312" w:eastAsia="仿宋_GB2312"/>
          <w:b/>
          <w:color w:val="0C0C0C"/>
          <w:sz w:val="24"/>
        </w:rPr>
        <w:t>，</w:t>
      </w:r>
      <w:r>
        <w:rPr>
          <w:rFonts w:hint="eastAsia" w:ascii="仿宋_GB2312" w:hAnsi="仿宋" w:eastAsia="仿宋_GB2312"/>
          <w:b/>
          <w:color w:val="0C0C0C"/>
          <w:sz w:val="24"/>
        </w:rPr>
        <w:t>采购人可指定品牌、指定价格进行结算</w:t>
      </w:r>
      <w:r>
        <w:rPr>
          <w:rFonts w:hint="eastAsia" w:ascii="仿宋_GB2312" w:hAnsi="仿宋" w:eastAsia="仿宋_GB2312"/>
          <w:b/>
          <w:sz w:val="24"/>
        </w:rPr>
        <w:t>。</w:t>
      </w:r>
    </w:p>
    <w:p>
      <w:pPr>
        <w:spacing w:line="360" w:lineRule="auto"/>
        <w:ind w:firstLine="482" w:firstLineChars="200"/>
        <w:rPr>
          <w:rFonts w:ascii="仿宋_GB2312" w:eastAsia="仿宋_GB2312"/>
          <w:b/>
          <w:sz w:val="24"/>
          <w:szCs w:val="24"/>
        </w:rPr>
      </w:pPr>
      <w:r>
        <w:rPr>
          <w:rFonts w:ascii="仿宋_GB2312" w:eastAsia="仿宋_GB2312"/>
          <w:b/>
          <w:sz w:val="24"/>
          <w:szCs w:val="24"/>
        </w:rPr>
        <w:t>9</w:t>
      </w:r>
      <w:r>
        <w:rPr>
          <w:rFonts w:hint="eastAsia" w:ascii="仿宋_GB2312" w:eastAsia="仿宋_GB2312"/>
          <w:b/>
          <w:sz w:val="24"/>
          <w:szCs w:val="24"/>
        </w:rPr>
        <w:t>.5.7材料、设备质量要求</w:t>
      </w:r>
    </w:p>
    <w:p>
      <w:pPr>
        <w:spacing w:line="360" w:lineRule="auto"/>
        <w:ind w:firstLine="482" w:firstLineChars="200"/>
        <w:rPr>
          <w:rFonts w:ascii="仿宋_GB2312" w:eastAsia="仿宋_GB2312"/>
          <w:b/>
          <w:sz w:val="24"/>
          <w:szCs w:val="24"/>
        </w:rPr>
      </w:pPr>
      <w:r>
        <w:rPr>
          <w:rFonts w:ascii="仿宋_GB2312" w:eastAsia="仿宋_GB2312"/>
          <w:b/>
          <w:sz w:val="24"/>
          <w:szCs w:val="24"/>
        </w:rPr>
        <w:t>9</w:t>
      </w:r>
      <w:r>
        <w:rPr>
          <w:rFonts w:hint="eastAsia" w:ascii="仿宋_GB2312" w:eastAsia="仿宋_GB2312"/>
          <w:b/>
          <w:sz w:val="24"/>
          <w:szCs w:val="24"/>
        </w:rPr>
        <w:t>.5.7.1本工程严禁使用不合格或不符合设计要求的材料、设备或</w:t>
      </w:r>
      <w:r>
        <w:rPr>
          <w:rFonts w:ascii="仿宋_GB2312" w:eastAsia="仿宋_GB2312"/>
          <w:b/>
          <w:sz w:val="24"/>
          <w:szCs w:val="24"/>
        </w:rPr>
        <w:t>苗木规格</w:t>
      </w:r>
      <w:r>
        <w:rPr>
          <w:rFonts w:hint="eastAsia" w:ascii="仿宋_GB2312" w:eastAsia="仿宋_GB2312"/>
          <w:b/>
          <w:sz w:val="24"/>
          <w:szCs w:val="24"/>
        </w:rPr>
        <w:t>，监理人有权拒绝成交人提供的不合格材料、设备、</w:t>
      </w:r>
      <w:r>
        <w:rPr>
          <w:rFonts w:ascii="仿宋_GB2312" w:eastAsia="仿宋_GB2312"/>
          <w:b/>
          <w:sz w:val="24"/>
          <w:szCs w:val="24"/>
        </w:rPr>
        <w:t>苗木</w:t>
      </w:r>
      <w:r>
        <w:rPr>
          <w:rFonts w:hint="eastAsia" w:ascii="仿宋_GB2312" w:eastAsia="仿宋_GB2312"/>
          <w:b/>
          <w:sz w:val="24"/>
          <w:szCs w:val="24"/>
        </w:rPr>
        <w:t>规格，并要求成交人立即进行更换，由此增加的一切费用和（或）工期延误均由成交人承担。一经发现使用不合格或不符合设计要求的材料或设备，成交人向采购人支付壹拾万元/次的违约金。</w:t>
      </w:r>
    </w:p>
    <w:p>
      <w:pPr>
        <w:spacing w:line="360" w:lineRule="auto"/>
        <w:ind w:firstLine="482" w:firstLineChars="200"/>
        <w:rPr>
          <w:rFonts w:ascii="仿宋_GB2312" w:eastAsia="仿宋_GB2312"/>
          <w:b/>
          <w:sz w:val="24"/>
          <w:szCs w:val="24"/>
        </w:rPr>
      </w:pPr>
      <w:r>
        <w:rPr>
          <w:rFonts w:ascii="仿宋_GB2312" w:eastAsia="仿宋_GB2312"/>
          <w:b/>
          <w:sz w:val="24"/>
          <w:szCs w:val="24"/>
        </w:rPr>
        <w:t>9</w:t>
      </w:r>
      <w:r>
        <w:rPr>
          <w:rFonts w:hint="eastAsia" w:ascii="仿宋_GB2312" w:eastAsia="仿宋_GB2312"/>
          <w:b/>
          <w:sz w:val="24"/>
          <w:szCs w:val="24"/>
        </w:rPr>
        <w:t>.5.7.2成交人必须向采购人、监理人提交所有进场材料、设备质量证明文件，并满足合同约定的质量标准。</w:t>
      </w:r>
    </w:p>
    <w:p>
      <w:pPr>
        <w:spacing w:line="360" w:lineRule="auto"/>
        <w:ind w:firstLine="482" w:firstLineChars="200"/>
        <w:rPr>
          <w:rFonts w:ascii="仿宋_GB2312" w:eastAsia="仿宋_GB2312"/>
          <w:b/>
          <w:sz w:val="24"/>
          <w:szCs w:val="24"/>
        </w:rPr>
      </w:pPr>
      <w:r>
        <w:rPr>
          <w:rFonts w:ascii="仿宋_GB2312" w:eastAsia="仿宋_GB2312"/>
          <w:b/>
          <w:sz w:val="24"/>
          <w:szCs w:val="24"/>
        </w:rPr>
        <w:t>9</w:t>
      </w:r>
      <w:r>
        <w:rPr>
          <w:rFonts w:hint="eastAsia" w:ascii="仿宋_GB2312" w:eastAsia="仿宋_GB2312"/>
          <w:b/>
          <w:sz w:val="24"/>
          <w:szCs w:val="24"/>
        </w:rPr>
        <w:t>.5.7.3对成交人提供的材料或设备，成交人应会同监理人进行检验和交货验收，查验材料、设备合格证书和产品合格证书，苗木</w:t>
      </w:r>
      <w:r>
        <w:rPr>
          <w:rFonts w:ascii="仿宋_GB2312" w:eastAsia="仿宋_GB2312"/>
          <w:b/>
          <w:sz w:val="24"/>
          <w:szCs w:val="24"/>
        </w:rPr>
        <w:t>检疫证书</w:t>
      </w:r>
      <w:r>
        <w:rPr>
          <w:rFonts w:hint="eastAsia" w:ascii="仿宋_GB2312" w:eastAsia="仿宋_GB2312"/>
          <w:b/>
          <w:sz w:val="24"/>
          <w:szCs w:val="24"/>
        </w:rPr>
        <w:t>并按要求进行材料抽样检验或设备、</w:t>
      </w:r>
      <w:r>
        <w:rPr>
          <w:rFonts w:ascii="仿宋_GB2312" w:eastAsia="仿宋_GB2312"/>
          <w:b/>
          <w:sz w:val="24"/>
          <w:szCs w:val="24"/>
        </w:rPr>
        <w:t>苗木</w:t>
      </w:r>
      <w:r>
        <w:rPr>
          <w:rFonts w:hint="eastAsia" w:ascii="仿宋_GB2312" w:eastAsia="仿宋_GB2312"/>
          <w:b/>
          <w:sz w:val="24"/>
          <w:szCs w:val="24"/>
        </w:rPr>
        <w:t>检验测试，检验和测试结果提交监理人，只有检验和测试合格的材料、设备、</w:t>
      </w:r>
      <w:r>
        <w:rPr>
          <w:rFonts w:ascii="仿宋_GB2312" w:eastAsia="仿宋_GB2312"/>
          <w:b/>
          <w:sz w:val="24"/>
          <w:szCs w:val="24"/>
        </w:rPr>
        <w:t>苗木</w:t>
      </w:r>
      <w:r>
        <w:rPr>
          <w:rFonts w:hint="eastAsia" w:ascii="仿宋_GB2312" w:eastAsia="仿宋_GB2312"/>
          <w:b/>
          <w:sz w:val="24"/>
          <w:szCs w:val="24"/>
        </w:rPr>
        <w:t>才能允许使用，所发生的一切费用均由成交人承担。</w:t>
      </w:r>
    </w:p>
    <w:p>
      <w:pPr>
        <w:spacing w:line="360" w:lineRule="auto"/>
        <w:ind w:firstLine="482" w:firstLineChars="200"/>
        <w:rPr>
          <w:rFonts w:ascii="仿宋_GB2312" w:eastAsia="仿宋_GB2312"/>
          <w:b/>
          <w:color w:val="000000"/>
          <w:sz w:val="24"/>
        </w:rPr>
      </w:pPr>
      <w:r>
        <w:rPr>
          <w:rFonts w:ascii="仿宋_GB2312" w:eastAsia="仿宋_GB2312"/>
          <w:b/>
          <w:color w:val="000000"/>
          <w:sz w:val="24"/>
        </w:rPr>
        <w:t>9</w:t>
      </w:r>
      <w:r>
        <w:rPr>
          <w:rFonts w:hint="eastAsia" w:ascii="仿宋_GB2312" w:eastAsia="仿宋_GB2312"/>
          <w:b/>
          <w:color w:val="000000"/>
          <w:sz w:val="24"/>
        </w:rPr>
        <w:t>.5.8若有成交人向采购人支付违约金，采购人可在向成交人支付的任何款项中扣除。</w:t>
      </w:r>
    </w:p>
    <w:p>
      <w:pPr>
        <w:spacing w:line="360" w:lineRule="auto"/>
        <w:ind w:firstLine="482" w:firstLineChars="200"/>
        <w:rPr>
          <w:rFonts w:ascii="仿宋_GB2312" w:eastAsia="仿宋_GB2312"/>
          <w:b/>
          <w:color w:val="000000"/>
          <w:sz w:val="24"/>
        </w:rPr>
      </w:pPr>
      <w:r>
        <w:rPr>
          <w:rFonts w:ascii="仿宋_GB2312" w:eastAsia="仿宋_GB2312"/>
          <w:b/>
          <w:color w:val="000000"/>
          <w:sz w:val="24"/>
        </w:rPr>
        <w:t>9</w:t>
      </w:r>
      <w:r>
        <w:rPr>
          <w:rFonts w:hint="eastAsia" w:ascii="仿宋_GB2312" w:eastAsia="仿宋_GB2312"/>
          <w:b/>
          <w:color w:val="000000"/>
          <w:sz w:val="24"/>
        </w:rPr>
        <w:t>.5.9若采购人在本次招标时确定了主要苗木、材料、设备品牌，如投标人未在采购人推荐的品牌中选择材料、设备品牌或未在招标文件《苗木规格及价格表（采购人提供）》、《主要材料、设备价格表（采购人提供）》中完整列出按采购人推荐品牌选择材料、设备品牌、苗木规格、来源的，经评标委员会评审确认后，在投标人商务标得分中扣3分。</w:t>
      </w:r>
    </w:p>
    <w:p>
      <w:pPr>
        <w:widowControl/>
        <w:adjustRightInd w:val="0"/>
        <w:snapToGrid w:val="0"/>
        <w:spacing w:before="120" w:beforeLines="50" w:line="360" w:lineRule="auto"/>
        <w:ind w:firstLine="480" w:firstLineChars="200"/>
        <w:jc w:val="left"/>
        <w:rPr>
          <w:rFonts w:ascii="仿宋_GB2312" w:eastAsia="仿宋_GB2312"/>
          <w:sz w:val="24"/>
          <w:szCs w:val="24"/>
        </w:rPr>
      </w:pPr>
    </w:p>
    <w:p>
      <w:pPr>
        <w:pStyle w:val="2"/>
        <w:spacing w:before="120" w:beforeLines="50" w:afterLines="50" w:line="240" w:lineRule="auto"/>
        <w:ind w:left="0" w:firstLine="0"/>
        <w:rPr>
          <w:rFonts w:ascii="仿宋_GB2312" w:eastAsia="仿宋_GB2312"/>
        </w:rPr>
      </w:pPr>
      <w:bookmarkStart w:id="266" w:name="_Toc481542896"/>
      <w:r>
        <w:rPr>
          <w:rFonts w:hint="eastAsia" w:ascii="仿宋_GB2312" w:eastAsia="仿宋_GB2312"/>
        </w:rPr>
        <w:t>十三、投标文件的组成</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投标文件</w:t>
      </w:r>
      <w:r>
        <w:rPr>
          <w:rFonts w:ascii="仿宋_GB2312" w:eastAsia="仿宋_GB2312"/>
          <w:sz w:val="24"/>
        </w:rPr>
        <w:t>封面</w:t>
      </w:r>
    </w:p>
    <w:bookmarkEnd w:id="260"/>
    <w:bookmarkEnd w:id="261"/>
    <w:bookmarkEnd w:id="266"/>
    <w:p>
      <w:pPr>
        <w:adjustRightInd w:val="0"/>
        <w:snapToGrid w:val="0"/>
        <w:spacing w:before="120" w:beforeLines="50" w:line="240" w:lineRule="exact"/>
        <w:rPr>
          <w:rFonts w:ascii="仿宋_GB2312" w:eastAsia="仿宋_GB2312"/>
          <w:b/>
          <w:sz w:val="24"/>
        </w:rPr>
      </w:pPr>
      <w:r>
        <w:rPr>
          <w:rFonts w:hint="eastAsia" w:ascii="仿宋_GB2312" w:eastAsia="仿宋_GB2312"/>
          <w:b/>
          <w:sz w:val="24"/>
        </w:rPr>
        <w:t>一、商务标</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附件1 投标函</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附件2 投标报价表</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w:t>
      </w:r>
      <w:r>
        <w:rPr>
          <w:rFonts w:ascii="仿宋_GB2312" w:eastAsia="仿宋_GB2312"/>
          <w:sz w:val="24"/>
        </w:rPr>
        <w:t>3</w:t>
      </w:r>
      <w:r>
        <w:rPr>
          <w:rFonts w:hint="eastAsia" w:ascii="仿宋_GB2312" w:eastAsia="仿宋_GB2312"/>
          <w:sz w:val="24"/>
        </w:rPr>
        <w:t xml:space="preserve"> 投标保证金</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w:t>
      </w:r>
      <w:r>
        <w:rPr>
          <w:rFonts w:ascii="仿宋_GB2312" w:eastAsia="仿宋_GB2312"/>
          <w:sz w:val="24"/>
        </w:rPr>
        <w:t>4</w:t>
      </w:r>
      <w:r>
        <w:rPr>
          <w:rFonts w:hint="eastAsia" w:ascii="仿宋_GB2312" w:eastAsia="仿宋_GB2312"/>
          <w:sz w:val="24"/>
        </w:rPr>
        <w:t xml:space="preserve"> 资格条件确认</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w:t>
      </w:r>
      <w:r>
        <w:rPr>
          <w:rFonts w:ascii="仿宋_GB2312" w:eastAsia="仿宋_GB2312"/>
          <w:sz w:val="24"/>
        </w:rPr>
        <w:t>5</w:t>
      </w:r>
      <w:r>
        <w:rPr>
          <w:rFonts w:hint="eastAsia" w:ascii="仿宋_GB2312" w:eastAsia="仿宋_GB2312"/>
          <w:sz w:val="24"/>
        </w:rPr>
        <w:t xml:space="preserve"> 授权委托书</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w:t>
      </w:r>
      <w:r>
        <w:rPr>
          <w:rFonts w:ascii="仿宋_GB2312" w:eastAsia="仿宋_GB2312"/>
          <w:sz w:val="24"/>
        </w:rPr>
        <w:t>6</w:t>
      </w:r>
      <w:r>
        <w:rPr>
          <w:rFonts w:hint="eastAsia" w:ascii="仿宋_GB2312" w:eastAsia="仿宋_GB2312"/>
          <w:sz w:val="24"/>
        </w:rPr>
        <w:t xml:space="preserve"> 法定代表人身份证明</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附件7 投标人基本情况</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附件8 联合体协议书</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附件9 PPP项目合同响应/偏离表</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附件10 财务状况报告和银行信用的证明材料</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附件11 参加政府采购活动前三年内在经营活动中没有重大违法记录的书面声明（另附）</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附件12 业绩证明文件</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附件13 投标承诺汇总表</w:t>
      </w:r>
    </w:p>
    <w:p>
      <w:pPr>
        <w:adjustRightInd w:val="0"/>
        <w:snapToGrid w:val="0"/>
        <w:spacing w:before="120" w:beforeLines="50" w:line="240" w:lineRule="exact"/>
        <w:rPr>
          <w:rFonts w:ascii="仿宋_GB2312" w:eastAsia="仿宋_GB2312"/>
          <w:b/>
          <w:sz w:val="24"/>
        </w:rPr>
      </w:pPr>
      <w:r>
        <w:rPr>
          <w:rFonts w:hint="eastAsia" w:ascii="仿宋_GB2312" w:eastAsia="仿宋_GB2312"/>
          <w:b/>
          <w:sz w:val="24"/>
        </w:rPr>
        <w:t>二、技术标</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附表1  投融资方案</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附表2  项目建设管理方案</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附表3  运营维护方案</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附表4  移交方案</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附表5  保险方案</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附表6  投标符合招标文件规定的证明文件</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附表7  项目负责人简历表</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附表8  主要施工管理人员表</w:t>
      </w:r>
    </w:p>
    <w:p>
      <w:pPr>
        <w:adjustRightInd w:val="0"/>
        <w:snapToGrid w:val="0"/>
        <w:spacing w:before="120" w:beforeLines="50" w:line="240" w:lineRule="exact"/>
        <w:rPr>
          <w:rFonts w:ascii="仿宋_GB2312" w:eastAsia="仿宋_GB2312"/>
          <w:sz w:val="24"/>
        </w:rPr>
      </w:pPr>
      <w:r>
        <w:rPr>
          <w:rFonts w:hint="eastAsia" w:ascii="仿宋_GB2312" w:eastAsia="仿宋_GB2312"/>
          <w:sz w:val="24"/>
        </w:rPr>
        <w:t>附表9  施工组织</w:t>
      </w:r>
      <w:r>
        <w:rPr>
          <w:rFonts w:ascii="仿宋_GB2312" w:eastAsia="仿宋_GB2312"/>
          <w:sz w:val="24"/>
        </w:rPr>
        <w:t>设计</w:t>
      </w:r>
    </w:p>
    <w:p>
      <w:pPr>
        <w:adjustRightInd w:val="0"/>
        <w:snapToGrid w:val="0"/>
        <w:spacing w:before="120" w:beforeLines="50" w:line="360" w:lineRule="auto"/>
        <w:rPr>
          <w:rFonts w:ascii="仿宋_GB2312" w:eastAsia="仿宋_GB2312"/>
          <w:sz w:val="24"/>
        </w:rPr>
        <w:sectPr>
          <w:headerReference r:id="rId9" w:type="first"/>
          <w:footerReference r:id="rId11" w:type="first"/>
          <w:headerReference r:id="rId8" w:type="even"/>
          <w:footerReference r:id="rId10" w:type="even"/>
          <w:pgSz w:w="11906" w:h="16838"/>
          <w:pgMar w:top="1701" w:right="964" w:bottom="1701" w:left="964" w:header="1134" w:footer="907" w:gutter="0"/>
          <w:cols w:space="0" w:num="1"/>
          <w:docGrid w:linePitch="312" w:charSpace="0"/>
        </w:sectPr>
      </w:pPr>
    </w:p>
    <w:p>
      <w:pPr>
        <w:pStyle w:val="24"/>
        <w:adjustRightInd w:val="0"/>
        <w:snapToGrid w:val="0"/>
        <w:spacing w:line="360" w:lineRule="auto"/>
        <w:rPr>
          <w:rFonts w:ascii="仿宋_GB2312" w:hAnsi="Times New Roman" w:eastAsia="仿宋_GB2312" w:cs="Times New Roman"/>
          <w:sz w:val="32"/>
          <w:szCs w:val="32"/>
        </w:rPr>
      </w:pPr>
    </w:p>
    <w:p>
      <w:pPr>
        <w:pStyle w:val="24"/>
        <w:adjustRightInd w:val="0"/>
        <w:snapToGrid w:val="0"/>
        <w:spacing w:line="360" w:lineRule="auto"/>
        <w:rPr>
          <w:rFonts w:ascii="仿宋_GB2312" w:hAnsi="Times New Roman" w:eastAsia="仿宋_GB2312" w:cs="Times New Roman"/>
          <w:sz w:val="32"/>
          <w:szCs w:val="32"/>
        </w:rPr>
      </w:pPr>
    </w:p>
    <w:p>
      <w:pPr>
        <w:pStyle w:val="24"/>
        <w:adjustRightInd w:val="0"/>
        <w:snapToGrid w:val="0"/>
        <w:spacing w:line="360" w:lineRule="auto"/>
        <w:rPr>
          <w:rFonts w:ascii="仿宋_GB2312" w:hAnsi="Times New Roman" w:eastAsia="仿宋_GB2312" w:cs="Times New Roman"/>
          <w:sz w:val="32"/>
          <w:szCs w:val="32"/>
        </w:rPr>
      </w:pPr>
    </w:p>
    <w:p>
      <w:pPr>
        <w:pStyle w:val="24"/>
        <w:spacing w:after="360" w:afterLines="150"/>
        <w:jc w:val="center"/>
        <w:rPr>
          <w:rFonts w:ascii="仿宋_GB2312" w:hAnsi="Times New Roman" w:eastAsia="仿宋_GB2312" w:cs="Times New Roman"/>
          <w:b/>
          <w:sz w:val="44"/>
          <w:szCs w:val="44"/>
        </w:rPr>
      </w:pPr>
      <w:r>
        <w:rPr>
          <w:rFonts w:hint="eastAsia" w:ascii="仿宋_GB2312" w:hAnsi="Times New Roman" w:eastAsia="仿宋_GB2312" w:cs="Times New Roman"/>
          <w:b/>
          <w:sz w:val="44"/>
          <w:szCs w:val="44"/>
        </w:rPr>
        <w:t>克拉玛依市白碱滩区（克拉玛依高新技术产业开发区）住房和建设局</w:t>
      </w:r>
    </w:p>
    <w:p>
      <w:pPr>
        <w:adjustRightInd w:val="0"/>
        <w:snapToGrid w:val="0"/>
        <w:spacing w:line="360" w:lineRule="auto"/>
        <w:jc w:val="center"/>
        <w:rPr>
          <w:rFonts w:ascii="仿宋_GB2312" w:eastAsia="仿宋_GB2312"/>
          <w:sz w:val="52"/>
          <w:szCs w:val="52"/>
        </w:rPr>
      </w:pPr>
      <w:r>
        <w:rPr>
          <w:rFonts w:hint="eastAsia" w:ascii="仿宋_GB2312" w:eastAsia="仿宋_GB2312"/>
          <w:b/>
          <w:sz w:val="52"/>
          <w:szCs w:val="52"/>
        </w:rPr>
        <w:t>投</w:t>
      </w:r>
      <w:r>
        <w:rPr>
          <w:rFonts w:ascii="仿宋_GB2312" w:eastAsia="仿宋_GB2312"/>
          <w:b/>
          <w:sz w:val="52"/>
          <w:szCs w:val="52"/>
        </w:rPr>
        <w:t xml:space="preserve"> </w:t>
      </w:r>
      <w:r>
        <w:rPr>
          <w:rFonts w:hint="eastAsia" w:ascii="仿宋_GB2312" w:eastAsia="仿宋_GB2312"/>
          <w:b/>
          <w:sz w:val="52"/>
          <w:szCs w:val="52"/>
        </w:rPr>
        <w:t>标</w:t>
      </w:r>
      <w:r>
        <w:rPr>
          <w:rFonts w:ascii="仿宋_GB2312" w:eastAsia="仿宋_GB2312"/>
          <w:b/>
          <w:sz w:val="52"/>
          <w:szCs w:val="52"/>
        </w:rPr>
        <w:t xml:space="preserve"> </w:t>
      </w:r>
      <w:r>
        <w:rPr>
          <w:rFonts w:hint="eastAsia" w:ascii="仿宋_GB2312" w:eastAsia="仿宋_GB2312"/>
          <w:b/>
          <w:sz w:val="52"/>
          <w:szCs w:val="52"/>
        </w:rPr>
        <w:t>文</w:t>
      </w:r>
      <w:r>
        <w:rPr>
          <w:rFonts w:ascii="仿宋_GB2312" w:eastAsia="仿宋_GB2312"/>
          <w:b/>
          <w:sz w:val="52"/>
          <w:szCs w:val="52"/>
        </w:rPr>
        <w:t xml:space="preserve"> </w:t>
      </w:r>
      <w:r>
        <w:rPr>
          <w:rFonts w:hint="eastAsia" w:ascii="仿宋_GB2312" w:eastAsia="仿宋_GB2312"/>
          <w:b/>
          <w:sz w:val="52"/>
          <w:szCs w:val="52"/>
        </w:rPr>
        <w:t>件</w:t>
      </w:r>
    </w:p>
    <w:p>
      <w:pPr>
        <w:pStyle w:val="24"/>
        <w:spacing w:line="360" w:lineRule="auto"/>
        <w:rPr>
          <w:rFonts w:ascii="仿宋_GB2312" w:hAnsi="Times New Roman" w:eastAsia="仿宋_GB2312" w:cs="Times New Roman"/>
          <w:b/>
          <w:sz w:val="32"/>
          <w:szCs w:val="32"/>
        </w:rPr>
      </w:pPr>
    </w:p>
    <w:p>
      <w:pPr>
        <w:pStyle w:val="24"/>
        <w:spacing w:line="360" w:lineRule="auto"/>
        <w:ind w:left="1985" w:hanging="1985" w:hangingChars="706"/>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采购项目名称：</w:t>
      </w:r>
      <w:r>
        <w:rPr>
          <w:rFonts w:hint="eastAsia" w:ascii="仿宋_GB2312" w:hAnsi="Times New Roman" w:eastAsia="仿宋_GB2312" w:cs="Times New Roman"/>
          <w:b/>
          <w:sz w:val="28"/>
          <w:szCs w:val="28"/>
          <w:u w:val="single"/>
        </w:rPr>
        <w:t>克拉玛依石化工业园区污水处理厂改建PPP项目</w:t>
      </w:r>
      <w:r>
        <w:rPr>
          <w:rFonts w:ascii="仿宋_GB2312" w:hAnsi="Times New Roman" w:eastAsia="仿宋_GB2312" w:cs="Times New Roman"/>
          <w:b/>
          <w:sz w:val="28"/>
          <w:szCs w:val="28"/>
          <w:u w:val="single"/>
        </w:rPr>
        <w:t xml:space="preserve">               </w:t>
      </w:r>
    </w:p>
    <w:p>
      <w:pPr>
        <w:pStyle w:val="24"/>
        <w:spacing w:line="360" w:lineRule="auto"/>
        <w:rPr>
          <w:rFonts w:ascii="仿宋_GB2312" w:hAnsi="Times New Roman" w:eastAsia="仿宋_GB2312" w:cs="Times New Roman"/>
          <w:b/>
          <w:sz w:val="28"/>
          <w:szCs w:val="28"/>
          <w:u w:val="single"/>
        </w:rPr>
      </w:pPr>
      <w:r>
        <w:rPr>
          <w:rFonts w:hint="eastAsia" w:ascii="仿宋_GB2312" w:hAnsi="Times New Roman" w:eastAsia="仿宋_GB2312" w:cs="Times New Roman"/>
          <w:b/>
          <w:sz w:val="28"/>
          <w:szCs w:val="28"/>
        </w:rPr>
        <w:t>项</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目</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编</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号：</w:t>
      </w:r>
      <w:r>
        <w:rPr>
          <w:rFonts w:hint="eastAsia" w:ascii="仿宋_GB2312" w:hAnsi="Times New Roman" w:eastAsia="仿宋_GB2312" w:cs="Times New Roman"/>
          <w:b/>
          <w:sz w:val="28"/>
          <w:szCs w:val="28"/>
          <w:u w:val="single"/>
        </w:rPr>
        <w:t xml:space="preserve">KSBQGXQZJJ（SHYWSC）2020-02        </w:t>
      </w:r>
      <w:r>
        <w:rPr>
          <w:rFonts w:ascii="仿宋_GB2312" w:hAnsi="Times New Roman" w:eastAsia="仿宋_GB2312" w:cs="Times New Roman"/>
          <w:b/>
          <w:sz w:val="28"/>
          <w:szCs w:val="28"/>
          <w:u w:val="single"/>
        </w:rPr>
        <w:t xml:space="preserve"> </w:t>
      </w:r>
    </w:p>
    <w:p>
      <w:pPr>
        <w:pStyle w:val="24"/>
        <w:spacing w:line="360" w:lineRule="auto"/>
        <w:ind w:left="1985" w:hanging="1985" w:hangingChars="706"/>
        <w:rPr>
          <w:rFonts w:ascii="仿宋_GB2312" w:hAnsi="Times New Roman" w:eastAsia="仿宋_GB2312" w:cs="Times New Roman"/>
          <w:b/>
          <w:sz w:val="28"/>
          <w:szCs w:val="28"/>
          <w:u w:val="single"/>
        </w:rPr>
      </w:pP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p>
    <w:p>
      <w:pPr>
        <w:pStyle w:val="24"/>
        <w:spacing w:line="360" w:lineRule="auto"/>
        <w:ind w:left="2756" w:leftChars="405" w:hanging="1906" w:hangingChars="678"/>
        <w:rPr>
          <w:rFonts w:ascii="仿宋_GB2312" w:hAnsi="Times New Roman" w:eastAsia="仿宋_GB2312" w:cs="Times New Roman"/>
          <w:b/>
          <w:sz w:val="28"/>
          <w:szCs w:val="28"/>
        </w:rPr>
      </w:pPr>
    </w:p>
    <w:p>
      <w:pPr>
        <w:adjustRightInd w:val="0"/>
        <w:snapToGrid w:val="0"/>
        <w:ind w:firstLine="1600" w:firstLineChars="500"/>
        <w:rPr>
          <w:rFonts w:ascii="仿宋_GB2312" w:eastAsia="仿宋_GB2312"/>
          <w:sz w:val="32"/>
          <w:szCs w:val="32"/>
        </w:rPr>
      </w:pPr>
    </w:p>
    <w:p>
      <w:pPr>
        <w:adjustRightInd w:val="0"/>
        <w:snapToGrid w:val="0"/>
        <w:ind w:firstLine="1600" w:firstLineChars="500"/>
        <w:rPr>
          <w:rFonts w:ascii="仿宋_GB2312" w:eastAsia="仿宋_GB2312"/>
          <w:sz w:val="32"/>
          <w:szCs w:val="32"/>
        </w:rPr>
      </w:pPr>
    </w:p>
    <w:p>
      <w:pPr>
        <w:adjustRightInd w:val="0"/>
        <w:snapToGrid w:val="0"/>
        <w:ind w:firstLine="1600" w:firstLineChars="500"/>
        <w:rPr>
          <w:rFonts w:ascii="仿宋_GB2312" w:eastAsia="仿宋_GB2312"/>
          <w:sz w:val="32"/>
          <w:szCs w:val="32"/>
        </w:rPr>
      </w:pPr>
    </w:p>
    <w:p>
      <w:pPr>
        <w:adjustRightInd w:val="0"/>
        <w:snapToGrid w:val="0"/>
        <w:ind w:firstLine="1600" w:firstLineChars="500"/>
        <w:rPr>
          <w:rFonts w:ascii="仿宋_GB2312" w:eastAsia="仿宋_GB2312"/>
          <w:sz w:val="32"/>
          <w:szCs w:val="32"/>
        </w:rPr>
      </w:pPr>
    </w:p>
    <w:p>
      <w:pPr>
        <w:adjustRightInd w:val="0"/>
        <w:snapToGrid w:val="0"/>
        <w:rPr>
          <w:rFonts w:ascii="仿宋_GB2312" w:eastAsia="仿宋_GB2312"/>
          <w:sz w:val="32"/>
          <w:szCs w:val="32"/>
        </w:rPr>
      </w:pPr>
    </w:p>
    <w:p>
      <w:pPr>
        <w:adjustRightInd w:val="0"/>
        <w:snapToGrid w:val="0"/>
        <w:ind w:firstLine="1699" w:firstLineChars="531"/>
        <w:rPr>
          <w:rFonts w:ascii="仿宋_GB2312" w:eastAsia="仿宋_GB2312"/>
          <w:sz w:val="32"/>
          <w:szCs w:val="32"/>
          <w:u w:val="single"/>
        </w:rPr>
      </w:pPr>
      <w:r>
        <w:rPr>
          <w:rFonts w:hint="eastAsia" w:ascii="仿宋_GB2312" w:eastAsia="仿宋_GB2312"/>
          <w:sz w:val="32"/>
          <w:szCs w:val="32"/>
        </w:rPr>
        <w:t>投标人</w:t>
      </w:r>
      <w:r>
        <w:rPr>
          <w:rFonts w:ascii="仿宋_GB2312" w:eastAsia="仿宋_GB2312"/>
          <w:sz w:val="32"/>
          <w:szCs w:val="32"/>
          <w:u w:val="single"/>
        </w:rPr>
        <w:t xml:space="preserve">                         </w:t>
      </w:r>
    </w:p>
    <w:p>
      <w:pPr>
        <w:adjustRightInd w:val="0"/>
        <w:snapToGrid w:val="0"/>
        <w:jc w:val="center"/>
        <w:rPr>
          <w:rFonts w:ascii="仿宋_GB2312" w:eastAsia="仿宋_GB2312"/>
          <w:sz w:val="32"/>
          <w:szCs w:val="32"/>
        </w:rPr>
      </w:pPr>
    </w:p>
    <w:p>
      <w:pPr>
        <w:adjustRightInd w:val="0"/>
        <w:snapToGrid w:val="0"/>
        <w:jc w:val="center"/>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adjustRightInd w:val="0"/>
        <w:snapToGrid w:val="0"/>
        <w:ind w:firstLine="1200" w:firstLineChars="500"/>
        <w:rPr>
          <w:rFonts w:ascii="仿宋_GB2312" w:eastAsia="仿宋_GB2312"/>
          <w:sz w:val="24"/>
        </w:rPr>
      </w:pPr>
    </w:p>
    <w:p>
      <w:pPr>
        <w:adjustRightInd w:val="0"/>
        <w:snapToGrid w:val="0"/>
        <w:outlineLvl w:val="0"/>
        <w:rPr>
          <w:rFonts w:ascii="仿宋_GB2312" w:eastAsia="仿宋_GB2312"/>
          <w:sz w:val="24"/>
          <w:u w:val="single"/>
        </w:rPr>
        <w:sectPr>
          <w:type w:val="nextColumn"/>
          <w:pgSz w:w="11906" w:h="16838"/>
          <w:pgMar w:top="1701" w:right="1418" w:bottom="1701" w:left="1701" w:header="1134" w:footer="907" w:gutter="0"/>
          <w:cols w:space="720" w:num="1"/>
          <w:docGrid w:linePitch="312" w:charSpace="0"/>
        </w:sectPr>
      </w:pPr>
    </w:p>
    <w:p>
      <w:pPr>
        <w:pStyle w:val="2"/>
        <w:spacing w:before="4320"/>
        <w:ind w:left="819" w:hanging="819" w:hangingChars="170"/>
        <w:jc w:val="center"/>
        <w:rPr>
          <w:rFonts w:ascii="仿宋_GB2312" w:eastAsia="仿宋_GB2312"/>
          <w:sz w:val="48"/>
          <w:szCs w:val="48"/>
        </w:rPr>
      </w:pPr>
      <w:bookmarkStart w:id="267" w:name="_Toc481542898"/>
      <w:bookmarkStart w:id="268" w:name="_Toc333327520"/>
      <w:bookmarkStart w:id="269" w:name="_Toc30600"/>
      <w:r>
        <w:rPr>
          <w:rFonts w:hint="eastAsia" w:ascii="仿宋_GB2312" w:eastAsia="仿宋_GB2312"/>
          <w:sz w:val="48"/>
          <w:szCs w:val="48"/>
        </w:rPr>
        <w:t>第一部分</w:t>
      </w:r>
      <w:r>
        <w:rPr>
          <w:rFonts w:ascii="仿宋_GB2312" w:eastAsia="仿宋_GB2312"/>
          <w:sz w:val="48"/>
          <w:szCs w:val="48"/>
        </w:rPr>
        <w:t xml:space="preserve">  </w:t>
      </w:r>
      <w:r>
        <w:rPr>
          <w:rFonts w:hint="eastAsia" w:ascii="仿宋_GB2312" w:eastAsia="仿宋_GB2312"/>
          <w:sz w:val="48"/>
          <w:szCs w:val="48"/>
        </w:rPr>
        <w:t>商务标</w:t>
      </w:r>
      <w:bookmarkEnd w:id="267"/>
    </w:p>
    <w:p>
      <w:pPr>
        <w:jc w:val="center"/>
        <w:rPr>
          <w:rFonts w:ascii="仿宋_GB2312" w:eastAsia="仿宋_GB2312"/>
          <w:sz w:val="44"/>
          <w:szCs w:val="44"/>
        </w:rPr>
      </w:pPr>
      <w:r>
        <w:rPr>
          <w:rFonts w:ascii="仿宋_GB2312" w:eastAsia="仿宋_GB2312"/>
          <w:sz w:val="44"/>
          <w:szCs w:val="44"/>
        </w:rPr>
        <w:br w:type="page"/>
      </w:r>
    </w:p>
    <w:p>
      <w:pPr>
        <w:pStyle w:val="3"/>
        <w:keepLines w:val="0"/>
        <w:numPr>
          <w:ilvl w:val="1"/>
          <w:numId w:val="0"/>
        </w:numPr>
        <w:tabs>
          <w:tab w:val="left" w:pos="540"/>
          <w:tab w:val="left" w:pos="720"/>
        </w:tabs>
        <w:spacing w:before="120" w:beforeLines="50" w:line="360" w:lineRule="exact"/>
        <w:jc w:val="center"/>
        <w:rPr>
          <w:rFonts w:ascii="仿宋_GB2312" w:hAnsi="仿宋"/>
          <w:sz w:val="32"/>
        </w:rPr>
      </w:pPr>
      <w:bookmarkStart w:id="270" w:name="_Toc429862237"/>
      <w:bookmarkStart w:id="271" w:name="_Toc429602595"/>
      <w:bookmarkStart w:id="272" w:name="_Toc481542899"/>
      <w:bookmarkStart w:id="273" w:name="_Toc429604236"/>
      <w:r>
        <w:rPr>
          <w:rFonts w:hint="eastAsia" w:ascii="仿宋_GB2312" w:hAnsi="仿宋"/>
          <w:sz w:val="32"/>
        </w:rPr>
        <w:t>附件</w:t>
      </w:r>
      <w:r>
        <w:rPr>
          <w:rFonts w:ascii="仿宋_GB2312" w:hAnsi="仿宋"/>
          <w:sz w:val="32"/>
        </w:rPr>
        <w:t xml:space="preserve">1 </w:t>
      </w:r>
      <w:r>
        <w:rPr>
          <w:rFonts w:hint="eastAsia" w:ascii="仿宋_GB2312" w:hAnsi="仿宋"/>
          <w:sz w:val="32"/>
        </w:rPr>
        <w:t>投标函</w:t>
      </w:r>
      <w:bookmarkEnd w:id="268"/>
      <w:bookmarkEnd w:id="269"/>
      <w:bookmarkEnd w:id="270"/>
      <w:bookmarkEnd w:id="271"/>
      <w:bookmarkEnd w:id="272"/>
      <w:bookmarkEnd w:id="273"/>
    </w:p>
    <w:p>
      <w:pPr>
        <w:tabs>
          <w:tab w:val="left" w:pos="1050"/>
        </w:tabs>
        <w:spacing w:line="360" w:lineRule="auto"/>
        <w:ind w:left="629" w:right="-53" w:rightChars="-25" w:firstLine="735"/>
        <w:rPr>
          <w:rFonts w:ascii="仿宋_GB2312" w:eastAsia="仿宋_GB2312"/>
          <w:sz w:val="24"/>
        </w:rPr>
      </w:pPr>
    </w:p>
    <w:p>
      <w:pPr>
        <w:adjustRightInd w:val="0"/>
        <w:snapToGrid w:val="0"/>
        <w:spacing w:before="120" w:beforeLines="50" w:line="360" w:lineRule="auto"/>
        <w:rPr>
          <w:rFonts w:ascii="仿宋_GB2312" w:eastAsia="仿宋_GB2312"/>
          <w:sz w:val="24"/>
        </w:rPr>
      </w:pPr>
      <w:r>
        <w:rPr>
          <w:rFonts w:hint="eastAsia" w:ascii="仿宋_GB2312" w:eastAsia="仿宋_GB2312"/>
          <w:sz w:val="24"/>
        </w:rPr>
        <w:t>致：</w:t>
      </w:r>
      <w:r>
        <w:rPr>
          <w:rFonts w:ascii="仿宋_GB2312" w:eastAsia="仿宋_GB2312"/>
          <w:sz w:val="24"/>
          <w:u w:val="single"/>
        </w:rPr>
        <w:t xml:space="preserve">            (</w:t>
      </w:r>
      <w:r>
        <w:rPr>
          <w:rFonts w:hint="eastAsia" w:ascii="仿宋_GB2312" w:eastAsia="仿宋_GB2312"/>
          <w:sz w:val="24"/>
          <w:u w:val="single"/>
        </w:rPr>
        <w:t>采购代理机构</w:t>
      </w:r>
      <w:r>
        <w:rPr>
          <w:rFonts w:ascii="仿宋_GB2312" w:eastAsia="仿宋_GB2312"/>
          <w:sz w:val="24"/>
          <w:u w:val="single"/>
        </w:rPr>
        <w:t>)</w:t>
      </w:r>
      <w:r>
        <w:rPr>
          <w:rFonts w:hint="eastAsia" w:ascii="仿宋_GB2312" w:eastAsia="仿宋_GB2312"/>
          <w:sz w:val="24"/>
        </w:rPr>
        <w:t>：</w:t>
      </w:r>
    </w:p>
    <w:p>
      <w:pPr>
        <w:spacing w:line="360" w:lineRule="auto"/>
        <w:ind w:right="-53" w:rightChars="-25" w:firstLine="540" w:firstLineChars="225"/>
        <w:rPr>
          <w:rFonts w:ascii="仿宋_GB2312" w:eastAsia="仿宋_GB2312"/>
          <w:bCs/>
          <w:sz w:val="24"/>
        </w:rPr>
      </w:pPr>
      <w:r>
        <w:rPr>
          <w:rFonts w:hint="eastAsia" w:ascii="仿宋_GB2312" w:eastAsia="仿宋_GB2312"/>
          <w:sz w:val="24"/>
        </w:rPr>
        <w:t>根据贵方为</w:t>
      </w:r>
      <w:r>
        <w:rPr>
          <w:rFonts w:ascii="仿宋_GB2312" w:eastAsia="仿宋_GB2312"/>
          <w:sz w:val="24"/>
          <w:u w:val="single"/>
        </w:rPr>
        <w:t xml:space="preserve">             </w:t>
      </w:r>
      <w:r>
        <w:rPr>
          <w:rFonts w:hint="eastAsia" w:ascii="仿宋_GB2312" w:eastAsia="仿宋_GB2312"/>
          <w:sz w:val="24"/>
        </w:rPr>
        <w:t>（项目名称）的投标公告（项目编号</w:t>
      </w:r>
      <w:r>
        <w:rPr>
          <w:rFonts w:hint="eastAsia" w:ascii="仿宋_GB2312" w:eastAsia="仿宋_GB2312"/>
          <w:sz w:val="24"/>
          <w:u w:val="single"/>
        </w:rPr>
        <w:t>：</w:t>
      </w:r>
      <w:r>
        <w:rPr>
          <w:rFonts w:ascii="仿宋_GB2312" w:eastAsia="仿宋_GB2312"/>
          <w:sz w:val="24"/>
          <w:u w:val="single"/>
        </w:rPr>
        <w:t xml:space="preserve">         </w:t>
      </w:r>
      <w:r>
        <w:rPr>
          <w:rFonts w:hint="eastAsia" w:ascii="仿宋_GB2312" w:eastAsia="仿宋_GB2312"/>
          <w:sz w:val="24"/>
          <w:u w:val="single"/>
        </w:rPr>
        <w:t>）</w:t>
      </w:r>
      <w:r>
        <w:rPr>
          <w:rFonts w:hint="eastAsia" w:ascii="仿宋_GB2312" w:eastAsia="仿宋_GB2312"/>
          <w:sz w:val="24"/>
        </w:rPr>
        <w:t>，签字代表</w:t>
      </w:r>
      <w:r>
        <w:rPr>
          <w:rFonts w:ascii="仿宋_GB2312" w:eastAsia="仿宋_GB2312"/>
          <w:sz w:val="24"/>
          <w:u w:val="single"/>
        </w:rPr>
        <w:t xml:space="preserve">         </w:t>
      </w:r>
      <w:r>
        <w:rPr>
          <w:rFonts w:hint="eastAsia" w:ascii="仿宋_GB2312" w:eastAsia="仿宋_GB2312"/>
          <w:sz w:val="24"/>
        </w:rPr>
        <w:t>（姓名、职务）经正式授权并代表投标人</w:t>
      </w:r>
      <w:r>
        <w:rPr>
          <w:rFonts w:ascii="仿宋_GB2312" w:eastAsia="仿宋_GB2312"/>
          <w:sz w:val="24"/>
          <w:u w:val="single"/>
        </w:rPr>
        <w:t xml:space="preserve">        </w:t>
      </w:r>
      <w:r>
        <w:rPr>
          <w:rFonts w:hint="eastAsia" w:ascii="仿宋_GB2312" w:eastAsia="仿宋_GB2312"/>
          <w:sz w:val="24"/>
        </w:rPr>
        <w:t>（投标人名称、地址）遵照投标人须知、</w:t>
      </w:r>
      <w:r>
        <w:rPr>
          <w:rFonts w:ascii="仿宋_GB2312" w:eastAsia="仿宋_GB2312"/>
          <w:sz w:val="24"/>
        </w:rPr>
        <w:t>PPP</w:t>
      </w:r>
      <w:r>
        <w:rPr>
          <w:rFonts w:hint="eastAsia" w:ascii="仿宋_GB2312" w:eastAsia="仿宋_GB2312"/>
          <w:sz w:val="24"/>
        </w:rPr>
        <w:t>项目合同、股东协议、投资合作合同等的条款和条件，递交完全符合招标文件</w:t>
      </w:r>
      <w:r>
        <w:rPr>
          <w:rFonts w:hint="eastAsia" w:ascii="仿宋_GB2312" w:eastAsia="仿宋_GB2312"/>
          <w:bCs/>
          <w:sz w:val="24"/>
        </w:rPr>
        <w:t>要求的下述文件正本</w:t>
      </w:r>
      <w:r>
        <w:rPr>
          <w:rFonts w:ascii="仿宋_GB2312" w:eastAsia="仿宋_GB2312"/>
          <w:bCs/>
          <w:sz w:val="24"/>
        </w:rPr>
        <w:t>1</w:t>
      </w:r>
      <w:r>
        <w:rPr>
          <w:rFonts w:hint="eastAsia" w:ascii="仿宋_GB2312" w:eastAsia="仿宋_GB2312"/>
          <w:bCs/>
          <w:sz w:val="24"/>
        </w:rPr>
        <w:t>份、副本</w:t>
      </w:r>
      <w:r>
        <w:rPr>
          <w:rFonts w:ascii="仿宋_GB2312" w:eastAsia="仿宋_GB2312"/>
          <w:bCs/>
          <w:sz w:val="24"/>
        </w:rPr>
        <w:t>7</w:t>
      </w:r>
      <w:r>
        <w:rPr>
          <w:rFonts w:hint="eastAsia" w:ascii="仿宋_GB2312" w:eastAsia="仿宋_GB2312"/>
          <w:bCs/>
          <w:sz w:val="24"/>
        </w:rPr>
        <w:t>份</w:t>
      </w:r>
      <w:r>
        <w:rPr>
          <w:rFonts w:hint="eastAsia" w:ascii="仿宋_GB2312" w:eastAsia="仿宋_GB2312"/>
          <w:bCs/>
          <w:sz w:val="24"/>
          <w:highlight w:val="yellow"/>
        </w:rPr>
        <w:t>及电子文件肆份，</w:t>
      </w:r>
      <w:r>
        <w:rPr>
          <w:rFonts w:hint="eastAsia" w:ascii="仿宋_GB2312" w:eastAsia="仿宋_GB2312"/>
          <w:bCs/>
          <w:sz w:val="24"/>
        </w:rPr>
        <w:t>报价文件（投标报价表）一份，并在此声明，所递交的投标文件内容完整、真实。</w:t>
      </w:r>
    </w:p>
    <w:p>
      <w:pPr>
        <w:spacing w:line="360" w:lineRule="auto"/>
        <w:ind w:right="-53" w:rightChars="-25" w:firstLine="540" w:firstLineChars="225"/>
        <w:rPr>
          <w:rFonts w:ascii="仿宋_GB2312" w:eastAsia="仿宋_GB2312"/>
          <w:sz w:val="24"/>
        </w:rPr>
      </w:pPr>
      <w:r>
        <w:rPr>
          <w:rFonts w:hint="eastAsia" w:ascii="仿宋_GB2312" w:eastAsia="仿宋_GB2312"/>
          <w:sz w:val="24"/>
        </w:rPr>
        <w:t>一、商务文件</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（1）投标函；</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（2）PPP项目合同、投资合作合同响应/偏离表；</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（3）投标保证金；</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（4）投标人具备投标资格的证明文件；</w:t>
      </w:r>
    </w:p>
    <w:p>
      <w:pPr>
        <w:adjustRightInd w:val="0"/>
        <w:snapToGrid w:val="0"/>
        <w:spacing w:before="120" w:beforeLines="50" w:line="360" w:lineRule="auto"/>
        <w:ind w:firstLine="480" w:firstLineChars="200"/>
        <w:jc w:val="left"/>
        <w:rPr>
          <w:rFonts w:ascii="仿宋_GB2312" w:eastAsia="仿宋_GB2312"/>
          <w:sz w:val="24"/>
        </w:rPr>
      </w:pPr>
      <w:r>
        <w:rPr>
          <w:rFonts w:hint="eastAsia" w:ascii="仿宋_GB2312" w:eastAsia="仿宋_GB2312"/>
          <w:sz w:val="24"/>
        </w:rPr>
        <w:t>（5）投标文件格式；</w:t>
      </w:r>
    </w:p>
    <w:p>
      <w:pPr>
        <w:adjustRightInd w:val="0"/>
        <w:snapToGrid w:val="0"/>
        <w:spacing w:before="120" w:beforeLines="50" w:line="360" w:lineRule="auto"/>
        <w:ind w:left="567"/>
        <w:rPr>
          <w:rFonts w:ascii="仿宋_GB2312" w:eastAsia="仿宋_GB2312"/>
          <w:sz w:val="24"/>
        </w:rPr>
      </w:pPr>
      <w:r>
        <w:rPr>
          <w:rFonts w:hint="eastAsia" w:ascii="仿宋_GB2312" w:eastAsia="仿宋_GB2312"/>
          <w:sz w:val="24"/>
        </w:rPr>
        <w:t>二、技术文件</w:t>
      </w:r>
    </w:p>
    <w:p>
      <w:pPr>
        <w:spacing w:line="360" w:lineRule="auto"/>
        <w:ind w:right="-53" w:rightChars="-25" w:firstLine="540" w:firstLineChars="225"/>
        <w:rPr>
          <w:rFonts w:ascii="仿宋_GB2312" w:eastAsia="仿宋_GB2312"/>
          <w:sz w:val="24"/>
        </w:rPr>
      </w:pPr>
      <w:r>
        <w:rPr>
          <w:rFonts w:hint="eastAsia" w:ascii="仿宋_GB2312" w:eastAsia="仿宋_GB2312"/>
          <w:sz w:val="24"/>
        </w:rPr>
        <w:t>即技术方案，包括项目投融资方案、项目建设方案、运营维护方案、保险方案、移交方案等。</w:t>
      </w:r>
    </w:p>
    <w:p>
      <w:pPr>
        <w:spacing w:line="360" w:lineRule="auto"/>
        <w:ind w:right="-53" w:rightChars="-25" w:firstLine="540" w:firstLineChars="225"/>
        <w:rPr>
          <w:rFonts w:ascii="仿宋_GB2312" w:eastAsia="仿宋_GB2312"/>
          <w:sz w:val="24"/>
        </w:rPr>
      </w:pPr>
      <w:r>
        <w:rPr>
          <w:rFonts w:hint="eastAsia" w:ascii="仿宋_GB2312" w:eastAsia="仿宋_GB2312"/>
          <w:sz w:val="24"/>
        </w:rPr>
        <w:t>在此，签字代表宣布同意如下：</w:t>
      </w:r>
    </w:p>
    <w:p>
      <w:pPr>
        <w:numPr>
          <w:ilvl w:val="1"/>
          <w:numId w:val="17"/>
        </w:numPr>
        <w:spacing w:line="360" w:lineRule="auto"/>
        <w:ind w:right="-53" w:rightChars="-25"/>
        <w:rPr>
          <w:rFonts w:ascii="仿宋_GB2312" w:eastAsia="仿宋_GB2312"/>
          <w:sz w:val="24"/>
        </w:rPr>
      </w:pPr>
      <w:r>
        <w:rPr>
          <w:rFonts w:hint="eastAsia" w:ascii="仿宋_GB2312" w:eastAsia="仿宋_GB2312"/>
          <w:sz w:val="24"/>
        </w:rPr>
        <w:t>投标人将按招标文件的规定履行合同责任和义务。</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投标人已详细审查全部招标文件。我们完全理解并同意放弃对这方面有不明及误解的权力。</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本投标有效期为自招标文件规定的提交投标文件截止之日起</w:t>
      </w:r>
      <w:r>
        <w:rPr>
          <w:rFonts w:ascii="仿宋_GB2312" w:eastAsia="仿宋_GB2312"/>
          <w:sz w:val="24"/>
          <w:u w:val="single"/>
        </w:rPr>
        <w:t xml:space="preserve"> 120 </w:t>
      </w:r>
      <w:r>
        <w:rPr>
          <w:rFonts w:hint="eastAsia" w:ascii="仿宋_GB2312" w:eastAsia="仿宋_GB2312"/>
          <w:sz w:val="24"/>
        </w:rPr>
        <w:t>个日历日。在投标有效期内我方同意遵守本投标文件中的承诺且在此期限期满之前投标文件对我方具有法律约束力。</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按招标文件要求提供投标保证金人民币</w:t>
      </w:r>
      <w:r>
        <w:rPr>
          <w:rFonts w:hint="eastAsia" w:ascii="仿宋_GB2312" w:eastAsia="仿宋_GB2312"/>
          <w:sz w:val="24"/>
          <w:u w:val="single"/>
        </w:rPr>
        <w:t>伍拾万元（</w:t>
      </w:r>
      <w:r>
        <w:rPr>
          <w:rFonts w:ascii="仿宋_GB2312" w:eastAsia="仿宋_GB2312"/>
          <w:sz w:val="24"/>
          <w:u w:val="single"/>
        </w:rPr>
        <w:t>5</w:t>
      </w:r>
      <w:r>
        <w:rPr>
          <w:rFonts w:hint="eastAsia" w:ascii="仿宋_GB2312" w:eastAsia="仿宋_GB2312"/>
          <w:sz w:val="24"/>
          <w:u w:val="single"/>
        </w:rPr>
        <w:t>00,000）</w:t>
      </w:r>
      <w:r>
        <w:rPr>
          <w:rFonts w:hint="eastAsia" w:ascii="仿宋_GB2312" w:eastAsia="仿宋_GB2312"/>
          <w:sz w:val="24"/>
        </w:rPr>
        <w:t>；</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同意所有的招标边界条件，保证按招标文件对投标文件内容及格式等的要求提供投标文件。</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如果我们的投标文件在投标文件有效期内被采购人接受，我们同意将按照采购人所接受的格式，按照投标人须知的规定，与克拉玛依市白碱滩区（克拉玛依高新技术产业开发区）住房和建设局或其授权机构签署</w:t>
      </w:r>
      <w:r>
        <w:rPr>
          <w:rFonts w:ascii="仿宋_GB2312" w:eastAsia="仿宋_GB2312"/>
          <w:sz w:val="24"/>
        </w:rPr>
        <w:t>PPP</w:t>
      </w:r>
      <w:r>
        <w:rPr>
          <w:rFonts w:hint="eastAsia" w:ascii="仿宋_GB2312" w:eastAsia="仿宋_GB2312"/>
          <w:sz w:val="24"/>
        </w:rPr>
        <w:t>项目合同等法律文本。</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我们确认，我们对作为投标文件一部分提交的</w:t>
      </w:r>
      <w:r>
        <w:rPr>
          <w:rFonts w:ascii="仿宋_GB2312" w:eastAsia="仿宋_GB2312"/>
          <w:sz w:val="24"/>
        </w:rPr>
        <w:t>PPP</w:t>
      </w:r>
      <w:r>
        <w:rPr>
          <w:rFonts w:hint="eastAsia" w:ascii="仿宋_GB2312" w:eastAsia="仿宋_GB2312"/>
          <w:sz w:val="24"/>
        </w:rPr>
        <w:t>项目合同等法律文件中的条款和条件做出的承诺。对任何</w:t>
      </w:r>
      <w:r>
        <w:rPr>
          <w:rFonts w:ascii="仿宋_GB2312" w:eastAsia="仿宋_GB2312"/>
          <w:sz w:val="24"/>
        </w:rPr>
        <w:t>PPP</w:t>
      </w:r>
      <w:r>
        <w:rPr>
          <w:rFonts w:hint="eastAsia" w:ascii="仿宋_GB2312" w:eastAsia="仿宋_GB2312"/>
          <w:sz w:val="24"/>
        </w:rPr>
        <w:t>项目合同等法律文件的条款所提出的任何变更建议已明确标出。</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我们在此保证，本投标文件的所有内容均属独立完成，未经与其他有希望的投标人以限制对本项目的竞争为目的进行协商、合作或达成谅解后完成。</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我们证实，本投标文件中的陈述和资料是准确的。</w:t>
      </w:r>
    </w:p>
    <w:p>
      <w:pPr>
        <w:numPr>
          <w:ilvl w:val="1"/>
          <w:numId w:val="17"/>
        </w:numPr>
        <w:spacing w:line="360" w:lineRule="auto"/>
        <w:ind w:left="851" w:right="-53" w:rightChars="-25" w:hanging="425"/>
        <w:rPr>
          <w:rFonts w:ascii="仿宋_GB2312" w:eastAsia="仿宋_GB2312"/>
          <w:sz w:val="24"/>
        </w:rPr>
      </w:pPr>
      <w:r>
        <w:rPr>
          <w:rFonts w:hint="eastAsia" w:ascii="仿宋_GB2312" w:eastAsia="仿宋_GB2312"/>
          <w:sz w:val="24"/>
        </w:rPr>
        <w:t>我方承诺：</w:t>
      </w:r>
    </w:p>
    <w:p>
      <w:pPr>
        <w:numPr>
          <w:ilvl w:val="0"/>
          <w:numId w:val="18"/>
        </w:numPr>
        <w:tabs>
          <w:tab w:val="left" w:pos="1418"/>
        </w:tabs>
        <w:spacing w:line="360" w:lineRule="auto"/>
        <w:ind w:left="1418" w:right="-53" w:rightChars="-25" w:hanging="709"/>
        <w:rPr>
          <w:rFonts w:ascii="仿宋_GB2312" w:eastAsia="仿宋_GB2312"/>
          <w:sz w:val="24"/>
        </w:rPr>
      </w:pPr>
      <w:r>
        <w:rPr>
          <w:rFonts w:hint="eastAsia" w:ascii="仿宋_GB2312" w:eastAsia="仿宋_GB2312"/>
          <w:sz w:val="24"/>
        </w:rPr>
        <w:t>我们在参加本项目政府采购活动前三（</w:t>
      </w:r>
      <w:r>
        <w:rPr>
          <w:rFonts w:ascii="仿宋_GB2312" w:eastAsia="仿宋_GB2312"/>
          <w:sz w:val="24"/>
        </w:rPr>
        <w:t>3</w:t>
      </w:r>
      <w:r>
        <w:rPr>
          <w:rFonts w:hint="eastAsia" w:ascii="仿宋_GB2312" w:eastAsia="仿宋_GB2312"/>
          <w:sz w:val="24"/>
        </w:rPr>
        <w:t>）年内，在经营活动中没有违背法律的行为，并提供“参加政府采购活动前三（</w:t>
      </w:r>
      <w:r>
        <w:rPr>
          <w:rFonts w:ascii="仿宋_GB2312" w:eastAsia="仿宋_GB2312"/>
          <w:sz w:val="24"/>
        </w:rPr>
        <w:t>3</w:t>
      </w:r>
      <w:r>
        <w:rPr>
          <w:rFonts w:hint="eastAsia" w:ascii="仿宋_GB2312" w:eastAsia="仿宋_GB2312"/>
          <w:sz w:val="24"/>
        </w:rPr>
        <w:t>）年内在经营活动中没有重大违法记录的书面声明及检察机关开具的参加政府采购活动前三（</w:t>
      </w:r>
      <w:r>
        <w:rPr>
          <w:rFonts w:ascii="仿宋_GB2312" w:eastAsia="仿宋_GB2312"/>
          <w:sz w:val="24"/>
        </w:rPr>
        <w:t>3</w:t>
      </w:r>
      <w:r>
        <w:rPr>
          <w:rFonts w:hint="eastAsia" w:ascii="仿宋_GB2312" w:eastAsia="仿宋_GB2312"/>
          <w:sz w:val="24"/>
        </w:rPr>
        <w:t>）年内的无犯罪行贿记录档案”；</w:t>
      </w:r>
    </w:p>
    <w:p>
      <w:pPr>
        <w:numPr>
          <w:ilvl w:val="0"/>
          <w:numId w:val="18"/>
        </w:numPr>
        <w:tabs>
          <w:tab w:val="left" w:pos="1418"/>
        </w:tabs>
        <w:spacing w:line="360" w:lineRule="auto"/>
        <w:ind w:left="1418" w:right="-53" w:rightChars="-25" w:hanging="709"/>
        <w:rPr>
          <w:rFonts w:ascii="仿宋_GB2312" w:eastAsia="仿宋_GB2312"/>
          <w:sz w:val="24"/>
        </w:rPr>
      </w:pPr>
      <w:r>
        <w:rPr>
          <w:rFonts w:hint="eastAsia" w:ascii="仿宋_GB2312" w:eastAsia="仿宋_GB2312"/>
          <w:sz w:val="24"/>
        </w:rPr>
        <w:t>我们依照有关法律的规定，没有偷税、漏税的行为，没有逃避缴纳社会保险资金的行为；</w:t>
      </w:r>
    </w:p>
    <w:p>
      <w:pPr>
        <w:numPr>
          <w:ilvl w:val="0"/>
          <w:numId w:val="18"/>
        </w:numPr>
        <w:tabs>
          <w:tab w:val="left" w:pos="1418"/>
        </w:tabs>
        <w:spacing w:line="360" w:lineRule="auto"/>
        <w:ind w:left="1418" w:right="-53" w:rightChars="-25" w:hanging="709"/>
        <w:rPr>
          <w:rFonts w:ascii="仿宋_GB2312" w:eastAsia="仿宋_GB2312"/>
          <w:sz w:val="24"/>
        </w:rPr>
      </w:pPr>
      <w:r>
        <w:rPr>
          <w:rFonts w:hint="eastAsia" w:ascii="仿宋_GB2312" w:eastAsia="仿宋_GB2312"/>
          <w:sz w:val="24"/>
        </w:rPr>
        <w:t>与采购人和采购代理机构无任何的隶属关系或者其他利害关系。</w:t>
      </w:r>
    </w:p>
    <w:p>
      <w:pPr>
        <w:numPr>
          <w:ilvl w:val="0"/>
          <w:numId w:val="18"/>
        </w:numPr>
        <w:tabs>
          <w:tab w:val="left" w:pos="1418"/>
        </w:tabs>
        <w:spacing w:line="360" w:lineRule="auto"/>
        <w:ind w:left="1418" w:right="-53" w:rightChars="-25" w:hanging="709"/>
        <w:rPr>
          <w:rFonts w:ascii="仿宋_GB2312" w:eastAsia="仿宋_GB2312"/>
          <w:sz w:val="24"/>
        </w:rPr>
      </w:pPr>
      <w:r>
        <w:rPr>
          <w:rFonts w:hint="eastAsia" w:ascii="仿宋_GB2312" w:eastAsia="仿宋_GB2312"/>
          <w:sz w:val="24"/>
        </w:rPr>
        <w:t>同意提供贵方可能要求的与其投标有关的一切数据或资料。</w:t>
      </w:r>
      <w:r>
        <w:rPr>
          <w:rFonts w:ascii="仿宋_GB2312" w:eastAsia="仿宋_GB2312"/>
          <w:sz w:val="24"/>
        </w:rPr>
        <w:t xml:space="preserve"> </w:t>
      </w:r>
    </w:p>
    <w:p>
      <w:pPr>
        <w:numPr>
          <w:ilvl w:val="1"/>
          <w:numId w:val="17"/>
        </w:numPr>
        <w:spacing w:before="120" w:line="360" w:lineRule="auto"/>
        <w:ind w:left="851" w:right="-53" w:rightChars="-25" w:hanging="425"/>
        <w:rPr>
          <w:rFonts w:ascii="仿宋_GB2312" w:eastAsia="仿宋_GB2312"/>
          <w:sz w:val="24"/>
        </w:rPr>
      </w:pPr>
      <w:r>
        <w:rPr>
          <w:rFonts w:hint="eastAsia" w:ascii="仿宋_GB2312" w:eastAsia="仿宋_GB2312"/>
          <w:sz w:val="24"/>
        </w:rPr>
        <w:t>公开招标无效投标后，在收到贵方的通知后，我方本投标函及所有投标文件中声明、授权、承诺、盖章签字等，对于贵方采用竞争性谈判采购仍然有效。我方遵守贵方招标文件关于特殊情形采用竞争性谈判采购的有关规定，并无异议。</w:t>
      </w:r>
    </w:p>
    <w:p>
      <w:pPr>
        <w:tabs>
          <w:tab w:val="left" w:pos="1418"/>
        </w:tabs>
        <w:spacing w:line="360" w:lineRule="auto"/>
        <w:ind w:left="1418" w:right="-53" w:rightChars="-25"/>
        <w:rPr>
          <w:rFonts w:ascii="仿宋_GB2312" w:eastAsia="仿宋_GB2312"/>
          <w:sz w:val="24"/>
        </w:rPr>
      </w:pPr>
    </w:p>
    <w:p>
      <w:pPr>
        <w:numPr>
          <w:ilvl w:val="1"/>
          <w:numId w:val="17"/>
        </w:numPr>
        <w:tabs>
          <w:tab w:val="left" w:pos="993"/>
        </w:tabs>
        <w:spacing w:line="360" w:lineRule="auto"/>
        <w:ind w:left="851" w:right="-53" w:rightChars="-25" w:hanging="425"/>
        <w:rPr>
          <w:rFonts w:ascii="仿宋_GB2312" w:eastAsia="仿宋_GB2312"/>
          <w:sz w:val="24"/>
        </w:rPr>
      </w:pPr>
      <w:r>
        <w:rPr>
          <w:rFonts w:hint="eastAsia" w:ascii="仿宋_GB2312" w:eastAsia="仿宋_GB2312"/>
          <w:sz w:val="24"/>
        </w:rPr>
        <w:t>与本投标有关的一切正式往来信函请寄：</w:t>
      </w:r>
    </w:p>
    <w:p>
      <w:pPr>
        <w:spacing w:line="360" w:lineRule="auto"/>
        <w:ind w:right="-53" w:rightChars="-25" w:firstLine="540" w:firstLineChars="225"/>
        <w:rPr>
          <w:rFonts w:ascii="仿宋_GB2312" w:eastAsia="仿宋_GB2312"/>
          <w:sz w:val="24"/>
          <w:u w:val="single"/>
        </w:rPr>
      </w:pPr>
      <w:r>
        <w:rPr>
          <w:rFonts w:hint="eastAsia" w:ascii="仿宋_GB2312" w:eastAsia="仿宋_GB2312"/>
          <w:sz w:val="24"/>
        </w:rPr>
        <w:t>地址：</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邮编：</w:t>
      </w:r>
      <w:r>
        <w:rPr>
          <w:rFonts w:ascii="仿宋_GB2312" w:eastAsia="仿宋_GB2312"/>
          <w:sz w:val="24"/>
          <w:u w:val="single"/>
        </w:rPr>
        <w:t xml:space="preserve">         </w:t>
      </w:r>
    </w:p>
    <w:p>
      <w:pPr>
        <w:spacing w:line="360" w:lineRule="auto"/>
        <w:ind w:right="-53" w:rightChars="-25" w:firstLine="540" w:firstLineChars="225"/>
        <w:rPr>
          <w:rFonts w:ascii="仿宋_GB2312" w:eastAsia="仿宋_GB2312"/>
          <w:sz w:val="24"/>
        </w:rPr>
      </w:pPr>
      <w:r>
        <w:rPr>
          <w:rFonts w:hint="eastAsia" w:ascii="仿宋_GB2312" w:eastAsia="仿宋_GB2312"/>
          <w:sz w:val="24"/>
        </w:rPr>
        <w:t>电话：</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传真：</w:t>
      </w:r>
      <w:r>
        <w:rPr>
          <w:rFonts w:ascii="仿宋_GB2312" w:eastAsia="仿宋_GB2312"/>
          <w:sz w:val="24"/>
          <w:u w:val="single"/>
        </w:rPr>
        <w:t xml:space="preserve">         </w:t>
      </w:r>
    </w:p>
    <w:p>
      <w:pPr>
        <w:spacing w:line="360" w:lineRule="auto"/>
        <w:ind w:left="800" w:right="-53" w:rightChars="-25" w:hanging="275"/>
        <w:rPr>
          <w:rFonts w:ascii="仿宋_GB2312" w:eastAsia="仿宋_GB2312"/>
          <w:sz w:val="24"/>
        </w:rPr>
      </w:pPr>
    </w:p>
    <w:p>
      <w:pPr>
        <w:spacing w:line="360" w:lineRule="auto"/>
        <w:ind w:left="800" w:right="-53" w:rightChars="-25" w:hanging="275"/>
        <w:rPr>
          <w:rFonts w:ascii="仿宋_GB2312" w:eastAsia="仿宋_GB2312"/>
          <w:sz w:val="24"/>
        </w:rPr>
      </w:pPr>
    </w:p>
    <w:p>
      <w:pPr>
        <w:spacing w:line="360" w:lineRule="auto"/>
        <w:ind w:left="799" w:right="-53" w:rightChars="-25" w:firstLine="1611"/>
        <w:rPr>
          <w:rFonts w:ascii="仿宋_GB2312" w:eastAsia="仿宋_GB2312"/>
          <w:sz w:val="24"/>
        </w:rPr>
      </w:pPr>
    </w:p>
    <w:p>
      <w:pPr>
        <w:spacing w:line="360" w:lineRule="auto"/>
        <w:ind w:left="799" w:right="-53" w:rightChars="-25" w:firstLine="1611"/>
        <w:rPr>
          <w:rFonts w:ascii="仿宋_GB2312" w:eastAsia="仿宋_GB2312"/>
          <w:sz w:val="24"/>
        </w:rPr>
      </w:pPr>
    </w:p>
    <w:p>
      <w:pPr>
        <w:spacing w:line="360" w:lineRule="auto"/>
        <w:ind w:left="799" w:right="-53" w:rightChars="-25" w:firstLine="1611"/>
        <w:rPr>
          <w:rFonts w:ascii="仿宋_GB2312" w:eastAsia="仿宋_GB2312"/>
          <w:sz w:val="24"/>
        </w:rPr>
      </w:pPr>
    </w:p>
    <w:p>
      <w:pPr>
        <w:spacing w:line="360" w:lineRule="auto"/>
        <w:ind w:left="799" w:right="-53" w:rightChars="-25" w:firstLine="1611"/>
        <w:rPr>
          <w:rFonts w:ascii="仿宋_GB2312" w:eastAsia="仿宋_GB2312"/>
          <w:sz w:val="24"/>
        </w:rPr>
      </w:pPr>
      <w:r>
        <w:rPr>
          <w:rFonts w:hint="eastAsia" w:ascii="仿宋_GB2312" w:eastAsia="仿宋_GB2312"/>
          <w:sz w:val="24"/>
        </w:rPr>
        <w:t>投标人名称（公章）：</w:t>
      </w:r>
    </w:p>
    <w:p>
      <w:pPr>
        <w:spacing w:line="360" w:lineRule="auto"/>
        <w:ind w:left="799" w:right="-53" w:rightChars="-25" w:firstLine="1611"/>
        <w:rPr>
          <w:rFonts w:ascii="仿宋_GB2312" w:eastAsia="仿宋_GB2312"/>
          <w:sz w:val="24"/>
        </w:rPr>
      </w:pPr>
      <w:r>
        <w:rPr>
          <w:rFonts w:hint="eastAsia" w:ascii="仿宋_GB2312" w:eastAsia="仿宋_GB2312"/>
          <w:sz w:val="24"/>
        </w:rPr>
        <w:t>公司地址：</w:t>
      </w:r>
      <w:r>
        <w:rPr>
          <w:rFonts w:ascii="仿宋_GB2312" w:eastAsia="仿宋_GB2312"/>
          <w:sz w:val="24"/>
        </w:rPr>
        <w:t>_______________________</w:t>
      </w:r>
    </w:p>
    <w:p>
      <w:pPr>
        <w:spacing w:line="360" w:lineRule="auto"/>
        <w:ind w:left="799" w:right="-53" w:rightChars="-25" w:firstLine="1611"/>
        <w:rPr>
          <w:rFonts w:ascii="仿宋_GB2312" w:eastAsia="仿宋_GB2312"/>
          <w:sz w:val="24"/>
        </w:rPr>
      </w:pPr>
      <w:r>
        <w:rPr>
          <w:rFonts w:hint="eastAsia" w:ascii="仿宋_GB2312" w:eastAsia="仿宋_GB2312"/>
          <w:sz w:val="24"/>
        </w:rPr>
        <w:t>签名：（法定代表人或授权代表）</w:t>
      </w:r>
    </w:p>
    <w:p>
      <w:pPr>
        <w:spacing w:line="360" w:lineRule="auto"/>
        <w:ind w:left="799" w:right="-53" w:rightChars="-25" w:firstLine="1611"/>
        <w:rPr>
          <w:rFonts w:ascii="仿宋_GB2312" w:eastAsia="仿宋_GB2312"/>
          <w:sz w:val="24"/>
        </w:rPr>
      </w:pPr>
      <w:r>
        <w:rPr>
          <w:rFonts w:hint="eastAsia" w:ascii="仿宋_GB2312" w:eastAsia="仿宋_GB2312"/>
          <w:sz w:val="24"/>
        </w:rPr>
        <w:t>职位：</w:t>
      </w:r>
      <w:r>
        <w:rPr>
          <w:rFonts w:ascii="仿宋_GB2312" w:eastAsia="仿宋_GB2312"/>
          <w:sz w:val="24"/>
        </w:rPr>
        <w:t>_______________________</w:t>
      </w:r>
    </w:p>
    <w:p>
      <w:pPr>
        <w:spacing w:line="360" w:lineRule="auto"/>
        <w:ind w:left="799" w:right="-53" w:rightChars="-25" w:firstLine="1611"/>
        <w:rPr>
          <w:rFonts w:ascii="仿宋_GB2312" w:eastAsia="仿宋_GB2312"/>
          <w:sz w:val="24"/>
        </w:rPr>
      </w:pPr>
      <w:r>
        <w:rPr>
          <w:rFonts w:hint="eastAsia" w:ascii="仿宋_GB2312" w:eastAsia="仿宋_GB2312"/>
          <w:sz w:val="24"/>
        </w:rPr>
        <w:t>日期：</w:t>
      </w:r>
      <w:r>
        <w:rPr>
          <w:rFonts w:ascii="仿宋_GB2312" w:eastAsia="仿宋_GB2312"/>
          <w:sz w:val="24"/>
        </w:rPr>
        <w:t>_______________________</w:t>
      </w:r>
    </w:p>
    <w:p>
      <w:pPr>
        <w:spacing w:line="360" w:lineRule="auto"/>
        <w:ind w:right="-53" w:rightChars="-25"/>
        <w:rPr>
          <w:rFonts w:ascii="仿宋_GB2312" w:eastAsia="仿宋_GB2312"/>
          <w:sz w:val="24"/>
        </w:rPr>
      </w:pPr>
      <w:r>
        <w:rPr>
          <w:rFonts w:hint="eastAsia" w:ascii="仿宋_GB2312" w:eastAsia="仿宋_GB2312"/>
          <w:b/>
          <w:sz w:val="24"/>
        </w:rPr>
        <w:t>备注：</w:t>
      </w:r>
      <w:r>
        <w:rPr>
          <w:rFonts w:ascii="仿宋_GB2312" w:eastAsia="仿宋_GB2312"/>
          <w:sz w:val="24"/>
        </w:rPr>
        <w:t>1</w:t>
      </w:r>
      <w:r>
        <w:rPr>
          <w:rFonts w:hint="eastAsia" w:ascii="仿宋_GB2312" w:eastAsia="仿宋_GB2312"/>
          <w:sz w:val="24"/>
        </w:rPr>
        <w:t>、除可填报项目外，对本投标函的任何修改将被视为非实质性响应投标，在评标时将其视为无效投标。（</w:t>
      </w:r>
      <w:r>
        <w:rPr>
          <w:rFonts w:hint="eastAsia" w:ascii="仿宋_GB2312" w:hAnsi="宋体" w:eastAsia="仿宋_GB2312" w:cs="宋体"/>
          <w:sz w:val="24"/>
        </w:rPr>
        <w:t>★</w:t>
      </w:r>
      <w:r>
        <w:rPr>
          <w:rFonts w:hint="eastAsia" w:ascii="仿宋_GB2312" w:eastAsia="仿宋_GB2312"/>
          <w:sz w:val="24"/>
        </w:rPr>
        <w:t>）</w:t>
      </w:r>
    </w:p>
    <w:p>
      <w:pPr>
        <w:widowControl/>
        <w:numPr>
          <w:ilvl w:val="0"/>
          <w:numId w:val="19"/>
        </w:numPr>
        <w:spacing w:line="360" w:lineRule="auto"/>
        <w:ind w:left="-88" w:leftChars="-42" w:firstLine="720" w:firstLineChars="300"/>
        <w:jc w:val="left"/>
        <w:rPr>
          <w:rFonts w:ascii="仿宋_GB2312" w:eastAsia="仿宋_GB2312"/>
          <w:sz w:val="24"/>
        </w:rPr>
      </w:pPr>
      <w:r>
        <w:rPr>
          <w:rFonts w:hint="eastAsia" w:ascii="仿宋_GB2312" w:eastAsia="仿宋_GB2312"/>
          <w:sz w:val="24"/>
        </w:rPr>
        <w:t>供应商注册成立不足三（</w:t>
      </w:r>
      <w:r>
        <w:rPr>
          <w:rFonts w:ascii="仿宋_GB2312" w:eastAsia="仿宋_GB2312"/>
          <w:sz w:val="24"/>
        </w:rPr>
        <w:t>3</w:t>
      </w:r>
      <w:r>
        <w:rPr>
          <w:rFonts w:hint="eastAsia" w:ascii="仿宋_GB2312" w:eastAsia="仿宋_GB2312"/>
          <w:sz w:val="24"/>
        </w:rPr>
        <w:t>）年的，承诺与声明从单位成立始至参加本项目政府采购活动止</w:t>
      </w:r>
      <w:r>
        <w:rPr>
          <w:rFonts w:ascii="仿宋_GB2312" w:eastAsia="仿宋_GB2312"/>
          <w:sz w:val="24"/>
        </w:rPr>
        <w:t>(</w:t>
      </w:r>
      <w:r>
        <w:rPr>
          <w:rFonts w:hint="eastAsia" w:ascii="仿宋_GB2312" w:eastAsia="仿宋_GB2312"/>
          <w:sz w:val="24"/>
        </w:rPr>
        <w:t>后同</w:t>
      </w:r>
      <w:r>
        <w:rPr>
          <w:rFonts w:ascii="仿宋_GB2312" w:eastAsia="仿宋_GB2312"/>
          <w:sz w:val="24"/>
        </w:rPr>
        <w:t>)</w:t>
      </w:r>
      <w:r>
        <w:rPr>
          <w:rFonts w:hint="eastAsia" w:ascii="仿宋_GB2312" w:eastAsia="仿宋_GB2312"/>
          <w:sz w:val="24"/>
        </w:rPr>
        <w:t>。</w:t>
      </w:r>
      <w:bookmarkStart w:id="274" w:name="_Toc333327521"/>
      <w:bookmarkStart w:id="275" w:name="_Toc29181"/>
      <w:bookmarkStart w:id="276" w:name="_Toc429602596"/>
      <w:bookmarkStart w:id="277" w:name="_Toc429604237"/>
    </w:p>
    <w:p>
      <w:pPr>
        <w:widowControl/>
        <w:spacing w:line="360" w:lineRule="auto"/>
        <w:jc w:val="left"/>
        <w:rPr>
          <w:rFonts w:ascii="仿宋_GB2312" w:eastAsia="仿宋_GB2312"/>
          <w:sz w:val="24"/>
        </w:rPr>
      </w:pPr>
    </w:p>
    <w:p>
      <w:pPr>
        <w:widowControl/>
        <w:spacing w:line="360" w:lineRule="auto"/>
        <w:jc w:val="left"/>
        <w:rPr>
          <w:rFonts w:ascii="仿宋_GB2312" w:eastAsia="仿宋_GB2312"/>
          <w:sz w:val="24"/>
        </w:rPr>
      </w:pPr>
    </w:p>
    <w:bookmarkEnd w:id="274"/>
    <w:bookmarkEnd w:id="275"/>
    <w:bookmarkEnd w:id="276"/>
    <w:bookmarkEnd w:id="277"/>
    <w:p>
      <w:pPr>
        <w:tabs>
          <w:tab w:val="left" w:pos="360"/>
          <w:tab w:val="left" w:pos="1800"/>
        </w:tabs>
        <w:spacing w:line="480" w:lineRule="exact"/>
        <w:rPr>
          <w:rFonts w:ascii="仿宋_GB2312" w:eastAsia="仿宋_GB2312"/>
          <w:b/>
          <w:bCs/>
          <w:sz w:val="24"/>
          <w:szCs w:val="24"/>
        </w:rPr>
      </w:pPr>
    </w:p>
    <w:p>
      <w:pPr>
        <w:widowControl/>
        <w:jc w:val="left"/>
        <w:rPr>
          <w:rFonts w:ascii="仿宋_GB2312" w:eastAsia="仿宋_GB2312"/>
          <w:b/>
          <w:sz w:val="24"/>
        </w:rPr>
        <w:sectPr>
          <w:pgSz w:w="11906" w:h="16838"/>
          <w:pgMar w:top="1701" w:right="1418" w:bottom="1701" w:left="1701" w:header="1134" w:footer="624" w:gutter="0"/>
          <w:cols w:space="720" w:num="1"/>
          <w:docGrid w:linePitch="312" w:charSpace="0"/>
        </w:sectPr>
      </w:pPr>
    </w:p>
    <w:p>
      <w:pPr>
        <w:pStyle w:val="3"/>
        <w:keepLines w:val="0"/>
        <w:numPr>
          <w:ilvl w:val="1"/>
          <w:numId w:val="0"/>
        </w:numPr>
        <w:tabs>
          <w:tab w:val="left" w:pos="540"/>
          <w:tab w:val="left" w:pos="720"/>
        </w:tabs>
        <w:spacing w:before="120" w:beforeLines="50" w:line="360" w:lineRule="exact"/>
        <w:jc w:val="center"/>
        <w:rPr>
          <w:rFonts w:ascii="仿宋_GB2312" w:hAnsi="仿宋"/>
          <w:sz w:val="32"/>
        </w:rPr>
      </w:pPr>
      <w:r>
        <w:rPr>
          <w:rFonts w:hint="eastAsia" w:ascii="仿宋_GB2312" w:hAnsi="仿宋"/>
          <w:sz w:val="32"/>
        </w:rPr>
        <w:t>附件</w:t>
      </w:r>
      <w:r>
        <w:rPr>
          <w:rFonts w:ascii="仿宋_GB2312" w:hAnsi="仿宋"/>
          <w:sz w:val="32"/>
        </w:rPr>
        <w:t xml:space="preserve">2 </w:t>
      </w:r>
      <w:r>
        <w:rPr>
          <w:rFonts w:hint="eastAsia" w:ascii="仿宋_GB2312" w:hAnsi="仿宋"/>
          <w:sz w:val="32"/>
        </w:rPr>
        <w:t>投标报价表</w:t>
      </w:r>
    </w:p>
    <w:p>
      <w:pPr>
        <w:tabs>
          <w:tab w:val="left" w:pos="1050"/>
        </w:tabs>
        <w:spacing w:line="360" w:lineRule="auto"/>
        <w:ind w:left="629" w:right="-53" w:rightChars="-25" w:firstLine="735"/>
        <w:rPr>
          <w:rFonts w:ascii="仿宋" w:hAnsi="仿宋" w:eastAsia="仿宋"/>
          <w:sz w:val="24"/>
        </w:rPr>
      </w:pPr>
    </w:p>
    <w:p>
      <w:pPr>
        <w:spacing w:line="300" w:lineRule="auto"/>
        <w:rPr>
          <w:rFonts w:ascii="仿宋" w:hAnsi="仿宋" w:eastAsia="仿宋"/>
          <w:bCs/>
          <w:sz w:val="24"/>
        </w:rPr>
      </w:pPr>
      <w:r>
        <w:rPr>
          <w:rFonts w:hint="eastAsia" w:ascii="仿宋" w:hAnsi="仿宋" w:eastAsia="仿宋"/>
          <w:bCs/>
          <w:sz w:val="24"/>
        </w:rPr>
        <w:t>项目名称：</w:t>
      </w:r>
    </w:p>
    <w:p>
      <w:pPr>
        <w:spacing w:line="300" w:lineRule="auto"/>
        <w:rPr>
          <w:rFonts w:ascii="仿宋" w:hAnsi="仿宋" w:eastAsia="仿宋"/>
          <w:bCs/>
          <w:sz w:val="24"/>
        </w:rPr>
      </w:pPr>
      <w:r>
        <w:rPr>
          <w:rFonts w:hint="eastAsia" w:ascii="仿宋" w:hAnsi="仿宋" w:eastAsia="仿宋"/>
          <w:bCs/>
          <w:sz w:val="24"/>
        </w:rPr>
        <w:t>项目编号：</w:t>
      </w:r>
    </w:p>
    <w:tbl>
      <w:tblPr>
        <w:tblStyle w:val="45"/>
        <w:tblW w:w="8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243"/>
        <w:gridCol w:w="1933"/>
        <w:gridCol w:w="28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6" w:hRule="atLeast"/>
          <w:tblHeader/>
        </w:trPr>
        <w:tc>
          <w:tcPr>
            <w:tcW w:w="4243" w:type="dxa"/>
            <w:tcBorders>
              <w:right w:val="single" w:color="auto" w:sz="4" w:space="0"/>
            </w:tcBorders>
            <w:vAlign w:val="center"/>
          </w:tcPr>
          <w:p>
            <w:pPr>
              <w:pStyle w:val="274"/>
              <w:spacing w:line="300" w:lineRule="auto"/>
              <w:jc w:val="center"/>
              <w:rPr>
                <w:rFonts w:ascii="仿宋" w:hAnsi="仿宋" w:eastAsia="仿宋"/>
                <w:b/>
                <w:bCs/>
              </w:rPr>
            </w:pPr>
            <w:r>
              <w:rPr>
                <w:rFonts w:hint="eastAsia" w:ascii="仿宋" w:hAnsi="仿宋" w:eastAsia="仿宋"/>
                <w:b/>
                <w:bCs/>
              </w:rPr>
              <w:t>竞价标的</w:t>
            </w:r>
          </w:p>
        </w:tc>
        <w:tc>
          <w:tcPr>
            <w:tcW w:w="1933" w:type="dxa"/>
            <w:tcBorders>
              <w:left w:val="single" w:color="auto" w:sz="4" w:space="0"/>
            </w:tcBorders>
            <w:vAlign w:val="center"/>
          </w:tcPr>
          <w:p>
            <w:pPr>
              <w:pStyle w:val="274"/>
              <w:spacing w:line="300" w:lineRule="auto"/>
              <w:jc w:val="center"/>
              <w:rPr>
                <w:rFonts w:ascii="仿宋" w:hAnsi="仿宋" w:eastAsia="仿宋"/>
                <w:b/>
                <w:bCs/>
              </w:rPr>
            </w:pPr>
            <w:r>
              <w:rPr>
                <w:rFonts w:ascii="仿宋" w:hAnsi="仿宋" w:eastAsia="仿宋"/>
                <w:b/>
                <w:bCs/>
              </w:rPr>
              <w:t>投标报价</w:t>
            </w:r>
            <w:r>
              <w:rPr>
                <w:rFonts w:hint="eastAsia" w:ascii="仿宋" w:hAnsi="仿宋" w:eastAsia="仿宋"/>
                <w:b/>
                <w:bCs/>
              </w:rPr>
              <w:t>（小写）</w:t>
            </w:r>
          </w:p>
        </w:tc>
        <w:tc>
          <w:tcPr>
            <w:tcW w:w="2808" w:type="dxa"/>
            <w:tcBorders>
              <w:left w:val="single" w:color="auto" w:sz="4" w:space="0"/>
            </w:tcBorders>
            <w:vAlign w:val="center"/>
          </w:tcPr>
          <w:p>
            <w:pPr>
              <w:pStyle w:val="274"/>
              <w:spacing w:line="300" w:lineRule="auto"/>
              <w:jc w:val="center"/>
              <w:rPr>
                <w:rFonts w:ascii="仿宋" w:hAnsi="仿宋" w:eastAsia="仿宋"/>
                <w:b/>
                <w:bCs/>
              </w:rPr>
            </w:pPr>
            <w:r>
              <w:rPr>
                <w:rFonts w:ascii="仿宋" w:hAnsi="仿宋" w:eastAsia="仿宋"/>
                <w:b/>
                <w:bCs/>
              </w:rPr>
              <w:t>投标报价</w:t>
            </w:r>
            <w:r>
              <w:rPr>
                <w:rFonts w:hint="eastAsia" w:ascii="仿宋" w:hAnsi="仿宋" w:eastAsia="仿宋"/>
                <w:b/>
                <w:bCs/>
              </w:rPr>
              <w:t>（大写）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trPr>
        <w:tc>
          <w:tcPr>
            <w:tcW w:w="4243" w:type="dxa"/>
            <w:tcBorders>
              <w:right w:val="single" w:color="auto" w:sz="4" w:space="0"/>
            </w:tcBorders>
            <w:shd w:val="clear" w:color="auto" w:fill="auto"/>
            <w:vAlign w:val="center"/>
          </w:tcPr>
          <w:p>
            <w:pPr>
              <w:spacing w:line="300" w:lineRule="auto"/>
              <w:jc w:val="center"/>
              <w:rPr>
                <w:rFonts w:ascii="仿宋" w:hAnsi="仿宋" w:eastAsia="仿宋"/>
              </w:rPr>
            </w:pPr>
            <w:r>
              <w:rPr>
                <w:rFonts w:hint="eastAsia" w:ascii="仿宋" w:hAnsi="仿宋" w:eastAsia="仿宋"/>
              </w:rPr>
              <w:t>污水处理服务费</w:t>
            </w:r>
          </w:p>
        </w:tc>
        <w:tc>
          <w:tcPr>
            <w:tcW w:w="1933" w:type="dxa"/>
            <w:tcBorders>
              <w:left w:val="single" w:color="auto" w:sz="4" w:space="0"/>
            </w:tcBorders>
            <w:shd w:val="clear" w:color="auto" w:fill="FFFFFF"/>
            <w:vAlign w:val="center"/>
          </w:tcPr>
          <w:p>
            <w:pPr>
              <w:pStyle w:val="274"/>
              <w:spacing w:line="300" w:lineRule="auto"/>
              <w:rPr>
                <w:rFonts w:ascii="仿宋" w:hAnsi="仿宋" w:eastAsia="仿宋"/>
              </w:rPr>
            </w:pPr>
          </w:p>
        </w:tc>
        <w:tc>
          <w:tcPr>
            <w:tcW w:w="2808" w:type="dxa"/>
            <w:tcBorders>
              <w:left w:val="single" w:color="auto" w:sz="4" w:space="0"/>
            </w:tcBorders>
            <w:shd w:val="clear" w:color="auto" w:fill="FFFFFF"/>
            <w:vAlign w:val="center"/>
          </w:tcPr>
          <w:p>
            <w:pPr>
              <w:pStyle w:val="274"/>
              <w:spacing w:line="300" w:lineRule="auto"/>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trPr>
        <w:tc>
          <w:tcPr>
            <w:tcW w:w="4243" w:type="dxa"/>
            <w:tcBorders>
              <w:right w:val="single" w:color="auto" w:sz="4" w:space="0"/>
            </w:tcBorders>
            <w:shd w:val="clear" w:color="auto" w:fill="auto"/>
            <w:vAlign w:val="center"/>
          </w:tcPr>
          <w:p>
            <w:pPr>
              <w:spacing w:line="300" w:lineRule="auto"/>
              <w:jc w:val="center"/>
              <w:rPr>
                <w:rFonts w:ascii="仿宋" w:hAnsi="仿宋" w:eastAsia="仿宋"/>
              </w:rPr>
            </w:pPr>
            <w:r>
              <w:rPr>
                <w:rFonts w:hint="eastAsia" w:ascii="仿宋" w:hAnsi="仿宋" w:eastAsia="仿宋"/>
              </w:rPr>
              <w:t>承诺最终经审定的结算下浮率（不含采购人组织招标或提供的材料、设备费用及采购人确认价格的材料、设备费用）</w:t>
            </w:r>
          </w:p>
        </w:tc>
        <w:tc>
          <w:tcPr>
            <w:tcW w:w="4741" w:type="dxa"/>
            <w:gridSpan w:val="2"/>
            <w:tcBorders>
              <w:left w:val="single" w:color="auto" w:sz="4" w:space="0"/>
            </w:tcBorders>
            <w:shd w:val="clear" w:color="auto" w:fill="FFFFFF"/>
            <w:vAlign w:val="center"/>
          </w:tcPr>
          <w:p>
            <w:pPr>
              <w:pStyle w:val="274"/>
              <w:spacing w:line="300" w:lineRule="auto"/>
              <w:rPr>
                <w:rFonts w:ascii="仿宋" w:hAnsi="仿宋" w:eastAsia="仿宋"/>
              </w:rPr>
            </w:pPr>
            <w:r>
              <w:rPr>
                <w:rFonts w:hint="eastAsia" w:ascii="仿宋" w:hAnsi="仿宋" w:eastAsia="仿宋"/>
              </w:rPr>
              <w:t xml:space="preserve">                        </w:t>
            </w:r>
            <w:r>
              <w:rPr>
                <w:rFonts w:ascii="仿宋" w:hAnsi="仿宋" w:eastAsia="仿宋"/>
              </w:rPr>
              <w:t>%</w:t>
            </w:r>
          </w:p>
        </w:tc>
      </w:tr>
    </w:tbl>
    <w:p>
      <w:pPr>
        <w:pStyle w:val="273"/>
        <w:spacing w:line="400" w:lineRule="exact"/>
        <w:ind w:firstLine="480"/>
        <w:rPr>
          <w:rFonts w:ascii="仿宋" w:hAnsi="仿宋" w:eastAsia="仿宋"/>
          <w:sz w:val="24"/>
          <w:szCs w:val="24"/>
        </w:rPr>
      </w:pPr>
      <w:r>
        <w:rPr>
          <w:rFonts w:hint="eastAsia" w:ascii="仿宋" w:hAnsi="仿宋" w:eastAsia="仿宋"/>
          <w:sz w:val="24"/>
          <w:szCs w:val="24"/>
        </w:rPr>
        <w:t>除竞价标的外，投标人须对以下指标进行报价，不作为评分因素，但作为计算污水处理服务费的依据，并作为项目付费及调价的依据：</w:t>
      </w:r>
    </w:p>
    <w:tbl>
      <w:tblPr>
        <w:tblStyle w:val="45"/>
        <w:tblW w:w="517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98"/>
        <w:gridCol w:w="2618"/>
        <w:gridCol w:w="2013"/>
        <w:gridCol w:w="22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blHeader/>
        </w:trPr>
        <w:tc>
          <w:tcPr>
            <w:tcW w:w="1288" w:type="pct"/>
            <w:tcBorders>
              <w:right w:val="single" w:color="auto" w:sz="4" w:space="0"/>
            </w:tcBorders>
            <w:vAlign w:val="center"/>
          </w:tcPr>
          <w:p>
            <w:pPr>
              <w:pStyle w:val="274"/>
              <w:spacing w:line="300" w:lineRule="auto"/>
              <w:jc w:val="center"/>
              <w:rPr>
                <w:rFonts w:ascii="仿宋" w:hAnsi="仿宋" w:eastAsia="仿宋"/>
                <w:b/>
                <w:bCs/>
              </w:rPr>
            </w:pPr>
            <w:r>
              <w:rPr>
                <w:rFonts w:hint="eastAsia" w:ascii="仿宋" w:hAnsi="仿宋" w:eastAsia="仿宋"/>
                <w:b/>
                <w:bCs/>
              </w:rPr>
              <w:t>指标</w:t>
            </w:r>
          </w:p>
        </w:tc>
        <w:tc>
          <w:tcPr>
            <w:tcW w:w="1406" w:type="pct"/>
            <w:tcBorders>
              <w:right w:val="single" w:color="auto" w:sz="4" w:space="0"/>
            </w:tcBorders>
            <w:vAlign w:val="center"/>
          </w:tcPr>
          <w:p>
            <w:pPr>
              <w:pStyle w:val="274"/>
              <w:spacing w:line="300" w:lineRule="auto"/>
              <w:jc w:val="center"/>
              <w:rPr>
                <w:rFonts w:ascii="仿宋" w:hAnsi="仿宋" w:eastAsia="仿宋"/>
                <w:b/>
                <w:bCs/>
              </w:rPr>
            </w:pPr>
            <w:r>
              <w:rPr>
                <w:rFonts w:hint="eastAsia" w:ascii="仿宋" w:hAnsi="仿宋" w:eastAsia="仿宋"/>
                <w:b/>
                <w:bCs/>
              </w:rPr>
              <w:t>限价</w:t>
            </w:r>
          </w:p>
          <w:p>
            <w:pPr>
              <w:pStyle w:val="274"/>
              <w:spacing w:line="300" w:lineRule="auto"/>
              <w:jc w:val="center"/>
              <w:rPr>
                <w:rFonts w:ascii="仿宋" w:hAnsi="仿宋" w:eastAsia="仿宋"/>
                <w:b/>
                <w:bCs/>
              </w:rPr>
            </w:pPr>
            <w:r>
              <w:rPr>
                <w:rFonts w:hint="eastAsia" w:ascii="仿宋" w:hAnsi="仿宋" w:eastAsia="仿宋"/>
                <w:b/>
                <w:bCs/>
              </w:rPr>
              <w:t>（报价不得高于限价）</w:t>
            </w:r>
          </w:p>
        </w:tc>
        <w:tc>
          <w:tcPr>
            <w:tcW w:w="1081" w:type="pct"/>
            <w:tcBorders>
              <w:left w:val="single" w:color="auto" w:sz="4" w:space="0"/>
            </w:tcBorders>
            <w:vAlign w:val="center"/>
          </w:tcPr>
          <w:p>
            <w:pPr>
              <w:pStyle w:val="274"/>
              <w:spacing w:line="300" w:lineRule="auto"/>
              <w:jc w:val="center"/>
              <w:rPr>
                <w:rFonts w:ascii="仿宋" w:hAnsi="仿宋" w:eastAsia="仿宋"/>
                <w:b/>
                <w:bCs/>
              </w:rPr>
            </w:pPr>
            <w:r>
              <w:rPr>
                <w:rFonts w:ascii="仿宋" w:hAnsi="仿宋" w:eastAsia="仿宋"/>
                <w:b/>
                <w:bCs/>
              </w:rPr>
              <w:t>投标报价</w:t>
            </w:r>
            <w:r>
              <w:rPr>
                <w:rFonts w:hint="eastAsia" w:ascii="仿宋" w:hAnsi="仿宋" w:eastAsia="仿宋"/>
                <w:b/>
                <w:bCs/>
              </w:rPr>
              <w:t>（小写）</w:t>
            </w:r>
          </w:p>
        </w:tc>
        <w:tc>
          <w:tcPr>
            <w:tcW w:w="1225" w:type="pct"/>
            <w:tcBorders>
              <w:left w:val="single" w:color="auto" w:sz="4" w:space="0"/>
            </w:tcBorders>
            <w:vAlign w:val="center"/>
          </w:tcPr>
          <w:p>
            <w:pPr>
              <w:pStyle w:val="274"/>
              <w:spacing w:line="300" w:lineRule="auto"/>
              <w:jc w:val="center"/>
              <w:rPr>
                <w:rFonts w:ascii="仿宋" w:hAnsi="仿宋" w:eastAsia="仿宋"/>
                <w:b/>
                <w:bCs/>
              </w:rPr>
            </w:pPr>
            <w:r>
              <w:rPr>
                <w:rFonts w:ascii="仿宋" w:hAnsi="仿宋" w:eastAsia="仿宋"/>
                <w:b/>
                <w:bCs/>
              </w:rPr>
              <w:t>投标报价</w:t>
            </w:r>
            <w:r>
              <w:rPr>
                <w:rFonts w:hint="eastAsia" w:ascii="仿宋" w:hAnsi="仿宋" w:eastAsia="仿宋"/>
                <w:b/>
                <w:bCs/>
              </w:rPr>
              <w:t>（大写）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1288" w:type="pct"/>
            <w:tcBorders>
              <w:right w:val="single" w:color="auto" w:sz="4" w:space="0"/>
            </w:tcBorders>
            <w:shd w:val="clear" w:color="auto" w:fill="auto"/>
            <w:vAlign w:val="center"/>
          </w:tcPr>
          <w:p>
            <w:pPr>
              <w:spacing w:line="300" w:lineRule="auto"/>
              <w:jc w:val="center"/>
              <w:rPr>
                <w:rFonts w:ascii="仿宋" w:hAnsi="仿宋" w:eastAsia="仿宋"/>
              </w:rPr>
            </w:pPr>
            <w:r>
              <w:rPr>
                <w:rFonts w:hint="eastAsia" w:ascii="仿宋" w:hAnsi="仿宋" w:eastAsia="仿宋"/>
              </w:rPr>
              <w:t>固定成本</w:t>
            </w:r>
          </w:p>
        </w:tc>
        <w:tc>
          <w:tcPr>
            <w:tcW w:w="1406" w:type="pct"/>
            <w:tcBorders>
              <w:right w:val="single" w:color="auto" w:sz="4" w:space="0"/>
            </w:tcBorders>
            <w:vAlign w:val="center"/>
          </w:tcPr>
          <w:p>
            <w:pPr>
              <w:pStyle w:val="274"/>
              <w:spacing w:line="300" w:lineRule="auto"/>
              <w:jc w:val="center"/>
              <w:rPr>
                <w:rFonts w:ascii="仿宋" w:hAnsi="仿宋" w:eastAsia="仿宋"/>
              </w:rPr>
            </w:pPr>
            <w:r>
              <w:rPr>
                <w:rFonts w:ascii="仿宋" w:hAnsi="仿宋" w:eastAsia="仿宋"/>
              </w:rPr>
              <w:t>1311</w:t>
            </w:r>
            <w:r>
              <w:rPr>
                <w:rFonts w:hint="eastAsia" w:ascii="仿宋" w:hAnsi="仿宋" w:eastAsia="仿宋"/>
              </w:rPr>
              <w:t>万元</w:t>
            </w:r>
            <w:r>
              <w:rPr>
                <w:rFonts w:ascii="仿宋" w:hAnsi="仿宋" w:eastAsia="仿宋"/>
              </w:rPr>
              <w:t>/年</w:t>
            </w:r>
          </w:p>
        </w:tc>
        <w:tc>
          <w:tcPr>
            <w:tcW w:w="1081"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c>
          <w:tcPr>
            <w:tcW w:w="1225"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trPr>
        <w:tc>
          <w:tcPr>
            <w:tcW w:w="1288" w:type="pct"/>
            <w:tcBorders>
              <w:right w:val="single" w:color="auto" w:sz="4" w:space="0"/>
            </w:tcBorders>
            <w:shd w:val="clear" w:color="auto" w:fill="auto"/>
            <w:vAlign w:val="center"/>
          </w:tcPr>
          <w:p>
            <w:pPr>
              <w:spacing w:line="300" w:lineRule="auto"/>
              <w:jc w:val="center"/>
              <w:rPr>
                <w:rFonts w:ascii="仿宋" w:hAnsi="仿宋" w:eastAsia="仿宋"/>
              </w:rPr>
            </w:pPr>
            <w:r>
              <w:rPr>
                <w:rFonts w:hint="eastAsia" w:ascii="仿宋" w:hAnsi="仿宋" w:eastAsia="仿宋"/>
              </w:rPr>
              <w:t>变动成本</w:t>
            </w:r>
          </w:p>
        </w:tc>
        <w:tc>
          <w:tcPr>
            <w:tcW w:w="1406" w:type="pct"/>
            <w:tcBorders>
              <w:right w:val="single" w:color="auto" w:sz="4" w:space="0"/>
            </w:tcBorders>
            <w:vAlign w:val="center"/>
          </w:tcPr>
          <w:p>
            <w:pPr>
              <w:pStyle w:val="274"/>
              <w:spacing w:line="300" w:lineRule="auto"/>
              <w:jc w:val="center"/>
              <w:rPr>
                <w:rFonts w:ascii="仿宋" w:hAnsi="仿宋" w:eastAsia="仿宋"/>
              </w:rPr>
            </w:pPr>
            <w:r>
              <w:rPr>
                <w:rFonts w:ascii="仿宋" w:hAnsi="仿宋" w:eastAsia="仿宋"/>
              </w:rPr>
              <w:t>0.76</w:t>
            </w:r>
            <w:r>
              <w:rPr>
                <w:rFonts w:hint="eastAsia" w:ascii="仿宋" w:hAnsi="仿宋" w:eastAsia="仿宋"/>
              </w:rPr>
              <w:t>元</w:t>
            </w:r>
            <w:r>
              <w:rPr>
                <w:rFonts w:ascii="仿宋" w:hAnsi="仿宋" w:eastAsia="仿宋"/>
              </w:rPr>
              <w:t>/吨</w:t>
            </w:r>
          </w:p>
        </w:tc>
        <w:tc>
          <w:tcPr>
            <w:tcW w:w="1081"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c>
          <w:tcPr>
            <w:tcW w:w="1225"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trPr>
        <w:tc>
          <w:tcPr>
            <w:tcW w:w="1288" w:type="pct"/>
            <w:tcBorders>
              <w:right w:val="single" w:color="auto" w:sz="4" w:space="0"/>
            </w:tcBorders>
            <w:shd w:val="clear" w:color="auto" w:fill="auto"/>
            <w:vAlign w:val="center"/>
          </w:tcPr>
          <w:p>
            <w:pPr>
              <w:spacing w:line="300" w:lineRule="auto"/>
              <w:jc w:val="center"/>
              <w:rPr>
                <w:rFonts w:ascii="仿宋" w:hAnsi="仿宋" w:eastAsia="仿宋"/>
              </w:rPr>
            </w:pPr>
            <w:r>
              <w:rPr>
                <w:rFonts w:hint="eastAsia" w:ascii="仿宋" w:hAnsi="仿宋" w:eastAsia="仿宋"/>
              </w:rPr>
              <w:t>资本金税后</w:t>
            </w:r>
          </w:p>
          <w:p>
            <w:pPr>
              <w:spacing w:line="300" w:lineRule="auto"/>
              <w:jc w:val="center"/>
              <w:rPr>
                <w:rFonts w:ascii="仿宋" w:hAnsi="仿宋" w:eastAsia="仿宋"/>
              </w:rPr>
            </w:pPr>
            <w:r>
              <w:rPr>
                <w:rFonts w:hint="eastAsia" w:ascii="仿宋" w:hAnsi="仿宋" w:eastAsia="仿宋"/>
              </w:rPr>
              <w:t>内部收益率</w:t>
            </w:r>
          </w:p>
        </w:tc>
        <w:tc>
          <w:tcPr>
            <w:tcW w:w="1406" w:type="pct"/>
            <w:tcBorders>
              <w:right w:val="single" w:color="auto" w:sz="4" w:space="0"/>
            </w:tcBorders>
            <w:vAlign w:val="center"/>
          </w:tcPr>
          <w:p>
            <w:pPr>
              <w:pStyle w:val="274"/>
              <w:spacing w:line="300" w:lineRule="auto"/>
              <w:jc w:val="center"/>
              <w:rPr>
                <w:rFonts w:ascii="仿宋" w:hAnsi="仿宋" w:eastAsia="仿宋"/>
              </w:rPr>
            </w:pPr>
            <w:r>
              <w:rPr>
                <w:rFonts w:ascii="仿宋" w:hAnsi="仿宋" w:eastAsia="仿宋"/>
              </w:rPr>
              <w:t>6%</w:t>
            </w:r>
          </w:p>
        </w:tc>
        <w:tc>
          <w:tcPr>
            <w:tcW w:w="1081"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c>
          <w:tcPr>
            <w:tcW w:w="1225" w:type="pct"/>
            <w:tcBorders>
              <w:left w:val="single" w:color="auto" w:sz="4" w:space="0"/>
            </w:tcBorders>
            <w:shd w:val="clear" w:color="auto" w:fill="FFFFFF"/>
            <w:vAlign w:val="center"/>
          </w:tcPr>
          <w:p>
            <w:pPr>
              <w:pStyle w:val="274"/>
              <w:spacing w:line="300" w:lineRule="auto"/>
              <w:jc w:val="center"/>
              <w:rPr>
                <w:rFonts w:ascii="仿宋" w:hAnsi="仿宋" w:eastAsia="仿宋"/>
              </w:rPr>
            </w:pPr>
          </w:p>
        </w:tc>
      </w:tr>
    </w:tbl>
    <w:p>
      <w:pPr>
        <w:pStyle w:val="273"/>
        <w:spacing w:line="400" w:lineRule="exact"/>
        <w:ind w:firstLine="0" w:firstLineChars="0"/>
        <w:rPr>
          <w:rFonts w:ascii="仿宋" w:hAnsi="仿宋" w:eastAsia="仿宋"/>
          <w:sz w:val="24"/>
          <w:szCs w:val="24"/>
        </w:rPr>
      </w:pPr>
      <w:r>
        <w:rPr>
          <w:rFonts w:hint="eastAsia" w:ascii="仿宋" w:hAnsi="仿宋" w:eastAsia="仿宋"/>
          <w:sz w:val="24"/>
          <w:szCs w:val="24"/>
        </w:rPr>
        <w:t>注：</w:t>
      </w:r>
    </w:p>
    <w:p>
      <w:pPr>
        <w:pStyle w:val="273"/>
        <w:spacing w:line="400" w:lineRule="exact"/>
        <w:ind w:firstLine="482"/>
        <w:rPr>
          <w:rFonts w:ascii="仿宋" w:hAnsi="仿宋" w:eastAsia="仿宋"/>
          <w:b/>
          <w:sz w:val="24"/>
          <w:szCs w:val="24"/>
        </w:rPr>
      </w:pPr>
      <w:r>
        <w:rPr>
          <w:rFonts w:ascii="仿宋" w:hAnsi="仿宋" w:eastAsia="仿宋"/>
          <w:b/>
          <w:sz w:val="24"/>
          <w:szCs w:val="24"/>
        </w:rPr>
        <w:t>1.此表投标人盖单位公章、法定代表人或其委托代理人签字或盖章必需清晰可辨。</w:t>
      </w:r>
    </w:p>
    <w:p>
      <w:pPr>
        <w:pStyle w:val="273"/>
        <w:spacing w:line="400" w:lineRule="exact"/>
        <w:ind w:firstLine="480"/>
        <w:rPr>
          <w:rFonts w:ascii="仿宋" w:hAnsi="仿宋" w:eastAsia="仿宋"/>
          <w:sz w:val="24"/>
          <w:szCs w:val="24"/>
        </w:rPr>
      </w:pPr>
      <w:r>
        <w:rPr>
          <w:rFonts w:ascii="仿宋" w:hAnsi="仿宋" w:eastAsia="仿宋"/>
          <w:sz w:val="24"/>
          <w:szCs w:val="24"/>
        </w:rPr>
        <w:t>2.报价说明：</w:t>
      </w:r>
    </w:p>
    <w:p>
      <w:pPr>
        <w:pStyle w:val="273"/>
        <w:spacing w:line="4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1）本报价依据投标须知、</w:t>
      </w:r>
      <w:r>
        <w:rPr>
          <w:rFonts w:hint="eastAsia" w:ascii="仿宋" w:hAnsi="仿宋" w:eastAsia="仿宋"/>
          <w:sz w:val="24"/>
          <w:szCs w:val="24"/>
        </w:rPr>
        <w:t>招标文件前附表和《</w:t>
      </w:r>
      <w:r>
        <w:rPr>
          <w:rFonts w:ascii="仿宋" w:hAnsi="仿宋" w:eastAsia="仿宋"/>
          <w:sz w:val="24"/>
          <w:szCs w:val="24"/>
        </w:rPr>
        <w:t>PPP项目合同》的有关条款进行编制；</w:t>
      </w:r>
    </w:p>
    <w:p>
      <w:pPr>
        <w:pStyle w:val="273"/>
        <w:spacing w:line="400" w:lineRule="exact"/>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2）投标人的报价应是完成投标须知前附表中采购范围和合同草案相关条款上所列工作范围及工作周期的全部费用。</w:t>
      </w:r>
    </w:p>
    <w:p>
      <w:pPr>
        <w:pStyle w:val="273"/>
        <w:spacing w:line="400" w:lineRule="exact"/>
        <w:ind w:firstLine="480"/>
        <w:rPr>
          <w:rFonts w:ascii="仿宋" w:hAnsi="仿宋" w:eastAsia="仿宋"/>
          <w:sz w:val="24"/>
          <w:szCs w:val="24"/>
        </w:rPr>
      </w:pPr>
      <w:r>
        <w:rPr>
          <w:rFonts w:ascii="仿宋" w:hAnsi="仿宋" w:eastAsia="仿宋"/>
          <w:sz w:val="24"/>
          <w:szCs w:val="24"/>
        </w:rPr>
        <w:t>3.投标报价精确到小数点后第</w:t>
      </w:r>
      <w:r>
        <w:rPr>
          <w:rFonts w:hint="eastAsia" w:ascii="仿宋" w:hAnsi="仿宋" w:eastAsia="仿宋"/>
          <w:sz w:val="24"/>
          <w:szCs w:val="24"/>
        </w:rPr>
        <w:t>三位。</w:t>
      </w:r>
    </w:p>
    <w:p>
      <w:pPr>
        <w:pStyle w:val="273"/>
        <w:spacing w:line="400" w:lineRule="exact"/>
        <w:ind w:firstLine="480"/>
        <w:rPr>
          <w:rFonts w:ascii="仿宋" w:hAnsi="仿宋" w:eastAsia="仿宋"/>
          <w:sz w:val="24"/>
          <w:szCs w:val="24"/>
        </w:rPr>
      </w:pPr>
      <w:r>
        <w:rPr>
          <w:rFonts w:ascii="仿宋" w:hAnsi="仿宋" w:eastAsia="仿宋"/>
          <w:sz w:val="24"/>
          <w:szCs w:val="24"/>
        </w:rPr>
        <w:t>4.投标人如为联合体，由联合体牵头方填写并签章。</w:t>
      </w:r>
    </w:p>
    <w:p>
      <w:pPr>
        <w:spacing w:line="400" w:lineRule="exact"/>
        <w:rPr>
          <w:rFonts w:ascii="仿宋" w:hAnsi="仿宋" w:eastAsia="仿宋"/>
        </w:rPr>
      </w:pPr>
    </w:p>
    <w:p>
      <w:pPr>
        <w:spacing w:line="400" w:lineRule="exact"/>
        <w:rPr>
          <w:rFonts w:ascii="仿宋" w:hAnsi="仿宋" w:eastAsia="仿宋"/>
        </w:rPr>
      </w:pPr>
      <w:r>
        <w:rPr>
          <w:rFonts w:hint="eastAsia" w:ascii="仿宋" w:hAnsi="仿宋" w:eastAsia="仿宋"/>
        </w:rPr>
        <w:t>投标人单位：</w:t>
      </w:r>
      <w:r>
        <w:rPr>
          <w:rFonts w:ascii="仿宋" w:hAnsi="仿宋" w:eastAsia="仿宋"/>
          <w:u w:val="single"/>
        </w:rPr>
        <w:t xml:space="preserve">                                  </w:t>
      </w:r>
      <w:r>
        <w:rPr>
          <w:rFonts w:hint="eastAsia" w:ascii="仿宋" w:hAnsi="仿宋" w:eastAsia="仿宋"/>
        </w:rPr>
        <w:t>（盖单位公章）</w:t>
      </w:r>
    </w:p>
    <w:p>
      <w:pPr>
        <w:spacing w:line="400" w:lineRule="exact"/>
        <w:rPr>
          <w:rFonts w:ascii="仿宋" w:hAnsi="仿宋" w:eastAsia="仿宋"/>
        </w:rPr>
      </w:pPr>
      <w:r>
        <w:rPr>
          <w:rFonts w:hint="eastAsia" w:ascii="仿宋" w:hAnsi="仿宋" w:eastAsia="仿宋"/>
        </w:rPr>
        <w:t>法定代表人或其委托代理人：</w:t>
      </w:r>
      <w:r>
        <w:rPr>
          <w:rFonts w:ascii="仿宋" w:hAnsi="仿宋" w:eastAsia="仿宋"/>
          <w:u w:val="single"/>
        </w:rPr>
        <w:t xml:space="preserve">                   </w:t>
      </w:r>
      <w:r>
        <w:rPr>
          <w:rFonts w:hint="eastAsia" w:ascii="仿宋" w:hAnsi="仿宋" w:eastAsia="仿宋"/>
        </w:rPr>
        <w:t>（签字或盖章）</w:t>
      </w:r>
    </w:p>
    <w:p>
      <w:pPr>
        <w:spacing w:line="400" w:lineRule="exact"/>
        <w:rPr>
          <w:rFonts w:ascii="仿宋" w:hAnsi="仿宋" w:eastAsia="仿宋"/>
        </w:rPr>
      </w:pPr>
      <w:r>
        <w:rPr>
          <w:rFonts w:hint="eastAsia" w:ascii="仿宋" w:hAnsi="仿宋" w:eastAsia="仿宋"/>
        </w:rPr>
        <w:t>日期：</w:t>
      </w:r>
      <w:r>
        <w:rPr>
          <w:rFonts w:ascii="仿宋" w:hAnsi="仿宋" w:eastAsia="仿宋"/>
          <w:u w:val="single"/>
        </w:rPr>
        <w:t xml:space="preserve">        </w:t>
      </w:r>
      <w:r>
        <w:rPr>
          <w:rFonts w:hint="eastAsia" w:ascii="仿宋" w:hAnsi="仿宋" w:eastAsia="仿宋"/>
        </w:rPr>
        <w:t>年</w:t>
      </w:r>
      <w:r>
        <w:rPr>
          <w:rFonts w:ascii="仿宋" w:hAnsi="仿宋" w:eastAsia="仿宋"/>
          <w:u w:val="single"/>
        </w:rPr>
        <w:t xml:space="preserve">       </w:t>
      </w:r>
      <w:r>
        <w:rPr>
          <w:rFonts w:hint="eastAsia" w:ascii="仿宋" w:hAnsi="仿宋" w:eastAsia="仿宋"/>
        </w:rPr>
        <w:t>月</w:t>
      </w:r>
      <w:r>
        <w:rPr>
          <w:rFonts w:ascii="仿宋" w:hAnsi="仿宋" w:eastAsia="仿宋"/>
          <w:u w:val="single"/>
        </w:rPr>
        <w:t xml:space="preserve">       </w:t>
      </w:r>
      <w:r>
        <w:rPr>
          <w:rFonts w:hint="eastAsia" w:ascii="仿宋" w:hAnsi="仿宋" w:eastAsia="仿宋"/>
        </w:rPr>
        <w:t>日</w:t>
      </w:r>
    </w:p>
    <w:p>
      <w:pPr>
        <w:pStyle w:val="3"/>
        <w:keepLines w:val="0"/>
        <w:numPr>
          <w:ilvl w:val="1"/>
          <w:numId w:val="0"/>
        </w:numPr>
        <w:tabs>
          <w:tab w:val="left" w:pos="540"/>
          <w:tab w:val="left" w:pos="720"/>
        </w:tabs>
        <w:spacing w:before="120" w:beforeLines="50" w:line="360" w:lineRule="exact"/>
        <w:jc w:val="center"/>
        <w:rPr>
          <w:rFonts w:ascii="仿宋_GB2312"/>
          <w:sz w:val="32"/>
        </w:rPr>
      </w:pPr>
      <w:bookmarkStart w:id="278" w:name="_Toc333327524"/>
      <w:bookmarkStart w:id="279" w:name="_Toc481542902"/>
      <w:bookmarkStart w:id="280" w:name="_Toc429862240"/>
      <w:bookmarkStart w:id="281" w:name="_Toc429604239"/>
      <w:bookmarkStart w:id="282" w:name="_Toc429602598"/>
      <w:bookmarkStart w:id="283" w:name="_Toc10230"/>
      <w:r>
        <w:rPr>
          <w:rFonts w:hint="eastAsia" w:ascii="仿宋_GB2312"/>
          <w:sz w:val="32"/>
        </w:rPr>
        <w:t>附件</w:t>
      </w:r>
      <w:r>
        <w:rPr>
          <w:rFonts w:ascii="仿宋_GB2312"/>
          <w:sz w:val="32"/>
        </w:rPr>
        <w:t xml:space="preserve">3 </w:t>
      </w:r>
      <w:r>
        <w:rPr>
          <w:rFonts w:hint="eastAsia" w:ascii="仿宋_GB2312"/>
          <w:sz w:val="32"/>
        </w:rPr>
        <w:t>投标保证金</w:t>
      </w:r>
      <w:bookmarkEnd w:id="278"/>
      <w:bookmarkEnd w:id="279"/>
      <w:bookmarkEnd w:id="280"/>
      <w:bookmarkEnd w:id="281"/>
      <w:bookmarkEnd w:id="282"/>
      <w:bookmarkEnd w:id="283"/>
    </w:p>
    <w:p>
      <w:pPr>
        <w:rPr>
          <w:rFonts w:ascii="仿宋_GB2312" w:eastAsia="仿宋_GB2312"/>
          <w:sz w:val="24"/>
        </w:rPr>
      </w:pPr>
    </w:p>
    <w:p>
      <w:pPr>
        <w:pStyle w:val="24"/>
        <w:adjustRightInd w:val="0"/>
        <w:snapToGrid w:val="0"/>
        <w:spacing w:before="120" w:beforeLines="50"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提供付款凭证复印件。</w:t>
      </w:r>
    </w:p>
    <w:p>
      <w:pPr>
        <w:rPr>
          <w:rFonts w:ascii="仿宋_GB2312" w:eastAsia="仿宋_GB2312"/>
          <w:sz w:val="24"/>
        </w:rPr>
      </w:pPr>
      <w:bookmarkStart w:id="284" w:name="_Toc398281553"/>
      <w:bookmarkStart w:id="285" w:name="_Toc405975529"/>
      <w:bookmarkStart w:id="286" w:name="_Toc398792247"/>
    </w:p>
    <w:bookmarkEnd w:id="284"/>
    <w:bookmarkEnd w:id="285"/>
    <w:bookmarkEnd w:id="286"/>
    <w:p>
      <w:pPr>
        <w:pStyle w:val="24"/>
        <w:adjustRightInd w:val="0"/>
        <w:snapToGrid w:val="0"/>
        <w:spacing w:before="120" w:beforeLines="50" w:line="360" w:lineRule="auto"/>
        <w:rPr>
          <w:rFonts w:ascii="仿宋_GB2312" w:hAnsi="Times New Roman" w:eastAsia="仿宋_GB2312" w:cs="Times New Roman"/>
          <w:b/>
          <w:sz w:val="24"/>
          <w:szCs w:val="24"/>
        </w:rPr>
        <w:sectPr>
          <w:pgSz w:w="11906" w:h="16838"/>
          <w:pgMar w:top="1701" w:right="1418" w:bottom="1701" w:left="1701" w:header="1134" w:footer="907" w:gutter="0"/>
          <w:cols w:space="720" w:num="1"/>
          <w:docGrid w:linePitch="312" w:charSpace="0"/>
        </w:sectPr>
      </w:pPr>
    </w:p>
    <w:p>
      <w:pPr>
        <w:pStyle w:val="3"/>
        <w:keepLines w:val="0"/>
        <w:numPr>
          <w:ilvl w:val="1"/>
          <w:numId w:val="0"/>
        </w:numPr>
        <w:tabs>
          <w:tab w:val="left" w:pos="540"/>
          <w:tab w:val="left" w:pos="720"/>
        </w:tabs>
        <w:spacing w:before="120" w:beforeLines="50" w:line="360" w:lineRule="exact"/>
        <w:jc w:val="center"/>
        <w:rPr>
          <w:rFonts w:ascii="仿宋_GB2312"/>
          <w:sz w:val="32"/>
        </w:rPr>
      </w:pPr>
      <w:bookmarkStart w:id="287" w:name="_Toc333327525"/>
      <w:bookmarkStart w:id="288" w:name="_Toc24830"/>
      <w:bookmarkStart w:id="289" w:name="_Toc429602599"/>
      <w:bookmarkStart w:id="290" w:name="_Toc429604240"/>
      <w:bookmarkStart w:id="291" w:name="_Toc429862241"/>
      <w:bookmarkStart w:id="292" w:name="_Toc481542903"/>
      <w:r>
        <w:rPr>
          <w:rFonts w:hint="eastAsia" w:ascii="仿宋_GB2312"/>
          <w:sz w:val="32"/>
        </w:rPr>
        <w:t>附件4</w:t>
      </w:r>
      <w:r>
        <w:rPr>
          <w:rFonts w:ascii="仿宋_GB2312"/>
          <w:sz w:val="32"/>
        </w:rPr>
        <w:t xml:space="preserve"> </w:t>
      </w:r>
      <w:bookmarkEnd w:id="287"/>
      <w:bookmarkEnd w:id="288"/>
      <w:bookmarkEnd w:id="289"/>
      <w:bookmarkEnd w:id="290"/>
      <w:bookmarkEnd w:id="291"/>
      <w:bookmarkEnd w:id="292"/>
      <w:bookmarkStart w:id="293" w:name="_Toc294186060"/>
      <w:bookmarkStart w:id="294" w:name="_Toc294206743"/>
      <w:r>
        <w:rPr>
          <w:rFonts w:hint="eastAsia" w:ascii="仿宋_GB2312"/>
          <w:sz w:val="32"/>
        </w:rPr>
        <w:t>资格条件确认</w:t>
      </w:r>
    </w:p>
    <w:p>
      <w:pPr>
        <w:pStyle w:val="24"/>
        <w:ind w:left="1935" w:hanging="1095"/>
        <w:jc w:val="center"/>
        <w:rPr>
          <w:rFonts w:ascii="仿宋" w:hAnsi="仿宋" w:eastAsia="仿宋" w:cs="Times New Roman"/>
          <w:b/>
          <w:bCs/>
          <w:sz w:val="24"/>
          <w:szCs w:val="24"/>
        </w:rPr>
      </w:pPr>
    </w:p>
    <w:p>
      <w:pPr>
        <w:pStyle w:val="4"/>
        <w:ind w:firstLine="482"/>
        <w:jc w:val="center"/>
        <w:rPr>
          <w:rFonts w:ascii="仿宋" w:hAnsi="仿宋" w:eastAsia="仿宋" w:cs="宋体"/>
          <w:b w:val="0"/>
          <w:sz w:val="32"/>
        </w:rPr>
      </w:pPr>
      <w:r>
        <w:rPr>
          <w:rFonts w:hint="eastAsia" w:ascii="仿宋" w:hAnsi="仿宋" w:eastAsia="仿宋" w:cs="宋体"/>
          <w:b w:val="0"/>
          <w:bCs w:val="0"/>
          <w:szCs w:val="21"/>
        </w:rPr>
        <w:t>（一）</w:t>
      </w:r>
      <w:bookmarkStart w:id="295" w:name="_Toc17545"/>
      <w:bookmarkStart w:id="296" w:name="_Toc462996697"/>
      <w:bookmarkStart w:id="297" w:name="_Toc461580705"/>
      <w:bookmarkStart w:id="298" w:name="_Toc24518"/>
      <w:bookmarkStart w:id="299" w:name="_Toc26130"/>
      <w:bookmarkStart w:id="300" w:name="_Toc460777790"/>
      <w:bookmarkStart w:id="301" w:name="_Toc462932663"/>
      <w:r>
        <w:rPr>
          <w:rFonts w:hint="eastAsia" w:ascii="仿宋" w:hAnsi="仿宋" w:eastAsia="仿宋" w:cs="宋体"/>
          <w:b w:val="0"/>
          <w:bCs w:val="0"/>
          <w:szCs w:val="21"/>
        </w:rPr>
        <w:t>资格条件确认函</w:t>
      </w:r>
      <w:bookmarkEnd w:id="295"/>
      <w:bookmarkEnd w:id="296"/>
      <w:bookmarkEnd w:id="297"/>
      <w:bookmarkEnd w:id="298"/>
      <w:bookmarkEnd w:id="299"/>
      <w:bookmarkEnd w:id="300"/>
      <w:bookmarkEnd w:id="301"/>
    </w:p>
    <w:p>
      <w:pPr>
        <w:pStyle w:val="277"/>
        <w:ind w:firstLine="0" w:firstLineChars="0"/>
        <w:rPr>
          <w:rFonts w:ascii="仿宋" w:hAnsi="仿宋" w:eastAsia="仿宋" w:cs="宋体"/>
          <w:sz w:val="24"/>
          <w:szCs w:val="24"/>
        </w:rPr>
      </w:pPr>
      <w:r>
        <w:rPr>
          <w:rFonts w:hint="eastAsia" w:ascii="仿宋" w:hAnsi="仿宋" w:eastAsia="仿宋" w:cs="宋体"/>
          <w:sz w:val="24"/>
          <w:szCs w:val="24"/>
          <w:u w:val="single"/>
        </w:rPr>
        <w:t>致</w:t>
      </w:r>
      <w:r>
        <w:rPr>
          <w:rFonts w:ascii="仿宋" w:hAnsi="仿宋" w:eastAsia="仿宋" w:cs="宋体"/>
          <w:sz w:val="24"/>
          <w:szCs w:val="24"/>
          <w:u w:val="single"/>
        </w:rPr>
        <w:t xml:space="preserve">                </w:t>
      </w:r>
      <w:r>
        <w:rPr>
          <w:rFonts w:hint="eastAsia" w:ascii="仿宋" w:hAnsi="仿宋" w:eastAsia="仿宋" w:cs="宋体"/>
          <w:sz w:val="24"/>
          <w:szCs w:val="24"/>
          <w:u w:val="single"/>
        </w:rPr>
        <w:t>（采购人）</w:t>
      </w:r>
      <w:r>
        <w:rPr>
          <w:rFonts w:hint="eastAsia" w:ascii="仿宋" w:hAnsi="仿宋" w:eastAsia="仿宋" w:cs="宋体"/>
          <w:sz w:val="24"/>
          <w:szCs w:val="24"/>
        </w:rPr>
        <w:t>：</w:t>
      </w:r>
    </w:p>
    <w:p>
      <w:pPr>
        <w:pStyle w:val="277"/>
        <w:ind w:firstLine="480"/>
        <w:rPr>
          <w:rFonts w:ascii="仿宋" w:hAnsi="仿宋" w:eastAsia="仿宋" w:cs="宋体"/>
          <w:sz w:val="24"/>
          <w:szCs w:val="24"/>
        </w:rPr>
      </w:pPr>
      <w:r>
        <w:rPr>
          <w:rFonts w:hint="eastAsia" w:ascii="仿宋" w:hAnsi="仿宋" w:eastAsia="仿宋" w:cs="宋体"/>
          <w:sz w:val="24"/>
          <w:szCs w:val="24"/>
        </w:rPr>
        <w:t>自资格预审通过之日至投标截止日，我公司仍完全符合资格预审公告规定的所有资格条件要求，特此确认！</w:t>
      </w:r>
    </w:p>
    <w:p>
      <w:pPr>
        <w:pStyle w:val="277"/>
        <w:ind w:firstLine="480"/>
        <w:rPr>
          <w:rFonts w:ascii="仿宋" w:hAnsi="仿宋" w:eastAsia="仿宋" w:cs="宋体"/>
          <w:sz w:val="24"/>
          <w:szCs w:val="24"/>
        </w:rPr>
      </w:pPr>
      <w:r>
        <w:rPr>
          <w:rFonts w:hint="eastAsia" w:ascii="仿宋" w:hAnsi="仿宋" w:eastAsia="仿宋" w:cs="宋体"/>
          <w:sz w:val="24"/>
          <w:szCs w:val="24"/>
        </w:rPr>
        <w:t>（如果投标人资格条件相比较资格预审通过之时有任何变化的，请在此一并说明）</w:t>
      </w:r>
    </w:p>
    <w:p>
      <w:pPr>
        <w:pStyle w:val="277"/>
        <w:ind w:firstLine="480"/>
        <w:rPr>
          <w:rFonts w:ascii="仿宋" w:hAnsi="仿宋" w:eastAsia="仿宋" w:cs="宋体"/>
          <w:sz w:val="24"/>
          <w:szCs w:val="24"/>
        </w:rPr>
      </w:pPr>
    </w:p>
    <w:p>
      <w:pPr>
        <w:pStyle w:val="277"/>
        <w:ind w:firstLine="480"/>
        <w:rPr>
          <w:rFonts w:ascii="仿宋" w:hAnsi="仿宋" w:eastAsia="仿宋" w:cs="宋体"/>
          <w:sz w:val="24"/>
          <w:szCs w:val="24"/>
        </w:rPr>
      </w:pPr>
    </w:p>
    <w:p>
      <w:pPr>
        <w:rPr>
          <w:rFonts w:ascii="仿宋" w:hAnsi="仿宋" w:eastAsia="仿宋"/>
          <w:sz w:val="24"/>
          <w:szCs w:val="24"/>
        </w:rPr>
      </w:pPr>
      <w:r>
        <w:rPr>
          <w:rFonts w:hint="eastAsia" w:ascii="仿宋" w:hAnsi="仿宋" w:eastAsia="仿宋"/>
          <w:sz w:val="24"/>
          <w:szCs w:val="24"/>
        </w:rPr>
        <w:t>投标人单位：</w:t>
      </w:r>
      <w:r>
        <w:rPr>
          <w:rFonts w:ascii="仿宋" w:hAnsi="仿宋" w:eastAsia="仿宋"/>
          <w:sz w:val="24"/>
          <w:szCs w:val="24"/>
          <w:u w:val="single"/>
        </w:rPr>
        <w:t xml:space="preserve">                                  </w:t>
      </w:r>
      <w:r>
        <w:rPr>
          <w:rFonts w:hint="eastAsia" w:ascii="仿宋" w:hAnsi="仿宋" w:eastAsia="仿宋"/>
          <w:sz w:val="24"/>
          <w:szCs w:val="24"/>
        </w:rPr>
        <w:t>（盖单位公章）</w:t>
      </w:r>
    </w:p>
    <w:p>
      <w:pPr>
        <w:rPr>
          <w:rFonts w:ascii="仿宋" w:hAnsi="仿宋" w:eastAsia="仿宋"/>
          <w:sz w:val="24"/>
          <w:szCs w:val="24"/>
        </w:rPr>
      </w:pPr>
      <w:r>
        <w:rPr>
          <w:rFonts w:hint="eastAsia" w:ascii="仿宋" w:hAnsi="仿宋" w:eastAsia="仿宋"/>
          <w:sz w:val="24"/>
          <w:szCs w:val="24"/>
        </w:rPr>
        <w:t>法定代表人或其委托代理人：</w:t>
      </w:r>
      <w:r>
        <w:rPr>
          <w:rFonts w:ascii="仿宋" w:hAnsi="仿宋" w:eastAsia="仿宋"/>
          <w:sz w:val="24"/>
          <w:szCs w:val="24"/>
          <w:u w:val="single"/>
        </w:rPr>
        <w:t xml:space="preserve">                   </w:t>
      </w:r>
      <w:r>
        <w:rPr>
          <w:rFonts w:hint="eastAsia" w:ascii="仿宋" w:hAnsi="仿宋" w:eastAsia="仿宋"/>
          <w:sz w:val="24"/>
          <w:szCs w:val="24"/>
        </w:rPr>
        <w:t>（签字或盖章）</w:t>
      </w: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p>
    <w:p>
      <w:pPr>
        <w:pStyle w:val="277"/>
        <w:wordWrap w:val="0"/>
        <w:ind w:firstLine="480"/>
        <w:rPr>
          <w:rFonts w:ascii="仿宋" w:hAnsi="仿宋" w:eastAsia="仿宋" w:cs="宋体"/>
          <w:sz w:val="24"/>
          <w:szCs w:val="24"/>
        </w:rPr>
      </w:pPr>
    </w:p>
    <w:p>
      <w:pPr>
        <w:pStyle w:val="277"/>
        <w:wordWrap w:val="0"/>
        <w:ind w:firstLine="480"/>
        <w:rPr>
          <w:rFonts w:ascii="仿宋" w:hAnsi="仿宋" w:eastAsia="仿宋" w:cs="宋体"/>
          <w:sz w:val="24"/>
          <w:szCs w:val="24"/>
        </w:rPr>
      </w:pPr>
    </w:p>
    <w:p>
      <w:pPr>
        <w:pStyle w:val="277"/>
        <w:wordWrap w:val="0"/>
        <w:ind w:firstLine="482"/>
        <w:rPr>
          <w:rFonts w:ascii="仿宋" w:hAnsi="仿宋" w:eastAsia="仿宋" w:cs="宋体"/>
          <w:b/>
          <w:sz w:val="24"/>
          <w:szCs w:val="24"/>
        </w:rPr>
      </w:pPr>
      <w:r>
        <w:rPr>
          <w:rFonts w:hint="eastAsia" w:ascii="仿宋" w:hAnsi="仿宋" w:eastAsia="仿宋" w:cs="宋体"/>
          <w:b/>
          <w:sz w:val="24"/>
          <w:szCs w:val="24"/>
        </w:rPr>
        <w:t>注：如属联合体投标的，则由联合体各方按照资格预审文件要求出具确认函，并分别签字及加盖公章</w:t>
      </w:r>
    </w:p>
    <w:p>
      <w:pPr>
        <w:pStyle w:val="277"/>
        <w:wordWrap w:val="0"/>
        <w:ind w:firstLine="480"/>
        <w:rPr>
          <w:rFonts w:ascii="仿宋" w:hAnsi="仿宋" w:eastAsia="仿宋" w:cs="宋体"/>
          <w:sz w:val="24"/>
          <w:szCs w:val="24"/>
        </w:rPr>
      </w:pPr>
    </w:p>
    <w:p>
      <w:pPr>
        <w:pStyle w:val="277"/>
        <w:wordWrap w:val="0"/>
        <w:ind w:firstLine="480"/>
        <w:rPr>
          <w:rFonts w:ascii="仿宋" w:hAnsi="仿宋" w:eastAsia="仿宋" w:cs="宋体"/>
          <w:sz w:val="24"/>
          <w:szCs w:val="24"/>
        </w:rPr>
      </w:pPr>
    </w:p>
    <w:p>
      <w:pPr>
        <w:pStyle w:val="4"/>
        <w:jc w:val="center"/>
        <w:rPr>
          <w:rFonts w:ascii="宋体" w:hAnsi="宋体" w:cs="宋体"/>
          <w:b w:val="0"/>
          <w:sz w:val="32"/>
        </w:rPr>
      </w:pPr>
      <w:r>
        <w:rPr>
          <w:rFonts w:ascii="宋体" w:hAnsi="宋体"/>
          <w:b w:val="0"/>
          <w:sz w:val="24"/>
          <w:szCs w:val="24"/>
        </w:rPr>
        <w:br w:type="page"/>
      </w:r>
      <w:r>
        <w:rPr>
          <w:rFonts w:hint="eastAsia" w:ascii="宋体" w:hAnsi="宋体"/>
          <w:b w:val="0"/>
        </w:rPr>
        <w:t>（二）查询证明</w:t>
      </w:r>
    </w:p>
    <w:p>
      <w:pPr>
        <w:pStyle w:val="277"/>
        <w:wordWrap w:val="0"/>
        <w:ind w:firstLine="480"/>
        <w:rPr>
          <w:rFonts w:ascii="仿宋_GB2312"/>
          <w:bCs/>
          <w:kern w:val="0"/>
          <w:sz w:val="24"/>
        </w:rPr>
      </w:pPr>
      <w:r>
        <w:rPr>
          <w:rFonts w:hint="eastAsia" w:ascii="仿宋_GB2312"/>
          <w:bCs/>
          <w:kern w:val="0"/>
          <w:sz w:val="24"/>
        </w:rPr>
        <w:t>按照《财政部关于在政府采购活动中查询及使用信用记录有关问题的通知》（财库〔</w:t>
      </w:r>
      <w:r>
        <w:rPr>
          <w:rFonts w:ascii="仿宋_GB2312"/>
          <w:bCs/>
          <w:kern w:val="0"/>
          <w:sz w:val="24"/>
        </w:rPr>
        <w:t>2016</w:t>
      </w:r>
      <w:r>
        <w:rPr>
          <w:rFonts w:hint="eastAsia" w:ascii="仿宋_GB2312"/>
          <w:bCs/>
          <w:kern w:val="0"/>
          <w:sz w:val="24"/>
        </w:rPr>
        <w:t>〕</w:t>
      </w:r>
      <w:r>
        <w:rPr>
          <w:rFonts w:ascii="仿宋_GB2312"/>
          <w:bCs/>
          <w:kern w:val="0"/>
          <w:sz w:val="24"/>
        </w:rPr>
        <w:t>125</w:t>
      </w:r>
      <w:r>
        <w:rPr>
          <w:rFonts w:hint="eastAsia" w:ascii="仿宋_GB2312"/>
          <w:bCs/>
          <w:kern w:val="0"/>
          <w:sz w:val="24"/>
        </w:rPr>
        <w:t>号）的要求，根据开标当日“信用中国”网站（</w:t>
      </w:r>
      <w:r>
        <w:rPr>
          <w:rFonts w:ascii="仿宋_GB2312"/>
          <w:bCs/>
          <w:kern w:val="0"/>
          <w:sz w:val="24"/>
        </w:rPr>
        <w:t>www.creditchina.gov.cn</w:t>
      </w:r>
      <w:r>
        <w:rPr>
          <w:rFonts w:hint="eastAsia" w:ascii="仿宋_GB2312"/>
          <w:bCs/>
          <w:kern w:val="0"/>
          <w:sz w:val="24"/>
        </w:rPr>
        <w:t>）、中国政府采购网（</w:t>
      </w:r>
      <w:r>
        <w:rPr>
          <w:rFonts w:ascii="仿宋_GB2312"/>
          <w:bCs/>
          <w:kern w:val="0"/>
          <w:sz w:val="24"/>
        </w:rPr>
        <w:t>www.ccgp.gov.cn</w:t>
      </w:r>
      <w:r>
        <w:rPr>
          <w:rFonts w:hint="eastAsia" w:ascii="仿宋_GB2312"/>
          <w:bCs/>
          <w:kern w:val="0"/>
          <w:sz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277"/>
        <w:wordWrap w:val="0"/>
        <w:ind w:firstLine="480"/>
        <w:rPr>
          <w:rFonts w:ascii="仿宋_GB2312"/>
          <w:bCs/>
          <w:kern w:val="0"/>
          <w:sz w:val="24"/>
        </w:rPr>
      </w:pPr>
      <w:r>
        <w:rPr>
          <w:rFonts w:hint="eastAsia" w:ascii="仿宋_GB2312"/>
          <w:bCs/>
          <w:kern w:val="0"/>
          <w:sz w:val="24"/>
        </w:rPr>
        <w:t>在克拉玛依市诚信网注册备案（非本地注册企业备案信息有效期为一年，到期后需进行年度审核）。（网址：</w:t>
      </w:r>
      <w:r>
        <w:rPr>
          <w:rFonts w:ascii="仿宋_GB2312"/>
          <w:bCs/>
          <w:kern w:val="0"/>
          <w:sz w:val="24"/>
        </w:rPr>
        <w:t> </w:t>
      </w:r>
      <w:r>
        <w:fldChar w:fldCharType="begin"/>
      </w:r>
      <w:r>
        <w:instrText xml:space="preserve"> HYPERLINK "qq://txfile/" </w:instrText>
      </w:r>
      <w:r>
        <w:fldChar w:fldCharType="separate"/>
      </w:r>
      <w:r>
        <w:rPr>
          <w:rFonts w:ascii="仿宋_GB2312"/>
          <w:bCs/>
          <w:kern w:val="0"/>
          <w:sz w:val="24"/>
        </w:rPr>
        <w:t>http://cxw.klmy.gov.cn/Pages/default.aspx</w:t>
      </w:r>
      <w:r>
        <w:rPr>
          <w:rFonts w:ascii="仿宋_GB2312"/>
          <w:bCs/>
          <w:kern w:val="0"/>
          <w:sz w:val="24"/>
        </w:rPr>
        <w:fldChar w:fldCharType="end"/>
      </w:r>
      <w:r>
        <w:rPr>
          <w:rFonts w:hint="eastAsia" w:ascii="仿宋_GB2312"/>
          <w:bCs/>
          <w:kern w:val="0"/>
          <w:sz w:val="24"/>
        </w:rPr>
        <w:t>，地址：市政府</w:t>
      </w:r>
      <w:r>
        <w:rPr>
          <w:rFonts w:ascii="仿宋_GB2312"/>
          <w:bCs/>
          <w:kern w:val="0"/>
          <w:sz w:val="24"/>
        </w:rPr>
        <w:t>2</w:t>
      </w:r>
      <w:r>
        <w:rPr>
          <w:rFonts w:hint="eastAsia" w:ascii="仿宋_GB2312"/>
          <w:bCs/>
          <w:kern w:val="0"/>
          <w:sz w:val="24"/>
        </w:rPr>
        <w:t>号楼政务服务大厅</w:t>
      </w:r>
      <w:r>
        <w:rPr>
          <w:rFonts w:ascii="仿宋_GB2312"/>
          <w:bCs/>
          <w:kern w:val="0"/>
          <w:sz w:val="24"/>
        </w:rPr>
        <w:t>31/32</w:t>
      </w:r>
      <w:r>
        <w:rPr>
          <w:rFonts w:hint="eastAsia" w:ascii="仿宋_GB2312"/>
          <w:bCs/>
          <w:kern w:val="0"/>
          <w:sz w:val="24"/>
        </w:rPr>
        <w:t>号窗口，联系电话：</w:t>
      </w:r>
      <w:r>
        <w:rPr>
          <w:rFonts w:ascii="仿宋_GB2312"/>
          <w:bCs/>
          <w:kern w:val="0"/>
          <w:sz w:val="24"/>
        </w:rPr>
        <w:t>0990-6223850</w:t>
      </w:r>
      <w:r>
        <w:rPr>
          <w:rFonts w:hint="eastAsia" w:ascii="仿宋_GB2312"/>
          <w:bCs/>
          <w:kern w:val="0"/>
          <w:sz w:val="24"/>
        </w:rPr>
        <w:t>）。</w:t>
      </w:r>
      <w:r>
        <w:rPr>
          <w:rFonts w:ascii="仿宋_GB2312"/>
          <w:bCs/>
          <w:kern w:val="0"/>
          <w:sz w:val="24"/>
        </w:rPr>
        <w:t> </w:t>
      </w:r>
    </w:p>
    <w:p>
      <w:pPr>
        <w:pStyle w:val="277"/>
        <w:wordWrap w:val="0"/>
        <w:ind w:firstLine="480"/>
        <w:rPr>
          <w:rFonts w:ascii="仿宋_GB2312"/>
          <w:bCs/>
          <w:kern w:val="0"/>
          <w:sz w:val="24"/>
        </w:rPr>
      </w:pPr>
    </w:p>
    <w:p>
      <w:pPr>
        <w:pStyle w:val="277"/>
        <w:wordWrap w:val="0"/>
        <w:ind w:firstLine="480"/>
        <w:rPr>
          <w:rFonts w:ascii="仿宋_GB2312"/>
          <w:bCs/>
          <w:kern w:val="0"/>
          <w:sz w:val="24"/>
        </w:rPr>
      </w:pPr>
      <w:r>
        <w:rPr>
          <w:rFonts w:hint="eastAsia" w:ascii="仿宋_GB2312"/>
          <w:bCs/>
          <w:kern w:val="0"/>
          <w:sz w:val="24"/>
        </w:rPr>
        <w:t>查询对象包括独立投标人或联合体投标的所有成员单位。</w:t>
      </w:r>
    </w:p>
    <w:p>
      <w:pPr>
        <w:pStyle w:val="277"/>
        <w:wordWrap w:val="0"/>
        <w:ind w:firstLine="480"/>
        <w:rPr>
          <w:rFonts w:ascii="仿宋_GB2312"/>
          <w:bCs/>
          <w:kern w:val="0"/>
          <w:sz w:val="24"/>
        </w:rPr>
      </w:pPr>
      <w:r>
        <w:rPr>
          <w:rFonts w:hint="eastAsia" w:ascii="仿宋_GB2312"/>
          <w:bCs/>
          <w:kern w:val="0"/>
          <w:sz w:val="24"/>
        </w:rPr>
        <w:t>查询时间为开标日前</w:t>
      </w:r>
      <w:r>
        <w:rPr>
          <w:rFonts w:ascii="仿宋_GB2312"/>
          <w:bCs/>
          <w:kern w:val="0"/>
          <w:sz w:val="24"/>
        </w:rPr>
        <w:t>2个月以内。</w:t>
      </w:r>
    </w:p>
    <w:p>
      <w:pPr>
        <w:pStyle w:val="277"/>
        <w:wordWrap w:val="0"/>
        <w:ind w:firstLine="480"/>
        <w:rPr>
          <w:rFonts w:hAnsi="宋体" w:eastAsia="宋体" w:cs="宋体"/>
          <w:sz w:val="24"/>
        </w:rPr>
      </w:pPr>
    </w:p>
    <w:p>
      <w:pPr>
        <w:pStyle w:val="277"/>
        <w:wordWrap w:val="0"/>
        <w:ind w:firstLine="480"/>
        <w:rPr>
          <w:rFonts w:hAnsi="宋体" w:eastAsia="宋体" w:cs="宋体"/>
          <w:sz w:val="24"/>
        </w:rPr>
      </w:pPr>
    </w:p>
    <w:p>
      <w:pPr>
        <w:adjustRightInd w:val="0"/>
        <w:snapToGrid w:val="0"/>
        <w:spacing w:line="360" w:lineRule="auto"/>
        <w:ind w:firstLine="723" w:firstLineChars="200"/>
        <w:rPr>
          <w:rFonts w:ascii="仿宋_GB2312" w:eastAsia="仿宋_GB2312"/>
          <w:kern w:val="0"/>
          <w:sz w:val="24"/>
        </w:rPr>
        <w:sectPr>
          <w:type w:val="nextColumn"/>
          <w:pgSz w:w="11906" w:h="16838"/>
          <w:pgMar w:top="1701" w:right="1418" w:bottom="1701" w:left="1701" w:header="1134" w:footer="624" w:gutter="0"/>
          <w:cols w:space="720" w:num="1"/>
          <w:docGrid w:linePitch="312" w:charSpace="0"/>
        </w:sectPr>
      </w:pPr>
      <w:r>
        <w:rPr>
          <w:rFonts w:ascii="黑体" w:hAnsi="黑体" w:eastAsia="黑体"/>
          <w:b/>
          <w:sz w:val="36"/>
          <w:szCs w:val="36"/>
        </w:rPr>
        <w:br w:type="page"/>
      </w:r>
    </w:p>
    <w:p>
      <w:pPr>
        <w:pStyle w:val="3"/>
        <w:keepLines w:val="0"/>
        <w:numPr>
          <w:ilvl w:val="0"/>
          <w:numId w:val="0"/>
        </w:numPr>
        <w:tabs>
          <w:tab w:val="left" w:pos="0"/>
          <w:tab w:val="left" w:pos="540"/>
        </w:tabs>
        <w:spacing w:before="120" w:beforeLines="50" w:line="360" w:lineRule="exact"/>
        <w:jc w:val="center"/>
        <w:rPr>
          <w:rFonts w:ascii="仿宋_GB2312"/>
          <w:szCs w:val="24"/>
        </w:rPr>
      </w:pPr>
      <w:bookmarkStart w:id="302" w:name="_Toc429862242"/>
      <w:bookmarkStart w:id="303" w:name="_Toc429604241"/>
      <w:bookmarkStart w:id="304" w:name="_Toc429602600"/>
      <w:bookmarkStart w:id="305" w:name="_Toc481542904"/>
      <w:r>
        <w:rPr>
          <w:rFonts w:hint="eastAsia" w:ascii="仿宋_GB2312"/>
          <w:szCs w:val="24"/>
        </w:rPr>
        <w:t>附件</w:t>
      </w:r>
      <w:r>
        <w:rPr>
          <w:rFonts w:ascii="仿宋_GB2312"/>
          <w:szCs w:val="24"/>
        </w:rPr>
        <w:t xml:space="preserve">5 </w:t>
      </w:r>
      <w:r>
        <w:rPr>
          <w:rFonts w:hint="eastAsia" w:ascii="仿宋_GB2312"/>
          <w:szCs w:val="24"/>
        </w:rPr>
        <w:t>授权委托书</w:t>
      </w:r>
      <w:bookmarkEnd w:id="302"/>
      <w:bookmarkEnd w:id="303"/>
      <w:bookmarkEnd w:id="304"/>
      <w:bookmarkEnd w:id="305"/>
    </w:p>
    <w:p>
      <w:pPr>
        <w:adjustRightInd w:val="0"/>
        <w:snapToGrid w:val="0"/>
        <w:spacing w:line="360" w:lineRule="auto"/>
        <w:rPr>
          <w:rFonts w:ascii="仿宋_GB2312" w:eastAsia="仿宋_GB2312"/>
          <w:bCs/>
          <w:sz w:val="24"/>
        </w:rPr>
      </w:pPr>
    </w:p>
    <w:p>
      <w:pPr>
        <w:adjustRightInd w:val="0"/>
        <w:snapToGrid w:val="0"/>
        <w:spacing w:before="120" w:beforeLines="50" w:line="360" w:lineRule="auto"/>
        <w:rPr>
          <w:rFonts w:ascii="仿宋_GB2312" w:eastAsia="仿宋_GB2312"/>
          <w:sz w:val="24"/>
        </w:rPr>
      </w:pPr>
    </w:p>
    <w:p>
      <w:pPr>
        <w:autoSpaceDE w:val="0"/>
        <w:autoSpaceDN w:val="0"/>
        <w:adjustRightInd w:val="0"/>
        <w:snapToGrid w:val="0"/>
        <w:spacing w:before="120" w:beforeLines="50" w:line="360" w:lineRule="auto"/>
        <w:ind w:firstLine="480" w:firstLineChars="200"/>
        <w:jc w:val="left"/>
        <w:rPr>
          <w:rFonts w:ascii="仿宋_GB2312" w:eastAsia="仿宋_GB2312"/>
          <w:kern w:val="0"/>
          <w:sz w:val="24"/>
        </w:rPr>
      </w:pPr>
      <w:r>
        <w:rPr>
          <w:rFonts w:hint="eastAsia" w:ascii="仿宋_GB2312" w:eastAsia="仿宋_GB2312"/>
          <w:kern w:val="0"/>
          <w:sz w:val="24"/>
        </w:rPr>
        <w:t>本人</w:t>
      </w:r>
      <w:r>
        <w:rPr>
          <w:rFonts w:ascii="仿宋_GB2312" w:eastAsia="仿宋_GB2312"/>
          <w:kern w:val="0"/>
          <w:sz w:val="24"/>
          <w:u w:val="single"/>
        </w:rPr>
        <w:t xml:space="preserve">          </w:t>
      </w:r>
      <w:r>
        <w:rPr>
          <w:rFonts w:hint="eastAsia" w:ascii="仿宋_GB2312" w:eastAsia="仿宋_GB2312"/>
          <w:kern w:val="0"/>
          <w:sz w:val="24"/>
        </w:rPr>
        <w:t>（姓名、职务）系</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w:t>
      </w:r>
      <w:r>
        <w:rPr>
          <w:rFonts w:hint="eastAsia" w:ascii="仿宋_GB2312" w:eastAsia="仿宋_GB2312"/>
          <w:sz w:val="24"/>
        </w:rPr>
        <w:t>投标人</w:t>
      </w:r>
      <w:r>
        <w:rPr>
          <w:rFonts w:hint="eastAsia" w:ascii="仿宋_GB2312" w:eastAsia="仿宋_GB2312"/>
          <w:kern w:val="0"/>
          <w:sz w:val="24"/>
        </w:rPr>
        <w:t>名称）的法定代表人，现授权</w:t>
      </w:r>
      <w:r>
        <w:rPr>
          <w:rFonts w:ascii="仿宋_GB2312" w:eastAsia="仿宋_GB2312"/>
          <w:kern w:val="0"/>
          <w:sz w:val="24"/>
          <w:u w:val="single"/>
        </w:rPr>
        <w:t xml:space="preserve">          </w:t>
      </w:r>
      <w:r>
        <w:rPr>
          <w:rFonts w:hint="eastAsia" w:ascii="仿宋_GB2312" w:eastAsia="仿宋_GB2312"/>
          <w:kern w:val="0"/>
          <w:sz w:val="24"/>
        </w:rPr>
        <w:t>（姓名、职务）为我方代理人。代理人根据授权，以我方名义签署、澄清、说明、补正、递交、撤回、修改</w:t>
      </w:r>
      <w:r>
        <w:rPr>
          <w:rFonts w:ascii="仿宋_GB2312" w:eastAsia="仿宋_GB2312"/>
          <w:kern w:val="0"/>
          <w:sz w:val="24"/>
          <w:u w:val="single"/>
        </w:rPr>
        <w:t xml:space="preserve">                     </w:t>
      </w:r>
      <w:r>
        <w:rPr>
          <w:rFonts w:hint="eastAsia" w:ascii="仿宋_GB2312" w:eastAsia="仿宋_GB2312"/>
          <w:kern w:val="0"/>
          <w:sz w:val="24"/>
        </w:rPr>
        <w:t>（项目名称、采购代理编号）投标文件、签订合同和处理有关事宜，其法律后果由我方承担。</w:t>
      </w:r>
    </w:p>
    <w:p>
      <w:pPr>
        <w:autoSpaceDE w:val="0"/>
        <w:autoSpaceDN w:val="0"/>
        <w:adjustRightInd w:val="0"/>
        <w:snapToGrid w:val="0"/>
        <w:spacing w:before="120" w:beforeLines="50" w:line="360" w:lineRule="auto"/>
        <w:ind w:firstLine="480" w:firstLineChars="200"/>
        <w:jc w:val="left"/>
        <w:rPr>
          <w:rFonts w:ascii="仿宋_GB2312" w:eastAsia="仿宋_GB2312"/>
          <w:kern w:val="0"/>
          <w:sz w:val="24"/>
        </w:rPr>
      </w:pPr>
      <w:r>
        <w:rPr>
          <w:rFonts w:hint="eastAsia" w:ascii="仿宋_GB2312" w:eastAsia="仿宋_GB2312"/>
          <w:kern w:val="0"/>
          <w:sz w:val="24"/>
        </w:rPr>
        <w:t>委托期限：</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w:t>
      </w:r>
    </w:p>
    <w:p>
      <w:pPr>
        <w:adjustRightInd w:val="0"/>
        <w:snapToGrid w:val="0"/>
        <w:spacing w:before="120" w:beforeLines="50" w:line="360" w:lineRule="auto"/>
        <w:ind w:firstLine="435"/>
        <w:rPr>
          <w:rFonts w:ascii="仿宋_GB2312" w:eastAsia="仿宋_GB2312"/>
          <w:kern w:val="0"/>
          <w:sz w:val="24"/>
        </w:rPr>
      </w:pPr>
      <w:r>
        <w:rPr>
          <w:rFonts w:hint="eastAsia" w:ascii="仿宋_GB2312" w:eastAsia="仿宋_GB2312"/>
          <w:kern w:val="0"/>
          <w:sz w:val="24"/>
        </w:rPr>
        <w:t>代理人无转委托权。</w:t>
      </w:r>
    </w:p>
    <w:p>
      <w:pPr>
        <w:adjustRightInd w:val="0"/>
        <w:snapToGrid w:val="0"/>
        <w:spacing w:before="120" w:beforeLines="50" w:line="360" w:lineRule="auto"/>
        <w:ind w:firstLine="435"/>
        <w:rPr>
          <w:rFonts w:ascii="仿宋_GB2312" w:eastAsia="仿宋_GB2312"/>
          <w:sz w:val="24"/>
        </w:rPr>
      </w:pPr>
      <w:r>
        <w:rPr>
          <w:rFonts w:hint="eastAsia" w:ascii="仿宋_GB2312" w:eastAsia="仿宋_GB2312"/>
          <w:sz w:val="24"/>
        </w:rPr>
        <w:t>本授权书于</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日签字生效，特此声明。</w:t>
      </w:r>
    </w:p>
    <w:p>
      <w:pPr>
        <w:adjustRightInd w:val="0"/>
        <w:snapToGrid w:val="0"/>
        <w:spacing w:before="120" w:beforeLines="50" w:line="360" w:lineRule="auto"/>
        <w:ind w:firstLine="480" w:firstLineChars="200"/>
        <w:rPr>
          <w:rFonts w:ascii="仿宋_GB2312" w:eastAsia="仿宋_GB2312"/>
          <w:sz w:val="24"/>
        </w:rPr>
      </w:pPr>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120" w:beforeLines="50" w:line="360" w:lineRule="auto"/>
              <w:jc w:val="center"/>
              <w:rPr>
                <w:rFonts w:ascii="仿宋_GB2312" w:eastAsia="仿宋_GB2312"/>
                <w:sz w:val="24"/>
              </w:rPr>
            </w:pPr>
            <w:r>
              <w:rPr>
                <w:rFonts w:hint="eastAsia" w:ascii="仿宋_GB2312" w:eastAsia="仿宋_GB2312"/>
                <w:sz w:val="24"/>
              </w:rPr>
              <w:t>委托代理人身份证复印件</w:t>
            </w:r>
          </w:p>
        </w:tc>
      </w:tr>
    </w:tbl>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附：法定代表人身份证明</w:t>
      </w:r>
    </w:p>
    <w:p>
      <w:pPr>
        <w:adjustRightInd w:val="0"/>
        <w:snapToGrid w:val="0"/>
        <w:spacing w:before="120" w:beforeLines="50" w:line="360" w:lineRule="auto"/>
        <w:ind w:firstLine="480" w:firstLineChars="200"/>
        <w:rPr>
          <w:rFonts w:ascii="仿宋_GB2312" w:eastAsia="仿宋_GB2312"/>
          <w:sz w:val="24"/>
        </w:rPr>
      </w:pPr>
    </w:p>
    <w:p>
      <w:pPr>
        <w:adjustRightInd w:val="0"/>
        <w:snapToGrid w:val="0"/>
        <w:spacing w:before="120" w:beforeLines="50" w:line="360" w:lineRule="auto"/>
        <w:ind w:firstLine="480" w:firstLineChars="200"/>
        <w:rPr>
          <w:rFonts w:ascii="仿宋_GB2312" w:eastAsia="仿宋_GB2312"/>
          <w:sz w:val="24"/>
        </w:rPr>
      </w:pPr>
    </w:p>
    <w:p>
      <w:pPr>
        <w:adjustRightInd w:val="0"/>
        <w:snapToGrid w:val="0"/>
        <w:spacing w:before="120" w:beforeLines="50" w:line="360" w:lineRule="auto"/>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before="120" w:beforeLines="50" w:line="360" w:lineRule="auto"/>
        <w:ind w:right="420"/>
        <w:rPr>
          <w:rFonts w:ascii="仿宋_GB2312" w:eastAsia="仿宋_GB2312"/>
          <w:sz w:val="24"/>
        </w:rPr>
      </w:pPr>
      <w:r>
        <w:rPr>
          <w:rFonts w:hint="eastAsia" w:ascii="仿宋_GB2312" w:eastAsia="仿宋_GB2312"/>
          <w:sz w:val="24"/>
        </w:rPr>
        <w:t>法定代表人（签字）：</w:t>
      </w:r>
      <w:r>
        <w:rPr>
          <w:rFonts w:ascii="仿宋_GB2312" w:eastAsia="仿宋_GB2312"/>
          <w:sz w:val="24"/>
          <w:u w:val="single"/>
        </w:rPr>
        <w:t xml:space="preserve">                     </w:t>
      </w:r>
    </w:p>
    <w:p>
      <w:pPr>
        <w:adjustRightInd w:val="0"/>
        <w:snapToGrid w:val="0"/>
        <w:spacing w:before="120" w:beforeLines="50" w:line="360" w:lineRule="auto"/>
        <w:ind w:right="420"/>
        <w:rPr>
          <w:rFonts w:ascii="仿宋_GB2312" w:eastAsia="仿宋_GB2312"/>
          <w:sz w:val="24"/>
        </w:rPr>
      </w:pPr>
      <w:r>
        <w:rPr>
          <w:rFonts w:hint="eastAsia" w:ascii="仿宋_GB2312" w:eastAsia="仿宋_GB2312"/>
          <w:sz w:val="24"/>
        </w:rPr>
        <w:t>委托代理人（签字）：</w:t>
      </w:r>
      <w:r>
        <w:rPr>
          <w:rFonts w:ascii="仿宋_GB2312" w:eastAsia="仿宋_GB2312"/>
          <w:sz w:val="24"/>
          <w:u w:val="single"/>
        </w:rPr>
        <w:t xml:space="preserve">                     </w:t>
      </w:r>
    </w:p>
    <w:p>
      <w:pPr>
        <w:adjustRightInd w:val="0"/>
        <w:snapToGrid w:val="0"/>
        <w:spacing w:before="120" w:beforeLines="50" w:line="360" w:lineRule="auto"/>
        <w:ind w:right="420"/>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pStyle w:val="3"/>
        <w:keepLines w:val="0"/>
        <w:numPr>
          <w:ilvl w:val="0"/>
          <w:numId w:val="0"/>
        </w:numPr>
        <w:tabs>
          <w:tab w:val="left" w:pos="0"/>
          <w:tab w:val="left" w:pos="540"/>
        </w:tabs>
        <w:spacing w:before="120" w:beforeLines="50" w:line="360" w:lineRule="exact"/>
        <w:jc w:val="center"/>
        <w:rPr>
          <w:rFonts w:ascii="仿宋_GB2312"/>
          <w:szCs w:val="24"/>
        </w:rPr>
      </w:pPr>
      <w:r>
        <w:rPr>
          <w:sz w:val="24"/>
        </w:rPr>
        <w:br w:type="page"/>
      </w:r>
      <w:bookmarkStart w:id="306" w:name="_Toc429862243"/>
      <w:bookmarkStart w:id="307" w:name="_Toc429602601"/>
      <w:bookmarkStart w:id="308" w:name="_Toc429604242"/>
      <w:bookmarkStart w:id="309" w:name="_Toc481542905"/>
      <w:r>
        <w:rPr>
          <w:rFonts w:hint="eastAsia" w:ascii="仿宋_GB2312"/>
          <w:szCs w:val="24"/>
        </w:rPr>
        <w:t>附件</w:t>
      </w:r>
      <w:r>
        <w:rPr>
          <w:rFonts w:ascii="仿宋_GB2312"/>
          <w:szCs w:val="24"/>
        </w:rPr>
        <w:t xml:space="preserve">6 </w:t>
      </w:r>
      <w:r>
        <w:rPr>
          <w:rFonts w:hint="eastAsia" w:ascii="仿宋_GB2312"/>
          <w:szCs w:val="24"/>
        </w:rPr>
        <w:t>法定代表人身份证明</w:t>
      </w:r>
      <w:bookmarkEnd w:id="306"/>
      <w:bookmarkEnd w:id="307"/>
      <w:bookmarkEnd w:id="308"/>
      <w:bookmarkEnd w:id="309"/>
    </w:p>
    <w:bookmarkEnd w:id="293"/>
    <w:bookmarkEnd w:id="294"/>
    <w:p>
      <w:pPr>
        <w:adjustRightInd w:val="0"/>
        <w:snapToGrid w:val="0"/>
        <w:spacing w:before="120" w:beforeLines="50" w:line="360" w:lineRule="auto"/>
        <w:rPr>
          <w:rFonts w:ascii="仿宋_GB2312" w:eastAsia="仿宋_GB2312"/>
          <w:sz w:val="24"/>
        </w:rPr>
      </w:pP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sz w:val="24"/>
        </w:rPr>
        <w:t>投标人</w:t>
      </w:r>
      <w:r>
        <w:rPr>
          <w:rFonts w:hint="eastAsia" w:ascii="仿宋_GB2312" w:eastAsia="仿宋_GB2312"/>
          <w:kern w:val="0"/>
          <w:sz w:val="24"/>
        </w:rPr>
        <w:t>名称：</w:t>
      </w:r>
      <w:r>
        <w:rPr>
          <w:rFonts w:ascii="仿宋_GB2312" w:eastAsia="仿宋_GB2312"/>
          <w:kern w:val="0"/>
          <w:sz w:val="24"/>
          <w:u w:val="single"/>
        </w:rPr>
        <w:t xml:space="preserve">                  </w:t>
      </w:r>
      <w:r>
        <w:rPr>
          <w:rFonts w:ascii="仿宋_GB2312" w:eastAsia="仿宋_GB2312"/>
          <w:kern w:val="0"/>
          <w:sz w:val="24"/>
        </w:rPr>
        <w:t xml:space="preserve"> </w:t>
      </w: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kern w:val="0"/>
          <w:sz w:val="24"/>
        </w:rPr>
        <w:t>注册号：</w:t>
      </w:r>
      <w:r>
        <w:rPr>
          <w:rFonts w:ascii="仿宋_GB2312" w:eastAsia="仿宋_GB2312"/>
          <w:kern w:val="0"/>
          <w:sz w:val="24"/>
          <w:u w:val="single"/>
        </w:rPr>
        <w:t xml:space="preserve">                  </w:t>
      </w: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kern w:val="0"/>
          <w:sz w:val="24"/>
        </w:rPr>
        <w:t>注册地址：</w:t>
      </w:r>
      <w:r>
        <w:rPr>
          <w:rFonts w:ascii="仿宋_GB2312" w:eastAsia="仿宋_GB2312"/>
          <w:kern w:val="0"/>
          <w:sz w:val="24"/>
          <w:u w:val="single"/>
        </w:rPr>
        <w:t xml:space="preserve">                                    </w:t>
      </w: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kern w:val="0"/>
          <w:sz w:val="24"/>
        </w:rPr>
        <w:t>成立时间：</w:t>
      </w:r>
      <w:r>
        <w:rPr>
          <w:rFonts w:ascii="仿宋_GB2312" w:eastAsia="仿宋_GB2312"/>
          <w:kern w:val="0"/>
          <w:sz w:val="24"/>
        </w:rPr>
        <w:t xml:space="preserve"> </w:t>
      </w:r>
      <w:r>
        <w:rPr>
          <w:rFonts w:ascii="仿宋_GB2312" w:eastAsia="仿宋_GB2312"/>
          <w:kern w:val="0"/>
          <w:sz w:val="24"/>
          <w:u w:val="single"/>
        </w:rPr>
        <w:t xml:space="preserve">       </w:t>
      </w:r>
      <w:r>
        <w:rPr>
          <w:rFonts w:hint="eastAsia" w:ascii="仿宋_GB2312" w:eastAsia="仿宋_GB2312"/>
          <w:kern w:val="0"/>
          <w:sz w:val="24"/>
        </w:rPr>
        <w:t>年</w:t>
      </w:r>
      <w:r>
        <w:rPr>
          <w:rFonts w:ascii="仿宋_GB2312" w:eastAsia="仿宋_GB2312"/>
          <w:kern w:val="0"/>
          <w:sz w:val="24"/>
        </w:rPr>
        <w:t xml:space="preserve"> </w:t>
      </w:r>
      <w:r>
        <w:rPr>
          <w:rFonts w:ascii="仿宋_GB2312" w:eastAsia="仿宋_GB2312"/>
          <w:kern w:val="0"/>
          <w:sz w:val="24"/>
          <w:u w:val="single"/>
        </w:rPr>
        <w:t xml:space="preserve">     </w:t>
      </w:r>
      <w:r>
        <w:rPr>
          <w:rFonts w:hint="eastAsia" w:ascii="仿宋_GB2312" w:eastAsia="仿宋_GB2312"/>
          <w:kern w:val="0"/>
          <w:sz w:val="24"/>
        </w:rPr>
        <w:t>月</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日</w:t>
      </w:r>
    </w:p>
    <w:p>
      <w:pPr>
        <w:autoSpaceDE w:val="0"/>
        <w:autoSpaceDN w:val="0"/>
        <w:adjustRightInd w:val="0"/>
        <w:snapToGrid w:val="0"/>
        <w:spacing w:before="120" w:beforeLines="50" w:line="360" w:lineRule="auto"/>
        <w:jc w:val="left"/>
        <w:rPr>
          <w:rFonts w:ascii="仿宋_GB2312" w:eastAsia="仿宋_GB2312"/>
          <w:kern w:val="0"/>
          <w:sz w:val="24"/>
          <w:u w:val="single"/>
        </w:rPr>
      </w:pPr>
      <w:r>
        <w:rPr>
          <w:rFonts w:hint="eastAsia" w:ascii="仿宋_GB2312" w:eastAsia="仿宋_GB2312"/>
          <w:kern w:val="0"/>
          <w:sz w:val="24"/>
        </w:rPr>
        <w:t>经营期限：</w:t>
      </w:r>
      <w:r>
        <w:rPr>
          <w:rFonts w:ascii="仿宋_GB2312" w:eastAsia="仿宋_GB2312"/>
          <w:kern w:val="0"/>
          <w:sz w:val="24"/>
          <w:u w:val="single"/>
        </w:rPr>
        <w:t xml:space="preserve">                  </w:t>
      </w:r>
    </w:p>
    <w:p>
      <w:pPr>
        <w:autoSpaceDE w:val="0"/>
        <w:autoSpaceDN w:val="0"/>
        <w:adjustRightInd w:val="0"/>
        <w:snapToGrid w:val="0"/>
        <w:spacing w:before="120" w:beforeLines="50" w:line="360" w:lineRule="auto"/>
        <w:jc w:val="left"/>
        <w:rPr>
          <w:rFonts w:ascii="仿宋_GB2312" w:eastAsia="仿宋_GB2312"/>
          <w:kern w:val="0"/>
          <w:sz w:val="24"/>
          <w:u w:val="single"/>
        </w:rPr>
      </w:pPr>
      <w:r>
        <w:rPr>
          <w:rFonts w:hint="eastAsia" w:ascii="仿宋_GB2312" w:eastAsia="仿宋_GB2312"/>
          <w:kern w:val="0"/>
          <w:sz w:val="24"/>
        </w:rPr>
        <w:t>经营范围：主营：</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；兼营：</w:t>
      </w:r>
      <w:r>
        <w:rPr>
          <w:rFonts w:ascii="仿宋_GB2312" w:eastAsia="仿宋_GB2312"/>
          <w:kern w:val="0"/>
          <w:sz w:val="24"/>
          <w:u w:val="single"/>
        </w:rPr>
        <w:t xml:space="preserve">              </w:t>
      </w: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kern w:val="0"/>
          <w:sz w:val="24"/>
        </w:rPr>
        <w:t>姓名：</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性别：</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年龄：</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职务：</w:t>
      </w:r>
      <w:r>
        <w:rPr>
          <w:rFonts w:ascii="仿宋_GB2312" w:eastAsia="仿宋_GB2312"/>
          <w:kern w:val="0"/>
          <w:sz w:val="24"/>
          <w:u w:val="single"/>
        </w:rPr>
        <w:t xml:space="preserve">         </w:t>
      </w:r>
      <w:r>
        <w:rPr>
          <w:rFonts w:hint="eastAsia" w:ascii="仿宋_GB2312" w:eastAsia="仿宋_GB2312"/>
          <w:kern w:val="0"/>
          <w:sz w:val="24"/>
        </w:rPr>
        <w:t>系</w:t>
      </w:r>
      <w:r>
        <w:rPr>
          <w:rFonts w:ascii="仿宋_GB2312" w:eastAsia="仿宋_GB2312"/>
          <w:kern w:val="0"/>
          <w:sz w:val="24"/>
          <w:u w:val="single"/>
        </w:rPr>
        <w:t xml:space="preserve">          </w:t>
      </w:r>
      <w:r>
        <w:rPr>
          <w:rFonts w:ascii="仿宋_GB2312" w:eastAsia="仿宋_GB2312"/>
          <w:kern w:val="0"/>
          <w:sz w:val="24"/>
        </w:rPr>
        <w:t xml:space="preserve"> </w:t>
      </w:r>
      <w:r>
        <w:rPr>
          <w:rFonts w:hint="eastAsia" w:ascii="仿宋_GB2312" w:eastAsia="仿宋_GB2312"/>
          <w:kern w:val="0"/>
          <w:sz w:val="24"/>
        </w:rPr>
        <w:t>（</w:t>
      </w:r>
      <w:r>
        <w:rPr>
          <w:rFonts w:hint="eastAsia" w:ascii="仿宋_GB2312" w:eastAsia="仿宋_GB2312"/>
          <w:sz w:val="24"/>
        </w:rPr>
        <w:t>投标人</w:t>
      </w:r>
      <w:r>
        <w:rPr>
          <w:rFonts w:hint="eastAsia" w:ascii="仿宋_GB2312" w:eastAsia="仿宋_GB2312"/>
          <w:kern w:val="0"/>
          <w:sz w:val="24"/>
        </w:rPr>
        <w:t>名称）的法定代表人。</w:t>
      </w:r>
    </w:p>
    <w:p>
      <w:pPr>
        <w:autoSpaceDE w:val="0"/>
        <w:autoSpaceDN w:val="0"/>
        <w:adjustRightInd w:val="0"/>
        <w:snapToGrid w:val="0"/>
        <w:spacing w:before="120" w:beforeLines="50" w:line="360" w:lineRule="auto"/>
        <w:jc w:val="left"/>
        <w:rPr>
          <w:rFonts w:ascii="仿宋_GB2312" w:eastAsia="仿宋_GB2312"/>
          <w:kern w:val="0"/>
          <w:sz w:val="24"/>
        </w:rPr>
      </w:pPr>
      <w:r>
        <w:rPr>
          <w:rFonts w:hint="eastAsia" w:ascii="仿宋_GB2312" w:eastAsia="仿宋_GB2312"/>
          <w:kern w:val="0"/>
          <w:sz w:val="24"/>
        </w:rPr>
        <w:t>特此证明。</w:t>
      </w:r>
    </w:p>
    <w:p>
      <w:pPr>
        <w:autoSpaceDE w:val="0"/>
        <w:autoSpaceDN w:val="0"/>
        <w:adjustRightInd w:val="0"/>
        <w:snapToGrid w:val="0"/>
        <w:spacing w:before="120" w:beforeLines="50" w:line="360" w:lineRule="auto"/>
        <w:jc w:val="left"/>
        <w:rPr>
          <w:rFonts w:ascii="仿宋_GB2312" w:eastAsia="仿宋_GB2312"/>
          <w:kern w:val="0"/>
          <w:sz w:val="24"/>
        </w:rPr>
      </w:pPr>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6" w:hRule="atLeast"/>
        </w:trPr>
        <w:tc>
          <w:tcPr>
            <w:tcW w:w="8528" w:type="dxa"/>
            <w:vAlign w:val="center"/>
          </w:tcPr>
          <w:p>
            <w:pPr>
              <w:adjustRightInd w:val="0"/>
              <w:snapToGrid w:val="0"/>
              <w:spacing w:before="120" w:beforeLines="50" w:line="360" w:lineRule="auto"/>
              <w:jc w:val="center"/>
              <w:rPr>
                <w:rFonts w:ascii="仿宋_GB2312" w:eastAsia="仿宋_GB2312"/>
                <w:sz w:val="24"/>
              </w:rPr>
            </w:pPr>
            <w:r>
              <w:rPr>
                <w:rFonts w:hint="eastAsia" w:ascii="仿宋_GB2312" w:eastAsia="仿宋_GB2312"/>
                <w:sz w:val="24"/>
              </w:rPr>
              <w:t>法定代表人身份证复印件</w:t>
            </w:r>
          </w:p>
        </w:tc>
      </w:tr>
    </w:tbl>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ind w:right="420"/>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before="120" w:beforeLines="50" w:line="360" w:lineRule="auto"/>
        <w:ind w:right="420"/>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r>
        <w:rPr>
          <w:rFonts w:ascii="仿宋_GB2312" w:eastAsia="仿宋_GB2312"/>
          <w:sz w:val="24"/>
        </w:rPr>
        <w:t xml:space="preserve">      </w:t>
      </w:r>
      <w:bookmarkStart w:id="310" w:name="_Toc294206746"/>
      <w:bookmarkStart w:id="311" w:name="_Toc294186063"/>
    </w:p>
    <w:p>
      <w:pPr>
        <w:pStyle w:val="3"/>
        <w:keepLines w:val="0"/>
        <w:numPr>
          <w:ilvl w:val="0"/>
          <w:numId w:val="0"/>
        </w:numPr>
        <w:tabs>
          <w:tab w:val="left" w:pos="0"/>
          <w:tab w:val="left" w:pos="540"/>
        </w:tabs>
        <w:spacing w:before="120" w:beforeLines="50" w:line="360" w:lineRule="exact"/>
        <w:jc w:val="center"/>
      </w:pPr>
      <w:r>
        <w:rPr>
          <w:sz w:val="24"/>
        </w:rPr>
        <w:br w:type="page"/>
      </w:r>
      <w:bookmarkStart w:id="312" w:name="_Toc429862244"/>
      <w:bookmarkStart w:id="313" w:name="_Toc429604243"/>
      <w:bookmarkStart w:id="314" w:name="_Toc429602602"/>
      <w:bookmarkStart w:id="315" w:name="_Toc481542906"/>
      <w:r>
        <w:rPr>
          <w:rFonts w:hint="eastAsia" w:ascii="仿宋_GB2312"/>
          <w:szCs w:val="24"/>
        </w:rPr>
        <w:t>附件</w:t>
      </w:r>
      <w:r>
        <w:rPr>
          <w:rFonts w:ascii="仿宋_GB2312"/>
          <w:szCs w:val="24"/>
        </w:rPr>
        <w:t xml:space="preserve">7 </w:t>
      </w:r>
      <w:r>
        <w:rPr>
          <w:rFonts w:hint="eastAsia" w:ascii="仿宋_GB2312"/>
          <w:szCs w:val="24"/>
        </w:rPr>
        <w:t>投标人基本情况</w:t>
      </w:r>
      <w:bookmarkEnd w:id="310"/>
      <w:bookmarkEnd w:id="311"/>
      <w:bookmarkEnd w:id="312"/>
      <w:bookmarkEnd w:id="313"/>
      <w:bookmarkEnd w:id="314"/>
      <w:bookmarkEnd w:id="315"/>
    </w:p>
    <w:p>
      <w:pPr>
        <w:adjustRightInd w:val="0"/>
        <w:snapToGrid w:val="0"/>
        <w:spacing w:line="360" w:lineRule="auto"/>
        <w:rPr>
          <w:rFonts w:ascii="仿宋_GB2312" w:eastAsia="仿宋_GB2312"/>
          <w:sz w:val="24"/>
        </w:rPr>
      </w:pPr>
    </w:p>
    <w:p>
      <w:pPr>
        <w:adjustRightInd w:val="0"/>
        <w:snapToGrid w:val="0"/>
        <w:spacing w:before="120" w:beforeLines="50" w:line="360" w:lineRule="auto"/>
        <w:rPr>
          <w:rFonts w:ascii="仿宋_GB2312" w:eastAsia="仿宋_GB2312"/>
          <w:sz w:val="24"/>
        </w:rPr>
      </w:pPr>
      <w:bookmarkStart w:id="316" w:name="_Toc294186064"/>
      <w:bookmarkStart w:id="317" w:name="_Toc294206747"/>
      <w:r>
        <w:rPr>
          <w:rFonts w:ascii="仿宋_GB2312" w:eastAsia="仿宋_GB2312"/>
          <w:sz w:val="24"/>
        </w:rPr>
        <w:t>1.</w:t>
      </w:r>
      <w:r>
        <w:rPr>
          <w:rFonts w:hint="eastAsia" w:ascii="仿宋_GB2312" w:eastAsia="仿宋_GB2312"/>
          <w:sz w:val="24"/>
        </w:rPr>
        <w:t>名称及概况：</w:t>
      </w:r>
    </w:p>
    <w:p>
      <w:pPr>
        <w:adjustRightInd w:val="0"/>
        <w:snapToGrid w:val="0"/>
        <w:spacing w:before="120" w:beforeLines="50" w:line="360" w:lineRule="auto"/>
        <w:ind w:firstLine="360" w:firstLineChars="150"/>
        <w:rPr>
          <w:rFonts w:ascii="仿宋_GB2312" w:eastAsia="仿宋_GB2312"/>
          <w:sz w:val="24"/>
        </w:rPr>
      </w:pPr>
      <w:r>
        <w:rPr>
          <w:rFonts w:ascii="仿宋_GB2312" w:eastAsia="仿宋_GB2312"/>
          <w:sz w:val="24"/>
        </w:rPr>
        <w:t xml:space="preserve">(1) </w:t>
      </w:r>
      <w:r>
        <w:rPr>
          <w:rFonts w:hint="eastAsia" w:ascii="仿宋_GB2312" w:eastAsia="仿宋_GB2312"/>
          <w:sz w:val="24"/>
        </w:rPr>
        <w:t>申请人名称：</w:t>
      </w:r>
      <w:r>
        <w:rPr>
          <w:rFonts w:ascii="仿宋_GB2312" w:eastAsia="仿宋_GB2312"/>
          <w:sz w:val="24"/>
          <w:u w:val="single"/>
        </w:rPr>
        <w:t xml:space="preserve">                                                    </w:t>
      </w:r>
    </w:p>
    <w:p>
      <w:pPr>
        <w:adjustRightInd w:val="0"/>
        <w:snapToGrid w:val="0"/>
        <w:spacing w:before="120" w:beforeLines="50" w:line="360" w:lineRule="auto"/>
        <w:ind w:firstLine="1560" w:firstLineChars="650"/>
        <w:rPr>
          <w:rFonts w:ascii="仿宋_GB2312" w:eastAsia="仿宋_GB2312"/>
          <w:sz w:val="24"/>
          <w:u w:val="single"/>
        </w:rPr>
      </w:pPr>
      <w:r>
        <w:rPr>
          <w:rFonts w:hint="eastAsia" w:ascii="仿宋_GB2312" w:eastAsia="仿宋_GB2312"/>
          <w:sz w:val="24"/>
        </w:rPr>
        <w:t>地址：</w:t>
      </w:r>
      <w:r>
        <w:rPr>
          <w:rFonts w:ascii="仿宋_GB2312" w:eastAsia="仿宋_GB2312"/>
          <w:sz w:val="24"/>
          <w:u w:val="single"/>
        </w:rPr>
        <w:t xml:space="preserve">                                                     </w:t>
      </w:r>
    </w:p>
    <w:p>
      <w:pPr>
        <w:adjustRightInd w:val="0"/>
        <w:snapToGrid w:val="0"/>
        <w:spacing w:before="120" w:beforeLines="50" w:line="360" w:lineRule="auto"/>
        <w:ind w:firstLine="1560" w:firstLineChars="650"/>
        <w:rPr>
          <w:rFonts w:ascii="仿宋_GB2312" w:eastAsia="仿宋_GB2312"/>
          <w:sz w:val="24"/>
        </w:rPr>
      </w:pPr>
      <w:r>
        <w:rPr>
          <w:rFonts w:hint="eastAsia" w:ascii="仿宋_GB2312" w:eastAsia="仿宋_GB2312"/>
          <w:sz w:val="24"/>
        </w:rPr>
        <w:t>传真</w:t>
      </w:r>
      <w:r>
        <w:rPr>
          <w:rFonts w:ascii="仿宋_GB2312" w:eastAsia="仿宋_GB2312"/>
          <w:sz w:val="24"/>
        </w:rPr>
        <w:t>/</w:t>
      </w:r>
      <w:r>
        <w:rPr>
          <w:rFonts w:hint="eastAsia" w:ascii="仿宋_GB2312" w:eastAsia="仿宋_GB2312"/>
          <w:sz w:val="24"/>
        </w:rPr>
        <w:t>电话号码：</w:t>
      </w:r>
      <w:r>
        <w:rPr>
          <w:rFonts w:ascii="仿宋_GB2312" w:eastAsia="仿宋_GB2312"/>
          <w:sz w:val="24"/>
          <w:u w:val="single"/>
        </w:rPr>
        <w:t xml:space="preserve">                    </w:t>
      </w:r>
      <w:r>
        <w:rPr>
          <w:rFonts w:hint="eastAsia" w:ascii="仿宋_GB2312" w:eastAsia="仿宋_GB2312"/>
          <w:sz w:val="24"/>
        </w:rPr>
        <w:t>邮政编码：</w:t>
      </w:r>
      <w:r>
        <w:rPr>
          <w:rFonts w:ascii="仿宋_GB2312" w:eastAsia="仿宋_GB2312"/>
          <w:sz w:val="24"/>
          <w:u w:val="single"/>
        </w:rPr>
        <w:t xml:space="preserve">              </w:t>
      </w:r>
    </w:p>
    <w:p>
      <w:pPr>
        <w:adjustRightInd w:val="0"/>
        <w:snapToGrid w:val="0"/>
        <w:spacing w:before="120" w:beforeLines="50" w:line="360" w:lineRule="auto"/>
        <w:ind w:firstLine="480" w:firstLineChars="200"/>
        <w:rPr>
          <w:rFonts w:ascii="仿宋_GB2312" w:eastAsia="仿宋_GB2312"/>
          <w:sz w:val="24"/>
          <w:u w:val="single"/>
        </w:rPr>
      </w:pPr>
      <w:r>
        <w:rPr>
          <w:rFonts w:ascii="仿宋_GB2312" w:eastAsia="仿宋_GB2312"/>
          <w:sz w:val="24"/>
        </w:rPr>
        <w:t xml:space="preserve">(2) </w:t>
      </w:r>
      <w:r>
        <w:rPr>
          <w:rFonts w:hint="eastAsia" w:ascii="仿宋_GB2312" w:eastAsia="仿宋_GB2312"/>
          <w:sz w:val="24"/>
        </w:rPr>
        <w:t>成立和注册日期：</w:t>
      </w:r>
      <w:r>
        <w:rPr>
          <w:rFonts w:ascii="仿宋_GB2312" w:eastAsia="仿宋_GB2312"/>
          <w:sz w:val="24"/>
          <w:u w:val="single"/>
        </w:rPr>
        <w:t xml:space="preserve">                                        </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 xml:space="preserve">(3) </w:t>
      </w:r>
      <w:r>
        <w:rPr>
          <w:rFonts w:hint="eastAsia" w:ascii="仿宋_GB2312" w:eastAsia="仿宋_GB2312"/>
          <w:sz w:val="24"/>
        </w:rPr>
        <w:t>注册号码：</w:t>
      </w:r>
      <w:r>
        <w:rPr>
          <w:rFonts w:ascii="仿宋_GB2312" w:eastAsia="仿宋_GB2312"/>
          <w:sz w:val="24"/>
          <w:u w:val="single"/>
        </w:rPr>
        <w:t xml:space="preserve">                                       </w:t>
      </w:r>
    </w:p>
    <w:p>
      <w:pPr>
        <w:adjustRightInd w:val="0"/>
        <w:snapToGrid w:val="0"/>
        <w:spacing w:before="120" w:beforeLines="50" w:line="360" w:lineRule="auto"/>
        <w:ind w:firstLine="480" w:firstLineChars="200"/>
        <w:rPr>
          <w:rFonts w:ascii="仿宋_GB2312" w:eastAsia="仿宋_GB2312"/>
          <w:sz w:val="24"/>
          <w:u w:val="single"/>
        </w:rPr>
      </w:pPr>
      <w:r>
        <w:rPr>
          <w:rFonts w:ascii="仿宋_GB2312" w:eastAsia="仿宋_GB2312"/>
          <w:sz w:val="24"/>
        </w:rPr>
        <w:t xml:space="preserve">(4) </w:t>
      </w:r>
      <w:r>
        <w:rPr>
          <w:rFonts w:hint="eastAsia" w:ascii="仿宋_GB2312" w:eastAsia="仿宋_GB2312"/>
          <w:sz w:val="24"/>
        </w:rPr>
        <w:t>实收资本：</w:t>
      </w:r>
      <w:r>
        <w:rPr>
          <w:rFonts w:ascii="仿宋_GB2312" w:eastAsia="仿宋_GB2312"/>
          <w:sz w:val="24"/>
          <w:u w:val="single"/>
        </w:rPr>
        <w:t xml:space="preserve">                                                      </w:t>
      </w:r>
    </w:p>
    <w:p>
      <w:pPr>
        <w:adjustRightInd w:val="0"/>
        <w:snapToGrid w:val="0"/>
        <w:spacing w:before="120" w:beforeLines="50" w:line="360" w:lineRule="auto"/>
        <w:ind w:firstLine="480" w:firstLineChars="200"/>
        <w:rPr>
          <w:rFonts w:ascii="仿宋_GB2312" w:eastAsia="仿宋_GB2312"/>
          <w:sz w:val="24"/>
        </w:rPr>
      </w:pPr>
      <w:r>
        <w:rPr>
          <w:rFonts w:ascii="仿宋_GB2312" w:eastAsia="仿宋_GB2312"/>
          <w:sz w:val="24"/>
        </w:rPr>
        <w:t xml:space="preserve">(5) </w:t>
      </w:r>
      <w:r>
        <w:rPr>
          <w:rFonts w:hint="eastAsia" w:ascii="仿宋_GB2312" w:eastAsia="仿宋_GB2312"/>
          <w:sz w:val="24"/>
        </w:rPr>
        <w:t>近期资产负债表（经审计的</w:t>
      </w:r>
      <w:r>
        <w:rPr>
          <w:rFonts w:ascii="仿宋_GB2312" w:eastAsia="仿宋_GB2312"/>
          <w:sz w:val="24"/>
          <w:u w:val="single"/>
        </w:rPr>
        <w:t>2015</w:t>
      </w:r>
      <w:r>
        <w:rPr>
          <w:rFonts w:hint="eastAsia" w:ascii="仿宋_GB2312" w:eastAsia="仿宋_GB2312"/>
          <w:sz w:val="24"/>
        </w:rPr>
        <w:t>年度报表值）</w:t>
      </w:r>
    </w:p>
    <w:p>
      <w:pPr>
        <w:adjustRightInd w:val="0"/>
        <w:snapToGrid w:val="0"/>
        <w:spacing w:before="120" w:beforeLines="50" w:line="360" w:lineRule="auto"/>
        <w:ind w:firstLine="720" w:firstLineChars="300"/>
        <w:rPr>
          <w:rFonts w:ascii="仿宋_GB2312" w:eastAsia="仿宋_GB2312"/>
          <w:sz w:val="24"/>
          <w:u w:val="single"/>
        </w:rPr>
      </w:pPr>
      <w:r>
        <w:rPr>
          <w:rFonts w:hint="eastAsia" w:ascii="仿宋_GB2312" w:hAnsi="宋体" w:eastAsia="仿宋_GB2312" w:cs="宋体"/>
          <w:sz w:val="24"/>
        </w:rPr>
        <w:t>①</w:t>
      </w:r>
      <w:r>
        <w:rPr>
          <w:rFonts w:hint="eastAsia" w:ascii="仿宋_GB2312" w:eastAsia="仿宋_GB2312"/>
          <w:sz w:val="24"/>
        </w:rPr>
        <w:t>固定资产：</w:t>
      </w:r>
      <w:r>
        <w:rPr>
          <w:rFonts w:ascii="仿宋_GB2312" w:eastAsia="仿宋_GB2312"/>
          <w:sz w:val="24"/>
          <w:u w:val="single"/>
        </w:rPr>
        <w:t xml:space="preserve">                                                      </w:t>
      </w:r>
    </w:p>
    <w:p>
      <w:pPr>
        <w:adjustRightInd w:val="0"/>
        <w:snapToGrid w:val="0"/>
        <w:spacing w:before="120" w:beforeLines="50" w:line="360" w:lineRule="auto"/>
        <w:ind w:firstLine="720" w:firstLineChars="300"/>
        <w:rPr>
          <w:rFonts w:ascii="仿宋_GB2312" w:eastAsia="仿宋_GB2312"/>
          <w:sz w:val="24"/>
          <w:u w:val="single"/>
        </w:rPr>
      </w:pPr>
      <w:r>
        <w:rPr>
          <w:rFonts w:hint="eastAsia" w:ascii="仿宋_GB2312" w:hAnsi="宋体" w:eastAsia="仿宋_GB2312" w:cs="宋体"/>
          <w:sz w:val="24"/>
        </w:rPr>
        <w:t>②</w:t>
      </w:r>
      <w:r>
        <w:rPr>
          <w:rFonts w:hint="eastAsia" w:ascii="仿宋_GB2312" w:eastAsia="仿宋_GB2312"/>
          <w:sz w:val="24"/>
        </w:rPr>
        <w:t>流动资产：</w:t>
      </w:r>
      <w:r>
        <w:rPr>
          <w:rFonts w:ascii="仿宋_GB2312" w:eastAsia="仿宋_GB2312"/>
          <w:sz w:val="24"/>
          <w:u w:val="single"/>
        </w:rPr>
        <w:t xml:space="preserve">                                                      </w:t>
      </w:r>
    </w:p>
    <w:p>
      <w:pPr>
        <w:adjustRightInd w:val="0"/>
        <w:snapToGrid w:val="0"/>
        <w:spacing w:before="120" w:beforeLines="50" w:line="360" w:lineRule="auto"/>
        <w:ind w:firstLine="720" w:firstLineChars="300"/>
        <w:rPr>
          <w:rFonts w:ascii="仿宋_GB2312" w:eastAsia="仿宋_GB2312"/>
          <w:sz w:val="24"/>
          <w:u w:val="single"/>
        </w:rPr>
      </w:pPr>
      <w:r>
        <w:rPr>
          <w:rFonts w:hint="eastAsia" w:ascii="仿宋_GB2312" w:hAnsi="宋体" w:eastAsia="仿宋_GB2312" w:cs="宋体"/>
          <w:sz w:val="24"/>
        </w:rPr>
        <w:t>③</w:t>
      </w:r>
      <w:r>
        <w:rPr>
          <w:rFonts w:hint="eastAsia" w:ascii="仿宋_GB2312" w:eastAsia="仿宋_GB2312"/>
          <w:sz w:val="24"/>
        </w:rPr>
        <w:t>长期负债：</w:t>
      </w:r>
      <w:r>
        <w:rPr>
          <w:rFonts w:ascii="仿宋_GB2312" w:eastAsia="仿宋_GB2312"/>
          <w:sz w:val="24"/>
          <w:u w:val="single"/>
        </w:rPr>
        <w:t xml:space="preserve">                                                      </w:t>
      </w:r>
    </w:p>
    <w:p>
      <w:pPr>
        <w:adjustRightInd w:val="0"/>
        <w:snapToGrid w:val="0"/>
        <w:spacing w:before="120" w:beforeLines="50" w:line="360" w:lineRule="auto"/>
        <w:ind w:firstLine="720" w:firstLineChars="300"/>
        <w:rPr>
          <w:rFonts w:ascii="仿宋_GB2312" w:eastAsia="仿宋_GB2312"/>
          <w:sz w:val="24"/>
          <w:u w:val="single"/>
        </w:rPr>
      </w:pPr>
      <w:r>
        <w:rPr>
          <w:rFonts w:hint="eastAsia" w:ascii="仿宋_GB2312" w:hAnsi="宋体" w:eastAsia="仿宋_GB2312" w:cs="宋体"/>
          <w:sz w:val="24"/>
        </w:rPr>
        <w:t>④</w:t>
      </w:r>
      <w:r>
        <w:rPr>
          <w:rFonts w:hint="eastAsia" w:ascii="仿宋_GB2312" w:eastAsia="仿宋_GB2312"/>
          <w:sz w:val="24"/>
        </w:rPr>
        <w:t>流动负债：</w:t>
      </w:r>
      <w:r>
        <w:rPr>
          <w:rFonts w:ascii="仿宋_GB2312" w:eastAsia="仿宋_GB2312"/>
          <w:sz w:val="24"/>
          <w:u w:val="single"/>
        </w:rPr>
        <w:t xml:space="preserve">                                                      </w:t>
      </w:r>
    </w:p>
    <w:p>
      <w:pPr>
        <w:adjustRightInd w:val="0"/>
        <w:snapToGrid w:val="0"/>
        <w:spacing w:before="120" w:beforeLines="50" w:line="360" w:lineRule="auto"/>
        <w:ind w:firstLine="720" w:firstLineChars="300"/>
        <w:rPr>
          <w:rFonts w:ascii="仿宋_GB2312" w:eastAsia="仿宋_GB2312"/>
          <w:sz w:val="24"/>
          <w:u w:val="single"/>
        </w:rPr>
      </w:pPr>
      <w:r>
        <w:rPr>
          <w:rFonts w:hint="eastAsia" w:ascii="仿宋_GB2312" w:hAnsi="宋体" w:eastAsia="仿宋_GB2312" w:cs="宋体"/>
          <w:sz w:val="24"/>
        </w:rPr>
        <w:t>⑤</w:t>
      </w:r>
      <w:r>
        <w:rPr>
          <w:rFonts w:hint="eastAsia" w:ascii="仿宋_GB2312" w:eastAsia="仿宋_GB2312"/>
          <w:sz w:val="24"/>
        </w:rPr>
        <w:t>净值：</w:t>
      </w:r>
      <w:r>
        <w:rPr>
          <w:rFonts w:ascii="仿宋_GB2312" w:eastAsia="仿宋_GB2312"/>
          <w:sz w:val="24"/>
          <w:u w:val="single"/>
        </w:rPr>
        <w:t xml:space="preserve">                                                          </w:t>
      </w:r>
    </w:p>
    <w:p>
      <w:pPr>
        <w:adjustRightInd w:val="0"/>
        <w:snapToGrid w:val="0"/>
        <w:spacing w:before="120" w:beforeLines="50" w:line="360" w:lineRule="auto"/>
        <w:ind w:firstLine="480" w:firstLineChars="200"/>
        <w:rPr>
          <w:rFonts w:ascii="仿宋_GB2312" w:eastAsia="仿宋_GB2312"/>
          <w:sz w:val="24"/>
          <w:u w:val="single"/>
        </w:rPr>
      </w:pPr>
      <w:r>
        <w:rPr>
          <w:rFonts w:ascii="仿宋_GB2312" w:eastAsia="仿宋_GB2312"/>
          <w:sz w:val="24"/>
        </w:rPr>
        <w:t xml:space="preserve">(6) </w:t>
      </w:r>
      <w:r>
        <w:rPr>
          <w:rFonts w:hint="eastAsia" w:ascii="仿宋_GB2312" w:eastAsia="仿宋_GB2312"/>
          <w:sz w:val="24"/>
        </w:rPr>
        <w:t>法定代表人姓名：</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 xml:space="preserve">2. </w:t>
      </w:r>
      <w:r>
        <w:rPr>
          <w:rFonts w:hint="eastAsia" w:ascii="仿宋_GB2312" w:eastAsia="仿宋_GB2312"/>
          <w:sz w:val="24"/>
        </w:rPr>
        <w:t>经营范围：</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3.</w:t>
      </w:r>
      <w:r>
        <w:rPr>
          <w:rFonts w:hint="eastAsia" w:ascii="仿宋_GB2312" w:eastAsia="仿宋_GB2312"/>
          <w:sz w:val="24"/>
        </w:rPr>
        <w:t>近三年营业额：</w:t>
      </w:r>
    </w:p>
    <w:tbl>
      <w:tblPr>
        <w:tblStyle w:val="45"/>
        <w:tblW w:w="7574" w:type="dxa"/>
        <w:tblInd w:w="10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120" w:beforeLines="50" w:line="360" w:lineRule="auto"/>
              <w:jc w:val="center"/>
              <w:rPr>
                <w:rFonts w:ascii="仿宋_GB2312" w:eastAsia="仿宋_GB2312"/>
                <w:sz w:val="24"/>
              </w:rPr>
            </w:pPr>
            <w:r>
              <w:rPr>
                <w:rFonts w:hint="eastAsia" w:ascii="仿宋_GB2312" w:eastAsia="仿宋_GB2312"/>
                <w:sz w:val="24"/>
              </w:rPr>
              <w:t>年度</w:t>
            </w:r>
          </w:p>
        </w:tc>
        <w:tc>
          <w:tcPr>
            <w:tcW w:w="4874" w:type="dxa"/>
          </w:tcPr>
          <w:p>
            <w:pPr>
              <w:adjustRightInd w:val="0"/>
              <w:snapToGrid w:val="0"/>
              <w:spacing w:before="120" w:beforeLines="50" w:line="360" w:lineRule="auto"/>
              <w:jc w:val="center"/>
              <w:rPr>
                <w:rFonts w:ascii="仿宋_GB2312" w:eastAsia="仿宋_GB2312"/>
                <w:sz w:val="24"/>
              </w:rPr>
            </w:pPr>
            <w:r>
              <w:rPr>
                <w:rFonts w:hint="eastAsia" w:ascii="仿宋_GB2312" w:eastAsia="仿宋_GB2312"/>
                <w:sz w:val="24"/>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120" w:beforeLines="50" w:line="360" w:lineRule="auto"/>
              <w:rPr>
                <w:rFonts w:ascii="仿宋_GB2312" w:eastAsia="仿宋_GB2312"/>
                <w:sz w:val="24"/>
              </w:rPr>
            </w:pPr>
          </w:p>
        </w:tc>
        <w:tc>
          <w:tcPr>
            <w:tcW w:w="4874" w:type="dxa"/>
          </w:tcPr>
          <w:p>
            <w:pPr>
              <w:adjustRightInd w:val="0"/>
              <w:snapToGrid w:val="0"/>
              <w:spacing w:before="120" w:beforeLines="50" w:line="360" w:lineRule="auto"/>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120" w:beforeLines="50" w:line="360" w:lineRule="auto"/>
              <w:rPr>
                <w:rFonts w:ascii="仿宋_GB2312" w:eastAsia="仿宋_GB2312"/>
                <w:sz w:val="24"/>
              </w:rPr>
            </w:pPr>
          </w:p>
        </w:tc>
        <w:tc>
          <w:tcPr>
            <w:tcW w:w="4874" w:type="dxa"/>
          </w:tcPr>
          <w:p>
            <w:pPr>
              <w:adjustRightInd w:val="0"/>
              <w:snapToGrid w:val="0"/>
              <w:spacing w:before="120" w:beforeLines="50" w:line="360" w:lineRule="auto"/>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120" w:beforeLines="50" w:line="360" w:lineRule="auto"/>
              <w:rPr>
                <w:rFonts w:ascii="仿宋_GB2312" w:eastAsia="仿宋_GB2312"/>
                <w:sz w:val="24"/>
              </w:rPr>
            </w:pPr>
          </w:p>
        </w:tc>
        <w:tc>
          <w:tcPr>
            <w:tcW w:w="4874" w:type="dxa"/>
          </w:tcPr>
          <w:p>
            <w:pPr>
              <w:adjustRightInd w:val="0"/>
              <w:snapToGrid w:val="0"/>
              <w:spacing w:before="120" w:beforeLines="50" w:line="360" w:lineRule="auto"/>
              <w:rPr>
                <w:rFonts w:ascii="仿宋_GB2312" w:eastAsia="仿宋_GB2312"/>
                <w:sz w:val="24"/>
              </w:rPr>
            </w:pPr>
          </w:p>
        </w:tc>
      </w:tr>
    </w:tbl>
    <w:p>
      <w:pPr>
        <w:adjustRightInd w:val="0"/>
        <w:snapToGrid w:val="0"/>
        <w:spacing w:before="120" w:beforeLines="50" w:line="360" w:lineRule="auto"/>
        <w:rPr>
          <w:rFonts w:ascii="仿宋_GB2312" w:eastAsia="仿宋_GB2312"/>
          <w:sz w:val="24"/>
        </w:rPr>
      </w:pPr>
      <w:r>
        <w:rPr>
          <w:rFonts w:ascii="仿宋_GB2312" w:eastAsia="仿宋_GB2312"/>
          <w:sz w:val="24"/>
        </w:rPr>
        <w:t>4.</w:t>
      </w:r>
      <w:r>
        <w:rPr>
          <w:rFonts w:hint="eastAsia" w:ascii="仿宋_GB2312" w:eastAsia="仿宋_GB2312"/>
          <w:sz w:val="24"/>
        </w:rPr>
        <w:t>近三年类似业绩（可另附页）：</w:t>
      </w:r>
    </w:p>
    <w:p>
      <w:pPr>
        <w:adjustRightInd w:val="0"/>
        <w:snapToGrid w:val="0"/>
        <w:spacing w:before="120" w:beforeLines="50" w:line="360" w:lineRule="auto"/>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合同编号：</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签字日期：</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项目名称：</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规</w:t>
      </w:r>
      <w:r>
        <w:rPr>
          <w:rFonts w:ascii="仿宋_GB2312" w:eastAsia="仿宋_GB2312"/>
          <w:sz w:val="24"/>
        </w:rPr>
        <w:t xml:space="preserve">    </w:t>
      </w:r>
      <w:r>
        <w:rPr>
          <w:rFonts w:hint="eastAsia" w:ascii="仿宋_GB2312" w:eastAsia="仿宋_GB2312"/>
          <w:sz w:val="24"/>
        </w:rPr>
        <w:t>模：</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合同金额：</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5.</w:t>
      </w:r>
      <w:r>
        <w:rPr>
          <w:rFonts w:hint="eastAsia" w:ascii="仿宋_GB2312" w:eastAsia="仿宋_GB2312"/>
          <w:sz w:val="24"/>
        </w:rPr>
        <w:t>开立基本账户银行的名称和地址：</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ascii="仿宋_GB2312" w:eastAsia="仿宋_GB2312"/>
          <w:sz w:val="24"/>
        </w:rPr>
        <w:t>6.</w:t>
      </w:r>
      <w:r>
        <w:rPr>
          <w:rFonts w:hint="eastAsia" w:ascii="仿宋_GB2312" w:eastAsia="仿宋_GB2312"/>
          <w:sz w:val="24"/>
        </w:rPr>
        <w:t>其他情况：</w:t>
      </w:r>
      <w:r>
        <w:rPr>
          <w:rFonts w:hint="eastAsia" w:ascii="仿宋_GB2312" w:eastAsia="仿宋_GB2312"/>
          <w:sz w:val="24"/>
          <w:u w:val="single"/>
        </w:rPr>
        <w:t>组织机构、技术力量等</w:t>
      </w:r>
    </w:p>
    <w:p>
      <w:pPr>
        <w:adjustRightInd w:val="0"/>
        <w:snapToGrid w:val="0"/>
        <w:spacing w:before="120" w:beforeLines="50" w:line="360" w:lineRule="auto"/>
        <w:rPr>
          <w:rFonts w:ascii="仿宋_GB2312" w:eastAsia="仿宋_GB2312"/>
          <w:sz w:val="24"/>
        </w:rPr>
      </w:pPr>
      <w:r>
        <w:rPr>
          <w:rFonts w:ascii="仿宋_GB2312" w:eastAsia="仿宋_GB2312"/>
          <w:sz w:val="24"/>
        </w:rPr>
        <w:t>7.</w:t>
      </w:r>
      <w:r>
        <w:rPr>
          <w:rFonts w:hint="eastAsia" w:ascii="仿宋_GB2312" w:eastAsia="仿宋_GB2312"/>
          <w:sz w:val="24"/>
        </w:rPr>
        <w:t>附申请人三证合一营业执照副本或营业执照副本、组织机构代码证、税务登记证等材料的复印件。</w:t>
      </w:r>
    </w:p>
    <w:p>
      <w:pPr>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兹声明上述数据和资料是真实、正确的，我们同意遵照贵方要求出示有关证明文件。</w:t>
      </w:r>
    </w:p>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rPr>
          <w:rFonts w:ascii="仿宋_GB2312" w:eastAsia="仿宋_GB2312"/>
          <w:sz w:val="24"/>
        </w:rPr>
      </w:pPr>
      <w:r>
        <w:rPr>
          <w:rFonts w:hint="eastAsia" w:ascii="仿宋_GB2312" w:eastAsia="仿宋_GB2312"/>
          <w:sz w:val="24"/>
        </w:rPr>
        <w:t>投标人名称（盖单位公章）：</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360" w:lineRule="auto"/>
        <w:rPr>
          <w:rFonts w:ascii="仿宋_GB2312" w:eastAsia="仿宋_GB2312"/>
          <w:sz w:val="24"/>
        </w:r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adjustRightInd w:val="0"/>
        <w:snapToGrid w:val="0"/>
        <w:spacing w:line="360" w:lineRule="auto"/>
        <w:rPr>
          <w:rFonts w:ascii="仿宋_GB2312" w:eastAsia="仿宋_GB2312"/>
          <w:sz w:val="24"/>
        </w:rPr>
      </w:pPr>
    </w:p>
    <w:p>
      <w:pPr>
        <w:adjustRightInd w:val="0"/>
        <w:snapToGrid w:val="0"/>
        <w:spacing w:line="360" w:lineRule="auto"/>
        <w:rPr>
          <w:rFonts w:ascii="仿宋_GB2312" w:eastAsia="仿宋_GB2312"/>
          <w:sz w:val="24"/>
        </w:rPr>
      </w:pPr>
    </w:p>
    <w:p>
      <w:pPr>
        <w:adjustRightInd w:val="0"/>
        <w:snapToGrid w:val="0"/>
        <w:spacing w:line="360" w:lineRule="auto"/>
        <w:rPr>
          <w:rFonts w:ascii="仿宋_GB2312" w:eastAsia="仿宋_GB2312"/>
          <w:sz w:val="24"/>
        </w:rPr>
      </w:pPr>
    </w:p>
    <w:p>
      <w:pPr>
        <w:adjustRightInd w:val="0"/>
        <w:snapToGrid w:val="0"/>
        <w:spacing w:line="360" w:lineRule="auto"/>
        <w:rPr>
          <w:rFonts w:ascii="仿宋_GB2312" w:eastAsia="仿宋_GB2312"/>
          <w:sz w:val="24"/>
        </w:rPr>
      </w:pPr>
    </w:p>
    <w:p>
      <w:pPr>
        <w:widowControl/>
        <w:jc w:val="left"/>
        <w:rPr>
          <w:rFonts w:ascii="仿宋_GB2312" w:eastAsia="仿宋_GB2312"/>
          <w:sz w:val="24"/>
        </w:rPr>
      </w:pPr>
      <w:r>
        <w:rPr>
          <w:rFonts w:ascii="仿宋_GB2312" w:eastAsia="仿宋_GB2312"/>
          <w:sz w:val="24"/>
        </w:rPr>
        <w:br w:type="page"/>
      </w:r>
    </w:p>
    <w:p>
      <w:pPr>
        <w:pStyle w:val="3"/>
        <w:keepLines w:val="0"/>
        <w:numPr>
          <w:ilvl w:val="0"/>
          <w:numId w:val="0"/>
        </w:numPr>
        <w:tabs>
          <w:tab w:val="left" w:pos="0"/>
          <w:tab w:val="left" w:pos="540"/>
        </w:tabs>
        <w:spacing w:before="120" w:beforeLines="50" w:line="360" w:lineRule="exact"/>
        <w:jc w:val="center"/>
        <w:rPr>
          <w:rFonts w:ascii="仿宋_GB2312"/>
          <w:szCs w:val="24"/>
        </w:rPr>
      </w:pPr>
      <w:r>
        <w:rPr>
          <w:rFonts w:hint="eastAsia" w:ascii="仿宋_GB2312"/>
          <w:szCs w:val="24"/>
        </w:rPr>
        <w:t>附件</w:t>
      </w:r>
      <w:r>
        <w:rPr>
          <w:rFonts w:ascii="仿宋_GB2312"/>
          <w:szCs w:val="24"/>
        </w:rPr>
        <w:t xml:space="preserve">8 </w:t>
      </w:r>
      <w:r>
        <w:rPr>
          <w:rFonts w:hint="eastAsia" w:ascii="仿宋_GB2312"/>
          <w:szCs w:val="24"/>
        </w:rPr>
        <w:t>联合体协议书</w:t>
      </w:r>
    </w:p>
    <w:p>
      <w:pPr>
        <w:pStyle w:val="277"/>
        <w:wordWrap w:val="0"/>
        <w:ind w:firstLine="480"/>
        <w:rPr>
          <w:rFonts w:ascii="仿宋" w:hAnsi="仿宋" w:eastAsia="仿宋" w:cs="宋体"/>
          <w:sz w:val="24"/>
        </w:rPr>
      </w:pPr>
      <w:r>
        <w:rPr>
          <w:rFonts w:hint="eastAsia" w:ascii="仿宋" w:hAnsi="仿宋" w:eastAsia="仿宋" w:cs="宋体"/>
          <w:sz w:val="24"/>
        </w:rPr>
        <w:t>联合体牵头方（全称）：</w:t>
      </w:r>
      <w:r>
        <w:rPr>
          <w:rFonts w:ascii="仿宋" w:hAnsi="仿宋" w:eastAsia="仿宋" w:cs="宋体"/>
          <w:sz w:val="24"/>
          <w:u w:val="single"/>
        </w:rPr>
        <w:t xml:space="preserve">                                      </w:t>
      </w:r>
      <w:r>
        <w:rPr>
          <w:rFonts w:ascii="仿宋" w:hAnsi="仿宋" w:eastAsia="仿宋" w:cs="宋体"/>
          <w:sz w:val="24"/>
        </w:rPr>
        <w:t xml:space="preserve"> </w:t>
      </w:r>
    </w:p>
    <w:p>
      <w:pPr>
        <w:pStyle w:val="277"/>
        <w:wordWrap w:val="0"/>
        <w:ind w:firstLine="480"/>
        <w:rPr>
          <w:rFonts w:ascii="仿宋" w:hAnsi="仿宋" w:eastAsia="仿宋" w:cs="宋体"/>
          <w:sz w:val="24"/>
          <w:u w:val="single"/>
        </w:rPr>
      </w:pPr>
      <w:r>
        <w:rPr>
          <w:rFonts w:hint="eastAsia" w:ascii="仿宋" w:hAnsi="仿宋" w:eastAsia="仿宋" w:cs="宋体"/>
          <w:sz w:val="24"/>
        </w:rPr>
        <w:t>联合体成员方</w:t>
      </w:r>
      <w:r>
        <w:rPr>
          <w:rFonts w:ascii="仿宋" w:hAnsi="仿宋" w:eastAsia="仿宋" w:cs="宋体"/>
          <w:sz w:val="24"/>
        </w:rPr>
        <w:t>1（全称）：</w:t>
      </w:r>
      <w:r>
        <w:rPr>
          <w:rFonts w:ascii="仿宋" w:hAnsi="仿宋" w:eastAsia="仿宋" w:cs="宋体"/>
          <w:sz w:val="24"/>
          <w:u w:val="single"/>
        </w:rPr>
        <w:t xml:space="preserve">                                     </w:t>
      </w:r>
    </w:p>
    <w:p>
      <w:pPr>
        <w:pStyle w:val="277"/>
        <w:wordWrap w:val="0"/>
        <w:ind w:firstLine="480"/>
        <w:rPr>
          <w:rFonts w:ascii="仿宋" w:hAnsi="仿宋" w:eastAsia="仿宋" w:cs="宋体"/>
          <w:sz w:val="24"/>
        </w:rPr>
      </w:pPr>
      <w:r>
        <w:rPr>
          <w:rFonts w:hint="eastAsia" w:ascii="仿宋" w:hAnsi="仿宋" w:eastAsia="仿宋" w:cs="宋体"/>
          <w:sz w:val="24"/>
        </w:rPr>
        <w:t>联合体成员方</w:t>
      </w:r>
      <w:r>
        <w:rPr>
          <w:rFonts w:ascii="仿宋" w:hAnsi="仿宋" w:eastAsia="仿宋" w:cs="宋体"/>
          <w:sz w:val="24"/>
        </w:rPr>
        <w:t>2</w:t>
      </w:r>
      <w:r>
        <w:rPr>
          <w:rFonts w:hint="eastAsia" w:ascii="仿宋" w:hAnsi="仿宋" w:eastAsia="仿宋" w:cs="宋体"/>
          <w:sz w:val="24"/>
        </w:rPr>
        <w:t>（全称）：</w:t>
      </w:r>
      <w:r>
        <w:rPr>
          <w:rFonts w:ascii="仿宋" w:hAnsi="仿宋" w:eastAsia="仿宋" w:cs="宋体"/>
          <w:sz w:val="24"/>
          <w:u w:val="single"/>
        </w:rPr>
        <w:t xml:space="preserve">                                     </w:t>
      </w:r>
      <w:r>
        <w:rPr>
          <w:rFonts w:ascii="仿宋" w:hAnsi="仿宋" w:eastAsia="仿宋" w:cs="宋体"/>
          <w:sz w:val="24"/>
        </w:rPr>
        <w:t xml:space="preserve"> </w:t>
      </w:r>
    </w:p>
    <w:p>
      <w:pPr>
        <w:pStyle w:val="277"/>
        <w:wordWrap w:val="0"/>
        <w:ind w:firstLine="480"/>
        <w:rPr>
          <w:rFonts w:ascii="仿宋" w:hAnsi="仿宋" w:eastAsia="仿宋" w:cs="宋体"/>
          <w:sz w:val="24"/>
        </w:rPr>
      </w:pPr>
      <w:r>
        <w:rPr>
          <w:rFonts w:hint="eastAsia" w:ascii="仿宋" w:hAnsi="仿宋" w:eastAsia="仿宋" w:cs="宋体"/>
          <w:sz w:val="24"/>
        </w:rPr>
        <w:t>本协议书各方遵循平等、自愿、公平和诚实信用的原则，共同愿意组成联合体，实施、完成合同内容。现就下列有关事宜，订立本协议书。</w:t>
      </w:r>
    </w:p>
    <w:p>
      <w:pPr>
        <w:pStyle w:val="277"/>
        <w:wordWrap w:val="0"/>
        <w:ind w:firstLine="480"/>
        <w:rPr>
          <w:rFonts w:ascii="仿宋" w:hAnsi="仿宋" w:eastAsia="仿宋" w:cs="宋体"/>
          <w:sz w:val="24"/>
        </w:rPr>
      </w:pPr>
      <w:r>
        <w:rPr>
          <w:rFonts w:ascii="仿宋" w:hAnsi="仿宋" w:eastAsia="仿宋" w:cs="宋体"/>
          <w:sz w:val="24"/>
        </w:rPr>
        <w:t>1.</w:t>
      </w:r>
      <w:r>
        <w:rPr>
          <w:rFonts w:ascii="仿宋" w:hAnsi="仿宋" w:eastAsia="仿宋" w:cs="宋体"/>
          <w:sz w:val="24"/>
          <w:u w:val="single"/>
        </w:rPr>
        <w:t xml:space="preserve">                    </w:t>
      </w:r>
      <w:r>
        <w:rPr>
          <w:rFonts w:hint="eastAsia" w:ascii="仿宋" w:hAnsi="仿宋" w:eastAsia="仿宋" w:cs="宋体"/>
          <w:sz w:val="24"/>
        </w:rPr>
        <w:t>为联合体牵头方，</w:t>
      </w:r>
      <w:r>
        <w:rPr>
          <w:rFonts w:ascii="仿宋" w:hAnsi="仿宋" w:eastAsia="仿宋" w:cs="宋体"/>
          <w:sz w:val="24"/>
          <w:u w:val="single"/>
        </w:rPr>
        <w:t xml:space="preserve">           </w:t>
      </w:r>
      <w:r>
        <w:rPr>
          <w:rFonts w:hint="eastAsia" w:ascii="仿宋" w:hAnsi="仿宋" w:eastAsia="仿宋" w:cs="宋体"/>
          <w:sz w:val="24"/>
        </w:rPr>
        <w:t>为联合体成员方；</w:t>
      </w:r>
      <w:r>
        <w:rPr>
          <w:rFonts w:ascii="Calibri" w:eastAsia="仿宋" w:cs="Calibri"/>
          <w:sz w:val="24"/>
        </w:rPr>
        <w:t> </w:t>
      </w:r>
    </w:p>
    <w:p>
      <w:pPr>
        <w:pStyle w:val="277"/>
        <w:wordWrap w:val="0"/>
        <w:ind w:firstLine="480"/>
        <w:rPr>
          <w:rFonts w:ascii="仿宋" w:hAnsi="仿宋" w:eastAsia="仿宋" w:cs="宋体"/>
          <w:sz w:val="24"/>
        </w:rPr>
      </w:pPr>
      <w:r>
        <w:rPr>
          <w:rFonts w:ascii="仿宋" w:hAnsi="仿宋" w:eastAsia="仿宋" w:cs="宋体"/>
          <w:sz w:val="24"/>
        </w:rPr>
        <w:t>2.联合体内部有关事项规定如下：</w:t>
      </w:r>
      <w:r>
        <w:rPr>
          <w:rFonts w:ascii="Calibri" w:eastAsia="仿宋" w:cs="Calibri"/>
          <w:sz w:val="24"/>
        </w:rPr>
        <w:t> </w:t>
      </w:r>
    </w:p>
    <w:p>
      <w:pPr>
        <w:pStyle w:val="277"/>
        <w:wordWrap w:val="0"/>
        <w:ind w:firstLine="480"/>
        <w:rPr>
          <w:rFonts w:ascii="仿宋" w:hAnsi="仿宋" w:eastAsia="仿宋" w:cs="宋体"/>
          <w:sz w:val="24"/>
          <w:u w:val="single"/>
        </w:rPr>
      </w:pPr>
      <w:r>
        <w:rPr>
          <w:rFonts w:ascii="仿宋" w:hAnsi="仿宋" w:eastAsia="仿宋" w:cs="宋体"/>
          <w:sz w:val="24"/>
        </w:rPr>
        <w:t>2.1联合体由牵头方负责与采购人联系；</w:t>
      </w:r>
      <w:r>
        <w:rPr>
          <w:rFonts w:ascii="仿宋" w:hAnsi="仿宋" w:eastAsia="仿宋" w:cs="宋体"/>
          <w:sz w:val="24"/>
          <w:u w:val="single"/>
        </w:rPr>
        <w:t xml:space="preserve">                            </w:t>
      </w:r>
    </w:p>
    <w:p>
      <w:pPr>
        <w:pStyle w:val="277"/>
        <w:wordWrap w:val="0"/>
        <w:ind w:firstLine="480"/>
        <w:rPr>
          <w:rFonts w:ascii="仿宋" w:hAnsi="仿宋" w:eastAsia="仿宋" w:cs="宋体"/>
          <w:sz w:val="24"/>
        </w:rPr>
      </w:pPr>
      <w:r>
        <w:rPr>
          <w:rFonts w:ascii="仿宋" w:hAnsi="仿宋" w:eastAsia="仿宋" w:cs="宋体"/>
          <w:sz w:val="24"/>
        </w:rPr>
        <w:t>2.2合同项目一切工作由联合体牵头方负责组织，由联合体各方按内部划分比例或内容具体实施；</w:t>
      </w:r>
    </w:p>
    <w:p>
      <w:pPr>
        <w:pStyle w:val="277"/>
        <w:wordWrap w:val="0"/>
        <w:ind w:firstLine="480"/>
        <w:rPr>
          <w:rFonts w:ascii="仿宋" w:hAnsi="仿宋" w:eastAsia="仿宋" w:cs="宋体"/>
          <w:sz w:val="24"/>
        </w:rPr>
      </w:pPr>
      <w:r>
        <w:rPr>
          <w:rFonts w:ascii="仿宋" w:hAnsi="仿宋" w:eastAsia="仿宋" w:cs="宋体"/>
          <w:sz w:val="24"/>
        </w:rPr>
        <w:t xml:space="preserve">2.3 </w:t>
      </w:r>
      <w:r>
        <w:rPr>
          <w:rFonts w:hint="eastAsia" w:ascii="仿宋" w:hAnsi="仿宋" w:eastAsia="仿宋" w:cs="宋体"/>
          <w:sz w:val="24"/>
        </w:rPr>
        <w:t>联合体将严格按照资格预审文件的各项要求，切实执行一切合同文件，共同承担合同约定的一切义务和责任，同时按照内部划分的职责，各自承担自身的责任和风险；</w:t>
      </w:r>
    </w:p>
    <w:p>
      <w:pPr>
        <w:pStyle w:val="277"/>
        <w:wordWrap w:val="0"/>
        <w:ind w:firstLine="480"/>
        <w:rPr>
          <w:rFonts w:ascii="仿宋" w:hAnsi="仿宋" w:eastAsia="仿宋" w:cs="宋体"/>
          <w:sz w:val="24"/>
        </w:rPr>
      </w:pPr>
      <w:r>
        <w:rPr>
          <w:rFonts w:ascii="仿宋" w:hAnsi="仿宋" w:eastAsia="仿宋" w:cs="宋体"/>
          <w:sz w:val="24"/>
        </w:rPr>
        <w:t>2.4联合体内部各自按下列分工负责本项目工作：</w:t>
      </w:r>
      <w:r>
        <w:rPr>
          <w:rFonts w:ascii="Calibri" w:eastAsia="仿宋" w:cs="Calibri"/>
          <w:sz w:val="24"/>
        </w:rPr>
        <w:t> </w:t>
      </w:r>
    </w:p>
    <w:p>
      <w:pPr>
        <w:pStyle w:val="277"/>
        <w:wordWrap w:val="0"/>
        <w:ind w:firstLine="480"/>
        <w:rPr>
          <w:rFonts w:ascii="仿宋" w:hAnsi="仿宋" w:eastAsia="仿宋" w:cs="宋体"/>
          <w:sz w:val="24"/>
        </w:rPr>
      </w:pPr>
      <w:r>
        <w:rPr>
          <w:rFonts w:hint="eastAsia" w:ascii="仿宋" w:hAnsi="仿宋" w:eastAsia="仿宋" w:cs="宋体"/>
          <w:sz w:val="24"/>
        </w:rPr>
        <w:t>牵头方（</w:t>
      </w:r>
      <w:r>
        <w:rPr>
          <w:rFonts w:ascii="仿宋" w:hAnsi="仿宋" w:eastAsia="仿宋" w:cs="宋体"/>
          <w:sz w:val="24"/>
          <w:u w:val="single"/>
        </w:rPr>
        <w:t xml:space="preserve">                         </w:t>
      </w:r>
      <w:r>
        <w:rPr>
          <w:rFonts w:hint="eastAsia" w:ascii="仿宋" w:hAnsi="仿宋" w:eastAsia="仿宋" w:cs="宋体"/>
          <w:sz w:val="24"/>
        </w:rPr>
        <w:t>）出资</w:t>
      </w:r>
      <w:r>
        <w:rPr>
          <w:rFonts w:ascii="仿宋" w:hAnsi="仿宋" w:eastAsia="仿宋" w:cs="宋体"/>
          <w:sz w:val="24"/>
        </w:rPr>
        <w:t>占比：   %</w:t>
      </w:r>
      <w:r>
        <w:rPr>
          <w:rFonts w:hint="eastAsia" w:ascii="仿宋" w:hAnsi="仿宋" w:eastAsia="仿宋" w:cs="宋体"/>
          <w:sz w:val="24"/>
        </w:rPr>
        <w:t>，承担本项目的</w:t>
      </w:r>
      <w:r>
        <w:rPr>
          <w:rFonts w:ascii="仿宋" w:hAnsi="仿宋" w:eastAsia="仿宋" w:cs="宋体"/>
          <w:sz w:val="24"/>
        </w:rPr>
        <w:t xml:space="preserve"> </w:t>
      </w:r>
      <w:r>
        <w:rPr>
          <w:rFonts w:ascii="仿宋" w:hAnsi="仿宋" w:eastAsia="仿宋" w:cs="宋体"/>
          <w:sz w:val="24"/>
          <w:u w:val="single"/>
        </w:rPr>
        <w:t xml:space="preserve">               </w:t>
      </w:r>
      <w:r>
        <w:rPr>
          <w:rFonts w:hint="eastAsia" w:ascii="仿宋" w:hAnsi="仿宋" w:eastAsia="仿宋" w:cs="宋体"/>
          <w:sz w:val="24"/>
        </w:rPr>
        <w:t>工作，联合体成员方</w:t>
      </w:r>
      <w:r>
        <w:rPr>
          <w:rFonts w:ascii="仿宋" w:hAnsi="仿宋" w:eastAsia="仿宋" w:cs="宋体"/>
          <w:sz w:val="24"/>
          <w:vertAlign w:val="superscript"/>
        </w:rPr>
        <w:t>1</w:t>
      </w:r>
      <w:r>
        <w:rPr>
          <w:rFonts w:hint="eastAsia" w:ascii="仿宋" w:hAnsi="仿宋" w:eastAsia="仿宋" w:cs="宋体"/>
          <w:sz w:val="24"/>
        </w:rPr>
        <w:t>（</w:t>
      </w:r>
      <w:r>
        <w:rPr>
          <w:rFonts w:ascii="仿宋" w:hAnsi="仿宋" w:eastAsia="仿宋" w:cs="宋体"/>
          <w:sz w:val="24"/>
          <w:u w:val="single"/>
        </w:rPr>
        <w:t xml:space="preserve">                                        </w:t>
      </w:r>
      <w:r>
        <w:rPr>
          <w:rFonts w:hint="eastAsia" w:ascii="仿宋" w:hAnsi="仿宋" w:eastAsia="仿宋" w:cs="宋体"/>
          <w:sz w:val="24"/>
        </w:rPr>
        <w:t>）出资</w:t>
      </w:r>
      <w:r>
        <w:rPr>
          <w:rFonts w:ascii="仿宋" w:hAnsi="仿宋" w:eastAsia="仿宋" w:cs="宋体"/>
          <w:sz w:val="24"/>
        </w:rPr>
        <w:t>占比：   %</w:t>
      </w:r>
      <w:r>
        <w:rPr>
          <w:rFonts w:hint="eastAsia" w:ascii="仿宋" w:hAnsi="仿宋" w:eastAsia="仿宋" w:cs="宋体"/>
          <w:sz w:val="24"/>
        </w:rPr>
        <w:t>，承担本项目</w:t>
      </w:r>
      <w:r>
        <w:rPr>
          <w:rFonts w:ascii="仿宋" w:hAnsi="仿宋" w:eastAsia="仿宋" w:cs="宋体"/>
          <w:sz w:val="24"/>
          <w:u w:val="single"/>
        </w:rPr>
        <w:t xml:space="preserve">                             </w:t>
      </w:r>
      <w:r>
        <w:rPr>
          <w:rFonts w:hint="eastAsia" w:ascii="仿宋" w:hAnsi="仿宋" w:eastAsia="仿宋" w:cs="宋体"/>
          <w:sz w:val="24"/>
        </w:rPr>
        <w:t>工作；联合体成员方</w:t>
      </w:r>
      <w:r>
        <w:rPr>
          <w:rFonts w:ascii="仿宋" w:hAnsi="仿宋" w:eastAsia="仿宋" w:cs="宋体"/>
          <w:sz w:val="24"/>
          <w:vertAlign w:val="superscript"/>
        </w:rPr>
        <w:t>2</w:t>
      </w:r>
      <w:r>
        <w:rPr>
          <w:rFonts w:hint="eastAsia" w:ascii="仿宋" w:hAnsi="仿宋" w:eastAsia="仿宋" w:cs="宋体"/>
          <w:sz w:val="24"/>
        </w:rPr>
        <w:t>（</w:t>
      </w:r>
      <w:r>
        <w:rPr>
          <w:rFonts w:ascii="仿宋" w:hAnsi="仿宋" w:eastAsia="仿宋" w:cs="宋体"/>
          <w:sz w:val="24"/>
          <w:u w:val="single"/>
        </w:rPr>
        <w:t xml:space="preserve">                                        </w:t>
      </w:r>
      <w:r>
        <w:rPr>
          <w:rFonts w:hint="eastAsia" w:ascii="仿宋" w:hAnsi="仿宋" w:eastAsia="仿宋" w:cs="宋体"/>
          <w:sz w:val="24"/>
        </w:rPr>
        <w:t>）出资</w:t>
      </w:r>
      <w:r>
        <w:rPr>
          <w:rFonts w:ascii="仿宋" w:hAnsi="仿宋" w:eastAsia="仿宋" w:cs="宋体"/>
          <w:sz w:val="24"/>
        </w:rPr>
        <w:t>占比：   %</w:t>
      </w:r>
      <w:r>
        <w:rPr>
          <w:rFonts w:hint="eastAsia" w:ascii="仿宋" w:hAnsi="仿宋" w:eastAsia="仿宋" w:cs="宋体"/>
          <w:sz w:val="24"/>
        </w:rPr>
        <w:t>，承担本项目</w:t>
      </w:r>
      <w:r>
        <w:rPr>
          <w:rFonts w:ascii="仿宋" w:hAnsi="仿宋" w:eastAsia="仿宋" w:cs="宋体"/>
          <w:sz w:val="24"/>
          <w:u w:val="single"/>
        </w:rPr>
        <w:t xml:space="preserve">                             </w:t>
      </w:r>
      <w:r>
        <w:rPr>
          <w:rFonts w:hint="eastAsia" w:ascii="仿宋" w:hAnsi="仿宋" w:eastAsia="仿宋" w:cs="宋体"/>
          <w:sz w:val="24"/>
        </w:rPr>
        <w:t>工作；</w:t>
      </w:r>
    </w:p>
    <w:p>
      <w:pPr>
        <w:pStyle w:val="277"/>
        <w:wordWrap w:val="0"/>
        <w:ind w:firstLine="480"/>
        <w:rPr>
          <w:rFonts w:ascii="仿宋" w:hAnsi="仿宋" w:eastAsia="仿宋" w:cs="宋体"/>
          <w:sz w:val="24"/>
        </w:rPr>
      </w:pPr>
      <w:r>
        <w:rPr>
          <w:rFonts w:ascii="仿宋" w:hAnsi="仿宋" w:eastAsia="仿宋" w:cs="宋体"/>
          <w:sz w:val="24"/>
        </w:rPr>
        <w:t>2.5联合体在合同实施过程中的有关费用按各自承担的工作量分摊。联合体全体成员一致保证，未全面、按时、正确履行与采购方的相关合同的，联合体全体成员共同对采购人承担连带责任。</w:t>
      </w:r>
    </w:p>
    <w:p>
      <w:pPr>
        <w:pStyle w:val="277"/>
        <w:wordWrap w:val="0"/>
        <w:ind w:firstLine="480"/>
        <w:rPr>
          <w:rFonts w:ascii="仿宋" w:hAnsi="仿宋" w:eastAsia="仿宋" w:cs="宋体"/>
          <w:sz w:val="24"/>
        </w:rPr>
      </w:pPr>
      <w:r>
        <w:rPr>
          <w:rFonts w:ascii="仿宋" w:hAnsi="仿宋" w:eastAsia="仿宋" w:cs="宋体"/>
          <w:sz w:val="24"/>
        </w:rPr>
        <w:t>2.6联合体牵头方关于本项目签署的资料、承诺、与采购人达成的意向等，其他联合体成员均予以认可。</w:t>
      </w:r>
    </w:p>
    <w:p>
      <w:pPr>
        <w:pStyle w:val="277"/>
        <w:wordWrap w:val="0"/>
        <w:ind w:firstLine="480"/>
        <w:rPr>
          <w:rFonts w:ascii="仿宋" w:hAnsi="仿宋" w:eastAsia="仿宋" w:cs="宋体"/>
          <w:sz w:val="24"/>
        </w:rPr>
      </w:pPr>
      <w:r>
        <w:rPr>
          <w:rFonts w:ascii="仿宋" w:hAnsi="仿宋" w:eastAsia="仿宋" w:cs="宋体"/>
          <w:sz w:val="24"/>
        </w:rPr>
        <w:t>3.联合体牵头方应将本协议书送交采购人。</w:t>
      </w:r>
      <w:r>
        <w:rPr>
          <w:rFonts w:ascii="Calibri" w:eastAsia="仿宋" w:cs="Calibri"/>
          <w:sz w:val="24"/>
        </w:rPr>
        <w:t> </w:t>
      </w:r>
    </w:p>
    <w:p>
      <w:pPr>
        <w:pStyle w:val="277"/>
        <w:wordWrap w:val="0"/>
        <w:ind w:firstLine="480"/>
        <w:rPr>
          <w:rFonts w:ascii="仿宋" w:hAnsi="仿宋" w:eastAsia="仿宋" w:cs="宋体"/>
          <w:sz w:val="24"/>
        </w:rPr>
      </w:pPr>
      <w:r>
        <w:rPr>
          <w:rFonts w:ascii="仿宋" w:hAnsi="仿宋" w:eastAsia="仿宋" w:cs="宋体"/>
          <w:sz w:val="24"/>
        </w:rPr>
        <w:t>4.本协议书自签署之日起生效，至各方履行完合同全部义务后自行失效，并随合同的终止而终止。</w:t>
      </w:r>
    </w:p>
    <w:p>
      <w:pPr>
        <w:pStyle w:val="277"/>
        <w:wordWrap w:val="0"/>
        <w:ind w:firstLine="480"/>
        <w:rPr>
          <w:rFonts w:ascii="仿宋" w:hAnsi="仿宋" w:eastAsia="仿宋" w:cs="宋体"/>
          <w:sz w:val="24"/>
        </w:rPr>
      </w:pPr>
      <w:r>
        <w:rPr>
          <w:rFonts w:ascii="仿宋" w:hAnsi="仿宋" w:eastAsia="仿宋" w:cs="宋体"/>
          <w:sz w:val="24"/>
        </w:rPr>
        <w:t>5.本协议书正本一式</w:t>
      </w:r>
      <w:r>
        <w:rPr>
          <w:rFonts w:ascii="仿宋" w:hAnsi="仿宋" w:eastAsia="仿宋" w:cs="宋体"/>
          <w:sz w:val="24"/>
          <w:u w:val="single"/>
        </w:rPr>
        <w:t xml:space="preserve">     </w:t>
      </w:r>
      <w:r>
        <w:rPr>
          <w:rFonts w:hint="eastAsia" w:ascii="仿宋" w:hAnsi="仿宋" w:eastAsia="仿宋" w:cs="宋体"/>
          <w:sz w:val="24"/>
        </w:rPr>
        <w:t>份，联合体成员各执一份，送交采购人一份；副本一式</w:t>
      </w:r>
      <w:r>
        <w:rPr>
          <w:rFonts w:ascii="仿宋" w:hAnsi="仿宋" w:eastAsia="仿宋" w:cs="宋体"/>
          <w:sz w:val="24"/>
          <w:u w:val="single"/>
        </w:rPr>
        <w:t xml:space="preserve">     </w:t>
      </w:r>
      <w:r>
        <w:rPr>
          <w:rFonts w:hint="eastAsia" w:ascii="仿宋" w:hAnsi="仿宋" w:eastAsia="仿宋" w:cs="宋体"/>
          <w:sz w:val="24"/>
        </w:rPr>
        <w:t>份，联合体成员各执</w:t>
      </w:r>
      <w:r>
        <w:rPr>
          <w:rFonts w:ascii="仿宋" w:hAnsi="仿宋" w:eastAsia="仿宋" w:cs="宋体"/>
          <w:sz w:val="24"/>
          <w:u w:val="single"/>
        </w:rPr>
        <w:t xml:space="preserve">     </w:t>
      </w:r>
      <w:r>
        <w:rPr>
          <w:rFonts w:hint="eastAsia" w:ascii="仿宋" w:hAnsi="仿宋" w:eastAsia="仿宋" w:cs="宋体"/>
          <w:sz w:val="24"/>
        </w:rPr>
        <w:t>份。</w:t>
      </w:r>
    </w:p>
    <w:p>
      <w:pPr>
        <w:pStyle w:val="277"/>
        <w:wordWrap w:val="0"/>
        <w:ind w:firstLine="480"/>
        <w:rPr>
          <w:rFonts w:ascii="仿宋" w:hAnsi="仿宋" w:eastAsia="仿宋" w:cs="宋体"/>
          <w:sz w:val="24"/>
        </w:rPr>
      </w:pPr>
    </w:p>
    <w:p>
      <w:pPr>
        <w:rPr>
          <w:rFonts w:ascii="仿宋" w:hAnsi="仿宋" w:eastAsia="仿宋"/>
        </w:rPr>
      </w:pPr>
      <w:r>
        <w:rPr>
          <w:rFonts w:hint="eastAsia" w:ascii="仿宋" w:hAnsi="仿宋" w:eastAsia="仿宋"/>
        </w:rPr>
        <w:t>联合体牵头方名称：</w:t>
      </w:r>
      <w:r>
        <w:rPr>
          <w:rFonts w:ascii="仿宋" w:hAnsi="仿宋" w:eastAsia="仿宋"/>
          <w:u w:val="single"/>
        </w:rPr>
        <w:t xml:space="preserve">                             </w:t>
      </w:r>
      <w:r>
        <w:rPr>
          <w:rFonts w:hint="eastAsia" w:ascii="仿宋" w:hAnsi="仿宋" w:eastAsia="仿宋"/>
        </w:rPr>
        <w:t>（盖单位公章）</w:t>
      </w:r>
    </w:p>
    <w:p>
      <w:pPr>
        <w:rPr>
          <w:rFonts w:ascii="仿宋" w:hAnsi="仿宋" w:eastAsia="仿宋"/>
        </w:rPr>
      </w:pPr>
      <w:r>
        <w:rPr>
          <w:rFonts w:hint="eastAsia" w:ascii="仿宋" w:hAnsi="仿宋" w:eastAsia="仿宋"/>
        </w:rPr>
        <w:t>法定代表人或其委托代理人：</w:t>
      </w:r>
      <w:r>
        <w:rPr>
          <w:rFonts w:ascii="仿宋" w:hAnsi="仿宋" w:eastAsia="仿宋"/>
          <w:u w:val="single"/>
        </w:rPr>
        <w:t xml:space="preserve">                  </w:t>
      </w:r>
      <w:r>
        <w:rPr>
          <w:rFonts w:hint="eastAsia" w:ascii="仿宋" w:hAnsi="仿宋" w:eastAsia="仿宋"/>
        </w:rPr>
        <w:t>（签字或盖章）</w:t>
      </w:r>
    </w:p>
    <w:p>
      <w:pPr>
        <w:rPr>
          <w:rFonts w:ascii="仿宋" w:hAnsi="仿宋" w:eastAsia="仿宋"/>
        </w:rPr>
      </w:pPr>
    </w:p>
    <w:p>
      <w:pPr>
        <w:rPr>
          <w:rFonts w:ascii="仿宋" w:hAnsi="仿宋" w:eastAsia="仿宋"/>
        </w:rPr>
      </w:pPr>
      <w:r>
        <w:rPr>
          <w:rFonts w:hint="eastAsia" w:ascii="仿宋" w:hAnsi="仿宋" w:eastAsia="仿宋"/>
        </w:rPr>
        <w:t>联合体成员方</w:t>
      </w:r>
      <w:r>
        <w:rPr>
          <w:rFonts w:ascii="仿宋" w:hAnsi="仿宋" w:eastAsia="仿宋"/>
          <w:vertAlign w:val="superscript"/>
        </w:rPr>
        <w:t>1</w:t>
      </w:r>
      <w:r>
        <w:rPr>
          <w:rFonts w:hint="eastAsia" w:ascii="仿宋" w:hAnsi="仿宋" w:eastAsia="仿宋"/>
        </w:rPr>
        <w:t>名称：</w:t>
      </w:r>
      <w:r>
        <w:rPr>
          <w:rFonts w:ascii="仿宋" w:hAnsi="仿宋" w:eastAsia="仿宋"/>
          <w:u w:val="single"/>
        </w:rPr>
        <w:t xml:space="preserve">                             </w:t>
      </w:r>
      <w:r>
        <w:rPr>
          <w:rFonts w:hint="eastAsia" w:ascii="仿宋" w:hAnsi="仿宋" w:eastAsia="仿宋"/>
        </w:rPr>
        <w:t>（盖单位公章）</w:t>
      </w:r>
    </w:p>
    <w:p>
      <w:pPr>
        <w:rPr>
          <w:rFonts w:ascii="仿宋" w:hAnsi="仿宋" w:eastAsia="仿宋"/>
        </w:rPr>
      </w:pPr>
      <w:r>
        <w:rPr>
          <w:rFonts w:hint="eastAsia" w:ascii="仿宋" w:hAnsi="仿宋" w:eastAsia="仿宋"/>
        </w:rPr>
        <w:t>法定代表人或其委托代理人：</w:t>
      </w:r>
      <w:r>
        <w:rPr>
          <w:rFonts w:ascii="仿宋" w:hAnsi="仿宋" w:eastAsia="仿宋"/>
          <w:u w:val="single"/>
        </w:rPr>
        <w:t xml:space="preserve">                 </w:t>
      </w:r>
      <w:r>
        <w:rPr>
          <w:rFonts w:hint="eastAsia" w:ascii="仿宋" w:hAnsi="仿宋" w:eastAsia="仿宋"/>
        </w:rPr>
        <w:t>（签字或盖章）</w:t>
      </w:r>
    </w:p>
    <w:p>
      <w:pPr>
        <w:rPr>
          <w:rFonts w:ascii="仿宋" w:hAnsi="仿宋" w:eastAsia="仿宋"/>
        </w:rPr>
      </w:pPr>
    </w:p>
    <w:p>
      <w:pPr>
        <w:rPr>
          <w:rFonts w:ascii="仿宋" w:hAnsi="仿宋" w:eastAsia="仿宋"/>
        </w:rPr>
      </w:pPr>
      <w:r>
        <w:rPr>
          <w:rFonts w:hint="eastAsia" w:ascii="仿宋" w:hAnsi="仿宋" w:eastAsia="仿宋"/>
        </w:rPr>
        <w:t>联合体成员方</w:t>
      </w:r>
      <w:r>
        <w:rPr>
          <w:rFonts w:ascii="仿宋" w:hAnsi="仿宋" w:eastAsia="仿宋"/>
          <w:vertAlign w:val="superscript"/>
        </w:rPr>
        <w:t>2</w:t>
      </w:r>
      <w:r>
        <w:rPr>
          <w:rFonts w:hint="eastAsia" w:ascii="仿宋" w:hAnsi="仿宋" w:eastAsia="仿宋"/>
        </w:rPr>
        <w:t>名称：</w:t>
      </w:r>
      <w:r>
        <w:rPr>
          <w:rFonts w:ascii="仿宋" w:hAnsi="仿宋" w:eastAsia="仿宋"/>
          <w:u w:val="single"/>
        </w:rPr>
        <w:t xml:space="preserve">                             </w:t>
      </w:r>
      <w:r>
        <w:rPr>
          <w:rFonts w:hint="eastAsia" w:ascii="仿宋" w:hAnsi="仿宋" w:eastAsia="仿宋"/>
        </w:rPr>
        <w:t>（盖单位公章）</w:t>
      </w:r>
    </w:p>
    <w:p>
      <w:pPr>
        <w:rPr>
          <w:rFonts w:ascii="仿宋" w:hAnsi="仿宋" w:eastAsia="仿宋"/>
        </w:rPr>
      </w:pPr>
      <w:r>
        <w:rPr>
          <w:rFonts w:hint="eastAsia" w:ascii="仿宋" w:hAnsi="仿宋" w:eastAsia="仿宋"/>
        </w:rPr>
        <w:t>法定代表人或其委托代理人：</w:t>
      </w:r>
      <w:r>
        <w:rPr>
          <w:rFonts w:ascii="仿宋" w:hAnsi="仿宋" w:eastAsia="仿宋"/>
          <w:u w:val="single"/>
        </w:rPr>
        <w:t xml:space="preserve">                 </w:t>
      </w:r>
      <w:r>
        <w:rPr>
          <w:rFonts w:hint="eastAsia" w:ascii="仿宋" w:hAnsi="仿宋" w:eastAsia="仿宋"/>
        </w:rPr>
        <w:t>（签字或盖章）</w:t>
      </w:r>
    </w:p>
    <w:p>
      <w:pPr>
        <w:pStyle w:val="277"/>
        <w:wordWrap w:val="0"/>
        <w:ind w:firstLine="480"/>
        <w:rPr>
          <w:rFonts w:ascii="仿宋" w:hAnsi="仿宋" w:eastAsia="仿宋" w:cs="宋体"/>
          <w:sz w:val="24"/>
        </w:rPr>
      </w:pPr>
    </w:p>
    <w:p>
      <w:pPr>
        <w:pStyle w:val="277"/>
        <w:wordWrap w:val="0"/>
        <w:ind w:firstLine="480"/>
        <w:rPr>
          <w:rFonts w:ascii="仿宋" w:hAnsi="仿宋" w:eastAsia="仿宋" w:cs="宋体"/>
          <w:sz w:val="24"/>
        </w:rPr>
      </w:pPr>
      <w:r>
        <w:rPr>
          <w:rFonts w:hint="eastAsia" w:ascii="仿宋" w:hAnsi="仿宋" w:eastAsia="仿宋" w:cs="宋体"/>
          <w:sz w:val="24"/>
        </w:rPr>
        <w:t>日</w:t>
      </w:r>
      <w:r>
        <w:rPr>
          <w:rFonts w:ascii="仿宋" w:hAnsi="仿宋" w:eastAsia="仿宋" w:cs="宋体"/>
          <w:sz w:val="24"/>
        </w:rPr>
        <w:t xml:space="preserve">    </w:t>
      </w:r>
      <w:r>
        <w:rPr>
          <w:rFonts w:hint="eastAsia" w:ascii="仿宋" w:hAnsi="仿宋" w:eastAsia="仿宋" w:cs="宋体"/>
          <w:sz w:val="24"/>
        </w:rPr>
        <w:t>期：</w:t>
      </w:r>
      <w:r>
        <w:rPr>
          <w:rFonts w:ascii="仿宋" w:hAnsi="仿宋" w:eastAsia="仿宋" w:cs="宋体"/>
          <w:sz w:val="24"/>
          <w:u w:val="single"/>
        </w:rPr>
        <w:t xml:space="preserve">     </w:t>
      </w:r>
      <w:r>
        <w:rPr>
          <w:rFonts w:ascii="仿宋" w:hAnsi="仿宋" w:eastAsia="仿宋" w:cs="宋体"/>
          <w:sz w:val="24"/>
        </w:rPr>
        <w:t xml:space="preserve"> 年</w:t>
      </w:r>
      <w:r>
        <w:rPr>
          <w:rFonts w:ascii="仿宋" w:hAnsi="仿宋" w:eastAsia="仿宋" w:cs="宋体"/>
          <w:sz w:val="24"/>
          <w:u w:val="single"/>
        </w:rPr>
        <w:t xml:space="preserve">     </w:t>
      </w:r>
      <w:r>
        <w:rPr>
          <w:rFonts w:hint="eastAsia" w:ascii="仿宋" w:hAnsi="仿宋" w:eastAsia="仿宋" w:cs="宋体"/>
          <w:sz w:val="24"/>
        </w:rPr>
        <w:t>月</w:t>
      </w:r>
      <w:r>
        <w:rPr>
          <w:rFonts w:ascii="仿宋" w:hAnsi="仿宋" w:eastAsia="仿宋" w:cs="宋体"/>
          <w:sz w:val="24"/>
          <w:u w:val="single"/>
        </w:rPr>
        <w:t xml:space="preserve">     </w:t>
      </w:r>
      <w:r>
        <w:rPr>
          <w:rFonts w:hint="eastAsia" w:ascii="仿宋" w:hAnsi="仿宋" w:eastAsia="仿宋" w:cs="宋体"/>
          <w:sz w:val="24"/>
        </w:rPr>
        <w:t>日</w:t>
      </w:r>
      <w:r>
        <w:rPr>
          <w:rFonts w:ascii="仿宋" w:hAnsi="仿宋" w:eastAsia="仿宋" w:cs="宋体"/>
          <w:sz w:val="24"/>
        </w:rPr>
        <w:t xml:space="preserve">         </w:t>
      </w:r>
    </w:p>
    <w:p>
      <w:pPr>
        <w:pStyle w:val="277"/>
        <w:wordWrap w:val="0"/>
        <w:ind w:firstLine="480"/>
        <w:rPr>
          <w:rFonts w:ascii="仿宋" w:hAnsi="仿宋" w:eastAsia="仿宋" w:cs="宋体"/>
          <w:sz w:val="24"/>
        </w:rPr>
      </w:pPr>
    </w:p>
    <w:p>
      <w:pPr>
        <w:pStyle w:val="277"/>
        <w:wordWrap w:val="0"/>
        <w:ind w:firstLine="422"/>
        <w:rPr>
          <w:rFonts w:ascii="仿宋" w:hAnsi="仿宋" w:eastAsia="仿宋" w:cs="宋体"/>
          <w:b/>
          <w:sz w:val="21"/>
        </w:rPr>
      </w:pPr>
      <w:r>
        <w:rPr>
          <w:rFonts w:hint="eastAsia" w:ascii="仿宋" w:hAnsi="仿宋" w:eastAsia="仿宋" w:cs="宋体"/>
          <w:b/>
          <w:sz w:val="21"/>
        </w:rPr>
        <w:t>注：联合体各方均需签字盖章，且要求协议书原件。</w:t>
      </w:r>
    </w:p>
    <w:p>
      <w:pPr>
        <w:widowControl/>
        <w:jc w:val="left"/>
        <w:rPr>
          <w:rFonts w:ascii="仿宋_GB2312" w:eastAsia="仿宋_GB2312"/>
          <w:sz w:val="24"/>
        </w:rPr>
        <w:sectPr>
          <w:type w:val="nextColumn"/>
          <w:pgSz w:w="11906" w:h="16838"/>
          <w:pgMar w:top="1701" w:right="1418" w:bottom="1701" w:left="1701" w:header="1134" w:footer="907" w:gutter="0"/>
          <w:cols w:space="720" w:num="1"/>
          <w:docGrid w:linePitch="312" w:charSpace="0"/>
        </w:sectPr>
      </w:pPr>
      <w:r>
        <w:rPr>
          <w:rFonts w:ascii="仿宋_GB2312" w:eastAsia="仿宋_GB2312"/>
          <w:sz w:val="24"/>
        </w:rPr>
        <w:br w:type="page"/>
      </w:r>
    </w:p>
    <w:p>
      <w:pPr>
        <w:widowControl/>
        <w:jc w:val="left"/>
        <w:rPr>
          <w:rFonts w:ascii="仿宋_GB2312" w:eastAsia="仿宋_GB2312"/>
          <w:sz w:val="24"/>
        </w:rPr>
      </w:pPr>
    </w:p>
    <w:p>
      <w:pPr>
        <w:pStyle w:val="3"/>
        <w:keepLines w:val="0"/>
        <w:numPr>
          <w:ilvl w:val="1"/>
          <w:numId w:val="0"/>
        </w:numPr>
        <w:tabs>
          <w:tab w:val="left" w:pos="540"/>
          <w:tab w:val="left" w:pos="720"/>
        </w:tabs>
        <w:spacing w:before="120" w:beforeLines="50" w:line="360" w:lineRule="exact"/>
        <w:jc w:val="center"/>
        <w:rPr>
          <w:rFonts w:ascii="仿宋_GB2312" w:hAnsi="仿宋"/>
          <w:sz w:val="32"/>
        </w:rPr>
      </w:pPr>
      <w:r>
        <w:rPr>
          <w:rFonts w:hint="eastAsia" w:ascii="仿宋_GB2312" w:hAnsi="仿宋"/>
          <w:sz w:val="32"/>
        </w:rPr>
        <w:t>附件</w:t>
      </w:r>
      <w:r>
        <w:rPr>
          <w:rFonts w:ascii="仿宋_GB2312" w:hAnsi="仿宋"/>
          <w:sz w:val="32"/>
        </w:rPr>
        <w:t>9 PPP</w:t>
      </w:r>
      <w:r>
        <w:rPr>
          <w:rFonts w:hint="eastAsia" w:ascii="仿宋_GB2312" w:hAnsi="仿宋"/>
          <w:sz w:val="32"/>
        </w:rPr>
        <w:t>项目合同响应</w:t>
      </w:r>
      <w:r>
        <w:rPr>
          <w:rFonts w:ascii="仿宋_GB2312" w:hAnsi="仿宋"/>
          <w:sz w:val="32"/>
        </w:rPr>
        <w:t>/</w:t>
      </w:r>
      <w:r>
        <w:rPr>
          <w:rFonts w:hint="eastAsia" w:ascii="仿宋_GB2312" w:hAnsi="仿宋"/>
          <w:sz w:val="32"/>
        </w:rPr>
        <w:t>偏离表</w:t>
      </w:r>
    </w:p>
    <w:p>
      <w:pPr>
        <w:adjustRightInd w:val="0"/>
        <w:snapToGrid w:val="0"/>
        <w:ind w:left="-88" w:leftChars="-42"/>
        <w:jc w:val="left"/>
        <w:rPr>
          <w:rFonts w:ascii="仿宋_GB2312" w:eastAsia="仿宋_GB2312"/>
          <w:sz w:val="24"/>
        </w:rPr>
      </w:pPr>
    </w:p>
    <w:p>
      <w:pPr>
        <w:adjustRightInd w:val="0"/>
        <w:snapToGrid w:val="0"/>
        <w:ind w:left="-88" w:leftChars="-42"/>
        <w:jc w:val="left"/>
        <w:rPr>
          <w:rFonts w:ascii="仿宋_GB2312" w:eastAsia="仿宋_GB2312"/>
          <w:b/>
          <w:sz w:val="24"/>
        </w:rPr>
      </w:pPr>
    </w:p>
    <w:p>
      <w:pPr>
        <w:adjustRightInd w:val="0"/>
        <w:snapToGrid w:val="0"/>
        <w:ind w:left="-88" w:leftChars="-42" w:firstLine="296" w:firstLineChars="100"/>
        <w:rPr>
          <w:rFonts w:ascii="仿宋_GB2312" w:eastAsia="仿宋_GB2312"/>
          <w:sz w:val="24"/>
          <w:u w:val="single"/>
        </w:rPr>
      </w:pPr>
      <w:r>
        <w:rPr>
          <w:rFonts w:hint="eastAsia" w:ascii="仿宋_GB2312" w:eastAsia="仿宋_GB2312"/>
          <w:spacing w:val="28"/>
          <w:sz w:val="24"/>
        </w:rPr>
        <w:t>项目名称：</w:t>
      </w:r>
      <w:r>
        <w:rPr>
          <w:rFonts w:ascii="仿宋_GB2312" w:eastAsia="仿宋_GB2312"/>
          <w:sz w:val="24"/>
          <w:u w:val="single"/>
        </w:rPr>
        <w:t xml:space="preserve">                        </w:t>
      </w:r>
      <w:r>
        <w:rPr>
          <w:rFonts w:ascii="仿宋_GB2312" w:eastAsia="仿宋_GB2312"/>
          <w:sz w:val="24"/>
        </w:rPr>
        <w:t xml:space="preserve"> </w:t>
      </w:r>
      <w:r>
        <w:rPr>
          <w:rFonts w:ascii="仿宋_GB2312" w:eastAsia="仿宋_GB2312"/>
          <w:spacing w:val="28"/>
          <w:sz w:val="24"/>
        </w:rPr>
        <w:t xml:space="preserve">                        </w:t>
      </w:r>
      <w:r>
        <w:rPr>
          <w:rFonts w:hint="eastAsia" w:ascii="仿宋_GB2312" w:eastAsia="仿宋_GB2312"/>
          <w:spacing w:val="28"/>
          <w:sz w:val="24"/>
        </w:rPr>
        <w:t>采购编号</w:t>
      </w:r>
      <w:r>
        <w:rPr>
          <w:rFonts w:ascii="仿宋_GB2312" w:eastAsia="仿宋_GB2312"/>
          <w:sz w:val="24"/>
        </w:rPr>
        <w:t xml:space="preserve">: </w:t>
      </w:r>
      <w:r>
        <w:rPr>
          <w:rFonts w:ascii="仿宋_GB2312" w:eastAsia="仿宋_GB2312"/>
          <w:sz w:val="24"/>
          <w:u w:val="single"/>
        </w:rPr>
        <w:t xml:space="preserve">                        </w:t>
      </w:r>
      <w:r>
        <w:rPr>
          <w:rFonts w:ascii="仿宋_GB2312" w:eastAsia="仿宋_GB2312"/>
          <w:sz w:val="24"/>
        </w:rPr>
        <w:t xml:space="preserve"> </w:t>
      </w:r>
    </w:p>
    <w:tbl>
      <w:tblPr>
        <w:tblStyle w:val="45"/>
        <w:tblW w:w="1359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038"/>
        <w:gridCol w:w="2431"/>
        <w:gridCol w:w="3523"/>
        <w:gridCol w:w="3323"/>
        <w:gridCol w:w="1685"/>
        <w:gridCol w:w="15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1038"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序号</w:t>
            </w:r>
          </w:p>
        </w:tc>
        <w:tc>
          <w:tcPr>
            <w:tcW w:w="2431"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合同名称及条目号</w:t>
            </w:r>
          </w:p>
        </w:tc>
        <w:tc>
          <w:tcPr>
            <w:tcW w:w="3523"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原条款内容</w:t>
            </w:r>
          </w:p>
        </w:tc>
        <w:tc>
          <w:tcPr>
            <w:tcW w:w="3323"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建议修改条款内容</w:t>
            </w:r>
          </w:p>
        </w:tc>
        <w:tc>
          <w:tcPr>
            <w:tcW w:w="1685"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响应</w:t>
            </w:r>
            <w:r>
              <w:rPr>
                <w:rFonts w:ascii="仿宋_GB2312" w:eastAsia="仿宋_GB2312"/>
                <w:sz w:val="24"/>
              </w:rPr>
              <w:t>/</w:t>
            </w:r>
            <w:r>
              <w:rPr>
                <w:rFonts w:hint="eastAsia" w:ascii="仿宋_GB2312" w:eastAsia="仿宋_GB2312"/>
                <w:sz w:val="24"/>
              </w:rPr>
              <w:t>偏离</w:t>
            </w:r>
          </w:p>
        </w:tc>
        <w:tc>
          <w:tcPr>
            <w:tcW w:w="1599" w:type="dxa"/>
            <w:tcBorders>
              <w:top w:val="double" w:color="auto" w:sz="4" w:space="0"/>
            </w:tcBorders>
            <w:vAlign w:val="center"/>
          </w:tcPr>
          <w:p>
            <w:pPr>
              <w:adjustRightInd w:val="0"/>
              <w:snapToGrid w:val="0"/>
              <w:ind w:left="-88" w:leftChars="-42"/>
              <w:jc w:val="center"/>
              <w:rPr>
                <w:rFonts w:ascii="仿宋_GB2312" w:eastAsia="仿宋_GB2312"/>
                <w:sz w:val="24"/>
              </w:rPr>
            </w:pPr>
            <w:r>
              <w:rPr>
                <w:rFonts w:hint="eastAsia" w:ascii="仿宋_GB2312" w:eastAsia="仿宋_GB2312"/>
                <w:sz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1038" w:type="dxa"/>
            <w:vAlign w:val="center"/>
          </w:tcPr>
          <w:p>
            <w:pPr>
              <w:adjustRightInd w:val="0"/>
              <w:snapToGrid w:val="0"/>
              <w:ind w:left="-88" w:leftChars="-42"/>
              <w:jc w:val="center"/>
              <w:rPr>
                <w:rFonts w:ascii="仿宋_GB2312" w:eastAsia="仿宋_GB2312"/>
                <w:sz w:val="24"/>
              </w:rPr>
            </w:pPr>
          </w:p>
        </w:tc>
        <w:tc>
          <w:tcPr>
            <w:tcW w:w="2431" w:type="dxa"/>
            <w:vAlign w:val="center"/>
          </w:tcPr>
          <w:p>
            <w:pPr>
              <w:adjustRightInd w:val="0"/>
              <w:snapToGrid w:val="0"/>
              <w:ind w:left="-88" w:leftChars="-42"/>
              <w:jc w:val="center"/>
              <w:rPr>
                <w:rFonts w:ascii="仿宋_GB2312" w:eastAsia="仿宋_GB2312"/>
                <w:sz w:val="24"/>
              </w:rPr>
            </w:pPr>
          </w:p>
        </w:tc>
        <w:tc>
          <w:tcPr>
            <w:tcW w:w="3523" w:type="dxa"/>
            <w:vAlign w:val="center"/>
          </w:tcPr>
          <w:p>
            <w:pPr>
              <w:adjustRightInd w:val="0"/>
              <w:snapToGrid w:val="0"/>
              <w:ind w:left="-88" w:leftChars="-42"/>
              <w:jc w:val="center"/>
              <w:rPr>
                <w:rFonts w:ascii="仿宋_GB2312" w:eastAsia="仿宋_GB2312"/>
                <w:sz w:val="24"/>
              </w:rPr>
            </w:pPr>
          </w:p>
        </w:tc>
        <w:tc>
          <w:tcPr>
            <w:tcW w:w="3323" w:type="dxa"/>
            <w:vAlign w:val="center"/>
          </w:tcPr>
          <w:p>
            <w:pPr>
              <w:adjustRightInd w:val="0"/>
              <w:snapToGrid w:val="0"/>
              <w:ind w:left="-88" w:leftChars="-42"/>
              <w:jc w:val="center"/>
              <w:rPr>
                <w:rFonts w:ascii="仿宋_GB2312" w:eastAsia="仿宋_GB2312"/>
                <w:sz w:val="24"/>
              </w:rPr>
            </w:pPr>
          </w:p>
        </w:tc>
        <w:tc>
          <w:tcPr>
            <w:tcW w:w="1685" w:type="dxa"/>
            <w:vAlign w:val="center"/>
          </w:tcPr>
          <w:p>
            <w:pPr>
              <w:adjustRightInd w:val="0"/>
              <w:snapToGrid w:val="0"/>
              <w:ind w:left="-88" w:leftChars="-42"/>
              <w:jc w:val="center"/>
              <w:rPr>
                <w:rFonts w:ascii="仿宋_GB2312" w:eastAsia="仿宋_GB2312"/>
                <w:sz w:val="24"/>
              </w:rPr>
            </w:pPr>
          </w:p>
        </w:tc>
        <w:tc>
          <w:tcPr>
            <w:tcW w:w="1599" w:type="dxa"/>
            <w:vAlign w:val="center"/>
          </w:tcPr>
          <w:p>
            <w:pPr>
              <w:adjustRightInd w:val="0"/>
              <w:snapToGrid w:val="0"/>
              <w:ind w:left="-88" w:leftChars="-42"/>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1038" w:type="dxa"/>
            <w:vAlign w:val="center"/>
          </w:tcPr>
          <w:p>
            <w:pPr>
              <w:adjustRightInd w:val="0"/>
              <w:snapToGrid w:val="0"/>
              <w:ind w:left="-88" w:leftChars="-42"/>
              <w:jc w:val="center"/>
              <w:rPr>
                <w:rFonts w:ascii="仿宋_GB2312" w:eastAsia="仿宋_GB2312"/>
                <w:sz w:val="24"/>
              </w:rPr>
            </w:pPr>
          </w:p>
        </w:tc>
        <w:tc>
          <w:tcPr>
            <w:tcW w:w="2431" w:type="dxa"/>
            <w:vAlign w:val="center"/>
          </w:tcPr>
          <w:p>
            <w:pPr>
              <w:adjustRightInd w:val="0"/>
              <w:snapToGrid w:val="0"/>
              <w:ind w:left="-88" w:leftChars="-42"/>
              <w:jc w:val="center"/>
              <w:rPr>
                <w:rFonts w:ascii="仿宋_GB2312" w:eastAsia="仿宋_GB2312"/>
                <w:sz w:val="24"/>
              </w:rPr>
            </w:pPr>
          </w:p>
        </w:tc>
        <w:tc>
          <w:tcPr>
            <w:tcW w:w="3523" w:type="dxa"/>
            <w:vAlign w:val="center"/>
          </w:tcPr>
          <w:p>
            <w:pPr>
              <w:adjustRightInd w:val="0"/>
              <w:snapToGrid w:val="0"/>
              <w:ind w:left="-88" w:leftChars="-42"/>
              <w:jc w:val="center"/>
              <w:rPr>
                <w:rFonts w:ascii="仿宋_GB2312" w:eastAsia="仿宋_GB2312"/>
                <w:sz w:val="24"/>
              </w:rPr>
            </w:pPr>
          </w:p>
        </w:tc>
        <w:tc>
          <w:tcPr>
            <w:tcW w:w="3323" w:type="dxa"/>
            <w:vAlign w:val="center"/>
          </w:tcPr>
          <w:p>
            <w:pPr>
              <w:adjustRightInd w:val="0"/>
              <w:snapToGrid w:val="0"/>
              <w:ind w:left="-88" w:leftChars="-42"/>
              <w:jc w:val="center"/>
              <w:rPr>
                <w:rFonts w:ascii="仿宋_GB2312" w:eastAsia="仿宋_GB2312"/>
                <w:sz w:val="24"/>
              </w:rPr>
            </w:pPr>
          </w:p>
        </w:tc>
        <w:tc>
          <w:tcPr>
            <w:tcW w:w="1685" w:type="dxa"/>
            <w:vAlign w:val="center"/>
          </w:tcPr>
          <w:p>
            <w:pPr>
              <w:adjustRightInd w:val="0"/>
              <w:snapToGrid w:val="0"/>
              <w:ind w:left="-88" w:leftChars="-42"/>
              <w:jc w:val="center"/>
              <w:rPr>
                <w:rFonts w:ascii="仿宋_GB2312" w:eastAsia="仿宋_GB2312"/>
                <w:sz w:val="24"/>
              </w:rPr>
            </w:pPr>
          </w:p>
        </w:tc>
        <w:tc>
          <w:tcPr>
            <w:tcW w:w="1599" w:type="dxa"/>
            <w:vAlign w:val="center"/>
          </w:tcPr>
          <w:p>
            <w:pPr>
              <w:adjustRightInd w:val="0"/>
              <w:snapToGrid w:val="0"/>
              <w:ind w:left="-88" w:leftChars="-42"/>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1038" w:type="dxa"/>
            <w:vAlign w:val="center"/>
          </w:tcPr>
          <w:p>
            <w:pPr>
              <w:adjustRightInd w:val="0"/>
              <w:snapToGrid w:val="0"/>
              <w:ind w:left="-88" w:leftChars="-42"/>
              <w:jc w:val="center"/>
              <w:rPr>
                <w:rFonts w:ascii="仿宋_GB2312" w:eastAsia="仿宋_GB2312"/>
                <w:sz w:val="24"/>
              </w:rPr>
            </w:pPr>
          </w:p>
        </w:tc>
        <w:tc>
          <w:tcPr>
            <w:tcW w:w="2431" w:type="dxa"/>
            <w:vAlign w:val="center"/>
          </w:tcPr>
          <w:p>
            <w:pPr>
              <w:adjustRightInd w:val="0"/>
              <w:snapToGrid w:val="0"/>
              <w:ind w:left="-88" w:leftChars="-42"/>
              <w:jc w:val="center"/>
              <w:rPr>
                <w:rFonts w:ascii="仿宋_GB2312" w:eastAsia="仿宋_GB2312"/>
                <w:sz w:val="24"/>
              </w:rPr>
            </w:pPr>
          </w:p>
        </w:tc>
        <w:tc>
          <w:tcPr>
            <w:tcW w:w="3523" w:type="dxa"/>
            <w:vAlign w:val="center"/>
          </w:tcPr>
          <w:p>
            <w:pPr>
              <w:adjustRightInd w:val="0"/>
              <w:snapToGrid w:val="0"/>
              <w:ind w:left="-88" w:leftChars="-42"/>
              <w:jc w:val="center"/>
              <w:rPr>
                <w:rFonts w:ascii="仿宋_GB2312" w:eastAsia="仿宋_GB2312"/>
                <w:sz w:val="24"/>
              </w:rPr>
            </w:pPr>
          </w:p>
        </w:tc>
        <w:tc>
          <w:tcPr>
            <w:tcW w:w="3323" w:type="dxa"/>
            <w:vAlign w:val="center"/>
          </w:tcPr>
          <w:p>
            <w:pPr>
              <w:adjustRightInd w:val="0"/>
              <w:snapToGrid w:val="0"/>
              <w:ind w:left="-88" w:leftChars="-42"/>
              <w:jc w:val="center"/>
              <w:rPr>
                <w:rFonts w:ascii="仿宋_GB2312" w:eastAsia="仿宋_GB2312"/>
                <w:sz w:val="24"/>
              </w:rPr>
            </w:pPr>
          </w:p>
        </w:tc>
        <w:tc>
          <w:tcPr>
            <w:tcW w:w="1685" w:type="dxa"/>
            <w:vAlign w:val="center"/>
          </w:tcPr>
          <w:p>
            <w:pPr>
              <w:adjustRightInd w:val="0"/>
              <w:snapToGrid w:val="0"/>
              <w:ind w:left="-88" w:leftChars="-42"/>
              <w:jc w:val="center"/>
              <w:rPr>
                <w:rFonts w:ascii="仿宋_GB2312" w:eastAsia="仿宋_GB2312"/>
                <w:sz w:val="24"/>
              </w:rPr>
            </w:pPr>
          </w:p>
        </w:tc>
        <w:tc>
          <w:tcPr>
            <w:tcW w:w="1599" w:type="dxa"/>
            <w:vAlign w:val="center"/>
          </w:tcPr>
          <w:p>
            <w:pPr>
              <w:adjustRightInd w:val="0"/>
              <w:snapToGrid w:val="0"/>
              <w:ind w:left="-88" w:leftChars="-42"/>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79" w:hRule="atLeast"/>
          <w:jc w:val="center"/>
        </w:trPr>
        <w:tc>
          <w:tcPr>
            <w:tcW w:w="1038" w:type="dxa"/>
            <w:vAlign w:val="center"/>
          </w:tcPr>
          <w:p>
            <w:pPr>
              <w:adjustRightInd w:val="0"/>
              <w:snapToGrid w:val="0"/>
              <w:ind w:left="-88" w:leftChars="-42"/>
              <w:jc w:val="center"/>
              <w:rPr>
                <w:rFonts w:ascii="仿宋_GB2312" w:eastAsia="仿宋_GB2312"/>
                <w:sz w:val="24"/>
              </w:rPr>
            </w:pPr>
          </w:p>
        </w:tc>
        <w:tc>
          <w:tcPr>
            <w:tcW w:w="2431" w:type="dxa"/>
            <w:vAlign w:val="center"/>
          </w:tcPr>
          <w:p>
            <w:pPr>
              <w:adjustRightInd w:val="0"/>
              <w:snapToGrid w:val="0"/>
              <w:ind w:left="-88" w:leftChars="-42"/>
              <w:jc w:val="center"/>
              <w:rPr>
                <w:rFonts w:ascii="仿宋_GB2312" w:eastAsia="仿宋_GB2312"/>
                <w:sz w:val="24"/>
              </w:rPr>
            </w:pPr>
          </w:p>
        </w:tc>
        <w:tc>
          <w:tcPr>
            <w:tcW w:w="3523" w:type="dxa"/>
            <w:vAlign w:val="center"/>
          </w:tcPr>
          <w:p>
            <w:pPr>
              <w:adjustRightInd w:val="0"/>
              <w:snapToGrid w:val="0"/>
              <w:ind w:left="-88" w:leftChars="-42"/>
              <w:jc w:val="center"/>
              <w:rPr>
                <w:rFonts w:ascii="仿宋_GB2312" w:eastAsia="仿宋_GB2312"/>
                <w:sz w:val="24"/>
              </w:rPr>
            </w:pPr>
          </w:p>
        </w:tc>
        <w:tc>
          <w:tcPr>
            <w:tcW w:w="3323" w:type="dxa"/>
            <w:vAlign w:val="center"/>
          </w:tcPr>
          <w:p>
            <w:pPr>
              <w:adjustRightInd w:val="0"/>
              <w:snapToGrid w:val="0"/>
              <w:ind w:left="-88" w:leftChars="-42"/>
              <w:jc w:val="center"/>
              <w:rPr>
                <w:rFonts w:ascii="仿宋_GB2312" w:eastAsia="仿宋_GB2312"/>
                <w:sz w:val="24"/>
              </w:rPr>
            </w:pPr>
          </w:p>
        </w:tc>
        <w:tc>
          <w:tcPr>
            <w:tcW w:w="1685" w:type="dxa"/>
            <w:vAlign w:val="center"/>
          </w:tcPr>
          <w:p>
            <w:pPr>
              <w:adjustRightInd w:val="0"/>
              <w:snapToGrid w:val="0"/>
              <w:ind w:left="-88" w:leftChars="-42"/>
              <w:jc w:val="center"/>
              <w:rPr>
                <w:rFonts w:ascii="仿宋_GB2312" w:eastAsia="仿宋_GB2312"/>
                <w:sz w:val="24"/>
              </w:rPr>
            </w:pPr>
          </w:p>
        </w:tc>
        <w:tc>
          <w:tcPr>
            <w:tcW w:w="1599" w:type="dxa"/>
            <w:vAlign w:val="center"/>
          </w:tcPr>
          <w:p>
            <w:pPr>
              <w:adjustRightInd w:val="0"/>
              <w:snapToGrid w:val="0"/>
              <w:ind w:left="-88" w:leftChars="-42"/>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1038" w:type="dxa"/>
            <w:vAlign w:val="center"/>
          </w:tcPr>
          <w:p>
            <w:pPr>
              <w:adjustRightInd w:val="0"/>
              <w:snapToGrid w:val="0"/>
              <w:ind w:left="-88" w:leftChars="-42"/>
              <w:jc w:val="center"/>
              <w:rPr>
                <w:rFonts w:ascii="仿宋_GB2312" w:eastAsia="仿宋_GB2312"/>
                <w:sz w:val="24"/>
              </w:rPr>
            </w:pPr>
          </w:p>
        </w:tc>
        <w:tc>
          <w:tcPr>
            <w:tcW w:w="2431" w:type="dxa"/>
            <w:vAlign w:val="center"/>
          </w:tcPr>
          <w:p>
            <w:pPr>
              <w:adjustRightInd w:val="0"/>
              <w:snapToGrid w:val="0"/>
              <w:ind w:left="-88" w:leftChars="-42"/>
              <w:jc w:val="center"/>
              <w:rPr>
                <w:rFonts w:ascii="仿宋_GB2312" w:eastAsia="仿宋_GB2312"/>
                <w:sz w:val="24"/>
              </w:rPr>
            </w:pPr>
          </w:p>
        </w:tc>
        <w:tc>
          <w:tcPr>
            <w:tcW w:w="3523" w:type="dxa"/>
            <w:vAlign w:val="center"/>
          </w:tcPr>
          <w:p>
            <w:pPr>
              <w:adjustRightInd w:val="0"/>
              <w:snapToGrid w:val="0"/>
              <w:ind w:left="-88" w:leftChars="-42"/>
              <w:jc w:val="center"/>
              <w:rPr>
                <w:rFonts w:ascii="仿宋_GB2312" w:eastAsia="仿宋_GB2312"/>
                <w:sz w:val="24"/>
              </w:rPr>
            </w:pPr>
          </w:p>
        </w:tc>
        <w:tc>
          <w:tcPr>
            <w:tcW w:w="3323" w:type="dxa"/>
            <w:vAlign w:val="center"/>
          </w:tcPr>
          <w:p>
            <w:pPr>
              <w:adjustRightInd w:val="0"/>
              <w:snapToGrid w:val="0"/>
              <w:ind w:left="-88" w:leftChars="-42"/>
              <w:jc w:val="center"/>
              <w:rPr>
                <w:rFonts w:ascii="仿宋_GB2312" w:eastAsia="仿宋_GB2312"/>
                <w:sz w:val="24"/>
              </w:rPr>
            </w:pPr>
          </w:p>
        </w:tc>
        <w:tc>
          <w:tcPr>
            <w:tcW w:w="1685" w:type="dxa"/>
            <w:vAlign w:val="center"/>
          </w:tcPr>
          <w:p>
            <w:pPr>
              <w:adjustRightInd w:val="0"/>
              <w:snapToGrid w:val="0"/>
              <w:ind w:left="-88" w:leftChars="-42"/>
              <w:jc w:val="center"/>
              <w:rPr>
                <w:rFonts w:ascii="仿宋_GB2312" w:eastAsia="仿宋_GB2312"/>
                <w:sz w:val="24"/>
              </w:rPr>
            </w:pPr>
          </w:p>
        </w:tc>
        <w:tc>
          <w:tcPr>
            <w:tcW w:w="1599" w:type="dxa"/>
            <w:vAlign w:val="center"/>
          </w:tcPr>
          <w:p>
            <w:pPr>
              <w:adjustRightInd w:val="0"/>
              <w:snapToGrid w:val="0"/>
              <w:ind w:left="-88" w:leftChars="-42"/>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1038" w:type="dxa"/>
            <w:tcBorders>
              <w:bottom w:val="double" w:color="auto" w:sz="4" w:space="0"/>
            </w:tcBorders>
            <w:vAlign w:val="center"/>
          </w:tcPr>
          <w:p>
            <w:pPr>
              <w:adjustRightInd w:val="0"/>
              <w:snapToGrid w:val="0"/>
              <w:ind w:left="-88" w:leftChars="-42"/>
              <w:jc w:val="center"/>
              <w:rPr>
                <w:rFonts w:ascii="仿宋_GB2312" w:eastAsia="仿宋_GB2312"/>
                <w:sz w:val="24"/>
              </w:rPr>
            </w:pPr>
          </w:p>
        </w:tc>
        <w:tc>
          <w:tcPr>
            <w:tcW w:w="2431" w:type="dxa"/>
            <w:tcBorders>
              <w:bottom w:val="double" w:color="auto" w:sz="4" w:space="0"/>
            </w:tcBorders>
            <w:vAlign w:val="center"/>
          </w:tcPr>
          <w:p>
            <w:pPr>
              <w:adjustRightInd w:val="0"/>
              <w:snapToGrid w:val="0"/>
              <w:ind w:left="-88" w:leftChars="-42"/>
              <w:jc w:val="center"/>
              <w:rPr>
                <w:rFonts w:ascii="仿宋_GB2312" w:eastAsia="仿宋_GB2312"/>
                <w:sz w:val="24"/>
              </w:rPr>
            </w:pPr>
          </w:p>
        </w:tc>
        <w:tc>
          <w:tcPr>
            <w:tcW w:w="3523" w:type="dxa"/>
            <w:tcBorders>
              <w:bottom w:val="double" w:color="auto" w:sz="4" w:space="0"/>
            </w:tcBorders>
            <w:vAlign w:val="center"/>
          </w:tcPr>
          <w:p>
            <w:pPr>
              <w:adjustRightInd w:val="0"/>
              <w:snapToGrid w:val="0"/>
              <w:ind w:left="-88" w:leftChars="-42"/>
              <w:jc w:val="center"/>
              <w:rPr>
                <w:rFonts w:ascii="仿宋_GB2312" w:eastAsia="仿宋_GB2312"/>
                <w:sz w:val="24"/>
              </w:rPr>
            </w:pPr>
          </w:p>
        </w:tc>
        <w:tc>
          <w:tcPr>
            <w:tcW w:w="3323" w:type="dxa"/>
            <w:tcBorders>
              <w:bottom w:val="double" w:color="auto" w:sz="4" w:space="0"/>
            </w:tcBorders>
            <w:vAlign w:val="center"/>
          </w:tcPr>
          <w:p>
            <w:pPr>
              <w:adjustRightInd w:val="0"/>
              <w:snapToGrid w:val="0"/>
              <w:ind w:left="-88" w:leftChars="-42"/>
              <w:jc w:val="center"/>
              <w:rPr>
                <w:rFonts w:ascii="仿宋_GB2312" w:eastAsia="仿宋_GB2312"/>
                <w:sz w:val="24"/>
              </w:rPr>
            </w:pPr>
          </w:p>
        </w:tc>
        <w:tc>
          <w:tcPr>
            <w:tcW w:w="1685" w:type="dxa"/>
            <w:tcBorders>
              <w:bottom w:val="double" w:color="auto" w:sz="4" w:space="0"/>
            </w:tcBorders>
            <w:vAlign w:val="center"/>
          </w:tcPr>
          <w:p>
            <w:pPr>
              <w:adjustRightInd w:val="0"/>
              <w:snapToGrid w:val="0"/>
              <w:ind w:left="-88" w:leftChars="-42"/>
              <w:jc w:val="center"/>
              <w:rPr>
                <w:rFonts w:ascii="仿宋_GB2312" w:eastAsia="仿宋_GB2312"/>
                <w:sz w:val="24"/>
              </w:rPr>
            </w:pPr>
          </w:p>
        </w:tc>
        <w:tc>
          <w:tcPr>
            <w:tcW w:w="1599" w:type="dxa"/>
            <w:tcBorders>
              <w:bottom w:val="double" w:color="auto" w:sz="4" w:space="0"/>
            </w:tcBorders>
            <w:vAlign w:val="center"/>
          </w:tcPr>
          <w:p>
            <w:pPr>
              <w:adjustRightInd w:val="0"/>
              <w:snapToGrid w:val="0"/>
              <w:ind w:left="-88" w:leftChars="-42"/>
              <w:jc w:val="center"/>
              <w:rPr>
                <w:rFonts w:ascii="仿宋_GB2312" w:eastAsia="仿宋_GB2312"/>
                <w:sz w:val="24"/>
              </w:rPr>
            </w:pPr>
          </w:p>
        </w:tc>
      </w:tr>
    </w:tbl>
    <w:p>
      <w:pPr>
        <w:pStyle w:val="31"/>
        <w:rPr>
          <w:rFonts w:ascii="仿宋_GB2312" w:eastAsia="仿宋_GB2312"/>
          <w:b w:val="0"/>
          <w:sz w:val="21"/>
          <w:szCs w:val="21"/>
        </w:rPr>
      </w:pPr>
      <w:r>
        <w:rPr>
          <w:rFonts w:hint="eastAsia" w:ascii="仿宋_GB2312" w:eastAsia="仿宋_GB2312"/>
          <w:b w:val="0"/>
          <w:sz w:val="21"/>
          <w:szCs w:val="21"/>
        </w:rPr>
        <w:t>备注：</w:t>
      </w:r>
      <w:r>
        <w:rPr>
          <w:rFonts w:ascii="仿宋_GB2312" w:eastAsia="仿宋_GB2312"/>
          <w:b w:val="0"/>
          <w:sz w:val="21"/>
          <w:szCs w:val="21"/>
        </w:rPr>
        <w:t>1</w:t>
      </w:r>
      <w:r>
        <w:rPr>
          <w:rFonts w:hint="eastAsia" w:ascii="仿宋_GB2312" w:eastAsia="仿宋_GB2312"/>
          <w:b w:val="0"/>
          <w:sz w:val="21"/>
          <w:szCs w:val="21"/>
        </w:rPr>
        <w:t>、“响应</w:t>
      </w:r>
      <w:r>
        <w:rPr>
          <w:rFonts w:ascii="仿宋_GB2312" w:eastAsia="仿宋_GB2312"/>
          <w:b w:val="0"/>
          <w:sz w:val="21"/>
          <w:szCs w:val="21"/>
        </w:rPr>
        <w:t>/</w:t>
      </w:r>
      <w:r>
        <w:rPr>
          <w:rFonts w:hint="eastAsia" w:ascii="仿宋_GB2312" w:eastAsia="仿宋_GB2312"/>
          <w:b w:val="0"/>
          <w:sz w:val="21"/>
          <w:szCs w:val="21"/>
        </w:rPr>
        <w:t>偏离”栏应注明“响应”或“偏离”，没有注明的视同响应。</w:t>
      </w:r>
    </w:p>
    <w:p>
      <w:pPr>
        <w:pStyle w:val="31"/>
        <w:ind w:firstLine="567" w:firstLineChars="270"/>
        <w:rPr>
          <w:rFonts w:ascii="仿宋_GB2312" w:eastAsia="仿宋_GB2312"/>
          <w:b w:val="0"/>
          <w:sz w:val="21"/>
          <w:szCs w:val="21"/>
        </w:rPr>
      </w:pPr>
      <w:r>
        <w:rPr>
          <w:rFonts w:ascii="仿宋_GB2312" w:eastAsia="仿宋_GB2312"/>
          <w:b w:val="0"/>
          <w:sz w:val="21"/>
          <w:szCs w:val="21"/>
        </w:rPr>
        <w:t>2</w:t>
      </w:r>
      <w:r>
        <w:rPr>
          <w:rFonts w:hint="eastAsia" w:ascii="仿宋_GB2312" w:eastAsia="仿宋_GB2312"/>
          <w:b w:val="0"/>
          <w:sz w:val="21"/>
          <w:szCs w:val="21"/>
        </w:rPr>
        <w:t>、对采购人有利的条款偏差指有利于合同或协议的完善，或能合理减少政府方的义务、支持条件等（不包括修改错别字等）。对政府方不利的条款偏差指增加政府方的义务、支持条件、违约责任（补偿）、终止补偿等，或者对政府方提出其他要求。</w:t>
      </w:r>
    </w:p>
    <w:p>
      <w:pPr>
        <w:adjustRightInd w:val="0"/>
        <w:snapToGrid w:val="0"/>
        <w:ind w:left="-88" w:leftChars="-42"/>
        <w:rPr>
          <w:rFonts w:ascii="仿宋_GB2312" w:eastAsia="仿宋_GB2312"/>
          <w:sz w:val="24"/>
        </w:rPr>
      </w:pPr>
    </w:p>
    <w:p>
      <w:pPr>
        <w:adjustRightInd w:val="0"/>
        <w:snapToGrid w:val="0"/>
        <w:spacing w:before="50" w:line="360" w:lineRule="auto"/>
        <w:rPr>
          <w:rFonts w:ascii="仿宋_GB2312" w:eastAsia="仿宋_GB2312"/>
          <w:sz w:val="24"/>
        </w:rPr>
      </w:pPr>
      <w:r>
        <w:rPr>
          <w:rFonts w:hint="eastAsia" w:ascii="仿宋_GB2312" w:eastAsia="仿宋_GB2312"/>
          <w:sz w:val="24"/>
        </w:rPr>
        <w:t>投标人名称（单位章）：</w:t>
      </w:r>
    </w:p>
    <w:p>
      <w:pPr>
        <w:adjustRightInd w:val="0"/>
        <w:snapToGrid w:val="0"/>
        <w:spacing w:before="50" w:line="360" w:lineRule="auto"/>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360" w:lineRule="auto"/>
        <w:rPr>
          <w:rFonts w:ascii="仿宋_GB2312" w:eastAsia="仿宋_GB2312"/>
          <w:sz w:val="24"/>
        </w:rPr>
        <w:sectPr>
          <w:pgSz w:w="16838" w:h="11906" w:orient="landscape"/>
          <w:pgMar w:top="1418" w:right="1701" w:bottom="1701" w:left="1701" w:header="1134" w:footer="907" w:gutter="0"/>
          <w:cols w:space="720" w:num="1"/>
          <w:docGrid w:linePitch="312" w:charSpace="0"/>
        </w:sect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adjustRightInd w:val="0"/>
        <w:snapToGrid w:val="0"/>
        <w:spacing w:line="360" w:lineRule="auto"/>
        <w:rPr>
          <w:rFonts w:ascii="仿宋_GB2312" w:eastAsia="仿宋_GB2312"/>
          <w:sz w:val="24"/>
        </w:rPr>
      </w:pPr>
    </w:p>
    <w:p>
      <w:pPr>
        <w:pStyle w:val="3"/>
        <w:keepLines w:val="0"/>
        <w:numPr>
          <w:ilvl w:val="0"/>
          <w:numId w:val="0"/>
        </w:numPr>
        <w:tabs>
          <w:tab w:val="left" w:pos="0"/>
          <w:tab w:val="left" w:pos="540"/>
        </w:tabs>
        <w:spacing w:before="120" w:beforeLines="50" w:line="360" w:lineRule="exact"/>
        <w:jc w:val="center"/>
        <w:rPr>
          <w:rFonts w:ascii="仿宋_GB2312"/>
          <w:szCs w:val="24"/>
        </w:rPr>
      </w:pPr>
      <w:bookmarkStart w:id="318" w:name="_Toc429862245"/>
      <w:bookmarkStart w:id="319" w:name="_Toc481542907"/>
      <w:bookmarkStart w:id="320" w:name="_Toc429604244"/>
      <w:bookmarkStart w:id="321" w:name="_Toc429602603"/>
      <w:r>
        <w:rPr>
          <w:rFonts w:hint="eastAsia" w:ascii="仿宋_GB2312"/>
          <w:szCs w:val="24"/>
        </w:rPr>
        <w:t>附件</w:t>
      </w:r>
      <w:r>
        <w:rPr>
          <w:rFonts w:ascii="仿宋_GB2312"/>
          <w:szCs w:val="24"/>
        </w:rPr>
        <w:t xml:space="preserve">10 </w:t>
      </w:r>
      <w:r>
        <w:rPr>
          <w:rFonts w:hint="eastAsia" w:ascii="仿宋_GB2312"/>
          <w:szCs w:val="24"/>
        </w:rPr>
        <w:t>财务状况</w:t>
      </w:r>
      <w:bookmarkEnd w:id="316"/>
      <w:bookmarkEnd w:id="317"/>
      <w:r>
        <w:rPr>
          <w:rFonts w:hint="eastAsia" w:ascii="仿宋_GB2312"/>
          <w:szCs w:val="24"/>
        </w:rPr>
        <w:t>报告和银行信用的证明材料</w:t>
      </w:r>
      <w:bookmarkEnd w:id="318"/>
      <w:bookmarkEnd w:id="319"/>
      <w:bookmarkEnd w:id="320"/>
      <w:bookmarkEnd w:id="321"/>
    </w:p>
    <w:p>
      <w:pPr>
        <w:adjustRightInd w:val="0"/>
        <w:snapToGrid w:val="0"/>
        <w:spacing w:line="360" w:lineRule="auto"/>
        <w:jc w:val="center"/>
        <w:rPr>
          <w:rFonts w:ascii="仿宋_GB2312" w:eastAsia="仿宋_GB2312"/>
          <w:b/>
          <w:sz w:val="24"/>
        </w:rPr>
      </w:pPr>
    </w:p>
    <w:p>
      <w:pPr>
        <w:adjustRightInd w:val="0"/>
        <w:snapToGrid w:val="0"/>
        <w:spacing w:before="120" w:beforeLines="50" w:line="360" w:lineRule="auto"/>
        <w:rPr>
          <w:rFonts w:ascii="仿宋_GB2312" w:eastAsia="仿宋_GB2312"/>
          <w:sz w:val="24"/>
        </w:rPr>
      </w:pPr>
      <w:bookmarkStart w:id="322" w:name="_Toc294206748"/>
      <w:r>
        <w:rPr>
          <w:rFonts w:hint="eastAsia" w:ascii="仿宋_GB2312" w:eastAsia="仿宋_GB2312"/>
          <w:b/>
          <w:sz w:val="24"/>
        </w:rPr>
        <w:t>备注</w:t>
      </w:r>
      <w:r>
        <w:rPr>
          <w:rFonts w:hint="eastAsia" w:ascii="仿宋_GB2312" w:eastAsia="仿宋_GB2312"/>
          <w:sz w:val="24"/>
        </w:rPr>
        <w:t>：</w:t>
      </w:r>
      <w:r>
        <w:rPr>
          <w:rFonts w:ascii="仿宋_GB2312" w:eastAsia="仿宋_GB2312"/>
          <w:sz w:val="24"/>
        </w:rPr>
        <w:t>1</w:t>
      </w:r>
      <w:r>
        <w:rPr>
          <w:rFonts w:hint="eastAsia" w:ascii="仿宋_GB2312" w:eastAsia="仿宋_GB2312"/>
          <w:sz w:val="24"/>
        </w:rPr>
        <w:t>、提供</w:t>
      </w:r>
      <w:r>
        <w:rPr>
          <w:rFonts w:ascii="仿宋_GB2312" w:eastAsia="仿宋_GB2312"/>
          <w:sz w:val="24"/>
        </w:rPr>
        <w:t>2016</w:t>
      </w:r>
      <w:r>
        <w:rPr>
          <w:rFonts w:hint="eastAsia" w:ascii="仿宋_GB2312" w:eastAsia="仿宋_GB2312"/>
          <w:sz w:val="24"/>
        </w:rPr>
        <w:t>年、</w:t>
      </w:r>
      <w:r>
        <w:rPr>
          <w:rFonts w:ascii="仿宋_GB2312" w:eastAsia="仿宋_GB2312"/>
          <w:sz w:val="24"/>
        </w:rPr>
        <w:t>2017</w:t>
      </w:r>
      <w:r>
        <w:rPr>
          <w:rFonts w:hint="eastAsia" w:ascii="仿宋_GB2312" w:eastAsia="仿宋_GB2312"/>
          <w:sz w:val="24"/>
        </w:rPr>
        <w:t>年、</w:t>
      </w:r>
      <w:r>
        <w:rPr>
          <w:rFonts w:ascii="仿宋_GB2312" w:eastAsia="仿宋_GB2312"/>
          <w:sz w:val="24"/>
        </w:rPr>
        <w:t>2018</w:t>
      </w:r>
      <w:r>
        <w:rPr>
          <w:rFonts w:hint="eastAsia" w:ascii="仿宋_GB2312" w:eastAsia="仿宋_GB2312"/>
          <w:sz w:val="24"/>
        </w:rPr>
        <w:t>度经会计师事务所审计的审计报告（包括资产负债表、利润表、现金流量表以及会计报表附注）的复印件</w:t>
      </w:r>
      <w:bookmarkEnd w:id="322"/>
      <w:r>
        <w:rPr>
          <w:rFonts w:hint="eastAsia" w:ascii="仿宋_GB2312" w:eastAsia="仿宋_GB2312"/>
          <w:sz w:val="24"/>
        </w:rPr>
        <w:t>。</w:t>
      </w:r>
    </w:p>
    <w:p>
      <w:pPr>
        <w:adjustRightInd w:val="0"/>
        <w:snapToGrid w:val="0"/>
        <w:spacing w:before="120" w:beforeLines="50" w:line="360" w:lineRule="auto"/>
        <w:ind w:firstLine="708" w:firstLineChars="295"/>
        <w:rPr>
          <w:rFonts w:ascii="仿宋_GB2312" w:eastAsia="仿宋_GB2312"/>
          <w:sz w:val="24"/>
        </w:rPr>
      </w:pPr>
      <w:r>
        <w:rPr>
          <w:rFonts w:ascii="仿宋_GB2312" w:eastAsia="仿宋_GB2312"/>
          <w:sz w:val="24"/>
        </w:rPr>
        <w:t>2</w:t>
      </w:r>
      <w:r>
        <w:rPr>
          <w:rFonts w:hint="eastAsia" w:ascii="仿宋_GB2312" w:eastAsia="仿宋_GB2312"/>
          <w:sz w:val="24"/>
        </w:rPr>
        <w:t>、由公司基本账户银行出具的银行信用证明。</w:t>
      </w:r>
    </w:p>
    <w:p>
      <w:pPr>
        <w:adjustRightInd w:val="0"/>
        <w:snapToGrid w:val="0"/>
        <w:spacing w:before="120" w:beforeLines="50" w:line="360" w:lineRule="auto"/>
        <w:ind w:firstLine="720" w:firstLineChars="300"/>
        <w:rPr>
          <w:rFonts w:ascii="仿宋_GB2312" w:eastAsia="仿宋_GB2312"/>
          <w:sz w:val="24"/>
        </w:rPr>
        <w:sectPr>
          <w:pgSz w:w="11906" w:h="16838"/>
          <w:pgMar w:top="1701" w:right="1418" w:bottom="1701" w:left="1701" w:header="1134" w:footer="907" w:gutter="0"/>
          <w:cols w:space="720" w:num="1"/>
          <w:docGrid w:linePitch="312" w:charSpace="0"/>
        </w:sectPr>
      </w:pPr>
    </w:p>
    <w:p>
      <w:pPr>
        <w:pStyle w:val="3"/>
        <w:keepLines w:val="0"/>
        <w:numPr>
          <w:ilvl w:val="0"/>
          <w:numId w:val="0"/>
        </w:numPr>
        <w:tabs>
          <w:tab w:val="left" w:pos="0"/>
          <w:tab w:val="left" w:pos="720"/>
        </w:tabs>
        <w:spacing w:before="120" w:beforeLines="50" w:line="360" w:lineRule="exact"/>
        <w:jc w:val="center"/>
        <w:rPr>
          <w:rFonts w:ascii="仿宋_GB2312"/>
          <w:szCs w:val="24"/>
        </w:rPr>
      </w:pPr>
      <w:bookmarkStart w:id="323" w:name="_Toc429602604"/>
      <w:bookmarkStart w:id="324" w:name="_Toc429604245"/>
      <w:bookmarkStart w:id="325" w:name="_Toc429862246"/>
      <w:bookmarkStart w:id="326" w:name="_Toc481542908"/>
      <w:r>
        <w:rPr>
          <w:rFonts w:hint="eastAsia" w:ascii="仿宋_GB2312"/>
          <w:szCs w:val="24"/>
        </w:rPr>
        <w:t>附件</w:t>
      </w:r>
      <w:r>
        <w:rPr>
          <w:rFonts w:ascii="仿宋_GB2312"/>
          <w:szCs w:val="24"/>
        </w:rPr>
        <w:t xml:space="preserve">11 </w:t>
      </w:r>
      <w:r>
        <w:rPr>
          <w:rFonts w:hint="eastAsia" w:ascii="仿宋_GB2312"/>
          <w:szCs w:val="24"/>
        </w:rPr>
        <w:t>参加政府采购活动前三年内在经营活动中没有重大违法记录的书面声明</w:t>
      </w:r>
      <w:bookmarkEnd w:id="323"/>
      <w:bookmarkEnd w:id="324"/>
      <w:bookmarkEnd w:id="325"/>
      <w:r>
        <w:rPr>
          <w:rFonts w:hint="eastAsia" w:ascii="仿宋_GB2312"/>
          <w:szCs w:val="24"/>
        </w:rPr>
        <w:t>（另附）</w:t>
      </w:r>
      <w:bookmarkEnd w:id="326"/>
    </w:p>
    <w:p>
      <w:pPr>
        <w:adjustRightInd w:val="0"/>
        <w:snapToGrid w:val="0"/>
        <w:spacing w:before="120" w:beforeLines="50" w:line="360" w:lineRule="auto"/>
        <w:rPr>
          <w:rFonts w:ascii="仿宋_GB2312" w:eastAsia="仿宋_GB2312"/>
          <w:sz w:val="24"/>
        </w:rPr>
      </w:pPr>
    </w:p>
    <w:p>
      <w:pPr>
        <w:adjustRightInd w:val="0"/>
        <w:snapToGrid w:val="0"/>
        <w:spacing w:before="120" w:beforeLines="50" w:line="360" w:lineRule="auto"/>
        <w:ind w:left="-2" w:leftChars="-1"/>
        <w:rPr>
          <w:rFonts w:ascii="仿宋_GB2312" w:eastAsia="仿宋_GB2312"/>
          <w:sz w:val="24"/>
        </w:rPr>
      </w:pPr>
      <w:r>
        <w:rPr>
          <w:rFonts w:hint="eastAsia" w:ascii="仿宋_GB2312" w:eastAsia="仿宋_GB2312"/>
          <w:sz w:val="24"/>
        </w:rPr>
        <w:t>致</w:t>
      </w:r>
      <w:r>
        <w:rPr>
          <w:rFonts w:ascii="仿宋_GB2312" w:eastAsia="仿宋_GB2312"/>
          <w:sz w:val="24"/>
          <w:u w:val="single"/>
        </w:rPr>
        <w:t xml:space="preserve">              </w:t>
      </w:r>
      <w:r>
        <w:rPr>
          <w:rFonts w:ascii="仿宋_GB2312" w:eastAsia="仿宋_GB2312"/>
          <w:sz w:val="24"/>
        </w:rPr>
        <w:t>(</w:t>
      </w:r>
      <w:r>
        <w:rPr>
          <w:rFonts w:hint="eastAsia" w:ascii="仿宋_GB2312" w:eastAsia="仿宋_GB2312"/>
          <w:sz w:val="24"/>
        </w:rPr>
        <w:t>采购代理机构或采购人</w:t>
      </w:r>
      <w:r>
        <w:rPr>
          <w:rFonts w:ascii="仿宋_GB2312" w:eastAsia="仿宋_GB2312"/>
          <w:sz w:val="24"/>
        </w:rPr>
        <w:t>)</w:t>
      </w:r>
      <w:r>
        <w:rPr>
          <w:rFonts w:hint="eastAsia" w:ascii="仿宋_GB2312" w:eastAsia="仿宋_GB2312"/>
          <w:sz w:val="24"/>
        </w:rPr>
        <w:t>：</w:t>
      </w:r>
    </w:p>
    <w:p>
      <w:pPr>
        <w:adjustRightInd w:val="0"/>
        <w:snapToGrid w:val="0"/>
        <w:spacing w:before="120" w:beforeLines="50" w:line="360" w:lineRule="auto"/>
        <w:ind w:left="-88" w:leftChars="-42"/>
        <w:rPr>
          <w:rFonts w:ascii="仿宋_GB2312" w:eastAsia="仿宋_GB2312"/>
          <w:sz w:val="24"/>
        </w:rPr>
      </w:pPr>
    </w:p>
    <w:p>
      <w:pPr>
        <w:widowControl/>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bCs/>
          <w:sz w:val="24"/>
        </w:rPr>
        <w:t>我单位在</w:t>
      </w:r>
      <w:r>
        <w:rPr>
          <w:rFonts w:hint="eastAsia" w:ascii="仿宋_GB2312" w:eastAsia="仿宋_GB2312"/>
          <w:sz w:val="24"/>
        </w:rPr>
        <w:t>参加采购活动前三年内在经营活动中没有政府采购法第二十二条第一款第（五）项所称重大违法记录，包括：</w:t>
      </w:r>
    </w:p>
    <w:p>
      <w:pPr>
        <w:widowControl/>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（一）</w:t>
      </w:r>
      <w:r>
        <w:rPr>
          <w:rFonts w:hint="eastAsia" w:ascii="仿宋_GB2312" w:eastAsia="仿宋_GB2312"/>
          <w:bCs/>
          <w:sz w:val="24"/>
        </w:rPr>
        <w:t>我单位</w:t>
      </w:r>
      <w:r>
        <w:rPr>
          <w:rFonts w:hint="eastAsia" w:ascii="仿宋_GB2312" w:eastAsia="仿宋_GB2312"/>
          <w:sz w:val="24"/>
        </w:rPr>
        <w:t>或者其法定代表人、董事、监事、高级管理人员因经营活动中的违法行为受到行政处罚，但警告和罚款额在三万元以下的行政处罚除外；</w:t>
      </w:r>
    </w:p>
    <w:p>
      <w:pPr>
        <w:widowControl/>
        <w:adjustRightInd w:val="0"/>
        <w:snapToGrid w:val="0"/>
        <w:spacing w:before="120" w:beforeLines="50" w:line="360" w:lineRule="auto"/>
        <w:ind w:firstLine="480" w:firstLineChars="200"/>
        <w:rPr>
          <w:rFonts w:ascii="仿宋_GB2312" w:eastAsia="仿宋_GB2312"/>
          <w:sz w:val="24"/>
        </w:rPr>
      </w:pPr>
      <w:r>
        <w:rPr>
          <w:rFonts w:hint="eastAsia" w:ascii="仿宋_GB2312" w:eastAsia="仿宋_GB2312"/>
          <w:sz w:val="24"/>
        </w:rPr>
        <w:t>（二）</w:t>
      </w:r>
      <w:r>
        <w:rPr>
          <w:rFonts w:hint="eastAsia" w:ascii="仿宋_GB2312" w:eastAsia="仿宋_GB2312"/>
          <w:bCs/>
          <w:sz w:val="24"/>
        </w:rPr>
        <w:t>我单位</w:t>
      </w:r>
      <w:r>
        <w:rPr>
          <w:rFonts w:hint="eastAsia" w:ascii="仿宋_GB2312" w:eastAsia="仿宋_GB2312"/>
          <w:sz w:val="24"/>
        </w:rPr>
        <w:t>或者其法定代表人、董事、监事、高级管理人员因经营活动中的违法行为受到刑事处罚。</w:t>
      </w:r>
    </w:p>
    <w:p>
      <w:pPr>
        <w:widowControl/>
        <w:adjustRightInd w:val="0"/>
        <w:snapToGrid w:val="0"/>
        <w:spacing w:before="120" w:beforeLines="50" w:line="360" w:lineRule="auto"/>
        <w:ind w:firstLine="200"/>
        <w:rPr>
          <w:rFonts w:ascii="仿宋_GB2312" w:eastAsia="仿宋_GB2312"/>
          <w:sz w:val="24"/>
        </w:rPr>
      </w:pPr>
      <w:r>
        <w:rPr>
          <w:rFonts w:hint="eastAsia" w:ascii="仿宋_GB2312" w:eastAsia="仿宋_GB2312"/>
          <w:sz w:val="24"/>
        </w:rPr>
        <w:t>特此声明！</w:t>
      </w:r>
    </w:p>
    <w:p>
      <w:pPr>
        <w:widowControl/>
        <w:adjustRightInd w:val="0"/>
        <w:snapToGrid w:val="0"/>
        <w:spacing w:before="120" w:beforeLines="50" w:line="360" w:lineRule="auto"/>
        <w:ind w:firstLine="420"/>
        <w:rPr>
          <w:rFonts w:ascii="仿宋_GB2312" w:eastAsia="仿宋_GB2312"/>
          <w:sz w:val="24"/>
        </w:rPr>
      </w:pPr>
    </w:p>
    <w:p>
      <w:pPr>
        <w:widowControl/>
        <w:adjustRightInd w:val="0"/>
        <w:snapToGrid w:val="0"/>
        <w:spacing w:before="120" w:beforeLines="50" w:line="360" w:lineRule="auto"/>
        <w:ind w:firstLine="420"/>
        <w:rPr>
          <w:rFonts w:ascii="仿宋_GB2312" w:eastAsia="仿宋_GB2312"/>
          <w:sz w:val="24"/>
        </w:rPr>
      </w:pPr>
    </w:p>
    <w:p>
      <w:pPr>
        <w:adjustRightInd w:val="0"/>
        <w:snapToGrid w:val="0"/>
        <w:spacing w:before="120" w:beforeLines="50" w:line="360" w:lineRule="auto"/>
        <w:rPr>
          <w:rFonts w:ascii="仿宋_GB2312" w:eastAsia="仿宋_GB2312"/>
          <w:sz w:val="24"/>
        </w:rPr>
      </w:pPr>
      <w:r>
        <w:rPr>
          <w:rFonts w:hint="eastAsia" w:ascii="仿宋_GB2312" w:eastAsia="仿宋_GB2312"/>
          <w:sz w:val="24"/>
        </w:rPr>
        <w:t>投标人名称（单位章）：</w:t>
      </w:r>
      <w:r>
        <w:rPr>
          <w:rFonts w:ascii="仿宋_GB2312" w:eastAsia="仿宋_GB2312"/>
          <w:sz w:val="24"/>
        </w:rPr>
        <w:t xml:space="preserve"> </w:t>
      </w:r>
      <w:r>
        <w:rPr>
          <w:rFonts w:ascii="仿宋_GB2312" w:eastAsia="仿宋_GB2312"/>
          <w:sz w:val="24"/>
          <w:u w:val="single"/>
        </w:rPr>
        <w:t xml:space="preserve">                     </w:t>
      </w:r>
    </w:p>
    <w:p>
      <w:pPr>
        <w:adjustRightInd w:val="0"/>
        <w:snapToGrid w:val="0"/>
        <w:spacing w:before="120" w:beforeLines="50" w:line="360" w:lineRule="auto"/>
        <w:rPr>
          <w:rFonts w:ascii="仿宋_GB2312" w:eastAsia="仿宋_GB2312"/>
          <w:sz w:val="24"/>
        </w:rPr>
      </w:pPr>
      <w:r>
        <w:rPr>
          <w:rFonts w:hint="eastAsia" w:ascii="仿宋_GB2312" w:eastAsia="仿宋_GB2312"/>
          <w:sz w:val="24"/>
        </w:rPr>
        <w:t>法定代表人（签字或盖章）：</w:t>
      </w:r>
      <w:r>
        <w:rPr>
          <w:rFonts w:ascii="仿宋_GB2312" w:eastAsia="仿宋_GB2312"/>
          <w:sz w:val="24"/>
          <w:u w:val="single"/>
        </w:rPr>
        <w:t xml:space="preserve">              </w:t>
      </w:r>
    </w:p>
    <w:p>
      <w:pPr>
        <w:widowControl/>
        <w:adjustRightInd w:val="0"/>
        <w:snapToGrid w:val="0"/>
        <w:spacing w:before="120" w:beforeLines="50" w:line="360" w:lineRule="auto"/>
        <w:rPr>
          <w:rFonts w:ascii="仿宋_GB2312" w:eastAsia="仿宋_GB2312"/>
          <w:sz w:val="24"/>
        </w:rPr>
        <w:sectPr>
          <w:pgSz w:w="11906" w:h="16838"/>
          <w:pgMar w:top="1701" w:right="1418" w:bottom="1701" w:left="1701" w:header="1134" w:footer="907" w:gutter="0"/>
          <w:cols w:space="720" w:num="1"/>
          <w:docGrid w:linePitch="312" w:charSpace="0"/>
        </w:sectPr>
      </w:pPr>
      <w:r>
        <w:rPr>
          <w:rFonts w:hint="eastAsia" w:ascii="仿宋_GB2312" w:eastAsia="仿宋_GB2312"/>
          <w:sz w:val="24"/>
        </w:rPr>
        <w:t>日期：</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pStyle w:val="3"/>
        <w:keepLines w:val="0"/>
        <w:numPr>
          <w:ilvl w:val="0"/>
          <w:numId w:val="0"/>
        </w:numPr>
        <w:tabs>
          <w:tab w:val="left" w:pos="0"/>
          <w:tab w:val="left" w:pos="360"/>
        </w:tabs>
        <w:spacing w:before="120" w:beforeLines="50" w:line="360" w:lineRule="exact"/>
        <w:jc w:val="center"/>
        <w:rPr>
          <w:rFonts w:ascii="仿宋_GB2312"/>
          <w:szCs w:val="24"/>
        </w:rPr>
      </w:pPr>
      <w:bookmarkStart w:id="327" w:name="_Toc481542909"/>
      <w:bookmarkStart w:id="328" w:name="_Toc429604247"/>
      <w:bookmarkStart w:id="329" w:name="_Toc429602606"/>
      <w:bookmarkStart w:id="330" w:name="_Toc429862248"/>
      <w:r>
        <w:rPr>
          <w:rFonts w:hint="eastAsia" w:ascii="仿宋_GB2312"/>
          <w:szCs w:val="24"/>
        </w:rPr>
        <w:t>附件</w:t>
      </w:r>
      <w:r>
        <w:rPr>
          <w:rFonts w:ascii="仿宋_GB2312"/>
          <w:szCs w:val="24"/>
        </w:rPr>
        <w:t xml:space="preserve">12 </w:t>
      </w:r>
      <w:r>
        <w:rPr>
          <w:rFonts w:hint="eastAsia" w:ascii="仿宋_GB2312"/>
          <w:szCs w:val="24"/>
        </w:rPr>
        <w:t>业绩证明文件</w:t>
      </w:r>
      <w:bookmarkEnd w:id="327"/>
    </w:p>
    <w:p/>
    <w:tbl>
      <w:tblPr>
        <w:tblStyle w:val="45"/>
        <w:tblW w:w="91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3"/>
        <w:gridCol w:w="1824"/>
        <w:gridCol w:w="1824"/>
        <w:gridCol w:w="1824"/>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823" w:type="dxa"/>
            <w:vAlign w:val="center"/>
          </w:tcPr>
          <w:p>
            <w:pPr>
              <w:jc w:val="center"/>
              <w:rPr>
                <w:rFonts w:ascii="仿宋_GB2312" w:eastAsia="仿宋_GB2312"/>
                <w:b/>
                <w:sz w:val="24"/>
              </w:rPr>
            </w:pPr>
            <w:r>
              <w:rPr>
                <w:rFonts w:hint="eastAsia" w:ascii="仿宋_GB2312" w:eastAsia="仿宋_GB2312"/>
                <w:b/>
                <w:sz w:val="24"/>
              </w:rPr>
              <w:t>序号</w:t>
            </w:r>
          </w:p>
        </w:tc>
        <w:tc>
          <w:tcPr>
            <w:tcW w:w="1824" w:type="dxa"/>
            <w:vAlign w:val="center"/>
          </w:tcPr>
          <w:p>
            <w:pPr>
              <w:jc w:val="center"/>
              <w:rPr>
                <w:rFonts w:ascii="仿宋_GB2312" w:eastAsia="仿宋_GB2312"/>
                <w:b/>
                <w:sz w:val="24"/>
              </w:rPr>
            </w:pPr>
            <w:r>
              <w:rPr>
                <w:rFonts w:hint="eastAsia" w:ascii="仿宋_GB2312" w:eastAsia="仿宋_GB2312"/>
                <w:b/>
                <w:sz w:val="24"/>
              </w:rPr>
              <w:t>项目名称</w:t>
            </w:r>
          </w:p>
        </w:tc>
        <w:tc>
          <w:tcPr>
            <w:tcW w:w="1824" w:type="dxa"/>
            <w:vAlign w:val="center"/>
          </w:tcPr>
          <w:p>
            <w:pPr>
              <w:jc w:val="center"/>
              <w:rPr>
                <w:rFonts w:ascii="仿宋_GB2312" w:eastAsia="仿宋_GB2312"/>
                <w:b/>
                <w:sz w:val="24"/>
              </w:rPr>
            </w:pPr>
            <w:r>
              <w:rPr>
                <w:rFonts w:hint="eastAsia" w:ascii="仿宋_GB2312" w:eastAsia="仿宋_GB2312"/>
                <w:b/>
                <w:sz w:val="24"/>
              </w:rPr>
              <w:t>合同金额</w:t>
            </w:r>
          </w:p>
        </w:tc>
        <w:tc>
          <w:tcPr>
            <w:tcW w:w="1824" w:type="dxa"/>
            <w:vAlign w:val="center"/>
          </w:tcPr>
          <w:p>
            <w:pPr>
              <w:widowControl/>
              <w:adjustRightInd w:val="0"/>
              <w:snapToGrid w:val="0"/>
              <w:spacing w:before="120" w:beforeLines="50" w:line="360" w:lineRule="auto"/>
              <w:ind w:firstLine="482" w:firstLineChars="200"/>
              <w:rPr>
                <w:rFonts w:ascii="仿宋_GB2312" w:eastAsia="仿宋_GB2312"/>
                <w:b/>
                <w:sz w:val="24"/>
              </w:rPr>
            </w:pPr>
            <w:r>
              <w:rPr>
                <w:rFonts w:hint="eastAsia" w:ascii="仿宋_GB2312" w:eastAsia="仿宋_GB2312"/>
                <w:b/>
                <w:sz w:val="24"/>
              </w:rPr>
              <w:t>业主</w:t>
            </w:r>
          </w:p>
        </w:tc>
        <w:tc>
          <w:tcPr>
            <w:tcW w:w="1824" w:type="dxa"/>
            <w:vAlign w:val="center"/>
          </w:tcPr>
          <w:p>
            <w:pPr>
              <w:jc w:val="center"/>
              <w:rPr>
                <w:rFonts w:ascii="仿宋_GB2312" w:eastAsia="仿宋_GB2312"/>
                <w:b/>
                <w:sz w:val="24"/>
              </w:rPr>
            </w:pPr>
            <w:r>
              <w:rPr>
                <w:rFonts w:hint="eastAsia" w:ascii="仿宋_GB2312" w:eastAsia="仿宋_GB2312"/>
                <w:b/>
                <w:sz w:val="24"/>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823"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823"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823"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823"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823"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c>
          <w:tcPr>
            <w:tcW w:w="1824" w:type="dxa"/>
          </w:tcPr>
          <w:p>
            <w:pPr>
              <w:rPr>
                <w:rFonts w:ascii="仿宋_GB2312" w:eastAsia="仿宋_GB2312"/>
                <w:sz w:val="28"/>
                <w:szCs w:val="28"/>
              </w:rPr>
            </w:pPr>
          </w:p>
        </w:tc>
      </w:tr>
    </w:tbl>
    <w:p>
      <w:pPr>
        <w:widowControl/>
        <w:adjustRightInd w:val="0"/>
        <w:snapToGrid w:val="0"/>
        <w:spacing w:before="120" w:beforeLines="50" w:line="360" w:lineRule="auto"/>
        <w:jc w:val="left"/>
        <w:rPr>
          <w:rFonts w:ascii="仿宋_GB2312" w:eastAsia="仿宋_GB2312"/>
          <w:bCs/>
          <w:sz w:val="24"/>
        </w:rPr>
      </w:pPr>
      <w:r>
        <w:rPr>
          <w:rFonts w:hint="eastAsia" w:ascii="仿宋_GB2312" w:eastAsia="仿宋_GB2312"/>
          <w:bCs/>
          <w:sz w:val="24"/>
        </w:rPr>
        <w:t>提供投标文件递交截止日前三年内完成过的工程建筑工程</w:t>
      </w:r>
      <w:r>
        <w:rPr>
          <w:rFonts w:ascii="仿宋_GB2312" w:eastAsia="仿宋_GB2312"/>
          <w:bCs/>
          <w:sz w:val="24"/>
        </w:rPr>
        <w:t>或市政工程</w:t>
      </w:r>
      <w:r>
        <w:rPr>
          <w:rFonts w:hint="eastAsia" w:ascii="仿宋_GB2312" w:eastAsia="仿宋_GB2312"/>
          <w:bCs/>
          <w:sz w:val="24"/>
        </w:rPr>
        <w:t>业绩（单项合同额在3000万-1亿元以上、已完工项目），如合同、成交通知书、竣工验收证明、完工证明等足可以证明业绩真实性的文件。</w:t>
      </w: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p>
      <w:pPr>
        <w:widowControl/>
        <w:adjustRightInd w:val="0"/>
        <w:snapToGrid w:val="0"/>
        <w:spacing w:before="120" w:beforeLines="50" w:line="360" w:lineRule="auto"/>
        <w:jc w:val="left"/>
        <w:rPr>
          <w:rFonts w:ascii="仿宋_GB2312" w:eastAsia="仿宋_GB2312"/>
          <w:bCs/>
          <w:sz w:val="24"/>
        </w:rPr>
      </w:pPr>
    </w:p>
    <w:bookmarkEnd w:id="328"/>
    <w:bookmarkEnd w:id="329"/>
    <w:bookmarkEnd w:id="330"/>
    <w:p>
      <w:pPr>
        <w:widowControl/>
        <w:adjustRightInd w:val="0"/>
        <w:snapToGrid w:val="0"/>
        <w:spacing w:before="120" w:beforeLines="50" w:line="360" w:lineRule="auto"/>
        <w:jc w:val="left"/>
        <w:rPr>
          <w:rFonts w:ascii="仿宋_GB2312" w:eastAsia="仿宋_GB2312"/>
          <w:sz w:val="24"/>
        </w:rPr>
      </w:pPr>
      <w:bookmarkStart w:id="331" w:name="_Toc475770879"/>
      <w:bookmarkEnd w:id="331"/>
    </w:p>
    <w:p>
      <w:pPr>
        <w:pStyle w:val="3"/>
        <w:keepLines w:val="0"/>
        <w:numPr>
          <w:ilvl w:val="0"/>
          <w:numId w:val="0"/>
        </w:numPr>
        <w:tabs>
          <w:tab w:val="left" w:pos="0"/>
          <w:tab w:val="left" w:pos="360"/>
        </w:tabs>
        <w:spacing w:before="120" w:beforeLines="50" w:line="360" w:lineRule="exact"/>
        <w:jc w:val="center"/>
        <w:rPr>
          <w:rFonts w:ascii="仿宋_GB2312"/>
          <w:b w:val="0"/>
          <w:szCs w:val="24"/>
        </w:rPr>
      </w:pPr>
      <w:r>
        <w:rPr>
          <w:rFonts w:hint="eastAsia" w:ascii="仿宋_GB2312"/>
          <w:szCs w:val="24"/>
        </w:rPr>
        <w:t>附件</w:t>
      </w:r>
      <w:r>
        <w:rPr>
          <w:rFonts w:ascii="仿宋_GB2312"/>
          <w:szCs w:val="24"/>
        </w:rPr>
        <w:t xml:space="preserve">13 </w:t>
      </w:r>
      <w:r>
        <w:rPr>
          <w:rFonts w:hint="eastAsia" w:ascii="仿宋_GB2312"/>
          <w:szCs w:val="24"/>
        </w:rPr>
        <w:t>投标承诺汇总表</w:t>
      </w:r>
    </w:p>
    <w:p>
      <w:pPr>
        <w:rPr>
          <w:rFonts w:ascii="仿宋_GB2312" w:eastAsia="仿宋_GB2312"/>
        </w:rPr>
      </w:pPr>
    </w:p>
    <w:p>
      <w:pPr>
        <w:spacing w:line="360" w:lineRule="auto"/>
        <w:rPr>
          <w:rFonts w:ascii="仿宋_GB2312" w:eastAsia="仿宋_GB2312"/>
          <w:sz w:val="24"/>
          <w:szCs w:val="24"/>
          <w:u w:val="single"/>
        </w:rPr>
      </w:pPr>
      <w:r>
        <w:rPr>
          <w:rFonts w:hint="eastAsia" w:ascii="仿宋_GB2312" w:eastAsia="仿宋_GB2312"/>
          <w:sz w:val="24"/>
          <w:szCs w:val="24"/>
        </w:rPr>
        <w:t>招标文件名称：</w:t>
      </w:r>
      <w:r>
        <w:rPr>
          <w:rFonts w:hint="eastAsia" w:ascii="仿宋_GB2312" w:eastAsia="仿宋_GB2312"/>
          <w:sz w:val="24"/>
          <w:szCs w:val="24"/>
          <w:u w:val="single"/>
        </w:rPr>
        <w:t xml:space="preserve">                       </w:t>
      </w:r>
    </w:p>
    <w:p>
      <w:pPr>
        <w:spacing w:line="360" w:lineRule="auto"/>
        <w:rPr>
          <w:rFonts w:ascii="仿宋_GB2312" w:eastAsia="仿宋_GB2312"/>
          <w:sz w:val="24"/>
          <w:szCs w:val="24"/>
        </w:rPr>
      </w:pPr>
      <w:r>
        <w:rPr>
          <w:rFonts w:hint="eastAsia" w:ascii="仿宋_GB2312" w:eastAsia="仿宋_GB2312"/>
          <w:sz w:val="24"/>
          <w:szCs w:val="24"/>
        </w:rPr>
        <w:t>招标文件编号：</w:t>
      </w:r>
      <w:r>
        <w:rPr>
          <w:rFonts w:hint="eastAsia" w:ascii="仿宋_GB2312" w:eastAsia="仿宋_GB2312"/>
          <w:sz w:val="24"/>
          <w:szCs w:val="24"/>
          <w:u w:val="single"/>
        </w:rPr>
        <w:t xml:space="preserve">                        </w:t>
      </w:r>
    </w:p>
    <w:p>
      <w:pPr>
        <w:spacing w:line="360" w:lineRule="auto"/>
        <w:rPr>
          <w:rFonts w:ascii="仿宋_GB2312" w:eastAsia="仿宋_GB2312"/>
          <w:color w:val="000000"/>
          <w:sz w:val="24"/>
          <w:szCs w:val="24"/>
        </w:rPr>
      </w:pPr>
      <w:r>
        <w:rPr>
          <w:rFonts w:hint="eastAsia" w:ascii="仿宋_GB2312" w:eastAsia="仿宋_GB2312"/>
          <w:sz w:val="24"/>
          <w:szCs w:val="24"/>
        </w:rPr>
        <w:t>致</w:t>
      </w:r>
      <w:r>
        <w:rPr>
          <w:rFonts w:hint="eastAsia" w:ascii="仿宋_GB2312" w:eastAsia="仿宋_GB2312"/>
          <w:color w:val="000000"/>
          <w:sz w:val="24"/>
          <w:szCs w:val="24"/>
        </w:rPr>
        <w:t>：（采购人）</w:t>
      </w:r>
    </w:p>
    <w:p>
      <w:pPr>
        <w:spacing w:line="360" w:lineRule="auto"/>
        <w:ind w:firstLine="480" w:firstLineChars="200"/>
        <w:rPr>
          <w:rFonts w:ascii="仿宋_GB2312" w:eastAsia="仿宋_GB2312"/>
          <w:color w:val="000000"/>
          <w:sz w:val="24"/>
          <w:szCs w:val="24"/>
        </w:rPr>
      </w:pPr>
    </w:p>
    <w:p>
      <w:pPr>
        <w:spacing w:line="360" w:lineRule="auto"/>
        <w:ind w:firstLine="480" w:firstLineChars="200"/>
        <w:rPr>
          <w:rFonts w:ascii="仿宋_GB2312" w:eastAsia="仿宋_GB2312"/>
          <w:sz w:val="24"/>
          <w:szCs w:val="24"/>
        </w:rPr>
      </w:pPr>
      <w:r>
        <w:rPr>
          <w:rFonts w:hint="eastAsia" w:ascii="仿宋_GB2312" w:eastAsia="仿宋_GB2312"/>
          <w:sz w:val="24"/>
          <w:szCs w:val="24"/>
        </w:rPr>
        <w:t>经考察现场并研究上述设计方案、合同条款、技术规范及</w:t>
      </w:r>
      <w:r>
        <w:rPr>
          <w:rFonts w:ascii="仿宋_GB2312" w:eastAsia="仿宋_GB2312"/>
          <w:sz w:val="24"/>
          <w:szCs w:val="24"/>
        </w:rPr>
        <w:t>招标文件</w:t>
      </w:r>
      <w:r>
        <w:rPr>
          <w:rFonts w:hint="eastAsia" w:ascii="仿宋_GB2312" w:eastAsia="仿宋_GB2312"/>
          <w:sz w:val="24"/>
          <w:szCs w:val="24"/>
        </w:rPr>
        <w:t>后，我方愿以招标文件和P</w:t>
      </w:r>
      <w:r>
        <w:rPr>
          <w:rFonts w:ascii="仿宋_GB2312" w:eastAsia="仿宋_GB2312"/>
          <w:sz w:val="24"/>
          <w:szCs w:val="24"/>
        </w:rPr>
        <w:t>PP</w:t>
      </w:r>
      <w:r>
        <w:rPr>
          <w:rFonts w:hint="eastAsia" w:ascii="仿宋_GB2312" w:eastAsia="仿宋_GB2312"/>
          <w:sz w:val="24"/>
          <w:szCs w:val="24"/>
        </w:rPr>
        <w:t>项目合同要求完成项目投融资、建设、运营和移交。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若我方中标，我方保证在中标通知书中规定的日期开始设计</w:t>
      </w:r>
      <w:r>
        <w:rPr>
          <w:rFonts w:ascii="仿宋_GB2312" w:eastAsia="仿宋_GB2312"/>
          <w:sz w:val="24"/>
          <w:szCs w:val="24"/>
        </w:rPr>
        <w:t>、</w:t>
      </w:r>
      <w:r>
        <w:rPr>
          <w:rFonts w:hint="eastAsia" w:ascii="仿宋_GB2312" w:eastAsia="仿宋_GB2312"/>
          <w:sz w:val="24"/>
          <w:szCs w:val="24"/>
        </w:rPr>
        <w:t>施工，并在中标通知书中规定的预计日期完成和交付全部设计</w:t>
      </w:r>
      <w:r>
        <w:rPr>
          <w:rFonts w:ascii="仿宋_GB2312" w:eastAsia="仿宋_GB2312"/>
          <w:sz w:val="24"/>
          <w:szCs w:val="24"/>
        </w:rPr>
        <w:t>及</w:t>
      </w:r>
      <w:r>
        <w:rPr>
          <w:rFonts w:hint="eastAsia" w:ascii="仿宋_GB2312" w:eastAsia="仿宋_GB2312"/>
          <w:sz w:val="24"/>
          <w:szCs w:val="24"/>
        </w:rPr>
        <w:t>工程。</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如果我方中标，我方将按照合同条款的规定递交合同专用条款中规定数额的银行保函作为建设期履约保证金，并对此共同地和分别地承担责任。</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我方同意本招标文件在投标人须知规定的投标有效期起开始对我方有约束力，并在投标人须知规定的投标有效期截止前一直对我方有约束力且随时可能按此投标文件中标。</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若我方中标，你方的中标通知书和我方的投标文件及附件将构成约束我们双方的契约。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若我方中标，我方将按照招标文件的有关规定履行合同责任和义务。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我们理解你们将不受必须接受你们所收到的最低投标价及其它任何投标文件的约束。</w:t>
      </w:r>
    </w:p>
    <w:p>
      <w:pPr>
        <w:spacing w:line="360" w:lineRule="auto"/>
        <w:ind w:firstLine="480" w:firstLineChars="200"/>
        <w:rPr>
          <w:rFonts w:ascii="仿宋_GB2312" w:eastAsia="仿宋_GB2312"/>
          <w:sz w:val="24"/>
          <w:szCs w:val="24"/>
          <w:u w:val="single"/>
        </w:rPr>
      </w:pPr>
      <w:r>
        <w:rPr>
          <w:rFonts w:hint="eastAsia" w:ascii="仿宋_GB2312" w:eastAsia="仿宋_GB2312"/>
          <w:sz w:val="24"/>
          <w:szCs w:val="24"/>
        </w:rPr>
        <w:t>法定代表人或委托代理人：（签字或盖章及加盖公章）</w:t>
      </w:r>
      <w:r>
        <w:rPr>
          <w:rFonts w:hint="eastAsia" w:ascii="仿宋_GB2312" w:eastAsia="仿宋_GB2312"/>
          <w:sz w:val="24"/>
          <w:szCs w:val="24"/>
          <w:u w:val="single"/>
        </w:rPr>
        <w:t xml:space="preserve">                     </w:t>
      </w:r>
    </w:p>
    <w:p>
      <w:pPr>
        <w:spacing w:line="360" w:lineRule="auto"/>
        <w:ind w:firstLine="480" w:firstLineChars="200"/>
        <w:rPr>
          <w:rFonts w:ascii="仿宋_GB2312" w:eastAsia="仿宋_GB2312"/>
          <w:sz w:val="24"/>
          <w:szCs w:val="24"/>
          <w:u w:val="single"/>
        </w:rPr>
      </w:pPr>
      <w:r>
        <w:rPr>
          <w:rFonts w:hint="eastAsia" w:ascii="仿宋_GB2312" w:eastAsia="仿宋_GB2312"/>
          <w:sz w:val="24"/>
          <w:szCs w:val="24"/>
        </w:rPr>
        <w:t>投标人：</w:t>
      </w:r>
      <w:r>
        <w:rPr>
          <w:rFonts w:hint="eastAsia" w:ascii="仿宋_GB2312" w:eastAsia="仿宋_GB2312"/>
          <w:sz w:val="24"/>
          <w:szCs w:val="24"/>
          <w:u w:val="single"/>
        </w:rPr>
        <w:t xml:space="preserve">                  </w:t>
      </w:r>
      <w:r>
        <w:rPr>
          <w:rFonts w:hint="eastAsia" w:ascii="仿宋_GB2312" w:eastAsia="仿宋_GB2312"/>
          <w:sz w:val="24"/>
          <w:szCs w:val="24"/>
        </w:rPr>
        <w:t>地址：</w:t>
      </w:r>
      <w:r>
        <w:rPr>
          <w:rFonts w:hint="eastAsia" w:ascii="仿宋_GB2312" w:eastAsia="仿宋_GB2312"/>
          <w:sz w:val="24"/>
          <w:szCs w:val="24"/>
          <w:u w:val="single"/>
        </w:rPr>
        <w:t xml:space="preserve">                </w:t>
      </w:r>
    </w:p>
    <w:p>
      <w:pPr>
        <w:tabs>
          <w:tab w:val="left" w:pos="360"/>
          <w:tab w:val="left" w:pos="1800"/>
        </w:tabs>
        <w:spacing w:line="360" w:lineRule="auto"/>
        <w:ind w:right="735" w:firstLine="480" w:firstLineChars="200"/>
        <w:rPr>
          <w:rFonts w:ascii="仿宋_GB2312" w:eastAsia="仿宋_GB2312"/>
        </w:rPr>
      </w:pPr>
      <w:r>
        <w:rPr>
          <w:rFonts w:hint="eastAsia" w:ascii="仿宋_GB2312" w:eastAsia="仿宋_GB2312"/>
          <w:sz w:val="24"/>
          <w:szCs w:val="24"/>
        </w:rPr>
        <w:t xml:space="preserve">日期： </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2"/>
        <w:spacing w:before="4320"/>
        <w:ind w:left="819" w:hanging="819" w:hangingChars="170"/>
        <w:jc w:val="center"/>
        <w:rPr>
          <w:rFonts w:ascii="仿宋_GB2312" w:eastAsia="仿宋_GB2312"/>
          <w:sz w:val="48"/>
          <w:szCs w:val="48"/>
        </w:rPr>
        <w:sectPr>
          <w:pgSz w:w="11906" w:h="16838"/>
          <w:pgMar w:top="1701" w:right="1418" w:bottom="1701" w:left="1701" w:header="1134" w:footer="907" w:gutter="0"/>
          <w:cols w:space="720" w:num="1"/>
          <w:docGrid w:linePitch="312" w:charSpace="0"/>
        </w:sectPr>
      </w:pPr>
      <w:bookmarkStart w:id="332" w:name="_Toc481542910"/>
      <w:r>
        <w:rPr>
          <w:rFonts w:hint="eastAsia" w:ascii="仿宋_GB2312" w:eastAsia="仿宋_GB2312"/>
          <w:sz w:val="48"/>
          <w:szCs w:val="48"/>
        </w:rPr>
        <w:t>第二部分</w:t>
      </w:r>
      <w:r>
        <w:rPr>
          <w:rFonts w:ascii="仿宋_GB2312" w:eastAsia="仿宋_GB2312"/>
          <w:sz w:val="48"/>
          <w:szCs w:val="48"/>
        </w:rPr>
        <w:t xml:space="preserve">  </w:t>
      </w:r>
      <w:r>
        <w:rPr>
          <w:rFonts w:hint="eastAsia" w:ascii="仿宋_GB2312" w:eastAsia="仿宋_GB2312"/>
          <w:sz w:val="48"/>
          <w:szCs w:val="48"/>
        </w:rPr>
        <w:t>技术标</w:t>
      </w:r>
      <w:bookmarkEnd w:id="332"/>
    </w:p>
    <w:p>
      <w:pPr>
        <w:pStyle w:val="3"/>
        <w:keepLines w:val="0"/>
        <w:numPr>
          <w:ilvl w:val="1"/>
          <w:numId w:val="0"/>
        </w:numPr>
        <w:tabs>
          <w:tab w:val="left" w:pos="540"/>
          <w:tab w:val="left" w:pos="720"/>
        </w:tabs>
        <w:spacing w:before="120" w:beforeLines="50" w:line="360" w:lineRule="exact"/>
        <w:jc w:val="center"/>
        <w:rPr>
          <w:rFonts w:ascii="仿宋_GB2312"/>
          <w:sz w:val="32"/>
        </w:rPr>
      </w:pPr>
      <w:bookmarkStart w:id="333" w:name="_Toc481542911"/>
      <w:bookmarkStart w:id="334" w:name="_Toc429602607"/>
      <w:bookmarkStart w:id="335" w:name="_Toc4791"/>
      <w:bookmarkStart w:id="336" w:name="_Toc429604248"/>
      <w:bookmarkStart w:id="337" w:name="_Toc429602608"/>
      <w:bookmarkStart w:id="338" w:name="_Toc429604249"/>
      <w:bookmarkStart w:id="339" w:name="_Toc429862251"/>
      <w:bookmarkStart w:id="340" w:name="_Toc333327528"/>
      <w:r>
        <w:rPr>
          <w:rFonts w:hint="eastAsia" w:ascii="仿宋_GB2312"/>
          <w:sz w:val="32"/>
        </w:rPr>
        <w:t>附表</w:t>
      </w:r>
      <w:r>
        <w:rPr>
          <w:rFonts w:ascii="仿宋_GB2312"/>
          <w:sz w:val="32"/>
        </w:rPr>
        <w:t xml:space="preserve">1  </w:t>
      </w:r>
      <w:r>
        <w:rPr>
          <w:rFonts w:hint="eastAsia" w:ascii="仿宋_GB2312"/>
          <w:sz w:val="32"/>
        </w:rPr>
        <w:t>投融资方案</w:t>
      </w:r>
      <w:bookmarkEnd w:id="333"/>
    </w:p>
    <w:p>
      <w:pPr>
        <w:spacing w:line="360" w:lineRule="auto"/>
        <w:ind w:firstLine="424" w:firstLineChars="177"/>
        <w:rPr>
          <w:rFonts w:ascii="仿宋_GB2312" w:eastAsia="仿宋_GB2312"/>
          <w:sz w:val="24"/>
        </w:rPr>
      </w:pPr>
    </w:p>
    <w:p>
      <w:pPr>
        <w:spacing w:line="360" w:lineRule="auto"/>
        <w:ind w:firstLine="424" w:firstLineChars="177"/>
        <w:rPr>
          <w:rFonts w:ascii="仿宋_GB2312" w:eastAsia="仿宋_GB2312"/>
          <w:sz w:val="24"/>
        </w:rPr>
      </w:pPr>
      <w:r>
        <w:rPr>
          <w:rFonts w:hint="eastAsia" w:ascii="仿宋_GB2312" w:eastAsia="仿宋_GB2312"/>
          <w:sz w:val="24"/>
        </w:rPr>
        <w:t>在投标的技术方案的基础上确定资金来源、收入和成本测算等，对本项目包投资、建设、运营、维护成本、投资回报等进行分析。</w:t>
      </w:r>
    </w:p>
    <w:p>
      <w:pPr>
        <w:numPr>
          <w:ilvl w:val="0"/>
          <w:numId w:val="20"/>
        </w:numPr>
        <w:spacing w:line="360" w:lineRule="auto"/>
        <w:rPr>
          <w:rFonts w:ascii="仿宋_GB2312" w:eastAsia="仿宋_GB2312"/>
          <w:sz w:val="24"/>
        </w:rPr>
      </w:pPr>
      <w:r>
        <w:rPr>
          <w:rFonts w:hint="eastAsia" w:ascii="仿宋_GB2312" w:eastAsia="仿宋_GB2312"/>
          <w:sz w:val="24"/>
        </w:rPr>
        <w:t>财务实力及融资方案</w:t>
      </w:r>
    </w:p>
    <w:p>
      <w:pPr>
        <w:numPr>
          <w:ilvl w:val="0"/>
          <w:numId w:val="21"/>
        </w:numPr>
        <w:spacing w:line="360" w:lineRule="auto"/>
        <w:ind w:left="0" w:firstLine="425"/>
        <w:rPr>
          <w:rFonts w:ascii="仿宋_GB2312" w:eastAsia="仿宋_GB2312"/>
          <w:sz w:val="24"/>
        </w:rPr>
      </w:pPr>
      <w:r>
        <w:rPr>
          <w:rFonts w:hint="eastAsia" w:ascii="仿宋_GB2312" w:eastAsia="仿宋_GB2312"/>
          <w:sz w:val="24"/>
        </w:rPr>
        <w:t>投标人的总资产及净资产，投标人自有资金对项目的支持；</w:t>
      </w:r>
    </w:p>
    <w:p>
      <w:pPr>
        <w:numPr>
          <w:ilvl w:val="0"/>
          <w:numId w:val="21"/>
        </w:numPr>
        <w:spacing w:line="360" w:lineRule="auto"/>
        <w:ind w:left="0" w:firstLine="425"/>
        <w:rPr>
          <w:rFonts w:ascii="仿宋_GB2312" w:eastAsia="仿宋_GB2312"/>
          <w:sz w:val="24"/>
        </w:rPr>
      </w:pPr>
      <w:r>
        <w:rPr>
          <w:rFonts w:hint="eastAsia" w:ascii="仿宋_GB2312" w:eastAsia="仿宋_GB2312"/>
          <w:sz w:val="24"/>
        </w:rPr>
        <w:t>投标人必须在融资方案中确定拟成立的项目公司的出资额；</w:t>
      </w:r>
    </w:p>
    <w:p>
      <w:pPr>
        <w:numPr>
          <w:ilvl w:val="0"/>
          <w:numId w:val="21"/>
        </w:numPr>
        <w:spacing w:line="360" w:lineRule="auto"/>
        <w:ind w:left="0" w:firstLine="425"/>
        <w:rPr>
          <w:rFonts w:ascii="仿宋_GB2312" w:eastAsia="仿宋_GB2312"/>
          <w:sz w:val="24"/>
        </w:rPr>
      </w:pPr>
      <w:r>
        <w:rPr>
          <w:rFonts w:hint="eastAsia" w:ascii="仿宋_GB2312" w:eastAsia="仿宋_GB2312"/>
          <w:sz w:val="24"/>
        </w:rPr>
        <w:t>项目的融资计划，包括详述资金的来源、使用计划和资金成本；</w:t>
      </w:r>
    </w:p>
    <w:p>
      <w:pPr>
        <w:numPr>
          <w:ilvl w:val="0"/>
          <w:numId w:val="21"/>
        </w:numPr>
        <w:spacing w:line="360" w:lineRule="auto"/>
        <w:ind w:left="0" w:firstLine="425"/>
        <w:rPr>
          <w:rFonts w:ascii="仿宋_GB2312" w:eastAsia="仿宋_GB2312"/>
          <w:sz w:val="24"/>
        </w:rPr>
      </w:pPr>
      <w:r>
        <w:rPr>
          <w:rFonts w:hint="eastAsia" w:ascii="仿宋_GB2312" w:eastAsia="仿宋_GB2312"/>
          <w:sz w:val="24"/>
        </w:rPr>
        <w:t>贷款人的意向书、承诺函，或金融机构和预期贷款人的一般资料，以及建议的贷款人同类项目的相关经验资料；</w:t>
      </w:r>
    </w:p>
    <w:p>
      <w:pPr>
        <w:numPr>
          <w:ilvl w:val="0"/>
          <w:numId w:val="21"/>
        </w:numPr>
        <w:spacing w:line="360" w:lineRule="auto"/>
        <w:ind w:left="0" w:firstLine="425"/>
        <w:rPr>
          <w:rFonts w:ascii="仿宋_GB2312" w:eastAsia="仿宋_GB2312"/>
          <w:sz w:val="24"/>
        </w:rPr>
      </w:pPr>
      <w:r>
        <w:rPr>
          <w:rFonts w:hint="eastAsia" w:ascii="仿宋_GB2312" w:eastAsia="仿宋_GB2312"/>
          <w:sz w:val="24"/>
        </w:rPr>
        <w:t>借款主体和借款具体的金额、预期的条款和还款时间表的详细情况。</w:t>
      </w:r>
    </w:p>
    <w:p>
      <w:pPr>
        <w:numPr>
          <w:ilvl w:val="0"/>
          <w:numId w:val="20"/>
        </w:numPr>
        <w:spacing w:line="360" w:lineRule="auto"/>
        <w:rPr>
          <w:rFonts w:ascii="仿宋_GB2312" w:eastAsia="仿宋_GB2312"/>
          <w:sz w:val="24"/>
        </w:rPr>
      </w:pPr>
      <w:r>
        <w:rPr>
          <w:rFonts w:hint="eastAsia" w:ascii="仿宋_GB2312" w:eastAsia="仿宋_GB2312"/>
          <w:sz w:val="24"/>
        </w:rPr>
        <w:t>财务测算分析</w:t>
      </w:r>
    </w:p>
    <w:p>
      <w:pPr>
        <w:numPr>
          <w:ilvl w:val="0"/>
          <w:numId w:val="22"/>
        </w:numPr>
        <w:spacing w:line="360" w:lineRule="auto"/>
        <w:rPr>
          <w:rFonts w:ascii="仿宋_GB2312" w:eastAsia="仿宋_GB2312"/>
          <w:sz w:val="24"/>
        </w:rPr>
      </w:pPr>
      <w:r>
        <w:rPr>
          <w:rFonts w:hint="eastAsia" w:ascii="仿宋_GB2312" w:eastAsia="仿宋_GB2312"/>
          <w:sz w:val="24"/>
        </w:rPr>
        <w:t>财务测算分析基本情况；</w:t>
      </w:r>
    </w:p>
    <w:p>
      <w:pPr>
        <w:numPr>
          <w:ilvl w:val="0"/>
          <w:numId w:val="22"/>
        </w:numPr>
        <w:spacing w:line="360" w:lineRule="auto"/>
        <w:ind w:left="0" w:firstLine="425"/>
        <w:rPr>
          <w:rFonts w:ascii="仿宋_GB2312" w:eastAsia="仿宋_GB2312"/>
          <w:sz w:val="24"/>
        </w:rPr>
      </w:pPr>
      <w:r>
        <w:rPr>
          <w:rFonts w:hint="eastAsia" w:ascii="仿宋_GB2312" w:eastAsia="仿宋_GB2312"/>
          <w:sz w:val="24"/>
        </w:rPr>
        <w:t>财务测算的收入明细；</w:t>
      </w:r>
    </w:p>
    <w:p>
      <w:pPr>
        <w:numPr>
          <w:ilvl w:val="0"/>
          <w:numId w:val="22"/>
        </w:numPr>
        <w:spacing w:line="360" w:lineRule="auto"/>
        <w:ind w:left="0" w:firstLine="425"/>
        <w:rPr>
          <w:rFonts w:ascii="仿宋_GB2312" w:eastAsia="仿宋_GB2312"/>
          <w:sz w:val="24"/>
        </w:rPr>
      </w:pPr>
      <w:r>
        <w:rPr>
          <w:rFonts w:hint="eastAsia" w:ascii="仿宋_GB2312" w:eastAsia="仿宋_GB2312"/>
          <w:sz w:val="24"/>
        </w:rPr>
        <w:t>财务测算成本明细，及成本计算过程；</w:t>
      </w:r>
    </w:p>
    <w:p>
      <w:pPr>
        <w:numPr>
          <w:ilvl w:val="0"/>
          <w:numId w:val="22"/>
        </w:numPr>
        <w:spacing w:line="360" w:lineRule="auto"/>
        <w:ind w:left="0" w:firstLine="425"/>
        <w:rPr>
          <w:rFonts w:ascii="仿宋_GB2312" w:eastAsia="仿宋_GB2312"/>
          <w:sz w:val="24"/>
        </w:rPr>
      </w:pPr>
      <w:r>
        <w:rPr>
          <w:rFonts w:hint="eastAsia" w:ascii="仿宋_GB2312" w:eastAsia="仿宋_GB2312"/>
          <w:sz w:val="24"/>
        </w:rPr>
        <w:t>财务测算报表及分析过程，测算报表应包括项目总投资使用计划与资金筹措表、折旧及摊销估算表、成本费用估算表、利润及利润分配表、项目投资现金流量表、项目资本金现金流量表等。</w:t>
      </w:r>
    </w:p>
    <w:p>
      <w:pPr>
        <w:spacing w:line="360" w:lineRule="auto"/>
        <w:ind w:left="425"/>
        <w:rPr>
          <w:rFonts w:ascii="仿宋_GB2312" w:eastAsia="仿宋_GB2312"/>
          <w:sz w:val="24"/>
        </w:rPr>
      </w:pPr>
    </w:p>
    <w:p>
      <w:pPr>
        <w:rPr>
          <w:rFonts w:ascii="仿宋_GB2312" w:eastAsia="仿宋_GB2312"/>
          <w:sz w:val="24"/>
        </w:rPr>
      </w:pPr>
      <w:r>
        <w:rPr>
          <w:rFonts w:hint="eastAsia" w:ascii="仿宋_GB2312" w:eastAsia="仿宋_GB2312"/>
          <w:sz w:val="24"/>
        </w:rPr>
        <w:t>格式自拟。</w:t>
      </w:r>
    </w:p>
    <w:p>
      <w:pPr>
        <w:rPr>
          <w:rFonts w:ascii="仿宋_GB2312" w:eastAsia="仿宋_GB2312"/>
          <w:sz w:val="24"/>
        </w:rPr>
      </w:pPr>
    </w:p>
    <w:p>
      <w:pPr>
        <w:adjustRightInd w:val="0"/>
        <w:snapToGrid w:val="0"/>
        <w:spacing w:line="440" w:lineRule="exact"/>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440" w:lineRule="exact"/>
        <w:rPr>
          <w:rFonts w:ascii="仿宋_GB2312" w:eastAsia="仿宋_GB2312"/>
          <w:sz w:val="24"/>
        </w:rPr>
        <w:sectPr>
          <w:type w:val="nextColumn"/>
          <w:pgSz w:w="11906" w:h="16838"/>
          <w:pgMar w:top="1701" w:right="1418" w:bottom="1701" w:left="1701" w:header="1134" w:footer="737" w:gutter="0"/>
          <w:cols w:space="720" w:num="1"/>
          <w:docGrid w:linePitch="312" w:charSpace="0"/>
        </w:sect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pStyle w:val="3"/>
        <w:keepLines w:val="0"/>
        <w:numPr>
          <w:ilvl w:val="1"/>
          <w:numId w:val="0"/>
        </w:numPr>
        <w:tabs>
          <w:tab w:val="left" w:pos="540"/>
          <w:tab w:val="left" w:pos="720"/>
        </w:tabs>
        <w:spacing w:before="120" w:beforeLines="50" w:line="360" w:lineRule="exact"/>
        <w:jc w:val="center"/>
        <w:rPr>
          <w:rFonts w:ascii="仿宋_GB2312"/>
          <w:szCs w:val="24"/>
        </w:rPr>
      </w:pPr>
      <w:bookmarkStart w:id="341" w:name="_Toc481542912"/>
      <w:r>
        <w:rPr>
          <w:rFonts w:hint="eastAsia" w:ascii="仿宋_GB2312"/>
          <w:szCs w:val="24"/>
        </w:rPr>
        <w:t>附表</w:t>
      </w:r>
      <w:r>
        <w:rPr>
          <w:rFonts w:ascii="仿宋_GB2312"/>
          <w:szCs w:val="24"/>
        </w:rPr>
        <w:t xml:space="preserve">2  </w:t>
      </w:r>
      <w:r>
        <w:rPr>
          <w:rFonts w:hint="eastAsia" w:ascii="仿宋_GB2312"/>
          <w:szCs w:val="24"/>
        </w:rPr>
        <w:t>项目建设管理方案</w:t>
      </w:r>
      <w:bookmarkEnd w:id="334"/>
      <w:bookmarkEnd w:id="335"/>
      <w:bookmarkEnd w:id="336"/>
      <w:bookmarkEnd w:id="337"/>
      <w:bookmarkEnd w:id="338"/>
      <w:bookmarkEnd w:id="339"/>
      <w:bookmarkEnd w:id="341"/>
    </w:p>
    <w:p>
      <w:pPr>
        <w:rPr>
          <w:rFonts w:ascii="仿宋_GB2312" w:eastAsia="仿宋_GB2312"/>
          <w:sz w:val="24"/>
        </w:rPr>
      </w:pPr>
    </w:p>
    <w:p>
      <w:pPr>
        <w:rPr>
          <w:rFonts w:ascii="仿宋_GB2312" w:eastAsia="仿宋_GB2312"/>
          <w:sz w:val="24"/>
        </w:rPr>
      </w:pPr>
      <w:r>
        <w:rPr>
          <w:rFonts w:hint="eastAsia" w:ascii="仿宋_GB2312" w:eastAsia="仿宋_GB2312"/>
          <w:sz w:val="24"/>
        </w:rPr>
        <w:t>格式自拟。</w:t>
      </w:r>
    </w:p>
    <w:p>
      <w:pPr>
        <w:rPr>
          <w:rFonts w:ascii="仿宋_GB2312" w:eastAsia="仿宋_GB2312"/>
          <w:sz w:val="24"/>
        </w:rPr>
      </w:pPr>
    </w:p>
    <w:p>
      <w:pPr>
        <w:adjustRightInd w:val="0"/>
        <w:snapToGrid w:val="0"/>
        <w:spacing w:line="440" w:lineRule="exact"/>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rPr>
          <w:rFonts w:ascii="仿宋_GB2312" w:eastAsia="仿宋_GB2312"/>
          <w:sz w:val="24"/>
        </w:rPr>
      </w:pPr>
    </w:p>
    <w:p>
      <w:pPr>
        <w:pStyle w:val="3"/>
        <w:keepLines w:val="0"/>
        <w:numPr>
          <w:ilvl w:val="1"/>
          <w:numId w:val="0"/>
        </w:numPr>
        <w:tabs>
          <w:tab w:val="left" w:pos="540"/>
          <w:tab w:val="left" w:pos="720"/>
        </w:tabs>
        <w:spacing w:before="120" w:beforeLines="50" w:line="360" w:lineRule="exact"/>
        <w:jc w:val="center"/>
        <w:rPr>
          <w:rFonts w:ascii="仿宋_GB2312"/>
          <w:szCs w:val="24"/>
        </w:rPr>
      </w:pPr>
      <w:bookmarkStart w:id="342" w:name="_Toc469387447"/>
      <w:bookmarkEnd w:id="342"/>
      <w:bookmarkStart w:id="343" w:name="_Toc475770883"/>
      <w:bookmarkEnd w:id="343"/>
      <w:bookmarkStart w:id="344" w:name="_Toc468354127"/>
      <w:bookmarkEnd w:id="344"/>
      <w:bookmarkStart w:id="345" w:name="_Toc429604250"/>
      <w:bookmarkStart w:id="346" w:name="_Toc429862252"/>
      <w:bookmarkStart w:id="347" w:name="_Toc429602609"/>
      <w:bookmarkStart w:id="348" w:name="_Toc481542913"/>
      <w:r>
        <w:rPr>
          <w:rFonts w:hint="eastAsia" w:ascii="仿宋_GB2312"/>
          <w:szCs w:val="24"/>
        </w:rPr>
        <w:t>附表</w:t>
      </w:r>
      <w:r>
        <w:rPr>
          <w:rFonts w:ascii="仿宋_GB2312"/>
          <w:szCs w:val="24"/>
        </w:rPr>
        <w:t xml:space="preserve">3  </w:t>
      </w:r>
      <w:r>
        <w:rPr>
          <w:rFonts w:hint="eastAsia" w:ascii="仿宋_GB2312"/>
          <w:szCs w:val="24"/>
        </w:rPr>
        <w:t>运营维护方案</w:t>
      </w:r>
      <w:bookmarkEnd w:id="345"/>
      <w:bookmarkEnd w:id="346"/>
      <w:bookmarkEnd w:id="347"/>
      <w:bookmarkEnd w:id="348"/>
    </w:p>
    <w:p>
      <w:pPr>
        <w:adjustRightInd w:val="0"/>
        <w:snapToGrid w:val="0"/>
        <w:spacing w:line="440" w:lineRule="exact"/>
        <w:rPr>
          <w:rFonts w:ascii="仿宋_GB2312" w:eastAsia="仿宋_GB2312"/>
          <w:sz w:val="24"/>
        </w:rPr>
      </w:pPr>
    </w:p>
    <w:p>
      <w:pPr>
        <w:rPr>
          <w:rFonts w:ascii="仿宋_GB2312" w:eastAsia="仿宋_GB2312"/>
          <w:sz w:val="24"/>
        </w:rPr>
      </w:pPr>
      <w:r>
        <w:rPr>
          <w:rFonts w:hint="eastAsia" w:ascii="仿宋_GB2312" w:eastAsia="仿宋_GB2312"/>
          <w:sz w:val="24"/>
        </w:rPr>
        <w:t>格式自拟。</w:t>
      </w:r>
    </w:p>
    <w:p>
      <w:pPr>
        <w:tabs>
          <w:tab w:val="left" w:pos="864"/>
        </w:tabs>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rPr>
          <w:rFonts w:ascii="仿宋_GB2312" w:eastAsia="仿宋_GB2312"/>
          <w:sz w:val="24"/>
        </w:rPr>
      </w:pPr>
    </w:p>
    <w:p>
      <w:pPr>
        <w:pStyle w:val="3"/>
        <w:keepLines w:val="0"/>
        <w:numPr>
          <w:ilvl w:val="1"/>
          <w:numId w:val="0"/>
        </w:numPr>
        <w:tabs>
          <w:tab w:val="left" w:pos="540"/>
          <w:tab w:val="left" w:pos="720"/>
        </w:tabs>
        <w:spacing w:before="120" w:beforeLines="50" w:line="360" w:lineRule="exact"/>
        <w:jc w:val="center"/>
        <w:rPr>
          <w:rFonts w:ascii="仿宋_GB2312"/>
          <w:szCs w:val="24"/>
        </w:rPr>
      </w:pPr>
      <w:bookmarkStart w:id="349" w:name="_Toc468354129"/>
      <w:bookmarkEnd w:id="349"/>
      <w:bookmarkStart w:id="350" w:name="_Toc469387449"/>
      <w:bookmarkEnd w:id="350"/>
      <w:bookmarkStart w:id="351" w:name="_Toc475770885"/>
      <w:bookmarkEnd w:id="351"/>
      <w:bookmarkStart w:id="352" w:name="_Toc429862253"/>
      <w:bookmarkStart w:id="353" w:name="_Toc481542914"/>
      <w:r>
        <w:rPr>
          <w:rFonts w:hint="eastAsia" w:ascii="仿宋_GB2312"/>
          <w:szCs w:val="24"/>
        </w:rPr>
        <w:t>附表</w:t>
      </w:r>
      <w:r>
        <w:rPr>
          <w:rFonts w:ascii="仿宋_GB2312"/>
          <w:szCs w:val="24"/>
        </w:rPr>
        <w:t xml:space="preserve">4  </w:t>
      </w:r>
      <w:r>
        <w:rPr>
          <w:rFonts w:hint="eastAsia" w:ascii="仿宋_GB2312"/>
          <w:szCs w:val="24"/>
        </w:rPr>
        <w:t>移交方案</w:t>
      </w:r>
      <w:bookmarkEnd w:id="352"/>
      <w:bookmarkEnd w:id="353"/>
    </w:p>
    <w:p>
      <w:pPr>
        <w:rPr>
          <w:rFonts w:ascii="仿宋_GB2312" w:eastAsia="仿宋_GB2312"/>
          <w:sz w:val="24"/>
        </w:rPr>
      </w:pPr>
    </w:p>
    <w:p>
      <w:pPr>
        <w:rPr>
          <w:rFonts w:ascii="仿宋_GB2312" w:eastAsia="仿宋_GB2312"/>
          <w:sz w:val="24"/>
        </w:rPr>
      </w:pPr>
      <w:r>
        <w:rPr>
          <w:rFonts w:hint="eastAsia" w:ascii="仿宋_GB2312" w:eastAsia="仿宋_GB2312"/>
          <w:sz w:val="24"/>
        </w:rPr>
        <w:t>格式自拟。</w:t>
      </w:r>
    </w:p>
    <w:p>
      <w:pPr>
        <w:rPr>
          <w:rFonts w:ascii="仿宋_GB2312" w:eastAsia="仿宋_GB2312"/>
          <w:sz w:val="24"/>
        </w:rPr>
      </w:pPr>
    </w:p>
    <w:p>
      <w:pPr>
        <w:adjustRightInd w:val="0"/>
        <w:snapToGrid w:val="0"/>
        <w:spacing w:line="440" w:lineRule="exact"/>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adjustRightInd w:val="0"/>
        <w:snapToGrid w:val="0"/>
        <w:spacing w:line="440" w:lineRule="exact"/>
        <w:rPr>
          <w:rFonts w:ascii="仿宋_GB2312" w:eastAsia="仿宋_GB2312"/>
          <w:sz w:val="24"/>
        </w:rPr>
      </w:pPr>
    </w:p>
    <w:p>
      <w:pPr>
        <w:pStyle w:val="3"/>
        <w:keepLines w:val="0"/>
        <w:numPr>
          <w:ilvl w:val="1"/>
          <w:numId w:val="0"/>
        </w:numPr>
        <w:tabs>
          <w:tab w:val="left" w:pos="540"/>
          <w:tab w:val="left" w:pos="720"/>
        </w:tabs>
        <w:spacing w:before="120" w:beforeLines="50" w:line="360" w:lineRule="exact"/>
        <w:jc w:val="center"/>
        <w:rPr>
          <w:rFonts w:ascii="仿宋_GB2312"/>
          <w:szCs w:val="24"/>
        </w:rPr>
      </w:pPr>
      <w:bookmarkStart w:id="354" w:name="_Toc469387451"/>
      <w:bookmarkEnd w:id="354"/>
      <w:bookmarkStart w:id="355" w:name="_Toc468354131"/>
      <w:bookmarkEnd w:id="355"/>
      <w:bookmarkStart w:id="356" w:name="_Toc475770887"/>
      <w:bookmarkEnd w:id="356"/>
      <w:bookmarkStart w:id="357" w:name="_Toc481542915"/>
      <w:r>
        <w:rPr>
          <w:rFonts w:hint="eastAsia" w:ascii="仿宋_GB2312"/>
          <w:szCs w:val="24"/>
        </w:rPr>
        <w:t>附表</w:t>
      </w:r>
      <w:r>
        <w:rPr>
          <w:rFonts w:ascii="仿宋_GB2312"/>
          <w:szCs w:val="24"/>
        </w:rPr>
        <w:t xml:space="preserve">5  </w:t>
      </w:r>
      <w:r>
        <w:rPr>
          <w:rFonts w:hint="eastAsia" w:ascii="仿宋_GB2312"/>
          <w:szCs w:val="24"/>
        </w:rPr>
        <w:t>保险方案</w:t>
      </w:r>
      <w:bookmarkEnd w:id="357"/>
    </w:p>
    <w:p>
      <w:pPr>
        <w:rPr>
          <w:rFonts w:ascii="仿宋_GB2312" w:eastAsia="仿宋_GB2312"/>
          <w:sz w:val="24"/>
        </w:rPr>
      </w:pPr>
    </w:p>
    <w:p>
      <w:pPr>
        <w:rPr>
          <w:rFonts w:ascii="仿宋_GB2312" w:eastAsia="仿宋_GB2312"/>
          <w:sz w:val="24"/>
        </w:rPr>
      </w:pPr>
      <w:r>
        <w:rPr>
          <w:rFonts w:hint="eastAsia" w:ascii="仿宋_GB2312" w:eastAsia="仿宋_GB2312"/>
          <w:sz w:val="24"/>
        </w:rPr>
        <w:t>格式自拟。</w:t>
      </w:r>
    </w:p>
    <w:p>
      <w:pPr>
        <w:rPr>
          <w:rFonts w:ascii="仿宋_GB2312" w:eastAsia="仿宋_GB2312"/>
          <w:sz w:val="24"/>
        </w:rPr>
      </w:pPr>
    </w:p>
    <w:p>
      <w:pPr>
        <w:adjustRightInd w:val="0"/>
        <w:snapToGrid w:val="0"/>
        <w:spacing w:line="440" w:lineRule="exact"/>
        <w:rPr>
          <w:rFonts w:ascii="仿宋_GB2312" w:eastAsia="仿宋_GB2312"/>
          <w:sz w:val="24"/>
        </w:rPr>
      </w:pPr>
      <w:r>
        <w:rPr>
          <w:rFonts w:hint="eastAsia" w:ascii="仿宋_GB2312" w:eastAsia="仿宋_GB2312"/>
          <w:sz w:val="24"/>
        </w:rPr>
        <w:t>投标人名称（单位章）：</w:t>
      </w:r>
      <w:r>
        <w:rPr>
          <w:rFonts w:ascii="仿宋_GB2312" w:eastAsia="仿宋_GB2312"/>
          <w:sz w:val="24"/>
          <w:u w:val="single"/>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法定代表人或其授权的代理人</w:t>
      </w:r>
      <w:r>
        <w:rPr>
          <w:rFonts w:ascii="仿宋_GB2312" w:eastAsia="仿宋_GB2312"/>
          <w:sz w:val="24"/>
        </w:rPr>
        <w:t>(</w:t>
      </w:r>
      <w:r>
        <w:rPr>
          <w:rFonts w:hint="eastAsia" w:ascii="仿宋_GB2312" w:eastAsia="仿宋_GB2312"/>
          <w:sz w:val="24"/>
        </w:rPr>
        <w:t>签字</w:t>
      </w:r>
      <w:r>
        <w:rPr>
          <w:rFonts w:ascii="仿宋_GB2312" w:eastAsia="仿宋_GB2312"/>
          <w:sz w:val="24"/>
        </w:rPr>
        <w:t>)</w:t>
      </w:r>
      <w:r>
        <w:rPr>
          <w:rFonts w:hint="eastAsia" w:ascii="仿宋_GB2312" w:eastAsia="仿宋_GB2312"/>
          <w:sz w:val="24"/>
        </w:rPr>
        <w:t>：</w:t>
      </w:r>
      <w:r>
        <w:rPr>
          <w:rFonts w:ascii="仿宋_GB2312" w:eastAsia="仿宋_GB2312"/>
          <w:sz w:val="24"/>
        </w:rPr>
        <w:t xml:space="preserve">             </w:t>
      </w:r>
    </w:p>
    <w:p>
      <w:pPr>
        <w:adjustRightInd w:val="0"/>
        <w:snapToGrid w:val="0"/>
        <w:spacing w:line="440" w:lineRule="exact"/>
        <w:rPr>
          <w:rFonts w:ascii="仿宋_GB2312" w:eastAsia="仿宋_GB2312"/>
          <w:sz w:val="24"/>
        </w:rPr>
      </w:pPr>
      <w:r>
        <w:rPr>
          <w:rFonts w:hint="eastAsia" w:ascii="仿宋_GB2312" w:eastAsia="仿宋_GB2312"/>
          <w:sz w:val="24"/>
        </w:rPr>
        <w:t>日期：</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adjustRightInd w:val="0"/>
        <w:snapToGrid w:val="0"/>
        <w:spacing w:line="440" w:lineRule="exact"/>
        <w:rPr>
          <w:rFonts w:ascii="仿宋_GB2312" w:eastAsia="仿宋_GB2312"/>
          <w:sz w:val="24"/>
        </w:rPr>
      </w:pPr>
    </w:p>
    <w:p>
      <w:pPr>
        <w:pStyle w:val="3"/>
        <w:keepLines w:val="0"/>
        <w:numPr>
          <w:ilvl w:val="1"/>
          <w:numId w:val="0"/>
        </w:numPr>
        <w:tabs>
          <w:tab w:val="left" w:pos="540"/>
          <w:tab w:val="left" w:pos="720"/>
        </w:tabs>
        <w:spacing w:before="120" w:beforeLines="50" w:line="360" w:lineRule="exact"/>
        <w:jc w:val="center"/>
        <w:rPr>
          <w:rFonts w:ascii="仿宋_GB2312"/>
          <w:szCs w:val="24"/>
        </w:rPr>
      </w:pPr>
      <w:r>
        <w:rPr>
          <w:rFonts w:ascii="仿宋_GB2312"/>
          <w:szCs w:val="24"/>
        </w:rPr>
        <w:br w:type="page"/>
      </w:r>
      <w:bookmarkStart w:id="358" w:name="_Toc481542916"/>
      <w:r>
        <w:rPr>
          <w:rFonts w:hint="eastAsia" w:ascii="仿宋_GB2312"/>
          <w:szCs w:val="24"/>
        </w:rPr>
        <w:t>附表</w:t>
      </w:r>
      <w:r>
        <w:rPr>
          <w:rFonts w:ascii="仿宋_GB2312"/>
          <w:szCs w:val="24"/>
        </w:rPr>
        <w:t xml:space="preserve">6  </w:t>
      </w:r>
      <w:r>
        <w:rPr>
          <w:rFonts w:hint="eastAsia" w:ascii="仿宋_GB2312"/>
          <w:szCs w:val="24"/>
        </w:rPr>
        <w:t>投标符合招标文件规定的证明文件</w:t>
      </w:r>
      <w:bookmarkEnd w:id="358"/>
    </w:p>
    <w:p/>
    <w:p>
      <w:pPr>
        <w:rPr>
          <w:rFonts w:ascii="仿宋" w:hAnsi="仿宋" w:eastAsia="仿宋"/>
        </w:rPr>
      </w:pPr>
      <w:r>
        <w:rPr>
          <w:rFonts w:hint="eastAsia" w:ascii="仿宋" w:hAnsi="仿宋" w:eastAsia="仿宋"/>
        </w:rPr>
        <w:t>附：投标人认为对其中标有利的其它书面证明材料</w:t>
      </w:r>
    </w:p>
    <w:p>
      <w:pPr>
        <w:adjustRightInd w:val="0"/>
        <w:snapToGrid w:val="0"/>
        <w:spacing w:line="440" w:lineRule="exact"/>
        <w:rPr>
          <w:rFonts w:ascii="仿宋_GB2312" w:eastAsia="仿宋_GB2312"/>
          <w:sz w:val="24"/>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tabs>
          <w:tab w:val="left" w:pos="360"/>
          <w:tab w:val="left" w:pos="1800"/>
        </w:tabs>
        <w:spacing w:line="480" w:lineRule="exact"/>
        <w:jc w:val="center"/>
        <w:rPr>
          <w:rFonts w:ascii="仿宋_GB2312" w:eastAsia="仿宋_GB2312"/>
          <w:b/>
          <w:bCs/>
          <w:color w:val="000000"/>
          <w:sz w:val="28"/>
          <w:szCs w:val="28"/>
        </w:rPr>
      </w:pPr>
    </w:p>
    <w:p>
      <w:pPr>
        <w:widowControl/>
        <w:jc w:val="left"/>
        <w:rPr>
          <w:rFonts w:ascii="仿宋_GB2312" w:eastAsia="仿宋_GB2312"/>
          <w:b/>
          <w:bCs/>
          <w:color w:val="000000"/>
          <w:sz w:val="28"/>
          <w:szCs w:val="28"/>
        </w:rPr>
      </w:pPr>
      <w:r>
        <w:rPr>
          <w:rFonts w:ascii="仿宋_GB2312" w:eastAsia="仿宋_GB2312"/>
          <w:b/>
          <w:bCs/>
          <w:color w:val="000000"/>
          <w:sz w:val="28"/>
          <w:szCs w:val="28"/>
        </w:rPr>
        <w:br w:type="page"/>
      </w:r>
    </w:p>
    <w:p>
      <w:pPr>
        <w:pStyle w:val="3"/>
        <w:keepLines w:val="0"/>
        <w:numPr>
          <w:ilvl w:val="1"/>
          <w:numId w:val="0"/>
        </w:numPr>
        <w:tabs>
          <w:tab w:val="left" w:pos="540"/>
          <w:tab w:val="left" w:pos="720"/>
        </w:tabs>
        <w:spacing w:before="120" w:beforeLines="50" w:line="360" w:lineRule="exact"/>
        <w:jc w:val="center"/>
        <w:rPr>
          <w:rFonts w:ascii="仿宋_GB2312"/>
          <w:b w:val="0"/>
          <w:bCs w:val="0"/>
          <w:szCs w:val="24"/>
        </w:rPr>
      </w:pPr>
      <w:r>
        <w:rPr>
          <w:rFonts w:hint="eastAsia" w:ascii="仿宋_GB2312"/>
          <w:szCs w:val="24"/>
        </w:rPr>
        <w:t>附表</w:t>
      </w:r>
      <w:r>
        <w:rPr>
          <w:rFonts w:ascii="仿宋_GB2312"/>
          <w:szCs w:val="24"/>
        </w:rPr>
        <w:t xml:space="preserve">7   </w:t>
      </w:r>
      <w:r>
        <w:rPr>
          <w:rFonts w:hint="eastAsia" w:ascii="仿宋_GB2312"/>
          <w:szCs w:val="24"/>
        </w:rPr>
        <w:t>项目负责人简历表</w:t>
      </w:r>
    </w:p>
    <w:p>
      <w:pPr>
        <w:tabs>
          <w:tab w:val="left" w:pos="360"/>
          <w:tab w:val="left" w:pos="1800"/>
        </w:tabs>
        <w:spacing w:line="480" w:lineRule="exact"/>
        <w:jc w:val="center"/>
        <w:rPr>
          <w:rFonts w:ascii="仿宋_GB2312" w:eastAsia="仿宋_GB2312"/>
          <w:b/>
          <w:bCs/>
          <w:color w:val="000000"/>
          <w:sz w:val="24"/>
          <w:szCs w:val="24"/>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99"/>
        <w:gridCol w:w="798"/>
        <w:gridCol w:w="841"/>
        <w:gridCol w:w="380"/>
        <w:gridCol w:w="877"/>
        <w:gridCol w:w="985"/>
        <w:gridCol w:w="809"/>
        <w:gridCol w:w="1362"/>
        <w:gridCol w:w="7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姓名</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性别</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43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年龄</w:t>
            </w:r>
          </w:p>
        </w:tc>
        <w:tc>
          <w:tcPr>
            <w:tcW w:w="180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职务</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职称</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436"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拟在本合同担任职务</w:t>
            </w:r>
          </w:p>
        </w:tc>
        <w:tc>
          <w:tcPr>
            <w:tcW w:w="180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96" w:type="dxa"/>
            <w:gridSpan w:val="4"/>
            <w:vMerge w:val="restart"/>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项目负责人建造师专业及等级</w:t>
            </w:r>
          </w:p>
        </w:tc>
        <w:tc>
          <w:tcPr>
            <w:tcW w:w="1257" w:type="dxa"/>
            <w:gridSpan w:val="2"/>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专业</w:t>
            </w:r>
          </w:p>
        </w:tc>
        <w:tc>
          <w:tcPr>
            <w:tcW w:w="5038" w:type="dxa"/>
            <w:gridSpan w:val="5"/>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96" w:type="dxa"/>
            <w:gridSpan w:val="4"/>
            <w:vMerge w:val="continue"/>
            <w:tcBorders>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257" w:type="dxa"/>
            <w:gridSpan w:val="2"/>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等级</w:t>
            </w:r>
          </w:p>
        </w:tc>
        <w:tc>
          <w:tcPr>
            <w:tcW w:w="5038" w:type="dxa"/>
            <w:gridSpan w:val="5"/>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96" w:type="dxa"/>
            <w:gridSpan w:val="4"/>
            <w:vMerge w:val="continue"/>
            <w:tcBorders>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1257" w:type="dxa"/>
            <w:gridSpan w:val="2"/>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证书编号</w:t>
            </w:r>
          </w:p>
        </w:tc>
        <w:tc>
          <w:tcPr>
            <w:tcW w:w="5038" w:type="dxa"/>
            <w:gridSpan w:val="5"/>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96" w:type="dxa"/>
            <w:gridSpan w:val="4"/>
            <w:tcBorders>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安全生产考核合格证</w:t>
            </w:r>
          </w:p>
        </w:tc>
        <w:tc>
          <w:tcPr>
            <w:tcW w:w="1257" w:type="dxa"/>
            <w:gridSpan w:val="2"/>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证书编号</w:t>
            </w:r>
          </w:p>
        </w:tc>
        <w:tc>
          <w:tcPr>
            <w:tcW w:w="5038" w:type="dxa"/>
            <w:gridSpan w:val="5"/>
            <w:tcBorders>
              <w:top w:val="single" w:color="auto" w:sz="4" w:space="0"/>
              <w:left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555"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毕业院校</w:t>
            </w:r>
          </w:p>
        </w:tc>
        <w:tc>
          <w:tcPr>
            <w:tcW w:w="7136" w:type="dxa"/>
            <w:gridSpan w:val="8"/>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年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月毕业于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学校</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专业，学制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555"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参加工作时间</w:t>
            </w:r>
          </w:p>
        </w:tc>
        <w:tc>
          <w:tcPr>
            <w:tcW w:w="2098"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3230" w:type="dxa"/>
            <w:gridSpan w:val="4"/>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从事本专业工作时间</w:t>
            </w:r>
          </w:p>
        </w:tc>
        <w:tc>
          <w:tcPr>
            <w:tcW w:w="180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691" w:type="dxa"/>
            <w:gridSpan w:val="11"/>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757"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年～年</w:t>
            </w:r>
          </w:p>
        </w:tc>
        <w:tc>
          <w:tcPr>
            <w:tcW w:w="2019" w:type="dxa"/>
            <w:gridSpan w:val="3"/>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参加过的项目名称</w:t>
            </w:r>
          </w:p>
        </w:tc>
        <w:tc>
          <w:tcPr>
            <w:tcW w:w="186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总投资</w:t>
            </w:r>
          </w:p>
        </w:tc>
        <w:tc>
          <w:tcPr>
            <w:tcW w:w="2171"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担任何职</w:t>
            </w:r>
          </w:p>
        </w:tc>
        <w:tc>
          <w:tcPr>
            <w:tcW w:w="188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57"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019" w:type="dxa"/>
            <w:gridSpan w:val="3"/>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6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1882" w:type="dxa"/>
            <w:gridSpan w:val="2"/>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r>
    </w:tbl>
    <w:p>
      <w:pPr>
        <w:tabs>
          <w:tab w:val="left" w:pos="360"/>
          <w:tab w:val="left" w:pos="1800"/>
        </w:tabs>
        <w:spacing w:line="360" w:lineRule="auto"/>
        <w:ind w:left="63" w:right="63" w:firstLine="422" w:firstLineChars="200"/>
        <w:rPr>
          <w:rFonts w:ascii="仿宋_GB2312" w:hAnsi="宋体" w:eastAsia="仿宋_GB2312"/>
          <w:b/>
          <w:color w:val="000000"/>
          <w:szCs w:val="21"/>
        </w:rPr>
      </w:pPr>
      <w:r>
        <w:rPr>
          <w:rFonts w:hint="eastAsia" w:ascii="仿宋_GB2312" w:hAnsi="宋体" w:eastAsia="仿宋_GB2312"/>
          <w:b/>
          <w:color w:val="000000"/>
          <w:szCs w:val="21"/>
        </w:rPr>
        <w:t>说明：项目负责人提供建造师注册证书复印件（或建造师临时执业证书复印件）、安全生产考核合格证书复印件附于本表后，作为本表的附件。</w:t>
      </w:r>
    </w:p>
    <w:p>
      <w:pPr>
        <w:tabs>
          <w:tab w:val="left" w:pos="360"/>
          <w:tab w:val="left" w:pos="1800"/>
        </w:tabs>
        <w:spacing w:line="360" w:lineRule="auto"/>
        <w:ind w:right="960"/>
        <w:rPr>
          <w:rFonts w:ascii="仿宋_GB2312" w:eastAsia="仿宋_GB2312"/>
          <w:color w:val="000000"/>
          <w:szCs w:val="21"/>
        </w:rPr>
      </w:pPr>
      <w:r>
        <w:rPr>
          <w:rFonts w:hint="eastAsia" w:ascii="仿宋_GB2312" w:eastAsia="仿宋_GB2312"/>
          <w:color w:val="000000"/>
          <w:szCs w:val="21"/>
        </w:rPr>
        <w:t>投标人：（盖章）</w:t>
      </w:r>
    </w:p>
    <w:p>
      <w:pPr>
        <w:tabs>
          <w:tab w:val="left" w:pos="360"/>
          <w:tab w:val="left" w:pos="1800"/>
        </w:tabs>
        <w:spacing w:line="360" w:lineRule="auto"/>
        <w:ind w:right="960"/>
        <w:rPr>
          <w:rFonts w:ascii="仿宋_GB2312" w:eastAsia="仿宋_GB2312"/>
          <w:color w:val="000000"/>
          <w:szCs w:val="21"/>
        </w:rPr>
      </w:pPr>
      <w:r>
        <w:rPr>
          <w:rFonts w:hint="eastAsia" w:ascii="仿宋_GB2312" w:eastAsia="仿宋_GB2312"/>
          <w:color w:val="000000"/>
          <w:szCs w:val="21"/>
        </w:rPr>
        <w:t>法定代表人或委托代理人：（签字或盖章）</w:t>
      </w:r>
    </w:p>
    <w:p>
      <w:pPr>
        <w:tabs>
          <w:tab w:val="left" w:pos="360"/>
          <w:tab w:val="left" w:pos="1800"/>
        </w:tabs>
        <w:spacing w:line="360" w:lineRule="auto"/>
        <w:ind w:left="1980" w:leftChars="943" w:firstLine="3465" w:firstLineChars="1650"/>
        <w:rPr>
          <w:rFonts w:ascii="仿宋_GB2312" w:eastAsia="仿宋_GB2312"/>
          <w:szCs w:val="21"/>
        </w:rPr>
      </w:pPr>
      <w:r>
        <w:rPr>
          <w:rFonts w:hint="eastAsia" w:ascii="仿宋_GB2312" w:eastAsia="仿宋_GB2312"/>
          <w:szCs w:val="21"/>
        </w:rPr>
        <w:t>日期：     年   月   日</w:t>
      </w:r>
    </w:p>
    <w:p>
      <w:pPr>
        <w:tabs>
          <w:tab w:val="left" w:pos="360"/>
          <w:tab w:val="left" w:pos="1800"/>
        </w:tabs>
        <w:spacing w:line="300" w:lineRule="exact"/>
        <w:jc w:val="center"/>
        <w:rPr>
          <w:rFonts w:ascii="仿宋_GB2312" w:eastAsia="仿宋_GB2312"/>
          <w:b/>
          <w:sz w:val="24"/>
          <w:szCs w:val="24"/>
        </w:rPr>
      </w:pPr>
    </w:p>
    <w:p>
      <w:pPr>
        <w:tabs>
          <w:tab w:val="left" w:pos="360"/>
          <w:tab w:val="left" w:pos="1800"/>
        </w:tabs>
        <w:spacing w:line="300" w:lineRule="exact"/>
        <w:rPr>
          <w:rFonts w:ascii="仿宋_GB2312" w:eastAsia="仿宋_GB2312"/>
          <w:b/>
          <w:sz w:val="28"/>
          <w:szCs w:val="28"/>
        </w:rPr>
      </w:pPr>
    </w:p>
    <w:p>
      <w:pPr>
        <w:pStyle w:val="3"/>
        <w:keepLines w:val="0"/>
        <w:numPr>
          <w:ilvl w:val="1"/>
          <w:numId w:val="0"/>
        </w:numPr>
        <w:tabs>
          <w:tab w:val="left" w:pos="540"/>
          <w:tab w:val="left" w:pos="720"/>
        </w:tabs>
        <w:spacing w:before="120" w:beforeLines="50" w:line="360" w:lineRule="exact"/>
        <w:jc w:val="center"/>
        <w:rPr>
          <w:rFonts w:ascii="仿宋_GB2312"/>
          <w:b w:val="0"/>
          <w:szCs w:val="24"/>
        </w:rPr>
      </w:pPr>
      <w:r>
        <w:rPr>
          <w:rFonts w:hint="eastAsia" w:ascii="仿宋_GB2312"/>
          <w:szCs w:val="24"/>
        </w:rPr>
        <w:t>附表</w:t>
      </w:r>
      <w:r>
        <w:rPr>
          <w:rFonts w:ascii="仿宋_GB2312"/>
          <w:szCs w:val="24"/>
        </w:rPr>
        <w:t xml:space="preserve">8   </w:t>
      </w:r>
      <w:r>
        <w:rPr>
          <w:rFonts w:hint="eastAsia" w:ascii="仿宋_GB2312"/>
          <w:szCs w:val="24"/>
        </w:rPr>
        <w:t>主要施工管理人员表</w:t>
      </w:r>
    </w:p>
    <w:p>
      <w:pPr>
        <w:tabs>
          <w:tab w:val="left" w:pos="360"/>
          <w:tab w:val="left" w:pos="1800"/>
        </w:tabs>
        <w:spacing w:line="300" w:lineRule="exact"/>
        <w:jc w:val="center"/>
        <w:rPr>
          <w:rFonts w:ascii="仿宋_GB2312" w:eastAsia="仿宋_GB2312"/>
          <w:b/>
          <w:bCs/>
          <w:sz w:val="24"/>
          <w:szCs w:val="24"/>
        </w:rPr>
      </w:pPr>
    </w:p>
    <w:tbl>
      <w:tblPr>
        <w:tblStyle w:val="45"/>
        <w:tblpPr w:leftFromText="180" w:rightFromText="180" w:vertAnchor="text" w:horzAnchor="margin" w:tblpXSpec="center" w:tblpY="1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798"/>
        <w:gridCol w:w="800"/>
        <w:gridCol w:w="800"/>
        <w:gridCol w:w="800"/>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名    称</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姓名</w:t>
            </w: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职务</w:t>
            </w: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职称</w:t>
            </w: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证书</w:t>
            </w: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r>
              <w:rPr>
                <w:rFonts w:hint="eastAsia" w:ascii="仿宋_GB2312" w:hAnsi="宋体" w:eastAsia="仿宋_GB2312"/>
                <w:color w:val="000000"/>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现场</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1、项目负责人</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2、项目技术负责人</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3、施工员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4、劳务员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5、质检员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6、安全员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7、材料员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8、机械员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505"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rPr>
                <w:rFonts w:ascii="仿宋_GB2312" w:hAnsi="宋体" w:eastAsia="仿宋_GB2312"/>
                <w:color w:val="000000"/>
                <w:szCs w:val="21"/>
              </w:rPr>
            </w:pPr>
            <w:r>
              <w:rPr>
                <w:rFonts w:hint="eastAsia" w:ascii="仿宋_GB2312" w:hAnsi="宋体" w:eastAsia="仿宋_GB2312"/>
                <w:color w:val="000000"/>
                <w:szCs w:val="21"/>
              </w:rPr>
              <w:t>9、资料员</w:t>
            </w:r>
          </w:p>
        </w:tc>
        <w:tc>
          <w:tcPr>
            <w:tcW w:w="79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tcPr>
          <w:p>
            <w:pPr>
              <w:tabs>
                <w:tab w:val="left" w:pos="360"/>
                <w:tab w:val="left" w:pos="1800"/>
              </w:tabs>
              <w:jc w:val="center"/>
              <w:rPr>
                <w:rFonts w:ascii="仿宋_GB2312" w:hAnsi="宋体" w:eastAsia="仿宋_GB2312"/>
                <w:color w:val="000000"/>
                <w:szCs w:val="21"/>
              </w:rPr>
            </w:pPr>
          </w:p>
        </w:tc>
        <w:tc>
          <w:tcPr>
            <w:tcW w:w="800"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c>
          <w:tcPr>
            <w:tcW w:w="4218" w:type="dxa"/>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921" w:type="dxa"/>
            <w:gridSpan w:val="6"/>
            <w:tcBorders>
              <w:top w:val="single" w:color="auto" w:sz="4" w:space="0"/>
              <w:left w:val="single" w:color="auto" w:sz="4" w:space="0"/>
              <w:bottom w:val="single" w:color="auto" w:sz="4" w:space="0"/>
              <w:right w:val="single" w:color="auto" w:sz="4" w:space="0"/>
            </w:tcBorders>
            <w:vAlign w:val="center"/>
          </w:tcPr>
          <w:p>
            <w:pPr>
              <w:tabs>
                <w:tab w:val="left" w:pos="360"/>
                <w:tab w:val="left" w:pos="1800"/>
              </w:tabs>
              <w:spacing w:line="240" w:lineRule="atLeast"/>
              <w:ind w:firstLine="422" w:firstLineChars="200"/>
              <w:rPr>
                <w:rFonts w:ascii="仿宋_GB2312" w:hAnsi="宋体" w:eastAsia="仿宋_GB2312"/>
                <w:b/>
                <w:color w:val="000000"/>
                <w:szCs w:val="21"/>
              </w:rPr>
            </w:pPr>
            <w:r>
              <w:rPr>
                <w:rFonts w:hint="eastAsia" w:ascii="仿宋_GB2312" w:hAnsi="宋体" w:eastAsia="仿宋_GB2312"/>
                <w:b/>
                <w:color w:val="000000"/>
                <w:szCs w:val="21"/>
              </w:rPr>
              <w:t>注：1、须提供上述管理人员岗位证书复印件，技术负责人提供职称证书复印件，安全员提供安全生产考核合格证书复印件。</w:t>
            </w:r>
          </w:p>
          <w:p>
            <w:pPr>
              <w:tabs>
                <w:tab w:val="left" w:pos="360"/>
                <w:tab w:val="left" w:pos="1800"/>
              </w:tabs>
              <w:spacing w:line="240" w:lineRule="atLeast"/>
              <w:ind w:firstLine="422" w:firstLineChars="200"/>
              <w:rPr>
                <w:rFonts w:ascii="仿宋_GB2312" w:hAnsi="宋体" w:eastAsia="仿宋_GB2312"/>
                <w:color w:val="000000"/>
                <w:szCs w:val="21"/>
              </w:rPr>
            </w:pPr>
            <w:r>
              <w:rPr>
                <w:rFonts w:hint="eastAsia" w:ascii="仿宋_GB2312" w:hAnsi="宋体" w:eastAsia="仿宋_GB2312"/>
                <w:b/>
                <w:color w:val="000000"/>
                <w:szCs w:val="21"/>
              </w:rPr>
              <w:t>2、本工程安全员配置不少于2人。</w:t>
            </w:r>
          </w:p>
        </w:tc>
      </w:tr>
    </w:tbl>
    <w:p>
      <w:pPr>
        <w:tabs>
          <w:tab w:val="left" w:pos="360"/>
          <w:tab w:val="left" w:pos="1800"/>
        </w:tabs>
        <w:spacing w:line="480" w:lineRule="exact"/>
        <w:ind w:firstLine="210" w:firstLineChars="100"/>
        <w:rPr>
          <w:rFonts w:ascii="仿宋_GB2312" w:eastAsia="仿宋_GB2312"/>
          <w:szCs w:val="21"/>
        </w:rPr>
      </w:pPr>
      <w:r>
        <w:rPr>
          <w:rFonts w:hint="eastAsia" w:ascii="仿宋_GB2312" w:eastAsia="仿宋_GB2312"/>
          <w:szCs w:val="21"/>
        </w:rPr>
        <w:t xml:space="preserve">投标人：（盖章）             </w:t>
      </w:r>
    </w:p>
    <w:p>
      <w:pPr>
        <w:tabs>
          <w:tab w:val="left" w:pos="360"/>
          <w:tab w:val="left" w:pos="1800"/>
        </w:tabs>
        <w:spacing w:line="480" w:lineRule="exact"/>
        <w:ind w:firstLine="210" w:firstLineChars="100"/>
        <w:rPr>
          <w:rFonts w:ascii="仿宋_GB2312" w:eastAsia="仿宋_GB2312"/>
          <w:szCs w:val="21"/>
        </w:rPr>
      </w:pPr>
      <w:r>
        <w:rPr>
          <w:rFonts w:hint="eastAsia" w:ascii="仿宋_GB2312" w:eastAsia="仿宋_GB2312"/>
          <w:szCs w:val="21"/>
        </w:rPr>
        <w:t>法定代表人或委托代理人：（签字或盖章）</w:t>
      </w:r>
    </w:p>
    <w:p>
      <w:pPr>
        <w:ind w:firstLine="210" w:firstLineChars="100"/>
        <w:rPr>
          <w:rFonts w:ascii="仿宋_GB2312" w:eastAsia="仿宋_GB2312"/>
          <w:szCs w:val="21"/>
        </w:rPr>
      </w:pPr>
    </w:p>
    <w:p>
      <w:pPr>
        <w:rPr>
          <w:rFonts w:ascii="仿宋_GB2312" w:eastAsia="仿宋_GB2312"/>
        </w:rPr>
      </w:pPr>
      <w:r>
        <w:rPr>
          <w:rFonts w:hint="eastAsia" w:ascii="仿宋_GB2312" w:eastAsia="仿宋_GB2312"/>
          <w:szCs w:val="21"/>
        </w:rPr>
        <w:t>日期：     年   月   日</w:t>
      </w:r>
      <w:bookmarkEnd w:id="340"/>
      <w:bookmarkStart w:id="359" w:name="_Toc481542921"/>
      <w:bookmarkStart w:id="360" w:name="_Toc429862257"/>
      <w:bookmarkStart w:id="361" w:name="_Toc333327680"/>
      <w:bookmarkStart w:id="362" w:name="_Toc429602613"/>
    </w:p>
    <w:p>
      <w:pPr>
        <w:jc w:val="center"/>
        <w:rPr>
          <w:rFonts w:ascii="仿宋" w:hAnsi="仿宋" w:eastAsia="仿宋"/>
          <w:b/>
          <w:sz w:val="28"/>
          <w:szCs w:val="28"/>
        </w:rPr>
      </w:pPr>
      <w:r>
        <w:rPr>
          <w:rFonts w:hint="eastAsia" w:ascii="仿宋" w:hAnsi="仿宋" w:eastAsia="仿宋"/>
          <w:b/>
          <w:sz w:val="28"/>
          <w:szCs w:val="28"/>
        </w:rPr>
        <w:t>附表</w:t>
      </w:r>
      <w:r>
        <w:rPr>
          <w:rFonts w:ascii="仿宋" w:hAnsi="仿宋" w:eastAsia="仿宋"/>
          <w:b/>
          <w:sz w:val="28"/>
          <w:szCs w:val="28"/>
        </w:rPr>
        <w:t>9</w:t>
      </w:r>
      <w:r>
        <w:rPr>
          <w:rFonts w:hint="eastAsia" w:ascii="仿宋" w:hAnsi="仿宋" w:eastAsia="仿宋"/>
          <w:b/>
          <w:sz w:val="28"/>
          <w:szCs w:val="28"/>
        </w:rPr>
        <w:t xml:space="preserve">   施工组织设计</w:t>
      </w:r>
    </w:p>
    <w:p>
      <w:pPr>
        <w:jc w:val="center"/>
        <w:rPr>
          <w:rFonts w:ascii="仿宋" w:hAnsi="仿宋" w:eastAsia="仿宋"/>
          <w:b/>
          <w:sz w:val="28"/>
          <w:szCs w:val="28"/>
        </w:rPr>
      </w:pPr>
    </w:p>
    <w:p>
      <w:pPr>
        <w:jc w:val="center"/>
        <w:rPr>
          <w:rFonts w:ascii="仿宋" w:hAnsi="仿宋" w:eastAsia="仿宋"/>
          <w:b/>
          <w:sz w:val="28"/>
          <w:szCs w:val="28"/>
        </w:rPr>
      </w:pPr>
      <w:r>
        <w:rPr>
          <w:rFonts w:hint="eastAsia" w:ascii="仿宋" w:hAnsi="仿宋" w:eastAsia="仿宋"/>
          <w:b/>
          <w:sz w:val="28"/>
          <w:szCs w:val="28"/>
        </w:rPr>
        <w:t>（投标人自行</w:t>
      </w:r>
      <w:r>
        <w:rPr>
          <w:rFonts w:ascii="仿宋" w:hAnsi="仿宋" w:eastAsia="仿宋"/>
          <w:b/>
          <w:sz w:val="28"/>
          <w:szCs w:val="28"/>
        </w:rPr>
        <w:t>编制</w:t>
      </w:r>
      <w:r>
        <w:rPr>
          <w:rFonts w:hint="eastAsia" w:ascii="仿宋" w:hAnsi="仿宋" w:eastAsia="仿宋"/>
          <w:b/>
          <w:sz w:val="28"/>
          <w:szCs w:val="28"/>
        </w:rPr>
        <w:t>）</w:t>
      </w:r>
      <w:bookmarkEnd w:id="359"/>
      <w:bookmarkEnd w:id="360"/>
      <w:bookmarkEnd w:id="361"/>
      <w:bookmarkEnd w:id="362"/>
    </w:p>
    <w:sectPr>
      <w:headerReference r:id="rId12" w:type="default"/>
      <w:pgSz w:w="11906" w:h="16838"/>
      <w:pgMar w:top="1701" w:right="1418" w:bottom="1701" w:left="1701" w:header="1134"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79"/>
      </w:tabs>
    </w:pPr>
    <w: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-36830</wp:posOffset>
              </wp:positionV>
              <wp:extent cx="556895" cy="330835"/>
              <wp:effectExtent l="2540" t="1270" r="2540" b="127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556895" cy="330835"/>
                      </a:xfrm>
                      <a:prstGeom prst="rect">
                        <a:avLst/>
                      </a:prstGeom>
                      <a:solidFill>
                        <a:srgbClr val="FFFFFF"/>
                      </a:solidFill>
                      <a:ln>
                        <a:noFill/>
                      </a:ln>
                    </wps:spPr>
                    <wps:txbx>
                      <w:txbxContent>
                        <w:p>
                          <w:pP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11</w:t>
                          </w:r>
                          <w:r>
                            <w:rPr>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13.2pt;margin-top:-2.9pt;height:26.05pt;width:43.85pt;z-index:251661312;mso-width-relative:page;mso-height-relative:page;" fillcolor="#FFFFFF" filled="t" stroked="f" coordsize="21600,21600" o:gfxdata="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LFVe1wAAAAkBAAAPAAAAAAAAAAEAIAAAACIAAABkcnMvZG93bnJl&#10;di54bWxQSwECFAAUAAAACACHTuJA4qJY0/4BAADuAwAADgAAAAAAAAABACAAAAAmAQAAZHJzL2Uy&#10;b0RvYy54bWxQSwUGAAAAAAYABgBZAQAAlgUAAAAA&#10;">
              <v:fill on="t" focussize="0,0"/>
              <v:stroke on="f"/>
              <v:imagedata o:title=""/>
              <o:lock v:ext="edit" aspectratio="f"/>
              <v:textbox>
                <w:txbxContent>
                  <w:p>
                    <w:pP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11</w:t>
                    </w:r>
                    <w:r>
                      <w:rPr>
                        <w:sz w:val="18"/>
                        <w:szCs w:val="18"/>
                      </w:rPr>
                      <w:fldChar w:fldCharType="end"/>
                    </w:r>
                  </w:p>
                </w:txbxContent>
              </v:textbox>
            </v:shape>
          </w:pict>
        </mc:Fallback>
      </mc:AlternateContent>
    </w:r>
    <w:r>
      <w:rPr>
        <w:rFonts w:ascii="宋体"/>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b/>
      </w:rPr>
      <w:t>湖南中技项目管理有限公司</w: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41</w:t>
                          </w:r>
                          <w:r>
                            <w:rPr>
                              <w:sz w:val="18"/>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2.05pt;width:10.55pt;mso-position-horizontal:center;mso-position-horizontal-relative:margin;mso-wrap-style:none;z-index:25165721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HtdM9AA&#10;AAADAQAADwAAAAAAAAABACAAAAAiAAAAZHJzL2Rvd25yZXYueG1sUEsBAhQAFAAAAAgAh07iQPRw&#10;L6fuAQAAtA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41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eastAsia="仿宋_GB2312"/>
      </w:rPr>
    </w:pPr>
    <w:r>
      <w:rPr>
        <w:rFonts w:hint="eastAsia" w:eastAsia="仿宋_GB2312"/>
      </w:rPr>
      <w:t>克拉玛依石化工业园区污水处理厂改建</w:t>
    </w:r>
    <w:r>
      <w:rPr>
        <w:rFonts w:eastAsia="仿宋_GB2312"/>
      </w:rPr>
      <w:t>PPP</w:t>
    </w:r>
    <w:r>
      <w:rPr>
        <w:rFonts w:hint="eastAsia" w:eastAsia="仿宋_GB2312"/>
      </w:rPr>
      <w:t>项目招标文件</w:t>
    </w:r>
    <w:r>
      <w:rPr>
        <w:rFonts w:eastAsia="仿宋"/>
      </w:rPr>
      <w:t xml:space="preserve">           </w:t>
    </w:r>
    <w:r>
      <w:rPr>
        <w:rFonts w:hint="eastAsia" w:eastAsia="仿宋"/>
      </w:rPr>
      <w:t>新疆天麒工程项目管理咨询有限责任公司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eastAsia="仿宋_GB2312"/>
        <w:sz w:val="15"/>
        <w:szCs w:val="15"/>
      </w:rPr>
    </w:pPr>
    <w:r>
      <w:rPr>
        <w:rFonts w:hint="eastAsia" w:eastAsia="仿宋_GB2312"/>
        <w:sz w:val="15"/>
        <w:szCs w:val="15"/>
      </w:rPr>
      <w:t>克拉玛依石化工业园区污水处理厂改建PPP项目招标文件</w:t>
    </w:r>
    <w:r>
      <w:rPr>
        <w:rFonts w:eastAsia="仿宋"/>
        <w:sz w:val="15"/>
        <w:szCs w:val="15"/>
      </w:rPr>
      <w:t xml:space="preserve">                             新疆天麒工程项目管理咨询有限责任公司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eastAsia="仿宋_GB2312"/>
        <w:sz w:val="15"/>
        <w:szCs w:val="15"/>
      </w:rPr>
    </w:pPr>
    <w:r>
      <w:rPr>
        <w:rFonts w:hint="eastAsia" w:eastAsia="仿宋_GB2312"/>
        <w:sz w:val="15"/>
        <w:szCs w:val="15"/>
      </w:rPr>
      <w:t>克拉玛依石化工业园区污水处理厂改建PPP项目招标文件</w:t>
    </w:r>
    <w:r>
      <w:rPr>
        <w:rFonts w:eastAsia="仿宋"/>
        <w:sz w:val="15"/>
        <w:szCs w:val="15"/>
      </w:rPr>
      <w:t xml:space="preserve">                             新疆天麒工程项目管理咨询有限责任公司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rFonts w:eastAsia="仿宋_GB2312"/>
        <w:sz w:val="15"/>
        <w:szCs w:val="15"/>
      </w:rPr>
    </w:pPr>
    <w:r>
      <w:rPr>
        <w:rFonts w:hint="eastAsia" w:eastAsia="仿宋_GB2312"/>
        <w:sz w:val="15"/>
        <w:szCs w:val="15"/>
      </w:rPr>
      <w:t>克拉玛依石化工业园区污水处理厂改建PPP项目招标文件</w:t>
    </w:r>
    <w:r>
      <w:rPr>
        <w:rFonts w:eastAsia="仿宋"/>
        <w:sz w:val="15"/>
        <w:szCs w:val="15"/>
      </w:rPr>
      <w:t xml:space="preserve">                             新疆天麒工程项目管理咨询有限责任公司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tentative="0">
      <w:start w:val="1"/>
      <w:numFmt w:val="decimal"/>
      <w:lvlText w:val="%1"/>
      <w:lvlJc w:val="left"/>
      <w:pPr>
        <w:tabs>
          <w:tab w:val="left" w:pos="0"/>
        </w:tabs>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52B4AEF"/>
    <w:multiLevelType w:val="multilevel"/>
    <w:tmpl w:val="152B4AEF"/>
    <w:lvl w:ilvl="0" w:tentative="0">
      <w:start w:val="1"/>
      <w:numFmt w:val="decimal"/>
      <w:lvlText w:val="%1"/>
      <w:lvlJc w:val="left"/>
      <w:pPr>
        <w:ind w:left="600" w:hanging="600"/>
      </w:pPr>
      <w:rPr>
        <w:rFonts w:hint="default" w:cs="Times New Roman"/>
      </w:rPr>
    </w:lvl>
    <w:lvl w:ilvl="1" w:tentative="0">
      <w:start w:val="1"/>
      <w:numFmt w:val="decimal"/>
      <w:pStyle w:val="3"/>
      <w:lvlText w:val="%1.%2"/>
      <w:lvlJc w:val="left"/>
      <w:pPr>
        <w:ind w:left="60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080" w:hanging="108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440" w:hanging="1440"/>
      </w:pPr>
      <w:rPr>
        <w:rFonts w:hint="default" w:cs="Times New Roman"/>
      </w:rPr>
    </w:lvl>
  </w:abstractNum>
  <w:abstractNum w:abstractNumId="2">
    <w:nsid w:val="1A956B3C"/>
    <w:multiLevelType w:val="multilevel"/>
    <w:tmpl w:val="1A956B3C"/>
    <w:lvl w:ilvl="0" w:tentative="0">
      <w:start w:val="1"/>
      <w:numFmt w:val="decimal"/>
      <w:lvlText w:val="%1."/>
      <w:lvlJc w:val="left"/>
      <w:pPr>
        <w:tabs>
          <w:tab w:val="left" w:pos="720"/>
        </w:tabs>
        <w:ind w:left="720" w:hanging="720"/>
      </w:pPr>
      <w:rPr>
        <w:rFonts w:cs="Times New Roman"/>
      </w:rPr>
    </w:lvl>
    <w:lvl w:ilvl="1" w:tentative="0">
      <w:start w:val="1"/>
      <w:numFmt w:val="decimal"/>
      <w:pStyle w:val="180"/>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3">
    <w:nsid w:val="1AC40F40"/>
    <w:multiLevelType w:val="multilevel"/>
    <w:tmpl w:val="1AC40F40"/>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48E070B"/>
    <w:multiLevelType w:val="multilevel"/>
    <w:tmpl w:val="248E070B"/>
    <w:lvl w:ilvl="0" w:tentative="0">
      <w:start w:val="1"/>
      <w:numFmt w:val="decimal"/>
      <w:lvlText w:val="9.%1"/>
      <w:lvlJc w:val="left"/>
      <w:pPr>
        <w:ind w:left="1260" w:hanging="420"/>
      </w:pPr>
      <w:rPr>
        <w:rFonts w:hint="eastAsia" w:cs="Times New Roman"/>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5">
    <w:nsid w:val="27E65924"/>
    <w:multiLevelType w:val="multilevel"/>
    <w:tmpl w:val="27E65924"/>
    <w:lvl w:ilvl="0" w:tentative="0">
      <w:start w:val="1"/>
      <w:numFmt w:val="decimal"/>
      <w:lvlText w:val="8.%1"/>
      <w:lvlJc w:val="left"/>
      <w:pPr>
        <w:ind w:left="1130" w:hanging="420"/>
      </w:pPr>
      <w:rPr>
        <w:rFonts w:hint="eastAsia" w:cs="Times New Roman"/>
      </w:rPr>
    </w:lvl>
    <w:lvl w:ilvl="1" w:tentative="0">
      <w:start w:val="1"/>
      <w:numFmt w:val="lowerLetter"/>
      <w:lvlText w:val="%2)"/>
      <w:lvlJc w:val="left"/>
      <w:pPr>
        <w:ind w:left="1550" w:hanging="420"/>
      </w:pPr>
      <w:rPr>
        <w:rFonts w:cs="Times New Roman"/>
      </w:rPr>
    </w:lvl>
    <w:lvl w:ilvl="2" w:tentative="0">
      <w:start w:val="1"/>
      <w:numFmt w:val="lowerRoman"/>
      <w:lvlText w:val="%3."/>
      <w:lvlJc w:val="right"/>
      <w:pPr>
        <w:ind w:left="1970" w:hanging="420"/>
      </w:pPr>
      <w:rPr>
        <w:rFonts w:cs="Times New Roman"/>
      </w:rPr>
    </w:lvl>
    <w:lvl w:ilvl="3" w:tentative="0">
      <w:start w:val="1"/>
      <w:numFmt w:val="decimal"/>
      <w:lvlText w:val="%4."/>
      <w:lvlJc w:val="left"/>
      <w:pPr>
        <w:ind w:left="2390" w:hanging="420"/>
      </w:pPr>
      <w:rPr>
        <w:rFonts w:cs="Times New Roman"/>
      </w:rPr>
    </w:lvl>
    <w:lvl w:ilvl="4" w:tentative="0">
      <w:start w:val="1"/>
      <w:numFmt w:val="lowerLetter"/>
      <w:lvlText w:val="%5)"/>
      <w:lvlJc w:val="left"/>
      <w:pPr>
        <w:ind w:left="2810" w:hanging="420"/>
      </w:pPr>
      <w:rPr>
        <w:rFonts w:cs="Times New Roman"/>
      </w:rPr>
    </w:lvl>
    <w:lvl w:ilvl="5" w:tentative="0">
      <w:start w:val="1"/>
      <w:numFmt w:val="lowerRoman"/>
      <w:lvlText w:val="%6."/>
      <w:lvlJc w:val="right"/>
      <w:pPr>
        <w:ind w:left="3230" w:hanging="420"/>
      </w:pPr>
      <w:rPr>
        <w:rFonts w:cs="Times New Roman"/>
      </w:rPr>
    </w:lvl>
    <w:lvl w:ilvl="6" w:tentative="0">
      <w:start w:val="1"/>
      <w:numFmt w:val="decimal"/>
      <w:lvlText w:val="%7."/>
      <w:lvlJc w:val="left"/>
      <w:pPr>
        <w:ind w:left="3650" w:hanging="420"/>
      </w:pPr>
      <w:rPr>
        <w:rFonts w:cs="Times New Roman"/>
      </w:rPr>
    </w:lvl>
    <w:lvl w:ilvl="7" w:tentative="0">
      <w:start w:val="1"/>
      <w:numFmt w:val="lowerLetter"/>
      <w:lvlText w:val="%8)"/>
      <w:lvlJc w:val="left"/>
      <w:pPr>
        <w:ind w:left="4070" w:hanging="420"/>
      </w:pPr>
      <w:rPr>
        <w:rFonts w:cs="Times New Roman"/>
      </w:rPr>
    </w:lvl>
    <w:lvl w:ilvl="8" w:tentative="0">
      <w:start w:val="1"/>
      <w:numFmt w:val="lowerRoman"/>
      <w:lvlText w:val="%9."/>
      <w:lvlJc w:val="right"/>
      <w:pPr>
        <w:ind w:left="4490" w:hanging="420"/>
      </w:pPr>
      <w:rPr>
        <w:rFonts w:cs="Times New Roman"/>
      </w:rPr>
    </w:lvl>
  </w:abstractNum>
  <w:abstractNum w:abstractNumId="6">
    <w:nsid w:val="2AB94195"/>
    <w:multiLevelType w:val="multilevel"/>
    <w:tmpl w:val="2AB94195"/>
    <w:lvl w:ilvl="0" w:tentative="0">
      <w:start w:val="1"/>
      <w:numFmt w:val="decimal"/>
      <w:lvlText w:val="%1、"/>
      <w:lvlJc w:val="left"/>
      <w:pPr>
        <w:ind w:left="845" w:hanging="420"/>
      </w:pPr>
      <w:rPr>
        <w:rFonts w:hint="eastAsia"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7">
    <w:nsid w:val="2C6847CB"/>
    <w:multiLevelType w:val="multilevel"/>
    <w:tmpl w:val="2C6847C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70217D5"/>
    <w:multiLevelType w:val="multilevel"/>
    <w:tmpl w:val="370217D5"/>
    <w:lvl w:ilvl="0" w:tentative="0">
      <w:start w:val="1"/>
      <w:numFmt w:val="decimal"/>
      <w:lvlText w:val="（%1）"/>
      <w:lvlJc w:val="left"/>
      <w:pPr>
        <w:ind w:left="845" w:hanging="420"/>
      </w:pPr>
      <w:rPr>
        <w:rFonts w:hint="eastAsia"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9">
    <w:nsid w:val="3831713D"/>
    <w:multiLevelType w:val="multilevel"/>
    <w:tmpl w:val="3831713D"/>
    <w:lvl w:ilvl="0" w:tentative="0">
      <w:start w:val="1"/>
      <w:numFmt w:val="decimal"/>
      <w:lvlText w:val="%1"/>
      <w:lvlJc w:val="left"/>
      <w:pPr>
        <w:ind w:left="420" w:hanging="420"/>
      </w:pPr>
      <w:rPr>
        <w:rFonts w:hint="default"/>
      </w:rPr>
    </w:lvl>
    <w:lvl w:ilvl="1" w:tentative="0">
      <w:start w:val="1"/>
      <w:numFmt w:val="decimal"/>
      <w:lvlText w:val="%1.%2"/>
      <w:lvlJc w:val="left"/>
      <w:pPr>
        <w:ind w:left="840" w:hanging="42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0">
    <w:nsid w:val="3F5740D8"/>
    <w:multiLevelType w:val="multilevel"/>
    <w:tmpl w:val="3F5740D8"/>
    <w:lvl w:ilvl="0" w:tentative="0">
      <w:start w:val="1"/>
      <w:numFmt w:val="decimal"/>
      <w:lvlText w:val="(%1)"/>
      <w:lvlJc w:val="left"/>
      <w:pPr>
        <w:tabs>
          <w:tab w:val="left" w:pos="0"/>
        </w:tabs>
        <w:ind w:left="397" w:hanging="397"/>
      </w:pPr>
      <w:rPr>
        <w:rFonts w:hint="eastAsia" w:eastAsia="宋体" w:cs="Times New Roman"/>
        <w:b w:val="0"/>
        <w:i w:val="0"/>
        <w:sz w:val="21"/>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1">
    <w:nsid w:val="3F920D5A"/>
    <w:multiLevelType w:val="multilevel"/>
    <w:tmpl w:val="3F920D5A"/>
    <w:lvl w:ilvl="0" w:tentative="0">
      <w:start w:val="2"/>
      <w:numFmt w:val="decimal"/>
      <w:lvlText w:val="%1."/>
      <w:lvlJc w:val="left"/>
      <w:pPr>
        <w:tabs>
          <w:tab w:val="left" w:pos="425"/>
        </w:tabs>
        <w:ind w:left="425" w:hanging="425"/>
      </w:pPr>
      <w:rPr>
        <w:rFonts w:hint="eastAsia" w:cs="Times New Roman"/>
        <w:b/>
        <w:i w:val="0"/>
        <w:sz w:val="24"/>
      </w:rPr>
    </w:lvl>
    <w:lvl w:ilvl="1" w:tentative="0">
      <w:start w:val="1"/>
      <w:numFmt w:val="decimal"/>
      <w:lvlText w:val="%1.%2."/>
      <w:lvlJc w:val="left"/>
      <w:pPr>
        <w:tabs>
          <w:tab w:val="left" w:pos="567"/>
        </w:tabs>
        <w:ind w:left="567" w:hanging="567"/>
      </w:pPr>
      <w:rPr>
        <w:rFonts w:hint="eastAsia" w:cs="Times New Roman"/>
        <w:b/>
        <w:i w:val="0"/>
        <w:sz w:val="21"/>
        <w:szCs w:val="21"/>
      </w:rPr>
    </w:lvl>
    <w:lvl w:ilvl="2" w:tentative="0">
      <w:start w:val="1"/>
      <w:numFmt w:val="decimal"/>
      <w:lvlText w:val="%1.%2.%3 "/>
      <w:lvlJc w:val="left"/>
      <w:pPr>
        <w:tabs>
          <w:tab w:val="left" w:pos="0"/>
        </w:tabs>
        <w:ind w:left="794" w:hanging="624"/>
      </w:pPr>
      <w:rPr>
        <w:rFonts w:hint="eastAsia" w:ascii="宋体" w:hAnsi="宋体" w:eastAsia="宋体" w:cs="Times New Roman"/>
        <w:sz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2">
    <w:nsid w:val="44965F1B"/>
    <w:multiLevelType w:val="multilevel"/>
    <w:tmpl w:val="44965F1B"/>
    <w:lvl w:ilvl="0" w:tentative="0">
      <w:start w:val="1"/>
      <w:numFmt w:val="decimal"/>
      <w:lvlText w:val="（%1）"/>
      <w:lvlJc w:val="left"/>
      <w:pPr>
        <w:ind w:left="845" w:hanging="420"/>
      </w:pPr>
      <w:rPr>
        <w:rFonts w:hint="eastAsia"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13">
    <w:nsid w:val="49EB02B1"/>
    <w:multiLevelType w:val="multilevel"/>
    <w:tmpl w:val="49EB02B1"/>
    <w:lvl w:ilvl="0" w:tentative="0">
      <w:start w:val="1"/>
      <w:numFmt w:val="decimal"/>
      <w:lvlText w:val="（%1）"/>
      <w:lvlJc w:val="left"/>
      <w:pPr>
        <w:ind w:left="1080" w:hanging="420"/>
      </w:pPr>
      <w:rPr>
        <w:rFonts w:hint="eastAsia" w:cs="Times New Roman"/>
      </w:rPr>
    </w:lvl>
    <w:lvl w:ilvl="1" w:tentative="0">
      <w:start w:val="1"/>
      <w:numFmt w:val="lowerLetter"/>
      <w:lvlText w:val="%2)"/>
      <w:lvlJc w:val="left"/>
      <w:pPr>
        <w:ind w:left="1500" w:hanging="420"/>
      </w:pPr>
      <w:rPr>
        <w:rFonts w:cs="Times New Roman"/>
      </w:rPr>
    </w:lvl>
    <w:lvl w:ilvl="2" w:tentative="0">
      <w:start w:val="1"/>
      <w:numFmt w:val="lowerRoman"/>
      <w:lvlText w:val="%3."/>
      <w:lvlJc w:val="right"/>
      <w:pPr>
        <w:ind w:left="1920" w:hanging="420"/>
      </w:pPr>
      <w:rPr>
        <w:rFonts w:cs="Times New Roman"/>
      </w:rPr>
    </w:lvl>
    <w:lvl w:ilvl="3" w:tentative="0">
      <w:start w:val="1"/>
      <w:numFmt w:val="decimal"/>
      <w:lvlText w:val="%4."/>
      <w:lvlJc w:val="left"/>
      <w:pPr>
        <w:ind w:left="2340" w:hanging="420"/>
      </w:pPr>
      <w:rPr>
        <w:rFonts w:cs="Times New Roman"/>
      </w:rPr>
    </w:lvl>
    <w:lvl w:ilvl="4" w:tentative="0">
      <w:start w:val="1"/>
      <w:numFmt w:val="lowerLetter"/>
      <w:lvlText w:val="%5)"/>
      <w:lvlJc w:val="left"/>
      <w:pPr>
        <w:ind w:left="2760" w:hanging="420"/>
      </w:pPr>
      <w:rPr>
        <w:rFonts w:cs="Times New Roman"/>
      </w:rPr>
    </w:lvl>
    <w:lvl w:ilvl="5" w:tentative="0">
      <w:start w:val="1"/>
      <w:numFmt w:val="lowerRoman"/>
      <w:lvlText w:val="%6."/>
      <w:lvlJc w:val="right"/>
      <w:pPr>
        <w:ind w:left="3180" w:hanging="420"/>
      </w:pPr>
      <w:rPr>
        <w:rFonts w:cs="Times New Roman"/>
      </w:rPr>
    </w:lvl>
    <w:lvl w:ilvl="6" w:tentative="0">
      <w:start w:val="1"/>
      <w:numFmt w:val="decimal"/>
      <w:lvlText w:val="%7."/>
      <w:lvlJc w:val="left"/>
      <w:pPr>
        <w:ind w:left="3600" w:hanging="420"/>
      </w:pPr>
      <w:rPr>
        <w:rFonts w:cs="Times New Roman"/>
      </w:rPr>
    </w:lvl>
    <w:lvl w:ilvl="7" w:tentative="0">
      <w:start w:val="1"/>
      <w:numFmt w:val="lowerLetter"/>
      <w:lvlText w:val="%8)"/>
      <w:lvlJc w:val="left"/>
      <w:pPr>
        <w:ind w:left="4020" w:hanging="420"/>
      </w:pPr>
      <w:rPr>
        <w:rFonts w:cs="Times New Roman"/>
      </w:rPr>
    </w:lvl>
    <w:lvl w:ilvl="8" w:tentative="0">
      <w:start w:val="1"/>
      <w:numFmt w:val="lowerRoman"/>
      <w:lvlText w:val="%9."/>
      <w:lvlJc w:val="right"/>
      <w:pPr>
        <w:ind w:left="4440" w:hanging="420"/>
      </w:pPr>
      <w:rPr>
        <w:rFonts w:cs="Times New Roman"/>
      </w:rPr>
    </w:lvl>
  </w:abstractNum>
  <w:abstractNum w:abstractNumId="14">
    <w:nsid w:val="4B7D3B29"/>
    <w:multiLevelType w:val="multilevel"/>
    <w:tmpl w:val="4B7D3B29"/>
    <w:lvl w:ilvl="0" w:tentative="0">
      <w:start w:val="1"/>
      <w:numFmt w:val="decimal"/>
      <w:lvlText w:val="10.%1"/>
      <w:lvlJc w:val="left"/>
      <w:pPr>
        <w:ind w:left="1260" w:hanging="420"/>
      </w:pPr>
      <w:rPr>
        <w:rFonts w:hint="eastAsia" w:cs="Times New Roman"/>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15">
    <w:nsid w:val="4E803847"/>
    <w:multiLevelType w:val="multilevel"/>
    <w:tmpl w:val="4E803847"/>
    <w:lvl w:ilvl="0" w:tentative="0">
      <w:start w:val="1"/>
      <w:numFmt w:val="decimal"/>
      <w:suff w:val="space"/>
      <w:lvlText w:val="%1. "/>
      <w:lvlJc w:val="left"/>
      <w:pPr>
        <w:ind w:left="266" w:hanging="266"/>
      </w:pPr>
      <w:rPr>
        <w:rFonts w:hint="eastAsia" w:cs="Times New Roman"/>
        <w:b/>
      </w:rPr>
    </w:lvl>
    <w:lvl w:ilvl="1" w:tentative="0">
      <w:start w:val="1"/>
      <w:numFmt w:val="decimal"/>
      <w:lvlText w:val="%1.%2 "/>
      <w:lvlJc w:val="left"/>
      <w:pPr>
        <w:tabs>
          <w:tab w:val="left" w:pos="0"/>
        </w:tabs>
        <w:ind w:left="482" w:hanging="425"/>
      </w:pPr>
      <w:rPr>
        <w:rFonts w:hint="eastAsia" w:cs="Times New Roman"/>
        <w:b w:val="0"/>
        <w:sz w:val="21"/>
        <w:szCs w:val="21"/>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6">
    <w:nsid w:val="560A7920"/>
    <w:multiLevelType w:val="multilevel"/>
    <w:tmpl w:val="560A7920"/>
    <w:lvl w:ilvl="0" w:tentative="0">
      <w:start w:val="1"/>
      <w:numFmt w:val="decimal"/>
      <w:lvlText w:val="(%1)"/>
      <w:lvlJc w:val="left"/>
      <w:pPr>
        <w:tabs>
          <w:tab w:val="left" w:pos="0"/>
        </w:tabs>
        <w:ind w:left="397" w:hanging="397"/>
      </w:pPr>
      <w:rPr>
        <w:rFonts w:hint="eastAsia" w:eastAsia="宋体" w:cs="Times New Roman"/>
        <w:b w:val="0"/>
        <w:i w:val="0"/>
        <w:sz w:val="21"/>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7">
    <w:nsid w:val="56F706E0"/>
    <w:multiLevelType w:val="multilevel"/>
    <w:tmpl w:val="56F706E0"/>
    <w:lvl w:ilvl="0" w:tentative="0">
      <w:start w:val="1"/>
      <w:numFmt w:val="decimal"/>
      <w:lvlText w:val="%1"/>
      <w:lvlJc w:val="left"/>
      <w:pPr>
        <w:ind w:left="425" w:hanging="425"/>
      </w:pPr>
      <w:rPr>
        <w:rFonts w:cs="Times New Roman"/>
      </w:rPr>
    </w:lvl>
    <w:lvl w:ilvl="1" w:tentative="0">
      <w:start w:val="1"/>
      <w:numFmt w:val="decimal"/>
      <w:lvlText w:val="%2、"/>
      <w:lvlJc w:val="left"/>
      <w:pPr>
        <w:ind w:left="992" w:hanging="567"/>
      </w:pPr>
      <w:rPr>
        <w:rFonts w:hint="default"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18">
    <w:nsid w:val="575350FE"/>
    <w:multiLevelType w:val="multilevel"/>
    <w:tmpl w:val="575350FE"/>
    <w:lvl w:ilvl="0" w:tentative="0">
      <w:start w:val="1"/>
      <w:numFmt w:val="decimal"/>
      <w:lvlText w:val="%1、"/>
      <w:lvlJc w:val="left"/>
      <w:pPr>
        <w:ind w:left="902" w:hanging="420"/>
      </w:pPr>
      <w:rPr>
        <w:rFonts w:hint="eastAsia" w:ascii="宋体" w:hAnsi="宋体" w:eastAsia="宋体" w:cs="Times New Roman"/>
        <w:b/>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19">
    <w:nsid w:val="58B25851"/>
    <w:multiLevelType w:val="singleLevel"/>
    <w:tmpl w:val="58B25851"/>
    <w:lvl w:ilvl="0" w:tentative="0">
      <w:start w:val="2"/>
      <w:numFmt w:val="decimal"/>
      <w:suff w:val="nothing"/>
      <w:lvlText w:val="%1、"/>
      <w:lvlJc w:val="left"/>
      <w:rPr>
        <w:rFonts w:cs="Times New Roman"/>
      </w:rPr>
    </w:lvl>
  </w:abstractNum>
  <w:abstractNum w:abstractNumId="20">
    <w:nsid w:val="6AF6234E"/>
    <w:multiLevelType w:val="multilevel"/>
    <w:tmpl w:val="6AF6234E"/>
    <w:lvl w:ilvl="0" w:tentative="0">
      <w:start w:val="1"/>
      <w:numFmt w:val="decimal"/>
      <w:lvlText w:val="13.%1"/>
      <w:lvlJc w:val="left"/>
      <w:pPr>
        <w:ind w:left="1260" w:hanging="420"/>
      </w:pPr>
      <w:rPr>
        <w:rFonts w:hint="eastAsia" w:cs="Times New Roman"/>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21">
    <w:nsid w:val="76F731B5"/>
    <w:multiLevelType w:val="multilevel"/>
    <w:tmpl w:val="76F731B5"/>
    <w:lvl w:ilvl="0" w:tentative="0">
      <w:start w:val="2"/>
      <w:numFmt w:val="decimal"/>
      <w:suff w:val="space"/>
      <w:lvlText w:val="%1. "/>
      <w:lvlJc w:val="left"/>
      <w:pPr>
        <w:ind w:left="266" w:hanging="266"/>
      </w:pPr>
      <w:rPr>
        <w:rFonts w:hint="eastAsia" w:cs="Times New Roman"/>
        <w:b/>
      </w:rPr>
    </w:lvl>
    <w:lvl w:ilvl="1" w:tentative="0">
      <w:start w:val="1"/>
      <w:numFmt w:val="decimal"/>
      <w:lvlText w:val="%1.%2　"/>
      <w:lvlJc w:val="left"/>
      <w:pPr>
        <w:tabs>
          <w:tab w:val="left" w:pos="0"/>
        </w:tabs>
        <w:ind w:left="482" w:hanging="425"/>
      </w:pPr>
      <w:rPr>
        <w:rFonts w:hint="eastAsia" w:cs="Times New Roman"/>
        <w:b/>
        <w:sz w:val="21"/>
        <w:szCs w:val="21"/>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1"/>
  </w:num>
  <w:num w:numId="2">
    <w:abstractNumId w:val="2"/>
  </w:num>
  <w:num w:numId="3">
    <w:abstractNumId w:val="10"/>
  </w:num>
  <w:num w:numId="4">
    <w:abstractNumId w:val="16"/>
  </w:num>
  <w:num w:numId="5">
    <w:abstractNumId w:val="18"/>
  </w:num>
  <w:num w:numId="6">
    <w:abstractNumId w:val="5"/>
  </w:num>
  <w:num w:numId="7">
    <w:abstractNumId w:val="4"/>
  </w:num>
  <w:num w:numId="8">
    <w:abstractNumId w:val="14"/>
  </w:num>
  <w:num w:numId="9">
    <w:abstractNumId w:val="20"/>
  </w:num>
  <w:num w:numId="10">
    <w:abstractNumId w:val="15"/>
  </w:num>
  <w:num w:numId="11">
    <w:abstractNumId w:val="21"/>
  </w:num>
  <w:num w:numId="12">
    <w:abstractNumId w:val="11"/>
  </w:num>
  <w:num w:numId="13">
    <w:abstractNumId w:val="0"/>
  </w:num>
  <w:num w:numId="14">
    <w:abstractNumId w:val="3"/>
  </w:num>
  <w:num w:numId="15">
    <w:abstractNumId w:val="7"/>
  </w:num>
  <w:num w:numId="16">
    <w:abstractNumId w:val="9"/>
  </w:num>
  <w:num w:numId="17">
    <w:abstractNumId w:val="17"/>
  </w:num>
  <w:num w:numId="18">
    <w:abstractNumId w:val="13"/>
  </w:num>
  <w:num w:numId="19">
    <w:abstractNumId w:val="19"/>
  </w:num>
  <w:num w:numId="20">
    <w:abstractNumId w:val="6"/>
  </w:num>
  <w:num w:numId="21">
    <w:abstractNumId w:val="8"/>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bany">
    <w15:presenceInfo w15:providerId="None" w15:userId="xbany"/>
  </w15:person>
  <w15:person w15:author="WangYuhan">
    <w15:presenceInfo w15:providerId="None" w15:userId="WangYu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revisionView w:markup="0"/>
  <w:documentProtection w:edit="readOnly" w:formatting="1" w:enforcement="1" w:cryptProviderType="rsaFull" w:cryptAlgorithmClass="hash" w:cryptAlgorithmType="typeAny" w:cryptAlgorithmSid="4" w:cryptSpinCount="0" w:hash="pWuqTBu0QIn33DuovqJK8HnTPmM=" w:salt="0u7DtbsWIZ5ZZcJDIiHLcg=="/>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D"/>
    <w:rsid w:val="0000421A"/>
    <w:rsid w:val="00012225"/>
    <w:rsid w:val="000141F0"/>
    <w:rsid w:val="00016D7A"/>
    <w:rsid w:val="00023DCA"/>
    <w:rsid w:val="00026565"/>
    <w:rsid w:val="00037DB5"/>
    <w:rsid w:val="00042C71"/>
    <w:rsid w:val="00045B5E"/>
    <w:rsid w:val="00046059"/>
    <w:rsid w:val="000561EE"/>
    <w:rsid w:val="000616D3"/>
    <w:rsid w:val="000948FB"/>
    <w:rsid w:val="000D1539"/>
    <w:rsid w:val="000D2C68"/>
    <w:rsid w:val="000E548D"/>
    <w:rsid w:val="000E5B28"/>
    <w:rsid w:val="000F1903"/>
    <w:rsid w:val="000F2C16"/>
    <w:rsid w:val="000F6CE0"/>
    <w:rsid w:val="00110C14"/>
    <w:rsid w:val="001152A9"/>
    <w:rsid w:val="00124C30"/>
    <w:rsid w:val="00135EFF"/>
    <w:rsid w:val="00154D7E"/>
    <w:rsid w:val="00155C9E"/>
    <w:rsid w:val="00170F94"/>
    <w:rsid w:val="00184D4B"/>
    <w:rsid w:val="00187BF9"/>
    <w:rsid w:val="001A0288"/>
    <w:rsid w:val="001A3CBE"/>
    <w:rsid w:val="001B0835"/>
    <w:rsid w:val="001C1120"/>
    <w:rsid w:val="001E09A4"/>
    <w:rsid w:val="001F4BFE"/>
    <w:rsid w:val="001F7FAC"/>
    <w:rsid w:val="0021338C"/>
    <w:rsid w:val="0021341C"/>
    <w:rsid w:val="0021690B"/>
    <w:rsid w:val="00220D2A"/>
    <w:rsid w:val="00231F4D"/>
    <w:rsid w:val="00236335"/>
    <w:rsid w:val="00246CC7"/>
    <w:rsid w:val="00247664"/>
    <w:rsid w:val="00251CCF"/>
    <w:rsid w:val="002630ED"/>
    <w:rsid w:val="00264B25"/>
    <w:rsid w:val="00265119"/>
    <w:rsid w:val="002666AE"/>
    <w:rsid w:val="00266A9C"/>
    <w:rsid w:val="00267597"/>
    <w:rsid w:val="002700C5"/>
    <w:rsid w:val="002729BA"/>
    <w:rsid w:val="00274A75"/>
    <w:rsid w:val="00275CBB"/>
    <w:rsid w:val="002805E0"/>
    <w:rsid w:val="002852CF"/>
    <w:rsid w:val="002A1D65"/>
    <w:rsid w:val="002B6B7F"/>
    <w:rsid w:val="003455E1"/>
    <w:rsid w:val="003537F0"/>
    <w:rsid w:val="0036074A"/>
    <w:rsid w:val="00362DFC"/>
    <w:rsid w:val="00383EB3"/>
    <w:rsid w:val="003A38DF"/>
    <w:rsid w:val="003A7A9B"/>
    <w:rsid w:val="003B3837"/>
    <w:rsid w:val="003B6D91"/>
    <w:rsid w:val="003C1583"/>
    <w:rsid w:val="003C5736"/>
    <w:rsid w:val="003E4ABD"/>
    <w:rsid w:val="003F784A"/>
    <w:rsid w:val="003F7F7F"/>
    <w:rsid w:val="00404746"/>
    <w:rsid w:val="00405133"/>
    <w:rsid w:val="00443524"/>
    <w:rsid w:val="00450BB7"/>
    <w:rsid w:val="00461334"/>
    <w:rsid w:val="00467B06"/>
    <w:rsid w:val="00470762"/>
    <w:rsid w:val="00476A26"/>
    <w:rsid w:val="00481673"/>
    <w:rsid w:val="004B0BD3"/>
    <w:rsid w:val="004B56B7"/>
    <w:rsid w:val="004C09CA"/>
    <w:rsid w:val="004C1319"/>
    <w:rsid w:val="004C6824"/>
    <w:rsid w:val="004E76DE"/>
    <w:rsid w:val="004F703C"/>
    <w:rsid w:val="00523FDA"/>
    <w:rsid w:val="00524F36"/>
    <w:rsid w:val="00527CEE"/>
    <w:rsid w:val="00547BDF"/>
    <w:rsid w:val="00551DEC"/>
    <w:rsid w:val="00563BB5"/>
    <w:rsid w:val="00572E0F"/>
    <w:rsid w:val="0058245D"/>
    <w:rsid w:val="0058507D"/>
    <w:rsid w:val="005A0345"/>
    <w:rsid w:val="005A4DBF"/>
    <w:rsid w:val="005D7892"/>
    <w:rsid w:val="005E370E"/>
    <w:rsid w:val="005F371F"/>
    <w:rsid w:val="005F5D4E"/>
    <w:rsid w:val="00613698"/>
    <w:rsid w:val="00622CE6"/>
    <w:rsid w:val="00630346"/>
    <w:rsid w:val="00632B4E"/>
    <w:rsid w:val="006351DF"/>
    <w:rsid w:val="006534EE"/>
    <w:rsid w:val="00656AE0"/>
    <w:rsid w:val="00662BBA"/>
    <w:rsid w:val="0066585E"/>
    <w:rsid w:val="00685CCF"/>
    <w:rsid w:val="0068667A"/>
    <w:rsid w:val="006871F9"/>
    <w:rsid w:val="00692075"/>
    <w:rsid w:val="00694493"/>
    <w:rsid w:val="00695D01"/>
    <w:rsid w:val="006B0FDB"/>
    <w:rsid w:val="006C0F80"/>
    <w:rsid w:val="006C74A5"/>
    <w:rsid w:val="006D2D28"/>
    <w:rsid w:val="006E3044"/>
    <w:rsid w:val="006E5BAB"/>
    <w:rsid w:val="006F05E5"/>
    <w:rsid w:val="00711141"/>
    <w:rsid w:val="00711255"/>
    <w:rsid w:val="0071667E"/>
    <w:rsid w:val="00721153"/>
    <w:rsid w:val="00736F3C"/>
    <w:rsid w:val="0075251E"/>
    <w:rsid w:val="0075379D"/>
    <w:rsid w:val="0076365E"/>
    <w:rsid w:val="007660EE"/>
    <w:rsid w:val="00767AF0"/>
    <w:rsid w:val="00784280"/>
    <w:rsid w:val="007873B6"/>
    <w:rsid w:val="007A3C3F"/>
    <w:rsid w:val="007A3DF9"/>
    <w:rsid w:val="007B15D4"/>
    <w:rsid w:val="007D0261"/>
    <w:rsid w:val="007D089E"/>
    <w:rsid w:val="007D7BBB"/>
    <w:rsid w:val="007F673E"/>
    <w:rsid w:val="00806D33"/>
    <w:rsid w:val="008114DB"/>
    <w:rsid w:val="008277AC"/>
    <w:rsid w:val="00830551"/>
    <w:rsid w:val="008411B4"/>
    <w:rsid w:val="00851928"/>
    <w:rsid w:val="0087137A"/>
    <w:rsid w:val="008728DC"/>
    <w:rsid w:val="00883A54"/>
    <w:rsid w:val="00885DFE"/>
    <w:rsid w:val="00887823"/>
    <w:rsid w:val="008A186B"/>
    <w:rsid w:val="008A2E03"/>
    <w:rsid w:val="008B1F03"/>
    <w:rsid w:val="008C344B"/>
    <w:rsid w:val="008C5C33"/>
    <w:rsid w:val="008D7F90"/>
    <w:rsid w:val="008E2A29"/>
    <w:rsid w:val="008E6180"/>
    <w:rsid w:val="008F0D53"/>
    <w:rsid w:val="009064DB"/>
    <w:rsid w:val="00907015"/>
    <w:rsid w:val="0090749E"/>
    <w:rsid w:val="00913EFE"/>
    <w:rsid w:val="00922CC9"/>
    <w:rsid w:val="009269DE"/>
    <w:rsid w:val="0093159F"/>
    <w:rsid w:val="00933669"/>
    <w:rsid w:val="00951210"/>
    <w:rsid w:val="00955588"/>
    <w:rsid w:val="00962CEB"/>
    <w:rsid w:val="00963381"/>
    <w:rsid w:val="00970C94"/>
    <w:rsid w:val="00985F24"/>
    <w:rsid w:val="009919B1"/>
    <w:rsid w:val="009A7EEF"/>
    <w:rsid w:val="009B41BA"/>
    <w:rsid w:val="009D6306"/>
    <w:rsid w:val="009F0FA8"/>
    <w:rsid w:val="00A00C55"/>
    <w:rsid w:val="00A10E09"/>
    <w:rsid w:val="00A13B2F"/>
    <w:rsid w:val="00A264C1"/>
    <w:rsid w:val="00A32431"/>
    <w:rsid w:val="00A5380C"/>
    <w:rsid w:val="00A553A1"/>
    <w:rsid w:val="00A56B33"/>
    <w:rsid w:val="00A64033"/>
    <w:rsid w:val="00A6697E"/>
    <w:rsid w:val="00A753F2"/>
    <w:rsid w:val="00A8378D"/>
    <w:rsid w:val="00A83D16"/>
    <w:rsid w:val="00A84C73"/>
    <w:rsid w:val="00A873EC"/>
    <w:rsid w:val="00A876BE"/>
    <w:rsid w:val="00A97A18"/>
    <w:rsid w:val="00AA526A"/>
    <w:rsid w:val="00AA61B3"/>
    <w:rsid w:val="00AA7402"/>
    <w:rsid w:val="00AB1943"/>
    <w:rsid w:val="00AD07D7"/>
    <w:rsid w:val="00AD4B19"/>
    <w:rsid w:val="00AE7999"/>
    <w:rsid w:val="00AF222B"/>
    <w:rsid w:val="00B02470"/>
    <w:rsid w:val="00B10528"/>
    <w:rsid w:val="00B23E5A"/>
    <w:rsid w:val="00B30E1E"/>
    <w:rsid w:val="00B435B9"/>
    <w:rsid w:val="00B6013D"/>
    <w:rsid w:val="00B6201E"/>
    <w:rsid w:val="00B62ECC"/>
    <w:rsid w:val="00B65099"/>
    <w:rsid w:val="00B65566"/>
    <w:rsid w:val="00B7316D"/>
    <w:rsid w:val="00B751F5"/>
    <w:rsid w:val="00B82928"/>
    <w:rsid w:val="00B8337A"/>
    <w:rsid w:val="00BA0F71"/>
    <w:rsid w:val="00BA4D91"/>
    <w:rsid w:val="00BB3A48"/>
    <w:rsid w:val="00BC1B08"/>
    <w:rsid w:val="00BC2646"/>
    <w:rsid w:val="00BC5558"/>
    <w:rsid w:val="00BE6564"/>
    <w:rsid w:val="00BF34C4"/>
    <w:rsid w:val="00BF45B7"/>
    <w:rsid w:val="00BF58C2"/>
    <w:rsid w:val="00BF681D"/>
    <w:rsid w:val="00C041ED"/>
    <w:rsid w:val="00C07459"/>
    <w:rsid w:val="00C100DD"/>
    <w:rsid w:val="00C32564"/>
    <w:rsid w:val="00C33F91"/>
    <w:rsid w:val="00C35760"/>
    <w:rsid w:val="00C433A5"/>
    <w:rsid w:val="00C80EAA"/>
    <w:rsid w:val="00C81BC6"/>
    <w:rsid w:val="00C82B68"/>
    <w:rsid w:val="00CA305B"/>
    <w:rsid w:val="00CA63CD"/>
    <w:rsid w:val="00CC12BF"/>
    <w:rsid w:val="00D06CFF"/>
    <w:rsid w:val="00D1075D"/>
    <w:rsid w:val="00D14BE8"/>
    <w:rsid w:val="00D14FD5"/>
    <w:rsid w:val="00D1758D"/>
    <w:rsid w:val="00D20E1B"/>
    <w:rsid w:val="00D210B6"/>
    <w:rsid w:val="00D252CF"/>
    <w:rsid w:val="00D3390B"/>
    <w:rsid w:val="00D362D6"/>
    <w:rsid w:val="00D372D9"/>
    <w:rsid w:val="00D41D75"/>
    <w:rsid w:val="00D57DC5"/>
    <w:rsid w:val="00D61480"/>
    <w:rsid w:val="00D64731"/>
    <w:rsid w:val="00D71BE1"/>
    <w:rsid w:val="00D83C2E"/>
    <w:rsid w:val="00D94738"/>
    <w:rsid w:val="00D94C2F"/>
    <w:rsid w:val="00D972EF"/>
    <w:rsid w:val="00DB68E4"/>
    <w:rsid w:val="00DC1D8B"/>
    <w:rsid w:val="00DC6D2C"/>
    <w:rsid w:val="00DD2C71"/>
    <w:rsid w:val="00DD7015"/>
    <w:rsid w:val="00DE1EDE"/>
    <w:rsid w:val="00DF0B9E"/>
    <w:rsid w:val="00DF1A3C"/>
    <w:rsid w:val="00DF49C3"/>
    <w:rsid w:val="00E060CD"/>
    <w:rsid w:val="00E073FE"/>
    <w:rsid w:val="00E20FA2"/>
    <w:rsid w:val="00E26B4F"/>
    <w:rsid w:val="00E26D31"/>
    <w:rsid w:val="00E4364B"/>
    <w:rsid w:val="00E55B56"/>
    <w:rsid w:val="00E63931"/>
    <w:rsid w:val="00E72176"/>
    <w:rsid w:val="00E82B21"/>
    <w:rsid w:val="00EA2B08"/>
    <w:rsid w:val="00EA4369"/>
    <w:rsid w:val="00EA493D"/>
    <w:rsid w:val="00EA7E0E"/>
    <w:rsid w:val="00EB49F9"/>
    <w:rsid w:val="00EC7435"/>
    <w:rsid w:val="00ED25B9"/>
    <w:rsid w:val="00ED5A2F"/>
    <w:rsid w:val="00EF4594"/>
    <w:rsid w:val="00EF4A8C"/>
    <w:rsid w:val="00F0193C"/>
    <w:rsid w:val="00F03E50"/>
    <w:rsid w:val="00F139EE"/>
    <w:rsid w:val="00F14C5D"/>
    <w:rsid w:val="00F32B1A"/>
    <w:rsid w:val="00F36806"/>
    <w:rsid w:val="00F4512F"/>
    <w:rsid w:val="00F45B3E"/>
    <w:rsid w:val="00F45F13"/>
    <w:rsid w:val="00F56463"/>
    <w:rsid w:val="00F56F30"/>
    <w:rsid w:val="00F630DF"/>
    <w:rsid w:val="00F65D9E"/>
    <w:rsid w:val="00F675B9"/>
    <w:rsid w:val="00F71098"/>
    <w:rsid w:val="00F712E4"/>
    <w:rsid w:val="00F72A70"/>
    <w:rsid w:val="00F81052"/>
    <w:rsid w:val="00FA2DF1"/>
    <w:rsid w:val="00FA62AA"/>
    <w:rsid w:val="00FC0069"/>
    <w:rsid w:val="00FC0933"/>
    <w:rsid w:val="00FC3F6B"/>
    <w:rsid w:val="00FC5F45"/>
    <w:rsid w:val="00FE4AA9"/>
    <w:rsid w:val="00FE57AB"/>
    <w:rsid w:val="00FF5C66"/>
    <w:rsid w:val="01796C36"/>
    <w:rsid w:val="01AE2448"/>
    <w:rsid w:val="024C64E6"/>
    <w:rsid w:val="02BE3195"/>
    <w:rsid w:val="02C16D7E"/>
    <w:rsid w:val="03081009"/>
    <w:rsid w:val="04266013"/>
    <w:rsid w:val="048E2739"/>
    <w:rsid w:val="06AD4E8C"/>
    <w:rsid w:val="07DE6626"/>
    <w:rsid w:val="09BC3031"/>
    <w:rsid w:val="09DE3B6A"/>
    <w:rsid w:val="0A544774"/>
    <w:rsid w:val="0A627D8D"/>
    <w:rsid w:val="0A6D7C92"/>
    <w:rsid w:val="0A865931"/>
    <w:rsid w:val="0B3E396B"/>
    <w:rsid w:val="0B8817C6"/>
    <w:rsid w:val="0C036990"/>
    <w:rsid w:val="0C255F78"/>
    <w:rsid w:val="0D280F65"/>
    <w:rsid w:val="0E5A289C"/>
    <w:rsid w:val="0FA00E8D"/>
    <w:rsid w:val="0FD02288"/>
    <w:rsid w:val="0FEE655F"/>
    <w:rsid w:val="104C5D33"/>
    <w:rsid w:val="108222ED"/>
    <w:rsid w:val="11AB5671"/>
    <w:rsid w:val="11EB494A"/>
    <w:rsid w:val="12913217"/>
    <w:rsid w:val="12D32242"/>
    <w:rsid w:val="13E057AC"/>
    <w:rsid w:val="15256F94"/>
    <w:rsid w:val="15BB4ECC"/>
    <w:rsid w:val="15EB13FA"/>
    <w:rsid w:val="175071C7"/>
    <w:rsid w:val="17D13E3D"/>
    <w:rsid w:val="18286CD9"/>
    <w:rsid w:val="1879739F"/>
    <w:rsid w:val="18D22A2A"/>
    <w:rsid w:val="19345539"/>
    <w:rsid w:val="19813C46"/>
    <w:rsid w:val="1C403EC4"/>
    <w:rsid w:val="1C610148"/>
    <w:rsid w:val="1CB55311"/>
    <w:rsid w:val="1E0F66E1"/>
    <w:rsid w:val="1E43443D"/>
    <w:rsid w:val="1E74079A"/>
    <w:rsid w:val="1F0715E2"/>
    <w:rsid w:val="1F383E01"/>
    <w:rsid w:val="1FCE608F"/>
    <w:rsid w:val="20365264"/>
    <w:rsid w:val="21102DB4"/>
    <w:rsid w:val="221656B6"/>
    <w:rsid w:val="23137ED6"/>
    <w:rsid w:val="23891C31"/>
    <w:rsid w:val="23DD1FBA"/>
    <w:rsid w:val="251059EE"/>
    <w:rsid w:val="25A53A15"/>
    <w:rsid w:val="28611F6F"/>
    <w:rsid w:val="286823AD"/>
    <w:rsid w:val="286E31E8"/>
    <w:rsid w:val="28951B1E"/>
    <w:rsid w:val="2B3B5754"/>
    <w:rsid w:val="2B7E0DF8"/>
    <w:rsid w:val="2C222E18"/>
    <w:rsid w:val="2C3636B6"/>
    <w:rsid w:val="2D1733E6"/>
    <w:rsid w:val="2F4F7A5F"/>
    <w:rsid w:val="2F6E5022"/>
    <w:rsid w:val="300D3B90"/>
    <w:rsid w:val="307C4116"/>
    <w:rsid w:val="30A9041D"/>
    <w:rsid w:val="314C62F3"/>
    <w:rsid w:val="31564BA3"/>
    <w:rsid w:val="31AF7CDC"/>
    <w:rsid w:val="3352577A"/>
    <w:rsid w:val="35565335"/>
    <w:rsid w:val="35856878"/>
    <w:rsid w:val="36484470"/>
    <w:rsid w:val="366E7445"/>
    <w:rsid w:val="390231EE"/>
    <w:rsid w:val="39910420"/>
    <w:rsid w:val="3A2A2DCA"/>
    <w:rsid w:val="3AD013E9"/>
    <w:rsid w:val="3B2955EA"/>
    <w:rsid w:val="3B6969BD"/>
    <w:rsid w:val="3B786F32"/>
    <w:rsid w:val="3C0C52EB"/>
    <w:rsid w:val="3C4660D9"/>
    <w:rsid w:val="3D500585"/>
    <w:rsid w:val="3E327A77"/>
    <w:rsid w:val="3E741AEB"/>
    <w:rsid w:val="3E775820"/>
    <w:rsid w:val="3EC22F40"/>
    <w:rsid w:val="3F1E647C"/>
    <w:rsid w:val="3F5007C1"/>
    <w:rsid w:val="3F9141D8"/>
    <w:rsid w:val="40F21E94"/>
    <w:rsid w:val="415674DE"/>
    <w:rsid w:val="41B80554"/>
    <w:rsid w:val="42E6098B"/>
    <w:rsid w:val="436001F5"/>
    <w:rsid w:val="43DB11E9"/>
    <w:rsid w:val="475D2CA7"/>
    <w:rsid w:val="47A9676B"/>
    <w:rsid w:val="47B501A4"/>
    <w:rsid w:val="47CD7E0B"/>
    <w:rsid w:val="4844367C"/>
    <w:rsid w:val="48586A8E"/>
    <w:rsid w:val="48B710F9"/>
    <w:rsid w:val="48C946EB"/>
    <w:rsid w:val="48CE2A84"/>
    <w:rsid w:val="4A0704A4"/>
    <w:rsid w:val="4A2A11A2"/>
    <w:rsid w:val="4A9F7DD7"/>
    <w:rsid w:val="4B1B3DCE"/>
    <w:rsid w:val="4B6C1AA6"/>
    <w:rsid w:val="4DAD0517"/>
    <w:rsid w:val="4F48158F"/>
    <w:rsid w:val="4FDE21A0"/>
    <w:rsid w:val="500C17F3"/>
    <w:rsid w:val="51310BF4"/>
    <w:rsid w:val="52016C97"/>
    <w:rsid w:val="523E2950"/>
    <w:rsid w:val="52CD59B2"/>
    <w:rsid w:val="530B6D20"/>
    <w:rsid w:val="53B803C8"/>
    <w:rsid w:val="53C8128C"/>
    <w:rsid w:val="540A6E51"/>
    <w:rsid w:val="54FC0981"/>
    <w:rsid w:val="561F39F3"/>
    <w:rsid w:val="56363797"/>
    <w:rsid w:val="56656CF2"/>
    <w:rsid w:val="56A62044"/>
    <w:rsid w:val="56E92815"/>
    <w:rsid w:val="57411444"/>
    <w:rsid w:val="57A96DEC"/>
    <w:rsid w:val="57CE4DAC"/>
    <w:rsid w:val="58F77F45"/>
    <w:rsid w:val="596C07DF"/>
    <w:rsid w:val="59AA4FCE"/>
    <w:rsid w:val="5A46147E"/>
    <w:rsid w:val="5B250ED4"/>
    <w:rsid w:val="5BF80D02"/>
    <w:rsid w:val="5CFC63E6"/>
    <w:rsid w:val="5D480FD8"/>
    <w:rsid w:val="5F2F0E37"/>
    <w:rsid w:val="5F8027F7"/>
    <w:rsid w:val="5FC51E6B"/>
    <w:rsid w:val="5FDE3714"/>
    <w:rsid w:val="60370EB4"/>
    <w:rsid w:val="608759DC"/>
    <w:rsid w:val="617F1FDE"/>
    <w:rsid w:val="623C085C"/>
    <w:rsid w:val="628628C4"/>
    <w:rsid w:val="62C12169"/>
    <w:rsid w:val="63104B6E"/>
    <w:rsid w:val="63171498"/>
    <w:rsid w:val="639B4915"/>
    <w:rsid w:val="63FB26C6"/>
    <w:rsid w:val="64121021"/>
    <w:rsid w:val="64A9202C"/>
    <w:rsid w:val="65045ABF"/>
    <w:rsid w:val="65A34844"/>
    <w:rsid w:val="65AF3778"/>
    <w:rsid w:val="66170EAC"/>
    <w:rsid w:val="66402DF7"/>
    <w:rsid w:val="665655CA"/>
    <w:rsid w:val="669A00C9"/>
    <w:rsid w:val="69D43ABD"/>
    <w:rsid w:val="6A052C03"/>
    <w:rsid w:val="6A0D2001"/>
    <w:rsid w:val="6AE97F0F"/>
    <w:rsid w:val="6B4D024B"/>
    <w:rsid w:val="6BEA2B1F"/>
    <w:rsid w:val="6C257466"/>
    <w:rsid w:val="6D45374F"/>
    <w:rsid w:val="6D814D0D"/>
    <w:rsid w:val="6DF01BA2"/>
    <w:rsid w:val="6E095B58"/>
    <w:rsid w:val="6E670E2A"/>
    <w:rsid w:val="6E695358"/>
    <w:rsid w:val="6E9A46F1"/>
    <w:rsid w:val="6EC05A20"/>
    <w:rsid w:val="6F597AF4"/>
    <w:rsid w:val="71453C73"/>
    <w:rsid w:val="71AB25F9"/>
    <w:rsid w:val="7214259B"/>
    <w:rsid w:val="72420D24"/>
    <w:rsid w:val="737B27E8"/>
    <w:rsid w:val="7486477E"/>
    <w:rsid w:val="753B29B8"/>
    <w:rsid w:val="755316E8"/>
    <w:rsid w:val="76031904"/>
    <w:rsid w:val="76255FCE"/>
    <w:rsid w:val="763D321F"/>
    <w:rsid w:val="7765780A"/>
    <w:rsid w:val="77E66C0E"/>
    <w:rsid w:val="781B1964"/>
    <w:rsid w:val="787714F5"/>
    <w:rsid w:val="79F72D65"/>
    <w:rsid w:val="7A0A3D43"/>
    <w:rsid w:val="7A9535C1"/>
    <w:rsid w:val="7BDC6104"/>
    <w:rsid w:val="7C3A6641"/>
    <w:rsid w:val="7CE27D43"/>
    <w:rsid w:val="7CE51D38"/>
    <w:rsid w:val="7D522474"/>
    <w:rsid w:val="7D801199"/>
    <w:rsid w:val="7F0608A3"/>
    <w:rsid w:val="7F100D6B"/>
    <w:rsid w:val="7F5C29D7"/>
    <w:rsid w:val="7F6B36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ocked="1"/>
    <w:lsdException w:uiPriority="99" w:name="index 3" w:locked="1"/>
    <w:lsdException w:qFormat="1" w:unhideWhenUsed="0" w:uiPriority="0"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qFormat="1" w:unhideWhenUsed="0" w:uiPriority="0" w:semiHidden="0"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qFormat="1" w:unhideWhenUsed="0" w:uiPriority="0" w:semiHidden="0" w:name="Salutation"/>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semiHidden="0"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54"/>
    <w:qFormat/>
    <w:uiPriority w:val="0"/>
    <w:pPr>
      <w:keepNext/>
      <w:keepLines/>
      <w:pageBreakBefore/>
      <w:spacing w:before="240" w:after="120" w:line="560" w:lineRule="exact"/>
      <w:ind w:left="360" w:hanging="360"/>
      <w:jc w:val="left"/>
      <w:outlineLvl w:val="0"/>
    </w:pPr>
    <w:rPr>
      <w:rFonts w:ascii="黑体" w:hAnsi="Arial" w:eastAsia="黑体"/>
      <w:b/>
      <w:bCs/>
      <w:kern w:val="44"/>
      <w:sz w:val="32"/>
      <w:szCs w:val="32"/>
    </w:rPr>
  </w:style>
  <w:style w:type="paragraph" w:styleId="3">
    <w:name w:val="heading 2"/>
    <w:basedOn w:val="1"/>
    <w:next w:val="1"/>
    <w:link w:val="55"/>
    <w:qFormat/>
    <w:uiPriority w:val="0"/>
    <w:pPr>
      <w:keepNext/>
      <w:keepLines/>
      <w:numPr>
        <w:ilvl w:val="1"/>
        <w:numId w:val="1"/>
      </w:numPr>
      <w:spacing w:line="560" w:lineRule="exact"/>
      <w:outlineLvl w:val="1"/>
    </w:pPr>
    <w:rPr>
      <w:rFonts w:eastAsia="仿宋_GB2312"/>
      <w:b/>
      <w:bCs/>
      <w:sz w:val="28"/>
      <w:szCs w:val="28"/>
    </w:rPr>
  </w:style>
  <w:style w:type="paragraph" w:styleId="4">
    <w:name w:val="heading 3"/>
    <w:basedOn w:val="1"/>
    <w:next w:val="1"/>
    <w:link w:val="56"/>
    <w:qFormat/>
    <w:uiPriority w:val="0"/>
    <w:pPr>
      <w:keepNext/>
      <w:keepLines/>
      <w:spacing w:before="120" w:after="120" w:line="300" w:lineRule="auto"/>
      <w:outlineLvl w:val="2"/>
    </w:pPr>
    <w:rPr>
      <w:rFonts w:ascii="仿宋_GB2312" w:hAnsi="仿宋_GB2312" w:eastAsia="仿宋_GB2312"/>
      <w:b/>
      <w:bCs/>
      <w:sz w:val="28"/>
      <w:szCs w:val="32"/>
    </w:rPr>
  </w:style>
  <w:style w:type="paragraph" w:styleId="5">
    <w:name w:val="heading 4"/>
    <w:basedOn w:val="1"/>
    <w:next w:val="1"/>
    <w:link w:val="57"/>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8"/>
    <w:qFormat/>
    <w:uiPriority w:val="0"/>
    <w:pPr>
      <w:keepNext/>
      <w:keepLines/>
      <w:spacing w:before="280" w:after="290" w:line="376" w:lineRule="auto"/>
      <w:outlineLvl w:val="4"/>
    </w:pPr>
    <w:rPr>
      <w:b/>
      <w:bCs/>
      <w:sz w:val="28"/>
      <w:szCs w:val="28"/>
    </w:rPr>
  </w:style>
  <w:style w:type="paragraph" w:styleId="7">
    <w:name w:val="heading 6"/>
    <w:basedOn w:val="1"/>
    <w:next w:val="1"/>
    <w:link w:val="59"/>
    <w:qFormat/>
    <w:uiPriority w:val="0"/>
    <w:pPr>
      <w:keepNext/>
      <w:keepLines/>
      <w:spacing w:before="240" w:after="64" w:line="320" w:lineRule="auto"/>
      <w:outlineLvl w:val="5"/>
    </w:pPr>
    <w:rPr>
      <w:rFonts w:ascii="Cambria" w:hAnsi="Cambria"/>
      <w:b/>
      <w:bCs/>
      <w:sz w:val="24"/>
      <w:szCs w:val="24"/>
    </w:rPr>
  </w:style>
  <w:style w:type="paragraph" w:styleId="8">
    <w:name w:val="heading 7"/>
    <w:basedOn w:val="1"/>
    <w:next w:val="1"/>
    <w:link w:val="60"/>
    <w:qFormat/>
    <w:uiPriority w:val="0"/>
    <w:pPr>
      <w:keepNext/>
      <w:keepLines/>
      <w:spacing w:before="240" w:after="64" w:line="320" w:lineRule="auto"/>
      <w:outlineLvl w:val="6"/>
    </w:pPr>
    <w:rPr>
      <w:b/>
      <w:bCs/>
      <w:sz w:val="24"/>
      <w:szCs w:val="24"/>
    </w:rPr>
  </w:style>
  <w:style w:type="paragraph" w:styleId="9">
    <w:name w:val="heading 8"/>
    <w:basedOn w:val="1"/>
    <w:next w:val="1"/>
    <w:link w:val="61"/>
    <w:qFormat/>
    <w:uiPriority w:val="0"/>
    <w:pPr>
      <w:keepNext/>
      <w:keepLines/>
      <w:spacing w:before="240" w:after="64" w:line="320" w:lineRule="auto"/>
      <w:outlineLvl w:val="7"/>
    </w:pPr>
    <w:rPr>
      <w:rFonts w:ascii="Cambria" w:hAnsi="Cambria"/>
      <w:sz w:val="24"/>
      <w:szCs w:val="24"/>
    </w:rPr>
  </w:style>
  <w:style w:type="paragraph" w:styleId="10">
    <w:name w:val="heading 9"/>
    <w:basedOn w:val="1"/>
    <w:next w:val="1"/>
    <w:link w:val="62"/>
    <w:qFormat/>
    <w:uiPriority w:val="0"/>
    <w:pPr>
      <w:keepNext/>
      <w:keepLines/>
      <w:spacing w:before="240" w:after="64" w:line="320" w:lineRule="auto"/>
      <w:outlineLvl w:val="8"/>
    </w:pPr>
    <w:rPr>
      <w:rFonts w:ascii="Cambria" w:hAnsi="Cambria"/>
      <w:szCs w:val="21"/>
    </w:r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63"/>
    <w:qFormat/>
    <w:uiPriority w:val="0"/>
    <w:pPr>
      <w:widowControl/>
      <w:ind w:firstLine="420"/>
      <w:jc w:val="left"/>
    </w:pPr>
    <w:rPr>
      <w:kern w:val="0"/>
      <w:sz w:val="20"/>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5"/>
    <w:qFormat/>
    <w:uiPriority w:val="0"/>
    <w:rPr>
      <w:rFonts w:ascii="宋体"/>
      <w:kern w:val="0"/>
      <w:sz w:val="18"/>
      <w:szCs w:val="18"/>
    </w:rPr>
  </w:style>
  <w:style w:type="paragraph" w:styleId="15">
    <w:name w:val="annotation text"/>
    <w:basedOn w:val="1"/>
    <w:link w:val="63"/>
    <w:qFormat/>
    <w:uiPriority w:val="99"/>
    <w:pPr>
      <w:jc w:val="left"/>
    </w:pPr>
  </w:style>
  <w:style w:type="paragraph" w:styleId="16">
    <w:name w:val="Salutation"/>
    <w:basedOn w:val="1"/>
    <w:next w:val="1"/>
    <w:link w:val="66"/>
    <w:qFormat/>
    <w:uiPriority w:val="0"/>
    <w:rPr>
      <w:rFonts w:ascii="仿宋_GB2312" w:eastAsia="仿宋_GB2312"/>
      <w:sz w:val="24"/>
    </w:rPr>
  </w:style>
  <w:style w:type="paragraph" w:styleId="17">
    <w:name w:val="Body Text 3"/>
    <w:basedOn w:val="1"/>
    <w:link w:val="195"/>
    <w:qFormat/>
    <w:uiPriority w:val="99"/>
    <w:rPr>
      <w:rFonts w:ascii="宋体"/>
      <w:sz w:val="24"/>
      <w:szCs w:val="20"/>
    </w:rPr>
  </w:style>
  <w:style w:type="paragraph" w:styleId="18">
    <w:name w:val="Body Text"/>
    <w:basedOn w:val="1"/>
    <w:link w:val="68"/>
    <w:qFormat/>
    <w:uiPriority w:val="0"/>
    <w:pPr>
      <w:spacing w:after="120"/>
    </w:pPr>
  </w:style>
  <w:style w:type="paragraph" w:styleId="19">
    <w:name w:val="Body Text Indent"/>
    <w:basedOn w:val="1"/>
    <w:link w:val="69"/>
    <w:qFormat/>
    <w:uiPriority w:val="0"/>
    <w:pPr>
      <w:spacing w:after="120"/>
      <w:ind w:left="420" w:leftChars="200"/>
    </w:pPr>
  </w:style>
  <w:style w:type="paragraph" w:styleId="20">
    <w:name w:val="Block Text"/>
    <w:basedOn w:val="1"/>
    <w:qFormat/>
    <w:uiPriority w:val="0"/>
    <w:pPr>
      <w:ind w:left="1171" w:right="91" w:hanging="1080"/>
    </w:pPr>
    <w:rPr>
      <w:rFonts w:eastAsia="楷体_GB2312"/>
      <w:szCs w:val="20"/>
    </w:rPr>
  </w:style>
  <w:style w:type="paragraph" w:styleId="21">
    <w:name w:val="index 4"/>
    <w:basedOn w:val="1"/>
    <w:next w:val="1"/>
    <w:qFormat/>
    <w:locked/>
    <w:uiPriority w:val="0"/>
    <w:pPr>
      <w:ind w:left="600" w:leftChars="600"/>
    </w:pPr>
    <w:rPr>
      <w:szCs w:val="24"/>
    </w:r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840" w:leftChars="400"/>
    </w:pPr>
  </w:style>
  <w:style w:type="paragraph" w:styleId="24">
    <w:name w:val="Plain Text"/>
    <w:basedOn w:val="1"/>
    <w:link w:val="70"/>
    <w:qFormat/>
    <w:uiPriority w:val="99"/>
    <w:rPr>
      <w:rFonts w:ascii="宋体" w:hAnsi="Courier New" w:cs="Courier New"/>
      <w:szCs w:val="21"/>
    </w:rPr>
  </w:style>
  <w:style w:type="paragraph" w:styleId="25">
    <w:name w:val="toc 8"/>
    <w:basedOn w:val="1"/>
    <w:next w:val="1"/>
    <w:qFormat/>
    <w:uiPriority w:val="0"/>
    <w:pPr>
      <w:ind w:left="1470"/>
      <w:jc w:val="left"/>
    </w:pPr>
    <w:rPr>
      <w:sz w:val="18"/>
      <w:szCs w:val="18"/>
    </w:rPr>
  </w:style>
  <w:style w:type="paragraph" w:styleId="26">
    <w:name w:val="Date"/>
    <w:basedOn w:val="1"/>
    <w:next w:val="1"/>
    <w:link w:val="71"/>
    <w:qFormat/>
    <w:uiPriority w:val="0"/>
    <w:pPr>
      <w:ind w:left="100" w:leftChars="2500"/>
    </w:pPr>
  </w:style>
  <w:style w:type="paragraph" w:styleId="27">
    <w:name w:val="Body Text Indent 2"/>
    <w:basedOn w:val="1"/>
    <w:link w:val="72"/>
    <w:qFormat/>
    <w:uiPriority w:val="0"/>
    <w:pPr>
      <w:spacing w:after="120" w:line="480" w:lineRule="auto"/>
      <w:ind w:left="420" w:leftChars="200"/>
    </w:pPr>
  </w:style>
  <w:style w:type="paragraph" w:styleId="28">
    <w:name w:val="Balloon Text"/>
    <w:basedOn w:val="1"/>
    <w:link w:val="73"/>
    <w:qFormat/>
    <w:uiPriority w:val="0"/>
    <w:rPr>
      <w:kern w:val="0"/>
      <w:sz w:val="18"/>
      <w:szCs w:val="18"/>
    </w:rPr>
  </w:style>
  <w:style w:type="paragraph" w:styleId="29">
    <w:name w:val="footer"/>
    <w:basedOn w:val="1"/>
    <w:link w:val="74"/>
    <w:qFormat/>
    <w:uiPriority w:val="0"/>
    <w:pPr>
      <w:tabs>
        <w:tab w:val="center" w:pos="4153"/>
        <w:tab w:val="right" w:pos="8306"/>
      </w:tabs>
      <w:snapToGrid w:val="0"/>
      <w:jc w:val="left"/>
    </w:pPr>
    <w:rPr>
      <w:kern w:val="0"/>
      <w:sz w:val="18"/>
      <w:szCs w:val="18"/>
    </w:rPr>
  </w:style>
  <w:style w:type="paragraph" w:styleId="30">
    <w:name w:val="header"/>
    <w:basedOn w:val="1"/>
    <w:link w:val="75"/>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0"/>
    <w:pPr>
      <w:tabs>
        <w:tab w:val="right" w:leader="dot" w:pos="8296"/>
      </w:tabs>
    </w:pPr>
    <w:rPr>
      <w:rFonts w:ascii="仿宋"/>
      <w:b/>
      <w:sz w:val="28"/>
    </w:rPr>
  </w:style>
  <w:style w:type="paragraph" w:styleId="32">
    <w:name w:val="toc 4"/>
    <w:basedOn w:val="1"/>
    <w:next w:val="1"/>
    <w:qFormat/>
    <w:uiPriority w:val="0"/>
    <w:pPr>
      <w:spacing w:line="360" w:lineRule="auto"/>
      <w:ind w:left="840"/>
      <w:jc w:val="left"/>
    </w:pPr>
    <w:rPr>
      <w:rFonts w:ascii="Calibri" w:hAnsi="Calibri" w:eastAsia="仿宋_GB2312"/>
      <w:szCs w:val="18"/>
    </w:rPr>
  </w:style>
  <w:style w:type="paragraph" w:styleId="33">
    <w:name w:val="Subtitle"/>
    <w:basedOn w:val="1"/>
    <w:next w:val="1"/>
    <w:link w:val="228"/>
    <w:qFormat/>
    <w:locked/>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spacing w:line="360" w:lineRule="auto"/>
      <w:ind w:left="1400"/>
      <w:jc w:val="left"/>
    </w:pPr>
    <w:rPr>
      <w:rFonts w:ascii="Calibri" w:hAnsi="Calibri" w:eastAsia="仿宋_GB2312"/>
      <w:szCs w:val="18"/>
    </w:rPr>
  </w:style>
  <w:style w:type="paragraph" w:styleId="35">
    <w:name w:val="Body Text Indent 3"/>
    <w:basedOn w:val="1"/>
    <w:link w:val="76"/>
    <w:qFormat/>
    <w:uiPriority w:val="0"/>
    <w:pPr>
      <w:spacing w:after="120"/>
      <w:ind w:left="420" w:leftChars="200"/>
    </w:pPr>
    <w:rPr>
      <w:sz w:val="16"/>
      <w:szCs w:val="16"/>
    </w:rPr>
  </w:style>
  <w:style w:type="paragraph" w:styleId="36">
    <w:name w:val="toc 2"/>
    <w:basedOn w:val="1"/>
    <w:next w:val="1"/>
    <w:qFormat/>
    <w:uiPriority w:val="0"/>
    <w:pPr>
      <w:tabs>
        <w:tab w:val="right" w:leader="dot" w:pos="8302"/>
      </w:tabs>
      <w:ind w:firstLine="280" w:firstLineChars="100"/>
    </w:pPr>
  </w:style>
  <w:style w:type="paragraph" w:styleId="37">
    <w:name w:val="toc 9"/>
    <w:basedOn w:val="1"/>
    <w:next w:val="1"/>
    <w:qFormat/>
    <w:uiPriority w:val="0"/>
    <w:pPr>
      <w:ind w:left="1680"/>
      <w:jc w:val="left"/>
    </w:pPr>
    <w:rPr>
      <w:sz w:val="18"/>
      <w:szCs w:val="18"/>
    </w:rPr>
  </w:style>
  <w:style w:type="paragraph" w:styleId="38">
    <w:name w:val="Body Text 2"/>
    <w:basedOn w:val="1"/>
    <w:link w:val="77"/>
    <w:qFormat/>
    <w:uiPriority w:val="0"/>
    <w:pPr>
      <w:spacing w:after="120" w:line="480" w:lineRule="auto"/>
    </w:pPr>
  </w:style>
  <w:style w:type="paragraph" w:styleId="39">
    <w:name w:val="List Continue 2"/>
    <w:basedOn w:val="1"/>
    <w:qFormat/>
    <w:locked/>
    <w:uiPriority w:val="0"/>
    <w:pPr>
      <w:spacing w:after="120"/>
      <w:ind w:left="840" w:leftChars="400"/>
    </w:pPr>
    <w:rPr>
      <w:szCs w:val="24"/>
    </w:rPr>
  </w:style>
  <w:style w:type="paragraph" w:styleId="40">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link w:val="79"/>
    <w:qFormat/>
    <w:uiPriority w:val="0"/>
    <w:pPr>
      <w:spacing w:before="240" w:after="60"/>
      <w:jc w:val="center"/>
      <w:outlineLvl w:val="0"/>
    </w:pPr>
    <w:rPr>
      <w:rFonts w:ascii="Cambria" w:hAnsi="Cambria"/>
      <w:b/>
      <w:bCs/>
      <w:sz w:val="32"/>
      <w:szCs w:val="32"/>
    </w:rPr>
  </w:style>
  <w:style w:type="paragraph" w:styleId="44">
    <w:name w:val="annotation subject"/>
    <w:basedOn w:val="15"/>
    <w:next w:val="15"/>
    <w:link w:val="64"/>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rFonts w:cs="Times New Roman"/>
      <w:b/>
    </w:rPr>
  </w:style>
  <w:style w:type="character" w:styleId="49">
    <w:name w:val="page number"/>
    <w:qFormat/>
    <w:uiPriority w:val="0"/>
    <w:rPr>
      <w:rFonts w:cs="Times New Roman"/>
    </w:rPr>
  </w:style>
  <w:style w:type="character" w:styleId="50">
    <w:name w:val="FollowedHyperlink"/>
    <w:qFormat/>
    <w:uiPriority w:val="0"/>
    <w:rPr>
      <w:rFonts w:cs="Times New Roman"/>
      <w:color w:val="800080"/>
      <w:u w:val="single"/>
    </w:rPr>
  </w:style>
  <w:style w:type="character" w:styleId="51">
    <w:name w:val="Emphasis"/>
    <w:qFormat/>
    <w:locked/>
    <w:uiPriority w:val="0"/>
    <w:rPr>
      <w:i/>
      <w:iCs/>
    </w:rPr>
  </w:style>
  <w:style w:type="character" w:styleId="52">
    <w:name w:val="Hyperlink"/>
    <w:qFormat/>
    <w:uiPriority w:val="0"/>
    <w:rPr>
      <w:rFonts w:cs="Times New Roman"/>
      <w:color w:val="0000FF"/>
      <w:u w:val="single"/>
    </w:rPr>
  </w:style>
  <w:style w:type="character" w:styleId="53">
    <w:name w:val="annotation reference"/>
    <w:qFormat/>
    <w:uiPriority w:val="99"/>
    <w:rPr>
      <w:rFonts w:cs="Times New Roman"/>
      <w:sz w:val="21"/>
    </w:rPr>
  </w:style>
  <w:style w:type="character" w:customStyle="1" w:styleId="54">
    <w:name w:val="标题 1 Char"/>
    <w:link w:val="2"/>
    <w:qFormat/>
    <w:locked/>
    <w:uiPriority w:val="0"/>
    <w:rPr>
      <w:rFonts w:ascii="黑体" w:hAnsi="Arial" w:eastAsia="黑体" w:cs="Times New Roman"/>
      <w:b/>
      <w:kern w:val="44"/>
      <w:sz w:val="32"/>
    </w:rPr>
  </w:style>
  <w:style w:type="character" w:customStyle="1" w:styleId="55">
    <w:name w:val="标题 2 Char"/>
    <w:link w:val="3"/>
    <w:qFormat/>
    <w:locked/>
    <w:uiPriority w:val="0"/>
    <w:rPr>
      <w:rFonts w:eastAsia="仿宋_GB2312" w:cs="Times New Roman"/>
      <w:b/>
      <w:bCs/>
      <w:kern w:val="2"/>
      <w:sz w:val="28"/>
      <w:szCs w:val="28"/>
      <w:lang w:val="en-US" w:eastAsia="zh-CN" w:bidi="ar-SA"/>
    </w:rPr>
  </w:style>
  <w:style w:type="character" w:customStyle="1" w:styleId="56">
    <w:name w:val="标题 3 Char"/>
    <w:link w:val="4"/>
    <w:qFormat/>
    <w:locked/>
    <w:uiPriority w:val="0"/>
    <w:rPr>
      <w:rFonts w:ascii="仿宋_GB2312" w:hAnsi="仿宋_GB2312" w:eastAsia="仿宋_GB2312" w:cs="Times New Roman"/>
      <w:b/>
      <w:kern w:val="2"/>
      <w:sz w:val="32"/>
    </w:rPr>
  </w:style>
  <w:style w:type="character" w:customStyle="1" w:styleId="57">
    <w:name w:val="标题 4 Char"/>
    <w:link w:val="5"/>
    <w:qFormat/>
    <w:locked/>
    <w:uiPriority w:val="0"/>
    <w:rPr>
      <w:rFonts w:ascii="Cambria" w:hAnsi="Cambria" w:eastAsia="宋体" w:cs="Times New Roman"/>
      <w:b/>
      <w:bCs/>
      <w:kern w:val="2"/>
      <w:sz w:val="28"/>
      <w:szCs w:val="28"/>
    </w:rPr>
  </w:style>
  <w:style w:type="character" w:customStyle="1" w:styleId="58">
    <w:name w:val="标题 5 Char"/>
    <w:link w:val="6"/>
    <w:qFormat/>
    <w:locked/>
    <w:uiPriority w:val="0"/>
    <w:rPr>
      <w:rFonts w:cs="Times New Roman"/>
      <w:b/>
      <w:bCs/>
      <w:kern w:val="2"/>
      <w:sz w:val="28"/>
      <w:szCs w:val="28"/>
    </w:rPr>
  </w:style>
  <w:style w:type="character" w:customStyle="1" w:styleId="59">
    <w:name w:val="标题 6 Char"/>
    <w:link w:val="7"/>
    <w:qFormat/>
    <w:locked/>
    <w:uiPriority w:val="0"/>
    <w:rPr>
      <w:rFonts w:ascii="Cambria" w:hAnsi="Cambria" w:eastAsia="宋体" w:cs="Times New Roman"/>
      <w:b/>
      <w:bCs/>
      <w:kern w:val="2"/>
      <w:sz w:val="24"/>
      <w:szCs w:val="24"/>
    </w:rPr>
  </w:style>
  <w:style w:type="character" w:customStyle="1" w:styleId="60">
    <w:name w:val="标题 7 Char"/>
    <w:link w:val="8"/>
    <w:qFormat/>
    <w:locked/>
    <w:uiPriority w:val="0"/>
    <w:rPr>
      <w:rFonts w:cs="Times New Roman"/>
      <w:b/>
      <w:bCs/>
      <w:kern w:val="2"/>
      <w:sz w:val="24"/>
      <w:szCs w:val="24"/>
    </w:rPr>
  </w:style>
  <w:style w:type="character" w:customStyle="1" w:styleId="61">
    <w:name w:val="标题 8 Char"/>
    <w:link w:val="9"/>
    <w:qFormat/>
    <w:locked/>
    <w:uiPriority w:val="0"/>
    <w:rPr>
      <w:rFonts w:ascii="Cambria" w:hAnsi="Cambria" w:eastAsia="宋体" w:cs="Times New Roman"/>
      <w:kern w:val="2"/>
      <w:sz w:val="24"/>
      <w:szCs w:val="24"/>
    </w:rPr>
  </w:style>
  <w:style w:type="character" w:customStyle="1" w:styleId="62">
    <w:name w:val="标题 9 Char"/>
    <w:link w:val="10"/>
    <w:qFormat/>
    <w:locked/>
    <w:uiPriority w:val="0"/>
    <w:rPr>
      <w:rFonts w:ascii="Cambria" w:hAnsi="Cambria" w:eastAsia="宋体" w:cs="Times New Roman"/>
      <w:kern w:val="2"/>
      <w:sz w:val="21"/>
      <w:szCs w:val="21"/>
    </w:rPr>
  </w:style>
  <w:style w:type="character" w:customStyle="1" w:styleId="63">
    <w:name w:val="批注文字 Char"/>
    <w:link w:val="15"/>
    <w:qFormat/>
    <w:locked/>
    <w:uiPriority w:val="0"/>
    <w:rPr>
      <w:rFonts w:cs="Times New Roman"/>
    </w:rPr>
  </w:style>
  <w:style w:type="character" w:customStyle="1" w:styleId="64">
    <w:name w:val="批注主题 Char"/>
    <w:link w:val="44"/>
    <w:qFormat/>
    <w:locked/>
    <w:uiPriority w:val="0"/>
    <w:rPr>
      <w:rFonts w:cs="Times New Roman"/>
      <w:b/>
      <w:kern w:val="2"/>
      <w:sz w:val="22"/>
    </w:rPr>
  </w:style>
  <w:style w:type="character" w:customStyle="1" w:styleId="65">
    <w:name w:val="文档结构图 Char"/>
    <w:link w:val="14"/>
    <w:qFormat/>
    <w:locked/>
    <w:uiPriority w:val="0"/>
    <w:rPr>
      <w:rFonts w:ascii="宋体" w:eastAsia="宋体" w:cs="Times New Roman"/>
      <w:sz w:val="18"/>
    </w:rPr>
  </w:style>
  <w:style w:type="character" w:customStyle="1" w:styleId="66">
    <w:name w:val="称呼 Char"/>
    <w:link w:val="16"/>
    <w:qFormat/>
    <w:locked/>
    <w:uiPriority w:val="0"/>
    <w:rPr>
      <w:rFonts w:ascii="仿宋_GB2312" w:eastAsia="仿宋_GB2312" w:cs="Times New Roman"/>
      <w:kern w:val="2"/>
      <w:sz w:val="22"/>
      <w:szCs w:val="22"/>
    </w:rPr>
  </w:style>
  <w:style w:type="character" w:customStyle="1" w:styleId="67">
    <w:name w:val="Body Text 3 Char"/>
    <w:qFormat/>
    <w:locked/>
    <w:uiPriority w:val="0"/>
    <w:rPr>
      <w:rFonts w:ascii="宋体" w:cs="Times New Roman"/>
      <w:kern w:val="2"/>
      <w:sz w:val="24"/>
    </w:rPr>
  </w:style>
  <w:style w:type="character" w:customStyle="1" w:styleId="68">
    <w:name w:val="正文文本 Char"/>
    <w:link w:val="18"/>
    <w:qFormat/>
    <w:locked/>
    <w:uiPriority w:val="0"/>
    <w:rPr>
      <w:rFonts w:cs="Times New Roman"/>
      <w:kern w:val="2"/>
      <w:sz w:val="22"/>
      <w:szCs w:val="22"/>
    </w:rPr>
  </w:style>
  <w:style w:type="character" w:customStyle="1" w:styleId="69">
    <w:name w:val="正文文本缩进 Char"/>
    <w:link w:val="19"/>
    <w:qFormat/>
    <w:locked/>
    <w:uiPriority w:val="0"/>
    <w:rPr>
      <w:rFonts w:cs="Times New Roman"/>
      <w:kern w:val="2"/>
      <w:sz w:val="22"/>
      <w:szCs w:val="22"/>
    </w:rPr>
  </w:style>
  <w:style w:type="character" w:customStyle="1" w:styleId="70">
    <w:name w:val="纯文本 Char1"/>
    <w:link w:val="24"/>
    <w:semiHidden/>
    <w:qFormat/>
    <w:locked/>
    <w:uiPriority w:val="99"/>
    <w:rPr>
      <w:rFonts w:ascii="宋体" w:hAnsi="Courier New" w:cs="Courier New"/>
      <w:kern w:val="2"/>
      <w:sz w:val="21"/>
      <w:szCs w:val="21"/>
    </w:rPr>
  </w:style>
  <w:style w:type="character" w:customStyle="1" w:styleId="71">
    <w:name w:val="日期 Char"/>
    <w:link w:val="26"/>
    <w:qFormat/>
    <w:locked/>
    <w:uiPriority w:val="0"/>
    <w:rPr>
      <w:rFonts w:cs="Times New Roman"/>
      <w:kern w:val="2"/>
      <w:sz w:val="22"/>
    </w:rPr>
  </w:style>
  <w:style w:type="character" w:customStyle="1" w:styleId="72">
    <w:name w:val="正文文本缩进 2 Char"/>
    <w:link w:val="27"/>
    <w:qFormat/>
    <w:locked/>
    <w:uiPriority w:val="0"/>
    <w:rPr>
      <w:rFonts w:cs="Times New Roman"/>
      <w:kern w:val="2"/>
      <w:sz w:val="22"/>
      <w:szCs w:val="22"/>
    </w:rPr>
  </w:style>
  <w:style w:type="character" w:customStyle="1" w:styleId="73">
    <w:name w:val="批注框文本 Char"/>
    <w:link w:val="28"/>
    <w:qFormat/>
    <w:locked/>
    <w:uiPriority w:val="0"/>
    <w:rPr>
      <w:rFonts w:cs="Times New Roman"/>
      <w:sz w:val="18"/>
    </w:rPr>
  </w:style>
  <w:style w:type="character" w:customStyle="1" w:styleId="74">
    <w:name w:val="页脚 Char"/>
    <w:link w:val="29"/>
    <w:qFormat/>
    <w:locked/>
    <w:uiPriority w:val="0"/>
    <w:rPr>
      <w:rFonts w:cs="Times New Roman"/>
      <w:sz w:val="18"/>
    </w:rPr>
  </w:style>
  <w:style w:type="character" w:customStyle="1" w:styleId="75">
    <w:name w:val="页眉 Char"/>
    <w:link w:val="30"/>
    <w:qFormat/>
    <w:locked/>
    <w:uiPriority w:val="99"/>
    <w:rPr>
      <w:rFonts w:cs="Times New Roman"/>
      <w:sz w:val="18"/>
    </w:rPr>
  </w:style>
  <w:style w:type="character" w:customStyle="1" w:styleId="76">
    <w:name w:val="正文文本缩进 3 Char"/>
    <w:link w:val="35"/>
    <w:qFormat/>
    <w:locked/>
    <w:uiPriority w:val="0"/>
    <w:rPr>
      <w:rFonts w:cs="Times New Roman"/>
      <w:kern w:val="2"/>
      <w:sz w:val="16"/>
      <w:szCs w:val="16"/>
    </w:rPr>
  </w:style>
  <w:style w:type="character" w:customStyle="1" w:styleId="77">
    <w:name w:val="正文文本 2 Char"/>
    <w:link w:val="38"/>
    <w:qFormat/>
    <w:locked/>
    <w:uiPriority w:val="0"/>
    <w:rPr>
      <w:rFonts w:cs="Times New Roman"/>
      <w:kern w:val="2"/>
      <w:sz w:val="22"/>
      <w:szCs w:val="22"/>
    </w:rPr>
  </w:style>
  <w:style w:type="character" w:customStyle="1" w:styleId="78">
    <w:name w:val="HTML 预设格式 Char"/>
    <w:link w:val="40"/>
    <w:qFormat/>
    <w:locked/>
    <w:uiPriority w:val="0"/>
    <w:rPr>
      <w:rFonts w:ascii="Arial" w:hAnsi="Arial" w:cs="Arial"/>
      <w:sz w:val="22"/>
      <w:szCs w:val="22"/>
    </w:rPr>
  </w:style>
  <w:style w:type="character" w:customStyle="1" w:styleId="79">
    <w:name w:val="标题 Char"/>
    <w:link w:val="43"/>
    <w:qFormat/>
    <w:locked/>
    <w:uiPriority w:val="0"/>
    <w:rPr>
      <w:rFonts w:ascii="Cambria" w:hAnsi="Cambria" w:cs="Times New Roman"/>
      <w:b/>
      <w:kern w:val="2"/>
      <w:sz w:val="32"/>
    </w:rPr>
  </w:style>
  <w:style w:type="paragraph" w:customStyle="1" w:styleId="80">
    <w:name w:val="样式1.1.1"/>
    <w:basedOn w:val="3"/>
    <w:link w:val="81"/>
    <w:qFormat/>
    <w:uiPriority w:val="0"/>
    <w:pPr>
      <w:numPr>
        <w:ilvl w:val="0"/>
        <w:numId w:val="0"/>
      </w:numPr>
      <w:spacing w:before="50" w:after="50"/>
      <w:ind w:left="720" w:hanging="720"/>
      <w:outlineLvl w:val="2"/>
    </w:pPr>
    <w:rPr>
      <w:bCs w:val="0"/>
      <w:sz w:val="32"/>
      <w:szCs w:val="20"/>
    </w:rPr>
  </w:style>
  <w:style w:type="character" w:customStyle="1" w:styleId="81">
    <w:name w:val="样式1.1.1 Char"/>
    <w:link w:val="80"/>
    <w:qFormat/>
    <w:locked/>
    <w:uiPriority w:val="0"/>
    <w:rPr>
      <w:rFonts w:eastAsia="仿宋_GB2312"/>
      <w:b/>
      <w:kern w:val="2"/>
      <w:sz w:val="32"/>
    </w:rPr>
  </w:style>
  <w:style w:type="paragraph" w:customStyle="1" w:styleId="82">
    <w:name w:val="列出段落1"/>
    <w:basedOn w:val="1"/>
    <w:qFormat/>
    <w:uiPriority w:val="99"/>
    <w:pPr>
      <w:ind w:firstLine="420" w:firstLineChars="200"/>
    </w:pPr>
  </w:style>
  <w:style w:type="paragraph" w:customStyle="1" w:styleId="83">
    <w:name w:val="修订1"/>
    <w:qFormat/>
    <w:uiPriority w:val="99"/>
    <w:rPr>
      <w:rFonts w:ascii="Times New Roman" w:hAnsi="Times New Roman" w:eastAsia="宋体" w:cs="Times New Roman"/>
      <w:kern w:val="2"/>
      <w:sz w:val="21"/>
      <w:szCs w:val="22"/>
      <w:lang w:val="en-US" w:eastAsia="zh-CN" w:bidi="ar-SA"/>
    </w:rPr>
  </w:style>
  <w:style w:type="paragraph" w:customStyle="1" w:styleId="84">
    <w:name w:val="列出段落2"/>
    <w:basedOn w:val="1"/>
    <w:qFormat/>
    <w:uiPriority w:val="34"/>
    <w:pPr>
      <w:ind w:firstLine="420"/>
    </w:pPr>
  </w:style>
  <w:style w:type="paragraph" w:customStyle="1" w:styleId="85">
    <w:name w:val="font5"/>
    <w:basedOn w:val="1"/>
    <w:qFormat/>
    <w:uiPriority w:val="0"/>
    <w:pPr>
      <w:widowControl/>
      <w:spacing w:before="100" w:beforeAutospacing="1"/>
      <w:jc w:val="left"/>
    </w:pPr>
    <w:rPr>
      <w:rFonts w:ascii="宋体" w:hAnsi="宋体" w:cs="宋体"/>
      <w:kern w:val="0"/>
      <w:sz w:val="18"/>
      <w:szCs w:val="18"/>
    </w:rPr>
  </w:style>
  <w:style w:type="paragraph" w:customStyle="1" w:styleId="86">
    <w:name w:val="xl64"/>
    <w:basedOn w:val="1"/>
    <w:qFormat/>
    <w:uiPriority w:val="0"/>
    <w:pPr>
      <w:widowControl/>
      <w:spacing w:before="100" w:beforeAutospacing="1"/>
      <w:jc w:val="right"/>
    </w:pPr>
    <w:rPr>
      <w:rFonts w:ascii="华文楷体" w:hAnsi="华文楷体" w:eastAsia="华文楷体" w:cs="宋体"/>
      <w:kern w:val="0"/>
      <w:sz w:val="24"/>
      <w:szCs w:val="24"/>
    </w:rPr>
  </w:style>
  <w:style w:type="paragraph" w:customStyle="1" w:styleId="87">
    <w:name w:val="xl65"/>
    <w:basedOn w:val="1"/>
    <w:qFormat/>
    <w:uiPriority w:val="0"/>
    <w:pPr>
      <w:widowControl/>
      <w:spacing w:before="100" w:beforeAutospacing="1"/>
      <w:jc w:val="left"/>
    </w:pPr>
    <w:rPr>
      <w:rFonts w:ascii="华文楷体" w:hAnsi="华文楷体" w:eastAsia="华文楷体" w:cs="宋体"/>
      <w:kern w:val="0"/>
      <w:sz w:val="24"/>
      <w:szCs w:val="24"/>
    </w:rPr>
  </w:style>
  <w:style w:type="paragraph" w:customStyle="1" w:styleId="88">
    <w:name w:val="xl66"/>
    <w:basedOn w:val="1"/>
    <w:qFormat/>
    <w:uiPriority w:val="0"/>
    <w:pPr>
      <w:widowControl/>
      <w:spacing w:before="100" w:beforeAutospacing="1"/>
      <w:jc w:val="left"/>
    </w:pPr>
    <w:rPr>
      <w:rFonts w:ascii="华文楷体" w:hAnsi="华文楷体" w:eastAsia="华文楷体" w:cs="宋体"/>
      <w:kern w:val="0"/>
      <w:sz w:val="24"/>
      <w:szCs w:val="24"/>
    </w:rPr>
  </w:style>
  <w:style w:type="paragraph" w:customStyle="1" w:styleId="89">
    <w:name w:val="xl67"/>
    <w:basedOn w:val="1"/>
    <w:qFormat/>
    <w:uiPriority w:val="0"/>
    <w:pPr>
      <w:widowControl/>
      <w:spacing w:before="100" w:beforeAutospacing="1"/>
      <w:jc w:val="center"/>
    </w:pPr>
    <w:rPr>
      <w:rFonts w:ascii="华文楷体" w:hAnsi="华文楷体" w:eastAsia="华文楷体" w:cs="宋体"/>
      <w:kern w:val="0"/>
      <w:sz w:val="24"/>
      <w:szCs w:val="24"/>
    </w:rPr>
  </w:style>
  <w:style w:type="paragraph" w:customStyle="1" w:styleId="90">
    <w:name w:val="xl68"/>
    <w:basedOn w:val="1"/>
    <w:qFormat/>
    <w:uiPriority w:val="0"/>
    <w:pPr>
      <w:widowControl/>
      <w:shd w:val="clear" w:color="000000" w:fill="002060"/>
      <w:spacing w:before="100" w:beforeAutospacing="1"/>
      <w:jc w:val="left"/>
    </w:pPr>
    <w:rPr>
      <w:rFonts w:ascii="华文楷体" w:hAnsi="华文楷体" w:eastAsia="华文楷体" w:cs="宋体"/>
      <w:b/>
      <w:bCs/>
      <w:color w:val="FFFFFF"/>
      <w:kern w:val="0"/>
      <w:sz w:val="24"/>
      <w:szCs w:val="24"/>
    </w:rPr>
  </w:style>
  <w:style w:type="paragraph" w:customStyle="1" w:styleId="91">
    <w:name w:val="xl69"/>
    <w:basedOn w:val="1"/>
    <w:qFormat/>
    <w:uiPriority w:val="0"/>
    <w:pPr>
      <w:widowControl/>
      <w:spacing w:before="100" w:beforeAutospacing="1"/>
      <w:jc w:val="right"/>
    </w:pPr>
    <w:rPr>
      <w:rFonts w:ascii="华文楷体" w:hAnsi="华文楷体" w:eastAsia="华文楷体" w:cs="宋体"/>
      <w:kern w:val="0"/>
      <w:sz w:val="24"/>
      <w:szCs w:val="24"/>
    </w:rPr>
  </w:style>
  <w:style w:type="paragraph" w:customStyle="1" w:styleId="92">
    <w:name w:val="xl70"/>
    <w:basedOn w:val="1"/>
    <w:qFormat/>
    <w:uiPriority w:val="0"/>
    <w:pPr>
      <w:widowControl/>
      <w:spacing w:before="100" w:beforeAutospacing="1"/>
      <w:jc w:val="center"/>
    </w:pPr>
    <w:rPr>
      <w:rFonts w:ascii="华文楷体" w:hAnsi="华文楷体" w:eastAsia="华文楷体" w:cs="宋体"/>
      <w:kern w:val="0"/>
      <w:sz w:val="24"/>
      <w:szCs w:val="24"/>
    </w:rPr>
  </w:style>
  <w:style w:type="paragraph" w:customStyle="1" w:styleId="93">
    <w:name w:val="xl71"/>
    <w:basedOn w:val="1"/>
    <w:qFormat/>
    <w:uiPriority w:val="0"/>
    <w:pPr>
      <w:widowControl/>
      <w:pBdr>
        <w:bottom w:val="single" w:color="000000" w:sz="8" w:space="0"/>
      </w:pBdr>
      <w:spacing w:before="100" w:beforeAutospacing="1"/>
      <w:jc w:val="left"/>
    </w:pPr>
    <w:rPr>
      <w:rFonts w:ascii="华文楷体" w:hAnsi="华文楷体" w:eastAsia="华文楷体" w:cs="宋体"/>
      <w:kern w:val="0"/>
      <w:sz w:val="24"/>
      <w:szCs w:val="24"/>
    </w:rPr>
  </w:style>
  <w:style w:type="paragraph" w:customStyle="1" w:styleId="94">
    <w:name w:val="xl72"/>
    <w:basedOn w:val="1"/>
    <w:qFormat/>
    <w:uiPriority w:val="0"/>
    <w:pPr>
      <w:widowControl/>
      <w:pBdr>
        <w:bottom w:val="single" w:color="000000" w:sz="8" w:space="0"/>
      </w:pBdr>
      <w:spacing w:before="100" w:beforeAutospacing="1"/>
      <w:jc w:val="left"/>
    </w:pPr>
    <w:rPr>
      <w:rFonts w:ascii="华文楷体" w:hAnsi="华文楷体" w:eastAsia="华文楷体" w:cs="宋体"/>
      <w:kern w:val="0"/>
      <w:sz w:val="24"/>
      <w:szCs w:val="24"/>
    </w:rPr>
  </w:style>
  <w:style w:type="paragraph" w:customStyle="1" w:styleId="95">
    <w:name w:val="xl73"/>
    <w:basedOn w:val="1"/>
    <w:qFormat/>
    <w:uiPriority w:val="0"/>
    <w:pPr>
      <w:widowControl/>
      <w:shd w:val="clear" w:color="000000" w:fill="002060"/>
      <w:spacing w:before="100" w:beforeAutospacing="1"/>
      <w:jc w:val="center"/>
    </w:pPr>
    <w:rPr>
      <w:rFonts w:ascii="华文楷体" w:hAnsi="华文楷体" w:eastAsia="华文楷体" w:cs="宋体"/>
      <w:b/>
      <w:bCs/>
      <w:color w:val="FFFFFF"/>
      <w:kern w:val="0"/>
      <w:sz w:val="24"/>
      <w:szCs w:val="24"/>
    </w:rPr>
  </w:style>
  <w:style w:type="paragraph" w:customStyle="1" w:styleId="96">
    <w:name w:val="xl74"/>
    <w:basedOn w:val="1"/>
    <w:qFormat/>
    <w:uiPriority w:val="0"/>
    <w:pPr>
      <w:widowControl/>
      <w:spacing w:before="100" w:beforeAutospacing="1"/>
      <w:jc w:val="left"/>
    </w:pPr>
    <w:rPr>
      <w:rFonts w:ascii="华文楷体" w:hAnsi="华文楷体" w:eastAsia="华文楷体" w:cs="宋体"/>
      <w:b/>
      <w:bCs/>
      <w:color w:val="FFFFFF"/>
      <w:kern w:val="0"/>
      <w:sz w:val="24"/>
      <w:szCs w:val="24"/>
    </w:rPr>
  </w:style>
  <w:style w:type="paragraph" w:customStyle="1" w:styleId="97">
    <w:name w:val="xl75"/>
    <w:basedOn w:val="1"/>
    <w:qFormat/>
    <w:uiPriority w:val="0"/>
    <w:pPr>
      <w:widowControl/>
      <w:spacing w:before="100" w:beforeAutospacing="1"/>
      <w:jc w:val="center"/>
    </w:pPr>
    <w:rPr>
      <w:rFonts w:ascii="华文楷体" w:hAnsi="华文楷体" w:eastAsia="华文楷体" w:cs="宋体"/>
      <w:b/>
      <w:bCs/>
      <w:color w:val="FFFFFF"/>
      <w:kern w:val="0"/>
      <w:sz w:val="24"/>
      <w:szCs w:val="24"/>
    </w:rPr>
  </w:style>
  <w:style w:type="paragraph" w:customStyle="1" w:styleId="98">
    <w:name w:val="xl76"/>
    <w:basedOn w:val="1"/>
    <w:qFormat/>
    <w:uiPriority w:val="0"/>
    <w:pPr>
      <w:widowControl/>
      <w:spacing w:before="100" w:beforeAutospacing="1"/>
      <w:jc w:val="left"/>
    </w:pPr>
    <w:rPr>
      <w:rFonts w:ascii="华文楷体" w:hAnsi="华文楷体" w:eastAsia="华文楷体" w:cs="宋体"/>
      <w:color w:val="000000"/>
      <w:kern w:val="0"/>
      <w:sz w:val="24"/>
      <w:szCs w:val="24"/>
    </w:rPr>
  </w:style>
  <w:style w:type="paragraph" w:customStyle="1" w:styleId="9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jc w:val="left"/>
    </w:pPr>
    <w:rPr>
      <w:rFonts w:ascii="宋体" w:hAnsi="宋体" w:cs="宋体"/>
      <w:kern w:val="0"/>
      <w:sz w:val="24"/>
      <w:szCs w:val="24"/>
    </w:rPr>
  </w:style>
  <w:style w:type="paragraph" w:customStyle="1" w:styleId="1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jc w:val="left"/>
    </w:pPr>
    <w:rPr>
      <w:rFonts w:ascii="宋体" w:hAnsi="宋体" w:cs="宋体"/>
      <w:kern w:val="0"/>
      <w:sz w:val="20"/>
      <w:szCs w:val="20"/>
    </w:rPr>
  </w:style>
  <w:style w:type="paragraph" w:customStyle="1" w:styleId="10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jc w:val="left"/>
    </w:pPr>
    <w:rPr>
      <w:rFonts w:ascii="宋体" w:hAnsi="宋体" w:cs="宋体"/>
      <w:kern w:val="0"/>
      <w:sz w:val="20"/>
      <w:szCs w:val="20"/>
    </w:rPr>
  </w:style>
  <w:style w:type="paragraph" w:customStyle="1" w:styleId="102">
    <w:name w:val="xl80"/>
    <w:basedOn w:val="1"/>
    <w:qFormat/>
    <w:uiPriority w:val="0"/>
    <w:pPr>
      <w:widowControl/>
      <w:pBdr>
        <w:bottom w:val="single" w:color="auto" w:sz="4" w:space="0"/>
      </w:pBdr>
      <w:spacing w:before="100" w:beforeAutospacing="1"/>
      <w:jc w:val="center"/>
    </w:pPr>
    <w:rPr>
      <w:rFonts w:ascii="宋体" w:hAnsi="宋体" w:cs="宋体"/>
      <w:kern w:val="0"/>
      <w:sz w:val="24"/>
      <w:szCs w:val="24"/>
    </w:rPr>
  </w:style>
  <w:style w:type="paragraph" w:customStyle="1" w:styleId="103">
    <w:name w:val="xl81"/>
    <w:basedOn w:val="1"/>
    <w:qFormat/>
    <w:uiPriority w:val="0"/>
    <w:pPr>
      <w:widowControl/>
      <w:spacing w:before="100" w:beforeAutospacing="1"/>
      <w:jc w:val="right"/>
    </w:pPr>
    <w:rPr>
      <w:rFonts w:ascii="华文楷体" w:hAnsi="华文楷体" w:eastAsia="华文楷体" w:cs="宋体"/>
      <w:kern w:val="0"/>
      <w:sz w:val="24"/>
      <w:szCs w:val="24"/>
    </w:rPr>
  </w:style>
  <w:style w:type="paragraph" w:customStyle="1" w:styleId="104">
    <w:name w:val="xl83"/>
    <w:basedOn w:val="1"/>
    <w:qFormat/>
    <w:uiPriority w:val="0"/>
    <w:pPr>
      <w:widowControl/>
      <w:pBdr>
        <w:top w:val="single" w:color="000000" w:sz="8" w:space="0"/>
        <w:bottom w:val="single" w:color="000000" w:sz="8" w:space="0"/>
      </w:pBdr>
      <w:shd w:val="clear" w:color="000000" w:fill="FF0000"/>
      <w:spacing w:before="100" w:beforeAutospacing="1"/>
      <w:jc w:val="left"/>
    </w:pPr>
    <w:rPr>
      <w:rFonts w:ascii="华文楷体" w:hAnsi="华文楷体" w:eastAsia="华文楷体" w:cs="宋体"/>
      <w:b/>
      <w:bCs/>
      <w:color w:val="FFFFFF"/>
      <w:kern w:val="0"/>
      <w:sz w:val="24"/>
      <w:szCs w:val="24"/>
    </w:rPr>
  </w:style>
  <w:style w:type="paragraph" w:customStyle="1" w:styleId="105">
    <w:name w:val="xl84"/>
    <w:basedOn w:val="1"/>
    <w:qFormat/>
    <w:uiPriority w:val="0"/>
    <w:pPr>
      <w:widowControl/>
      <w:shd w:val="clear" w:color="000000" w:fill="FF0000"/>
      <w:spacing w:before="100" w:beforeAutospacing="1"/>
      <w:jc w:val="left"/>
    </w:pPr>
    <w:rPr>
      <w:rFonts w:ascii="华文楷体" w:hAnsi="华文楷体" w:eastAsia="华文楷体" w:cs="宋体"/>
      <w:b/>
      <w:bCs/>
      <w:color w:val="FFFFFF"/>
      <w:kern w:val="0"/>
      <w:sz w:val="24"/>
      <w:szCs w:val="24"/>
    </w:rPr>
  </w:style>
  <w:style w:type="paragraph" w:customStyle="1" w:styleId="106">
    <w:name w:val="xl85"/>
    <w:basedOn w:val="1"/>
    <w:qFormat/>
    <w:uiPriority w:val="0"/>
    <w:pPr>
      <w:widowControl/>
      <w:shd w:val="clear" w:color="000000" w:fill="FF0000"/>
      <w:spacing w:before="100" w:beforeAutospacing="1"/>
      <w:jc w:val="left"/>
    </w:pPr>
    <w:rPr>
      <w:rFonts w:ascii="华文楷体" w:hAnsi="华文楷体" w:eastAsia="华文楷体" w:cs="宋体"/>
      <w:b/>
      <w:bCs/>
      <w:color w:val="FFFFFF"/>
      <w:kern w:val="0"/>
      <w:sz w:val="24"/>
      <w:szCs w:val="24"/>
    </w:rPr>
  </w:style>
  <w:style w:type="paragraph" w:customStyle="1" w:styleId="107">
    <w:name w:val="xl86"/>
    <w:basedOn w:val="1"/>
    <w:qFormat/>
    <w:uiPriority w:val="0"/>
    <w:pPr>
      <w:widowControl/>
      <w:shd w:val="clear" w:color="000000" w:fill="FF0000"/>
      <w:spacing w:before="100" w:beforeAutospacing="1"/>
      <w:jc w:val="left"/>
    </w:pPr>
    <w:rPr>
      <w:rFonts w:ascii="华文楷体" w:hAnsi="华文楷体" w:eastAsia="华文楷体" w:cs="宋体"/>
      <w:b/>
      <w:bCs/>
      <w:color w:val="FFFFFF"/>
      <w:kern w:val="0"/>
      <w:sz w:val="24"/>
      <w:szCs w:val="24"/>
    </w:rPr>
  </w:style>
  <w:style w:type="paragraph" w:customStyle="1" w:styleId="108">
    <w:name w:val="xl87"/>
    <w:basedOn w:val="1"/>
    <w:qFormat/>
    <w:uiPriority w:val="0"/>
    <w:pPr>
      <w:widowControl/>
      <w:spacing w:before="100" w:beforeAutospacing="1"/>
      <w:jc w:val="left"/>
    </w:pPr>
    <w:rPr>
      <w:rFonts w:ascii="华文楷体" w:hAnsi="华文楷体" w:eastAsia="华文楷体" w:cs="宋体"/>
      <w:kern w:val="0"/>
      <w:sz w:val="24"/>
      <w:szCs w:val="24"/>
    </w:rPr>
  </w:style>
  <w:style w:type="paragraph" w:customStyle="1" w:styleId="109">
    <w:name w:val="xl88"/>
    <w:basedOn w:val="1"/>
    <w:qFormat/>
    <w:uiPriority w:val="0"/>
    <w:pPr>
      <w:widowControl/>
      <w:spacing w:before="100" w:beforeAutospacing="1"/>
      <w:jc w:val="left"/>
      <w:textAlignment w:val="top"/>
    </w:pPr>
    <w:rPr>
      <w:rFonts w:ascii="华文楷体" w:hAnsi="华文楷体" w:eastAsia="华文楷体" w:cs="宋体"/>
      <w:color w:val="000000"/>
      <w:kern w:val="0"/>
      <w:sz w:val="24"/>
      <w:szCs w:val="24"/>
    </w:rPr>
  </w:style>
  <w:style w:type="paragraph" w:customStyle="1" w:styleId="110">
    <w:name w:val="xl89"/>
    <w:basedOn w:val="1"/>
    <w:qFormat/>
    <w:uiPriority w:val="0"/>
    <w:pPr>
      <w:widowControl/>
      <w:pBdr>
        <w:bottom w:val="single" w:color="000000" w:sz="8" w:space="0"/>
      </w:pBdr>
      <w:spacing w:before="100" w:beforeAutospacing="1"/>
      <w:jc w:val="left"/>
      <w:textAlignment w:val="top"/>
    </w:pPr>
    <w:rPr>
      <w:rFonts w:ascii="华文楷体" w:hAnsi="华文楷体" w:eastAsia="华文楷体" w:cs="宋体"/>
      <w:kern w:val="0"/>
      <w:sz w:val="24"/>
      <w:szCs w:val="24"/>
    </w:rPr>
  </w:style>
  <w:style w:type="paragraph" w:customStyle="1" w:styleId="111">
    <w:name w:val="xl90"/>
    <w:basedOn w:val="1"/>
    <w:qFormat/>
    <w:uiPriority w:val="0"/>
    <w:pPr>
      <w:widowControl/>
      <w:spacing w:before="100" w:beforeAutospacing="1"/>
      <w:jc w:val="left"/>
      <w:textAlignment w:val="top"/>
    </w:pPr>
    <w:rPr>
      <w:rFonts w:ascii="华文楷体" w:hAnsi="华文楷体" w:eastAsia="华文楷体" w:cs="宋体"/>
      <w:kern w:val="0"/>
      <w:sz w:val="24"/>
      <w:szCs w:val="24"/>
    </w:rPr>
  </w:style>
  <w:style w:type="paragraph" w:customStyle="1" w:styleId="112">
    <w:name w:val="xl91"/>
    <w:basedOn w:val="1"/>
    <w:qFormat/>
    <w:uiPriority w:val="0"/>
    <w:pPr>
      <w:widowControl/>
      <w:pBdr>
        <w:bottom w:val="single" w:color="000000" w:sz="8" w:space="0"/>
      </w:pBdr>
      <w:spacing w:before="100" w:beforeAutospacing="1"/>
      <w:jc w:val="left"/>
      <w:textAlignment w:val="top"/>
    </w:pPr>
    <w:rPr>
      <w:rFonts w:ascii="华文楷体" w:hAnsi="华文楷体" w:eastAsia="华文楷体" w:cs="宋体"/>
      <w:color w:val="000000"/>
      <w:kern w:val="0"/>
      <w:sz w:val="24"/>
      <w:szCs w:val="24"/>
    </w:rPr>
  </w:style>
  <w:style w:type="paragraph" w:customStyle="1" w:styleId="113">
    <w:name w:val="xl92"/>
    <w:basedOn w:val="1"/>
    <w:qFormat/>
    <w:uiPriority w:val="0"/>
    <w:pPr>
      <w:widowControl/>
      <w:shd w:val="clear" w:color="000000" w:fill="002060"/>
      <w:spacing w:before="100" w:beforeAutospacing="1"/>
      <w:jc w:val="left"/>
    </w:pPr>
    <w:rPr>
      <w:rFonts w:ascii="华文楷体" w:hAnsi="华文楷体" w:eastAsia="华文楷体" w:cs="宋体"/>
      <w:b/>
      <w:bCs/>
      <w:color w:val="FFFFFF"/>
      <w:kern w:val="0"/>
      <w:sz w:val="24"/>
      <w:szCs w:val="24"/>
    </w:rPr>
  </w:style>
  <w:style w:type="paragraph" w:customStyle="1" w:styleId="114">
    <w:name w:val="xl93"/>
    <w:basedOn w:val="1"/>
    <w:qFormat/>
    <w:uiPriority w:val="0"/>
    <w:pPr>
      <w:widowControl/>
      <w:shd w:val="clear" w:color="000000" w:fill="FF0000"/>
      <w:spacing w:before="100" w:beforeAutospacing="1"/>
      <w:jc w:val="center"/>
    </w:pPr>
    <w:rPr>
      <w:rFonts w:ascii="华文楷体" w:hAnsi="华文楷体" w:eastAsia="华文楷体" w:cs="宋体"/>
      <w:b/>
      <w:bCs/>
      <w:color w:val="FFFFFF"/>
      <w:kern w:val="0"/>
      <w:sz w:val="24"/>
      <w:szCs w:val="24"/>
    </w:rPr>
  </w:style>
  <w:style w:type="paragraph" w:customStyle="1" w:styleId="115">
    <w:name w:val="xl94"/>
    <w:basedOn w:val="1"/>
    <w:qFormat/>
    <w:uiPriority w:val="0"/>
    <w:pPr>
      <w:widowControl/>
      <w:shd w:val="clear" w:color="000000" w:fill="FF0000"/>
      <w:spacing w:before="100" w:beforeAutospacing="1"/>
      <w:jc w:val="center"/>
    </w:pPr>
    <w:rPr>
      <w:rFonts w:ascii="华文楷体" w:hAnsi="华文楷体" w:eastAsia="华文楷体" w:cs="宋体"/>
      <w:color w:val="FFFFFF"/>
      <w:kern w:val="0"/>
      <w:sz w:val="24"/>
      <w:szCs w:val="24"/>
    </w:rPr>
  </w:style>
  <w:style w:type="paragraph" w:customStyle="1" w:styleId="116">
    <w:name w:val="xl95"/>
    <w:basedOn w:val="1"/>
    <w:qFormat/>
    <w:uiPriority w:val="0"/>
    <w:pPr>
      <w:widowControl/>
      <w:shd w:val="clear" w:color="000000" w:fill="FF0000"/>
      <w:spacing w:before="100" w:beforeAutospacing="1"/>
      <w:jc w:val="center"/>
    </w:pPr>
    <w:rPr>
      <w:rFonts w:ascii="华文楷体" w:hAnsi="华文楷体" w:eastAsia="华文楷体" w:cs="宋体"/>
      <w:b/>
      <w:bCs/>
      <w:color w:val="FFFFFF"/>
      <w:kern w:val="0"/>
      <w:sz w:val="24"/>
      <w:szCs w:val="24"/>
    </w:rPr>
  </w:style>
  <w:style w:type="character" w:customStyle="1" w:styleId="117">
    <w:name w:val="列出段落 Char"/>
    <w:link w:val="118"/>
    <w:qFormat/>
    <w:locked/>
    <w:uiPriority w:val="99"/>
    <w:rPr>
      <w:kern w:val="2"/>
      <w:sz w:val="22"/>
    </w:rPr>
  </w:style>
  <w:style w:type="paragraph" w:customStyle="1" w:styleId="118">
    <w:name w:val="列出段落3"/>
    <w:basedOn w:val="1"/>
    <w:link w:val="117"/>
    <w:qFormat/>
    <w:uiPriority w:val="34"/>
    <w:pPr>
      <w:ind w:firstLine="420" w:firstLineChars="200"/>
    </w:pPr>
    <w:rPr>
      <w:sz w:val="22"/>
      <w:szCs w:val="20"/>
    </w:rPr>
  </w:style>
  <w:style w:type="paragraph" w:customStyle="1" w:styleId="119">
    <w:name w:val="TOC 标题1"/>
    <w:basedOn w:val="2"/>
    <w:next w:val="1"/>
    <w:qFormat/>
    <w:uiPriority w:val="39"/>
    <w:pPr>
      <w:spacing w:before="480" w:after="0" w:line="276" w:lineRule="auto"/>
      <w:ind w:left="0" w:firstLine="0"/>
      <w:outlineLvl w:val="9"/>
    </w:pPr>
    <w:rPr>
      <w:rFonts w:ascii="Cambria" w:hAnsi="Cambria" w:eastAsia="宋体"/>
      <w:color w:val="365F91"/>
      <w:kern w:val="0"/>
      <w:sz w:val="28"/>
      <w:szCs w:val="28"/>
    </w:rPr>
  </w:style>
  <w:style w:type="paragraph" w:customStyle="1" w:styleId="120">
    <w:name w:val="正文11"/>
    <w:basedOn w:val="1"/>
    <w:link w:val="121"/>
    <w:qFormat/>
    <w:uiPriority w:val="0"/>
    <w:pPr>
      <w:adjustRightInd w:val="0"/>
      <w:snapToGrid w:val="0"/>
      <w:spacing w:line="420" w:lineRule="auto"/>
    </w:pPr>
    <w:rPr>
      <w:rFonts w:ascii="仿宋_GB2312" w:eastAsia="仿宋_GB2312"/>
      <w:color w:val="000000"/>
      <w:sz w:val="28"/>
      <w:szCs w:val="20"/>
    </w:rPr>
  </w:style>
  <w:style w:type="character" w:customStyle="1" w:styleId="121">
    <w:name w:val="正文11 Char"/>
    <w:link w:val="120"/>
    <w:qFormat/>
    <w:locked/>
    <w:uiPriority w:val="0"/>
    <w:rPr>
      <w:rFonts w:ascii="仿宋_GB2312" w:eastAsia="仿宋_GB2312"/>
      <w:color w:val="000000"/>
      <w:kern w:val="2"/>
      <w:sz w:val="28"/>
    </w:rPr>
  </w:style>
  <w:style w:type="paragraph" w:customStyle="1" w:styleId="122">
    <w:name w:val="p15"/>
    <w:basedOn w:val="1"/>
    <w:qFormat/>
    <w:uiPriority w:val="0"/>
    <w:pPr>
      <w:widowControl/>
      <w:snapToGrid w:val="0"/>
      <w:spacing w:before="78" w:after="78" w:line="500" w:lineRule="atLeast"/>
      <w:ind w:firstLine="420"/>
      <w:jc w:val="left"/>
    </w:pPr>
    <w:rPr>
      <w:rFonts w:ascii="Arial Unicode MS" w:hAnsi="Arial Unicode MS" w:cs="Arial Unicode MS"/>
      <w:b/>
      <w:bCs/>
      <w:kern w:val="0"/>
      <w:sz w:val="24"/>
      <w:szCs w:val="24"/>
    </w:rPr>
  </w:style>
  <w:style w:type="paragraph" w:customStyle="1" w:styleId="123">
    <w:name w:val="样式4"/>
    <w:basedOn w:val="82"/>
    <w:link w:val="124"/>
    <w:qFormat/>
    <w:uiPriority w:val="0"/>
    <w:pPr>
      <w:ind w:left="1428" w:hanging="720" w:firstLineChars="0"/>
      <w:outlineLvl w:val="3"/>
    </w:pPr>
    <w:rPr>
      <w:rFonts w:ascii="Calibri" w:hAnsi="Calibri" w:eastAsia="仿宋_GB2312"/>
      <w:sz w:val="28"/>
      <w:szCs w:val="20"/>
    </w:rPr>
  </w:style>
  <w:style w:type="character" w:customStyle="1" w:styleId="124">
    <w:name w:val="样式4 Char"/>
    <w:link w:val="123"/>
    <w:qFormat/>
    <w:locked/>
    <w:uiPriority w:val="0"/>
    <w:rPr>
      <w:rFonts w:ascii="Calibri" w:hAnsi="Calibri" w:eastAsia="仿宋_GB2312"/>
      <w:kern w:val="2"/>
      <w:sz w:val="28"/>
    </w:rPr>
  </w:style>
  <w:style w:type="paragraph" w:customStyle="1" w:styleId="125">
    <w:name w:val="样式2"/>
    <w:basedOn w:val="1"/>
    <w:link w:val="126"/>
    <w:qFormat/>
    <w:uiPriority w:val="0"/>
    <w:pPr>
      <w:ind w:left="420" w:hanging="420"/>
      <w:outlineLvl w:val="1"/>
    </w:pPr>
    <w:rPr>
      <w:rFonts w:ascii="仿宋_GB2312" w:hAnsi="Calibri" w:eastAsia="仿宋_GB2312"/>
      <w:sz w:val="28"/>
      <w:szCs w:val="20"/>
    </w:rPr>
  </w:style>
  <w:style w:type="character" w:customStyle="1" w:styleId="126">
    <w:name w:val="样式2 Char"/>
    <w:link w:val="125"/>
    <w:qFormat/>
    <w:locked/>
    <w:uiPriority w:val="0"/>
    <w:rPr>
      <w:rFonts w:ascii="仿宋_GB2312" w:hAnsi="Calibri" w:eastAsia="仿宋_GB2312"/>
      <w:kern w:val="2"/>
      <w:sz w:val="28"/>
    </w:rPr>
  </w:style>
  <w:style w:type="paragraph" w:customStyle="1" w:styleId="127">
    <w:name w:val="样式 四号 首行缩进:  0.95 厘米 Char"/>
    <w:basedOn w:val="1"/>
    <w:link w:val="128"/>
    <w:qFormat/>
    <w:uiPriority w:val="0"/>
    <w:pPr>
      <w:spacing w:line="360" w:lineRule="auto"/>
      <w:ind w:firstLine="539"/>
    </w:pPr>
    <w:rPr>
      <w:rFonts w:ascii="宋体" w:hAnsi="Calibri" w:eastAsia="仿宋"/>
      <w:sz w:val="24"/>
      <w:szCs w:val="20"/>
    </w:rPr>
  </w:style>
  <w:style w:type="character" w:customStyle="1" w:styleId="128">
    <w:name w:val="样式 四号 首行缩进:  0.95 厘米 Char Char"/>
    <w:link w:val="127"/>
    <w:qFormat/>
    <w:locked/>
    <w:uiPriority w:val="0"/>
    <w:rPr>
      <w:rFonts w:ascii="宋体" w:hAnsi="Calibri" w:eastAsia="仿宋"/>
      <w:kern w:val="2"/>
      <w:sz w:val="24"/>
    </w:rPr>
  </w:style>
  <w:style w:type="character" w:customStyle="1" w:styleId="129">
    <w:name w:val="apple-converted-space"/>
    <w:qFormat/>
    <w:uiPriority w:val="0"/>
    <w:rPr>
      <w:rFonts w:cs="Times New Roman"/>
    </w:rPr>
  </w:style>
  <w:style w:type="character" w:customStyle="1" w:styleId="130">
    <w:name w:val="font11"/>
    <w:qFormat/>
    <w:uiPriority w:val="0"/>
    <w:rPr>
      <w:rFonts w:ascii="仿宋_GB2312" w:eastAsia="仿宋_GB2312"/>
      <w:color w:val="000000"/>
      <w:sz w:val="21"/>
      <w:u w:val="none"/>
    </w:rPr>
  </w:style>
  <w:style w:type="paragraph" w:customStyle="1" w:styleId="131">
    <w:name w:val="列出段落111"/>
    <w:basedOn w:val="1"/>
    <w:qFormat/>
    <w:uiPriority w:val="34"/>
    <w:pPr>
      <w:ind w:firstLine="420"/>
    </w:pPr>
    <w:rPr>
      <w:kern w:val="0"/>
      <w:sz w:val="20"/>
      <w:szCs w:val="20"/>
    </w:rPr>
  </w:style>
  <w:style w:type="paragraph" w:customStyle="1" w:styleId="132">
    <w:name w:val="无间隔1"/>
    <w:qFormat/>
    <w:uiPriority w:val="1"/>
    <w:pPr>
      <w:widowControl w:val="0"/>
      <w:spacing w:after="100" w:afterAutospacing="1" w:line="560" w:lineRule="exact"/>
      <w:jc w:val="both"/>
    </w:pPr>
    <w:rPr>
      <w:rFonts w:ascii="Calibri" w:hAnsi="Calibri" w:eastAsia="宋体" w:cs="Times New Roman"/>
      <w:kern w:val="2"/>
      <w:sz w:val="21"/>
      <w:szCs w:val="22"/>
      <w:lang w:val="en-US" w:eastAsia="zh-CN" w:bidi="ar-SA"/>
    </w:rPr>
  </w:style>
  <w:style w:type="paragraph" w:customStyle="1" w:styleId="133">
    <w:name w:val="xl26"/>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jc w:val="center"/>
    </w:pPr>
    <w:rPr>
      <w:rFonts w:ascii="宋体" w:hAnsi="宋体"/>
      <w:b/>
      <w:bCs/>
      <w:kern w:val="0"/>
      <w:sz w:val="22"/>
    </w:rPr>
  </w:style>
  <w:style w:type="paragraph" w:customStyle="1" w:styleId="134">
    <w:name w:val="列出段落11"/>
    <w:basedOn w:val="1"/>
    <w:qFormat/>
    <w:uiPriority w:val="34"/>
    <w:pPr>
      <w:spacing w:line="360" w:lineRule="auto"/>
      <w:ind w:firstLine="420"/>
    </w:pPr>
  </w:style>
  <w:style w:type="paragraph" w:customStyle="1" w:styleId="135">
    <w:name w:val="标题 41"/>
    <w:basedOn w:val="1"/>
    <w:next w:val="1"/>
    <w:qFormat/>
    <w:uiPriority w:val="9"/>
    <w:pPr>
      <w:keepNext/>
      <w:keepLines/>
      <w:spacing w:before="280" w:after="290" w:line="376" w:lineRule="atLeast"/>
      <w:outlineLvl w:val="3"/>
    </w:pPr>
    <w:rPr>
      <w:rFonts w:ascii="Calibri Light" w:hAnsi="Calibri Light"/>
      <w:b/>
      <w:bCs/>
      <w:kern w:val="0"/>
      <w:sz w:val="28"/>
      <w:szCs w:val="28"/>
      <w:lang w:eastAsia="en-US"/>
    </w:rPr>
  </w:style>
  <w:style w:type="paragraph" w:customStyle="1" w:styleId="136">
    <w:name w:val="表格 小4"/>
    <w:basedOn w:val="1"/>
    <w:next w:val="1"/>
    <w:link w:val="137"/>
    <w:qFormat/>
    <w:uiPriority w:val="0"/>
    <w:pPr>
      <w:adjustRightInd w:val="0"/>
      <w:snapToGrid w:val="0"/>
      <w:jc w:val="center"/>
    </w:pPr>
    <w:rPr>
      <w:rFonts w:ascii="仿宋" w:hAnsi="Calibri" w:eastAsia="仿宋"/>
      <w:kern w:val="0"/>
      <w:sz w:val="24"/>
      <w:szCs w:val="20"/>
      <w:lang w:val="zh-CN" w:eastAsia="en-US"/>
    </w:rPr>
  </w:style>
  <w:style w:type="character" w:customStyle="1" w:styleId="137">
    <w:name w:val="表格 小4 Char"/>
    <w:link w:val="136"/>
    <w:qFormat/>
    <w:locked/>
    <w:uiPriority w:val="0"/>
    <w:rPr>
      <w:rFonts w:ascii="仿宋" w:hAnsi="Calibri" w:eastAsia="仿宋"/>
      <w:sz w:val="24"/>
      <w:lang w:val="zh-CN" w:eastAsia="en-US"/>
    </w:rPr>
  </w:style>
  <w:style w:type="paragraph" w:customStyle="1" w:styleId="138">
    <w:name w:val="标题3"/>
    <w:basedOn w:val="1"/>
    <w:qFormat/>
    <w:uiPriority w:val="99"/>
    <w:pPr>
      <w:ind w:firstLine="566" w:firstLineChars="202"/>
    </w:pPr>
    <w:rPr>
      <w:rFonts w:ascii="仿宋_GB2312" w:eastAsia="仿宋_GB2312"/>
      <w:sz w:val="32"/>
      <w:szCs w:val="28"/>
    </w:rPr>
  </w:style>
  <w:style w:type="paragraph" w:customStyle="1" w:styleId="139">
    <w:name w:val="目录 21"/>
    <w:basedOn w:val="1"/>
    <w:next w:val="1"/>
    <w:qFormat/>
    <w:uiPriority w:val="39"/>
    <w:pPr>
      <w:widowControl/>
      <w:spacing w:line="276" w:lineRule="auto"/>
      <w:ind w:left="220"/>
    </w:pPr>
    <w:rPr>
      <w:rFonts w:ascii="仿宋"/>
      <w:kern w:val="0"/>
      <w:sz w:val="22"/>
    </w:rPr>
  </w:style>
  <w:style w:type="paragraph" w:customStyle="1" w:styleId="140">
    <w:name w:val="目录 11"/>
    <w:basedOn w:val="1"/>
    <w:next w:val="1"/>
    <w:qFormat/>
    <w:uiPriority w:val="39"/>
    <w:pPr>
      <w:widowControl/>
      <w:spacing w:line="276" w:lineRule="auto"/>
    </w:pPr>
    <w:rPr>
      <w:rFonts w:ascii="仿宋"/>
      <w:kern w:val="0"/>
      <w:sz w:val="22"/>
    </w:rPr>
  </w:style>
  <w:style w:type="paragraph" w:customStyle="1" w:styleId="141">
    <w:name w:val="目录 31"/>
    <w:basedOn w:val="1"/>
    <w:next w:val="1"/>
    <w:qFormat/>
    <w:uiPriority w:val="39"/>
    <w:pPr>
      <w:widowControl/>
      <w:spacing w:line="276" w:lineRule="auto"/>
      <w:ind w:left="440"/>
    </w:pPr>
    <w:rPr>
      <w:rFonts w:ascii="仿宋"/>
      <w:kern w:val="0"/>
      <w:sz w:val="22"/>
    </w:rPr>
  </w:style>
  <w:style w:type="character" w:customStyle="1" w:styleId="142">
    <w:name w:val="超链接1"/>
    <w:qFormat/>
    <w:uiPriority w:val="99"/>
    <w:rPr>
      <w:rFonts w:cs="Times New Roman"/>
      <w:color w:val="0563C1"/>
      <w:u w:val="single"/>
    </w:rPr>
  </w:style>
  <w:style w:type="paragraph" w:customStyle="1" w:styleId="143">
    <w:name w:val="Default"/>
    <w:qFormat/>
    <w:uiPriority w:val="0"/>
    <w:pPr>
      <w:widowControl w:val="0"/>
      <w:autoSpaceDE w:val="0"/>
      <w:autoSpaceDN w:val="0"/>
      <w:adjustRightInd w:val="0"/>
      <w:spacing w:after="200" w:line="276" w:lineRule="auto"/>
    </w:pPr>
    <w:rPr>
      <w:rFonts w:ascii="黑体" w:hAnsi="Calibri Light" w:eastAsia="黑体" w:cs="黑体"/>
      <w:color w:val="000000"/>
      <w:sz w:val="24"/>
      <w:szCs w:val="24"/>
      <w:lang w:val="en-US" w:eastAsia="en-US" w:bidi="ar-SA"/>
    </w:rPr>
  </w:style>
  <w:style w:type="paragraph" w:customStyle="1" w:styleId="144">
    <w:name w:val="无间隔2"/>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5">
    <w:name w:val="目录 41"/>
    <w:basedOn w:val="1"/>
    <w:next w:val="1"/>
    <w:qFormat/>
    <w:uiPriority w:val="39"/>
    <w:pPr>
      <w:ind w:left="1260" w:leftChars="600"/>
    </w:pPr>
    <w:rPr>
      <w:rFonts w:ascii="仿宋"/>
      <w:sz w:val="32"/>
    </w:rPr>
  </w:style>
  <w:style w:type="paragraph" w:customStyle="1" w:styleId="146">
    <w:name w:val="目录 51"/>
    <w:basedOn w:val="1"/>
    <w:next w:val="1"/>
    <w:qFormat/>
    <w:uiPriority w:val="39"/>
    <w:pPr>
      <w:ind w:left="1680" w:leftChars="800"/>
    </w:pPr>
    <w:rPr>
      <w:rFonts w:ascii="仿宋"/>
      <w:sz w:val="32"/>
    </w:rPr>
  </w:style>
  <w:style w:type="paragraph" w:customStyle="1" w:styleId="147">
    <w:name w:val="目录 61"/>
    <w:basedOn w:val="1"/>
    <w:next w:val="1"/>
    <w:qFormat/>
    <w:uiPriority w:val="39"/>
    <w:pPr>
      <w:ind w:left="2100" w:leftChars="1000"/>
    </w:pPr>
    <w:rPr>
      <w:rFonts w:ascii="仿宋"/>
      <w:sz w:val="32"/>
    </w:rPr>
  </w:style>
  <w:style w:type="paragraph" w:customStyle="1" w:styleId="148">
    <w:name w:val="目录 71"/>
    <w:basedOn w:val="1"/>
    <w:next w:val="1"/>
    <w:qFormat/>
    <w:uiPriority w:val="39"/>
    <w:pPr>
      <w:ind w:left="2520" w:leftChars="1200"/>
    </w:pPr>
    <w:rPr>
      <w:rFonts w:ascii="仿宋"/>
      <w:sz w:val="32"/>
    </w:rPr>
  </w:style>
  <w:style w:type="paragraph" w:customStyle="1" w:styleId="149">
    <w:name w:val="目录 91"/>
    <w:basedOn w:val="1"/>
    <w:next w:val="1"/>
    <w:qFormat/>
    <w:uiPriority w:val="39"/>
    <w:pPr>
      <w:ind w:left="3360" w:leftChars="1600"/>
    </w:pPr>
    <w:rPr>
      <w:rFonts w:ascii="仿宋"/>
      <w:sz w:val="32"/>
    </w:rPr>
  </w:style>
  <w:style w:type="paragraph" w:customStyle="1" w:styleId="150">
    <w:name w:val="TOC 标题2"/>
    <w:basedOn w:val="2"/>
    <w:next w:val="1"/>
    <w:qFormat/>
    <w:uiPriority w:val="39"/>
    <w:pPr>
      <w:spacing w:before="480" w:line="276" w:lineRule="auto"/>
      <w:ind w:left="0" w:firstLine="0"/>
      <w:outlineLvl w:val="9"/>
    </w:pPr>
    <w:rPr>
      <w:rFonts w:ascii="Cambria" w:hAnsi="Cambria" w:eastAsia="宋体"/>
      <w:color w:val="365F91"/>
      <w:kern w:val="0"/>
      <w:sz w:val="28"/>
      <w:szCs w:val="28"/>
    </w:rPr>
  </w:style>
  <w:style w:type="paragraph" w:customStyle="1" w:styleId="151">
    <w:name w:val="无间隔3"/>
    <w:qFormat/>
    <w:uiPriority w:val="1"/>
    <w:pPr>
      <w:widowControl w:val="0"/>
      <w:spacing w:afterAutospacing="1"/>
      <w:jc w:val="both"/>
    </w:pPr>
    <w:rPr>
      <w:rFonts w:ascii="Calibri" w:hAnsi="Calibri" w:eastAsia="宋体" w:cs="Times New Roman"/>
      <w:kern w:val="2"/>
      <w:sz w:val="21"/>
      <w:szCs w:val="22"/>
      <w:lang w:val="en-US" w:eastAsia="zh-CN" w:bidi="ar-SA"/>
    </w:rPr>
  </w:style>
  <w:style w:type="paragraph" w:customStyle="1" w:styleId="152">
    <w:name w:val="TOC 标题3"/>
    <w:basedOn w:val="2"/>
    <w:next w:val="1"/>
    <w:qFormat/>
    <w:uiPriority w:val="39"/>
    <w:pPr>
      <w:spacing w:before="480" w:line="276" w:lineRule="auto"/>
      <w:ind w:left="0" w:firstLine="0"/>
      <w:outlineLvl w:val="9"/>
    </w:pPr>
    <w:rPr>
      <w:rFonts w:ascii="Cambria" w:hAnsi="Cambria" w:eastAsia="宋体"/>
      <w:color w:val="365F91"/>
      <w:kern w:val="0"/>
      <w:sz w:val="28"/>
      <w:szCs w:val="28"/>
    </w:rPr>
  </w:style>
  <w:style w:type="paragraph" w:customStyle="1" w:styleId="153">
    <w:name w:val="_Style 1"/>
    <w:basedOn w:val="1"/>
    <w:qFormat/>
    <w:uiPriority w:val="34"/>
    <w:pPr>
      <w:spacing w:line="360" w:lineRule="auto"/>
      <w:ind w:firstLine="420"/>
    </w:pPr>
    <w:rPr>
      <w:rFonts w:ascii="仿宋_GB2312" w:eastAsia="仿宋_GB2312"/>
      <w:sz w:val="28"/>
      <w:szCs w:val="28"/>
    </w:rPr>
  </w:style>
  <w:style w:type="paragraph" w:customStyle="1" w:styleId="154">
    <w:name w:val="标准正文"/>
    <w:basedOn w:val="1"/>
    <w:link w:val="155"/>
    <w:qFormat/>
    <w:uiPriority w:val="0"/>
    <w:pPr>
      <w:ind w:firstLine="640"/>
    </w:pPr>
    <w:rPr>
      <w:rFonts w:ascii="宋体" w:hAnsi="宋体"/>
      <w:kern w:val="0"/>
      <w:sz w:val="32"/>
      <w:szCs w:val="32"/>
    </w:rPr>
  </w:style>
  <w:style w:type="character" w:customStyle="1" w:styleId="155">
    <w:name w:val="标准正文 Char"/>
    <w:link w:val="154"/>
    <w:qFormat/>
    <w:locked/>
    <w:uiPriority w:val="0"/>
    <w:rPr>
      <w:rFonts w:ascii="宋体" w:hAnsi="宋体" w:eastAsia="仿宋" w:cs="Times New Roman"/>
      <w:sz w:val="32"/>
      <w:szCs w:val="32"/>
    </w:rPr>
  </w:style>
  <w:style w:type="paragraph" w:customStyle="1" w:styleId="156">
    <w:name w:val="无间隔4"/>
    <w:link w:val="157"/>
    <w:qFormat/>
    <w:uiPriority w:val="0"/>
    <w:pPr>
      <w:widowControl w:val="0"/>
      <w:spacing w:afterAutospacing="1"/>
      <w:jc w:val="both"/>
    </w:pPr>
    <w:rPr>
      <w:rFonts w:ascii="Calibri" w:hAnsi="Calibri" w:eastAsia="宋体" w:cs="Times New Roman"/>
      <w:kern w:val="2"/>
      <w:sz w:val="21"/>
      <w:szCs w:val="22"/>
      <w:lang w:val="en-US" w:eastAsia="zh-CN" w:bidi="ar-SA"/>
    </w:rPr>
  </w:style>
  <w:style w:type="character" w:customStyle="1" w:styleId="157">
    <w:name w:val="无间隔 Char"/>
    <w:link w:val="156"/>
    <w:qFormat/>
    <w:locked/>
    <w:uiPriority w:val="0"/>
    <w:rPr>
      <w:rFonts w:ascii="Calibri" w:hAnsi="Calibri" w:cs="Times New Roman"/>
      <w:kern w:val="2"/>
      <w:sz w:val="22"/>
      <w:szCs w:val="22"/>
      <w:lang w:val="en-US" w:eastAsia="zh-CN" w:bidi="ar-SA"/>
    </w:rPr>
  </w:style>
  <w:style w:type="character" w:customStyle="1" w:styleId="158">
    <w:name w:val="页脚 Char1"/>
    <w:qFormat/>
    <w:uiPriority w:val="0"/>
    <w:rPr>
      <w:rFonts w:ascii="仿宋_GB2312" w:hAnsi="Times New Roman" w:eastAsia="仿宋_GB2312"/>
      <w:sz w:val="18"/>
    </w:rPr>
  </w:style>
  <w:style w:type="character" w:customStyle="1" w:styleId="159">
    <w:name w:val="页眉 Char1"/>
    <w:qFormat/>
    <w:uiPriority w:val="0"/>
    <w:rPr>
      <w:rFonts w:ascii="仿宋_GB2312" w:hAnsi="Times New Roman" w:eastAsia="仿宋_GB2312"/>
      <w:sz w:val="18"/>
    </w:rPr>
  </w:style>
  <w:style w:type="character" w:customStyle="1" w:styleId="160">
    <w:name w:val="纯文本 Char"/>
    <w:qFormat/>
    <w:uiPriority w:val="0"/>
    <w:rPr>
      <w:rFonts w:ascii="宋体" w:hAnsi="Courier New"/>
      <w:kern w:val="2"/>
      <w:sz w:val="21"/>
    </w:rPr>
  </w:style>
  <w:style w:type="character" w:customStyle="1" w:styleId="161">
    <w:name w:val="p0 Char"/>
    <w:link w:val="162"/>
    <w:qFormat/>
    <w:locked/>
    <w:uiPriority w:val="0"/>
    <w:rPr>
      <w:sz w:val="21"/>
    </w:rPr>
  </w:style>
  <w:style w:type="paragraph" w:customStyle="1" w:styleId="162">
    <w:name w:val="p0"/>
    <w:basedOn w:val="1"/>
    <w:link w:val="161"/>
    <w:qFormat/>
    <w:uiPriority w:val="0"/>
    <w:pPr>
      <w:widowControl/>
    </w:pPr>
    <w:rPr>
      <w:kern w:val="0"/>
      <w:szCs w:val="20"/>
    </w:rPr>
  </w:style>
  <w:style w:type="character" w:customStyle="1" w:styleId="163">
    <w:name w:val="正文缩进 Char"/>
    <w:link w:val="12"/>
    <w:qFormat/>
    <w:locked/>
    <w:uiPriority w:val="0"/>
  </w:style>
  <w:style w:type="character" w:customStyle="1" w:styleId="164">
    <w:name w:val="正文一级 Char"/>
    <w:link w:val="165"/>
    <w:qFormat/>
    <w:locked/>
    <w:uiPriority w:val="0"/>
    <w:rPr>
      <w:rFonts w:ascii="宋体" w:hAnsi="CG Times"/>
      <w:sz w:val="24"/>
    </w:rPr>
  </w:style>
  <w:style w:type="paragraph" w:customStyle="1" w:styleId="165">
    <w:name w:val="正文一级"/>
    <w:basedOn w:val="1"/>
    <w:link w:val="164"/>
    <w:qFormat/>
    <w:uiPriority w:val="0"/>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166">
    <w:name w:val="Char Char1 Char Char Char Char Char1 Char Char Char Char"/>
    <w:basedOn w:val="14"/>
    <w:qFormat/>
    <w:uiPriority w:val="0"/>
    <w:pPr>
      <w:shd w:val="clear" w:color="auto" w:fill="000080"/>
    </w:pPr>
    <w:rPr>
      <w:rFonts w:ascii="Tahoma" w:hAnsi="Tahoma"/>
      <w:kern w:val="2"/>
      <w:sz w:val="21"/>
      <w:szCs w:val="22"/>
    </w:rPr>
  </w:style>
  <w:style w:type="paragraph" w:customStyle="1" w:styleId="167">
    <w:name w:val="表格内容"/>
    <w:basedOn w:val="18"/>
    <w:qFormat/>
    <w:uiPriority w:val="0"/>
    <w:pPr>
      <w:suppressLineNumbers/>
      <w:suppressAutoHyphens/>
      <w:jc w:val="left"/>
    </w:pPr>
    <w:rPr>
      <w:rFonts w:cs="Tahoma"/>
      <w:kern w:val="0"/>
      <w:sz w:val="24"/>
    </w:rPr>
  </w:style>
  <w:style w:type="paragraph" w:customStyle="1" w:styleId="168">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9">
    <w:name w:val="Char1 Char Char Char 字元 Char Char 字元 Char 字元 Char1 Char Char Char"/>
    <w:basedOn w:val="1"/>
    <w:qFormat/>
    <w:uiPriority w:val="0"/>
    <w:rPr>
      <w:szCs w:val="20"/>
    </w:rPr>
  </w:style>
  <w:style w:type="paragraph" w:customStyle="1" w:styleId="170">
    <w:name w:val="标题 1 +"/>
    <w:basedOn w:val="2"/>
    <w:next w:val="1"/>
    <w:qFormat/>
    <w:uiPriority w:val="0"/>
    <w:pPr>
      <w:spacing w:line="600" w:lineRule="auto"/>
    </w:pPr>
    <w:rPr>
      <w:kern w:val="0"/>
    </w:rPr>
  </w:style>
  <w:style w:type="paragraph" w:customStyle="1" w:styleId="17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2">
    <w:name w:val="Char"/>
    <w:basedOn w:val="1"/>
    <w:qFormat/>
    <w:uiPriority w:val="0"/>
    <w:pPr>
      <w:tabs>
        <w:tab w:val="left" w:pos="360"/>
      </w:tabs>
      <w:ind w:left="360" w:hanging="360" w:hangingChars="200"/>
    </w:pPr>
    <w:rPr>
      <w:sz w:val="24"/>
    </w:rPr>
  </w:style>
  <w:style w:type="paragraph" w:customStyle="1" w:styleId="173">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7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6">
    <w:name w:val="1"/>
    <w:basedOn w:val="1"/>
    <w:qFormat/>
    <w:uiPriority w:val="0"/>
    <w:pPr>
      <w:spacing w:afterLines="50" w:line="360" w:lineRule="auto"/>
    </w:pPr>
    <w:rPr>
      <w:rFonts w:ascii="宋体" w:hAnsi="宋体"/>
      <w:b/>
      <w:sz w:val="30"/>
      <w:szCs w:val="21"/>
    </w:rPr>
  </w:style>
  <w:style w:type="paragraph" w:customStyle="1" w:styleId="177">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78">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9">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0">
    <w:name w:val="样式 标题 2 + 宋体 五号 行距: 单倍行距"/>
    <w:basedOn w:val="3"/>
    <w:qFormat/>
    <w:uiPriority w:val="0"/>
    <w:pPr>
      <w:numPr>
        <w:numId w:val="2"/>
      </w:numPr>
      <w:tabs>
        <w:tab w:val="left" w:pos="720"/>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81">
    <w:name w:val="Char Char Char"/>
    <w:basedOn w:val="1"/>
    <w:qFormat/>
    <w:uiPriority w:val="0"/>
    <w:rPr>
      <w:rFonts w:ascii="宋体" w:hAnsi="宋体"/>
      <w:b/>
      <w:sz w:val="28"/>
      <w:szCs w:val="28"/>
    </w:rPr>
  </w:style>
  <w:style w:type="paragraph" w:customStyle="1" w:styleId="182">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cs="Arial Unicode MS"/>
      <w:kern w:val="0"/>
      <w:sz w:val="24"/>
    </w:rPr>
  </w:style>
  <w:style w:type="paragraph" w:customStyle="1" w:styleId="183">
    <w:name w:val="样式 标题 2 + Times New Roman 四号 非加粗 段前: 5 磅 段后: 0 磅 行距: 固定值 20..."/>
    <w:basedOn w:val="3"/>
    <w:qFormat/>
    <w:uiPriority w:val="0"/>
    <w:pPr>
      <w:numPr>
        <w:ilvl w:val="0"/>
        <w:numId w:val="0"/>
      </w:numPr>
      <w:tabs>
        <w:tab w:val="left" w:pos="1440"/>
      </w:tabs>
      <w:spacing w:before="100" w:line="400" w:lineRule="exact"/>
      <w:ind w:left="1440" w:hanging="720"/>
    </w:pPr>
    <w:rPr>
      <w:rFonts w:eastAsia="黑体"/>
      <w:b w:val="0"/>
      <w:bCs w:val="0"/>
      <w:szCs w:val="20"/>
    </w:rPr>
  </w:style>
  <w:style w:type="paragraph" w:customStyle="1" w:styleId="184">
    <w:name w:val="p16"/>
    <w:basedOn w:val="1"/>
    <w:qFormat/>
    <w:uiPriority w:val="0"/>
    <w:pPr>
      <w:widowControl/>
      <w:jc w:val="left"/>
    </w:pPr>
    <w:rPr>
      <w:kern w:val="0"/>
      <w:szCs w:val="21"/>
    </w:rPr>
  </w:style>
  <w:style w:type="paragraph" w:customStyle="1" w:styleId="185">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186">
    <w:name w:val="Char1 Char Char Char Char Char Char"/>
    <w:basedOn w:val="1"/>
    <w:qFormat/>
    <w:uiPriority w:val="0"/>
    <w:rPr>
      <w:rFonts w:ascii="Tahoma" w:hAnsi="Tahoma"/>
      <w:sz w:val="24"/>
      <w:szCs w:val="20"/>
    </w:rPr>
  </w:style>
  <w:style w:type="paragraph" w:customStyle="1" w:styleId="187">
    <w:name w:val="s19qjli960sb120sa120sl36"/>
    <w:qFormat/>
    <w:uiPriority w:val="0"/>
    <w:pPr>
      <w:widowControl w:val="0"/>
      <w:autoSpaceDE w:val="0"/>
      <w:autoSpaceDN w:val="0"/>
      <w:adjustRightInd w:val="0"/>
    </w:pPr>
    <w:rPr>
      <w:rFonts w:ascii="仿宋体" w:hAnsi="Times New Roman" w:eastAsia="仿宋体" w:cs="Times New Roman"/>
      <w:lang w:val="en-US" w:eastAsia="zh-CN" w:bidi="ar-SA"/>
    </w:rPr>
  </w:style>
  <w:style w:type="paragraph" w:customStyle="1" w:styleId="188">
    <w:name w:val="xl24"/>
    <w:basedOn w:val="1"/>
    <w:qFormat/>
    <w:uiPriority w:val="0"/>
    <w:pPr>
      <w:widowControl/>
      <w:pBdr>
        <w:bottom w:val="single" w:color="auto" w:sz="4" w:space="0"/>
      </w:pBdr>
      <w:spacing w:beforeAutospacing="1" w:afterAutospacing="1"/>
      <w:jc w:val="center"/>
      <w:textAlignment w:val="top"/>
    </w:pPr>
    <w:rPr>
      <w:rFonts w:ascii="宋体" w:hAnsi="宋体"/>
      <w:b/>
      <w:bCs/>
      <w:kern w:val="0"/>
      <w:sz w:val="36"/>
      <w:szCs w:val="36"/>
    </w:rPr>
  </w:style>
  <w:style w:type="character" w:customStyle="1" w:styleId="189">
    <w:name w:val="font31"/>
    <w:qFormat/>
    <w:uiPriority w:val="0"/>
    <w:rPr>
      <w:rFonts w:ascii="Times New Roman" w:hAnsi="Times New Roman"/>
      <w:color w:val="000000"/>
      <w:sz w:val="21"/>
      <w:u w:val="none"/>
    </w:rPr>
  </w:style>
  <w:style w:type="paragraph" w:customStyle="1" w:styleId="190">
    <w:name w:val="WPS Plain"/>
    <w:qFormat/>
    <w:uiPriority w:val="0"/>
    <w:rPr>
      <w:rFonts w:ascii="Times New Roman" w:hAnsi="Times New Roman" w:eastAsia="宋体" w:cs="Times New Roman"/>
      <w:sz w:val="21"/>
      <w:szCs w:val="22"/>
      <w:lang w:val="en-US" w:eastAsia="zh-CN" w:bidi="ar-SA"/>
    </w:rPr>
  </w:style>
  <w:style w:type="paragraph" w:customStyle="1" w:styleId="191">
    <w:name w:val="List Paragraph1"/>
    <w:basedOn w:val="1"/>
    <w:qFormat/>
    <w:uiPriority w:val="0"/>
    <w:pPr>
      <w:ind w:firstLine="420" w:firstLineChars="200"/>
    </w:pPr>
  </w:style>
  <w:style w:type="paragraph" w:customStyle="1" w:styleId="192">
    <w:name w:val="正文1"/>
    <w:qFormat/>
    <w:uiPriority w:val="0"/>
    <w:pPr>
      <w:ind w:firstLine="199" w:firstLineChars="83"/>
    </w:pPr>
    <w:rPr>
      <w:rFonts w:ascii="Times New Roman" w:hAnsi="Times New Roman" w:eastAsia="宋体" w:cs="宋体"/>
      <w:lang w:val="en-US" w:eastAsia="zh-CN" w:bidi="ar-SA"/>
    </w:rPr>
  </w:style>
  <w:style w:type="paragraph" w:customStyle="1" w:styleId="193">
    <w:name w:val="4号书宋"/>
    <w:basedOn w:val="192"/>
    <w:qFormat/>
    <w:uiPriority w:val="0"/>
    <w:pPr>
      <w:ind w:firstLine="232"/>
      <w:jc w:val="center"/>
    </w:pPr>
    <w:rPr>
      <w:sz w:val="28"/>
    </w:rPr>
  </w:style>
  <w:style w:type="paragraph" w:customStyle="1" w:styleId="194">
    <w:name w:val="小4黑1"/>
    <w:basedOn w:val="1"/>
    <w:qFormat/>
    <w:uiPriority w:val="0"/>
    <w:pPr>
      <w:spacing w:beforeLines="75" w:afterLines="75" w:line="382" w:lineRule="exact"/>
    </w:pPr>
    <w:rPr>
      <w:rFonts w:ascii="黑体" w:hAnsi="Courier New" w:eastAsia="黑体" w:cs="宋体"/>
      <w:sz w:val="24"/>
      <w:szCs w:val="20"/>
    </w:rPr>
  </w:style>
  <w:style w:type="character" w:customStyle="1" w:styleId="195">
    <w:name w:val="正文文本 3 Char"/>
    <w:link w:val="17"/>
    <w:qFormat/>
    <w:locked/>
    <w:uiPriority w:val="0"/>
    <w:rPr>
      <w:rFonts w:cs="Times New Roman"/>
      <w:sz w:val="16"/>
      <w:szCs w:val="16"/>
    </w:rPr>
  </w:style>
  <w:style w:type="character" w:customStyle="1" w:styleId="196">
    <w:name w:val="正文文本 3 Char1"/>
    <w:semiHidden/>
    <w:qFormat/>
    <w:uiPriority w:val="99"/>
    <w:rPr>
      <w:rFonts w:cs="Times New Roman"/>
      <w:kern w:val="2"/>
      <w:sz w:val="16"/>
      <w:szCs w:val="16"/>
    </w:rPr>
  </w:style>
  <w:style w:type="character" w:customStyle="1" w:styleId="197">
    <w:name w:val="Char Char13"/>
    <w:qFormat/>
    <w:uiPriority w:val="0"/>
    <w:rPr>
      <w:kern w:val="2"/>
      <w:sz w:val="18"/>
    </w:rPr>
  </w:style>
  <w:style w:type="paragraph" w:customStyle="1" w:styleId="198">
    <w:name w:val="No Spacing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6'"/>
    <w:basedOn w:val="1"/>
    <w:qFormat/>
    <w:uiPriority w:val="0"/>
    <w:pPr>
      <w:autoSpaceDE w:val="0"/>
      <w:autoSpaceDN w:val="0"/>
      <w:adjustRightInd w:val="0"/>
      <w:snapToGrid w:val="0"/>
      <w:spacing w:line="320" w:lineRule="exact"/>
      <w:textAlignment w:val="baseline"/>
    </w:pPr>
    <w:rPr>
      <w:spacing w:val="20"/>
      <w:kern w:val="28"/>
      <w:szCs w:val="20"/>
    </w:rPr>
  </w:style>
  <w:style w:type="paragraph" w:customStyle="1" w:styleId="200">
    <w:name w:val="列出段落4"/>
    <w:basedOn w:val="1"/>
    <w:unhideWhenUsed/>
    <w:qFormat/>
    <w:uiPriority w:val="99"/>
    <w:pPr>
      <w:ind w:firstLine="420" w:firstLineChars="200"/>
    </w:pPr>
  </w:style>
  <w:style w:type="paragraph" w:customStyle="1" w:styleId="201">
    <w:name w:val="无间隔5"/>
    <w:qFormat/>
    <w:uiPriority w:val="0"/>
    <w:pPr>
      <w:widowControl w:val="0"/>
      <w:jc w:val="both"/>
    </w:pPr>
    <w:rPr>
      <w:rFonts w:ascii="Times New Roman" w:hAnsi="Times New Roman" w:eastAsia="Times New Roman" w:cs="Times New Roman"/>
      <w:kern w:val="2"/>
      <w:sz w:val="21"/>
      <w:lang w:val="en-US" w:eastAsia="zh-CN" w:bidi="ar-SA"/>
    </w:rPr>
  </w:style>
  <w:style w:type="paragraph" w:styleId="202">
    <w:name w:val="List Paragraph"/>
    <w:basedOn w:val="1"/>
    <w:unhideWhenUsed/>
    <w:qFormat/>
    <w:uiPriority w:val="0"/>
    <w:pPr>
      <w:ind w:firstLine="420" w:firstLineChars="200"/>
    </w:pPr>
  </w:style>
  <w:style w:type="character" w:customStyle="1" w:styleId="203">
    <w:name w:val="标题4 Char Char"/>
    <w:link w:val="204"/>
    <w:qFormat/>
    <w:uiPriority w:val="0"/>
    <w:rPr>
      <w:rFonts w:ascii="Arial" w:hAnsi="Arial"/>
      <w:b/>
      <w:bCs/>
      <w:sz w:val="24"/>
      <w:szCs w:val="32"/>
    </w:rPr>
  </w:style>
  <w:style w:type="paragraph" w:customStyle="1" w:styleId="204">
    <w:name w:val="标题4"/>
    <w:basedOn w:val="3"/>
    <w:next w:val="21"/>
    <w:link w:val="203"/>
    <w:qFormat/>
    <w:uiPriority w:val="0"/>
    <w:pPr>
      <w:numPr>
        <w:ilvl w:val="0"/>
        <w:numId w:val="0"/>
      </w:numPr>
      <w:spacing w:before="260" w:after="260" w:line="413" w:lineRule="auto"/>
    </w:pPr>
    <w:rPr>
      <w:rFonts w:ascii="Arial" w:hAnsi="Arial" w:eastAsia="宋体"/>
      <w:kern w:val="0"/>
      <w:sz w:val="24"/>
      <w:szCs w:val="32"/>
    </w:rPr>
  </w:style>
  <w:style w:type="character" w:customStyle="1" w:styleId="205">
    <w:name w:val="Char Char131"/>
    <w:qFormat/>
    <w:uiPriority w:val="0"/>
    <w:rPr>
      <w:rFonts w:ascii="仿宋体" w:eastAsia="仿宋体"/>
      <w:kern w:val="2"/>
      <w:sz w:val="24"/>
      <w:szCs w:val="24"/>
    </w:rPr>
  </w:style>
  <w:style w:type="character" w:customStyle="1" w:styleId="206">
    <w:name w:val="textcontents"/>
    <w:qFormat/>
    <w:uiPriority w:val="0"/>
    <w:rPr>
      <w:rFonts w:cs="Times New Roman"/>
    </w:rPr>
  </w:style>
  <w:style w:type="character" w:customStyle="1" w:styleId="207">
    <w:name w:val="Intense Emphasis"/>
    <w:qFormat/>
    <w:uiPriority w:val="0"/>
    <w:rPr>
      <w:b/>
      <w:bCs/>
      <w:i/>
      <w:iCs/>
      <w:color w:val="4F81BD"/>
    </w:rPr>
  </w:style>
  <w:style w:type="character" w:customStyle="1" w:styleId="208">
    <w:name w:val="Intense Reference"/>
    <w:qFormat/>
    <w:uiPriority w:val="0"/>
    <w:rPr>
      <w:b/>
      <w:bCs/>
      <w:smallCaps/>
      <w:color w:val="C0504D"/>
      <w:spacing w:val="5"/>
      <w:u w:val="single"/>
    </w:rPr>
  </w:style>
  <w:style w:type="character" w:customStyle="1" w:styleId="209">
    <w:name w:val="Char Char24"/>
    <w:qFormat/>
    <w:uiPriority w:val="0"/>
    <w:rPr>
      <w:rFonts w:ascii="Arial" w:hAnsi="Arial" w:eastAsia="黑体"/>
      <w:b/>
      <w:bCs/>
      <w:kern w:val="2"/>
      <w:sz w:val="32"/>
      <w:szCs w:val="32"/>
      <w:lang w:val="en-US" w:eastAsia="zh-CN" w:bidi="ar-SA"/>
    </w:rPr>
  </w:style>
  <w:style w:type="character" w:customStyle="1" w:styleId="210">
    <w:name w:val="批注主题 Char1"/>
    <w:qFormat/>
    <w:uiPriority w:val="0"/>
    <w:rPr>
      <w:b/>
      <w:bCs/>
      <w:kern w:val="2"/>
      <w:sz w:val="21"/>
      <w:szCs w:val="22"/>
    </w:rPr>
  </w:style>
  <w:style w:type="character" w:customStyle="1" w:styleId="211">
    <w:name w:val="明显引用 Char1"/>
    <w:qFormat/>
    <w:uiPriority w:val="0"/>
    <w:rPr>
      <w:b/>
      <w:bCs/>
      <w:i/>
      <w:iCs/>
      <w:color w:val="4F81BD"/>
      <w:kern w:val="2"/>
      <w:sz w:val="21"/>
      <w:szCs w:val="21"/>
    </w:rPr>
  </w:style>
  <w:style w:type="character" w:customStyle="1" w:styleId="212">
    <w:name w:val="文档结构图 Char1"/>
    <w:qFormat/>
    <w:uiPriority w:val="0"/>
    <w:rPr>
      <w:rFonts w:ascii="宋体"/>
      <w:kern w:val="2"/>
      <w:sz w:val="18"/>
      <w:szCs w:val="18"/>
    </w:rPr>
  </w:style>
  <w:style w:type="character" w:customStyle="1" w:styleId="213">
    <w:name w:val="标题5 Char Char"/>
    <w:link w:val="214"/>
    <w:qFormat/>
    <w:uiPriority w:val="0"/>
    <w:rPr>
      <w:rFonts w:ascii="Arial" w:hAnsi="Arial"/>
      <w:b/>
      <w:bCs/>
      <w:sz w:val="24"/>
      <w:szCs w:val="32"/>
    </w:rPr>
  </w:style>
  <w:style w:type="paragraph" w:customStyle="1" w:styleId="214">
    <w:name w:val="标题5"/>
    <w:basedOn w:val="4"/>
    <w:link w:val="213"/>
    <w:qFormat/>
    <w:uiPriority w:val="0"/>
    <w:pPr>
      <w:spacing w:before="260" w:after="260" w:line="413" w:lineRule="auto"/>
    </w:pPr>
    <w:rPr>
      <w:rFonts w:ascii="Arial" w:hAnsi="Arial" w:eastAsia="宋体"/>
      <w:kern w:val="0"/>
      <w:sz w:val="24"/>
    </w:rPr>
  </w:style>
  <w:style w:type="character" w:customStyle="1" w:styleId="215">
    <w:name w:val="Char Char2"/>
    <w:qFormat/>
    <w:uiPriority w:val="0"/>
    <w:rPr>
      <w:rFonts w:ascii="仿宋体" w:eastAsia="仿宋体"/>
      <w:kern w:val="2"/>
      <w:sz w:val="24"/>
      <w:szCs w:val="24"/>
    </w:rPr>
  </w:style>
  <w:style w:type="character" w:customStyle="1" w:styleId="216">
    <w:name w:val="Subtle Reference"/>
    <w:qFormat/>
    <w:uiPriority w:val="0"/>
    <w:rPr>
      <w:smallCaps/>
      <w:color w:val="C0504D"/>
      <w:u w:val="single"/>
    </w:rPr>
  </w:style>
  <w:style w:type="character" w:customStyle="1" w:styleId="217">
    <w:name w:val="引用 Char1"/>
    <w:qFormat/>
    <w:uiPriority w:val="0"/>
    <w:rPr>
      <w:i/>
      <w:iCs/>
      <w:color w:val="000000"/>
      <w:kern w:val="2"/>
      <w:sz w:val="21"/>
      <w:szCs w:val="21"/>
    </w:rPr>
  </w:style>
  <w:style w:type="character" w:customStyle="1" w:styleId="218">
    <w:name w:val="正文文本 Char1"/>
    <w:qFormat/>
    <w:uiPriority w:val="0"/>
    <w:rPr>
      <w:kern w:val="2"/>
      <w:sz w:val="21"/>
      <w:szCs w:val="22"/>
    </w:rPr>
  </w:style>
  <w:style w:type="character" w:customStyle="1" w:styleId="219">
    <w:name w:val="批注框文本 Char1"/>
    <w:qFormat/>
    <w:uiPriority w:val="0"/>
    <w:rPr>
      <w:kern w:val="2"/>
      <w:sz w:val="18"/>
      <w:szCs w:val="18"/>
    </w:rPr>
  </w:style>
  <w:style w:type="character" w:customStyle="1" w:styleId="220">
    <w:name w:val="ca-21"/>
    <w:qFormat/>
    <w:uiPriority w:val="0"/>
    <w:rPr>
      <w:rFonts w:hint="eastAsia" w:ascii="仿宋_GB2312" w:eastAsia="仿宋_GB2312"/>
      <w:sz w:val="24"/>
      <w:szCs w:val="24"/>
    </w:rPr>
  </w:style>
  <w:style w:type="character" w:customStyle="1" w:styleId="221">
    <w:name w:val="普通文字 Char Char Char"/>
    <w:qFormat/>
    <w:uiPriority w:val="0"/>
    <w:rPr>
      <w:rFonts w:ascii="宋体" w:hAnsi="Courier New" w:eastAsia="宋体" w:cs="Courier New"/>
      <w:kern w:val="2"/>
      <w:sz w:val="21"/>
      <w:szCs w:val="21"/>
      <w:lang w:val="en-US" w:eastAsia="zh-CN" w:bidi="ar-SA"/>
    </w:rPr>
  </w:style>
  <w:style w:type="character" w:customStyle="1" w:styleId="222">
    <w:name w:val="Book Title"/>
    <w:qFormat/>
    <w:uiPriority w:val="0"/>
    <w:rPr>
      <w:b/>
      <w:bCs/>
      <w:smallCaps/>
      <w:spacing w:val="5"/>
    </w:rPr>
  </w:style>
  <w:style w:type="character" w:customStyle="1" w:styleId="223">
    <w:name w:val="Char Char9"/>
    <w:qFormat/>
    <w:uiPriority w:val="0"/>
    <w:rPr>
      <w:kern w:val="2"/>
      <w:sz w:val="18"/>
      <w:szCs w:val="18"/>
    </w:rPr>
  </w:style>
  <w:style w:type="character" w:customStyle="1" w:styleId="224">
    <w:name w:val="批注框文本 Char2"/>
    <w:uiPriority w:val="0"/>
    <w:rPr>
      <w:rFonts w:ascii="Calibri" w:hAnsi="Calibri" w:eastAsia="宋体" w:cs="Times New Roman"/>
      <w:sz w:val="18"/>
      <w:szCs w:val="18"/>
    </w:rPr>
  </w:style>
  <w:style w:type="character" w:customStyle="1" w:styleId="225">
    <w:name w:val="普通文字 Char Char"/>
    <w:uiPriority w:val="0"/>
    <w:rPr>
      <w:rFonts w:ascii="宋体" w:hAnsi="Courier New" w:cs="Courier New"/>
      <w:kern w:val="2"/>
      <w:sz w:val="21"/>
      <w:szCs w:val="21"/>
    </w:rPr>
  </w:style>
  <w:style w:type="character" w:customStyle="1" w:styleId="226">
    <w:name w:val="批注文字 Char1"/>
    <w:uiPriority w:val="0"/>
    <w:rPr>
      <w:rFonts w:ascii="Calibri" w:hAnsi="Calibri" w:eastAsia="宋体" w:cs="Times New Roman"/>
    </w:rPr>
  </w:style>
  <w:style w:type="character" w:customStyle="1" w:styleId="227">
    <w:name w:val="Char Char5"/>
    <w:uiPriority w:val="0"/>
    <w:rPr>
      <w:rFonts w:ascii="Cambria" w:hAnsi="Cambria" w:eastAsia="宋体" w:cs="Times New Roman"/>
      <w:b/>
      <w:bCs/>
      <w:kern w:val="2"/>
      <w:sz w:val="32"/>
      <w:szCs w:val="32"/>
    </w:rPr>
  </w:style>
  <w:style w:type="character" w:customStyle="1" w:styleId="228">
    <w:name w:val="副标题 Char"/>
    <w:link w:val="33"/>
    <w:uiPriority w:val="0"/>
    <w:rPr>
      <w:rFonts w:ascii="Cambria" w:hAnsi="Cambria"/>
      <w:b/>
      <w:bCs/>
      <w:kern w:val="28"/>
      <w:sz w:val="32"/>
      <w:szCs w:val="32"/>
    </w:rPr>
  </w:style>
  <w:style w:type="character" w:customStyle="1" w:styleId="229">
    <w:name w:val="副标题 Char1"/>
    <w:basedOn w:val="47"/>
    <w:qFormat/>
    <w:uiPriority w:val="0"/>
    <w:rPr>
      <w:rFonts w:asciiTheme="majorHAnsi" w:hAnsiTheme="majorHAnsi" w:cstheme="majorBidi"/>
      <w:b/>
      <w:bCs/>
      <w:kern w:val="28"/>
      <w:sz w:val="32"/>
      <w:szCs w:val="32"/>
    </w:rPr>
  </w:style>
  <w:style w:type="character" w:customStyle="1" w:styleId="230">
    <w:name w:val="明显引用 Char"/>
    <w:link w:val="231"/>
    <w:qFormat/>
    <w:uiPriority w:val="0"/>
    <w:rPr>
      <w:b/>
      <w:bCs/>
      <w:i/>
      <w:iCs/>
      <w:color w:val="4F81BD"/>
    </w:rPr>
  </w:style>
  <w:style w:type="paragraph" w:styleId="231">
    <w:name w:val="Intense Quote"/>
    <w:basedOn w:val="1"/>
    <w:next w:val="1"/>
    <w:link w:val="230"/>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32">
    <w:name w:val="明显引用 Char2"/>
    <w:basedOn w:val="47"/>
    <w:uiPriority w:val="30"/>
    <w:rPr>
      <w:b/>
      <w:bCs/>
      <w:i/>
      <w:iCs/>
      <w:color w:val="4F81BD" w:themeColor="accent1"/>
      <w:kern w:val="2"/>
      <w:sz w:val="21"/>
      <w:szCs w:val="22"/>
      <w14:textFill>
        <w14:solidFill>
          <w14:schemeClr w14:val="accent1"/>
        </w14:solidFill>
      </w14:textFill>
    </w:rPr>
  </w:style>
  <w:style w:type="character" w:customStyle="1" w:styleId="233">
    <w:name w:val="正文文本 Char2"/>
    <w:uiPriority w:val="0"/>
    <w:rPr>
      <w:kern w:val="2"/>
      <w:sz w:val="21"/>
      <w:szCs w:val="21"/>
    </w:rPr>
  </w:style>
  <w:style w:type="character" w:customStyle="1" w:styleId="234">
    <w:name w:val="批注主题 Char2"/>
    <w:uiPriority w:val="0"/>
    <w:rPr>
      <w:b/>
      <w:bCs/>
      <w:kern w:val="2"/>
      <w:sz w:val="21"/>
      <w:szCs w:val="21"/>
    </w:rPr>
  </w:style>
  <w:style w:type="character" w:customStyle="1" w:styleId="235">
    <w:name w:val="文档结构图 Char2"/>
    <w:uiPriority w:val="0"/>
    <w:rPr>
      <w:rFonts w:ascii="宋体" w:hAnsi="Calibri" w:eastAsia="宋体" w:cs="Times New Roman"/>
      <w:sz w:val="18"/>
      <w:szCs w:val="18"/>
    </w:rPr>
  </w:style>
  <w:style w:type="character" w:customStyle="1" w:styleId="236">
    <w:name w:val="日期 Char1"/>
    <w:uiPriority w:val="0"/>
    <w:rPr>
      <w:kern w:val="2"/>
      <w:sz w:val="21"/>
      <w:szCs w:val="22"/>
    </w:rPr>
  </w:style>
  <w:style w:type="character" w:customStyle="1" w:styleId="237">
    <w:name w:val="Char Char12"/>
    <w:uiPriority w:val="0"/>
    <w:rPr>
      <w:rFonts w:ascii="仿宋体" w:eastAsia="仿宋体"/>
      <w:kern w:val="2"/>
      <w:sz w:val="24"/>
      <w:szCs w:val="24"/>
    </w:rPr>
  </w:style>
  <w:style w:type="character" w:customStyle="1" w:styleId="238">
    <w:name w:val="Char Char8"/>
    <w:qFormat/>
    <w:uiPriority w:val="0"/>
    <w:rPr>
      <w:rFonts w:eastAsia="宋体"/>
      <w:kern w:val="2"/>
      <w:sz w:val="18"/>
      <w:szCs w:val="18"/>
      <w:lang w:val="en-US" w:eastAsia="zh-CN" w:bidi="ar-SA"/>
    </w:rPr>
  </w:style>
  <w:style w:type="character" w:customStyle="1" w:styleId="239">
    <w:name w:val="日期 Char2"/>
    <w:qFormat/>
    <w:uiPriority w:val="0"/>
    <w:rPr>
      <w:rFonts w:ascii="Calibri" w:hAnsi="Calibri" w:eastAsia="宋体" w:cs="Times New Roman"/>
    </w:rPr>
  </w:style>
  <w:style w:type="character" w:customStyle="1" w:styleId="240">
    <w:name w:val="引用 Char"/>
    <w:link w:val="241"/>
    <w:qFormat/>
    <w:uiPriority w:val="0"/>
    <w:rPr>
      <w:i/>
      <w:iCs/>
      <w:color w:val="000000"/>
    </w:rPr>
  </w:style>
  <w:style w:type="paragraph" w:styleId="241">
    <w:name w:val="Quote"/>
    <w:basedOn w:val="1"/>
    <w:next w:val="1"/>
    <w:link w:val="240"/>
    <w:qFormat/>
    <w:uiPriority w:val="0"/>
    <w:rPr>
      <w:i/>
      <w:iCs/>
      <w:color w:val="000000"/>
      <w:kern w:val="0"/>
      <w:sz w:val="20"/>
      <w:szCs w:val="20"/>
    </w:rPr>
  </w:style>
  <w:style w:type="character" w:customStyle="1" w:styleId="242">
    <w:name w:val="引用 Char2"/>
    <w:basedOn w:val="47"/>
    <w:qFormat/>
    <w:uiPriority w:val="29"/>
    <w:rPr>
      <w:i/>
      <w:iCs/>
      <w:color w:val="000000" w:themeColor="text1"/>
      <w:kern w:val="2"/>
      <w:sz w:val="21"/>
      <w:szCs w:val="22"/>
      <w14:textFill>
        <w14:solidFill>
          <w14:schemeClr w14:val="tx1"/>
        </w14:solidFill>
      </w14:textFill>
    </w:rPr>
  </w:style>
  <w:style w:type="character" w:customStyle="1" w:styleId="243">
    <w:name w:val="Char Char7"/>
    <w:uiPriority w:val="0"/>
    <w:rPr>
      <w:rFonts w:ascii="仿宋体" w:eastAsia="仿宋体"/>
      <w:kern w:val="2"/>
      <w:sz w:val="24"/>
      <w:szCs w:val="24"/>
    </w:rPr>
  </w:style>
  <w:style w:type="character" w:customStyle="1" w:styleId="244">
    <w:name w:val="Char Char14"/>
    <w:uiPriority w:val="0"/>
    <w:rPr>
      <w:rFonts w:eastAsia="宋体"/>
      <w:kern w:val="2"/>
      <w:sz w:val="21"/>
      <w:lang w:val="en-US" w:eastAsia="zh-CN" w:bidi="ar-SA"/>
    </w:rPr>
  </w:style>
  <w:style w:type="character" w:customStyle="1" w:styleId="245">
    <w:name w:val="标题 Char1"/>
    <w:uiPriority w:val="0"/>
    <w:rPr>
      <w:rFonts w:ascii="Cambria" w:hAnsi="Cambria" w:cs="Times New Roman"/>
      <w:b/>
      <w:bCs/>
      <w:kern w:val="2"/>
      <w:sz w:val="32"/>
      <w:szCs w:val="32"/>
    </w:rPr>
  </w:style>
  <w:style w:type="character" w:customStyle="1" w:styleId="246">
    <w:name w:val="Char Char10"/>
    <w:uiPriority w:val="0"/>
    <w:rPr>
      <w:rFonts w:ascii="仿宋体" w:eastAsia="仿宋体"/>
      <w:kern w:val="2"/>
      <w:sz w:val="28"/>
      <w:szCs w:val="28"/>
    </w:rPr>
  </w:style>
  <w:style w:type="character" w:customStyle="1" w:styleId="247">
    <w:name w:val="正文文本缩进 2 Char Char"/>
    <w:qFormat/>
    <w:uiPriority w:val="0"/>
    <w:rPr>
      <w:rFonts w:ascii="仿宋体" w:eastAsia="仿宋体"/>
      <w:kern w:val="2"/>
      <w:sz w:val="28"/>
      <w:szCs w:val="28"/>
    </w:rPr>
  </w:style>
  <w:style w:type="character" w:customStyle="1" w:styleId="248">
    <w:name w:val="Subtle Emphasis"/>
    <w:qFormat/>
    <w:uiPriority w:val="0"/>
    <w:rPr>
      <w:i/>
      <w:iCs/>
      <w:color w:val="808080"/>
    </w:rPr>
  </w:style>
  <w:style w:type="character" w:customStyle="1" w:styleId="249">
    <w:name w:val="批注文字 Char2"/>
    <w:qFormat/>
    <w:uiPriority w:val="0"/>
    <w:rPr>
      <w:kern w:val="2"/>
      <w:sz w:val="21"/>
      <w:szCs w:val="21"/>
    </w:rPr>
  </w:style>
  <w:style w:type="paragraph" w:customStyle="1" w:styleId="250">
    <w:name w:val="_Style 5"/>
    <w:basedOn w:val="1"/>
    <w:uiPriority w:val="0"/>
    <w:pPr>
      <w:adjustRightInd w:val="0"/>
      <w:spacing w:line="360" w:lineRule="auto"/>
    </w:pPr>
    <w:rPr>
      <w:rFonts w:ascii="宋体" w:hAnsi="宋体" w:cs="宋体"/>
      <w:kern w:val="0"/>
      <w:sz w:val="24"/>
      <w:szCs w:val="20"/>
    </w:rPr>
  </w:style>
  <w:style w:type="character" w:customStyle="1" w:styleId="251">
    <w:name w:val="副标题 Char2"/>
    <w:basedOn w:val="47"/>
    <w:uiPriority w:val="11"/>
    <w:rPr>
      <w:rFonts w:asciiTheme="majorHAnsi" w:hAnsiTheme="majorHAnsi" w:cstheme="majorBidi"/>
      <w:b/>
      <w:bCs/>
      <w:kern w:val="28"/>
      <w:sz w:val="32"/>
      <w:szCs w:val="32"/>
    </w:rPr>
  </w:style>
  <w:style w:type="paragraph" w:customStyle="1" w:styleId="252">
    <w:name w:val="Char Char1"/>
    <w:basedOn w:val="1"/>
    <w:uiPriority w:val="0"/>
    <w:pPr>
      <w:widowControl/>
      <w:spacing w:after="160" w:line="240" w:lineRule="exact"/>
      <w:jc w:val="left"/>
    </w:pPr>
    <w:rPr>
      <w:rFonts w:ascii="Verdana" w:hAnsi="Verdana"/>
      <w:kern w:val="0"/>
      <w:sz w:val="20"/>
      <w:szCs w:val="20"/>
      <w:lang w:eastAsia="en-US"/>
    </w:rPr>
  </w:style>
  <w:style w:type="character" w:customStyle="1" w:styleId="253">
    <w:name w:val="标题 Char2"/>
    <w:uiPriority w:val="10"/>
    <w:rPr>
      <w:rFonts w:ascii="Cambria" w:hAnsi="Cambria" w:cs="Times New Roman"/>
      <w:b/>
      <w:bCs/>
      <w:kern w:val="2"/>
      <w:sz w:val="32"/>
      <w:szCs w:val="32"/>
    </w:rPr>
  </w:style>
  <w:style w:type="paragraph" w:customStyle="1" w:styleId="254">
    <w:name w:val="Char Char51"/>
    <w:basedOn w:val="1"/>
    <w:uiPriority w:val="0"/>
    <w:pPr>
      <w:adjustRightInd w:val="0"/>
      <w:spacing w:line="360" w:lineRule="auto"/>
    </w:pPr>
    <w:rPr>
      <w:rFonts w:ascii="宋体" w:hAnsi="宋体" w:cs="宋体"/>
      <w:kern w:val="0"/>
      <w:sz w:val="24"/>
      <w:szCs w:val="20"/>
    </w:rPr>
  </w:style>
  <w:style w:type="paragraph" w:customStyle="1" w:styleId="255">
    <w:name w:val="Revision"/>
    <w:qFormat/>
    <w:uiPriority w:val="0"/>
    <w:rPr>
      <w:rFonts w:ascii="Times New Roman" w:hAnsi="Times New Roman" w:eastAsia="宋体" w:cs="Times New Roman"/>
      <w:kern w:val="2"/>
      <w:sz w:val="21"/>
      <w:szCs w:val="24"/>
      <w:lang w:val="en-US" w:eastAsia="zh-CN" w:bidi="ar-SA"/>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25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默认段落字体 Para Char"/>
    <w:basedOn w:val="1"/>
    <w:uiPriority w:val="0"/>
    <w:pPr>
      <w:adjustRightInd w:val="0"/>
      <w:spacing w:line="360" w:lineRule="auto"/>
    </w:pPr>
    <w:rPr>
      <w:rFonts w:ascii="宋体" w:hAnsi="宋体" w:cs="宋体"/>
      <w:kern w:val="0"/>
      <w:sz w:val="24"/>
      <w:szCs w:val="20"/>
    </w:rPr>
  </w:style>
  <w:style w:type="paragraph" w:customStyle="1" w:styleId="259">
    <w:name w:val="样式 标题 3 + (中文) 黑体 小四 非加粗 段前: 7.8 磅 段后: 0 磅 行距: 固定值 20 磅"/>
    <w:basedOn w:val="4"/>
    <w:uiPriority w:val="0"/>
    <w:pPr>
      <w:spacing w:before="0" w:after="0" w:line="400" w:lineRule="exact"/>
    </w:pPr>
    <w:rPr>
      <w:rFonts w:ascii="Times New Roman" w:hAnsi="Times New Roman" w:eastAsia="黑体" w:cs="宋体"/>
      <w:b w:val="0"/>
      <w:bCs w:val="0"/>
      <w:sz w:val="24"/>
      <w:szCs w:val="20"/>
      <w:lang w:val="zh-CN" w:eastAsia="zh-CN"/>
    </w:rPr>
  </w:style>
  <w:style w:type="paragraph" w:customStyle="1" w:styleId="260">
    <w:name w:val="Char Char Char1"/>
    <w:basedOn w:val="1"/>
    <w:uiPriority w:val="0"/>
    <w:rPr>
      <w:rFonts w:ascii="Tahoma" w:hAnsi="Tahoma"/>
      <w:sz w:val="24"/>
      <w:szCs w:val="20"/>
    </w:rPr>
  </w:style>
  <w:style w:type="paragraph" w:customStyle="1" w:styleId="261">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62">
    <w:name w:val="TOC Heading"/>
    <w:basedOn w:val="2"/>
    <w:next w:val="1"/>
    <w:qFormat/>
    <w:uiPriority w:val="0"/>
    <w:pPr>
      <w:pageBreakBefore w:val="0"/>
      <w:spacing w:before="340" w:after="330" w:line="576" w:lineRule="auto"/>
      <w:ind w:left="0" w:firstLine="0"/>
      <w:jc w:val="both"/>
      <w:outlineLvl w:val="9"/>
    </w:pPr>
    <w:rPr>
      <w:rFonts w:ascii="Calibri" w:hAnsi="Calibri" w:eastAsia="宋体"/>
      <w:sz w:val="44"/>
      <w:szCs w:val="44"/>
      <w:lang w:val="zh-CN" w:eastAsia="zh-CN"/>
    </w:rPr>
  </w:style>
  <w:style w:type="character" w:customStyle="1" w:styleId="263">
    <w:name w:val="正文文本缩进 Char Char"/>
    <w:qFormat/>
    <w:uiPriority w:val="0"/>
    <w:rPr>
      <w:rFonts w:ascii="仿宋体" w:eastAsia="仿宋体"/>
      <w:kern w:val="2"/>
      <w:sz w:val="24"/>
      <w:szCs w:val="24"/>
    </w:rPr>
  </w:style>
  <w:style w:type="character" w:customStyle="1" w:styleId="264">
    <w:name w:val="批注文字 Char Char"/>
    <w:qFormat/>
    <w:uiPriority w:val="0"/>
    <w:rPr>
      <w:rFonts w:ascii="宋体" w:hAnsi="Times New Roman" w:eastAsia="宋体" w:cs="Times New Roman"/>
      <w:sz w:val="28"/>
      <w:szCs w:val="20"/>
    </w:rPr>
  </w:style>
  <w:style w:type="character" w:customStyle="1" w:styleId="265">
    <w:name w:val="日期 Char Char"/>
    <w:qFormat/>
    <w:uiPriority w:val="0"/>
    <w:rPr>
      <w:rFonts w:ascii="仿宋体" w:eastAsia="仿宋体"/>
      <w:kern w:val="2"/>
      <w:sz w:val="24"/>
      <w:szCs w:val="24"/>
    </w:rPr>
  </w:style>
  <w:style w:type="character" w:customStyle="1" w:styleId="266">
    <w:name w:val="标题 2 Char Char"/>
    <w:uiPriority w:val="0"/>
    <w:rPr>
      <w:rFonts w:ascii="Arial" w:hAnsi="Arial" w:eastAsia="黑体"/>
      <w:b/>
      <w:bCs/>
      <w:kern w:val="2"/>
      <w:sz w:val="32"/>
      <w:szCs w:val="32"/>
      <w:lang w:val="en-US" w:eastAsia="zh-CN" w:bidi="ar-SA"/>
    </w:rPr>
  </w:style>
  <w:style w:type="character" w:customStyle="1" w:styleId="267">
    <w:name w:val="HTML 预设格式 Char Char"/>
    <w:uiPriority w:val="0"/>
    <w:rPr>
      <w:rFonts w:ascii="Arial" w:hAnsi="Arial" w:cs="Arial"/>
      <w:sz w:val="21"/>
      <w:szCs w:val="21"/>
    </w:rPr>
  </w:style>
  <w:style w:type="character" w:customStyle="1" w:styleId="268">
    <w:name w:val="页眉 Char Char"/>
    <w:uiPriority w:val="0"/>
    <w:rPr>
      <w:rFonts w:eastAsia="宋体"/>
      <w:kern w:val="2"/>
      <w:sz w:val="18"/>
      <w:szCs w:val="18"/>
      <w:lang w:val="en-US" w:eastAsia="zh-CN" w:bidi="ar-SA"/>
    </w:rPr>
  </w:style>
  <w:style w:type="character" w:customStyle="1" w:styleId="269">
    <w:name w:val="正文缩进 Char Char"/>
    <w:uiPriority w:val="0"/>
    <w:rPr>
      <w:rFonts w:eastAsia="宋体"/>
      <w:kern w:val="2"/>
      <w:sz w:val="21"/>
      <w:lang w:val="en-US" w:eastAsia="zh-CN" w:bidi="ar-SA"/>
    </w:rPr>
  </w:style>
  <w:style w:type="character" w:customStyle="1" w:styleId="270">
    <w:name w:val="页脚 Char Char"/>
    <w:uiPriority w:val="0"/>
    <w:rPr>
      <w:kern w:val="2"/>
      <w:sz w:val="18"/>
      <w:szCs w:val="18"/>
    </w:rPr>
  </w:style>
  <w:style w:type="paragraph" w:customStyle="1" w:styleId="271">
    <w:name w:val="_Style 57"/>
    <w:basedOn w:val="1"/>
    <w:uiPriority w:val="0"/>
    <w:pPr>
      <w:adjustRightInd w:val="0"/>
      <w:spacing w:line="360" w:lineRule="auto"/>
    </w:pPr>
    <w:rPr>
      <w:rFonts w:ascii="宋体" w:hAnsi="宋体" w:cs="宋体"/>
      <w:kern w:val="0"/>
      <w:sz w:val="24"/>
      <w:szCs w:val="20"/>
    </w:rPr>
  </w:style>
  <w:style w:type="character" w:customStyle="1" w:styleId="272">
    <w:name w:val="注释 Char Char"/>
    <w:link w:val="273"/>
    <w:qFormat/>
    <w:uiPriority w:val="0"/>
    <w:rPr>
      <w:sz w:val="18"/>
    </w:rPr>
  </w:style>
  <w:style w:type="paragraph" w:customStyle="1" w:styleId="273">
    <w:name w:val="注释"/>
    <w:basedOn w:val="274"/>
    <w:link w:val="272"/>
    <w:uiPriority w:val="0"/>
    <w:pPr>
      <w:spacing w:line="300" w:lineRule="auto"/>
      <w:ind w:firstLine="200" w:firstLineChars="200"/>
    </w:pPr>
    <w:rPr>
      <w:sz w:val="18"/>
    </w:rPr>
  </w:style>
  <w:style w:type="paragraph" w:customStyle="1" w:styleId="274">
    <w:name w:val="表格"/>
    <w:basedOn w:val="1"/>
    <w:link w:val="275"/>
    <w:qFormat/>
    <w:uiPriority w:val="0"/>
    <w:pPr>
      <w:spacing w:line="500" w:lineRule="exact"/>
    </w:pPr>
    <w:rPr>
      <w:kern w:val="0"/>
      <w:sz w:val="20"/>
      <w:szCs w:val="20"/>
    </w:rPr>
  </w:style>
  <w:style w:type="character" w:customStyle="1" w:styleId="275">
    <w:name w:val="表格 Char Char Char"/>
    <w:basedOn w:val="47"/>
    <w:link w:val="274"/>
    <w:qFormat/>
    <w:uiPriority w:val="0"/>
  </w:style>
  <w:style w:type="character" w:customStyle="1" w:styleId="276">
    <w:name w:val="05正文 Char Char New New New"/>
    <w:link w:val="277"/>
    <w:uiPriority w:val="0"/>
    <w:rPr>
      <w:rFonts w:ascii="宋体" w:hAnsi="Calibri" w:eastAsia="仿宋_GB2312" w:cs="黑体"/>
      <w:kern w:val="2"/>
      <w:sz w:val="28"/>
      <w:szCs w:val="21"/>
    </w:rPr>
  </w:style>
  <w:style w:type="paragraph" w:customStyle="1" w:styleId="277">
    <w:name w:val="05正文 New New New New New New New New New New New New New New New New New New"/>
    <w:basedOn w:val="1"/>
    <w:link w:val="276"/>
    <w:uiPriority w:val="0"/>
    <w:pPr>
      <w:widowControl/>
      <w:spacing w:line="560" w:lineRule="exact"/>
      <w:ind w:firstLine="200" w:firstLineChars="200"/>
      <w:jc w:val="left"/>
    </w:pPr>
    <w:rPr>
      <w:rFonts w:ascii="宋体" w:hAnsi="Calibri" w:eastAsia="仿宋_GB2312" w:cs="黑体"/>
      <w:sz w:val="28"/>
      <w:szCs w:val="21"/>
    </w:rPr>
  </w:style>
  <w:style w:type="character" w:customStyle="1" w:styleId="278">
    <w:name w:val="未处理的提及1"/>
    <w:basedOn w:val="47"/>
    <w:semiHidden/>
    <w:unhideWhenUsed/>
    <w:uiPriority w:val="99"/>
    <w:rPr>
      <w:color w:val="605E5C"/>
      <w:shd w:val="clear" w:color="auto" w:fill="E1DFDD"/>
    </w:rPr>
  </w:style>
  <w:style w:type="character" w:customStyle="1" w:styleId="279">
    <w:name w:val="批注文字 字符1"/>
    <w:basedOn w:val="47"/>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C58C1-C305-46D8-81D0-D2D58D5F927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6553</Words>
  <Characters>37356</Characters>
  <Lines>311</Lines>
  <Paragraphs>87</Paragraphs>
  <TotalTime>14</TotalTime>
  <ScaleCrop>false</ScaleCrop>
  <LinksUpToDate>false</LinksUpToDate>
  <CharactersWithSpaces>43822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2020-07-07T04:42:00Z</dcterms:created>
  <dc:creator>dell</dc:creator>
  <cp:lastModifiedBy>猫儿</cp:lastModifiedBy>
  <dcterms:modified xsi:type="dcterms:W3CDTF">2020-07-07T12:05:32Z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