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color w:val="auto"/>
          <w:sz w:val="32"/>
          <w:szCs w:val="32"/>
          <w:highlight w:val="none"/>
          <w:lang w:eastAsia="zh-CN"/>
        </w:rPr>
      </w:pPr>
    </w:p>
    <w:p w14:paraId="06C72DAE">
      <w:pPr>
        <w:jc w:val="center"/>
        <w:rPr>
          <w:rFonts w:hint="eastAsia" w:ascii="黑体" w:hAnsi="黑体" w:eastAsia="黑体"/>
          <w:color w:val="auto"/>
          <w:spacing w:val="5760"/>
          <w:w w:val="100"/>
          <w:kern w:val="0"/>
          <w:sz w:val="36"/>
          <w:szCs w:val="36"/>
          <w:highlight w:val="none"/>
          <w:fitText w:val="6120" w:id="-1002138880"/>
          <w:lang w:val="en-US" w:eastAsia="zh-CN"/>
        </w:rPr>
      </w:pPr>
    </w:p>
    <w:p w14:paraId="0B001271">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兵团政府采购项目</w:t>
      </w:r>
    </w:p>
    <w:p w14:paraId="01CD27AD">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公开招标文件示范文本</w:t>
      </w:r>
    </w:p>
    <w:p w14:paraId="2348539C">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（服务）</w:t>
      </w:r>
    </w:p>
    <w:p w14:paraId="5DC44D9A">
      <w:pPr>
        <w:jc w:val="center"/>
        <w:rPr>
          <w:rFonts w:hint="eastAsia" w:ascii="宋体" w:hAnsi="宋体" w:eastAsia="宋体" w:cs="宋体"/>
          <w:b/>
          <w:bCs/>
          <w:color w:val="auto"/>
          <w:kern w:val="0"/>
          <w:sz w:val="60"/>
          <w:szCs w:val="60"/>
          <w:highlight w:val="none"/>
          <w:lang w:val="en-US" w:eastAsia="zh-CN"/>
        </w:rPr>
      </w:pPr>
      <w:bookmarkStart w:id="0" w:name="_Hlk164181180"/>
      <w:r>
        <w:rPr>
          <w:rFonts w:hint="eastAsia" w:ascii="宋体" w:hAnsi="宋体" w:eastAsia="宋体" w:cs="宋体"/>
          <w:b/>
          <w:bCs/>
          <w:color w:val="auto"/>
          <w:kern w:val="0"/>
          <w:sz w:val="60"/>
          <w:szCs w:val="60"/>
          <w:highlight w:val="none"/>
          <w:lang w:val="en-US" w:eastAsia="zh-CN"/>
        </w:rPr>
        <w:t>（2025年版）</w:t>
      </w:r>
    </w:p>
    <w:bookmarkEnd w:id="0"/>
    <w:p w14:paraId="7757DFAA">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6E97F6A4">
      <w:pPr>
        <w:spacing w:line="240" w:lineRule="auto"/>
        <w:jc w:val="center"/>
        <w:rPr>
          <w:rFonts w:ascii="黑体" w:hAnsi="黑体" w:eastAsia="黑体"/>
          <w:color w:val="auto"/>
          <w:sz w:val="52"/>
          <w:szCs w:val="52"/>
          <w:highlight w:val="none"/>
        </w:rPr>
      </w:pPr>
    </w:p>
    <w:p w14:paraId="5B5CFFC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B8S[2025]1055号          </w:t>
      </w:r>
    </w:p>
    <w:p w14:paraId="099C4CD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2025年石河子卫生学校《中国特色社会主义》课程虚拟仿真资源定制开发</w:t>
      </w:r>
      <w:r>
        <w:rPr>
          <w:rFonts w:hint="eastAsia" w:ascii="宋体" w:hAnsi="宋体" w:eastAsia="宋体" w:cs="宋体"/>
          <w:color w:val="auto"/>
          <w:sz w:val="36"/>
          <w:szCs w:val="36"/>
          <w:highlight w:val="none"/>
          <w:u w:val="single"/>
          <w:lang w:val="zh-TW" w:eastAsia="zh-TW"/>
        </w:rPr>
        <w:t>采购</w:t>
      </w:r>
      <w:r>
        <w:rPr>
          <w:rFonts w:hint="eastAsia" w:ascii="宋体" w:hAnsi="宋体" w:eastAsia="宋体" w:cs="宋体"/>
          <w:color w:val="auto"/>
          <w:sz w:val="36"/>
          <w:szCs w:val="36"/>
          <w:highlight w:val="none"/>
          <w:u w:val="single"/>
        </w:rPr>
        <w:t xml:space="preserve">项目 </w:t>
      </w:r>
    </w:p>
    <w:p w14:paraId="316ED0D4">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fldChar w:fldCharType="begin"/>
      </w:r>
      <w:r>
        <w:rPr>
          <w:rFonts w:hint="eastAsia" w:ascii="宋体" w:hAnsi="宋体" w:eastAsia="宋体" w:cs="宋体"/>
          <w:color w:val="auto"/>
          <w:sz w:val="36"/>
          <w:szCs w:val="36"/>
          <w:highlight w:val="none"/>
          <w:u w:val="single"/>
        </w:rPr>
        <w:instrText xml:space="preserve"> HYPERLINK "https://middle.zcygov.cn/web-user/" \l "/institution/detail?tenantCode=660800&amp;institutionId=10005820221&amp;category=01" \t "https://pay.zcygov.cn/purchaseplan_front/" \l "/plan/list/_blank" </w:instrText>
      </w:r>
      <w:r>
        <w:rPr>
          <w:rFonts w:hint="eastAsia" w:ascii="宋体" w:hAnsi="宋体" w:eastAsia="宋体" w:cs="宋体"/>
          <w:color w:val="auto"/>
          <w:sz w:val="36"/>
          <w:szCs w:val="36"/>
          <w:highlight w:val="none"/>
          <w:u w:val="single"/>
        </w:rPr>
        <w:fldChar w:fldCharType="separate"/>
      </w:r>
      <w:r>
        <w:rPr>
          <w:rFonts w:hint="eastAsia" w:ascii="宋体" w:hAnsi="宋体" w:eastAsia="宋体" w:cs="宋体"/>
          <w:color w:val="auto"/>
          <w:sz w:val="36"/>
          <w:szCs w:val="36"/>
          <w:highlight w:val="none"/>
          <w:u w:val="single"/>
        </w:rPr>
        <w:t>新疆兵团第八师石河子卫生学校</w:t>
      </w:r>
      <w:r>
        <w:rPr>
          <w:rFonts w:hint="eastAsia" w:ascii="宋体" w:hAnsi="宋体" w:eastAsia="宋体" w:cs="宋体"/>
          <w:color w:val="auto"/>
          <w:sz w:val="36"/>
          <w:szCs w:val="36"/>
          <w:highlight w:val="none"/>
          <w:u w:val="single"/>
        </w:rPr>
        <w:fldChar w:fldCharType="end"/>
      </w:r>
      <w:r>
        <w:rPr>
          <w:rFonts w:hint="eastAsia" w:ascii="宋体" w:hAnsi="宋体" w:eastAsia="宋体" w:cs="宋体"/>
          <w:color w:val="auto"/>
          <w:sz w:val="36"/>
          <w:szCs w:val="36"/>
          <w:highlight w:val="none"/>
          <w:u w:val="single"/>
        </w:rPr>
        <w:t xml:space="preserve"> </w:t>
      </w:r>
    </w:p>
    <w:p w14:paraId="55B2AE18">
      <w:pPr>
        <w:ind w:left="420" w:leftChars="175"/>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rPr>
        <w:t>新疆懿源工程咨询管理有限公司</w:t>
      </w:r>
      <w:r>
        <w:rPr>
          <w:rFonts w:hint="eastAsia" w:cs="宋体"/>
          <w:color w:val="auto"/>
          <w:sz w:val="36"/>
          <w:szCs w:val="36"/>
          <w:highlight w:val="none"/>
          <w:u w:val="single"/>
          <w:lang w:val="en-US" w:eastAsia="zh-CN"/>
        </w:rPr>
        <w:t xml:space="preserve"> </w:t>
      </w:r>
    </w:p>
    <w:p w14:paraId="351C4D59">
      <w:pPr>
        <w:rPr>
          <w:rFonts w:ascii="黑体" w:hAnsi="黑体" w:eastAsia="黑体"/>
          <w:color w:val="auto"/>
          <w:highlight w:val="none"/>
        </w:rPr>
      </w:pPr>
    </w:p>
    <w:p w14:paraId="320C1BF6">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309B13BD">
      <w:pPr>
        <w:jc w:val="center"/>
        <w:rPr>
          <w:rFonts w:hint="eastAsia" w:ascii="黑体" w:hAnsi="黑体" w:eastAsia="黑体"/>
          <w:color w:val="auto"/>
          <w:sz w:val="48"/>
          <w:szCs w:val="48"/>
          <w:highlight w:val="none"/>
        </w:rPr>
      </w:pPr>
    </w:p>
    <w:p w14:paraId="67540CEC">
      <w:pPr>
        <w:jc w:val="center"/>
        <w:rPr>
          <w:rFonts w:hint="eastAsia" w:ascii="黑体" w:hAnsi="黑体" w:eastAsia="黑体"/>
          <w:color w:val="auto"/>
          <w:sz w:val="48"/>
          <w:szCs w:val="48"/>
          <w:highlight w:val="none"/>
        </w:rPr>
      </w:pPr>
    </w:p>
    <w:p w14:paraId="0BD23774">
      <w:pPr>
        <w:jc w:val="center"/>
        <w:rPr>
          <w:rFonts w:hint="eastAsia" w:ascii="黑体" w:hAnsi="黑体" w:eastAsia="黑体"/>
          <w:color w:val="auto"/>
          <w:sz w:val="48"/>
          <w:szCs w:val="48"/>
          <w:highlight w:val="none"/>
        </w:rPr>
      </w:pPr>
    </w:p>
    <w:p w14:paraId="67C7136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使用说明</w:t>
      </w:r>
    </w:p>
    <w:p w14:paraId="7756ACDC">
      <w:pPr>
        <w:pStyle w:val="35"/>
        <w:rPr>
          <w:rFonts w:hint="eastAsia" w:ascii="黑体" w:hAnsi="黑体" w:eastAsia="黑体"/>
          <w:color w:val="auto"/>
          <w:sz w:val="72"/>
          <w:szCs w:val="72"/>
          <w:highlight w:val="none"/>
        </w:rPr>
      </w:pPr>
    </w:p>
    <w:p w14:paraId="1560DCC4">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zh-CN"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为促进政府采购活动的公开、公平和公正进行，进一步优化新疆生产建设兵团政府采购营商环境，提高招标文件编制质量和采购工作效率，根据政府采购有关法律法规及政策要求，会同有关单位研究制定了《兵团政府采购项目公开招标文件示范文本（试行）（2025年版）》（以下简称《示范文本》），并在兵团政府采购项目中推广使用，</w:t>
      </w:r>
      <w:r>
        <w:rPr>
          <w:rFonts w:hint="eastAsia" w:ascii="仿宋" w:hAnsi="仿宋" w:eastAsia="宋体" w:cs="仿宋"/>
          <w:iCs/>
          <w:color w:val="auto"/>
          <w:kern w:val="2"/>
          <w:sz w:val="32"/>
          <w:szCs w:val="24"/>
          <w:highlight w:val="none"/>
          <w:shd w:val="clear" w:color="auto" w:fill="FFFFFF" w:themeFill="background1"/>
          <w:lang w:val="zh-CN" w:eastAsia="zh-CN" w:bidi="ar-SA"/>
        </w:rPr>
        <w:t>特此说明如下：</w:t>
      </w:r>
    </w:p>
    <w:p w14:paraId="762D3896">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一、适用范围</w:t>
      </w:r>
    </w:p>
    <w:p w14:paraId="28837969">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zh-CN" w:eastAsia="zh-CN" w:bidi="ar-SA"/>
        </w:rPr>
      </w:pPr>
      <w:r>
        <w:rPr>
          <w:rFonts w:hint="eastAsia" w:ascii="仿宋" w:hAnsi="仿宋" w:eastAsia="宋体" w:cs="仿宋"/>
          <w:iCs/>
          <w:color w:val="auto"/>
          <w:kern w:val="2"/>
          <w:sz w:val="32"/>
          <w:szCs w:val="24"/>
          <w:highlight w:val="none"/>
          <w:shd w:val="clear" w:color="auto" w:fill="FFFFFF" w:themeFill="background1"/>
          <w:lang w:val="zh-CN" w:eastAsia="zh-CN" w:bidi="ar-SA"/>
        </w:rPr>
        <w:t>《示范文本》适用于</w:t>
      </w:r>
      <w:r>
        <w:rPr>
          <w:rFonts w:hint="eastAsia" w:ascii="仿宋" w:hAnsi="仿宋" w:eastAsia="宋体" w:cs="仿宋"/>
          <w:iCs/>
          <w:color w:val="auto"/>
          <w:kern w:val="2"/>
          <w:sz w:val="32"/>
          <w:szCs w:val="24"/>
          <w:highlight w:val="none"/>
          <w:shd w:val="clear" w:color="auto" w:fill="FFFFFF" w:themeFill="background1"/>
          <w:lang w:val="en-US" w:eastAsia="zh-CN" w:bidi="ar-SA"/>
        </w:rPr>
        <w:t>兵团</w:t>
      </w:r>
      <w:r>
        <w:rPr>
          <w:rFonts w:hint="eastAsia" w:ascii="仿宋" w:hAnsi="仿宋" w:eastAsia="宋体" w:cs="仿宋"/>
          <w:iCs/>
          <w:color w:val="auto"/>
          <w:kern w:val="2"/>
          <w:sz w:val="32"/>
          <w:szCs w:val="24"/>
          <w:highlight w:val="none"/>
          <w:shd w:val="clear" w:color="auto" w:fill="FFFFFF" w:themeFill="background1"/>
          <w:lang w:val="zh-CN" w:eastAsia="zh-CN" w:bidi="ar-SA"/>
        </w:rPr>
        <w:t>政府采购项目。</w:t>
      </w:r>
    </w:p>
    <w:p w14:paraId="42BB8292">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二、使用规则</w:t>
      </w:r>
    </w:p>
    <w:p w14:paraId="7FBD95E1">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1.条款中以空格和下划横线“   ”形式标记的部分，为采购人或采购代理机构需要填写的内容。采购人或采购代理机构应根据</w:t>
      </w:r>
      <w:r>
        <w:rPr>
          <w:rFonts w:hint="eastAsia" w:ascii="仿宋" w:hAnsi="仿宋" w:eastAsia="宋体" w:cs="仿宋"/>
          <w:iCs/>
          <w:color w:val="auto"/>
          <w:kern w:val="2"/>
          <w:sz w:val="32"/>
          <w:szCs w:val="24"/>
          <w:highlight w:val="none"/>
          <w:shd w:val="clear" w:color="auto" w:fill="FFFFFF" w:themeFill="background1"/>
          <w:lang w:val="zh-CN" w:eastAsia="zh-CN" w:bidi="ar-SA"/>
        </w:rPr>
        <w:t>国家和</w:t>
      </w:r>
      <w:r>
        <w:rPr>
          <w:rFonts w:hint="eastAsia" w:ascii="仿宋" w:hAnsi="仿宋" w:eastAsia="宋体" w:cs="仿宋"/>
          <w:iCs/>
          <w:color w:val="auto"/>
          <w:kern w:val="2"/>
          <w:sz w:val="32"/>
          <w:szCs w:val="24"/>
          <w:highlight w:val="none"/>
          <w:shd w:val="clear" w:color="auto" w:fill="FFFFFF" w:themeFill="background1"/>
          <w:lang w:val="en-US" w:eastAsia="zh-CN" w:bidi="ar-SA"/>
        </w:rPr>
        <w:t>兵团</w:t>
      </w:r>
      <w:r>
        <w:rPr>
          <w:rFonts w:hint="eastAsia" w:ascii="仿宋" w:hAnsi="仿宋" w:eastAsia="宋体" w:cs="仿宋"/>
          <w:iCs/>
          <w:color w:val="auto"/>
          <w:kern w:val="2"/>
          <w:sz w:val="32"/>
          <w:szCs w:val="24"/>
          <w:highlight w:val="none"/>
          <w:shd w:val="clear" w:color="auto" w:fill="FFFFFF" w:themeFill="background1"/>
          <w:lang w:val="zh-CN" w:eastAsia="zh-CN" w:bidi="ar-SA"/>
        </w:rPr>
        <w:t>有关法律法规的规定、</w:t>
      </w:r>
      <w:r>
        <w:rPr>
          <w:rFonts w:hint="eastAsia" w:ascii="仿宋" w:hAnsi="仿宋" w:eastAsia="宋体" w:cs="仿宋"/>
          <w:iCs/>
          <w:color w:val="auto"/>
          <w:kern w:val="2"/>
          <w:sz w:val="32"/>
          <w:szCs w:val="24"/>
          <w:highlight w:val="none"/>
          <w:shd w:val="clear" w:color="auto" w:fill="FFFFFF" w:themeFill="background1"/>
          <w:lang w:val="en-US" w:eastAsia="zh-CN" w:bidi="ar-SA"/>
        </w:rPr>
        <w:t>采购项目具体特点和实际需要进行具体化填写，确实没有需要填写的，在空格或下划横线“   ”中用“/”标记。</w:t>
      </w:r>
    </w:p>
    <w:p w14:paraId="4E121B87">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zh-CN"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2.条款中以“□”形式标记的内容，为采购人或采购代理机构需要确定的选项。编制招标文件时，适用于本项目的选项标记为“</w:t>
      </w:r>
      <w:r>
        <w:rPr>
          <w:rFonts w:hint="eastAsia" w:ascii="仿宋" w:hAnsi="仿宋" w:eastAsia="宋体" w:cs="仿宋"/>
          <w:iCs/>
          <w:color w:val="auto"/>
          <w:kern w:val="2"/>
          <w:sz w:val="32"/>
          <w:szCs w:val="24"/>
          <w:highlight w:val="none"/>
          <w:shd w:val="clear" w:color="auto" w:fill="FFFFFF" w:themeFill="background1"/>
          <w:lang w:val="en-US" w:eastAsia="zh-CN" w:bidi="ar-SA"/>
        </w:rPr>
        <w:sym w:font="Wingdings 2" w:char="0052"/>
      </w:r>
      <w:r>
        <w:rPr>
          <w:rFonts w:hint="eastAsia" w:ascii="仿宋" w:hAnsi="仿宋" w:eastAsia="宋体" w:cs="仿宋"/>
          <w:iCs/>
          <w:color w:val="auto"/>
          <w:kern w:val="2"/>
          <w:sz w:val="32"/>
          <w:szCs w:val="24"/>
          <w:highlight w:val="none"/>
          <w:shd w:val="clear" w:color="auto" w:fill="FFFFFF" w:themeFill="background1"/>
          <w:lang w:val="en-US" w:eastAsia="zh-CN" w:bidi="ar-SA"/>
        </w:rPr>
        <w:t>”，不适用于本项目的选项标记为“□”。</w:t>
      </w:r>
    </w:p>
    <w:p w14:paraId="562A1BFC">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三、提示说明</w:t>
      </w:r>
    </w:p>
    <w:p w14:paraId="72AB7316">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1.《示范文本》中“【】”形式标记的内容，属于提示编制采购文件的注意事项，在交易系统中制作采购文件模板时，有关“【】”内的提示内容应予以删除。</w:t>
      </w:r>
    </w:p>
    <w:p w14:paraId="03D37BD1">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2.不适用的内容及相关章节应予以删除。</w:t>
      </w:r>
    </w:p>
    <w:p w14:paraId="3A26A745">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四、投标人须知前附表说明</w:t>
      </w:r>
    </w:p>
    <w:p w14:paraId="7942F6BE">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1.为了便于投标人高效阅览、避免遗漏重点内容，《示范文本》对第二章“投标人须知”设置了表格形式。“投标人须知前附表”用于进一步明确“投标人须知”正文中的未尽事宜，采购人或采购代理机构在编制采购文件时，应根据采购项目实际需要，对于需要修改和补充的内容在前附表中选择和补充列明。“投标人须知前附表”与“投标人须知”正文内容不一致的，以“投标人须知前附表”为准。</w:t>
      </w:r>
    </w:p>
    <w:p w14:paraId="27B779F7">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2.为避免采购文件编制过程中出现的相同内容在文件中前后不一致等错误，采购文件尽量做到相同内容只出现一次，其他章节涉及有关内容的，以标明条款号引用的方式体现。</w:t>
      </w:r>
    </w:p>
    <w:p w14:paraId="59BBA1CA">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 xml:space="preserve">3.《示范文本》第二章中“投标人须知前附表”所列条款号与“投标人须知正文”的序号一一对应。  </w:t>
      </w:r>
    </w:p>
    <w:p w14:paraId="6C447BDE">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五、采购需求</w:t>
      </w:r>
    </w:p>
    <w:p w14:paraId="2F77B775">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示范文本》在第三章“采购需求”部分列出了需求大纲供采购人或采购代理机构参考。采购清单部分格式应按照采购文件的要求进行编制，以保证结构化数据的统一。同一个采购包中的采购清单，应采用统一的价款形式。</w:t>
      </w:r>
    </w:p>
    <w:p w14:paraId="7DCB88FF">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六、合同文本</w:t>
      </w:r>
    </w:p>
    <w:p w14:paraId="7F46068E">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示范文本》中的合同仅用于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655754F7">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七、投标文件格式使用</w:t>
      </w:r>
    </w:p>
    <w:p w14:paraId="785E2B4F">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1.为便于投标人制作投标文件，便于评标委员会评审时统一标准，《示范文本》对适宜的内容提供了统一的投标文件参考格式。</w:t>
      </w:r>
    </w:p>
    <w:p w14:paraId="52FCF538">
      <w:pPr>
        <w:keepNext w:val="0"/>
        <w:keepLines w:val="0"/>
        <w:pageBreakBefore w:val="0"/>
        <w:widowControl w:val="0"/>
        <w:kinsoku/>
        <w:overflowPunct/>
        <w:topLinePunct w:val="0"/>
        <w:autoSpaceDE/>
        <w:autoSpaceDN/>
        <w:bidi w:val="0"/>
        <w:adjustRightInd/>
        <w:snapToGrid/>
        <w:ind w:firstLine="643" w:firstLineChars="200"/>
        <w:textAlignment w:val="auto"/>
        <w:rPr>
          <w:rFonts w:hint="eastAsia" w:ascii="黑体" w:hAnsi="黑体" w:eastAsia="黑体" w:cs="黑体"/>
          <w:b/>
          <w:bCs/>
          <w:color w:val="auto"/>
          <w:sz w:val="32"/>
          <w:szCs w:val="24"/>
          <w:highlight w:val="none"/>
          <w:lang w:val="en-US" w:eastAsia="zh-CN"/>
        </w:rPr>
      </w:pPr>
      <w:r>
        <w:rPr>
          <w:rFonts w:hint="eastAsia" w:ascii="黑体" w:hAnsi="黑体" w:eastAsia="黑体" w:cs="黑体"/>
          <w:b/>
          <w:bCs/>
          <w:color w:val="auto"/>
          <w:sz w:val="32"/>
          <w:szCs w:val="24"/>
          <w:highlight w:val="none"/>
          <w:lang w:val="en-US" w:eastAsia="zh-CN"/>
        </w:rPr>
        <w:t>八、实施及修改</w:t>
      </w:r>
    </w:p>
    <w:p w14:paraId="511C742F">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各级预算单位、采购代理机构认真组织好《示范文本》的推广使用。兵团财政局根据《中华人民共和国政府采购法》修法及相关法律法规修订情况及时对《示范文本》进行调整、完善。</w:t>
      </w:r>
    </w:p>
    <w:p w14:paraId="34DEE96E">
      <w:pPr>
        <w:pStyle w:val="12"/>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宋体" w:cs="仿宋"/>
          <w:iCs/>
          <w:color w:val="auto"/>
          <w:kern w:val="2"/>
          <w:sz w:val="32"/>
          <w:szCs w:val="24"/>
          <w:highlight w:val="none"/>
          <w:shd w:val="clear" w:color="auto" w:fill="FFFFFF" w:themeFill="background1"/>
          <w:lang w:val="en-US" w:eastAsia="zh-CN" w:bidi="ar-SA"/>
        </w:rPr>
      </w:pPr>
      <w:r>
        <w:rPr>
          <w:rFonts w:hint="eastAsia" w:ascii="仿宋" w:hAnsi="仿宋" w:eastAsia="宋体" w:cs="仿宋"/>
          <w:iCs/>
          <w:color w:val="auto"/>
          <w:kern w:val="2"/>
          <w:sz w:val="32"/>
          <w:szCs w:val="24"/>
          <w:highlight w:val="none"/>
          <w:shd w:val="clear" w:color="auto" w:fill="FFFFFF" w:themeFill="background1"/>
          <w:lang w:val="en-US" w:eastAsia="zh-CN" w:bidi="ar-SA"/>
        </w:rPr>
        <w:t>采购人或代理机构可结合具体项目特点，依法对采购文件进行适当合理调整。</w:t>
      </w:r>
    </w:p>
    <w:p w14:paraId="12A9B852">
      <w:pPr>
        <w:pStyle w:val="36"/>
        <w:ind w:firstLine="640"/>
        <w:rPr>
          <w:color w:val="auto"/>
          <w:highlight w:val="none"/>
        </w:rPr>
      </w:pPr>
    </w:p>
    <w:p w14:paraId="34F8E598">
      <w:pPr>
        <w:pStyle w:val="35"/>
        <w:rPr>
          <w:rFonts w:hint="eastAsia" w:ascii="黑体" w:hAnsi="黑体" w:eastAsia="黑体"/>
          <w:color w:val="auto"/>
          <w:sz w:val="72"/>
          <w:szCs w:val="72"/>
          <w:highlight w:val="none"/>
        </w:rPr>
        <w:sectPr>
          <w:headerReference r:id="rId5" w:type="default"/>
          <w:pgSz w:w="11906" w:h="16838"/>
          <w:pgMar w:top="1440" w:right="1800" w:bottom="1440" w:left="1800" w:header="851" w:footer="879" w:gutter="0"/>
          <w:pgBorders>
            <w:top w:val="none" w:sz="0" w:space="0"/>
            <w:left w:val="none" w:sz="0" w:space="0"/>
            <w:bottom w:val="none" w:sz="0" w:space="0"/>
            <w:right w:val="none" w:sz="0" w:space="0"/>
          </w:pgBorders>
          <w:cols w:space="0" w:num="1"/>
          <w:rtlGutter w:val="0"/>
          <w:docGrid w:type="lines" w:linePitch="312" w:charSpace="0"/>
        </w:sect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454D4D3">
      <w:pPr>
        <w:pStyle w:val="21"/>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0050A0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_Toc8881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第一章 </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_Toc8881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452B92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_Toc29167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hr-HR" w:eastAsia="zh-CN" w:bidi="ar-SA"/>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_Toc29167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916E5C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_Toc32632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二、申请</w:t>
      </w:r>
      <w:r>
        <w:rPr>
          <w:rFonts w:hint="eastAsia" w:ascii="宋体" w:hAnsi="宋体" w:eastAsia="宋体" w:cs="宋体"/>
          <w:bCs/>
          <w:kern w:val="2"/>
          <w:sz w:val="24"/>
          <w:szCs w:val="24"/>
          <w:highlight w:val="none"/>
          <w:lang w:val="hr-HR" w:eastAsia="zh-CN" w:bidi="ar-SA"/>
        </w:rPr>
        <w:t>人</w:t>
      </w:r>
      <w:r>
        <w:rPr>
          <w:rFonts w:hint="eastAsia" w:ascii="宋体" w:hAnsi="宋体" w:eastAsia="宋体" w:cs="宋体"/>
          <w:bCs/>
          <w:kern w:val="2"/>
          <w:sz w:val="24"/>
          <w:szCs w:val="24"/>
          <w:highlight w:val="none"/>
          <w:lang w:val="en-US" w:eastAsia="zh-CN" w:bidi="ar-SA"/>
        </w:rPr>
        <w:t>的</w:t>
      </w:r>
      <w:r>
        <w:rPr>
          <w:rFonts w:hint="eastAsia" w:ascii="宋体" w:hAnsi="宋体" w:eastAsia="宋体" w:cs="宋体"/>
          <w:bCs/>
          <w:kern w:val="2"/>
          <w:sz w:val="24"/>
          <w:szCs w:val="24"/>
          <w:highlight w:val="none"/>
          <w:lang w:val="hr-HR" w:eastAsia="zh-CN" w:bidi="ar-SA"/>
        </w:rPr>
        <w:t>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18D33F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_Toc27149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kern w:val="2"/>
          <w:sz w:val="24"/>
          <w:szCs w:val="24"/>
          <w:highlight w:val="none"/>
          <w:lang w:val="hr-HR" w:eastAsia="zh-CN" w:bidi="ar-SA"/>
        </w:rPr>
        <w:t>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_Toc27149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5C1DFD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_Toc13809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kern w:val="2"/>
          <w:sz w:val="24"/>
          <w:szCs w:val="24"/>
          <w:highlight w:val="none"/>
          <w:lang w:val="hr-HR" w:eastAsia="zh-CN" w:bidi="ar-SA"/>
        </w:rPr>
        <w:t>提交投标文件截止时间</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hr-HR" w:eastAsia="zh-CN" w:bidi="ar-SA"/>
        </w:rPr>
        <w:t>开标时间、递交方式和</w:t>
      </w:r>
      <w:r>
        <w:rPr>
          <w:rFonts w:hint="eastAsia" w:ascii="宋体" w:hAnsi="宋体" w:eastAsia="宋体" w:cs="宋体"/>
          <w:bCs/>
          <w:kern w:val="2"/>
          <w:sz w:val="24"/>
          <w:szCs w:val="24"/>
          <w:highlight w:val="none"/>
          <w:lang w:val="en-US" w:eastAsia="zh-CN" w:bidi="ar-SA"/>
        </w:rPr>
        <w:t>开标</w:t>
      </w:r>
      <w:r>
        <w:rPr>
          <w:rFonts w:hint="eastAsia" w:ascii="宋体" w:hAnsi="宋体" w:eastAsia="宋体" w:cs="宋体"/>
          <w:bCs/>
          <w:kern w:val="2"/>
          <w:sz w:val="24"/>
          <w:szCs w:val="24"/>
          <w:highlight w:val="none"/>
          <w:lang w:val="hr-HR" w:eastAsia="zh-CN" w:bidi="ar-SA"/>
        </w:rPr>
        <w:t>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_Toc13809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EC1200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_Toc8144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kern w:val="2"/>
          <w:sz w:val="24"/>
          <w:szCs w:val="24"/>
          <w:highlight w:val="none"/>
          <w:lang w:val="hr-HR" w:eastAsia="zh-CN" w:bidi="ar-SA"/>
        </w:rPr>
        <w:t>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_Toc8144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484105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_Toc26687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六、</w:t>
      </w:r>
      <w:r>
        <w:rPr>
          <w:rFonts w:hint="eastAsia" w:ascii="宋体" w:hAnsi="宋体" w:eastAsia="宋体" w:cs="宋体"/>
          <w:bCs/>
          <w:kern w:val="2"/>
          <w:sz w:val="24"/>
          <w:szCs w:val="24"/>
          <w:highlight w:val="none"/>
          <w:lang w:val="hr-HR" w:eastAsia="zh-CN" w:bidi="ar-SA"/>
        </w:rPr>
        <w:t>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_Toc26687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E95125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_Toc28862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七、</w:t>
      </w:r>
      <w:r>
        <w:rPr>
          <w:rFonts w:hint="eastAsia" w:ascii="宋体" w:hAnsi="宋体" w:eastAsia="宋体" w:cs="宋体"/>
          <w:bCs/>
          <w:kern w:val="2"/>
          <w:sz w:val="24"/>
          <w:szCs w:val="24"/>
          <w:highlight w:val="none"/>
          <w:lang w:val="hr-HR" w:eastAsia="zh-CN" w:bidi="ar-SA"/>
        </w:rPr>
        <w:t>对本次</w:t>
      </w:r>
      <w:r>
        <w:rPr>
          <w:rFonts w:hint="eastAsia" w:ascii="宋体" w:hAnsi="宋体" w:eastAsia="宋体" w:cs="宋体"/>
          <w:bCs/>
          <w:kern w:val="2"/>
          <w:sz w:val="24"/>
          <w:szCs w:val="24"/>
          <w:highlight w:val="none"/>
          <w:lang w:val="en-US" w:eastAsia="zh-CN" w:bidi="ar-SA"/>
        </w:rPr>
        <w:t>招标</w:t>
      </w:r>
      <w:r>
        <w:rPr>
          <w:rFonts w:hint="eastAsia" w:ascii="宋体" w:hAnsi="宋体" w:eastAsia="宋体" w:cs="宋体"/>
          <w:bCs/>
          <w:kern w:val="2"/>
          <w:sz w:val="24"/>
          <w:szCs w:val="24"/>
          <w:highlight w:val="none"/>
          <w:lang w:val="hr-HR" w:eastAsia="zh-CN" w:bidi="ar-SA"/>
        </w:rPr>
        <w:t>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_Toc28862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3E31873">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_Toc5645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_Toc5645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42EBD6D">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_Toc32038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_Toc32038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20C55F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_Toc18554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_Toc18554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2739AB">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_Toc21746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_Toc21746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18EC31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一、采购标的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_Toc24725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D23380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_Toc4366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二、商务要求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_Toc4366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7A05BD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三、技术要求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_Toc10153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68FE9DE">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_Toc17715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_Toc17715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DE7FEF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_Toc31801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_Toc31801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54606B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_Toc19754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二、资格审查要求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_Toc19754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8515CE9">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_Toc18814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第五章 评标方法及标准</w:t>
      </w:r>
      <w:r>
        <w:rPr>
          <w:rFonts w:hint="eastAsia" w:ascii="宋体" w:hAnsi="宋体" w:eastAsia="宋体" w:cs="宋体"/>
          <w:bCs/>
          <w:kern w:val="2"/>
          <w:sz w:val="24"/>
          <w:szCs w:val="24"/>
          <w:highlight w:val="none"/>
          <w:lang w:val="hr-HR" w:eastAsia="zh-CN" w:bidi="ar-SA"/>
        </w:rPr>
        <w:t>【</w:t>
      </w:r>
      <w:r>
        <w:rPr>
          <w:rFonts w:hint="eastAsia" w:ascii="宋体" w:hAnsi="宋体" w:eastAsia="宋体" w:cs="宋体"/>
          <w:bCs/>
          <w:kern w:val="44"/>
          <w:sz w:val="24"/>
          <w:szCs w:val="24"/>
          <w:highlight w:val="none"/>
          <w:lang w:val="en-US" w:eastAsia="zh-CN" w:bidi="ar-SA"/>
        </w:rPr>
        <w:t>综合评分法</w:t>
      </w:r>
      <w:r>
        <w:rPr>
          <w:rFonts w:hint="eastAsia" w:ascii="宋体" w:hAnsi="宋体" w:eastAsia="宋体" w:cs="宋体"/>
          <w:bCs/>
          <w:kern w:val="2"/>
          <w:sz w:val="24"/>
          <w:szCs w:val="24"/>
          <w:highlight w:val="none"/>
          <w:lang w:val="hr-HR" w:eastAsia="zh-CN" w:bidi="ar-SA"/>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_Toc18814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0056AA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一、评标</w:t>
      </w:r>
      <w:r>
        <w:rPr>
          <w:rFonts w:hint="eastAsia" w:ascii="宋体" w:hAnsi="宋体" w:eastAsia="宋体" w:cs="宋体"/>
          <w:sz w:val="24"/>
          <w:szCs w:val="24"/>
          <w:highlight w:val="none"/>
          <w:lang w:val="en-US" w:eastAsia="zh-CN"/>
        </w:rPr>
        <w:t>方</w:t>
      </w:r>
      <w:r>
        <w:rPr>
          <w:rFonts w:hint="eastAsia" w:ascii="宋体" w:hAnsi="宋体" w:eastAsia="宋体" w:cs="宋体"/>
          <w:sz w:val="24"/>
          <w:szCs w:val="24"/>
          <w:highlight w:val="none"/>
          <w:lang w:val="zh-CN" w:eastAsia="zh-CN"/>
        </w:rPr>
        <w:t>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_Toc21370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9316F4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eastAsia="zh-CN"/>
        </w:rPr>
        <w:t>、评标程序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_Toc4945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EAB5C1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_Toc14768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三、评标</w:t>
      </w:r>
      <w:r>
        <w:rPr>
          <w:rFonts w:hint="eastAsia" w:ascii="宋体" w:hAnsi="宋体" w:eastAsia="宋体" w:cs="宋体"/>
          <w:sz w:val="24"/>
          <w:szCs w:val="24"/>
          <w:highlight w:val="none"/>
          <w:lang w:val="en-US" w:eastAsia="zh-CN"/>
        </w:rPr>
        <w:t>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_Toc14768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1028BE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val="zh-CN" w:eastAsia="zh-CN"/>
        </w:rPr>
        <w:t>、评标标准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_Toc2099 \h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EB52BED">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_Toc17112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zh-CN" w:eastAsia="zh-CN" w:bidi="ar-SA"/>
        </w:rPr>
        <w:t>第六章 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_Toc17112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712887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_Toc9350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0"/>
          <w:kern w:val="44"/>
          <w:sz w:val="24"/>
          <w:szCs w:val="24"/>
          <w:highlight w:val="none"/>
          <w:lang w:val="en-US" w:eastAsia="zh-CN" w:bidi="ar-SA"/>
        </w:rPr>
        <w:t>政府采购合同参考范本</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_Toc22704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bCs/>
          <w:spacing w:val="-20"/>
          <w:kern w:val="44"/>
          <w:sz w:val="24"/>
          <w:szCs w:val="24"/>
          <w:highlight w:val="none"/>
          <w:lang w:val="en-US" w:eastAsia="zh-CN" w:bidi="ar-SA"/>
        </w:rPr>
        <w:t>服务类</w:t>
      </w:r>
      <w:r>
        <w:rPr>
          <w:rFonts w:hint="eastAsia" w:ascii="宋体" w:hAnsi="宋体" w:eastAsia="宋体" w:cs="宋体"/>
          <w:sz w:val="24"/>
          <w:szCs w:val="24"/>
          <w:highlight w:val="none"/>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_Toc22704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5769604">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_Toc4770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第七章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_Toc4770 \h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D2CCB9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_Toc29969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_Toc26966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_Toc26966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- 66 -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0860DF0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_Toc25215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一、满足《中华人民共和国政府采购法》第二十二条规定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_Toc25215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A3C0BD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_Toc21383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w:t>
      </w:r>
      <w:r>
        <w:rPr>
          <w:rFonts w:hint="eastAsia" w:ascii="宋体" w:hAnsi="宋体" w:eastAsia="宋体" w:cs="宋体"/>
          <w:bCs/>
          <w:kern w:val="2"/>
          <w:sz w:val="24"/>
          <w:szCs w:val="24"/>
          <w:highlight w:val="none"/>
          <w:lang w:val="zh-CN" w:eastAsia="zh-CN" w:bidi="ar-SA"/>
        </w:rPr>
        <w:t>联合体协议书</w:t>
      </w:r>
      <w:r>
        <w:rPr>
          <w:rFonts w:hint="eastAsia" w:ascii="宋体" w:hAnsi="宋体" w:eastAsia="宋体" w:cs="宋体"/>
          <w:b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_Toc21383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E87DBA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_Toc31421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kern w:val="2"/>
          <w:sz w:val="24"/>
          <w:szCs w:val="24"/>
          <w:highlight w:val="none"/>
          <w:lang w:val="zh-CN" w:eastAsia="zh-CN" w:bidi="ar-SA"/>
        </w:rPr>
        <w:t>分包意向协议书</w:t>
      </w:r>
      <w:r>
        <w:rPr>
          <w:rFonts w:hint="eastAsia" w:ascii="宋体" w:hAnsi="宋体" w:eastAsia="宋体" w:cs="宋体"/>
          <w:b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_Toc31421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3C3D87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_Toc8875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四、落实政府采购政策相关证明文件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_Toc8875 \h </w:instrText>
      </w:r>
      <w:r>
        <w:rPr>
          <w:rFonts w:hint="eastAsia" w:ascii="宋体" w:hAnsi="宋体" w:eastAsia="宋体" w:cs="宋体"/>
          <w:sz w:val="24"/>
          <w:szCs w:val="24"/>
        </w:rPr>
        <w:fldChar w:fldCharType="separate"/>
      </w:r>
      <w:r>
        <w:rPr>
          <w:rFonts w:hint="eastAsia" w:ascii="宋体" w:hAnsi="宋体" w:eastAsia="宋体" w:cs="宋体"/>
          <w:sz w:val="24"/>
          <w:szCs w:val="24"/>
        </w:rPr>
        <w:t>- 74 -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52A62F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_Toc24696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五、不参与围标串标承诺书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_Toc24696 \h </w:instrText>
      </w:r>
      <w:r>
        <w:rPr>
          <w:rFonts w:hint="eastAsia" w:ascii="宋体" w:hAnsi="宋体" w:eastAsia="宋体" w:cs="宋体"/>
          <w:sz w:val="24"/>
          <w:szCs w:val="24"/>
        </w:rPr>
        <w:fldChar w:fldCharType="separate"/>
      </w:r>
      <w:r>
        <w:rPr>
          <w:rFonts w:hint="eastAsia" w:ascii="宋体" w:hAnsi="宋体" w:eastAsia="宋体" w:cs="宋体"/>
          <w:sz w:val="24"/>
          <w:szCs w:val="24"/>
        </w:rPr>
        <w:t>- 87 -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C32C8D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_Toc2869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六、</w:t>
      </w:r>
      <w:r>
        <w:rPr>
          <w:rFonts w:hint="eastAsia" w:ascii="宋体" w:hAnsi="宋体" w:eastAsia="宋体" w:cs="宋体"/>
          <w:bCs/>
          <w:kern w:val="2"/>
          <w:sz w:val="24"/>
          <w:szCs w:val="24"/>
          <w:highlight w:val="none"/>
          <w:lang w:val="zh-CN" w:eastAsia="zh-CN" w:bidi="ar-SA"/>
        </w:rPr>
        <w:t>其他资格证明文件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_Toc2869 \h </w:instrText>
      </w:r>
      <w:r>
        <w:rPr>
          <w:rFonts w:hint="eastAsia" w:ascii="宋体" w:hAnsi="宋体" w:eastAsia="宋体" w:cs="宋体"/>
          <w:sz w:val="24"/>
          <w:szCs w:val="24"/>
        </w:rPr>
        <w:fldChar w:fldCharType="separate"/>
      </w:r>
      <w:r>
        <w:rPr>
          <w:rFonts w:hint="eastAsia" w:ascii="宋体" w:hAnsi="宋体" w:eastAsia="宋体" w:cs="宋体"/>
          <w:sz w:val="24"/>
          <w:szCs w:val="24"/>
        </w:rPr>
        <w:t>- 88 -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DBADA0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_Toc19075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_Toc11387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报价文件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_Toc11387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- 89 -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6D7D40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_Toc28928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_Toc28928 \h </w:instrText>
      </w:r>
      <w:r>
        <w:rPr>
          <w:rFonts w:hint="eastAsia" w:ascii="宋体" w:hAnsi="宋体" w:eastAsia="宋体" w:cs="宋体"/>
          <w:sz w:val="24"/>
          <w:szCs w:val="24"/>
        </w:rPr>
        <w:fldChar w:fldCharType="separate"/>
      </w:r>
      <w:r>
        <w:rPr>
          <w:rFonts w:hint="eastAsia" w:ascii="宋体" w:hAnsi="宋体" w:eastAsia="宋体" w:cs="宋体"/>
          <w:sz w:val="24"/>
          <w:szCs w:val="24"/>
        </w:rPr>
        <w:t>- 90 -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CAC21E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_Toc17062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_Toc17062 \h </w:instrText>
      </w:r>
      <w:r>
        <w:rPr>
          <w:rFonts w:hint="eastAsia" w:ascii="宋体" w:hAnsi="宋体" w:eastAsia="宋体" w:cs="宋体"/>
          <w:sz w:val="24"/>
          <w:szCs w:val="24"/>
        </w:rPr>
        <w:fldChar w:fldCharType="separate"/>
      </w:r>
      <w:r>
        <w:rPr>
          <w:rFonts w:hint="eastAsia" w:ascii="宋体" w:hAnsi="宋体" w:eastAsia="宋体" w:cs="宋体"/>
          <w:sz w:val="24"/>
          <w:szCs w:val="24"/>
        </w:rPr>
        <w:t>- 91 -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B3DDF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_Toc27080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_Toc15320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_Toc15320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- 92 -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4BE45D1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_Toc23604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_Toc23604 \h </w:instrText>
      </w:r>
      <w:r>
        <w:rPr>
          <w:rFonts w:hint="eastAsia" w:ascii="宋体" w:hAnsi="宋体" w:eastAsia="宋体" w:cs="宋体"/>
          <w:sz w:val="24"/>
          <w:szCs w:val="24"/>
        </w:rPr>
        <w:fldChar w:fldCharType="separate"/>
      </w:r>
      <w:r>
        <w:rPr>
          <w:rFonts w:hint="eastAsia" w:ascii="宋体" w:hAnsi="宋体" w:eastAsia="宋体" w:cs="宋体"/>
          <w:sz w:val="24"/>
          <w:szCs w:val="24"/>
        </w:rPr>
        <w:t>- 93 -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760C8A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_Toc12459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_Toc12459 \h </w:instrText>
      </w:r>
      <w:r>
        <w:rPr>
          <w:rFonts w:hint="eastAsia" w:ascii="宋体" w:hAnsi="宋体" w:eastAsia="宋体" w:cs="宋体"/>
          <w:sz w:val="24"/>
          <w:szCs w:val="24"/>
        </w:rPr>
        <w:fldChar w:fldCharType="separate"/>
      </w:r>
      <w:r>
        <w:rPr>
          <w:rFonts w:hint="eastAsia" w:ascii="宋体" w:hAnsi="宋体" w:eastAsia="宋体" w:cs="宋体"/>
          <w:sz w:val="24"/>
          <w:szCs w:val="24"/>
        </w:rPr>
        <w:t>- 95 -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FD950F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_Toc26391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_Toc26391 \h </w:instrText>
      </w:r>
      <w:r>
        <w:rPr>
          <w:rFonts w:hint="eastAsia" w:ascii="宋体" w:hAnsi="宋体" w:eastAsia="宋体" w:cs="宋体"/>
          <w:sz w:val="24"/>
          <w:szCs w:val="24"/>
        </w:rPr>
        <w:fldChar w:fldCharType="separate"/>
      </w:r>
      <w:r>
        <w:rPr>
          <w:rFonts w:hint="eastAsia" w:ascii="宋体" w:hAnsi="宋体" w:eastAsia="宋体" w:cs="宋体"/>
          <w:sz w:val="24"/>
          <w:szCs w:val="24"/>
        </w:rPr>
        <w:t>- 96 -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2977EF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_Toc27408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kern w:val="2"/>
          <w:sz w:val="24"/>
          <w:szCs w:val="24"/>
          <w:highlight w:val="none"/>
          <w:lang w:val="zh-CN" w:eastAsia="zh-CN" w:bidi="ar-SA"/>
        </w:rPr>
        <w:t>政府采购</w:t>
      </w: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lang w:val="zh-CN" w:eastAsia="zh-CN" w:bidi="ar-SA"/>
        </w:rPr>
        <w:t>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_Toc27408 \h </w:instrText>
      </w:r>
      <w:r>
        <w:rPr>
          <w:rFonts w:hint="eastAsia" w:ascii="宋体" w:hAnsi="宋体" w:eastAsia="宋体" w:cs="宋体"/>
          <w:sz w:val="24"/>
          <w:szCs w:val="24"/>
        </w:rPr>
        <w:fldChar w:fldCharType="separate"/>
      </w:r>
      <w:r>
        <w:rPr>
          <w:rFonts w:hint="eastAsia" w:ascii="宋体" w:hAnsi="宋体" w:eastAsia="宋体" w:cs="宋体"/>
          <w:sz w:val="24"/>
          <w:szCs w:val="24"/>
        </w:rPr>
        <w:t>- 97 -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78CAD2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_Toc24923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kern w:val="2"/>
          <w:sz w:val="24"/>
          <w:szCs w:val="24"/>
          <w:highlight w:val="none"/>
          <w:lang w:val="zh-CN" w:eastAsia="zh-CN" w:bidi="ar-SA"/>
        </w:rPr>
        <w:t>实质性响应一览表【</w:t>
      </w:r>
      <w:r>
        <w:rPr>
          <w:rFonts w:hint="eastAsia" w:ascii="宋体" w:hAnsi="宋体" w:eastAsia="宋体" w:cs="宋体"/>
          <w:bCs/>
          <w:kern w:val="2"/>
          <w:sz w:val="24"/>
          <w:szCs w:val="24"/>
          <w:highlight w:val="none"/>
          <w:lang w:val="en-US" w:eastAsia="zh-CN" w:bidi="ar-SA"/>
        </w:rPr>
        <w:t>本表须与第五章的一致】</w:t>
      </w:r>
      <w:r>
        <w:rPr>
          <w:rFonts w:hint="eastAsia" w:ascii="宋体" w:hAnsi="宋体" w:eastAsia="宋体" w:cs="宋体"/>
          <w:bCs/>
          <w:kern w:val="2"/>
          <w:sz w:val="24"/>
          <w:szCs w:val="24"/>
          <w:highlight w:val="none"/>
          <w:lang w:val="en-US" w:eastAsia="zh-CN" w:bidi="ar-SA"/>
        </w:rPr>
        <w:tab/>
      </w: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PAGEREF _Toc24923 \h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- 98 -</w:t>
      </w:r>
      <w:r>
        <w:rPr>
          <w:rFonts w:hint="eastAsia" w:ascii="宋体" w:hAnsi="宋体" w:eastAsia="宋体" w:cs="宋体"/>
          <w:bCs/>
          <w:kern w:val="2"/>
          <w:sz w:val="24"/>
          <w:szCs w:val="24"/>
          <w:highlight w:val="none"/>
          <w:lang w:val="en-US" w:eastAsia="zh-CN" w:bidi="ar-SA"/>
        </w:rPr>
        <w:fldChar w:fldCharType="end"/>
      </w:r>
      <w:r>
        <w:rPr>
          <w:rFonts w:hint="eastAsia" w:ascii="宋体" w:hAnsi="宋体" w:eastAsia="宋体" w:cs="宋体"/>
          <w:bCs/>
          <w:kern w:val="2"/>
          <w:sz w:val="24"/>
          <w:szCs w:val="24"/>
          <w:highlight w:val="none"/>
          <w:lang w:val="en-US" w:eastAsia="zh-CN" w:bidi="ar-SA"/>
        </w:rPr>
        <w:fldChar w:fldCharType="end"/>
      </w:r>
    </w:p>
    <w:p w14:paraId="67F7DB1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_Toc20481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六、商务响应偏离表</w:t>
      </w:r>
      <w:r>
        <w:rPr>
          <w:rFonts w:hint="eastAsia" w:ascii="宋体" w:hAnsi="宋体" w:eastAsia="宋体" w:cs="宋体"/>
          <w:bCs/>
          <w:kern w:val="2"/>
          <w:sz w:val="24"/>
          <w:szCs w:val="24"/>
          <w:highlight w:val="none"/>
          <w:lang w:val="en-US" w:eastAsia="zh-CN" w:bidi="ar-SA"/>
        </w:rPr>
        <w:tab/>
      </w: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PAGEREF _Toc20481 \h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- 99 -</w:t>
      </w:r>
      <w:r>
        <w:rPr>
          <w:rFonts w:hint="eastAsia" w:ascii="宋体" w:hAnsi="宋体" w:eastAsia="宋体" w:cs="宋体"/>
          <w:bCs/>
          <w:kern w:val="2"/>
          <w:sz w:val="24"/>
          <w:szCs w:val="24"/>
          <w:highlight w:val="none"/>
          <w:lang w:val="en-US" w:eastAsia="zh-CN" w:bidi="ar-SA"/>
        </w:rPr>
        <w:fldChar w:fldCharType="end"/>
      </w:r>
      <w:r>
        <w:rPr>
          <w:rFonts w:hint="eastAsia" w:ascii="宋体" w:hAnsi="宋体" w:eastAsia="宋体" w:cs="宋体"/>
          <w:bCs/>
          <w:kern w:val="2"/>
          <w:sz w:val="24"/>
          <w:szCs w:val="24"/>
          <w:highlight w:val="none"/>
          <w:lang w:val="en-US" w:eastAsia="zh-CN" w:bidi="ar-SA"/>
        </w:rPr>
        <w:fldChar w:fldCharType="end"/>
      </w:r>
    </w:p>
    <w:p w14:paraId="0EECAB1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_Toc18155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七、业绩证明文件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_Toc18155 \h </w:instrText>
      </w:r>
      <w:r>
        <w:rPr>
          <w:rFonts w:hint="eastAsia" w:ascii="宋体" w:hAnsi="宋体" w:eastAsia="宋体" w:cs="宋体"/>
          <w:sz w:val="24"/>
          <w:szCs w:val="24"/>
        </w:rPr>
        <w:fldChar w:fldCharType="separate"/>
      </w:r>
      <w:r>
        <w:rPr>
          <w:rFonts w:hint="eastAsia" w:ascii="宋体" w:hAnsi="宋体" w:eastAsia="宋体" w:cs="宋体"/>
          <w:sz w:val="24"/>
          <w:szCs w:val="24"/>
        </w:rPr>
        <w:t>- 100 -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CA6BCC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_Toc13134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八、拟派项目团队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_Toc13134 \h </w:instrText>
      </w:r>
      <w:r>
        <w:rPr>
          <w:rFonts w:hint="eastAsia" w:ascii="宋体" w:hAnsi="宋体" w:eastAsia="宋体" w:cs="宋体"/>
          <w:sz w:val="24"/>
          <w:szCs w:val="24"/>
        </w:rPr>
        <w:fldChar w:fldCharType="separate"/>
      </w:r>
      <w:r>
        <w:rPr>
          <w:rFonts w:hint="eastAsia" w:ascii="宋体" w:hAnsi="宋体" w:eastAsia="宋体" w:cs="宋体"/>
          <w:sz w:val="24"/>
          <w:szCs w:val="24"/>
        </w:rPr>
        <w:t>- 101 -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58D790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_Toc28083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九、技术响应偏离表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_Toc28083 \h </w:instrText>
      </w:r>
      <w:r>
        <w:rPr>
          <w:rFonts w:hint="eastAsia" w:ascii="宋体" w:hAnsi="宋体" w:eastAsia="宋体" w:cs="宋体"/>
          <w:sz w:val="24"/>
          <w:szCs w:val="24"/>
        </w:rPr>
        <w:fldChar w:fldCharType="separate"/>
      </w:r>
      <w:r>
        <w:rPr>
          <w:rFonts w:hint="eastAsia" w:ascii="宋体" w:hAnsi="宋体" w:eastAsia="宋体" w:cs="宋体"/>
          <w:sz w:val="24"/>
          <w:szCs w:val="24"/>
        </w:rPr>
        <w:t>- 102 -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7361D5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_Toc9988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十、技术方案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_Toc9988 \h </w:instrText>
      </w:r>
      <w:r>
        <w:rPr>
          <w:rFonts w:hint="eastAsia" w:ascii="宋体" w:hAnsi="宋体" w:eastAsia="宋体" w:cs="宋体"/>
          <w:sz w:val="24"/>
          <w:szCs w:val="24"/>
        </w:rPr>
        <w:fldChar w:fldCharType="separate"/>
      </w:r>
      <w:r>
        <w:rPr>
          <w:rFonts w:hint="eastAsia" w:ascii="宋体" w:hAnsi="宋体" w:eastAsia="宋体" w:cs="宋体"/>
          <w:sz w:val="24"/>
          <w:szCs w:val="24"/>
        </w:rPr>
        <w:t>- 103 -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70DEC5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_Toc19458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十一、其他文件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_Toc19458 \h </w:instrText>
      </w:r>
      <w:r>
        <w:rPr>
          <w:rFonts w:hint="eastAsia" w:ascii="宋体" w:hAnsi="宋体" w:eastAsia="宋体" w:cs="宋体"/>
          <w:sz w:val="24"/>
          <w:szCs w:val="24"/>
        </w:rPr>
        <w:fldChar w:fldCharType="separate"/>
      </w:r>
      <w:r>
        <w:rPr>
          <w:rFonts w:hint="eastAsia" w:ascii="宋体" w:hAnsi="宋体" w:eastAsia="宋体" w:cs="宋体"/>
          <w:sz w:val="24"/>
          <w:szCs w:val="24"/>
        </w:rPr>
        <w:t>- 104 -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329938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Cs w:val="24"/>
          <w:highlight w:val="none"/>
        </w:rPr>
        <w:fldChar w:fldCharType="end"/>
      </w:r>
      <w:bookmarkStart w:id="1" w:name="_Toc155185859"/>
      <w:bookmarkStart w:id="2" w:name="_Toc8881"/>
      <w:bookmarkStart w:id="3" w:name="_Hlk130458318"/>
      <w:r>
        <w:rPr>
          <w:rFonts w:hint="eastAsia" w:ascii="宋体" w:hAnsi="宋体" w:eastAsia="宋体" w:cs="宋体"/>
          <w:b/>
          <w:bCs/>
          <w:color w:val="auto"/>
          <w:kern w:val="44"/>
          <w:sz w:val="36"/>
          <w:szCs w:val="36"/>
          <w:highlight w:val="none"/>
          <w:lang w:val="en-US" w:eastAsia="zh-CN" w:bidi="ar-SA"/>
        </w:rPr>
        <w:t xml:space="preserve">第一章 </w:t>
      </w:r>
      <w:bookmarkEnd w:id="1"/>
      <w:r>
        <w:rPr>
          <w:rFonts w:hint="eastAsia" w:ascii="宋体" w:hAnsi="宋体" w:eastAsia="宋体" w:cs="宋体"/>
          <w:color w:val="auto"/>
          <w:sz w:val="36"/>
          <w:szCs w:val="36"/>
          <w:highlight w:val="none"/>
          <w:lang w:val="en-US" w:eastAsia="zh-CN"/>
        </w:rPr>
        <w:t>招标公告</w:t>
      </w:r>
      <w:bookmarkEnd w:id="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12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32473"/>
            <w:bookmarkStart w:id="5" w:name="_Toc576"/>
            <w:bookmarkStart w:id="6" w:name="_Toc26706"/>
            <w:bookmarkStart w:id="7" w:name="_Toc140132745"/>
            <w:bookmarkStart w:id="8" w:name="_Toc44583628"/>
            <w:bookmarkStart w:id="9" w:name="_Toc109899829"/>
            <w:bookmarkStart w:id="10" w:name="_Toc35393798"/>
            <w:bookmarkStart w:id="11" w:name="_Toc28359089"/>
            <w:bookmarkStart w:id="12" w:name="_Toc35393629"/>
            <w:bookmarkStart w:id="13" w:name="_Toc109900248"/>
            <w:bookmarkStart w:id="14" w:name="_Toc155185860"/>
            <w:bookmarkStart w:id="15" w:name="_Toc109899410"/>
            <w:bookmarkStart w:id="16" w:name="_Toc28359012"/>
            <w:r>
              <w:rPr>
                <w:rFonts w:hint="eastAsia"/>
                <w:color w:val="auto"/>
                <w:sz w:val="24"/>
                <w:szCs w:val="24"/>
                <w:highlight w:val="none"/>
                <w:lang w:val="en-US" w:eastAsia="zh-CN"/>
              </w:rPr>
              <w:t>项目概况：</w:t>
            </w:r>
            <w:bookmarkEnd w:id="4"/>
            <w:bookmarkEnd w:id="5"/>
            <w:bookmarkEnd w:id="6"/>
          </w:p>
          <w:p w14:paraId="42E3A809">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2025年石河子卫生学校《中国特色社会主义》课程虚拟仿真资源定制开发采购项目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兵团政府采购电子交易云平台（网址：https://www.zcygov.cn/）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8</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10时30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17" w:name="_Toc29167"/>
      <w:r>
        <w:rPr>
          <w:rFonts w:hint="eastAsia" w:ascii="宋体" w:hAnsi="宋体" w:eastAsia="宋体" w:cs="宋体"/>
          <w:b/>
          <w:bCs/>
          <w:color w:val="auto"/>
          <w:kern w:val="2"/>
          <w:sz w:val="24"/>
          <w:szCs w:val="24"/>
          <w:highlight w:val="none"/>
          <w:lang w:val="hr-HR" w:eastAsia="zh-CN" w:bidi="ar-SA"/>
        </w:rPr>
        <w:t>一、项目基本情况</w:t>
      </w:r>
      <w:bookmarkEnd w:id="7"/>
      <w:bookmarkEnd w:id="8"/>
      <w:bookmarkEnd w:id="9"/>
      <w:bookmarkEnd w:id="10"/>
      <w:bookmarkEnd w:id="11"/>
      <w:bookmarkEnd w:id="12"/>
      <w:bookmarkEnd w:id="13"/>
      <w:bookmarkEnd w:id="14"/>
      <w:bookmarkEnd w:id="15"/>
      <w:bookmarkEnd w:id="16"/>
      <w:bookmarkEnd w:id="17"/>
    </w:p>
    <w:p w14:paraId="590E39A6">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hr-HR"/>
        </w:rPr>
        <w:t>1.项目编号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single"/>
        </w:rPr>
        <w:t xml:space="preserve"> B8S[2025]1055号 </w:t>
      </w:r>
      <w:r>
        <w:rPr>
          <w:rFonts w:hint="eastAsia" w:ascii="宋体" w:hAnsi="宋体" w:eastAsia="宋体" w:cs="宋体"/>
          <w:color w:val="auto"/>
          <w:sz w:val="24"/>
          <w:szCs w:val="24"/>
          <w:highlight w:val="none"/>
          <w:u w:val="single"/>
          <w:lang w:val="hr-HR"/>
        </w:rPr>
        <w:t xml:space="preserve"> </w:t>
      </w:r>
    </w:p>
    <w:p w14:paraId="544AA4B7">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.项目名称：</w:t>
      </w:r>
      <w:r>
        <w:rPr>
          <w:rFonts w:hint="eastAsia" w:ascii="宋体" w:hAnsi="宋体" w:eastAsia="宋体" w:cs="宋体"/>
          <w:color w:val="auto"/>
          <w:sz w:val="24"/>
          <w:szCs w:val="24"/>
          <w:highlight w:val="none"/>
          <w:u w:val="single"/>
        </w:rPr>
        <w:t xml:space="preserve"> 2025年石河子卫生学校《中国特色社会主义》课程虚拟仿真资源定制开发采购项目</w:t>
      </w:r>
      <w:r>
        <w:rPr>
          <w:rFonts w:hint="eastAsia" w:ascii="宋体" w:hAnsi="宋体" w:eastAsia="宋体" w:cs="宋体"/>
          <w:color w:val="auto"/>
          <w:sz w:val="24"/>
          <w:szCs w:val="24"/>
          <w:highlight w:val="none"/>
          <w:u w:val="single"/>
          <w:lang w:val="hr-HR"/>
        </w:rPr>
        <w:t xml:space="preserve"> </w:t>
      </w:r>
    </w:p>
    <w:p w14:paraId="3CE35A7E">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78A90596">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hr-HR"/>
        </w:rPr>
        <w:t>预算金额：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100.00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hr-HR"/>
        </w:rPr>
        <w:t>万元</w:t>
      </w:r>
    </w:p>
    <w:p w14:paraId="7851BE2C">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single"/>
          <w:lang w:val="hr-HR"/>
        </w:rPr>
        <w:t xml:space="preserve"> </w:t>
      </w:r>
      <w:r>
        <w:rPr>
          <w:rFonts w:hint="eastAsia" w:cs="宋体"/>
          <w:color w:val="auto"/>
          <w:sz w:val="24"/>
          <w:szCs w:val="24"/>
          <w:highlight w:val="none"/>
          <w:u w:val="single"/>
          <w:lang w:val="en-US" w:eastAsia="zh-CN"/>
        </w:rPr>
        <w:t>100.00</w:t>
      </w:r>
      <w:r>
        <w:rPr>
          <w:rFonts w:hint="eastAsia" w:ascii="宋体" w:hAnsi="宋体" w:eastAsia="宋体" w:cs="宋体"/>
          <w:color w:val="auto"/>
          <w:sz w:val="24"/>
          <w:szCs w:val="24"/>
          <w:highlight w:val="none"/>
          <w:u w:val="single"/>
          <w:lang w:val="hr-HR"/>
        </w:rPr>
        <w:t xml:space="preserve"> </w:t>
      </w:r>
      <w:r>
        <w:rPr>
          <w:rFonts w:hint="eastAsia" w:ascii="宋体" w:hAnsi="宋体" w:eastAsia="宋体" w:cs="宋体"/>
          <w:color w:val="auto"/>
          <w:sz w:val="24"/>
          <w:szCs w:val="24"/>
          <w:highlight w:val="none"/>
        </w:rPr>
        <w:t>万元</w:t>
      </w:r>
    </w:p>
    <w:p w14:paraId="242750DC">
      <w:pPr>
        <w:pStyle w:val="36"/>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hr-HR"/>
        </w:rPr>
        <w:t>.采购需求：</w:t>
      </w:r>
      <w:r>
        <w:rPr>
          <w:rFonts w:hint="eastAsia" w:ascii="宋体" w:hAnsi="宋体" w:eastAsia="宋体" w:cs="宋体"/>
          <w:color w:val="auto"/>
          <w:sz w:val="24"/>
          <w:szCs w:val="24"/>
          <w:highlight w:val="none"/>
          <w:u w:val="single"/>
          <w:lang w:val="hr-HR"/>
        </w:rPr>
        <w:t>石河子卫生学校《中国特色社会主义》课程虚拟仿真资源定制开发项目内容主要包含：根据《中等职业学校思想政治课程标准（2020版）》、国家统编教材《中国特色社会主义》（高等教育出版社），梳理出不少于14个的主题内容，进行虚拟仿真交互类的三维全景视频教学资源的定制开发建设（含PC版）；思政课教育教学平台（含中职、高职）免费使用3年。项目建成后将有效推动学校思想政治理论课教学改革与发展。</w:t>
      </w:r>
    </w:p>
    <w:p w14:paraId="56FBF6DA">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履行期限：</w:t>
      </w:r>
      <w:r>
        <w:rPr>
          <w:rFonts w:hint="eastAsia" w:ascii="宋体" w:hAnsi="宋体" w:eastAsia="宋体" w:cs="宋体"/>
          <w:color w:val="auto"/>
          <w:sz w:val="24"/>
          <w:szCs w:val="24"/>
          <w:highlight w:val="none"/>
          <w:u w:val="single"/>
        </w:rPr>
        <w:t xml:space="preserve"> 自合同签订之日起至质保服务期结束。</w:t>
      </w:r>
      <w:r>
        <w:rPr>
          <w:rFonts w:hint="eastAsia" w:ascii="宋体" w:hAnsi="宋体" w:eastAsia="宋体" w:cs="宋体"/>
          <w:color w:val="auto"/>
          <w:sz w:val="24"/>
          <w:szCs w:val="24"/>
          <w:highlight w:val="none"/>
          <w:u w:val="single"/>
          <w:lang w:val="hr-HR"/>
        </w:rPr>
        <w:t xml:space="preserve"> </w:t>
      </w:r>
    </w:p>
    <w:p w14:paraId="4B098642">
      <w:pPr>
        <w:pStyle w:val="36"/>
        <w:spacing w:line="360" w:lineRule="auto"/>
        <w:rPr>
          <w:rFonts w:hint="eastAsia" w:ascii="宋体" w:hAnsi="宋体" w:eastAsia="宋体" w:cs="宋体"/>
          <w:color w:val="auto"/>
          <w:sz w:val="24"/>
          <w:szCs w:val="24"/>
          <w:highlight w:val="none"/>
          <w:lang w:val="en-US" w:eastAsia="zh-CN"/>
        </w:rPr>
      </w:pPr>
      <w:bookmarkStart w:id="18" w:name="_Toc28359013"/>
      <w:bookmarkStart w:id="19" w:name="_Toc44583629"/>
      <w:bookmarkStart w:id="20" w:name="_Toc35393630"/>
      <w:bookmarkStart w:id="21" w:name="_Toc35393799"/>
      <w:bookmarkStart w:id="22" w:name="_Toc28359090"/>
      <w:r>
        <w:rPr>
          <w:rFonts w:hint="eastAsia" w:ascii="宋体" w:hAnsi="宋体" w:eastAsia="宋体" w:cs="宋体"/>
          <w:color w:val="auto"/>
          <w:sz w:val="24"/>
          <w:szCs w:val="24"/>
          <w:highlight w:val="none"/>
          <w:lang w:val="en-US" w:eastAsia="zh-CN"/>
        </w:rPr>
        <w:t>8.</w:t>
      </w:r>
      <w:bookmarkStart w:id="23" w:name="_Hlk162011358"/>
      <w:r>
        <w:rPr>
          <w:rFonts w:hint="eastAsia" w:ascii="宋体" w:hAnsi="宋体" w:eastAsia="宋体" w:cs="宋体"/>
          <w:color w:val="auto"/>
          <w:sz w:val="24"/>
          <w:szCs w:val="24"/>
          <w:highlight w:val="none"/>
          <w:lang w:val="en-US" w:eastAsia="zh-CN"/>
        </w:rPr>
        <w:t>本项目是否接受联合体投标：□是</w:t>
      </w:r>
      <w:bookmarkEnd w:id="23"/>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4" w:name="_Toc140132746"/>
      <w:bookmarkStart w:id="25" w:name="_Toc109899830"/>
      <w:bookmarkStart w:id="26" w:name="_Toc109900249"/>
      <w:bookmarkStart w:id="27" w:name="_Toc32632"/>
      <w:bookmarkStart w:id="28" w:name="_Toc155185861"/>
      <w:bookmarkStart w:id="29" w:name="_Toc109899411"/>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4A6A8664">
      <w:pPr>
        <w:spacing w:line="360" w:lineRule="auto"/>
        <w:ind w:firstLine="480" w:firstLineChars="200"/>
        <w:rPr>
          <w:rFonts w:hint="eastAsia" w:ascii="宋体" w:hAnsi="宋体" w:eastAsia="宋体" w:cs="宋体"/>
          <w:color w:val="auto"/>
          <w:sz w:val="24"/>
          <w:szCs w:val="24"/>
          <w:highlight w:val="none"/>
          <w:lang w:val="en-US" w:eastAsia="zh-CN"/>
        </w:rPr>
      </w:pPr>
      <w:bookmarkStart w:id="30" w:name="_Hlk89807755"/>
      <w:bookmarkStart w:id="31" w:name="_Toc35393631"/>
      <w:bookmarkStart w:id="32" w:name="_Toc28359014"/>
      <w:bookmarkStart w:id="33" w:name="_Toc35393800"/>
      <w:bookmarkStart w:id="34" w:name="_Toc44583630"/>
      <w:bookmarkStart w:id="35" w:name="_Toc28359091"/>
      <w:r>
        <w:rPr>
          <w:rFonts w:hint="eastAsia" w:ascii="宋体" w:hAnsi="宋体" w:eastAsia="宋体" w:cs="宋体"/>
          <w:color w:val="auto"/>
          <w:sz w:val="24"/>
          <w:szCs w:val="24"/>
          <w:highlight w:val="none"/>
          <w:lang w:val="en-US" w:eastAsia="zh-CN"/>
        </w:rPr>
        <w:t>1.满足《中华人民共和国政府采购法》第二十二条规定；</w:t>
      </w:r>
    </w:p>
    <w:p w14:paraId="3632724A">
      <w:pPr>
        <w:spacing w:line="360" w:lineRule="auto"/>
        <w:ind w:firstLine="480" w:firstLineChars="20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2.落实政府采购政策需满足的资格要求：本项目专门面向中小企业采购</w:t>
      </w:r>
      <w:r>
        <w:rPr>
          <w:rFonts w:hint="eastAsia" w:cs="宋体"/>
          <w:color w:val="auto"/>
          <w:sz w:val="24"/>
          <w:szCs w:val="24"/>
          <w:highlight w:val="none"/>
          <w:lang w:val="en-US" w:eastAsia="zh-CN"/>
        </w:rPr>
        <w:t>。</w:t>
      </w:r>
    </w:p>
    <w:p w14:paraId="623074F9">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（1）财政部、国家发展改革委、生态环境部、市场监管总局《关于调整优化节能产品、环境标志产品政府采购执行机制的通知》（财库[2019]9号文）；</w:t>
      </w:r>
    </w:p>
    <w:p w14:paraId="47C4540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（2）财政部、生态环境部《关于印发环境标志产品政府采购品目清单的通知》（财库[2019]18号文）；</w:t>
      </w:r>
    </w:p>
    <w:p w14:paraId="2CB7B11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（3）财政部、发展改革委《关于印发节能产品政府采购品目清单的通知》（财库[2019]19号文）；</w:t>
      </w:r>
    </w:p>
    <w:p w14:paraId="66918CA6">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（4）市场监管总局《市场监管总局关于发布参与实施政府采购节能产品、环境标志产品认证机构名录的公告》（2019年第16号）；</w:t>
      </w:r>
    </w:p>
    <w:p w14:paraId="0B3367E4">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财政部、民政部、中国残疾人联合会《关于促进残疾人就业政府采购政策的通知》财库[2017]141号；</w:t>
      </w:r>
    </w:p>
    <w:p w14:paraId="1318F563">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6</w:t>
      </w:r>
      <w:r>
        <w:rPr>
          <w:rFonts w:hint="eastAsia" w:ascii="宋体" w:hAnsi="宋体" w:eastAsia="宋体" w:cs="宋体"/>
          <w:color w:val="auto"/>
          <w:sz w:val="24"/>
          <w:highlight w:val="none"/>
          <w:lang w:val="en-US" w:eastAsia="zh-CN"/>
        </w:rPr>
        <w:t>）财政部、司法部《关于政府采购支持监狱企业发展有关问题的通知》（财库[2014]68号文）；</w:t>
      </w:r>
    </w:p>
    <w:p w14:paraId="4D2356C5">
      <w:pPr>
        <w:spacing w:line="360" w:lineRule="auto"/>
        <w:ind w:firstLine="480" w:firstLineChars="200"/>
        <w:rPr>
          <w:rFonts w:hint="eastAsia" w:cs="宋体"/>
          <w:color w:val="auto"/>
          <w:sz w:val="24"/>
          <w:szCs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财政部、工业和信息化部《关于印发&lt;政府采购促进中小企业发展管理办法&gt;的通知》（财库[2020]46号）；财政部《关于进一步加大政府采购支持中小企业力度的通知》（财库[2022]19号）；新疆维吾尔自治区财政厅、新疆生产建设兵团财政局《关于落实好政府采购支持中小企业发展的通知》（新财购[2022]22号）</w:t>
      </w:r>
      <w:r>
        <w:rPr>
          <w:rFonts w:hint="eastAsia" w:cs="宋体"/>
          <w:color w:val="auto"/>
          <w:sz w:val="24"/>
          <w:highlight w:val="none"/>
          <w:lang w:val="en-US" w:eastAsia="zh-CN"/>
        </w:rPr>
        <w:t>。</w:t>
      </w:r>
    </w:p>
    <w:p w14:paraId="5AC8AD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cs="宋体"/>
          <w:color w:val="auto"/>
          <w:sz w:val="24"/>
          <w:szCs w:val="24"/>
          <w:highlight w:val="none"/>
          <w:lang w:val="en-US" w:eastAsia="zh-CN"/>
        </w:rPr>
        <w:t>无。</w:t>
      </w:r>
    </w:p>
    <w:p w14:paraId="69D2AB04">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4.其他资格要求：</w:t>
      </w:r>
    </w:p>
    <w:p w14:paraId="040E7358">
      <w:pPr>
        <w:pStyle w:val="36"/>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hr-HR"/>
        </w:rPr>
        <w:t>法定代表人或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hr-HR"/>
        </w:rPr>
        <w:t>负责人为同一人或者存在</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lang w:val="hr-HR"/>
        </w:rPr>
        <w:t>控股、管理关系的</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lang w:val="hr-HR"/>
        </w:rPr>
        <w:t>，不得参加同一合同项下的政府采购活动。</w:t>
      </w:r>
    </w:p>
    <w:p w14:paraId="68099EEC">
      <w:pPr>
        <w:pStyle w:val="36"/>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1F555688">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rPr>
        <w:t>供应商的信用行为</w:t>
      </w: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hr-HR"/>
        </w:rPr>
        <w:t>在</w:t>
      </w:r>
      <w:r>
        <w:rPr>
          <w:rFonts w:hint="eastAsia" w:ascii="宋体" w:hAnsi="宋体" w:eastAsia="宋体" w:cs="宋体"/>
          <w:color w:val="auto"/>
          <w:sz w:val="24"/>
          <w:szCs w:val="24"/>
          <w:highlight w:val="none"/>
          <w:lang w:val="en-US" w:eastAsia="zh-CN"/>
        </w:rPr>
        <w:t>资格审查阶段经查询，未被列入“失信被执行人”、“重大税收违法失信主体”、“政府采购严重违法失信行为记录名单”其中之一</w:t>
      </w:r>
      <w:r>
        <w:rPr>
          <w:rFonts w:hint="eastAsia" w:ascii="宋体" w:hAnsi="宋体" w:eastAsia="宋体" w:cs="宋体"/>
          <w:color w:val="auto"/>
          <w:sz w:val="24"/>
          <w:szCs w:val="24"/>
          <w:highlight w:val="none"/>
          <w:lang w:val="hr-HR"/>
        </w:rPr>
        <w:t>。如有以上不良信用记录</w:t>
      </w:r>
      <w:r>
        <w:rPr>
          <w:rFonts w:hint="eastAsia" w:ascii="宋体" w:hAnsi="宋体" w:eastAsia="宋体" w:cs="宋体"/>
          <w:color w:val="auto"/>
          <w:sz w:val="24"/>
          <w:szCs w:val="24"/>
          <w:highlight w:val="none"/>
          <w:lang w:val="en-US" w:eastAsia="zh-CN"/>
        </w:rPr>
        <w:t>之一的，</w:t>
      </w:r>
      <w:r>
        <w:rPr>
          <w:rFonts w:hint="eastAsia" w:ascii="宋体" w:hAnsi="宋体" w:eastAsia="宋体" w:cs="宋体"/>
          <w:color w:val="auto"/>
          <w:sz w:val="24"/>
          <w:szCs w:val="24"/>
          <w:highlight w:val="none"/>
          <w:lang w:val="hr-HR"/>
        </w:rPr>
        <w:t>其</w:t>
      </w:r>
      <w:r>
        <w:rPr>
          <w:rFonts w:hint="eastAsia" w:ascii="宋体" w:hAnsi="宋体" w:eastAsia="宋体" w:cs="宋体"/>
          <w:b/>
          <w:bCs/>
          <w:color w:val="auto"/>
          <w:sz w:val="24"/>
          <w:szCs w:val="24"/>
          <w:highlight w:val="none"/>
          <w:lang w:val="hr-HR"/>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none"/>
          <w:lang w:val="en-US" w:eastAsia="zh-CN"/>
        </w:rPr>
        <w:t xml:space="preserve">              </w:t>
      </w:r>
    </w:p>
    <w:bookmarkEnd w:id="30"/>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6" w:name="_Toc140132747"/>
      <w:bookmarkStart w:id="37" w:name="_Toc27149"/>
      <w:bookmarkStart w:id="38" w:name="_Toc109899412"/>
      <w:bookmarkStart w:id="39" w:name="_Toc109899831"/>
      <w:bookmarkStart w:id="40" w:name="_Toc109900250"/>
      <w:bookmarkStart w:id="41" w:name="_Toc15518586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1"/>
      <w:bookmarkEnd w:id="32"/>
      <w:bookmarkEnd w:id="33"/>
      <w:bookmarkEnd w:id="34"/>
      <w:bookmarkEnd w:id="35"/>
      <w:bookmarkEnd w:id="36"/>
      <w:bookmarkEnd w:id="37"/>
      <w:bookmarkEnd w:id="38"/>
      <w:bookmarkEnd w:id="39"/>
      <w:bookmarkEnd w:id="40"/>
      <w:bookmarkEnd w:id="41"/>
      <w:r>
        <w:rPr>
          <w:rFonts w:hint="eastAsia" w:ascii="宋体" w:hAnsi="宋体" w:eastAsia="宋体" w:cs="宋体"/>
          <w:b/>
          <w:bCs/>
          <w:color w:val="auto"/>
          <w:kern w:val="2"/>
          <w:sz w:val="24"/>
          <w:szCs w:val="24"/>
          <w:highlight w:val="none"/>
          <w:lang w:val="hr-HR" w:eastAsia="zh-CN" w:bidi="ar-SA"/>
        </w:rPr>
        <w:t xml:space="preserve"> </w:t>
      </w:r>
    </w:p>
    <w:p w14:paraId="7F0135DE">
      <w:pPr>
        <w:pStyle w:val="36"/>
        <w:spacing w:line="360" w:lineRule="auto"/>
        <w:rPr>
          <w:rFonts w:hint="eastAsia" w:ascii="宋体" w:hAnsi="宋体" w:eastAsia="宋体" w:cs="宋体"/>
          <w:color w:val="auto"/>
          <w:sz w:val="24"/>
          <w:szCs w:val="24"/>
          <w:highlight w:val="none"/>
          <w:lang w:val="hr-HR"/>
        </w:rPr>
      </w:pPr>
      <w:bookmarkStart w:id="42" w:name="_Hlk130457234"/>
      <w:bookmarkStart w:id="43" w:name="_Hlk130457327"/>
      <w:bookmarkStart w:id="44" w:name="_Toc28359015"/>
      <w:bookmarkStart w:id="45" w:name="_Toc35393632"/>
      <w:bookmarkStart w:id="46" w:name="_Toc28359092"/>
      <w:bookmarkStart w:id="47" w:name="_Toc35393801"/>
      <w:bookmarkStart w:id="48" w:name="_Hlk130457261"/>
      <w:r>
        <w:rPr>
          <w:rFonts w:hint="eastAsia" w:ascii="宋体" w:hAnsi="宋体" w:eastAsia="宋体" w:cs="宋体"/>
          <w:color w:val="auto"/>
          <w:sz w:val="24"/>
          <w:szCs w:val="24"/>
          <w:highlight w:val="none"/>
          <w:lang w:val="hr-HR"/>
        </w:rPr>
        <w:t>1.时间：</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lang w:val="hr-HR"/>
        </w:rPr>
        <w:t>至</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59</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lang w:val="hr-HR"/>
        </w:rPr>
        <w:t>（北京时间）。</w:t>
      </w:r>
    </w:p>
    <w:bookmarkEnd w:id="42"/>
    <w:p w14:paraId="34FD69CE">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hr-HR"/>
        </w:rPr>
        <w:t>：</w:t>
      </w:r>
      <w:bookmarkStart w:id="49" w:name="_Hlk89807779"/>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w:t>
      </w:r>
      <w:bookmarkEnd w:id="49"/>
    </w:p>
    <w:p w14:paraId="5DDD414F">
      <w:pPr>
        <w:pStyle w:val="36"/>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hr-HR"/>
        </w:rPr>
        <w:t>3.</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投标供应商登录政采云平台</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lang w:val="en-US"/>
        </w:rPr>
        <w:t>在线申请</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rPr>
        <w:t>获取</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en-US"/>
        </w:rPr>
        <w:t>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进入</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项目采购</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应用</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在获取采购文件菜单中选择项目</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申请获取采购文件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w:t>
      </w:r>
    </w:p>
    <w:p w14:paraId="42A40251">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4.售价：0元。</w:t>
      </w:r>
      <w:r>
        <w:rPr>
          <w:rFonts w:hint="eastAsia" w:ascii="宋体" w:hAnsi="宋体" w:eastAsia="宋体" w:cs="宋体"/>
          <w:color w:val="auto"/>
          <w:sz w:val="24"/>
          <w:szCs w:val="24"/>
          <w:highlight w:val="none"/>
          <w:lang w:val="hr-HR"/>
        </w:rPr>
        <w:t xml:space="preserve"> </w:t>
      </w:r>
    </w:p>
    <w:bookmarkEnd w:id="43"/>
    <w:bookmarkEnd w:id="44"/>
    <w:bookmarkEnd w:id="45"/>
    <w:bookmarkEnd w:id="46"/>
    <w:bookmarkEnd w:id="47"/>
    <w:bookmarkEnd w:id="48"/>
    <w:p w14:paraId="62F5362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0" w:name="_Toc109900251"/>
      <w:bookmarkStart w:id="51" w:name="_Toc109899413"/>
      <w:bookmarkStart w:id="52" w:name="_Toc155185863"/>
      <w:bookmarkStart w:id="53" w:name="_Toc140132748"/>
      <w:bookmarkStart w:id="54" w:name="_Toc109899832"/>
      <w:bookmarkStart w:id="55" w:name="_Toc13809"/>
      <w:bookmarkStart w:id="56" w:name="_Hlk130457395"/>
      <w:bookmarkStart w:id="57" w:name="_Toc28359094"/>
      <w:bookmarkStart w:id="58" w:name="_Toc35393803"/>
      <w:bookmarkStart w:id="59" w:name="_Toc35393634"/>
      <w:bookmarkStart w:id="60" w:name="_Toc28359017"/>
      <w:bookmarkStart w:id="61" w:name="_Toc44583633"/>
      <w:r>
        <w:rPr>
          <w:rFonts w:hint="eastAsia" w:ascii="宋体" w:hAnsi="宋体" w:eastAsia="宋体" w:cs="宋体"/>
          <w:b/>
          <w:bCs/>
          <w:color w:val="auto"/>
          <w:kern w:val="2"/>
          <w:sz w:val="24"/>
          <w:szCs w:val="24"/>
          <w:highlight w:val="none"/>
          <w:lang w:val="en-US" w:eastAsia="zh-CN" w:bidi="ar-SA"/>
        </w:rPr>
        <w:t>四、</w:t>
      </w:r>
      <w:bookmarkEnd w:id="50"/>
      <w:bookmarkEnd w:id="51"/>
      <w:bookmarkEnd w:id="52"/>
      <w:bookmarkEnd w:id="53"/>
      <w:bookmarkEnd w:id="54"/>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5"/>
    </w:p>
    <w:p w14:paraId="2D110B47">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1.截止时间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开标时间：</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51B173F3">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2.递交方式：</w:t>
      </w:r>
      <w:bookmarkStart w:id="62" w:name="_Hlk89807823"/>
      <w:r>
        <w:rPr>
          <w:rFonts w:hint="eastAsia" w:ascii="宋体" w:hAnsi="宋体" w:eastAsia="宋体" w:cs="宋体"/>
          <w:color w:val="auto"/>
          <w:sz w:val="24"/>
          <w:szCs w:val="24"/>
          <w:highlight w:val="none"/>
        </w:rPr>
        <w:t>在兵团政府采购电子交易云平台（网址：https://www.zcygov.cn/）进入“项目采购”应用，在投标文件上传菜单中选择项目进行上传。</w:t>
      </w:r>
      <w:bookmarkEnd w:id="62"/>
    </w:p>
    <w:p w14:paraId="276D3E17">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rPr>
        <w:t>登录政采云平台https</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//www.zcygov.cn/，进入项目采购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开</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val="en-US"/>
        </w:rPr>
        <w:t>评标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右边选择对应项目点击“进入项目”进入开标大厅</w:t>
      </w:r>
      <w:r>
        <w:rPr>
          <w:rFonts w:hint="eastAsia" w:ascii="宋体" w:hAnsi="宋体" w:eastAsia="宋体" w:cs="宋体"/>
          <w:color w:val="auto"/>
          <w:sz w:val="24"/>
          <w:szCs w:val="24"/>
          <w:highlight w:val="none"/>
        </w:rPr>
        <w:t>。</w:t>
      </w:r>
    </w:p>
    <w:bookmarkEnd w:id="56"/>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3" w:name="_Toc8144"/>
      <w:bookmarkStart w:id="64" w:name="_Toc109899414"/>
      <w:bookmarkStart w:id="65" w:name="_Toc109900252"/>
      <w:bookmarkStart w:id="66" w:name="_Toc155185864"/>
      <w:bookmarkStart w:id="67" w:name="_Toc109899833"/>
      <w:bookmarkStart w:id="68" w:name="_Toc140132749"/>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7"/>
      <w:bookmarkEnd w:id="58"/>
      <w:bookmarkEnd w:id="59"/>
      <w:bookmarkEnd w:id="60"/>
      <w:bookmarkEnd w:id="61"/>
      <w:bookmarkEnd w:id="63"/>
      <w:bookmarkEnd w:id="64"/>
      <w:bookmarkEnd w:id="65"/>
      <w:bookmarkEnd w:id="66"/>
      <w:bookmarkEnd w:id="67"/>
      <w:bookmarkEnd w:id="68"/>
    </w:p>
    <w:p w14:paraId="32028F42">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9" w:name="_Toc155185865"/>
      <w:bookmarkStart w:id="70" w:name="_Toc109899834"/>
      <w:bookmarkStart w:id="71" w:name="_Toc140132750"/>
      <w:bookmarkStart w:id="72" w:name="_Toc35393804"/>
      <w:bookmarkStart w:id="73" w:name="_Toc109899415"/>
      <w:bookmarkStart w:id="74" w:name="_Toc109900253"/>
      <w:bookmarkStart w:id="75" w:name="_Toc44583634"/>
      <w:bookmarkStart w:id="76" w:name="_Toc35393635"/>
      <w:bookmarkStart w:id="77" w:name="_Toc26687"/>
      <w:bookmarkStart w:id="78" w:name="_Toc35393806"/>
      <w:bookmarkStart w:id="79" w:name="_Toc28359019"/>
      <w:bookmarkStart w:id="80" w:name="_Toc28359096"/>
      <w:bookmarkStart w:id="81" w:name="_Toc35393637"/>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69"/>
      <w:bookmarkEnd w:id="70"/>
      <w:bookmarkEnd w:id="71"/>
      <w:bookmarkEnd w:id="72"/>
      <w:bookmarkEnd w:id="73"/>
      <w:bookmarkEnd w:id="74"/>
      <w:bookmarkEnd w:id="75"/>
      <w:bookmarkEnd w:id="76"/>
      <w:bookmarkEnd w:id="77"/>
    </w:p>
    <w:p w14:paraId="743BCBD0">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1、本项目实行网上投标，采用电子投标文件；</w:t>
      </w:r>
    </w:p>
    <w:p w14:paraId="1175B44A">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bookmarkEnd w:id="3"/>
    <w:bookmarkEnd w:id="78"/>
    <w:bookmarkEnd w:id="79"/>
    <w:bookmarkEnd w:id="80"/>
    <w:bookmarkEnd w:id="81"/>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2" w:name="_Toc155185866"/>
      <w:bookmarkStart w:id="83" w:name="_Toc109899835"/>
      <w:bookmarkStart w:id="84" w:name="_Toc35393805"/>
      <w:bookmarkStart w:id="85" w:name="_Toc109899416"/>
      <w:bookmarkStart w:id="86" w:name="_Toc28359095"/>
      <w:bookmarkStart w:id="87" w:name="_Toc28359018"/>
      <w:bookmarkStart w:id="88" w:name="_Toc44583635"/>
      <w:bookmarkStart w:id="89" w:name="_Toc140132751"/>
      <w:bookmarkStart w:id="90" w:name="_Toc109900254"/>
      <w:bookmarkStart w:id="91" w:name="_Toc35393636"/>
      <w:bookmarkStart w:id="92" w:name="_Toc28862"/>
      <w:r>
        <w:rPr>
          <w:rFonts w:hint="eastAsia" w:ascii="宋体" w:hAnsi="宋体" w:eastAsia="宋体" w:cs="宋体"/>
          <w:b/>
          <w:bCs/>
          <w:color w:val="auto"/>
          <w:kern w:val="2"/>
          <w:sz w:val="24"/>
          <w:szCs w:val="24"/>
          <w:highlight w:val="none"/>
          <w:lang w:val="en-US" w:eastAsia="zh-CN" w:bidi="ar-SA"/>
        </w:rPr>
        <w:t>七、</w:t>
      </w:r>
      <w:bookmarkEnd w:id="82"/>
      <w:bookmarkEnd w:id="83"/>
      <w:bookmarkEnd w:id="84"/>
      <w:bookmarkEnd w:id="85"/>
      <w:bookmarkEnd w:id="86"/>
      <w:bookmarkEnd w:id="87"/>
      <w:bookmarkEnd w:id="88"/>
      <w:bookmarkEnd w:id="89"/>
      <w:bookmarkEnd w:id="90"/>
      <w:bookmarkEnd w:id="91"/>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2"/>
    </w:p>
    <w:p w14:paraId="7B21388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0D8604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HYPERLINK "https://middle.zcygov.cn/web-user/" \l "/institution/detail?tenantCode=660800&amp;institutionId=10005820221&amp;category=01" \t "https://pay.zcygov.cn/purchaseplan_front/" \l "/plan/list/_blank"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新疆兵团第八师石河子卫生学校</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 xml:space="preserve"> </w:t>
      </w:r>
    </w:p>
    <w:p w14:paraId="7666CBE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石河子市西小路151号卫校     </w:t>
      </w:r>
    </w:p>
    <w:p w14:paraId="465793B6">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93" w:name="_Hlk46775675"/>
      <w:r>
        <w:rPr>
          <w:rFonts w:hint="eastAsia" w:ascii="宋体" w:hAnsi="宋体" w:eastAsia="宋体" w:cs="宋体"/>
          <w:color w:val="auto"/>
          <w:sz w:val="24"/>
          <w:highlight w:val="none"/>
          <w:u w:val="single"/>
        </w:rPr>
        <w:t>程霞</w:t>
      </w:r>
      <w:r>
        <w:rPr>
          <w:rFonts w:hint="eastAsia" w:cs="宋体"/>
          <w:color w:val="auto"/>
          <w:sz w:val="24"/>
          <w:highlight w:val="none"/>
          <w:u w:val="single"/>
          <w:lang w:eastAsia="zh-CN"/>
        </w:rPr>
        <w:t>、</w:t>
      </w:r>
      <w:r>
        <w:rPr>
          <w:rFonts w:hint="eastAsia" w:ascii="宋体" w:hAnsi="宋体" w:eastAsia="宋体" w:cs="宋体"/>
          <w:color w:val="auto"/>
          <w:sz w:val="24"/>
          <w:highlight w:val="none"/>
          <w:u w:val="single"/>
        </w:rPr>
        <w:t xml:space="preserve">13999331424 </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bookmarkEnd w:id="93"/>
    <w:p w14:paraId="5DDC5322">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4" w:name="_Toc35393638"/>
      <w:bookmarkStart w:id="95" w:name="_Toc28359020"/>
      <w:bookmarkStart w:id="96" w:name="_Toc28359097"/>
      <w:bookmarkStart w:id="97" w:name="_Toc35393807"/>
      <w:r>
        <w:rPr>
          <w:rFonts w:hint="eastAsia" w:ascii="宋体" w:hAnsi="宋体" w:eastAsia="宋体" w:cs="宋体"/>
          <w:color w:val="auto"/>
          <w:sz w:val="24"/>
          <w:highlight w:val="none"/>
        </w:rPr>
        <w:t>2.采购代理机构信息</w:t>
      </w:r>
      <w:bookmarkEnd w:id="94"/>
      <w:bookmarkEnd w:id="95"/>
      <w:bookmarkEnd w:id="96"/>
      <w:bookmarkEnd w:id="97"/>
    </w:p>
    <w:p w14:paraId="5E585559">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新疆懿源工程咨询管理有限公司</w:t>
      </w:r>
      <w:r>
        <w:rPr>
          <w:rFonts w:hint="eastAsia" w:ascii="宋体" w:hAnsi="宋体" w:eastAsia="宋体" w:cs="宋体"/>
          <w:color w:val="auto"/>
          <w:sz w:val="24"/>
          <w:highlight w:val="none"/>
          <w:u w:val="single"/>
        </w:rPr>
        <w:t xml:space="preserve"> </w:t>
      </w:r>
    </w:p>
    <w:p w14:paraId="2395F894">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乌鲁木齐市头屯河区卫星路513号秦郡二期（秦基大厦D座）商业办公楼405室 </w:t>
      </w:r>
    </w:p>
    <w:p w14:paraId="7EBA1364">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13009617191</w:t>
      </w:r>
      <w:r>
        <w:rPr>
          <w:rFonts w:hint="eastAsia" w:ascii="宋体" w:hAnsi="宋体" w:eastAsia="宋体" w:cs="宋体"/>
          <w:color w:val="auto"/>
          <w:sz w:val="24"/>
          <w:highlight w:val="none"/>
          <w:u w:val="single"/>
        </w:rPr>
        <w:t xml:space="preserve"> </w:t>
      </w:r>
    </w:p>
    <w:p w14:paraId="28B1182B">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szCs w:val="24"/>
          <w:highlight w:val="none"/>
          <w:lang w:val="en-US" w:eastAsia="zh-CN"/>
        </w:rPr>
      </w:pPr>
      <w:bookmarkStart w:id="98" w:name="_Toc35393639"/>
      <w:bookmarkStart w:id="99" w:name="_Toc28359098"/>
      <w:bookmarkStart w:id="100" w:name="_Toc28359021"/>
      <w:bookmarkStart w:id="101" w:name="_Toc35393808"/>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p w14:paraId="7E6118A7">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朱玉斌、何乐</w:t>
      </w:r>
      <w:r>
        <w:rPr>
          <w:rFonts w:hint="eastAsia" w:ascii="宋体" w:hAnsi="宋体" w:eastAsia="宋体" w:cs="宋体"/>
          <w:color w:val="auto"/>
          <w:sz w:val="24"/>
          <w:szCs w:val="24"/>
          <w:highlight w:val="none"/>
          <w:u w:val="single"/>
          <w:lang w:val="en-US" w:eastAsia="zh-CN"/>
        </w:rPr>
        <w:t xml:space="preserve"> </w:t>
      </w:r>
    </w:p>
    <w:bookmarkEnd w:id="98"/>
    <w:bookmarkEnd w:id="99"/>
    <w:bookmarkEnd w:id="100"/>
    <w:bookmarkEnd w:id="101"/>
    <w:p w14:paraId="567D1B59">
      <w:pPr>
        <w:pStyle w:val="36"/>
        <w:keepNext w:val="0"/>
        <w:keepLines w:val="0"/>
        <w:pageBreakBefore w:val="0"/>
        <w:widowControl w:val="0"/>
        <w:kinsoku/>
        <w:wordWrap w:val="0"/>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13009617191</w:t>
      </w:r>
      <w:r>
        <w:rPr>
          <w:rFonts w:hint="eastAsia" w:ascii="宋体" w:hAnsi="宋体" w:eastAsia="宋体" w:cs="宋体"/>
          <w:color w:val="auto"/>
          <w:sz w:val="24"/>
          <w:szCs w:val="24"/>
          <w:highlight w:val="none"/>
          <w:u w:val="single"/>
          <w:lang w:val="en-US" w:eastAsia="zh-CN"/>
        </w:rPr>
        <w:t xml:space="preserve"> </w:t>
      </w:r>
    </w:p>
    <w:p w14:paraId="4BC97B98">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0727A3B">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6A56ADB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02" w:name="_Toc5645"/>
      <w:bookmarkStart w:id="103" w:name="_Toc155185867"/>
      <w:r>
        <w:rPr>
          <w:rFonts w:hint="eastAsia" w:ascii="宋体" w:hAnsi="宋体" w:eastAsia="宋体" w:cs="宋体"/>
          <w:b/>
          <w:bCs/>
          <w:color w:val="auto"/>
          <w:kern w:val="44"/>
          <w:sz w:val="36"/>
          <w:szCs w:val="36"/>
          <w:highlight w:val="none"/>
          <w:lang w:val="en-US" w:eastAsia="zh-CN" w:bidi="ar-SA"/>
        </w:rPr>
        <w:t>第二章 投标人须知</w:t>
      </w:r>
      <w:bookmarkEnd w:id="102"/>
      <w:bookmarkEnd w:id="103"/>
    </w:p>
    <w:p w14:paraId="75B79534">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4" w:name="_Toc32038"/>
      <w:bookmarkStart w:id="105" w:name="_Toc155185868"/>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4"/>
      <w:bookmarkEnd w:id="105"/>
    </w:p>
    <w:p w14:paraId="7F3ACB7A">
      <w:pPr>
        <w:pStyle w:val="36"/>
        <w:keepNext w:val="0"/>
        <w:keepLines w:val="0"/>
        <w:pageBreakBefore w:val="0"/>
        <w:widowControl w:val="0"/>
        <w:kinsoku/>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r>
        <w:rPr>
          <w:rFonts w:hint="eastAsia" w:ascii="宋体" w:hAnsi="宋体" w:eastAsia="宋体"/>
          <w:color w:val="auto"/>
          <w:highlight w:val="none"/>
          <w:lang w:val="en-US" w:eastAsia="zh-CN"/>
        </w:rPr>
        <w:t>。</w:t>
      </w:r>
    </w:p>
    <w:tbl>
      <w:tblPr>
        <w:tblStyle w:val="29"/>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659E4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3E42F78D">
            <w:pPr>
              <w:pStyle w:val="48"/>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2.2</w:t>
            </w:r>
          </w:p>
        </w:tc>
        <w:tc>
          <w:tcPr>
            <w:tcW w:w="1738" w:type="dxa"/>
            <w:shd w:val="clear" w:color="auto" w:fill="auto"/>
            <w:vAlign w:val="center"/>
          </w:tcPr>
          <w:p w14:paraId="714B0D65">
            <w:pPr>
              <w:pStyle w:val="48"/>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采购人</w:t>
            </w:r>
          </w:p>
        </w:tc>
        <w:tc>
          <w:tcPr>
            <w:tcW w:w="6700" w:type="dxa"/>
            <w:shd w:val="clear" w:color="auto" w:fill="auto"/>
            <w:vAlign w:val="center"/>
          </w:tcPr>
          <w:p w14:paraId="055DE9E0">
            <w:pPr>
              <w:pStyle w:val="36"/>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名称：</w:t>
            </w: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HYPERLINK "https://middle.zcygov.cn/web-user/" \l "/institution/detail?tenantCode=660800&amp;institutionId=10005820221&amp;category=01" \t "https://pay.zcygov.cn/purchaseplan_front/" \l "/plan/list/_blank"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新疆兵团第八师石河子卫生学校</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 xml:space="preserve"> </w:t>
            </w:r>
          </w:p>
          <w:p w14:paraId="390B278B">
            <w:pPr>
              <w:pStyle w:val="36"/>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地址：石河子市西小路151号卫校     </w:t>
            </w:r>
          </w:p>
          <w:p w14:paraId="3B255B7A">
            <w:pPr>
              <w:pStyle w:val="48"/>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u w:val="none"/>
              </w:rPr>
              <w:t>联系方式：程霞</w:t>
            </w:r>
            <w:r>
              <w:rPr>
                <w:rFonts w:hint="eastAsia" w:cs="宋体"/>
                <w:color w:val="auto"/>
                <w:sz w:val="24"/>
                <w:highlight w:val="none"/>
                <w:u w:val="none"/>
                <w:lang w:eastAsia="zh-CN"/>
              </w:rPr>
              <w:t>、</w:t>
            </w:r>
            <w:r>
              <w:rPr>
                <w:rFonts w:hint="eastAsia" w:ascii="宋体" w:hAnsi="宋体" w:eastAsia="宋体" w:cs="宋体"/>
                <w:color w:val="auto"/>
                <w:sz w:val="24"/>
                <w:highlight w:val="none"/>
                <w:u w:val="none"/>
              </w:rPr>
              <w:t>13999331424</w:t>
            </w:r>
          </w:p>
        </w:tc>
      </w:tr>
      <w:tr w14:paraId="4D852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1E3F89DE">
            <w:pPr>
              <w:pStyle w:val="48"/>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2.3</w:t>
            </w:r>
          </w:p>
        </w:tc>
        <w:tc>
          <w:tcPr>
            <w:tcW w:w="1738" w:type="dxa"/>
            <w:shd w:val="clear" w:color="auto" w:fill="auto"/>
            <w:vAlign w:val="center"/>
          </w:tcPr>
          <w:p w14:paraId="581E02FB">
            <w:pPr>
              <w:pStyle w:val="48"/>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采购代理机构</w:t>
            </w:r>
          </w:p>
        </w:tc>
        <w:tc>
          <w:tcPr>
            <w:tcW w:w="6700" w:type="dxa"/>
            <w:shd w:val="clear" w:color="auto" w:fill="auto"/>
            <w:vAlign w:val="center"/>
          </w:tcPr>
          <w:p w14:paraId="34B0C67C">
            <w:pPr>
              <w:pStyle w:val="36"/>
              <w:keepNext w:val="0"/>
              <w:keepLines w:val="0"/>
              <w:pageBreakBefore w:val="0"/>
              <w:widowControl w:val="0"/>
              <w:kinsoku/>
              <w:wordWrap w:val="0"/>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名称： </w:t>
            </w:r>
            <w:r>
              <w:rPr>
                <w:rFonts w:hint="eastAsia" w:cs="宋体"/>
                <w:color w:val="auto"/>
                <w:sz w:val="24"/>
                <w:highlight w:val="none"/>
                <w:u w:val="none"/>
                <w:lang w:val="en-US" w:eastAsia="zh-CN"/>
              </w:rPr>
              <w:t>新疆懿源工程咨询管理有限公司</w:t>
            </w:r>
            <w:r>
              <w:rPr>
                <w:rFonts w:hint="eastAsia" w:ascii="宋体" w:hAnsi="宋体" w:eastAsia="宋体" w:cs="宋体"/>
                <w:color w:val="auto"/>
                <w:sz w:val="24"/>
                <w:highlight w:val="none"/>
                <w:u w:val="none"/>
              </w:rPr>
              <w:t xml:space="preserve"> </w:t>
            </w:r>
          </w:p>
          <w:p w14:paraId="609F49E4">
            <w:pPr>
              <w:pStyle w:val="36"/>
              <w:keepNext w:val="0"/>
              <w:keepLines w:val="0"/>
              <w:pageBreakBefore w:val="0"/>
              <w:widowControl w:val="0"/>
              <w:kinsoku/>
              <w:wordWrap w:val="0"/>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地址： 乌鲁木齐市头屯河区卫星路513号秦郡二期（秦基大厦D座）商业办公楼405室 </w:t>
            </w:r>
          </w:p>
          <w:p w14:paraId="2E9F8434">
            <w:pPr>
              <w:pStyle w:val="48"/>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u w:val="none"/>
              </w:rPr>
              <w:t>联系方式：</w:t>
            </w:r>
            <w:r>
              <w:rPr>
                <w:rFonts w:hint="eastAsia" w:cs="宋体"/>
                <w:color w:val="auto"/>
                <w:sz w:val="24"/>
                <w:szCs w:val="24"/>
                <w:highlight w:val="none"/>
                <w:u w:val="none"/>
                <w:lang w:val="en-US" w:eastAsia="zh-CN"/>
              </w:rPr>
              <w:t>朱玉斌</w:t>
            </w:r>
            <w:r>
              <w:rPr>
                <w:rFonts w:hint="eastAsia" w:cs="宋体"/>
                <w:color w:val="auto"/>
                <w:sz w:val="24"/>
                <w:highlight w:val="none"/>
                <w:u w:val="none"/>
                <w:lang w:eastAsia="zh-CN"/>
              </w:rPr>
              <w:t>、</w:t>
            </w:r>
            <w:r>
              <w:rPr>
                <w:rFonts w:hint="eastAsia" w:cs="宋体"/>
                <w:color w:val="auto"/>
                <w:sz w:val="24"/>
                <w:highlight w:val="none"/>
                <w:u w:val="none"/>
                <w:lang w:val="en-US" w:eastAsia="zh-CN"/>
              </w:rPr>
              <w:t>13009617191</w:t>
            </w:r>
          </w:p>
        </w:tc>
      </w:tr>
      <w:tr w14:paraId="5014E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0C10C6A0">
            <w:pPr>
              <w:pStyle w:val="48"/>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p>
        </w:tc>
        <w:tc>
          <w:tcPr>
            <w:tcW w:w="1738" w:type="dxa"/>
            <w:shd w:val="clear" w:color="auto" w:fill="auto"/>
            <w:vAlign w:val="center"/>
          </w:tcPr>
          <w:p w14:paraId="4EFEF461">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政府采购监督管理部门</w:t>
            </w:r>
          </w:p>
        </w:tc>
        <w:tc>
          <w:tcPr>
            <w:tcW w:w="6700" w:type="dxa"/>
            <w:shd w:val="clear" w:color="auto" w:fill="auto"/>
            <w:vAlign w:val="center"/>
          </w:tcPr>
          <w:p w14:paraId="4D4ABF59">
            <w:pPr>
              <w:pStyle w:val="48"/>
              <w:rPr>
                <w:rFonts w:ascii="宋体" w:hAnsi="宋体" w:eastAsia="宋体" w:cs="宋体"/>
                <w:sz w:val="24"/>
                <w:szCs w:val="24"/>
              </w:rPr>
            </w:pPr>
            <w:r>
              <w:rPr>
                <w:rFonts w:ascii="宋体" w:hAnsi="宋体" w:eastAsia="宋体" w:cs="宋体"/>
                <w:sz w:val="24"/>
                <w:szCs w:val="24"/>
              </w:rPr>
              <w:t>名称：石河子市财政局采购办</w:t>
            </w:r>
          </w:p>
          <w:p w14:paraId="4ADF8A54">
            <w:pPr>
              <w:pStyle w:val="48"/>
              <w:rPr>
                <w:rFonts w:ascii="宋体" w:hAnsi="宋体" w:eastAsia="宋体" w:cs="宋体"/>
                <w:sz w:val="24"/>
                <w:szCs w:val="24"/>
              </w:rPr>
            </w:pPr>
            <w:r>
              <w:rPr>
                <w:rFonts w:ascii="宋体" w:hAnsi="宋体" w:eastAsia="宋体" w:cs="宋体"/>
                <w:sz w:val="24"/>
                <w:szCs w:val="24"/>
              </w:rPr>
              <w:t>地址：新疆石河子市北四路</w:t>
            </w:r>
          </w:p>
          <w:p w14:paraId="0D6622DE">
            <w:pPr>
              <w:pStyle w:val="48"/>
              <w:rPr>
                <w:rFonts w:ascii="宋体" w:hAnsi="宋体" w:eastAsia="宋体" w:cs="宋体"/>
                <w:sz w:val="24"/>
                <w:szCs w:val="24"/>
              </w:rPr>
            </w:pPr>
            <w:r>
              <w:rPr>
                <w:rFonts w:ascii="宋体" w:hAnsi="宋体" w:eastAsia="宋体" w:cs="宋体"/>
                <w:sz w:val="24"/>
                <w:szCs w:val="24"/>
              </w:rPr>
              <w:t>联系人：程丰</w:t>
            </w:r>
          </w:p>
          <w:p w14:paraId="2AED7EAF">
            <w:pPr>
              <w:pStyle w:val="48"/>
              <w:rPr>
                <w:rFonts w:hint="eastAsia" w:ascii="宋体" w:hAnsi="宋体" w:eastAsia="宋体" w:cs="宋体"/>
                <w:color w:val="auto"/>
                <w:sz w:val="24"/>
                <w:szCs w:val="24"/>
                <w:highlight w:val="none"/>
                <w:lang w:val="en-US" w:eastAsia="zh-CN"/>
              </w:rPr>
            </w:pPr>
            <w:r>
              <w:rPr>
                <w:rFonts w:ascii="宋体" w:hAnsi="宋体" w:eastAsia="宋体" w:cs="宋体"/>
                <w:sz w:val="24"/>
                <w:szCs w:val="24"/>
              </w:rPr>
              <w:t>联系方式：0993-2068632</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60441C76">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shd w:val="clear" w:color="auto" w:fill="auto"/>
            <w:vAlign w:val="center"/>
          </w:tcPr>
          <w:p w14:paraId="3D9DB5F0">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服务包含的内容</w:t>
            </w:r>
          </w:p>
        </w:tc>
        <w:tc>
          <w:tcPr>
            <w:tcW w:w="6700" w:type="dxa"/>
            <w:shd w:val="clear" w:color="auto" w:fill="auto"/>
            <w:vAlign w:val="center"/>
          </w:tcPr>
          <w:p w14:paraId="6A9B68BA">
            <w:pPr>
              <w:pStyle w:val="48"/>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主要内容：</w:t>
            </w:r>
            <w:r>
              <w:rPr>
                <w:rFonts w:hint="eastAsia" w:ascii="宋体" w:hAnsi="宋体" w:eastAsia="宋体" w:cs="宋体"/>
                <w:color w:val="auto"/>
                <w:sz w:val="24"/>
                <w:szCs w:val="24"/>
                <w:highlight w:val="none"/>
                <w:u w:val="single"/>
                <w:lang w:val="en-US" w:eastAsia="zh-CN"/>
              </w:rPr>
              <w:t xml:space="preserve"> 石河子卫生学校《中国特色社会主义》课程虚拟仿真资源定制开发项目内容主要包含：根据《中等职业学校思想政治课程标准（2020版）》、国家统编教材《中国特色社会主义》（高等教育出版社），梳理出不少于14个的主题内容，进行虚拟仿真交互类的三维全景视频教学资源的定制开发建设（含PC版）；思政课教育教学平台（含中职、高职）免费使用3年。项目建成后将有效推动学校思想政治理论课教学改革与发展 </w:t>
            </w:r>
            <w:r>
              <w:rPr>
                <w:rFonts w:hint="eastAsia" w:ascii="宋体" w:hAnsi="宋体" w:eastAsia="宋体" w:cs="宋体"/>
                <w:color w:val="auto"/>
                <w:sz w:val="24"/>
                <w:szCs w:val="24"/>
                <w:highlight w:val="none"/>
                <w:lang w:val="en-US" w:eastAsia="zh-CN"/>
              </w:rPr>
              <w:t xml:space="preserve">。 </w:t>
            </w:r>
          </w:p>
          <w:p w14:paraId="15D5290A">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□其他内容：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88" w:hRule="atLeast"/>
        </w:trPr>
        <w:tc>
          <w:tcPr>
            <w:tcW w:w="970" w:type="dxa"/>
            <w:vAlign w:val="center"/>
          </w:tcPr>
          <w:p w14:paraId="3A13689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48"/>
              <w:rPr>
                <w:rFonts w:hint="eastAsia" w:ascii="宋体" w:hAnsi="宋体" w:eastAsia="宋体" w:cs="宋体"/>
                <w:color w:val="auto"/>
                <w:sz w:val="24"/>
                <w:szCs w:val="24"/>
                <w:highlight w:val="none"/>
              </w:rPr>
            </w:pPr>
            <w:bookmarkStart w:id="106" w:name="_Hlk143529175"/>
            <w:r>
              <w:rPr>
                <w:rFonts w:hint="eastAsia" w:ascii="宋体" w:hAnsi="宋体" w:eastAsia="宋体" w:cs="宋体"/>
                <w:color w:val="auto"/>
                <w:sz w:val="24"/>
                <w:szCs w:val="24"/>
                <w:highlight w:val="none"/>
              </w:rPr>
              <w:t>现场考察</w:t>
            </w:r>
            <w:bookmarkEnd w:id="106"/>
          </w:p>
        </w:tc>
        <w:tc>
          <w:tcPr>
            <w:tcW w:w="6700" w:type="dxa"/>
            <w:vAlign w:val="center"/>
          </w:tcPr>
          <w:p w14:paraId="36549596">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938D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24" w:hRule="atLeast"/>
        </w:trPr>
        <w:tc>
          <w:tcPr>
            <w:tcW w:w="970" w:type="dxa"/>
            <w:shd w:val="clear" w:color="auto" w:fill="auto"/>
            <w:vAlign w:val="center"/>
          </w:tcPr>
          <w:p w14:paraId="72B7B10E">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9.5</w:t>
            </w:r>
          </w:p>
        </w:tc>
        <w:tc>
          <w:tcPr>
            <w:tcW w:w="1738" w:type="dxa"/>
            <w:shd w:val="clear" w:color="auto" w:fill="auto"/>
            <w:vAlign w:val="center"/>
          </w:tcPr>
          <w:p w14:paraId="5202195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答疑会</w:t>
            </w:r>
          </w:p>
        </w:tc>
        <w:tc>
          <w:tcPr>
            <w:tcW w:w="6700" w:type="dxa"/>
            <w:shd w:val="clear" w:color="auto" w:fill="auto"/>
            <w:vAlign w:val="center"/>
          </w:tcPr>
          <w:p w14:paraId="632E2EEB">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6646290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7A836479">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CC81D0">
            <w:pPr>
              <w:pStyle w:val="48"/>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cs="宋体"/>
                <w:color w:val="auto"/>
                <w:sz w:val="24"/>
                <w:szCs w:val="24"/>
                <w:highlight w:val="none"/>
                <w:u w:val="single"/>
                <w:lang w:val="en-US" w:eastAsia="zh-CN"/>
              </w:rPr>
              <w:t>电话咨询13009617191</w:t>
            </w:r>
            <w:r>
              <w:rPr>
                <w:rFonts w:hint="eastAsia" w:ascii="宋体" w:hAnsi="宋体" w:eastAsia="宋体" w:cs="宋体"/>
                <w:color w:val="auto"/>
                <w:sz w:val="24"/>
                <w:szCs w:val="24"/>
                <w:highlight w:val="none"/>
              </w:rPr>
              <w:t>。</w:t>
            </w:r>
          </w:p>
          <w:p w14:paraId="09E4A188">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u w:val="single"/>
                <w:lang w:val="en-US" w:eastAsia="zh-CN"/>
              </w:rPr>
              <w:t>获取采购文件后72小时内（工作日每天上午 10:30至13:30，下午15:30 至19:00）</w:t>
            </w:r>
            <w:r>
              <w:rPr>
                <w:rFonts w:hint="eastAsia" w:ascii="宋体" w:hAnsi="宋体" w:eastAsia="宋体" w:cs="宋体"/>
                <w:color w:val="auto"/>
                <w:sz w:val="24"/>
                <w:szCs w:val="24"/>
                <w:highlight w:val="none"/>
              </w:rPr>
              <w:t>。</w:t>
            </w:r>
          </w:p>
        </w:tc>
      </w:tr>
      <w:tr w14:paraId="1242F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58E795A">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738" w:type="dxa"/>
            <w:vAlign w:val="center"/>
          </w:tcPr>
          <w:p w14:paraId="77D6D34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700" w:type="dxa"/>
            <w:vAlign w:val="center"/>
          </w:tcPr>
          <w:p w14:paraId="2049A83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本项目预算及最高限价100万元</w:t>
            </w:r>
            <w:r>
              <w:rPr>
                <w:rFonts w:hint="eastAsia" w:cs="宋体"/>
                <w:color w:val="auto"/>
                <w:sz w:val="24"/>
                <w:szCs w:val="24"/>
                <w:highlight w:val="none"/>
                <w:lang w:val="en-US" w:eastAsia="zh-CN"/>
              </w:rPr>
              <w:t>（壹佰万元整）</w:t>
            </w:r>
            <w:r>
              <w:rPr>
                <w:rFonts w:hint="eastAsia" w:ascii="宋体" w:hAnsi="宋体" w:eastAsia="宋体" w:cs="宋体"/>
                <w:color w:val="auto"/>
                <w:sz w:val="24"/>
                <w:szCs w:val="24"/>
                <w:highlight w:val="none"/>
                <w:lang w:val="en-US" w:eastAsia="zh-CN"/>
              </w:rPr>
              <w:t>，投标人的投标报价</w:t>
            </w:r>
            <w:r>
              <w:rPr>
                <w:rFonts w:hint="eastAsia" w:hAnsi="宋体" w:cs="Arial"/>
                <w:bCs/>
                <w:color w:val="auto"/>
                <w:highlight w:val="none"/>
              </w:rPr>
              <w:t>不得超过最高限价</w:t>
            </w:r>
            <w:r>
              <w:rPr>
                <w:rFonts w:hint="eastAsia" w:ascii="宋体" w:hAnsi="宋体" w:eastAsia="宋体" w:cs="宋体"/>
                <w:color w:val="auto"/>
                <w:sz w:val="24"/>
                <w:szCs w:val="24"/>
                <w:highlight w:val="none"/>
                <w:lang w:val="en-US" w:eastAsia="zh-CN"/>
              </w:rPr>
              <w:t>，否则，其投标无效。投标人投标总报价应包括全部开发服务、培训、维护与技术支持、备品备件、税金等所有费用。</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DB59B05">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0BF9BA2B">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bookmarkStart w:id="107" w:name="OLE_LINK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450DDA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7F301098">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58EEA3C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定额收取：人民币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7C908A20">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r>
              <w:rPr>
                <w:rFonts w:hint="eastAsia" w:ascii="宋体" w:hAnsi="宋体" w:cs="宋体"/>
                <w:color w:val="auto"/>
                <w:sz w:val="24"/>
                <w:szCs w:val="24"/>
                <w:highlight w:val="none"/>
                <w:lang w:val="en-US" w:eastAsia="zh-CN"/>
              </w:rPr>
              <w:t>/</w:t>
            </w:r>
          </w:p>
          <w:bookmarkEnd w:id="107"/>
          <w:p w14:paraId="453FAB8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 1.依据兵财库(2023)29号“关于进一步优化政府采购营商环 境的通知”，从2023年10月1日起(以发布采购公告时间为准)，200万元(含)以下的货物、服务项目，400万元(含)以下的工程项目、采用框架协议采购方式的项目免收投标保证金。</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37" w:hRule="atLeast"/>
        </w:trPr>
        <w:tc>
          <w:tcPr>
            <w:tcW w:w="970" w:type="dxa"/>
            <w:vAlign w:val="center"/>
          </w:tcPr>
          <w:p w14:paraId="0FAEE6C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4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4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1.样品制作的标准和要求：_________； </w:t>
            </w:r>
          </w:p>
          <w:p w14:paraId="636410A9">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2.是否需要随样品提交相关检测报告： </w:t>
            </w:r>
          </w:p>
          <w:p w14:paraId="4042F79A">
            <w:pPr>
              <w:pStyle w:val="48"/>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48"/>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5.中标人样品保管、封存及退还：_________； </w:t>
            </w:r>
          </w:p>
          <w:p w14:paraId="5F60BBB0">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CE72DC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4C7DC32D">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r>
              <w:rPr>
                <w:rFonts w:hint="eastAsia" w:ascii="宋体" w:hAnsi="宋体" w:eastAsia="宋体" w:cs="宋体"/>
                <w:color w:val="auto"/>
                <w:sz w:val="24"/>
                <w:szCs w:val="24"/>
                <w:highlight w:val="none"/>
              </w:rPr>
              <w:t>。</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vAlign w:val="center"/>
          </w:tcPr>
          <w:p w14:paraId="23FC94CD">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3" w:hRule="atLeast"/>
        </w:trPr>
        <w:tc>
          <w:tcPr>
            <w:tcW w:w="970" w:type="dxa"/>
            <w:vAlign w:val="center"/>
          </w:tcPr>
          <w:p w14:paraId="42D57B39">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EEE9B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16D85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shd w:val="clear" w:color="auto" w:fill="auto"/>
            <w:vAlign w:val="center"/>
          </w:tcPr>
          <w:p w14:paraId="1B46F00E">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shd w:val="clear" w:color="auto" w:fill="auto"/>
            <w:vAlign w:val="center"/>
          </w:tcPr>
          <w:p w14:paraId="2789643E">
            <w:pPr>
              <w:pStyle w:val="48"/>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700" w:type="dxa"/>
            <w:shd w:val="clear" w:color="auto" w:fill="auto"/>
            <w:vAlign w:val="center"/>
          </w:tcPr>
          <w:p w14:paraId="6976A72E">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446453BE">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□免收</w:t>
            </w:r>
          </w:p>
          <w:p w14:paraId="14858B73">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合同价的</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2795CC0D">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元</w:t>
            </w:r>
          </w:p>
          <w:p w14:paraId="172638B8">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乙方须在签订合同15日内按合同总金额</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%向甲方缴纳履约保证金（政采云电子保函），保函有效期:3年，履约完成后保函自动失效。</w:t>
            </w:r>
          </w:p>
          <w:p w14:paraId="20AB6EC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收取单位：新疆兵团第八师石河子卫生学校</w:t>
            </w:r>
          </w:p>
          <w:p w14:paraId="4D83FA75">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4.收取账号：</w:t>
            </w:r>
            <w:r>
              <w:rPr>
                <w:rFonts w:hint="eastAsia" w:cs="宋体"/>
                <w:color w:val="auto"/>
                <w:sz w:val="24"/>
                <w:szCs w:val="24"/>
                <w:highlight w:val="none"/>
                <w:lang w:val="en-US" w:eastAsia="zh-CN"/>
              </w:rPr>
              <w:t>/</w:t>
            </w:r>
          </w:p>
          <w:p w14:paraId="41B3BE7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退还时间：履约完成后保函自动失效。</w:t>
            </w:r>
          </w:p>
          <w:p w14:paraId="32E52EF0">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1033F0D6">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257AE723">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2" w:hRule="atLeast"/>
        </w:trPr>
        <w:tc>
          <w:tcPr>
            <w:tcW w:w="970" w:type="dxa"/>
            <w:vAlign w:val="center"/>
          </w:tcPr>
          <w:p w14:paraId="600814B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50ED2A63">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cs="宋体"/>
                <w:color w:val="auto"/>
                <w:kern w:val="2"/>
                <w:sz w:val="24"/>
                <w:szCs w:val="24"/>
                <w:highlight w:val="none"/>
                <w:lang w:val="zh-CN" w:eastAsia="zh-CN" w:bidi="ar-SA"/>
              </w:rPr>
              <w:t>：</w:t>
            </w:r>
            <w:r>
              <w:rPr>
                <w:rFonts w:hint="eastAsia" w:ascii="宋体" w:hAnsi="宋体" w:cs="宋体"/>
                <w:color w:val="auto"/>
                <w:sz w:val="24"/>
                <w:szCs w:val="24"/>
                <w:highlight w:val="none"/>
                <w:u w:val="single"/>
                <w:lang w:val="en-US" w:eastAsia="zh-CN"/>
              </w:rPr>
              <w:t>①对采购文件提出质疑的，应当在获取采购文件或者采购文件公告期限届满之日起7个工作日内提出，供应商应在法定质疑期内一次性提出所有质疑事项。②质疑函应以书面形式（按照财政部94号令要求）通知采购代理机构。采购代理机构将在收到质疑函后7个工作日内作出答复，并以书面形式通知质疑供应商。</w:t>
            </w:r>
          </w:p>
          <w:p w14:paraId="417456BD">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eastAsia="宋体" w:cs="宋体"/>
                <w:color w:val="auto"/>
                <w:sz w:val="24"/>
                <w:szCs w:val="24"/>
                <w:highlight w:val="none"/>
                <w:u w:val="single"/>
              </w:rPr>
              <w:t xml:space="preserve"> 新疆懿源工程咨询管理有限公司 </w:t>
            </w:r>
            <w:r>
              <w:rPr>
                <w:rFonts w:hint="eastAsia" w:ascii="宋体" w:hAnsi="宋体" w:eastAsia="宋体" w:cs="宋体"/>
                <w:color w:val="auto"/>
                <w:kern w:val="2"/>
                <w:sz w:val="24"/>
                <w:szCs w:val="24"/>
                <w:highlight w:val="none"/>
                <w:lang w:val="zh-CN" w:eastAsia="zh-CN" w:bidi="ar-SA"/>
              </w:rPr>
              <w:t xml:space="preserve">              </w:t>
            </w:r>
          </w:p>
          <w:p w14:paraId="7C461F28">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13009617191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zh-CN" w:eastAsia="zh-CN" w:bidi="ar-SA"/>
              </w:rPr>
              <w:t xml:space="preserve">              </w:t>
            </w:r>
          </w:p>
          <w:p w14:paraId="30211831">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eastAsia="宋体" w:cs="宋体"/>
                <w:color w:val="auto"/>
                <w:sz w:val="24"/>
                <w:szCs w:val="24"/>
                <w:highlight w:val="none"/>
                <w:u w:val="single"/>
              </w:rPr>
              <w:t xml:space="preserve"> 乌鲁木齐市头屯河区卫星路513号秦郡二期（秦基大厦D座）商业办公楼405室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80" w:hRule="atLeast"/>
        </w:trPr>
        <w:tc>
          <w:tcPr>
            <w:tcW w:w="970" w:type="dxa"/>
            <w:vAlign w:val="center"/>
          </w:tcPr>
          <w:p w14:paraId="422A3CDD">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1782DE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016BC854">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参照计价格[2002]1980号文件的招标代理服务收费标准计算</w:t>
            </w:r>
            <w:r>
              <w:rPr>
                <w:rFonts w:hint="eastAsia" w:cs="宋体"/>
                <w:color w:val="auto"/>
                <w:sz w:val="24"/>
                <w:szCs w:val="24"/>
                <w:highlight w:val="none"/>
                <w:u w:val="single"/>
                <w:lang w:eastAsia="zh-CN"/>
              </w:rPr>
              <w:t>。</w:t>
            </w:r>
          </w:p>
          <w:p w14:paraId="742AC16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cs="宋体"/>
                <w:color w:val="auto"/>
                <w:sz w:val="24"/>
                <w:szCs w:val="24"/>
                <w:highlight w:val="none"/>
                <w:u w:val="single"/>
                <w:lang w:val="en-US" w:eastAsia="zh-CN"/>
              </w:rPr>
              <w:t>中标单位在《中标通知书》核发前一次性交纳</w:t>
            </w:r>
            <w:r>
              <w:rPr>
                <w:rFonts w:hint="eastAsia" w:ascii="宋体" w:hAnsi="宋体" w:eastAsia="宋体" w:cs="宋体"/>
                <w:color w:val="auto"/>
                <w:sz w:val="24"/>
                <w:szCs w:val="24"/>
                <w:highlight w:val="none"/>
                <w:u w:val="single"/>
              </w:rPr>
              <w:t xml:space="preserve"> </w:t>
            </w:r>
          </w:p>
          <w:p w14:paraId="7B49B5E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cs="宋体"/>
                <w:color w:val="auto"/>
                <w:sz w:val="24"/>
                <w:szCs w:val="24"/>
                <w:highlight w:val="none"/>
                <w:u w:val="single"/>
                <w:lang w:val="en-US" w:eastAsia="zh-CN"/>
              </w:rPr>
              <w:t>以</w:t>
            </w:r>
            <w:r>
              <w:rPr>
                <w:rFonts w:hint="eastAsia" w:ascii="宋体" w:hAnsi="宋体" w:eastAsia="宋体" w:cs="宋体"/>
                <w:color w:val="auto"/>
                <w:sz w:val="24"/>
                <w:szCs w:val="24"/>
                <w:highlight w:val="none"/>
                <w:u w:val="single"/>
              </w:rPr>
              <w:t>电汇、转账、网银</w:t>
            </w:r>
            <w:r>
              <w:rPr>
                <w:rFonts w:hint="eastAsia" w:cs="宋体"/>
                <w:color w:val="auto"/>
                <w:sz w:val="24"/>
                <w:szCs w:val="24"/>
                <w:highlight w:val="none"/>
                <w:u w:val="single"/>
                <w:lang w:val="en-US" w:eastAsia="zh-CN"/>
              </w:rPr>
              <w:t>的方式缴纳至投标保证金账户</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51" w:hRule="atLeast"/>
        </w:trPr>
        <w:tc>
          <w:tcPr>
            <w:tcW w:w="970" w:type="dxa"/>
            <w:vAlign w:val="center"/>
          </w:tcPr>
          <w:p w14:paraId="6F1BF37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4" w:hRule="atLeast"/>
        </w:trPr>
        <w:tc>
          <w:tcPr>
            <w:tcW w:w="970" w:type="dxa"/>
            <w:vAlign w:val="center"/>
          </w:tcPr>
          <w:p w14:paraId="0664880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2"/>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6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6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6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6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69"/>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78" w:hRule="atLeast"/>
        </w:trPr>
        <w:tc>
          <w:tcPr>
            <w:tcW w:w="970" w:type="dxa"/>
            <w:vAlign w:val="center"/>
          </w:tcPr>
          <w:p w14:paraId="3AAFC5B3">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48"/>
              <w:rPr>
                <w:rFonts w:hint="eastAsia" w:ascii="宋体" w:hAnsi="宋体" w:eastAsia="宋体" w:cs="宋体"/>
                <w:color w:val="auto"/>
                <w:sz w:val="24"/>
                <w:szCs w:val="24"/>
                <w:highlight w:val="none"/>
                <w:lang w:val="en-US" w:eastAsia="zh-CN"/>
              </w:rPr>
            </w:pPr>
            <w:r>
              <w:rPr>
                <w:rStyle w:val="32"/>
                <w:rFonts w:hint="eastAsia" w:ascii="宋体" w:hAnsi="宋体" w:eastAsia="宋体" w:cs="宋体"/>
                <w:b w:val="0"/>
                <w:color w:val="auto"/>
                <w:sz w:val="24"/>
                <w:szCs w:val="24"/>
                <w:highlight w:val="none"/>
                <w:lang w:val="en-US" w:eastAsia="zh-CN"/>
              </w:rPr>
              <w:t>参照后附</w:t>
            </w:r>
            <w:r>
              <w:rPr>
                <w:rStyle w:val="32"/>
                <w:rFonts w:hint="eastAsia" w:ascii="宋体" w:hAnsi="宋体" w:eastAsia="宋体" w:cs="宋体"/>
                <w:b w:val="0"/>
                <w:color w:val="auto"/>
                <w:sz w:val="24"/>
                <w:szCs w:val="24"/>
                <w:highlight w:val="none"/>
                <w:lang w:eastAsia="zh-CN"/>
              </w:rPr>
              <w:t>《</w:t>
            </w:r>
            <w:r>
              <w:rPr>
                <w:rStyle w:val="32"/>
                <w:rFonts w:hint="eastAsia" w:ascii="宋体" w:hAnsi="宋体" w:eastAsia="宋体" w:cs="宋体"/>
                <w:b w:val="0"/>
                <w:color w:val="auto"/>
                <w:sz w:val="24"/>
                <w:szCs w:val="24"/>
                <w:highlight w:val="none"/>
              </w:rPr>
              <w:t>工信部联企业〔2011〕300号</w:t>
            </w:r>
            <w:r>
              <w:rPr>
                <w:rStyle w:val="32"/>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0"/>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第1包</w:t>
                  </w:r>
                </w:p>
              </w:tc>
              <w:tc>
                <w:tcPr>
                  <w:tcW w:w="1824" w:type="dxa"/>
                  <w:shd w:val="clear" w:color="auto" w:fill="auto"/>
                  <w:vAlign w:val="center"/>
                </w:tcPr>
                <w:p w14:paraId="402B25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详见招标文件第三章 采购需求</w:t>
                  </w:r>
                </w:p>
              </w:tc>
              <w:tc>
                <w:tcPr>
                  <w:tcW w:w="3245" w:type="dxa"/>
                  <w:shd w:val="clear" w:color="auto" w:fill="auto"/>
                  <w:vAlign w:val="center"/>
                </w:tcPr>
                <w:p w14:paraId="6A9C8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详见招标文件第三章 采购需求</w:t>
                  </w:r>
                </w:p>
              </w:tc>
            </w:tr>
          </w:tbl>
          <w:p w14:paraId="5E4C6FEC">
            <w:pPr>
              <w:pStyle w:val="48"/>
              <w:rPr>
                <w:rFonts w:hint="eastAsia" w:ascii="宋体" w:hAnsi="宋体" w:eastAsia="宋体" w:cs="宋体"/>
                <w:color w:val="auto"/>
                <w:sz w:val="24"/>
                <w:szCs w:val="24"/>
                <w:highlight w:val="none"/>
              </w:rPr>
            </w:pPr>
          </w:p>
        </w:tc>
      </w:tr>
      <w:tr w14:paraId="4C8E5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72" w:hRule="atLeast"/>
        </w:trPr>
        <w:tc>
          <w:tcPr>
            <w:tcW w:w="970" w:type="dxa"/>
            <w:shd w:val="clear" w:color="auto" w:fill="auto"/>
            <w:vAlign w:val="center"/>
          </w:tcPr>
          <w:p w14:paraId="213F4586">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7C0C8321">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34ED5C0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1.根据《国家市场监督管理总局关于发布强制性产品认证目录描述与界定表的公告》（2023 年第 36 号）要求，本项目的产品</w:t>
            </w:r>
            <w:r>
              <w:rPr>
                <w:rFonts w:hint="eastAsia" w:cs="宋体"/>
                <w:color w:val="auto"/>
                <w:sz w:val="24"/>
                <w:szCs w:val="24"/>
                <w:highlight w:val="none"/>
                <w:lang w:val="en-US" w:eastAsia="zh-CN"/>
              </w:rPr>
              <w:t>如</w:t>
            </w:r>
            <w:r>
              <w:rPr>
                <w:rFonts w:hint="eastAsia" w:ascii="宋体" w:hAnsi="宋体" w:eastAsia="宋体" w:cs="宋体"/>
                <w:color w:val="auto"/>
                <w:sz w:val="24"/>
                <w:szCs w:val="24"/>
                <w:highlight w:val="none"/>
              </w:rPr>
              <w:t>属于《强制性产品认证目录》、《强制性产品认证目录描述与界定表（2023 年修订）》范围内产品，应取得有效期内的强制性认证证书（CCC认证证书），供应商须在投标文件中提供认证证书复印件（加盖公章），否则将被视为无效投标。</w:t>
            </w:r>
          </w:p>
          <w:p w14:paraId="05E5FA0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2.根据财政部、发展改革委、生态环境部、市场监管总局联合发布的《关于调整优化节能产品、环境标志产品政府采购执行机制的通知》 (财库[2019]9 号)要求,本项目采购产品</w:t>
            </w:r>
            <w:r>
              <w:rPr>
                <w:rFonts w:hint="eastAsia" w:cs="宋体"/>
                <w:color w:val="auto"/>
                <w:sz w:val="24"/>
                <w:szCs w:val="24"/>
                <w:highlight w:val="none"/>
                <w:lang w:val="en-US" w:eastAsia="zh-CN"/>
              </w:rPr>
              <w:t>如</w:t>
            </w:r>
            <w:r>
              <w:rPr>
                <w:rFonts w:hint="eastAsia" w:ascii="宋体" w:hAnsi="宋体" w:eastAsia="宋体" w:cs="宋体"/>
                <w:color w:val="auto"/>
                <w:sz w:val="24"/>
                <w:szCs w:val="24"/>
                <w:highlight w:val="none"/>
              </w:rPr>
              <w:t>属于《关于印发节能产品政府采购品目清单的通知》（财库[2019]19 号）范围内的政府强制采购产品，应取得有效期内的节能产品认证证书，供应商须在投标文件中提供认证证书复印件（加盖公章），否则将被视为无效投标。</w:t>
            </w:r>
          </w:p>
          <w:p w14:paraId="299F639F">
            <w:pPr>
              <w:pStyle w:val="4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根据财政部、发展改革委、生态环境部、市场监管总局联合发布的《关于调整优化节能产品、环境标志产品政府采购执行机制的通知》(财库[2019]9号)要求,本项目采购产品</w:t>
            </w:r>
            <w:r>
              <w:rPr>
                <w:rFonts w:hint="eastAsia" w:cs="宋体"/>
                <w:color w:val="auto"/>
                <w:sz w:val="24"/>
                <w:szCs w:val="24"/>
                <w:highlight w:val="none"/>
                <w:lang w:val="en-US" w:eastAsia="zh-CN"/>
              </w:rPr>
              <w:t>如</w:t>
            </w:r>
            <w:r>
              <w:rPr>
                <w:rFonts w:hint="eastAsia" w:ascii="宋体" w:hAnsi="宋体" w:eastAsia="宋体" w:cs="宋体"/>
                <w:color w:val="auto"/>
                <w:sz w:val="24"/>
                <w:szCs w:val="24"/>
                <w:highlight w:val="none"/>
              </w:rPr>
              <w:t>属于《关于印发节能产品政府采购品目清单的通知》（财库[2019]19号）、《关于印发环境标志产品政府采购品目清单的通知》（财库[2019]18号）范围内的政府优先采购产品的，应取得有效期内的节能产品、环境标志产品认证证书，供应商须在投标文件中提供认证证书复印件（加盖公章），否则不予认定。</w:t>
            </w:r>
          </w:p>
          <w:p w14:paraId="66E88808">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同一项目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74" w:hRule="atLeast"/>
        </w:trPr>
        <w:tc>
          <w:tcPr>
            <w:tcW w:w="970" w:type="dxa"/>
            <w:tcBorders>
              <w:right w:val="single" w:color="auto" w:sz="4" w:space="0"/>
            </w:tcBorders>
            <w:vAlign w:val="center"/>
          </w:tcPr>
          <w:p w14:paraId="08D3F63A">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651753D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56E3078D">
            <w:pPr>
              <w:pStyle w:val="48"/>
              <w:rPr>
                <w:rFonts w:hint="eastAsia" w:cs="宋体"/>
                <w:color w:val="auto"/>
                <w:sz w:val="24"/>
                <w:szCs w:val="24"/>
                <w:highlight w:val="none"/>
                <w:u w:val="single"/>
                <w:lang w:val="en-US" w:eastAsia="zh-CN"/>
              </w:rPr>
            </w:pPr>
            <w:r>
              <w:rPr>
                <w:rFonts w:hint="eastAsia" w:ascii="宋体" w:hAnsi="宋体" w:eastAsia="宋体" w:cs="宋体"/>
                <w:color w:val="auto"/>
                <w:sz w:val="24"/>
                <w:szCs w:val="24"/>
                <w:highlight w:val="none"/>
              </w:rPr>
              <w:t>渠道和方式：</w:t>
            </w:r>
            <w:r>
              <w:rPr>
                <w:rFonts w:hint="eastAsia" w:cs="宋体"/>
                <w:color w:val="auto"/>
                <w:sz w:val="24"/>
                <w:szCs w:val="24"/>
                <w:highlight w:val="none"/>
                <w:u w:val="single"/>
                <w:lang w:val="en-US" w:eastAsia="zh-CN"/>
              </w:rPr>
              <w:t>详见《关于开展政府采购合同信用融资工作的通</w:t>
            </w:r>
          </w:p>
          <w:p w14:paraId="02713A72">
            <w:pPr>
              <w:pStyle w:val="48"/>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知》（兵财库【2022】31 号）文件</w:t>
            </w:r>
            <w:r>
              <w:rPr>
                <w:rFonts w:hint="eastAsia" w:ascii="宋体" w:hAnsi="宋体" w:eastAsia="宋体" w:cs="宋体"/>
                <w:color w:val="auto"/>
                <w:sz w:val="24"/>
                <w:szCs w:val="24"/>
                <w:highlight w:val="none"/>
              </w:rPr>
              <w:t>。</w:t>
            </w:r>
          </w:p>
          <w:p w14:paraId="5D7FBF5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60" w:hRule="atLeast"/>
        </w:trPr>
        <w:tc>
          <w:tcPr>
            <w:tcW w:w="970" w:type="dxa"/>
            <w:tcBorders>
              <w:right w:val="single" w:color="auto" w:sz="4" w:space="0"/>
            </w:tcBorders>
            <w:vAlign w:val="center"/>
          </w:tcPr>
          <w:p w14:paraId="59449E7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0249982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★1.投标文件组成必备项</w:t>
            </w:r>
          </w:p>
          <w:p w14:paraId="29D396D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 资格响应文件</w:t>
            </w:r>
          </w:p>
          <w:p w14:paraId="6A297B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①法人、其他组织或者自然人的证明文件</w:t>
            </w:r>
          </w:p>
          <w:p w14:paraId="602CD3E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②兵团政府采购供应商信用承诺函</w:t>
            </w:r>
          </w:p>
          <w:p w14:paraId="24EF7B4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③中小企业声明函</w:t>
            </w:r>
          </w:p>
          <w:p w14:paraId="250D90B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④不参与围标串标承诺书</w:t>
            </w:r>
          </w:p>
          <w:p w14:paraId="2B155E5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 商务技术文件</w:t>
            </w:r>
          </w:p>
          <w:p w14:paraId="4CA0EC5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①投标函</w:t>
            </w:r>
          </w:p>
          <w:p w14:paraId="58AED4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②法定代表人（单位负责人）身份证明</w:t>
            </w:r>
          </w:p>
          <w:p w14:paraId="641F07B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③授权委托书（如法人授权代理人投标须提供）</w:t>
            </w:r>
          </w:p>
          <w:p w14:paraId="57C15EA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④政府采购投标人廉洁自律承诺书</w:t>
            </w:r>
          </w:p>
          <w:p w14:paraId="7D2E2F4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⑤投标保证金缴纳凭证</w:t>
            </w:r>
          </w:p>
          <w:p w14:paraId="464CF18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⑥实质性响应一览表</w:t>
            </w:r>
          </w:p>
          <w:p w14:paraId="489129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⑦技术响应偏离表表</w:t>
            </w:r>
          </w:p>
          <w:p w14:paraId="4434AB9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 报价响应文件</w:t>
            </w:r>
          </w:p>
          <w:p w14:paraId="67AB2DD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①开标一览表</w:t>
            </w:r>
          </w:p>
          <w:p w14:paraId="7248F269">
            <w:pPr>
              <w:pStyle w:val="48"/>
              <w:rPr>
                <w:rFonts w:hint="eastAsia"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②分项报价表</w:t>
            </w:r>
          </w:p>
          <w:p w14:paraId="67FF6B74">
            <w:pPr>
              <w:pStyle w:val="48"/>
              <w:rPr>
                <w:rFonts w:hint="default" w:cs="宋体"/>
                <w:color w:val="auto"/>
                <w:sz w:val="24"/>
                <w:szCs w:val="24"/>
                <w:highlight w:val="none"/>
                <w:lang w:val="en-US" w:eastAsia="zh-CN"/>
              </w:rPr>
            </w:pPr>
            <w:r>
              <w:rPr>
                <w:rFonts w:hint="eastAsia" w:cs="宋体"/>
                <w:color w:val="auto"/>
                <w:sz w:val="24"/>
                <w:szCs w:val="24"/>
                <w:highlight w:val="none"/>
                <w:lang w:val="en-US" w:eastAsia="zh-CN"/>
              </w:rPr>
              <w:t>2</w:t>
            </w:r>
            <w:r>
              <w:rPr>
                <w:rFonts w:hint="default" w:cs="宋体"/>
                <w:color w:val="auto"/>
                <w:sz w:val="24"/>
                <w:szCs w:val="24"/>
                <w:highlight w:val="none"/>
                <w:lang w:val="en-US" w:eastAsia="zh-CN"/>
              </w:rPr>
              <w:t>.</w:t>
            </w:r>
            <w:r>
              <w:rPr>
                <w:rFonts w:hint="default" w:cs="宋体"/>
                <w:color w:val="auto"/>
                <w:sz w:val="24"/>
                <w:szCs w:val="24"/>
                <w:highlight w:val="none"/>
                <w:u w:val="single"/>
                <w:lang w:val="en-US" w:eastAsia="zh-CN"/>
              </w:rPr>
              <w:t>在评标过程直至签订合同前的任何时间，如经证实发现供应商提供虚假投标资料(包括技术支持资料)或信息骗取中标的，或者未按本招标文件要求提交履约保证金的，将取消其中标资格，没收投标保证金（如收取），并报主管部门备案。</w:t>
            </w:r>
          </w:p>
          <w:p w14:paraId="5B033E25">
            <w:pPr>
              <w:pStyle w:val="48"/>
              <w:rPr>
                <w:rFonts w:hint="eastAsia"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cs="宋体"/>
                <w:color w:val="auto"/>
                <w:sz w:val="24"/>
                <w:szCs w:val="24"/>
                <w:highlight w:val="none"/>
                <w:u w:val="single"/>
                <w:lang w:val="en-US" w:eastAsia="zh-CN"/>
              </w:rPr>
              <w:t>中标供应商在与采购人签订合同前，应当向采购人提供纸质版投标文件3套、未加密的电子投标文件3份（光盘介质）。说明：（1）未加密的纸质版投标文件及未加密的电子投标文件均应与加密的电子投标文件内容一致。（2）纸质版投标文件及未加密的电子投标文件递交或邮寄至：乌鲁木齐市头屯河区卫星路513号秦郡二期（秦基大厦D座）商业办公楼405室，朱玉斌，13009617191。纸质版投标文件无须密封，封面可按第七章格式提供；光盘上须粘贴标签注明“项目名称、项目编号、供应商名称”。</w:t>
            </w:r>
          </w:p>
          <w:p w14:paraId="5820DC77">
            <w:pPr>
              <w:pStyle w:val="48"/>
              <w:rPr>
                <w:rFonts w:hint="eastAsia"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cs="宋体"/>
                <w:color w:val="auto"/>
                <w:sz w:val="24"/>
                <w:szCs w:val="24"/>
                <w:highlight w:val="none"/>
                <w:u w:val="single"/>
                <w:lang w:val="en-US" w:eastAsia="zh-CN"/>
              </w:rPr>
              <w:t>采购方与中标供应商应于《中标通知书》发出之日起25日内，按照采购文件确定的事项签订采购合同，并在合同签订之日起2个工作日内将合同上传至政府采购网进行公示。</w:t>
            </w:r>
          </w:p>
          <w:p w14:paraId="0064D2FF">
            <w:pPr>
              <w:pStyle w:val="48"/>
              <w:rPr>
                <w:rFonts w:hint="eastAsia"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cs="宋体"/>
                <w:color w:val="auto"/>
                <w:sz w:val="24"/>
                <w:szCs w:val="24"/>
                <w:highlight w:val="none"/>
                <w:u w:val="single"/>
                <w:lang w:val="en-US" w:eastAsia="zh-CN"/>
              </w:rPr>
              <w:t>合同签订当日，中标供应商须将本项目《政府采购合同》扫描件发送至采购代理机构邮箱</w:t>
            </w:r>
            <w:r>
              <w:rPr>
                <w:rFonts w:hint="eastAsia" w:cs="宋体"/>
                <w:color w:val="auto"/>
                <w:sz w:val="24"/>
                <w:szCs w:val="24"/>
                <w:highlight w:val="none"/>
                <w:u w:val="single"/>
                <w:lang w:val="en-US" w:eastAsia="zh-CN"/>
              </w:rPr>
              <w:fldChar w:fldCharType="begin"/>
            </w:r>
            <w:r>
              <w:rPr>
                <w:rFonts w:hint="eastAsia" w:cs="宋体"/>
                <w:color w:val="auto"/>
                <w:sz w:val="24"/>
                <w:szCs w:val="24"/>
                <w:highlight w:val="none"/>
                <w:u w:val="single"/>
                <w:lang w:val="en-US" w:eastAsia="zh-CN"/>
              </w:rPr>
              <w:instrText xml:space="preserve"> HYPERLINK "mailto:1557723156@qq.com。" </w:instrText>
            </w:r>
            <w:r>
              <w:rPr>
                <w:rFonts w:hint="eastAsia" w:cs="宋体"/>
                <w:color w:val="auto"/>
                <w:sz w:val="24"/>
                <w:szCs w:val="24"/>
                <w:highlight w:val="none"/>
                <w:u w:val="single"/>
                <w:lang w:val="en-US" w:eastAsia="zh-CN"/>
              </w:rPr>
              <w:fldChar w:fldCharType="separate"/>
            </w:r>
            <w:r>
              <w:rPr>
                <w:rStyle w:val="33"/>
                <w:rFonts w:hint="eastAsia" w:cs="宋体"/>
                <w:sz w:val="24"/>
                <w:szCs w:val="24"/>
                <w:highlight w:val="none"/>
                <w:u w:val="single"/>
                <w:lang w:val="en-US" w:eastAsia="zh-CN"/>
              </w:rPr>
              <w:t>1557723156@qq.com。</w:t>
            </w:r>
            <w:r>
              <w:rPr>
                <w:rFonts w:hint="eastAsia" w:cs="宋体"/>
                <w:color w:val="auto"/>
                <w:sz w:val="24"/>
                <w:szCs w:val="24"/>
                <w:highlight w:val="none"/>
                <w:u w:val="single"/>
                <w:lang w:val="en-US" w:eastAsia="zh-CN"/>
              </w:rPr>
              <w:fldChar w:fldCharType="end"/>
            </w:r>
          </w:p>
          <w:p w14:paraId="7960FA5A">
            <w:pPr>
              <w:pStyle w:val="48"/>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6.</w:t>
            </w:r>
            <w:r>
              <w:rPr>
                <w:rFonts w:hint="eastAsia" w:cs="宋体"/>
                <w:color w:val="auto"/>
                <w:sz w:val="24"/>
                <w:szCs w:val="24"/>
                <w:highlight w:val="none"/>
                <w:u w:val="single"/>
                <w:lang w:val="en-US" w:eastAsia="zh-CN"/>
              </w:rPr>
              <w:t>项目验收结束后5个工作日内，将验收结果通过“兵团政府</w:t>
            </w:r>
          </w:p>
          <w:p w14:paraId="5DAADC34">
            <w:pPr>
              <w:pStyle w:val="48"/>
              <w:rPr>
                <w:rFonts w:hint="eastAsia" w:ascii="宋体" w:hAnsi="宋体" w:eastAsia="宋体" w:cs="宋体"/>
                <w:color w:val="auto"/>
                <w:sz w:val="24"/>
                <w:szCs w:val="24"/>
                <w:highlight w:val="none"/>
                <w:lang w:eastAsia="zh-CN"/>
              </w:rPr>
            </w:pPr>
            <w:r>
              <w:rPr>
                <w:rFonts w:hint="eastAsia" w:cs="宋体"/>
                <w:color w:val="auto"/>
                <w:sz w:val="24"/>
                <w:szCs w:val="24"/>
                <w:highlight w:val="none"/>
                <w:u w:val="single"/>
                <w:lang w:val="en-US" w:eastAsia="zh-CN"/>
              </w:rPr>
              <w:t>采购网”予以公示。</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3551C8FC">
      <w:pPr>
        <w:rPr>
          <w:color w:val="auto"/>
          <w:highlight w:val="none"/>
        </w:rPr>
      </w:pPr>
    </w:p>
    <w:p w14:paraId="43A4992E">
      <w:pPr>
        <w:rPr>
          <w:rFonts w:hint="eastAsia" w:eastAsia="宋体" w:asciiTheme="majorHAnsi" w:hAnsiTheme="majorHAnsi" w:cstheme="majorBidi"/>
          <w:b/>
          <w:bCs/>
          <w:color w:val="auto"/>
          <w:kern w:val="2"/>
          <w:sz w:val="32"/>
          <w:szCs w:val="32"/>
          <w:highlight w:val="none"/>
          <w:lang w:val="en-US" w:eastAsia="zh-CN" w:bidi="ar-SA"/>
        </w:rPr>
      </w:pPr>
      <w:bookmarkStart w:id="108" w:name="_Toc155185869"/>
      <w:r>
        <w:rPr>
          <w:rFonts w:hint="eastAsia" w:eastAsia="宋体" w:asciiTheme="majorHAnsi" w:hAnsiTheme="majorHAnsi" w:cstheme="majorBidi"/>
          <w:b/>
          <w:bCs/>
          <w:color w:val="auto"/>
          <w:kern w:val="2"/>
          <w:sz w:val="32"/>
          <w:szCs w:val="32"/>
          <w:highlight w:val="none"/>
          <w:lang w:val="en-US" w:eastAsia="zh-CN" w:bidi="ar-SA"/>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9" w:name="_Toc18554"/>
      <w:r>
        <w:rPr>
          <w:rFonts w:hint="eastAsia" w:eastAsia="宋体" w:asciiTheme="majorHAnsi" w:hAnsiTheme="majorHAnsi" w:cstheme="majorBidi"/>
          <w:b/>
          <w:bCs/>
          <w:color w:val="auto"/>
          <w:kern w:val="2"/>
          <w:sz w:val="28"/>
          <w:szCs w:val="28"/>
          <w:highlight w:val="none"/>
          <w:lang w:val="en-US" w:eastAsia="zh-CN" w:bidi="ar-SA"/>
        </w:rPr>
        <w:t>二、投标人须知</w:t>
      </w:r>
      <w:bookmarkEnd w:id="108"/>
      <w:bookmarkEnd w:id="109"/>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0" w:name="_Toc5011"/>
      <w:bookmarkStart w:id="111" w:name="_Toc9308"/>
      <w:bookmarkStart w:id="112" w:name="_Toc28135"/>
      <w:bookmarkStart w:id="113" w:name="_Toc163492822"/>
      <w:bookmarkStart w:id="114" w:name="_Toc155185870"/>
      <w:r>
        <w:rPr>
          <w:rFonts w:hint="eastAsia" w:ascii="宋体" w:hAnsi="宋体" w:eastAsia="宋体" w:cs="宋体"/>
          <w:b/>
          <w:bCs/>
          <w:color w:val="auto"/>
          <w:kern w:val="2"/>
          <w:sz w:val="24"/>
          <w:szCs w:val="24"/>
          <w:highlight w:val="none"/>
          <w:lang w:val="en-US" w:eastAsia="zh-CN" w:bidi="ar-SA"/>
        </w:rPr>
        <w:t>（一）总则</w:t>
      </w:r>
      <w:bookmarkEnd w:id="110"/>
      <w:bookmarkEnd w:id="111"/>
      <w:bookmarkEnd w:id="112"/>
      <w:bookmarkEnd w:id="113"/>
      <w:bookmarkEnd w:id="114"/>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5" w:name="_Toc1399"/>
      <w:bookmarkStart w:id="116" w:name="_Toc109899631"/>
      <w:bookmarkStart w:id="117" w:name="_Toc24126"/>
      <w:bookmarkStart w:id="118" w:name="_Toc155095689"/>
      <w:bookmarkStart w:id="119" w:name="_Toc31233"/>
      <w:bookmarkStart w:id="120" w:name="_Toc109897532"/>
      <w:bookmarkStart w:id="121" w:name="_Toc163492823"/>
      <w:bookmarkStart w:id="122" w:name="_Toc22777"/>
      <w:bookmarkStart w:id="123" w:name="_Toc109900050"/>
      <w:bookmarkStart w:id="124" w:name="_Toc109900469"/>
      <w:r>
        <w:rPr>
          <w:rFonts w:hint="eastAsia" w:ascii="宋体" w:hAnsi="宋体" w:eastAsia="宋体" w:cs="宋体"/>
          <w:b/>
          <w:bCs/>
          <w:color w:val="auto"/>
          <w:kern w:val="2"/>
          <w:sz w:val="24"/>
          <w:szCs w:val="24"/>
          <w:highlight w:val="none"/>
          <w:lang w:val="en-US" w:eastAsia="zh-CN" w:bidi="ar-SA"/>
        </w:rPr>
        <w:t>1.适用范围</w:t>
      </w:r>
      <w:bookmarkEnd w:id="115"/>
      <w:bookmarkEnd w:id="116"/>
      <w:bookmarkEnd w:id="117"/>
      <w:bookmarkEnd w:id="118"/>
      <w:bookmarkEnd w:id="119"/>
      <w:bookmarkEnd w:id="120"/>
      <w:bookmarkEnd w:id="121"/>
      <w:bookmarkEnd w:id="122"/>
      <w:bookmarkEnd w:id="123"/>
      <w:bookmarkEnd w:id="124"/>
    </w:p>
    <w:p w14:paraId="3896363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5" w:name="_Toc8394"/>
      <w:bookmarkStart w:id="126" w:name="_Toc11043"/>
      <w:bookmarkStart w:id="127" w:name="_Toc163492824"/>
      <w:bookmarkStart w:id="128" w:name="_Toc11954"/>
      <w:r>
        <w:rPr>
          <w:rFonts w:hint="eastAsia" w:ascii="宋体" w:hAnsi="宋体" w:eastAsia="宋体" w:cs="宋体"/>
          <w:b/>
          <w:bCs/>
          <w:color w:val="auto"/>
          <w:kern w:val="2"/>
          <w:sz w:val="24"/>
          <w:szCs w:val="24"/>
          <w:highlight w:val="none"/>
          <w:lang w:val="en-US" w:eastAsia="zh-CN" w:bidi="ar-SA"/>
        </w:rPr>
        <w:t>2.基本定义</w:t>
      </w:r>
      <w:bookmarkEnd w:id="125"/>
      <w:bookmarkEnd w:id="126"/>
      <w:bookmarkEnd w:id="127"/>
      <w:bookmarkEnd w:id="128"/>
    </w:p>
    <w:p w14:paraId="768D70C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lang w:val="en-US" w:eastAsia="zh-CN"/>
        </w:rPr>
        <w:t>委托的采购代理机构</w:t>
      </w:r>
      <w:r>
        <w:rPr>
          <w:rFonts w:hint="eastAsia" w:ascii="宋体" w:hAnsi="宋体" w:eastAsia="宋体" w:cs="宋体"/>
          <w:color w:val="auto"/>
          <w:sz w:val="24"/>
          <w:szCs w:val="24"/>
          <w:highlight w:val="none"/>
        </w:rPr>
        <w:t>。</w:t>
      </w:r>
    </w:p>
    <w:p w14:paraId="26D5074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服务包含的内容见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w:t>
      </w:r>
    </w:p>
    <w:p w14:paraId="214DD75F">
      <w:pPr>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shd w:val="clear" w:color="auto" w:fill="FFFFFF" w:themeFill="background1"/>
        </w:rPr>
        <w:t>2.6投标人（也称“供应商”、“申请人”）：指向采购人提供货物、工程或者服务的法人、其他组织或者自然人。</w:t>
      </w:r>
      <w:r>
        <w:rPr>
          <w:rFonts w:hint="eastAsia" w:ascii="宋体" w:hAnsi="宋体" w:eastAsia="宋体" w:cs="宋体"/>
          <w:color w:val="auto"/>
          <w:sz w:val="24"/>
          <w:szCs w:val="24"/>
          <w:highlight w:val="none"/>
        </w:rPr>
        <w:t>分支机构不得参加政府采购活动，但银行、保险、石油石化、电力、电信等</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行业特殊</w:t>
      </w:r>
      <w:r>
        <w:rPr>
          <w:rFonts w:hint="eastAsia" w:ascii="宋体" w:hAnsi="宋体" w:eastAsia="宋体" w:cs="宋体"/>
          <w:color w:val="auto"/>
          <w:sz w:val="24"/>
          <w:szCs w:val="24"/>
          <w:highlight w:val="none"/>
          <w:lang w:val="en-US" w:eastAsia="zh-CN"/>
        </w:rPr>
        <w:t>情况的</w:t>
      </w:r>
      <w:r>
        <w:rPr>
          <w:rFonts w:hint="eastAsia" w:ascii="宋体" w:hAnsi="宋体" w:eastAsia="宋体" w:cs="宋体"/>
          <w:color w:val="auto"/>
          <w:sz w:val="24"/>
          <w:szCs w:val="24"/>
          <w:highlight w:val="none"/>
        </w:rPr>
        <w:t>除外。本项目的投标人须满足以下条件：</w:t>
      </w:r>
    </w:p>
    <w:p w14:paraId="2518C5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2.6.1具备《中华人民共和国政府采购法》第二十二条规定的条件，遵守本项目采购人本级和上级财政部门政府采购的有关规定。</w:t>
      </w:r>
    </w:p>
    <w:p w14:paraId="7674516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2.6.2以招标公告中发布的方式依法获得了本项目的招标文件。</w:t>
      </w:r>
    </w:p>
    <w:p w14:paraId="0DE24F0D">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2.6.3符合本招标文件规定并参加投标的供应商。</w:t>
      </w:r>
    </w:p>
    <w:p w14:paraId="5FC27D1B">
      <w:pPr>
        <w:pStyle w:val="36"/>
        <w:keepNext w:val="0"/>
        <w:keepLines w:val="0"/>
        <w:pageBreakBefore w:val="0"/>
        <w:widowControl w:val="0"/>
        <w:kinsoku/>
        <w:overflowPunct/>
        <w:topLinePunct w:val="0"/>
        <w:autoSpaceDE/>
        <w:autoSpaceDN/>
        <w:bidi w:val="0"/>
        <w:adjustRightIn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iCs/>
          <w:color w:val="auto"/>
          <w:sz w:val="24"/>
          <w:szCs w:val="24"/>
          <w:highlight w:val="none"/>
          <w:shd w:val="clear" w:color="auto" w:fill="FFFFFF" w:themeFill="background1"/>
        </w:rPr>
        <w:t>潜在投标人、潜在供应商</w:t>
      </w:r>
      <w:r>
        <w:rPr>
          <w:rFonts w:hint="eastAsia" w:ascii="宋体" w:hAnsi="宋体" w:eastAsia="宋体" w:cs="宋体"/>
          <w:iCs/>
          <w:color w:val="auto"/>
          <w:sz w:val="24"/>
          <w:szCs w:val="24"/>
          <w:highlight w:val="none"/>
          <w:shd w:val="clear" w:color="auto" w:fill="FFFFFF" w:themeFill="background1"/>
          <w:lang w:eastAsia="zh-CN"/>
        </w:rPr>
        <w:t>：</w:t>
      </w:r>
      <w:r>
        <w:rPr>
          <w:rFonts w:hint="eastAsia" w:ascii="宋体" w:hAnsi="宋体" w:eastAsia="宋体" w:cs="宋体"/>
          <w:iCs/>
          <w:color w:val="auto"/>
          <w:sz w:val="24"/>
          <w:szCs w:val="24"/>
          <w:highlight w:val="none"/>
          <w:shd w:val="clear" w:color="auto" w:fill="FFFFFF" w:themeFill="background1"/>
          <w:lang w:val="en-US" w:eastAsia="zh-CN"/>
        </w:rPr>
        <w:t>指</w:t>
      </w:r>
      <w:r>
        <w:rPr>
          <w:rFonts w:hint="eastAsia" w:ascii="宋体" w:hAnsi="宋体" w:eastAsia="宋体" w:cs="宋体"/>
          <w:color w:val="auto"/>
          <w:sz w:val="24"/>
          <w:szCs w:val="24"/>
          <w:highlight w:val="none"/>
          <w:lang w:val="en-US" w:eastAsia="zh-CN"/>
        </w:rPr>
        <w:t>符合本招标文件规定的供应商</w:t>
      </w:r>
      <w:r>
        <w:rPr>
          <w:rFonts w:hint="eastAsia" w:ascii="宋体" w:hAnsi="宋体" w:eastAsia="宋体" w:cs="宋体"/>
          <w:color w:val="auto"/>
          <w:sz w:val="24"/>
          <w:szCs w:val="24"/>
          <w:highlight w:val="none"/>
        </w:rPr>
        <w:t>。</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9" w:name="_Toc140132758"/>
      <w:bookmarkStart w:id="130" w:name="_Toc27150"/>
      <w:bookmarkStart w:id="131" w:name="_Toc15923"/>
      <w:bookmarkStart w:id="132" w:name="_Toc163492825"/>
      <w:bookmarkStart w:id="133" w:name="_Toc22315"/>
      <w:r>
        <w:rPr>
          <w:rFonts w:hint="eastAsia" w:ascii="宋体" w:hAnsi="宋体" w:eastAsia="宋体" w:cs="宋体"/>
          <w:b/>
          <w:bCs/>
          <w:color w:val="auto"/>
          <w:kern w:val="2"/>
          <w:sz w:val="24"/>
          <w:szCs w:val="24"/>
          <w:highlight w:val="none"/>
          <w:lang w:val="en-US" w:eastAsia="zh-CN" w:bidi="ar-SA"/>
        </w:rPr>
        <w:t>3.资金来源</w:t>
      </w:r>
      <w:bookmarkEnd w:id="129"/>
      <w:bookmarkEnd w:id="130"/>
      <w:bookmarkEnd w:id="131"/>
      <w:bookmarkEnd w:id="132"/>
      <w:bookmarkEnd w:id="133"/>
    </w:p>
    <w:p w14:paraId="76E8C14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w:t>
      </w:r>
      <w:r>
        <w:rPr>
          <w:rFonts w:hint="eastAsia" w:ascii="宋体" w:hAnsi="宋体" w:eastAsia="宋体" w:cs="宋体"/>
          <w:color w:val="auto"/>
          <w:sz w:val="24"/>
          <w:szCs w:val="24"/>
          <w:highlight w:val="none"/>
          <w:lang w:val="en-US" w:eastAsia="zh-CN"/>
        </w:rPr>
        <w:t>为财政性资金即</w:t>
      </w:r>
      <w:r>
        <w:rPr>
          <w:rFonts w:hint="eastAsia" w:ascii="宋体" w:hAnsi="宋体" w:eastAsia="宋体" w:cs="宋体"/>
          <w:color w:val="auto"/>
          <w:sz w:val="24"/>
          <w:szCs w:val="24"/>
          <w:highlight w:val="none"/>
        </w:rPr>
        <w:t>纳入预算管理的资金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4" w:name="_Toc15559"/>
      <w:bookmarkStart w:id="135" w:name="_Toc163492826"/>
      <w:bookmarkStart w:id="136" w:name="_Toc140132760"/>
      <w:bookmarkStart w:id="137" w:name="_Toc4285"/>
      <w:bookmarkStart w:id="138" w:name="_Toc21872"/>
      <w:r>
        <w:rPr>
          <w:rFonts w:hint="eastAsia" w:ascii="宋体" w:hAnsi="宋体" w:eastAsia="宋体" w:cs="宋体"/>
          <w:b/>
          <w:bCs/>
          <w:color w:val="auto"/>
          <w:kern w:val="2"/>
          <w:sz w:val="24"/>
          <w:szCs w:val="24"/>
          <w:highlight w:val="none"/>
          <w:lang w:val="en-US" w:eastAsia="zh-CN" w:bidi="ar-SA"/>
        </w:rPr>
        <w:t>4.投标人资格要求</w:t>
      </w:r>
      <w:bookmarkEnd w:id="134"/>
      <w:bookmarkEnd w:id="135"/>
      <w:bookmarkEnd w:id="136"/>
      <w:bookmarkEnd w:id="137"/>
      <w:bookmarkEnd w:id="138"/>
    </w:p>
    <w:p w14:paraId="522AD9C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4.1投标人资格要求：见“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3B57853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val="zh-CN" w:eastAsia="zh-CN"/>
        </w:rPr>
        <w:t>”规定接受联合体投标的，还应遵守以下规定：</w:t>
      </w:r>
    </w:p>
    <w:p w14:paraId="512308F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1两个以上的自然人、法人或者其他组织可以组成一个联合体，以一个</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的身份共同参加政府采购。</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以联合体形式进行政府采购的，参加联合体的供应商均应当具备《</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iCs/>
          <w:color w:val="auto"/>
          <w:kern w:val="2"/>
          <w:sz w:val="24"/>
          <w:szCs w:val="24"/>
          <w:highlight w:val="none"/>
          <w:shd w:val="clear" w:color="auto" w:fill="FFFFFF" w:themeFill="background1"/>
          <w:lang w:val="zh-CN" w:eastAsia="zh-CN" w:bidi="ar-SA"/>
        </w:rPr>
        <w:t>》第二十二条规定的条件。</w:t>
      </w:r>
    </w:p>
    <w:p w14:paraId="7EFB49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2.2</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联合体各方应按招标文件提供的格式签订联合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作为投标文件的一部分提交，该协议书对联合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4"/>
          <w:highlight w:val="none"/>
          <w:shd w:val="clear" w:color="auto" w:fill="FFFFFF" w:themeFill="background1"/>
          <w:lang w:val="zh-CN" w:eastAsia="zh-CN" w:bidi="ar-SA"/>
        </w:rPr>
        <w:t>均具有法律约束力。</w:t>
      </w:r>
    </w:p>
    <w:p w14:paraId="5343E5B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4.2.3</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4"/>
          <w:highlight w:val="none"/>
          <w:shd w:val="clear" w:color="auto" w:fill="FFFFFF" w:themeFill="background1"/>
          <w:lang w:val="en-US" w:eastAsia="zh-CN" w:bidi="ar-SA"/>
        </w:rPr>
        <w:t>同一合同项下的</w:t>
      </w:r>
      <w:r>
        <w:rPr>
          <w:rFonts w:hint="eastAsia" w:ascii="宋体" w:hAnsi="宋体" w:eastAsia="宋体" w:cs="宋体"/>
          <w:iCs/>
          <w:color w:val="auto"/>
          <w:kern w:val="2"/>
          <w:sz w:val="24"/>
          <w:szCs w:val="24"/>
          <w:highlight w:val="none"/>
          <w:shd w:val="clear" w:color="auto" w:fill="FFFFFF" w:themeFill="background1"/>
          <w:lang w:val="zh-CN" w:eastAsia="zh-CN" w:bidi="ar-SA"/>
        </w:rPr>
        <w:t>投标，否则相关投标将被认定为</w:t>
      </w:r>
      <w:r>
        <w:rPr>
          <w:rFonts w:hint="eastAsia" w:ascii="宋体" w:hAnsi="宋体" w:eastAsia="宋体" w:cs="宋体"/>
          <w:b/>
          <w:bCs/>
          <w:iCs/>
          <w:color w:val="auto"/>
          <w:kern w:val="2"/>
          <w:sz w:val="24"/>
          <w:szCs w:val="24"/>
          <w:highlight w:val="none"/>
          <w:shd w:val="clear" w:color="auto" w:fill="FFFFFF" w:themeFill="background1"/>
          <w:lang w:val="zh-CN" w:eastAsia="zh-CN" w:bidi="ar-SA"/>
        </w:rPr>
        <w:t>投标无效</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2E60D00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投标</w:t>
      </w:r>
      <w:r>
        <w:rPr>
          <w:rFonts w:hint="eastAsia" w:ascii="宋体" w:hAnsi="宋体" w:eastAsia="宋体" w:cs="宋体"/>
          <w:iCs/>
          <w:color w:val="auto"/>
          <w:kern w:val="2"/>
          <w:sz w:val="24"/>
          <w:szCs w:val="24"/>
          <w:highlight w:val="none"/>
          <w:shd w:val="clear" w:color="auto" w:fill="FFFFFF" w:themeFill="background1"/>
          <w:lang w:val="en-US" w:eastAsia="zh-CN" w:bidi="ar-SA"/>
        </w:rPr>
        <w:t>合同</w:t>
      </w:r>
      <w:r>
        <w:rPr>
          <w:rFonts w:hint="eastAsia" w:ascii="宋体" w:hAnsi="宋体" w:eastAsia="宋体" w:cs="宋体"/>
          <w:iCs/>
          <w:color w:val="auto"/>
          <w:kern w:val="2"/>
          <w:sz w:val="24"/>
          <w:szCs w:val="24"/>
          <w:highlight w:val="none"/>
          <w:shd w:val="clear" w:color="auto" w:fill="FFFFFF" w:themeFill="background1"/>
          <w:lang w:val="zh-CN" w:eastAsia="zh-CN" w:bidi="ar-SA"/>
        </w:rPr>
        <w:t>总金额的比例。</w:t>
      </w:r>
    </w:p>
    <w:p w14:paraId="7127D16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.6</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采购</w:t>
      </w:r>
      <w:r>
        <w:rPr>
          <w:rFonts w:hint="eastAsia" w:ascii="宋体" w:hAnsi="宋体" w:eastAsia="宋体" w:cs="宋体"/>
          <w:iCs/>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4"/>
          <w:highlight w:val="none"/>
          <w:shd w:val="clear" w:color="auto" w:fill="FFFFFF" w:themeFill="background1"/>
          <w:lang w:val="en-US" w:eastAsia="zh-CN" w:bidi="ar-SA"/>
        </w:rPr>
        <w:t>及</w:t>
      </w:r>
      <w:r>
        <w:rPr>
          <w:rFonts w:hint="eastAsia" w:ascii="宋体" w:hAnsi="宋体" w:eastAsia="宋体" w:cs="宋体"/>
          <w:iCs/>
          <w:color w:val="auto"/>
          <w:kern w:val="2"/>
          <w:sz w:val="24"/>
          <w:szCs w:val="24"/>
          <w:highlight w:val="none"/>
          <w:shd w:val="clear" w:color="auto" w:fill="FFFFFF" w:themeFill="background1"/>
          <w:lang w:val="zh-CN" w:eastAsia="zh-CN" w:bidi="ar-SA"/>
        </w:rPr>
        <w:t>加盖</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4"/>
          <w:highlight w:val="none"/>
          <w:shd w:val="clear" w:color="auto" w:fill="FFFFFF" w:themeFill="background1"/>
          <w:lang w:val="en-US" w:eastAsia="zh-CN" w:bidi="ar-SA"/>
        </w:rPr>
        <w:t>并</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.7</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4"/>
          <w:highlight w:val="none"/>
          <w:shd w:val="clear" w:color="auto" w:fill="FFFFFF" w:themeFill="background1"/>
          <w:lang w:val="en-US" w:eastAsia="zh-CN" w:bidi="ar-SA"/>
        </w:rPr>
        <w:t>人</w:t>
      </w:r>
      <w:r>
        <w:rPr>
          <w:rFonts w:hint="eastAsia" w:ascii="宋体" w:hAnsi="宋体" w:eastAsia="宋体" w:cs="宋体"/>
          <w:iCs/>
          <w:color w:val="auto"/>
          <w:kern w:val="2"/>
          <w:sz w:val="24"/>
          <w:szCs w:val="24"/>
          <w:highlight w:val="none"/>
          <w:shd w:val="clear" w:color="auto" w:fill="FFFFFF" w:themeFill="background1"/>
          <w:lang w:val="zh-CN" w:eastAsia="zh-CN" w:bidi="ar-SA"/>
        </w:rPr>
        <w:t>书面同意并且须遵守相关法律、法规、本次招标的全部相关规定。</w:t>
      </w:r>
    </w:p>
    <w:p w14:paraId="7D280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8</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对联合体投标的其他资格要求见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中的“二、</w:t>
      </w:r>
      <w:r>
        <w:rPr>
          <w:rFonts w:hint="eastAsia" w:ascii="宋体" w:hAnsi="宋体" w:eastAsia="宋体" w:cs="宋体"/>
          <w:iCs/>
          <w:color w:val="auto"/>
          <w:kern w:val="2"/>
          <w:sz w:val="24"/>
          <w:szCs w:val="24"/>
          <w:highlight w:val="none"/>
          <w:shd w:val="clear" w:color="auto" w:fill="FFFFFF" w:themeFill="background1"/>
          <w:lang w:val="en-US" w:eastAsia="zh-CN" w:bidi="ar-SA"/>
        </w:rPr>
        <w:t>申请人的</w:t>
      </w:r>
      <w:r>
        <w:rPr>
          <w:rFonts w:hint="eastAsia" w:ascii="宋体" w:hAnsi="宋体" w:eastAsia="宋体" w:cs="宋体"/>
          <w:iCs/>
          <w:color w:val="auto"/>
          <w:kern w:val="2"/>
          <w:sz w:val="24"/>
          <w:szCs w:val="24"/>
          <w:highlight w:val="none"/>
          <w:shd w:val="clear" w:color="auto" w:fill="FFFFFF" w:themeFill="background1"/>
          <w:lang w:val="zh-CN" w:eastAsia="zh-CN" w:bidi="ar-SA"/>
        </w:rPr>
        <w:t>资格</w:t>
      </w:r>
      <w:r>
        <w:rPr>
          <w:rFonts w:hint="eastAsia" w:ascii="宋体" w:hAnsi="宋体" w:eastAsia="宋体" w:cs="宋体"/>
          <w:iCs/>
          <w:color w:val="auto"/>
          <w:kern w:val="2"/>
          <w:sz w:val="24"/>
          <w:szCs w:val="24"/>
          <w:highlight w:val="none"/>
          <w:shd w:val="clear" w:color="auto" w:fill="FFFFFF" w:themeFill="background1"/>
          <w:lang w:val="en-US" w:eastAsia="zh-CN" w:bidi="ar-SA"/>
        </w:rPr>
        <w:t>要求”</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9" w:name="_Toc19194"/>
      <w:bookmarkStart w:id="140" w:name="_Toc163492827"/>
      <w:bookmarkStart w:id="141" w:name="_Toc1799"/>
      <w:bookmarkStart w:id="142" w:name="_Toc18213"/>
      <w:r>
        <w:rPr>
          <w:rFonts w:hint="eastAsia" w:ascii="宋体" w:hAnsi="宋体" w:eastAsia="宋体" w:cs="宋体"/>
          <w:b/>
          <w:bCs/>
          <w:color w:val="auto"/>
          <w:kern w:val="2"/>
          <w:sz w:val="24"/>
          <w:szCs w:val="24"/>
          <w:highlight w:val="none"/>
          <w:lang w:val="en-US" w:eastAsia="zh-CN" w:bidi="ar-SA"/>
        </w:rPr>
        <w:t>5.费用承担</w:t>
      </w:r>
      <w:bookmarkEnd w:id="139"/>
      <w:bookmarkEnd w:id="140"/>
      <w:bookmarkEnd w:id="141"/>
      <w:bookmarkEnd w:id="142"/>
    </w:p>
    <w:p w14:paraId="3C6741ED">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3" w:name="_Toc19870"/>
      <w:bookmarkStart w:id="144" w:name="_Toc163492828"/>
      <w:bookmarkStart w:id="145" w:name="_Toc29375"/>
      <w:bookmarkStart w:id="146" w:name="_Toc140132761"/>
      <w:bookmarkStart w:id="147" w:name="_Toc12320"/>
      <w:r>
        <w:rPr>
          <w:rFonts w:hint="eastAsia" w:ascii="宋体" w:hAnsi="宋体" w:eastAsia="宋体" w:cs="宋体"/>
          <w:b/>
          <w:bCs/>
          <w:color w:val="auto"/>
          <w:kern w:val="2"/>
          <w:sz w:val="24"/>
          <w:szCs w:val="24"/>
          <w:highlight w:val="none"/>
          <w:lang w:val="en-US" w:eastAsia="zh-CN" w:bidi="ar-SA"/>
        </w:rPr>
        <w:t>6.保密</w:t>
      </w:r>
      <w:bookmarkEnd w:id="143"/>
      <w:bookmarkEnd w:id="144"/>
      <w:bookmarkEnd w:id="145"/>
      <w:bookmarkEnd w:id="146"/>
      <w:bookmarkEnd w:id="147"/>
    </w:p>
    <w:p w14:paraId="7CBA93F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2947ABF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2 </w:t>
      </w:r>
      <w:r>
        <w:rPr>
          <w:rFonts w:hint="eastAsia" w:ascii="宋体" w:hAnsi="宋体" w:eastAsia="宋体" w:cs="宋体"/>
          <w:color w:val="auto"/>
          <w:kern w:val="2"/>
          <w:sz w:val="24"/>
          <w:szCs w:val="24"/>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3 </w:t>
      </w:r>
      <w:r>
        <w:rPr>
          <w:rFonts w:hint="eastAsia" w:ascii="宋体" w:hAnsi="宋体" w:eastAsia="宋体" w:cs="宋体"/>
          <w:color w:val="auto"/>
          <w:kern w:val="2"/>
          <w:sz w:val="24"/>
          <w:szCs w:val="24"/>
          <w:highlight w:val="none"/>
        </w:rPr>
        <w:t>采购代理机构有权将投标人提供的所有资料向有关政府部门或评审</w:t>
      </w:r>
      <w:r>
        <w:rPr>
          <w:rFonts w:hint="eastAsia" w:ascii="宋体" w:hAnsi="宋体" w:eastAsia="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rPr>
        <w:t>的有关人员披露。</w:t>
      </w:r>
    </w:p>
    <w:p w14:paraId="0EE6357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color w:val="auto"/>
          <w:kern w:val="2"/>
          <w:sz w:val="24"/>
          <w:szCs w:val="24"/>
          <w:highlight w:val="none"/>
        </w:rPr>
        <w:t>。</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8" w:name="_Toc140132762"/>
      <w:bookmarkStart w:id="149" w:name="_Toc163492829"/>
      <w:bookmarkStart w:id="150" w:name="_Toc489"/>
      <w:bookmarkStart w:id="151" w:name="_Toc2247"/>
      <w:bookmarkStart w:id="152" w:name="_Toc23819"/>
      <w:r>
        <w:rPr>
          <w:rFonts w:hint="eastAsia" w:ascii="宋体" w:hAnsi="宋体" w:eastAsia="宋体" w:cs="宋体"/>
          <w:b/>
          <w:bCs/>
          <w:color w:val="auto"/>
          <w:kern w:val="2"/>
          <w:sz w:val="24"/>
          <w:szCs w:val="24"/>
          <w:highlight w:val="none"/>
          <w:lang w:val="en-US" w:eastAsia="zh-CN" w:bidi="ar-SA"/>
        </w:rPr>
        <w:t>7.语言文字</w:t>
      </w:r>
      <w:bookmarkEnd w:id="148"/>
      <w:bookmarkEnd w:id="149"/>
      <w:bookmarkEnd w:id="150"/>
      <w:bookmarkEnd w:id="151"/>
      <w:bookmarkEnd w:id="152"/>
    </w:p>
    <w:p w14:paraId="251409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7.1招标投标</w:t>
      </w:r>
      <w:r>
        <w:rPr>
          <w:rFonts w:hint="eastAsia" w:ascii="宋体" w:hAnsi="宋体" w:eastAsia="宋体" w:cs="宋体"/>
          <w:color w:val="auto"/>
          <w:sz w:val="24"/>
          <w:szCs w:val="24"/>
          <w:highlight w:val="none"/>
          <w:lang w:val="en-US" w:eastAsia="zh-CN"/>
        </w:rPr>
        <w:t>过程</w:t>
      </w:r>
      <w:r>
        <w:rPr>
          <w:rFonts w:hint="eastAsia" w:ascii="宋体" w:hAnsi="宋体" w:eastAsia="宋体" w:cs="宋体"/>
          <w:color w:val="auto"/>
          <w:sz w:val="24"/>
          <w:szCs w:val="24"/>
          <w:highlight w:val="none"/>
        </w:rPr>
        <w:t>文件使用的语言文字为中文。专用术语使用外文的，应附有中文注释。</w:t>
      </w:r>
      <w:r>
        <w:rPr>
          <w:rFonts w:hint="eastAsia" w:ascii="宋体" w:hAnsi="宋体" w:eastAsia="宋体" w:cs="宋体"/>
          <w:color w:val="auto"/>
          <w:sz w:val="24"/>
          <w:szCs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3" w:name="_Toc9364"/>
      <w:bookmarkStart w:id="154" w:name="_Toc163492830"/>
      <w:bookmarkStart w:id="155" w:name="_Toc140132763"/>
      <w:bookmarkStart w:id="156" w:name="_Toc18687"/>
      <w:bookmarkStart w:id="157" w:name="_Toc23417"/>
      <w:r>
        <w:rPr>
          <w:rFonts w:hint="eastAsia" w:ascii="宋体" w:hAnsi="宋体" w:eastAsia="宋体" w:cs="宋体"/>
          <w:b/>
          <w:bCs/>
          <w:color w:val="auto"/>
          <w:kern w:val="2"/>
          <w:sz w:val="24"/>
          <w:szCs w:val="24"/>
          <w:highlight w:val="none"/>
          <w:lang w:val="en-US" w:eastAsia="zh-CN" w:bidi="ar-SA"/>
        </w:rPr>
        <w:t>8.计量单位</w:t>
      </w:r>
      <w:bookmarkEnd w:id="153"/>
      <w:bookmarkEnd w:id="154"/>
      <w:bookmarkEnd w:id="155"/>
      <w:bookmarkEnd w:id="156"/>
      <w:bookmarkEnd w:id="157"/>
    </w:p>
    <w:p w14:paraId="45A7AE5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8" w:name="_Toc140132764"/>
      <w:bookmarkStart w:id="159" w:name="_Toc163492831"/>
      <w:bookmarkStart w:id="160" w:name="_Toc11937"/>
      <w:bookmarkStart w:id="161" w:name="_Toc11023"/>
      <w:bookmarkStart w:id="162" w:name="_Toc31192"/>
      <w:r>
        <w:rPr>
          <w:rFonts w:hint="eastAsia" w:ascii="宋体" w:hAnsi="宋体" w:eastAsia="宋体" w:cs="宋体"/>
          <w:b/>
          <w:bCs/>
          <w:color w:val="auto"/>
          <w:kern w:val="2"/>
          <w:sz w:val="24"/>
          <w:szCs w:val="24"/>
          <w:highlight w:val="none"/>
          <w:lang w:val="en-US" w:eastAsia="zh-CN" w:bidi="ar-SA"/>
        </w:rPr>
        <w:t>9.现场考察和答疑会</w:t>
      </w:r>
      <w:bookmarkEnd w:id="158"/>
      <w:bookmarkEnd w:id="159"/>
      <w:bookmarkEnd w:id="160"/>
      <w:bookmarkEnd w:id="161"/>
      <w:bookmarkEnd w:id="162"/>
    </w:p>
    <w:p w14:paraId="5A8B8C4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163" w:name="_Hlk143529198"/>
      <w:r>
        <w:rPr>
          <w:rFonts w:hint="eastAsia" w:ascii="宋体" w:hAnsi="宋体" w:eastAsia="宋体" w:cs="宋体"/>
          <w:color w:val="auto"/>
          <w:sz w:val="24"/>
          <w:szCs w:val="24"/>
          <w:highlight w:val="none"/>
        </w:rPr>
        <w:t xml:space="preserve">9.1 “投标人须知前附表”规定组织现场考察的，采购代理机构按“投标人须知前附表”规定的时间、地点组织投标人项目现场考察。 </w:t>
      </w:r>
    </w:p>
    <w:p w14:paraId="5F8A235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投标人现场考察发生的费用自理。</w:t>
      </w:r>
    </w:p>
    <w:p w14:paraId="199A48B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在现场考察中，因投标人自身原因发生的人员伤亡和财产损失，由投标人自行负责。</w:t>
      </w:r>
    </w:p>
    <w:p w14:paraId="6F1F6A2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“投标人须知前附表”规定召开答疑会的，采购代理机构按“投标人须知前附表”规定的时间和地点召开答疑会，澄清投标人提出的问题。</w:t>
      </w:r>
    </w:p>
    <w:p w14:paraId="009438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63"/>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4" w:name="_Toc28644"/>
      <w:bookmarkStart w:id="165" w:name="_Toc24524"/>
      <w:bookmarkStart w:id="166" w:name="_Toc163492833"/>
      <w:bookmarkStart w:id="167" w:name="_Toc3693"/>
      <w:bookmarkStart w:id="168" w:name="_Toc155185858"/>
      <w:bookmarkStart w:id="169" w:name="_Toc155185871"/>
      <w:r>
        <w:rPr>
          <w:rFonts w:hint="eastAsia" w:ascii="宋体" w:hAnsi="宋体" w:eastAsia="宋体" w:cs="宋体"/>
          <w:b/>
          <w:bCs/>
          <w:color w:val="auto"/>
          <w:kern w:val="2"/>
          <w:sz w:val="24"/>
          <w:szCs w:val="24"/>
          <w:highlight w:val="none"/>
          <w:lang w:val="en-US" w:eastAsia="zh-CN" w:bidi="ar-SA"/>
        </w:rPr>
        <w:t>10.电子投标说明</w:t>
      </w:r>
      <w:bookmarkEnd w:id="164"/>
      <w:bookmarkEnd w:id="165"/>
      <w:bookmarkEnd w:id="166"/>
      <w:bookmarkEnd w:id="167"/>
      <w:bookmarkEnd w:id="168"/>
      <w:r>
        <w:rPr>
          <w:rFonts w:hint="eastAsia" w:ascii="宋体" w:hAnsi="宋体" w:eastAsia="宋体" w:cs="宋体"/>
          <w:b/>
          <w:bCs/>
          <w:color w:val="auto"/>
          <w:kern w:val="2"/>
          <w:sz w:val="24"/>
          <w:szCs w:val="24"/>
          <w:highlight w:val="none"/>
          <w:lang w:val="en-US" w:eastAsia="zh-CN" w:bidi="ar-SA"/>
        </w:rPr>
        <w:t xml:space="preserve">   </w:t>
      </w:r>
    </w:p>
    <w:p w14:paraId="1885013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10.1 </w:t>
      </w:r>
      <w:r>
        <w:rPr>
          <w:rFonts w:hint="eastAsia" w:ascii="宋体" w:hAnsi="宋体" w:eastAsia="宋体" w:cs="宋体"/>
          <w:color w:val="auto"/>
          <w:sz w:val="24"/>
          <w:szCs w:val="24"/>
          <w:highlight w:val="none"/>
        </w:rPr>
        <w:t>本次采购采用电子交易方式，电子交易平台为</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。投标人参与本项目电子交易活动前，应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。编制电子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文件前还需</w:t>
      </w:r>
      <w:r>
        <w:rPr>
          <w:rFonts w:hint="eastAsia" w:ascii="宋体" w:hAnsi="宋体" w:eastAsia="宋体" w:cs="宋体"/>
          <w:color w:val="auto"/>
          <w:sz w:val="24"/>
          <w:szCs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szCs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登录兵团政府采购网“供应商注册”—“新疆生产建设兵团政府采购供应商入驻登记”—“立即登记”进行自助注册绑定。</w:t>
      </w:r>
    </w:p>
    <w:p w14:paraId="091665A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投标人将</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平台电子交易客户端下载、安装完成后，可通过账号密码或CA登录客户端进行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制作。在使用政采云投标客户端时，建议使用WIN7及以上操作系统。</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登录兵团政府采购网“下载专区”—“电子招投标客户端下载”下载相关客户端，如有问题可拨打政采云客户服务热线95763进行咨询。</w:t>
      </w:r>
    </w:p>
    <w:p w14:paraId="1A54E8F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加密的电子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递交截止时间前通过政采云平台上传完成。逾期上传或者未上传指定地点的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，不予受理。</w:t>
      </w:r>
    </w:p>
    <w:p w14:paraId="02317D0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投标人在开标前须提前配置好电脑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浏览器，开标时请使用制作加密电子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，如因自身原因导致无法正常解密，后果由投标人自行承担。</w:t>
      </w:r>
    </w:p>
    <w:p w14:paraId="6EDA716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如遇“</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”电子交易规则调整，以最新要求为准。</w:t>
      </w:r>
    </w:p>
    <w:p w14:paraId="733157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06DEE05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0" w:name="_Toc2746"/>
      <w:bookmarkStart w:id="171" w:name="_Toc26264"/>
      <w:bookmarkStart w:id="172" w:name="_Toc28416"/>
      <w:bookmarkStart w:id="173" w:name="_Toc163492834"/>
      <w:r>
        <w:rPr>
          <w:rFonts w:hint="eastAsia" w:ascii="宋体" w:hAnsi="宋体" w:eastAsia="宋体" w:cs="宋体"/>
          <w:b/>
          <w:bCs/>
          <w:color w:val="auto"/>
          <w:kern w:val="2"/>
          <w:sz w:val="24"/>
          <w:szCs w:val="24"/>
          <w:highlight w:val="none"/>
          <w:lang w:val="en-US" w:eastAsia="zh-CN" w:bidi="ar-SA"/>
        </w:rPr>
        <w:t>（二）招标文件</w:t>
      </w:r>
      <w:bookmarkEnd w:id="169"/>
      <w:bookmarkEnd w:id="170"/>
      <w:bookmarkEnd w:id="171"/>
      <w:bookmarkEnd w:id="172"/>
      <w:bookmarkEnd w:id="173"/>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4" w:name="_Toc8199"/>
      <w:bookmarkStart w:id="175" w:name="_Toc140132768"/>
      <w:bookmarkStart w:id="176" w:name="_Toc163492835"/>
      <w:bookmarkStart w:id="177" w:name="_Toc21231"/>
      <w:bookmarkStart w:id="178" w:name="_Toc24748"/>
      <w:r>
        <w:rPr>
          <w:rFonts w:hint="eastAsia" w:ascii="宋体" w:hAnsi="宋体" w:eastAsia="宋体" w:cs="宋体"/>
          <w:b/>
          <w:bCs/>
          <w:color w:val="auto"/>
          <w:kern w:val="2"/>
          <w:sz w:val="24"/>
          <w:szCs w:val="24"/>
          <w:highlight w:val="none"/>
          <w:lang w:val="en-US" w:eastAsia="zh-CN" w:bidi="ar-SA"/>
        </w:rPr>
        <w:t>11.招标文件的组成</w:t>
      </w:r>
      <w:bookmarkEnd w:id="174"/>
      <w:bookmarkEnd w:id="175"/>
      <w:bookmarkEnd w:id="176"/>
      <w:bookmarkEnd w:id="177"/>
      <w:bookmarkEnd w:id="178"/>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.1本招标文件包括下列文件及根据本章第9款、第1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9" w:name="_Toc19359"/>
      <w:bookmarkStart w:id="180" w:name="_Toc140132769"/>
      <w:bookmarkStart w:id="181" w:name="_Toc163492836"/>
      <w:bookmarkStart w:id="182" w:name="_Toc1043"/>
      <w:bookmarkStart w:id="183" w:name="_Toc23749"/>
      <w:r>
        <w:rPr>
          <w:rFonts w:hint="eastAsia" w:ascii="宋体" w:hAnsi="宋体" w:eastAsia="宋体" w:cs="宋体"/>
          <w:b/>
          <w:bCs/>
          <w:color w:val="auto"/>
          <w:kern w:val="2"/>
          <w:sz w:val="24"/>
          <w:szCs w:val="24"/>
          <w:highlight w:val="none"/>
          <w:lang w:val="en-US" w:eastAsia="zh-CN" w:bidi="ar-SA"/>
        </w:rPr>
        <w:t>12.招标文件的询问、澄清或者修改</w:t>
      </w:r>
      <w:bookmarkEnd w:id="179"/>
      <w:bookmarkEnd w:id="180"/>
      <w:bookmarkEnd w:id="181"/>
      <w:bookmarkEnd w:id="182"/>
      <w:bookmarkEnd w:id="183"/>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投标人在规定的时间内未对招标文件提出疑问或要求澄清的，采购代理机构将视其为同意，对在“投标人须知前附表”中“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采购人或者采购代理机构可以对已发出的招标文件进行必要的澄清或者修改。澄清或修改的内容为招标文件的组成部分，并对所有获取招标文件的潜在投标人具有约束力。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招标文件的澄清或者修改以当面交接、邮寄、传真或电子邮件、网站披露等其中至少一种方式，发给所有领取招标文件的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投标人须知”所称“书面形式”包括系统消息、政府采购</w:t>
      </w:r>
      <w:r>
        <w:rPr>
          <w:rFonts w:hint="eastAsia" w:ascii="宋体" w:hAnsi="宋体" w:eastAsia="宋体" w:cs="宋体"/>
          <w:color w:val="auto"/>
          <w:sz w:val="24"/>
          <w:szCs w:val="24"/>
          <w:highlight w:val="none"/>
          <w:lang w:val="en-US" w:eastAsia="zh-CN"/>
        </w:rPr>
        <w:t>云平台</w:t>
      </w:r>
      <w:r>
        <w:rPr>
          <w:rFonts w:hint="eastAsia" w:ascii="宋体" w:hAnsi="宋体" w:eastAsia="宋体" w:cs="宋体"/>
          <w:color w:val="auto"/>
          <w:sz w:val="24"/>
          <w:szCs w:val="24"/>
          <w:highlight w:val="none"/>
        </w:rPr>
        <w:t>发布的公告。</w:t>
      </w:r>
    </w:p>
    <w:p w14:paraId="1E6D774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4" w:name="_Toc28118"/>
      <w:bookmarkStart w:id="185" w:name="_Toc155185872"/>
      <w:bookmarkStart w:id="186" w:name="_Toc10238"/>
      <w:bookmarkStart w:id="187" w:name="_Toc21031"/>
      <w:bookmarkStart w:id="188" w:name="_Toc163492837"/>
      <w:r>
        <w:rPr>
          <w:rFonts w:hint="eastAsia" w:ascii="宋体" w:hAnsi="宋体" w:eastAsia="宋体" w:cs="宋体"/>
          <w:b/>
          <w:bCs/>
          <w:color w:val="auto"/>
          <w:kern w:val="2"/>
          <w:sz w:val="24"/>
          <w:szCs w:val="24"/>
          <w:highlight w:val="none"/>
          <w:lang w:val="en-US" w:eastAsia="zh-CN" w:bidi="ar-SA"/>
        </w:rPr>
        <w:t>（三）投标文件</w:t>
      </w:r>
      <w:bookmarkEnd w:id="184"/>
      <w:bookmarkEnd w:id="185"/>
      <w:bookmarkEnd w:id="186"/>
      <w:bookmarkEnd w:id="187"/>
      <w:bookmarkEnd w:id="188"/>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9" w:name="_Toc10645"/>
      <w:bookmarkStart w:id="190" w:name="_Toc163492838"/>
      <w:bookmarkStart w:id="191" w:name="_Toc31491"/>
      <w:bookmarkStart w:id="192" w:name="_Toc25559"/>
      <w:r>
        <w:rPr>
          <w:rFonts w:hint="eastAsia" w:ascii="宋体" w:hAnsi="宋体" w:eastAsia="宋体" w:cs="宋体"/>
          <w:b/>
          <w:bCs/>
          <w:color w:val="auto"/>
          <w:kern w:val="2"/>
          <w:sz w:val="24"/>
          <w:szCs w:val="24"/>
          <w:highlight w:val="none"/>
          <w:lang w:val="en-US" w:eastAsia="zh-CN" w:bidi="ar-SA"/>
        </w:rPr>
        <w:t>13.投标文件的组成</w:t>
      </w:r>
      <w:bookmarkEnd w:id="189"/>
      <w:bookmarkEnd w:id="190"/>
      <w:bookmarkEnd w:id="191"/>
      <w:bookmarkEnd w:id="192"/>
    </w:p>
    <w:p w14:paraId="174A0A3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bookmarkStart w:id="193" w:name="_Toc163492839"/>
      <w:bookmarkStart w:id="194" w:name="_Toc140132772"/>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.1投标人应完整地按招标文件提供的投标文件格式及要求编写投标文件，具体内容详见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第七章 </w:t>
      </w:r>
      <w:r>
        <w:rPr>
          <w:rFonts w:hint="eastAsia" w:ascii="宋体" w:hAnsi="宋体" w:eastAsia="宋体" w:cs="宋体"/>
          <w:color w:val="auto"/>
          <w:kern w:val="2"/>
          <w:sz w:val="24"/>
          <w:szCs w:val="24"/>
          <w:highlight w:val="none"/>
        </w:rPr>
        <w:t>投标文件格式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的相关内容。</w:t>
      </w:r>
    </w:p>
    <w:p w14:paraId="3BB3A0B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13.2</w:t>
      </w:r>
      <w:r>
        <w:rPr>
          <w:rFonts w:hint="eastAsia" w:ascii="宋体" w:hAnsi="宋体" w:eastAsia="宋体" w:cs="宋体"/>
          <w:color w:val="auto"/>
          <w:kern w:val="2"/>
          <w:sz w:val="24"/>
          <w:szCs w:val="24"/>
          <w:highlight w:val="none"/>
        </w:rPr>
        <w:t>投标人应提交招标文件要求的证明文件，证明其投标内容符合招标文件规定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该证明文件是投标文件的一部分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证明文件</w:t>
      </w:r>
      <w:r>
        <w:rPr>
          <w:rFonts w:hint="eastAsia" w:ascii="宋体" w:hAnsi="宋体" w:eastAsia="宋体" w:cs="宋体"/>
          <w:color w:val="auto"/>
          <w:kern w:val="2"/>
          <w:sz w:val="24"/>
          <w:szCs w:val="24"/>
          <w:highlight w:val="none"/>
          <w:lang w:val="en-US" w:eastAsia="zh-CN"/>
        </w:rPr>
        <w:t>形式</w:t>
      </w:r>
      <w:r>
        <w:rPr>
          <w:rFonts w:hint="eastAsia" w:ascii="宋体" w:hAnsi="宋体" w:eastAsia="宋体" w:cs="宋体"/>
          <w:color w:val="auto"/>
          <w:kern w:val="2"/>
          <w:sz w:val="24"/>
          <w:szCs w:val="24"/>
          <w:highlight w:val="none"/>
        </w:rPr>
        <w:t>可以是文字资料、图纸和数据</w:t>
      </w:r>
      <w:bookmarkStart w:id="195" w:name="_Hlk11703583"/>
      <w:r>
        <w:rPr>
          <w:rFonts w:hint="eastAsia" w:ascii="宋体" w:hAnsi="宋体" w:eastAsia="宋体" w:cs="宋体"/>
          <w:color w:val="auto"/>
          <w:kern w:val="2"/>
          <w:sz w:val="24"/>
          <w:szCs w:val="24"/>
          <w:highlight w:val="none"/>
          <w:lang w:val="en-US" w:eastAsia="zh-CN"/>
        </w:rPr>
        <w:t>等。</w:t>
      </w:r>
    </w:p>
    <w:bookmarkEnd w:id="195"/>
    <w:p w14:paraId="781BBA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13.3</w:t>
      </w:r>
      <w:r>
        <w:rPr>
          <w:rFonts w:hint="eastAsia" w:ascii="宋体" w:hAnsi="宋体" w:eastAsia="宋体" w:cs="宋体"/>
          <w:color w:val="auto"/>
          <w:kern w:val="2"/>
          <w:sz w:val="24"/>
          <w:szCs w:val="24"/>
          <w:highlight w:val="none"/>
        </w:rPr>
        <w:t>为保证公平公正，除非</w:t>
      </w:r>
      <w:r>
        <w:rPr>
          <w:rFonts w:hint="eastAsia" w:ascii="宋体" w:hAnsi="宋体" w:eastAsia="宋体" w:cs="宋体"/>
          <w:color w:val="auto"/>
          <w:kern w:val="2"/>
          <w:sz w:val="24"/>
          <w:szCs w:val="24"/>
          <w:highlight w:val="none"/>
          <w:lang w:val="en-US" w:eastAsia="zh-CN"/>
        </w:rPr>
        <w:t>本招标文件</w:t>
      </w:r>
      <w:r>
        <w:rPr>
          <w:rFonts w:hint="eastAsia" w:ascii="宋体" w:hAnsi="宋体" w:eastAsia="宋体" w:cs="宋体"/>
          <w:color w:val="auto"/>
          <w:kern w:val="2"/>
          <w:sz w:val="24"/>
          <w:szCs w:val="24"/>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6" w:name="_Toc24665"/>
      <w:bookmarkStart w:id="197" w:name="_Toc27765"/>
      <w:bookmarkStart w:id="198" w:name="_Toc12829"/>
      <w:r>
        <w:rPr>
          <w:rFonts w:hint="eastAsia" w:ascii="宋体" w:hAnsi="宋体" w:eastAsia="宋体" w:cs="宋体"/>
          <w:b/>
          <w:bCs/>
          <w:color w:val="auto"/>
          <w:kern w:val="2"/>
          <w:sz w:val="24"/>
          <w:szCs w:val="24"/>
          <w:highlight w:val="none"/>
          <w:lang w:val="en-US" w:eastAsia="zh-CN" w:bidi="ar-SA"/>
        </w:rPr>
        <w:t>14.投标报价</w:t>
      </w:r>
      <w:bookmarkEnd w:id="193"/>
      <w:bookmarkEnd w:id="194"/>
      <w:bookmarkEnd w:id="196"/>
      <w:bookmarkEnd w:id="197"/>
      <w:bookmarkEnd w:id="198"/>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2"/>
          <w:sz w:val="24"/>
          <w:szCs w:val="24"/>
          <w:highlight w:val="none"/>
          <w:lang w:val="en-US" w:eastAsia="zh-CN"/>
        </w:rPr>
        <w:t>14.3</w:t>
      </w:r>
      <w:r>
        <w:rPr>
          <w:rFonts w:hint="eastAsia" w:ascii="宋体" w:hAnsi="宋体" w:eastAsia="宋体" w:cs="宋体"/>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snapToGrid w:val="0"/>
          <w:color w:val="auto"/>
          <w:sz w:val="24"/>
          <w:szCs w:val="24"/>
          <w:highlight w:val="none"/>
        </w:rPr>
        <w:t>。</w:t>
      </w:r>
    </w:p>
    <w:p w14:paraId="29AAB874">
      <w:pPr>
        <w:pStyle w:val="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14.4投标人的报价应包括但不限于按照招标文件要求完成本项目的全部相关费用。</w:t>
      </w:r>
    </w:p>
    <w:p w14:paraId="049AF5FA">
      <w:pPr>
        <w:ind w:firstLine="480" w:firstLineChars="200"/>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14.5 投标人须严格按照分项报价表规定的内容填写服务单价以及其他事项。</w:t>
      </w:r>
      <w:r>
        <w:rPr>
          <w:rFonts w:hint="eastAsia" w:ascii="宋体" w:hAnsi="宋体"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58EFD12">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14.6 投标人在投标文件中注明免费的项目将视为包含在投标报价中。</w:t>
      </w:r>
    </w:p>
    <w:p w14:paraId="6DF8B2FA">
      <w:pPr>
        <w:pStyle w:val="1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14.7 每一种采购内容只允许</w:t>
      </w:r>
      <w:r>
        <w:rPr>
          <w:rFonts w:hint="eastAsia" w:ascii="宋体" w:hAnsi="宋体" w:eastAsia="宋体" w:cs="宋体"/>
          <w:snapToGrid w:val="0"/>
          <w:color w:val="auto"/>
          <w:sz w:val="24"/>
          <w:szCs w:val="24"/>
          <w:highlight w:val="none"/>
        </w:rPr>
        <w:t>有一个报价，否则其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r>
        <w:rPr>
          <w:rFonts w:hint="eastAsia" w:ascii="宋体" w:hAnsi="宋体" w:eastAsia="宋体" w:cs="宋体"/>
          <w:color w:val="auto"/>
          <w:kern w:val="2"/>
          <w:sz w:val="24"/>
          <w:szCs w:val="24"/>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4"/>
          <w:highlight w:val="none"/>
          <w:lang w:val="en-US" w:eastAsia="zh-CN"/>
        </w:rPr>
        <w:t>实质性</w:t>
      </w:r>
      <w:r>
        <w:rPr>
          <w:rFonts w:hint="eastAsia" w:ascii="宋体" w:hAnsi="宋体" w:eastAsia="宋体" w:cs="宋体"/>
          <w:color w:val="auto"/>
          <w:kern w:val="2"/>
          <w:sz w:val="24"/>
          <w:szCs w:val="24"/>
          <w:highlight w:val="none"/>
        </w:rPr>
        <w:t>响应</w:t>
      </w:r>
      <w:r>
        <w:rPr>
          <w:rFonts w:hint="eastAsia" w:ascii="宋体" w:hAnsi="宋体" w:eastAsia="宋体" w:cs="宋体"/>
          <w:color w:val="auto"/>
          <w:kern w:val="2"/>
          <w:sz w:val="24"/>
          <w:szCs w:val="24"/>
          <w:highlight w:val="none"/>
          <w:lang w:val="en-US" w:eastAsia="zh-CN"/>
        </w:rPr>
        <w:t>招标文件,其</w:t>
      </w:r>
      <w:r>
        <w:rPr>
          <w:rFonts w:hint="eastAsia" w:ascii="宋体" w:hAnsi="宋体" w:eastAsia="宋体" w:cs="宋体"/>
          <w:b/>
          <w:bCs/>
          <w:color w:val="auto"/>
          <w:kern w:val="2"/>
          <w:sz w:val="24"/>
          <w:szCs w:val="24"/>
          <w:highlight w:val="none"/>
          <w:lang w:eastAsia="zh-CN"/>
        </w:rPr>
        <w:t>投标无效</w:t>
      </w:r>
      <w:r>
        <w:rPr>
          <w:rFonts w:hint="eastAsia" w:ascii="宋体" w:hAnsi="宋体" w:eastAsia="宋体" w:cs="宋体"/>
          <w:color w:val="auto"/>
          <w:kern w:val="2"/>
          <w:sz w:val="24"/>
          <w:szCs w:val="24"/>
          <w:highlight w:val="none"/>
        </w:rPr>
        <w:t>。</w:t>
      </w:r>
    </w:p>
    <w:p w14:paraId="192E0BF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投标报价不得超过“</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”中规定的最高投标限价</w:t>
      </w:r>
      <w:r>
        <w:rPr>
          <w:rFonts w:hint="eastAsia" w:ascii="宋体" w:hAnsi="宋体" w:eastAsia="宋体" w:cs="宋体"/>
          <w:color w:val="auto"/>
          <w:sz w:val="24"/>
          <w:szCs w:val="24"/>
          <w:highlight w:val="none"/>
          <w:lang w:val="en-US" w:eastAsia="zh-CN"/>
        </w:rPr>
        <w:t>或者预算金额</w:t>
      </w:r>
      <w:r>
        <w:rPr>
          <w:rFonts w:hint="eastAsia" w:ascii="宋体" w:hAnsi="宋体" w:eastAsia="宋体" w:cs="宋体"/>
          <w:color w:val="auto"/>
          <w:sz w:val="24"/>
          <w:szCs w:val="24"/>
          <w:highlight w:val="none"/>
        </w:rPr>
        <w:t>，否则评标委员会将</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color w:val="auto"/>
          <w:sz w:val="24"/>
          <w:szCs w:val="24"/>
          <w:highlight w:val="none"/>
        </w:rPr>
        <w:t>。</w:t>
      </w:r>
    </w:p>
    <w:p w14:paraId="1DC40C77">
      <w:pPr>
        <w:pStyle w:val="53"/>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9 </w:t>
      </w:r>
      <w:r>
        <w:rPr>
          <w:rFonts w:hint="eastAsia" w:ascii="宋体" w:hAnsi="宋体" w:eastAsia="宋体" w:cs="宋体"/>
          <w:color w:val="auto"/>
          <w:kern w:val="2"/>
          <w:sz w:val="24"/>
          <w:szCs w:val="24"/>
          <w:highlight w:val="none"/>
        </w:rPr>
        <w:t>投标人对投标报价若有说明应在投标文件中显著处注明。</w:t>
      </w:r>
    </w:p>
    <w:p w14:paraId="69F7C97A">
      <w:pPr>
        <w:pStyle w:val="53"/>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除政策性文件规定以外，投标人所报价格在合同实施期间不因市场变化因素而变动。</w:t>
      </w:r>
    </w:p>
    <w:p w14:paraId="3D2E52CC">
      <w:pPr>
        <w:pStyle w:val="53"/>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rPr>
        <w:t>最低报价不能作为中标的保证。</w:t>
      </w:r>
    </w:p>
    <w:p w14:paraId="4F55CD6E">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14.11</w:t>
      </w:r>
      <w:r>
        <w:rPr>
          <w:rFonts w:hint="eastAsia" w:ascii="宋体" w:hAnsi="宋体" w:eastAsia="宋体" w:cs="宋体"/>
          <w:color w:val="auto"/>
          <w:kern w:val="0"/>
          <w:sz w:val="24"/>
          <w:szCs w:val="24"/>
          <w:highlight w:val="none"/>
          <w:lang w:val="en-US" w:eastAsia="zh-CN" w:bidi="ar"/>
        </w:rPr>
        <w:t>采购人不得向投标人索要或者接受其给予的赠品、回扣或者与采购无关的其他商品、服务。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9" w:name="_Toc24048"/>
      <w:bookmarkStart w:id="200" w:name="_Toc163492840"/>
      <w:bookmarkStart w:id="201" w:name="_Toc140132773"/>
      <w:bookmarkStart w:id="202" w:name="_Toc9162"/>
      <w:bookmarkStart w:id="203" w:name="_Toc24520"/>
      <w:r>
        <w:rPr>
          <w:rFonts w:hint="eastAsia" w:ascii="宋体" w:hAnsi="宋体" w:eastAsia="宋体" w:cs="宋体"/>
          <w:b/>
          <w:bCs/>
          <w:color w:val="auto"/>
          <w:kern w:val="2"/>
          <w:sz w:val="24"/>
          <w:szCs w:val="24"/>
          <w:highlight w:val="none"/>
          <w:lang w:val="en-US" w:eastAsia="zh-CN" w:bidi="ar-SA"/>
        </w:rPr>
        <w:t>15.投标有效期</w:t>
      </w:r>
      <w:bookmarkEnd w:id="199"/>
      <w:bookmarkEnd w:id="200"/>
      <w:bookmarkEnd w:id="201"/>
      <w:bookmarkEnd w:id="202"/>
      <w:bookmarkEnd w:id="203"/>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4"/>
          <w:highlight w:val="none"/>
          <w:lang w:val="en"/>
        </w:rPr>
        <w:t>投标有效期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投标人须知前附表”，投标人承诺的投标有效期</w:t>
      </w:r>
      <w:r>
        <w:rPr>
          <w:rFonts w:hint="eastAsia" w:ascii="宋体" w:hAnsi="宋体" w:eastAsia="宋体" w:cs="宋体"/>
          <w:snapToGrid w:val="0"/>
          <w:color w:val="auto"/>
          <w:sz w:val="24"/>
          <w:szCs w:val="24"/>
          <w:highlight w:val="none"/>
          <w:lang w:val="zh-CN" w:eastAsia="zh-CN"/>
        </w:rPr>
        <w:t>少于</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val="zh-CN" w:eastAsia="zh-CN"/>
        </w:rPr>
        <w:t>文件规定期限的，其</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lang w:val="zh-CN" w:eastAsia="zh-CN"/>
        </w:rPr>
        <w:t>无效</w:t>
      </w:r>
      <w:r>
        <w:rPr>
          <w:rFonts w:hint="eastAsia" w:ascii="宋体" w:hAnsi="宋体" w:eastAsia="宋体" w:cs="宋体"/>
          <w:snapToGrid w:val="0"/>
          <w:color w:val="auto"/>
          <w:sz w:val="24"/>
          <w:szCs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投标人同意延长的，</w:t>
      </w:r>
      <w:r>
        <w:rPr>
          <w:rFonts w:hint="eastAsia" w:ascii="宋体" w:hAnsi="宋体" w:eastAsia="宋体" w:cs="宋体"/>
          <w:color w:val="auto"/>
          <w:kern w:val="2"/>
          <w:sz w:val="24"/>
          <w:szCs w:val="24"/>
          <w:highlight w:val="none"/>
          <w:lang w:val="en-US" w:eastAsia="zh-CN"/>
        </w:rPr>
        <w:t>其</w:t>
      </w:r>
      <w:r>
        <w:rPr>
          <w:rFonts w:hint="eastAsia" w:ascii="宋体" w:hAnsi="宋体" w:eastAsia="宋体" w:cs="宋体"/>
          <w:color w:val="auto"/>
          <w:kern w:val="2"/>
          <w:sz w:val="24"/>
          <w:szCs w:val="24"/>
          <w:highlight w:val="none"/>
        </w:rPr>
        <w:t>投标保证金的有效期也相应延长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但</w:t>
      </w:r>
      <w:r>
        <w:rPr>
          <w:rFonts w:hint="eastAsia" w:ascii="宋体" w:hAnsi="宋体" w:eastAsia="宋体" w:cs="宋体"/>
          <w:color w:val="auto"/>
          <w:sz w:val="24"/>
          <w:szCs w:val="24"/>
          <w:highlight w:val="none"/>
        </w:rPr>
        <w:t>不得要求或被允许修改或撤销其投标文件；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拒绝延长的，其投标文件在原投标有效期满后将不再有效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但其提交的投标保证金可予以退还</w:t>
      </w:r>
      <w:r>
        <w:rPr>
          <w:rFonts w:hint="eastAsia" w:ascii="宋体" w:hAnsi="宋体" w:eastAsia="宋体" w:cs="宋体"/>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4" w:name="_Toc9620"/>
      <w:bookmarkStart w:id="205" w:name="_Toc163492841"/>
      <w:bookmarkStart w:id="206" w:name="_Toc17887"/>
      <w:bookmarkStart w:id="207" w:name="_Toc140132774"/>
      <w:bookmarkStart w:id="208" w:name="_Toc21362"/>
      <w:r>
        <w:rPr>
          <w:rFonts w:hint="eastAsia" w:ascii="宋体" w:hAnsi="宋体" w:eastAsia="宋体" w:cs="宋体"/>
          <w:b/>
          <w:bCs/>
          <w:color w:val="auto"/>
          <w:kern w:val="2"/>
          <w:sz w:val="24"/>
          <w:szCs w:val="24"/>
          <w:highlight w:val="none"/>
          <w:lang w:val="en-US" w:eastAsia="zh-CN" w:bidi="ar-SA"/>
        </w:rPr>
        <w:t>16.投标文件的编制</w:t>
      </w:r>
      <w:bookmarkEnd w:id="204"/>
      <w:bookmarkEnd w:id="205"/>
      <w:bookmarkEnd w:id="206"/>
      <w:bookmarkEnd w:id="207"/>
      <w:bookmarkEnd w:id="208"/>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.1投标文件应在供应商客户端中进行编制，在投标文件中要求加盖印章的，除有特殊说明之外，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540601F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Start w:id="209" w:name="_Hlk143528557"/>
      <w:r>
        <w:rPr>
          <w:rFonts w:hint="eastAsia" w:ascii="宋体" w:hAnsi="宋体" w:eastAsia="宋体" w:cs="宋体"/>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09"/>
    </w:p>
    <w:p w14:paraId="1A7BD12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7A6BB4B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投标文件须严格按照</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招标文件第</w:t>
      </w:r>
      <w:r>
        <w:rPr>
          <w:rFonts w:hint="eastAsia" w:ascii="宋体" w:hAnsi="宋体" w:eastAsia="宋体" w:cs="宋体"/>
          <w:color w:val="auto"/>
          <w:sz w:val="24"/>
          <w:szCs w:val="24"/>
          <w:highlight w:val="none"/>
          <w:lang w:val="en-US" w:eastAsia="zh-CN"/>
        </w:rPr>
        <w:t>七章</w:t>
      </w:r>
      <w:r>
        <w:rPr>
          <w:rFonts w:hint="eastAsia" w:ascii="宋体" w:hAnsi="宋体" w:eastAsia="宋体" w:cs="宋体"/>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4B72F25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开标一览表为在开标</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唱标的内容，要求按格式统一填写，不得自行增减内容。</w:t>
      </w:r>
    </w:p>
    <w:p w14:paraId="499D705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 w:val="24"/>
          <w:szCs w:val="24"/>
          <w:highlight w:val="none"/>
          <w:lang w:val="en-US" w:eastAsia="zh-CN"/>
        </w:rPr>
        <w:t>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rPr>
        <w:t>处理。</w:t>
      </w:r>
    </w:p>
    <w:p w14:paraId="7DBECB0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投标人必须保证投标文件所提供的全部资料真实可靠，并接受采购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代理机构或评标委员会对其中任何资料进一步审查的要求。</w:t>
      </w:r>
    </w:p>
    <w:p w14:paraId="7AE3718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323B93D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16.9电子投标文件的编制</w:t>
      </w:r>
    </w:p>
    <w:p w14:paraId="072DFFA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16.9.1电子投标文件需按招标文件要求进行制作编制。投标文件制作时，不同内容按标签提示制作导入，按照招标文件中明确的投标文件目录和格式进行编制，保证目录清晰、内容完整；           </w:t>
      </w:r>
    </w:p>
    <w:p w14:paraId="51F1928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其投标无效</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0" w:name="_Toc10210"/>
      <w:bookmarkStart w:id="211" w:name="_Toc22756"/>
      <w:bookmarkStart w:id="212" w:name="_Toc163492842"/>
      <w:bookmarkStart w:id="213" w:name="_Toc20626"/>
      <w:bookmarkStart w:id="214" w:name="_Toc155185873"/>
      <w:r>
        <w:rPr>
          <w:rFonts w:hint="eastAsia" w:ascii="宋体" w:hAnsi="宋体" w:eastAsia="宋体" w:cs="宋体"/>
          <w:b/>
          <w:bCs/>
          <w:color w:val="auto"/>
          <w:kern w:val="2"/>
          <w:sz w:val="24"/>
          <w:szCs w:val="24"/>
          <w:highlight w:val="none"/>
          <w:lang w:val="en-US" w:eastAsia="zh-CN" w:bidi="ar-SA"/>
        </w:rPr>
        <w:t>（四）投标</w:t>
      </w:r>
      <w:bookmarkEnd w:id="210"/>
      <w:bookmarkEnd w:id="211"/>
      <w:bookmarkEnd w:id="212"/>
      <w:bookmarkEnd w:id="213"/>
      <w:bookmarkEnd w:id="214"/>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5" w:name="_Toc27659"/>
      <w:bookmarkStart w:id="216" w:name="_Toc32654"/>
      <w:bookmarkStart w:id="217" w:name="_Toc16487"/>
      <w:bookmarkStart w:id="218" w:name="_Toc163492843"/>
      <w:r>
        <w:rPr>
          <w:rFonts w:hint="eastAsia" w:ascii="宋体" w:hAnsi="宋体" w:eastAsia="宋体" w:cs="宋体"/>
          <w:b/>
          <w:bCs/>
          <w:color w:val="auto"/>
          <w:kern w:val="2"/>
          <w:sz w:val="24"/>
          <w:szCs w:val="24"/>
          <w:highlight w:val="none"/>
          <w:lang w:val="en-US" w:eastAsia="zh-CN" w:bidi="ar-SA"/>
        </w:rPr>
        <w:t>17.投标保证金</w:t>
      </w:r>
      <w:bookmarkEnd w:id="215"/>
      <w:bookmarkEnd w:id="216"/>
      <w:bookmarkEnd w:id="217"/>
    </w:p>
    <w:p w14:paraId="1182B9B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4"/>
          <w:highlight w:val="none"/>
          <w:lang w:val="en-US" w:eastAsia="zh-CN" w:bidi="ar-SA"/>
        </w:rPr>
        <w:t>投标人未按照招标文件要求提交投标保证金的，其</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4"/>
          <w:highlight w:val="none"/>
          <w:lang w:val="en-US" w:eastAsia="zh-CN"/>
        </w:rPr>
        <w:t>投标无效</w:t>
      </w:r>
      <w:r>
        <w:rPr>
          <w:rFonts w:hint="eastAsia" w:ascii="宋体" w:hAnsi="宋体" w:eastAsia="宋体" w:cs="宋体"/>
          <w:color w:val="auto"/>
          <w:kern w:val="2"/>
          <w:sz w:val="24"/>
          <w:szCs w:val="24"/>
          <w:highlight w:val="none"/>
          <w:lang w:val="en-US" w:eastAsia="zh-CN"/>
        </w:rPr>
        <w:t>。</w:t>
      </w:r>
    </w:p>
    <w:p w14:paraId="27BA110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17.4 投标人为联合体的，可以由联合体中的一方或者多方共同提交投标保证金，其提交的投标保证金对联合体各方均具有约束力。 </w:t>
      </w:r>
    </w:p>
    <w:p w14:paraId="45878AF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6CFB121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17.6 投标人在投标截止时间前撤回已提交的投标文件的，自收到投标人书面撤回通知之日起 5 个工作日内，退还已收取的投标保证金，但因投标人自身原因导致无法及时退还的除外。 </w:t>
      </w:r>
    </w:p>
    <w:p w14:paraId="5EB3FE3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17.7 终止招标项目已经收取投标保证金的，自终止采购活动后 5 个工作日内退还已收取的投标保证金及其在银行产生的孳息。</w:t>
      </w:r>
    </w:p>
    <w:p w14:paraId="0B6A028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 有下列情形之一的，采购人或采购代理机构可以不予退还投标保证金,</w:t>
      </w:r>
      <w:r>
        <w:rPr>
          <w:rFonts w:hint="eastAsia" w:ascii="宋体" w:hAnsi="宋体" w:eastAsia="宋体" w:cs="宋体"/>
          <w:color w:val="auto"/>
          <w:kern w:val="2"/>
          <w:sz w:val="24"/>
          <w:szCs w:val="24"/>
          <w:highlight w:val="none"/>
        </w:rPr>
        <w:t>情节严重的将其列入不良记录名单</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02F7AD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17.8.1 </w:t>
      </w:r>
      <w:r>
        <w:rPr>
          <w:rFonts w:hint="eastAsia" w:ascii="宋体" w:hAnsi="宋体" w:eastAsia="宋体" w:cs="宋体"/>
          <w:color w:val="auto"/>
          <w:kern w:val="2"/>
          <w:sz w:val="24"/>
          <w:szCs w:val="24"/>
          <w:highlight w:val="none"/>
        </w:rPr>
        <w:t>开标后在投标有效期内，投标人撤</w:t>
      </w:r>
      <w:r>
        <w:rPr>
          <w:rFonts w:hint="eastAsia" w:ascii="宋体" w:hAnsi="宋体" w:eastAsia="宋体" w:cs="宋体"/>
          <w:color w:val="auto"/>
          <w:kern w:val="2"/>
          <w:sz w:val="24"/>
          <w:szCs w:val="24"/>
          <w:highlight w:val="none"/>
          <w:lang w:val="en-US" w:eastAsia="zh-CN"/>
        </w:rPr>
        <w:t>销</w:t>
      </w:r>
      <w:r>
        <w:rPr>
          <w:rFonts w:hint="eastAsia" w:ascii="宋体" w:hAnsi="宋体" w:eastAsia="宋体" w:cs="宋体"/>
          <w:color w:val="auto"/>
          <w:kern w:val="2"/>
          <w:sz w:val="24"/>
          <w:szCs w:val="24"/>
          <w:highlight w:val="none"/>
        </w:rPr>
        <w:t>其投标</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6FC9D7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17.8.2 </w:t>
      </w:r>
      <w:r>
        <w:rPr>
          <w:rFonts w:hint="eastAsia" w:ascii="宋体" w:hAnsi="宋体" w:eastAsia="宋体" w:cs="宋体"/>
          <w:color w:val="auto"/>
          <w:kern w:val="2"/>
          <w:sz w:val="24"/>
          <w:szCs w:val="24"/>
          <w:highlight w:val="none"/>
        </w:rPr>
        <w:t>中标后无正当理由不与采购人签订合同的；</w:t>
      </w:r>
    </w:p>
    <w:p w14:paraId="3694295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4"/>
          <w:highlight w:val="none"/>
        </w:rPr>
        <w:t>中标人与采购人订立背离合同实质性内容的其他协议；</w:t>
      </w:r>
    </w:p>
    <w:p w14:paraId="54583F2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将中标项目转让给他人，或者在投标文件中未说明，且未经采购</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同意，将中标项目分包给他人的；</w:t>
      </w:r>
    </w:p>
    <w:p w14:paraId="433DB21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存在串通投标行为的；</w:t>
      </w:r>
    </w:p>
    <w:p w14:paraId="0A3E2CC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存在弄虚作假或提供虚假材料谋取中标的；</w:t>
      </w:r>
    </w:p>
    <w:p w14:paraId="3CBF915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投标人其他未按招标文件规定和合同约定履行义务的行为。</w:t>
      </w:r>
    </w:p>
    <w:p w14:paraId="330E240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直达链接（电子保函）：</w:t>
      </w:r>
    </w:p>
    <w:p w14:paraId="15E30E9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金融服务支撑热线：</w:t>
      </w:r>
      <w:r>
        <w:rPr>
          <w:rFonts w:hint="eastAsia" w:ascii="宋体" w:hAnsi="宋体" w:eastAsia="宋体" w:cs="宋体"/>
          <w:b/>
          <w:bCs/>
          <w:iCs/>
          <w:color w:val="auto"/>
          <w:kern w:val="2"/>
          <w:sz w:val="24"/>
          <w:szCs w:val="24"/>
          <w:highlight w:val="none"/>
          <w:shd w:val="clear" w:color="auto" w:fill="FFFFFF" w:themeFill="background1"/>
          <w:lang w:val="en-US" w:eastAsia="zh-CN" w:bidi="ar-SA"/>
        </w:rPr>
        <w:t>0991-2661159</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9" w:name="_Toc27604"/>
      <w:bookmarkStart w:id="220" w:name="_Toc22547"/>
      <w:bookmarkStart w:id="221" w:name="_Toc11437"/>
      <w:r>
        <w:rPr>
          <w:rFonts w:hint="eastAsia" w:ascii="宋体" w:hAnsi="宋体" w:eastAsia="宋体" w:cs="宋体"/>
          <w:b/>
          <w:bCs/>
          <w:color w:val="auto"/>
          <w:kern w:val="2"/>
          <w:sz w:val="24"/>
          <w:szCs w:val="24"/>
          <w:highlight w:val="none"/>
          <w:lang w:val="en-US" w:eastAsia="zh-CN" w:bidi="ar-SA"/>
        </w:rPr>
        <w:t>18.投标文件的加密</w:t>
      </w:r>
      <w:bookmarkEnd w:id="218"/>
      <w:bookmarkEnd w:id="219"/>
      <w:bookmarkEnd w:id="220"/>
      <w:bookmarkEnd w:id="221"/>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u w:val="single"/>
        </w:rPr>
      </w:pPr>
      <w:bookmarkStart w:id="222" w:name="_Hlk14353186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rPr>
        <w:t>政府采购网（http://ccgp-bingtuan.gov.cn/）的”政采云登录入口”登录后，将加密电子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如果投标人未按上述要求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，采购代理机构对投标文件的误投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本项目采用不见面开标，无需提供电子投标文件U盘。</w:t>
      </w:r>
    </w:p>
    <w:bookmarkEnd w:id="222"/>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3" w:name="_Toc140132777"/>
      <w:bookmarkStart w:id="224" w:name="_Toc18936"/>
      <w:bookmarkStart w:id="225" w:name="_Toc18403"/>
      <w:bookmarkStart w:id="226" w:name="_Toc163492844"/>
      <w:bookmarkStart w:id="227" w:name="_Toc13225"/>
      <w:r>
        <w:rPr>
          <w:rFonts w:hint="eastAsia" w:ascii="宋体" w:hAnsi="宋体" w:eastAsia="宋体" w:cs="宋体"/>
          <w:b/>
          <w:bCs/>
          <w:color w:val="auto"/>
          <w:kern w:val="2"/>
          <w:sz w:val="24"/>
          <w:szCs w:val="24"/>
          <w:highlight w:val="none"/>
          <w:lang w:val="en-US" w:eastAsia="zh-CN" w:bidi="ar-SA"/>
        </w:rPr>
        <w:t>19.投标文件的递交</w:t>
      </w:r>
      <w:bookmarkEnd w:id="223"/>
      <w:r>
        <w:rPr>
          <w:rFonts w:hint="eastAsia" w:ascii="宋体" w:hAnsi="宋体" w:eastAsia="宋体" w:cs="宋体"/>
          <w:b/>
          <w:bCs/>
          <w:color w:val="auto"/>
          <w:kern w:val="2"/>
          <w:sz w:val="24"/>
          <w:szCs w:val="24"/>
          <w:highlight w:val="none"/>
          <w:lang w:val="en-US" w:eastAsia="zh-CN" w:bidi="ar-SA"/>
        </w:rPr>
        <w:t>（上传）</w:t>
      </w:r>
      <w:bookmarkEnd w:id="224"/>
      <w:bookmarkEnd w:id="225"/>
      <w:bookmarkEnd w:id="226"/>
      <w:bookmarkEnd w:id="227"/>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bookmarkStart w:id="228" w:name="_Hlk143531977"/>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投标人应在“</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投标人递交（上传）投标文件的地点见“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.5投标人所递交的投标文件不予退还。</w:t>
      </w:r>
    </w:p>
    <w:bookmarkEnd w:id="228"/>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9" w:name="_Toc9803"/>
      <w:bookmarkStart w:id="230" w:name="_Toc163492845"/>
      <w:bookmarkStart w:id="231" w:name="_Toc19457"/>
      <w:bookmarkStart w:id="232" w:name="_Toc19314"/>
      <w:r>
        <w:rPr>
          <w:rFonts w:hint="eastAsia" w:ascii="宋体" w:hAnsi="宋体" w:eastAsia="宋体" w:cs="宋体"/>
          <w:b/>
          <w:bCs/>
          <w:color w:val="auto"/>
          <w:kern w:val="2"/>
          <w:sz w:val="24"/>
          <w:szCs w:val="24"/>
          <w:highlight w:val="none"/>
          <w:lang w:val="en-US" w:eastAsia="zh-CN" w:bidi="ar-SA"/>
        </w:rPr>
        <w:t>20.拒收</w:t>
      </w:r>
      <w:bookmarkEnd w:id="229"/>
      <w:bookmarkEnd w:id="230"/>
      <w:bookmarkEnd w:id="231"/>
      <w:bookmarkEnd w:id="232"/>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超过投标文件提交截止时间</w:t>
      </w:r>
      <w:bookmarkStart w:id="233" w:name="_Hlk143532404"/>
      <w:r>
        <w:rPr>
          <w:rFonts w:hint="eastAsia" w:ascii="宋体" w:hAnsi="宋体" w:eastAsia="宋体" w:cs="宋体"/>
          <w:color w:val="auto"/>
          <w:sz w:val="24"/>
          <w:szCs w:val="24"/>
          <w:highlight w:val="none"/>
        </w:rPr>
        <w:t>或者不按照本章要求加密的投标文件，交易系统应当拒收</w:t>
      </w:r>
      <w:bookmarkEnd w:id="233"/>
      <w:r>
        <w:rPr>
          <w:rFonts w:hint="eastAsia" w:ascii="宋体" w:hAnsi="宋体" w:eastAsia="宋体" w:cs="宋体"/>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4" w:name="_Toc20710"/>
      <w:bookmarkStart w:id="235" w:name="_Toc140132778"/>
      <w:bookmarkStart w:id="236" w:name="_Toc31714"/>
      <w:bookmarkStart w:id="237" w:name="_Toc163492846"/>
      <w:bookmarkStart w:id="238" w:name="_Toc17912"/>
      <w:r>
        <w:rPr>
          <w:rFonts w:hint="eastAsia" w:ascii="宋体" w:hAnsi="宋体" w:eastAsia="宋体" w:cs="宋体"/>
          <w:b/>
          <w:bCs/>
          <w:color w:val="auto"/>
          <w:kern w:val="2"/>
          <w:sz w:val="24"/>
          <w:szCs w:val="24"/>
          <w:highlight w:val="none"/>
          <w:lang w:val="en-US" w:eastAsia="zh-CN" w:bidi="ar-SA"/>
        </w:rPr>
        <w:t>21.投标文件的修改与撤回</w:t>
      </w:r>
      <w:bookmarkEnd w:id="234"/>
      <w:bookmarkEnd w:id="235"/>
      <w:bookmarkEnd w:id="236"/>
      <w:bookmarkEnd w:id="237"/>
      <w:bookmarkEnd w:id="238"/>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bookmarkStart w:id="239" w:name="_Hlk143532466"/>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递交截止时间之前，可在兵团政府采购电子交易云平台上随时撤回已上传的电子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，将修改好的电子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递交截止时间前重新上传到兵团政府采购电子交易云平台的</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定位置。</w:t>
      </w:r>
    </w:p>
    <w:bookmarkEnd w:id="239"/>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0" w:name="_Toc18728"/>
      <w:bookmarkStart w:id="241" w:name="_Toc163492847"/>
      <w:bookmarkStart w:id="242" w:name="_Toc155185874"/>
      <w:bookmarkStart w:id="243" w:name="_Toc6030"/>
      <w:bookmarkStart w:id="244" w:name="_Toc20864"/>
      <w:r>
        <w:rPr>
          <w:rFonts w:hint="eastAsia" w:ascii="宋体" w:hAnsi="宋体" w:eastAsia="宋体" w:cs="宋体"/>
          <w:b/>
          <w:bCs/>
          <w:color w:val="auto"/>
          <w:kern w:val="2"/>
          <w:sz w:val="24"/>
          <w:szCs w:val="24"/>
          <w:highlight w:val="none"/>
          <w:lang w:val="en-US" w:eastAsia="zh-CN" w:bidi="ar-SA"/>
        </w:rPr>
        <w:t>22.实物样品</w:t>
      </w:r>
      <w:bookmarkEnd w:id="240"/>
      <w:bookmarkEnd w:id="241"/>
      <w:bookmarkEnd w:id="242"/>
      <w:bookmarkEnd w:id="243"/>
      <w:bookmarkEnd w:id="244"/>
    </w:p>
    <w:p w14:paraId="52D4EA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.1“投标人须知前附表”要求提供样品的，样品的具体要求及评审详见“第三章 采购需求”和“第五章 评标</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2D6ED3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.2样品退还：未中标的投标人应</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自行联系采购人取回投标样品；中标人的样品由采购人进行保管、封存，并作为履约验收的参考（招标文件另有规定的从其规定）。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5" w:name="_Toc3586"/>
      <w:bookmarkStart w:id="246" w:name="_Toc11533"/>
      <w:bookmarkStart w:id="247" w:name="_Toc155185875"/>
      <w:bookmarkStart w:id="248" w:name="_Toc30367"/>
      <w:bookmarkStart w:id="249" w:name="_Toc163492848"/>
      <w:r>
        <w:rPr>
          <w:rFonts w:hint="eastAsia" w:ascii="宋体" w:hAnsi="宋体" w:eastAsia="宋体" w:cs="宋体"/>
          <w:b/>
          <w:bCs/>
          <w:color w:val="auto"/>
          <w:kern w:val="2"/>
          <w:sz w:val="24"/>
          <w:szCs w:val="24"/>
          <w:highlight w:val="none"/>
          <w:lang w:val="en-US" w:eastAsia="zh-CN" w:bidi="ar-SA"/>
        </w:rPr>
        <w:t>23.演示</w:t>
      </w:r>
      <w:bookmarkEnd w:id="245"/>
      <w:bookmarkEnd w:id="246"/>
      <w:bookmarkEnd w:id="247"/>
      <w:bookmarkEnd w:id="248"/>
      <w:bookmarkEnd w:id="249"/>
    </w:p>
    <w:p w14:paraId="1A234B3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.1要求投标人进行演示的，演示要求详见“投标人须知前附表”。</w:t>
      </w:r>
    </w:p>
    <w:p w14:paraId="527E90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.2演示的评审详见“第三章 采购需求”和“第五章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0" w:name="_Toc140132779"/>
      <w:bookmarkStart w:id="251" w:name="_Toc13245"/>
      <w:bookmarkStart w:id="252" w:name="_Toc8231"/>
      <w:bookmarkStart w:id="253" w:name="_Toc155185876"/>
      <w:bookmarkStart w:id="254" w:name="_Toc23023"/>
      <w:bookmarkStart w:id="255" w:name="_Toc163492849"/>
      <w:r>
        <w:rPr>
          <w:rFonts w:hint="eastAsia" w:ascii="宋体" w:hAnsi="宋体" w:eastAsia="宋体" w:cs="宋体"/>
          <w:b/>
          <w:bCs/>
          <w:color w:val="auto"/>
          <w:kern w:val="2"/>
          <w:sz w:val="24"/>
          <w:szCs w:val="24"/>
          <w:highlight w:val="none"/>
          <w:lang w:val="en-US" w:eastAsia="zh-CN" w:bidi="ar-SA"/>
        </w:rPr>
        <w:t>（五）开标</w:t>
      </w:r>
      <w:bookmarkEnd w:id="250"/>
      <w:bookmarkEnd w:id="251"/>
      <w:bookmarkEnd w:id="252"/>
      <w:bookmarkEnd w:id="253"/>
      <w:bookmarkEnd w:id="254"/>
      <w:bookmarkEnd w:id="255"/>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6" w:name="_Toc21393"/>
      <w:bookmarkStart w:id="257" w:name="_Toc163492850"/>
      <w:bookmarkStart w:id="258" w:name="_Toc140132780"/>
      <w:bookmarkStart w:id="259" w:name="_Toc22613"/>
      <w:bookmarkStart w:id="260" w:name="_Toc8612"/>
      <w:r>
        <w:rPr>
          <w:rFonts w:hint="eastAsia" w:ascii="宋体" w:hAnsi="宋体" w:eastAsia="宋体" w:cs="宋体"/>
          <w:b/>
          <w:bCs/>
          <w:color w:val="auto"/>
          <w:kern w:val="2"/>
          <w:sz w:val="24"/>
          <w:szCs w:val="24"/>
          <w:highlight w:val="none"/>
          <w:lang w:val="en-US" w:eastAsia="zh-CN" w:bidi="ar-SA"/>
        </w:rPr>
        <w:t>24.开标会议</w:t>
      </w:r>
      <w:bookmarkEnd w:id="256"/>
      <w:bookmarkEnd w:id="257"/>
      <w:bookmarkEnd w:id="258"/>
      <w:bookmarkEnd w:id="259"/>
      <w:bookmarkEnd w:id="260"/>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bookmarkStart w:id="261" w:name="_Toc14013278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开标会按“</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”规定的开标时间和地点准时举行，采购人、采购代理机构邀请所有投标人准时参加开标会。投标人应按照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的要求参与</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261"/>
      <w:r>
        <w:rPr>
          <w:rFonts w:hint="eastAsia" w:ascii="宋体" w:hAnsi="宋体" w:eastAsia="宋体" w:cs="宋体"/>
          <w:color w:val="auto"/>
          <w:kern w:val="2"/>
          <w:sz w:val="24"/>
          <w:szCs w:val="24"/>
          <w:highlight w:val="none"/>
        </w:rPr>
        <w:t>采购代理机构按照招标文件规定的时间、地点主持开标。采购人在规定的</w:t>
      </w:r>
      <w:r>
        <w:rPr>
          <w:rFonts w:hint="eastAsia" w:ascii="宋体" w:hAnsi="宋体" w:eastAsia="宋体" w:cs="宋体"/>
          <w:color w:val="auto"/>
          <w:kern w:val="2"/>
          <w:sz w:val="24"/>
          <w:szCs w:val="24"/>
          <w:highlight w:val="none"/>
          <w:lang w:eastAsia="zh-CN"/>
        </w:rPr>
        <w:t>投标文件</w:t>
      </w:r>
      <w:r>
        <w:rPr>
          <w:rFonts w:hint="eastAsia" w:ascii="宋体" w:hAnsi="宋体" w:eastAsia="宋体" w:cs="宋体"/>
          <w:color w:val="auto"/>
          <w:kern w:val="2"/>
          <w:sz w:val="24"/>
          <w:szCs w:val="24"/>
          <w:highlight w:val="none"/>
        </w:rPr>
        <w:t>递交截止时间（开标时间）和地点进行不见面远程开标。</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的法定代表人或其委托代理人无需到达开标现场，仅需在任意地点通过</w:t>
      </w:r>
      <w:r>
        <w:rPr>
          <w:rFonts w:hint="eastAsia" w:ascii="宋体" w:hAnsi="宋体" w:eastAsia="宋体" w:cs="宋体"/>
          <w:color w:val="auto"/>
          <w:kern w:val="2"/>
          <w:sz w:val="24"/>
          <w:szCs w:val="24"/>
          <w:highlight w:val="none"/>
          <w:lang w:val="en-US" w:eastAsia="zh-CN"/>
        </w:rPr>
        <w:t>兵团政府采购电子交易云平台（网址：https://www.zcygov.cn/）</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2" w:name="_Toc22024"/>
      <w:bookmarkStart w:id="263" w:name="_Toc163492852"/>
      <w:bookmarkStart w:id="264" w:name="_Toc6135"/>
      <w:bookmarkStart w:id="265" w:name="_Toc30858"/>
      <w:bookmarkStart w:id="266" w:name="_Toc140132783"/>
      <w:r>
        <w:rPr>
          <w:rFonts w:hint="eastAsia" w:ascii="宋体" w:hAnsi="宋体" w:eastAsia="宋体" w:cs="宋体"/>
          <w:b/>
          <w:bCs/>
          <w:color w:val="auto"/>
          <w:kern w:val="2"/>
          <w:sz w:val="24"/>
          <w:szCs w:val="24"/>
          <w:highlight w:val="none"/>
          <w:lang w:val="en-US" w:eastAsia="zh-CN" w:bidi="ar-SA"/>
        </w:rPr>
        <w:t>25.开标程序</w:t>
      </w:r>
      <w:bookmarkEnd w:id="262"/>
      <w:bookmarkEnd w:id="263"/>
      <w:bookmarkEnd w:id="264"/>
      <w:bookmarkEnd w:id="265"/>
      <w:bookmarkEnd w:id="266"/>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（5）系统自动生成开标记录表，供应商应在线对开标记录进行签署确认</w:t>
      </w:r>
      <w:r>
        <w:rPr>
          <w:rFonts w:hint="eastAsia" w:ascii="宋体" w:hAnsi="宋体" w:eastAsia="宋体" w:cs="宋体"/>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（6）开标会结束。</w:t>
      </w:r>
      <w:bookmarkStart w:id="267" w:name="_Toc140132784"/>
      <w:bookmarkStart w:id="268"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9" w:name="_Toc8444"/>
      <w:bookmarkStart w:id="270" w:name="_Toc6699"/>
      <w:bookmarkStart w:id="271" w:name="_Toc8830"/>
      <w:r>
        <w:rPr>
          <w:rFonts w:hint="eastAsia" w:ascii="宋体" w:hAnsi="宋体" w:eastAsia="宋体" w:cs="宋体"/>
          <w:b/>
          <w:bCs/>
          <w:color w:val="auto"/>
          <w:kern w:val="2"/>
          <w:sz w:val="24"/>
          <w:szCs w:val="24"/>
          <w:highlight w:val="none"/>
          <w:lang w:val="en-US" w:eastAsia="zh-CN" w:bidi="ar-SA"/>
        </w:rPr>
        <w:t>26.开标疑义及回避情形</w:t>
      </w:r>
      <w:bookmarkEnd w:id="267"/>
      <w:bookmarkEnd w:id="268"/>
      <w:bookmarkEnd w:id="269"/>
      <w:bookmarkEnd w:id="270"/>
      <w:bookmarkEnd w:id="271"/>
    </w:p>
    <w:p w14:paraId="04573EB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2" w:name="_Toc155185877"/>
      <w:bookmarkStart w:id="273" w:name="_Toc15018"/>
      <w:bookmarkStart w:id="274" w:name="_Toc163492854"/>
      <w:bookmarkStart w:id="275" w:name="_Toc140132785"/>
      <w:bookmarkStart w:id="276" w:name="_Toc9049"/>
      <w:bookmarkStart w:id="277" w:name="_Toc22271"/>
      <w:r>
        <w:rPr>
          <w:rFonts w:hint="eastAsia" w:ascii="宋体" w:hAnsi="宋体" w:eastAsia="宋体" w:cs="宋体"/>
          <w:b/>
          <w:bCs/>
          <w:color w:val="auto"/>
          <w:kern w:val="2"/>
          <w:sz w:val="24"/>
          <w:szCs w:val="24"/>
          <w:highlight w:val="none"/>
          <w:lang w:val="en-US" w:eastAsia="zh-CN" w:bidi="ar-SA"/>
        </w:rPr>
        <w:t>（六）资格审查</w:t>
      </w:r>
      <w:bookmarkEnd w:id="272"/>
      <w:bookmarkEnd w:id="273"/>
      <w:bookmarkEnd w:id="274"/>
      <w:bookmarkEnd w:id="275"/>
      <w:bookmarkEnd w:id="276"/>
      <w:bookmarkEnd w:id="277"/>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8" w:name="_Toc507"/>
      <w:bookmarkStart w:id="279" w:name="_Toc9539"/>
      <w:bookmarkStart w:id="280" w:name="_Toc16245"/>
      <w:bookmarkStart w:id="281" w:name="_Toc163492855"/>
      <w:r>
        <w:rPr>
          <w:rFonts w:hint="eastAsia" w:ascii="宋体" w:hAnsi="宋体" w:eastAsia="宋体" w:cs="宋体"/>
          <w:b/>
          <w:bCs/>
          <w:color w:val="auto"/>
          <w:kern w:val="2"/>
          <w:sz w:val="24"/>
          <w:szCs w:val="24"/>
          <w:highlight w:val="none"/>
          <w:lang w:val="en-US" w:eastAsia="zh-CN" w:bidi="ar-SA"/>
        </w:rPr>
        <w:t>27.资格审查及审查主体</w:t>
      </w:r>
      <w:bookmarkEnd w:id="278"/>
      <w:bookmarkEnd w:id="279"/>
      <w:bookmarkEnd w:id="280"/>
      <w:bookmarkEnd w:id="281"/>
    </w:p>
    <w:p w14:paraId="3F6E8AD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2" w:name="_Toc14013278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bookmarkEnd w:id="282"/>
      <w:r>
        <w:rPr>
          <w:rFonts w:hint="eastAsia" w:ascii="宋体" w:hAnsi="宋体" w:eastAsia="宋体" w:cs="宋体"/>
          <w:color w:val="auto"/>
          <w:sz w:val="24"/>
          <w:szCs w:val="24"/>
          <w:highlight w:val="none"/>
        </w:rPr>
        <w:t>开标结束后，采购人或者采购代理机构应当依法对投标人的资格进行审查。</w:t>
      </w:r>
    </w:p>
    <w:p w14:paraId="6F7626D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3" w:name="_Toc14013278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.2资格审查按“第四章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资格审查”的规定进行。</w:t>
      </w:r>
      <w:bookmarkEnd w:id="283"/>
    </w:p>
    <w:p w14:paraId="44D43B8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4" w:name="_Toc14013278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.3资格审查结束后，应及时对资格审查结果进行复核，对资格审查错误进行及时纠正并记录。</w:t>
      </w:r>
      <w:bookmarkEnd w:id="284"/>
    </w:p>
    <w:p w14:paraId="272F167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资格审查合格投标人不足3家的，不得评标。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5" w:name="_Toc155185878"/>
      <w:bookmarkStart w:id="286" w:name="_Toc9489"/>
      <w:bookmarkStart w:id="287" w:name="_Toc140132789"/>
      <w:bookmarkStart w:id="288" w:name="_Toc11390"/>
      <w:bookmarkStart w:id="289" w:name="_Toc163492856"/>
      <w:bookmarkStart w:id="290" w:name="_Toc3464"/>
      <w:r>
        <w:rPr>
          <w:rFonts w:hint="eastAsia" w:ascii="宋体" w:hAnsi="宋体" w:eastAsia="宋体" w:cs="宋体"/>
          <w:b/>
          <w:bCs/>
          <w:color w:val="auto"/>
          <w:kern w:val="2"/>
          <w:sz w:val="24"/>
          <w:szCs w:val="24"/>
          <w:highlight w:val="none"/>
          <w:lang w:val="en-US" w:eastAsia="zh-CN" w:bidi="ar-SA"/>
        </w:rPr>
        <w:t>（七）评标</w:t>
      </w:r>
      <w:bookmarkEnd w:id="285"/>
      <w:bookmarkEnd w:id="286"/>
      <w:bookmarkEnd w:id="287"/>
      <w:bookmarkEnd w:id="288"/>
      <w:bookmarkEnd w:id="289"/>
      <w:bookmarkEnd w:id="290"/>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1" w:name="_Toc14310"/>
      <w:bookmarkStart w:id="292" w:name="_Toc163492857"/>
      <w:bookmarkStart w:id="293" w:name="_Toc195"/>
      <w:bookmarkStart w:id="294" w:name="_Toc140132790"/>
      <w:bookmarkStart w:id="295" w:name="_Toc13920"/>
      <w:r>
        <w:rPr>
          <w:rFonts w:hint="eastAsia" w:ascii="宋体" w:hAnsi="宋体" w:eastAsia="宋体" w:cs="宋体"/>
          <w:b/>
          <w:bCs/>
          <w:color w:val="auto"/>
          <w:kern w:val="2"/>
          <w:sz w:val="24"/>
          <w:szCs w:val="24"/>
          <w:highlight w:val="none"/>
          <w:lang w:val="en-US" w:eastAsia="zh-CN" w:bidi="ar-SA"/>
        </w:rPr>
        <w:t>28.评标委员会</w:t>
      </w:r>
      <w:bookmarkEnd w:id="291"/>
      <w:bookmarkEnd w:id="292"/>
      <w:bookmarkEnd w:id="293"/>
      <w:bookmarkEnd w:id="294"/>
      <w:bookmarkEnd w:id="295"/>
    </w:p>
    <w:p w14:paraId="1EA2B13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评标由采购人依法组建的评标委员会负责。评标委员会由采购人代表和评审专家组成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成员人数应当为5</w:t>
      </w:r>
      <w:r>
        <w:rPr>
          <w:rFonts w:hint="eastAsia" w:ascii="宋体" w:hAnsi="宋体" w:eastAsia="宋体" w:cs="宋体"/>
          <w:color w:val="auto"/>
          <w:sz w:val="24"/>
          <w:szCs w:val="24"/>
          <w:highlight w:val="none"/>
        </w:rPr>
        <w:t>人以上单数，其中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专家不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少于</w:t>
      </w:r>
      <w:r>
        <w:rPr>
          <w:rFonts w:hint="eastAsia" w:ascii="宋体" w:hAnsi="宋体" w:eastAsia="宋体" w:cs="宋体"/>
          <w:color w:val="auto"/>
          <w:sz w:val="24"/>
          <w:szCs w:val="24"/>
          <w:highlight w:val="none"/>
          <w:lang w:val="en-US" w:eastAsia="zh-CN"/>
        </w:rPr>
        <w:t>成员总数的</w:t>
      </w:r>
      <w:r>
        <w:rPr>
          <w:rFonts w:hint="eastAsia" w:ascii="宋体" w:hAnsi="宋体" w:eastAsia="宋体" w:cs="宋体"/>
          <w:color w:val="auto"/>
          <w:sz w:val="24"/>
          <w:szCs w:val="24"/>
          <w:highlight w:val="none"/>
        </w:rPr>
        <w:t>三分之二。</w:t>
      </w:r>
      <w:r>
        <w:rPr>
          <w:rFonts w:hint="eastAsia" w:ascii="宋体" w:hAnsi="宋体" w:eastAsia="宋体" w:cs="宋体"/>
          <w:color w:val="auto"/>
          <w:sz w:val="24"/>
          <w:szCs w:val="24"/>
          <w:highlight w:val="none"/>
          <w:lang w:val="en-US" w:eastAsia="zh-CN"/>
        </w:rPr>
        <w:t>采购人或者采购代理机构应当从省级以上财政部门设立的政府采购评审专家库中，通过随机方式抽取评审专家。</w:t>
      </w:r>
    </w:p>
    <w:p w14:paraId="32DE78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 采购项目符合下列情形之一的，评标委员会成员人数应当为7人以上单数：</w:t>
      </w:r>
    </w:p>
    <w:p w14:paraId="05C639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（1）采购预算金额在1000万元以上；</w:t>
      </w:r>
    </w:p>
    <w:p w14:paraId="67DFE62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（2）技术复杂；</w:t>
      </w:r>
    </w:p>
    <w:p w14:paraId="6B9FB1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（3）社会影响较大。</w:t>
      </w:r>
    </w:p>
    <w:p w14:paraId="4590A6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28.4评标委员会成员名单在评标结果公告前应当保密。</w:t>
      </w:r>
    </w:p>
    <w:p w14:paraId="2F8842E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20EF10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评标委员会成员有下列情形之一的，应当回避：</w:t>
      </w:r>
    </w:p>
    <w:p w14:paraId="5366671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（1）参加采购活动前3年内与投标人存在劳动关系；</w:t>
      </w:r>
    </w:p>
    <w:p w14:paraId="4B33BA4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（2）参加采购活动前3年内担任投标人的董事、监事；</w:t>
      </w:r>
    </w:p>
    <w:p w14:paraId="271CA22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（3）参加采购活动前3年内是投标人的控股股东或实际控制人；</w:t>
      </w:r>
    </w:p>
    <w:p w14:paraId="0F31540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（4）与投标人的法定代表人或者负责人有夫妻、直系血亲、三代以内旁系血亲或者近姻亲关系；</w:t>
      </w:r>
    </w:p>
    <w:p w14:paraId="20FB9B7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6" w:name="_Toc7854"/>
      <w:bookmarkStart w:id="297" w:name="_Toc4052"/>
      <w:bookmarkStart w:id="298" w:name="_Toc163492858"/>
      <w:bookmarkStart w:id="299" w:name="_Toc140132791"/>
      <w:bookmarkStart w:id="300" w:name="_Toc167"/>
      <w:r>
        <w:rPr>
          <w:rFonts w:hint="eastAsia" w:ascii="宋体" w:hAnsi="宋体" w:eastAsia="宋体" w:cs="宋体"/>
          <w:b/>
          <w:bCs/>
          <w:color w:val="auto"/>
          <w:kern w:val="2"/>
          <w:sz w:val="24"/>
          <w:szCs w:val="24"/>
          <w:highlight w:val="none"/>
          <w:lang w:val="en-US" w:eastAsia="zh-CN" w:bidi="ar-SA"/>
        </w:rPr>
        <w:t>29.评标</w:t>
      </w:r>
      <w:bookmarkEnd w:id="296"/>
      <w:bookmarkEnd w:id="297"/>
      <w:bookmarkEnd w:id="298"/>
      <w:bookmarkEnd w:id="299"/>
      <w:bookmarkEnd w:id="300"/>
    </w:p>
    <w:p w14:paraId="6D0B095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评标方法分为综合评分法和</w:t>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本项目评标</w:t>
      </w:r>
      <w:r>
        <w:rPr>
          <w:rFonts w:hint="eastAsia" w:ascii="宋体" w:hAnsi="宋体" w:eastAsia="宋体" w:cs="宋体"/>
          <w:color w:val="auto"/>
          <w:sz w:val="24"/>
          <w:szCs w:val="24"/>
          <w:highlight w:val="none"/>
          <w:lang w:val="en-US" w:eastAsia="zh-CN"/>
        </w:rPr>
        <w:t>方法详见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p>
    <w:p w14:paraId="2BC22B3E">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9.1.1</w:t>
      </w:r>
      <w:r>
        <w:rPr>
          <w:rFonts w:hint="eastAsia" w:ascii="宋体" w:hAnsi="宋体" w:eastAsia="宋体" w:cs="宋体"/>
          <w:color w:val="auto"/>
          <w:sz w:val="24"/>
          <w:szCs w:val="24"/>
          <w:highlight w:val="none"/>
        </w:rPr>
        <w:t>综合评分法，是指投标文件满足招标文件全部实质性要求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且按照评审因素的量化指标评审得分最高的投标人为中标候选人的评标方法。</w:t>
      </w:r>
    </w:p>
    <w:p w14:paraId="0E3867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29.1.2.</w:t>
      </w:r>
      <w:r>
        <w:rPr>
          <w:rFonts w:hint="eastAsia" w:ascii="宋体" w:hAnsi="宋体" w:eastAsia="宋体" w:cs="宋体"/>
          <w:color w:val="auto"/>
          <w:sz w:val="24"/>
          <w:szCs w:val="24"/>
          <w:highlight w:val="none"/>
        </w:rPr>
        <w:t>最低评标价法，是指投标文件满足招标文件全部实质性要求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且投标报价最低的投标人为中标候选人的评标方法。</w:t>
      </w:r>
    </w:p>
    <w:p w14:paraId="418DE4C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评标委员会按照“第五章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规定对投标文件进行评审。“第五章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法及标准”没有规定的方法、评审因素和标准，不作为评标依据。</w:t>
      </w:r>
    </w:p>
    <w:p w14:paraId="1A9007D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评标委员会按“投标人须知前附表”规定的中标候选人数量在评标报告中向采购人推荐中标候选人。</w:t>
      </w:r>
    </w:p>
    <w:p w14:paraId="1E63454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2A3200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 电子招投标的应急措施</w:t>
      </w:r>
    </w:p>
    <w:p w14:paraId="52525CD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29.6.1电子开标、评标如出现下列原因，导致系统无法正常运行或无法正常评标时，应采取应急措施。</w:t>
      </w:r>
    </w:p>
    <w:p w14:paraId="3D99F5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518B308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57BA7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26B153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6BCA43D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（5）出现其他不可抗拒的客观原因造成开评标系统无法正常使用。</w:t>
      </w:r>
    </w:p>
    <w:p w14:paraId="2BA3CE0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 投标人瑕疵滞后发现的处理规则</w:t>
      </w:r>
    </w:p>
    <w:p w14:paraId="11E85EA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29.7.1无论基于何种原因，各项本应作</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1" w:name="_Toc11591"/>
      <w:bookmarkStart w:id="302" w:name="_Toc155185879"/>
      <w:bookmarkStart w:id="303" w:name="_Toc163492859"/>
      <w:bookmarkStart w:id="304" w:name="_Toc140132792"/>
      <w:bookmarkStart w:id="305" w:name="_Toc16712"/>
      <w:bookmarkStart w:id="306" w:name="_Toc24173"/>
      <w:r>
        <w:rPr>
          <w:rFonts w:hint="eastAsia" w:ascii="宋体" w:hAnsi="宋体" w:eastAsia="宋体" w:cs="宋体"/>
          <w:b/>
          <w:bCs/>
          <w:color w:val="auto"/>
          <w:kern w:val="2"/>
          <w:sz w:val="24"/>
          <w:szCs w:val="24"/>
          <w:highlight w:val="none"/>
          <w:lang w:val="en-US" w:eastAsia="zh-CN" w:bidi="ar-SA"/>
        </w:rPr>
        <w:t>（八）中标</w:t>
      </w:r>
      <w:bookmarkEnd w:id="301"/>
      <w:bookmarkEnd w:id="302"/>
      <w:bookmarkEnd w:id="303"/>
      <w:bookmarkEnd w:id="304"/>
      <w:bookmarkEnd w:id="305"/>
      <w:bookmarkEnd w:id="306"/>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7" w:name="_Toc18980"/>
      <w:bookmarkStart w:id="308" w:name="_Toc163492860"/>
      <w:bookmarkStart w:id="309" w:name="_Toc140132793"/>
      <w:bookmarkStart w:id="310" w:name="_Toc5728"/>
      <w:bookmarkStart w:id="311" w:name="_Toc11832"/>
      <w:r>
        <w:rPr>
          <w:rFonts w:hint="eastAsia" w:ascii="宋体" w:hAnsi="宋体" w:eastAsia="宋体" w:cs="宋体"/>
          <w:b/>
          <w:bCs/>
          <w:color w:val="auto"/>
          <w:kern w:val="2"/>
          <w:sz w:val="24"/>
          <w:szCs w:val="24"/>
          <w:highlight w:val="none"/>
          <w:lang w:val="en-US" w:eastAsia="zh-CN" w:bidi="ar-SA"/>
        </w:rPr>
        <w:t>30.确定中标人</w:t>
      </w:r>
      <w:bookmarkEnd w:id="307"/>
      <w:bookmarkEnd w:id="308"/>
      <w:bookmarkEnd w:id="309"/>
      <w:bookmarkEnd w:id="310"/>
      <w:bookmarkEnd w:id="311"/>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2" w:name="_Toc15642"/>
      <w:bookmarkStart w:id="313" w:name="_Toc6680"/>
      <w:bookmarkStart w:id="314" w:name="_Toc140132794"/>
      <w:bookmarkStart w:id="315" w:name="_Toc163492861"/>
      <w:bookmarkStart w:id="316" w:name="_Toc16181"/>
      <w:r>
        <w:rPr>
          <w:rFonts w:hint="eastAsia" w:ascii="宋体" w:hAnsi="宋体" w:eastAsia="宋体" w:cs="宋体"/>
          <w:b/>
          <w:bCs/>
          <w:color w:val="auto"/>
          <w:kern w:val="2"/>
          <w:sz w:val="24"/>
          <w:szCs w:val="24"/>
          <w:highlight w:val="none"/>
          <w:lang w:val="en-US" w:eastAsia="zh-CN" w:bidi="ar-SA"/>
        </w:rPr>
        <w:t>31.中标结果公告</w:t>
      </w:r>
      <w:bookmarkEnd w:id="312"/>
      <w:bookmarkEnd w:id="313"/>
      <w:bookmarkEnd w:id="314"/>
      <w:bookmarkEnd w:id="315"/>
      <w:bookmarkEnd w:id="316"/>
    </w:p>
    <w:p w14:paraId="5975ECA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采购代理机构应当自中标人确定之日起2个工作日内，在</w:t>
      </w:r>
      <w:r>
        <w:rPr>
          <w:rFonts w:hint="eastAsia" w:ascii="宋体" w:hAnsi="宋体" w:eastAsia="宋体" w:cs="宋体"/>
          <w:color w:val="auto"/>
          <w:sz w:val="24"/>
          <w:szCs w:val="24"/>
          <w:highlight w:val="none"/>
          <w:lang w:val="en-US" w:eastAsia="zh-CN"/>
        </w:rPr>
        <w:t>发布招标公告的同一</w:t>
      </w:r>
      <w:r>
        <w:rPr>
          <w:rFonts w:hint="eastAsia" w:ascii="宋体" w:hAnsi="宋体" w:eastAsia="宋体" w:cs="宋体"/>
          <w:color w:val="auto"/>
          <w:sz w:val="24"/>
          <w:szCs w:val="24"/>
          <w:highlight w:val="none"/>
        </w:rPr>
        <w:t>媒体上发布中标结果公告，</w:t>
      </w:r>
      <w:r>
        <w:rPr>
          <w:rFonts w:hint="eastAsia" w:ascii="宋体" w:hAnsi="宋体" w:eastAsia="宋体" w:cs="宋体"/>
          <w:color w:val="auto"/>
          <w:sz w:val="24"/>
          <w:szCs w:val="24"/>
          <w:highlight w:val="none"/>
          <w:lang w:val="en-US" w:eastAsia="zh-CN"/>
        </w:rPr>
        <w:t>同时向中标人</w:t>
      </w:r>
      <w:r>
        <w:rPr>
          <w:rFonts w:hint="eastAsia" w:ascii="宋体" w:hAnsi="宋体" w:eastAsia="宋体" w:cs="宋体"/>
          <w:color w:val="auto"/>
          <w:sz w:val="24"/>
          <w:szCs w:val="24"/>
          <w:highlight w:val="none"/>
        </w:rPr>
        <w:t>发出中标通知书</w:t>
      </w:r>
      <w:r>
        <w:rPr>
          <w:rFonts w:hint="eastAsia" w:ascii="宋体" w:hAnsi="宋体" w:eastAsia="宋体" w:cs="宋体"/>
          <w:color w:val="auto"/>
          <w:sz w:val="24"/>
          <w:szCs w:val="24"/>
          <w:highlight w:val="none"/>
          <w:lang w:eastAsia="zh-CN"/>
        </w:rPr>
        <w:t>。招标文件随中标结果同时公告，</w:t>
      </w:r>
      <w:r>
        <w:rPr>
          <w:rFonts w:hint="eastAsia" w:ascii="宋体" w:hAnsi="宋体" w:eastAsia="宋体" w:cs="宋体"/>
          <w:color w:val="auto"/>
          <w:sz w:val="24"/>
          <w:szCs w:val="24"/>
          <w:highlight w:val="none"/>
        </w:rPr>
        <w:t>中标结果公告期限为1个工作日。</w:t>
      </w:r>
    </w:p>
    <w:p w14:paraId="5352A1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中标供应商为中小企业</w:t>
      </w:r>
      <w:r>
        <w:rPr>
          <w:rFonts w:hint="eastAsia" w:ascii="宋体" w:hAnsi="宋体" w:eastAsia="宋体" w:cs="宋体"/>
          <w:bCs/>
          <w:color w:val="auto"/>
          <w:sz w:val="24"/>
          <w:szCs w:val="24"/>
          <w:highlight w:val="none"/>
          <w:lang w:val="en-US" w:eastAsia="zh-CN"/>
        </w:rPr>
        <w:t>享受中小企业扶持政策的</w:t>
      </w:r>
      <w:r>
        <w:rPr>
          <w:rFonts w:hint="eastAsia" w:ascii="宋体" w:hAnsi="宋体" w:eastAsia="宋体" w:cs="宋体"/>
          <w:bCs/>
          <w:color w:val="auto"/>
          <w:sz w:val="24"/>
          <w:szCs w:val="24"/>
          <w:highlight w:val="none"/>
          <w:lang w:eastAsia="zh-CN"/>
        </w:rPr>
        <w:t>，其“中小企业声明函”随中标结果同时公告。中标供应商为残疾人福利性单位的，其“残疾人福利性单位声明函”随中标结果同时公告。</w:t>
      </w:r>
    </w:p>
    <w:p w14:paraId="3302A7D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7" w:name="_Toc6353"/>
      <w:bookmarkStart w:id="318" w:name="_Toc6163"/>
      <w:bookmarkStart w:id="319" w:name="_Toc140132795"/>
      <w:bookmarkStart w:id="320" w:name="_Toc163492862"/>
      <w:bookmarkStart w:id="321" w:name="_Toc19467"/>
      <w:r>
        <w:rPr>
          <w:rFonts w:hint="eastAsia" w:ascii="宋体" w:hAnsi="宋体" w:eastAsia="宋体" w:cs="宋体"/>
          <w:b/>
          <w:bCs/>
          <w:color w:val="auto"/>
          <w:kern w:val="2"/>
          <w:sz w:val="24"/>
          <w:szCs w:val="24"/>
          <w:highlight w:val="none"/>
          <w:lang w:val="en-US" w:eastAsia="zh-CN" w:bidi="ar-SA"/>
        </w:rPr>
        <w:t>32.中标通知</w:t>
      </w:r>
      <w:bookmarkEnd w:id="317"/>
      <w:bookmarkEnd w:id="318"/>
      <w:bookmarkEnd w:id="319"/>
      <w:bookmarkEnd w:id="320"/>
      <w:bookmarkEnd w:id="321"/>
    </w:p>
    <w:p w14:paraId="41D33E1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32.2中标通知书对采购人和中标供应商均具有法律效力。中标通知书发出后，采购人改变中标结果的，或者中标供应商放弃中标项目的，应当依法承担法律责任。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2" w:name="_Toc30315"/>
      <w:bookmarkStart w:id="323" w:name="_Toc163492863"/>
      <w:bookmarkStart w:id="324" w:name="_Toc27187"/>
      <w:bookmarkStart w:id="325" w:name="_Toc812"/>
      <w:r>
        <w:rPr>
          <w:rFonts w:hint="eastAsia" w:ascii="宋体" w:hAnsi="宋体" w:eastAsia="宋体" w:cs="宋体"/>
          <w:b/>
          <w:bCs/>
          <w:color w:val="auto"/>
          <w:kern w:val="2"/>
          <w:sz w:val="24"/>
          <w:szCs w:val="24"/>
          <w:highlight w:val="none"/>
          <w:lang w:val="en-US" w:eastAsia="zh-CN" w:bidi="ar-SA"/>
        </w:rPr>
        <w:t>（九）签订</w:t>
      </w:r>
      <w:bookmarkStart w:id="326" w:name="_Toc140132796"/>
      <w:bookmarkStart w:id="327" w:name="_Toc155185880"/>
      <w:r>
        <w:rPr>
          <w:rFonts w:hint="eastAsia" w:ascii="宋体" w:hAnsi="宋体" w:eastAsia="宋体" w:cs="宋体"/>
          <w:b/>
          <w:bCs/>
          <w:color w:val="auto"/>
          <w:kern w:val="2"/>
          <w:sz w:val="24"/>
          <w:szCs w:val="24"/>
          <w:highlight w:val="none"/>
          <w:lang w:val="en-US" w:eastAsia="zh-CN" w:bidi="ar-SA"/>
        </w:rPr>
        <w:t>合同</w:t>
      </w:r>
      <w:bookmarkEnd w:id="322"/>
      <w:bookmarkEnd w:id="323"/>
      <w:bookmarkEnd w:id="324"/>
      <w:bookmarkEnd w:id="325"/>
      <w:bookmarkEnd w:id="326"/>
      <w:bookmarkEnd w:id="327"/>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8" w:name="_Toc140132797"/>
      <w:bookmarkStart w:id="329" w:name="_Toc21817"/>
      <w:bookmarkStart w:id="330" w:name="_Toc163492864"/>
      <w:bookmarkStart w:id="331" w:name="_Toc3030"/>
      <w:bookmarkStart w:id="332" w:name="_Toc1439"/>
      <w:r>
        <w:rPr>
          <w:rFonts w:hint="eastAsia" w:ascii="宋体" w:hAnsi="宋体" w:eastAsia="宋体" w:cs="宋体"/>
          <w:b/>
          <w:bCs/>
          <w:color w:val="auto"/>
          <w:kern w:val="2"/>
          <w:sz w:val="24"/>
          <w:szCs w:val="24"/>
          <w:highlight w:val="none"/>
          <w:lang w:val="en-US" w:eastAsia="zh-CN" w:bidi="ar-SA"/>
        </w:rPr>
        <w:t>33.履约保证金</w:t>
      </w:r>
      <w:bookmarkEnd w:id="328"/>
      <w:bookmarkEnd w:id="329"/>
      <w:bookmarkEnd w:id="330"/>
      <w:bookmarkEnd w:id="331"/>
      <w:bookmarkEnd w:id="332"/>
    </w:p>
    <w:p w14:paraId="77717F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.1在签订合同前，中标人应按“投标人须知前附表”规定的金额、担保形式和采购人认可的履约担保格式向采购人提交履约保证金。</w:t>
      </w:r>
    </w:p>
    <w:p w14:paraId="73BC7DA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.2中标人不能按本章第3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3" w:name="_Toc1975"/>
      <w:bookmarkStart w:id="334" w:name="_Toc163492865"/>
      <w:bookmarkStart w:id="335" w:name="_Toc10817"/>
      <w:bookmarkStart w:id="336" w:name="_Toc12603"/>
      <w:bookmarkStart w:id="337" w:name="_Toc140132798"/>
      <w:r>
        <w:rPr>
          <w:rFonts w:hint="eastAsia" w:ascii="宋体" w:hAnsi="宋体" w:eastAsia="宋体" w:cs="宋体"/>
          <w:b/>
          <w:bCs/>
          <w:color w:val="auto"/>
          <w:kern w:val="2"/>
          <w:sz w:val="24"/>
          <w:szCs w:val="24"/>
          <w:highlight w:val="none"/>
          <w:lang w:val="en-US" w:eastAsia="zh-CN" w:bidi="ar-SA"/>
        </w:rPr>
        <w:t>34.签订合同</w:t>
      </w:r>
      <w:bookmarkEnd w:id="333"/>
      <w:bookmarkEnd w:id="334"/>
      <w:bookmarkEnd w:id="335"/>
      <w:bookmarkEnd w:id="336"/>
      <w:bookmarkEnd w:id="337"/>
    </w:p>
    <w:p w14:paraId="77507E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.1 采购人和中标人应当自中标通知书发出之日起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采购人和中标人不得向对方提出任何不合理的要求，作为签订合同的条件，双方不得私下订立背离合同实质性内容的协议。</w:t>
      </w:r>
    </w:p>
    <w:p w14:paraId="5551DDA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 联合体中标的，联合体各方应当共同与采购人签订合同，就采购合同约定的事项向采购人承担连带责任。</w:t>
      </w:r>
    </w:p>
    <w:p w14:paraId="2BA187E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。中标人就采购项目和分包项目向采购人负责，分包供应商就分包项目承担责任。</w:t>
      </w:r>
      <w:r>
        <w:rPr>
          <w:rFonts w:hint="eastAsia" w:ascii="宋体" w:hAnsi="宋体" w:eastAsia="宋体" w:cs="宋体"/>
          <w:b/>
          <w:bCs/>
          <w:color w:val="auto"/>
          <w:sz w:val="24"/>
          <w:szCs w:val="24"/>
          <w:highlight w:val="none"/>
          <w:lang w:val="en-US" w:eastAsia="zh-CN"/>
        </w:rPr>
        <w:t>政府采购合同不能转包。</w:t>
      </w:r>
    </w:p>
    <w:p w14:paraId="13D12B8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采购合同履行中，采购人需追加与合同标的相同的</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的，在不改变合同其他条款的前提下，可以与中标人协商签订补充合同，但所有补充合同的采购金额不得超过原合同采购金额的百分之十。</w:t>
      </w:r>
    </w:p>
    <w:p w14:paraId="259D0E8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8" w:name="_Toc22067"/>
      <w:bookmarkStart w:id="339" w:name="_Toc3645"/>
      <w:bookmarkStart w:id="340" w:name="_Toc155185881"/>
      <w:bookmarkStart w:id="341" w:name="_Toc140132799"/>
      <w:bookmarkStart w:id="342" w:name="_Toc14069"/>
      <w:bookmarkStart w:id="343" w:name="_Toc163492866"/>
      <w:r>
        <w:rPr>
          <w:rFonts w:hint="eastAsia" w:ascii="宋体" w:hAnsi="宋体" w:eastAsia="宋体" w:cs="宋体"/>
          <w:b/>
          <w:bCs/>
          <w:color w:val="auto"/>
          <w:kern w:val="2"/>
          <w:sz w:val="24"/>
          <w:szCs w:val="24"/>
          <w:highlight w:val="none"/>
          <w:lang w:val="en-US" w:eastAsia="zh-CN" w:bidi="ar-SA"/>
        </w:rPr>
        <w:t>（十）质疑和投诉</w:t>
      </w:r>
      <w:bookmarkEnd w:id="338"/>
      <w:bookmarkEnd w:id="339"/>
      <w:bookmarkEnd w:id="340"/>
      <w:bookmarkEnd w:id="341"/>
      <w:bookmarkEnd w:id="342"/>
      <w:bookmarkEnd w:id="343"/>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4" w:name="_Toc140132800"/>
      <w:bookmarkStart w:id="345" w:name="_Toc17195"/>
      <w:bookmarkStart w:id="346" w:name="_Toc163492867"/>
      <w:bookmarkStart w:id="347" w:name="_Toc6362"/>
      <w:bookmarkStart w:id="348" w:name="_Toc5521"/>
      <w:r>
        <w:rPr>
          <w:rFonts w:hint="eastAsia" w:ascii="宋体" w:hAnsi="宋体" w:eastAsia="宋体" w:cs="宋体"/>
          <w:b/>
          <w:bCs/>
          <w:color w:val="auto"/>
          <w:kern w:val="2"/>
          <w:sz w:val="24"/>
          <w:szCs w:val="24"/>
          <w:highlight w:val="none"/>
          <w:lang w:val="en-US" w:eastAsia="zh-CN" w:bidi="ar-SA"/>
        </w:rPr>
        <w:t>35.质疑</w:t>
      </w:r>
      <w:bookmarkEnd w:id="344"/>
      <w:bookmarkEnd w:id="345"/>
      <w:bookmarkEnd w:id="346"/>
      <w:bookmarkEnd w:id="347"/>
      <w:bookmarkEnd w:id="348"/>
    </w:p>
    <w:p w14:paraId="097AA1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。供应商在法定质疑期内一次性提出针对同一采购程序环节的质疑。</w:t>
      </w:r>
    </w:p>
    <w:p w14:paraId="492A54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.2提出质疑的供应商（以下简称质疑供应商）应当是参与所质疑项目采购活动的供应商。</w:t>
      </w:r>
    </w:p>
    <w:p w14:paraId="6503DC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58321ED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供应商提出质疑应当提交质疑函和必要的证明材料。质疑函应当包括下列内容：</w:t>
      </w:r>
    </w:p>
    <w:p w14:paraId="682A84D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388DB77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rPr>
        <w:t>；</w:t>
      </w:r>
    </w:p>
    <w:p w14:paraId="7C9D471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3C52874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3EEC5BF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2E14DE4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553B627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5BBD16A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.5质疑函不符合上述要求的，采购人或代理机构应书面告知具体事项，质疑人应当按要求进行修改或补充，并在质疑有效期限内提交。</w:t>
      </w:r>
    </w:p>
    <w:p w14:paraId="4A4B924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投标人进行虚假和恶意</w:t>
      </w:r>
      <w:r>
        <w:rPr>
          <w:rFonts w:hint="eastAsia" w:ascii="宋体" w:hAnsi="宋体" w:eastAsia="宋体" w:cs="宋体"/>
          <w:snapToGrid w:val="0"/>
          <w:color w:val="auto"/>
          <w:sz w:val="24"/>
          <w:szCs w:val="24"/>
          <w:highlight w:val="none"/>
          <w:lang w:val="en-US" w:eastAsia="zh-CN"/>
        </w:rPr>
        <w:t>质疑投诉</w:t>
      </w:r>
      <w:r>
        <w:rPr>
          <w:rFonts w:hint="eastAsia" w:ascii="宋体" w:hAnsi="宋体" w:eastAsia="宋体" w:cs="宋体"/>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184C71D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35.7</w:t>
      </w:r>
      <w:r>
        <w:rPr>
          <w:rFonts w:hint="eastAsia" w:ascii="宋体" w:hAnsi="宋体" w:eastAsia="宋体" w:cs="宋体"/>
          <w:color w:val="auto"/>
          <w:sz w:val="24"/>
          <w:szCs w:val="24"/>
          <w:highlight w:val="none"/>
        </w:rPr>
        <w:t>质疑函</w:t>
      </w:r>
      <w:r>
        <w:rPr>
          <w:rFonts w:hint="eastAsia" w:ascii="宋体" w:hAnsi="宋体" w:eastAsia="宋体" w:cs="宋体"/>
          <w:color w:val="auto"/>
          <w:sz w:val="24"/>
          <w:szCs w:val="24"/>
          <w:highlight w:val="none"/>
          <w:lang w:val="en-US" w:eastAsia="zh-CN"/>
        </w:rPr>
        <w:t>应当使用中文，并采用财政部门制定的范本。</w:t>
      </w:r>
    </w:p>
    <w:p w14:paraId="6E7964C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9" w:name="_Toc140132801"/>
      <w:bookmarkStart w:id="350" w:name="_Toc30183"/>
      <w:bookmarkStart w:id="351" w:name="_Toc2308"/>
      <w:bookmarkStart w:id="352" w:name="_Toc163492868"/>
      <w:bookmarkStart w:id="353" w:name="_Toc7060"/>
      <w:r>
        <w:rPr>
          <w:rFonts w:hint="eastAsia" w:ascii="宋体" w:hAnsi="宋体" w:eastAsia="宋体" w:cs="宋体"/>
          <w:b/>
          <w:bCs/>
          <w:color w:val="auto"/>
          <w:kern w:val="2"/>
          <w:sz w:val="24"/>
          <w:szCs w:val="24"/>
          <w:highlight w:val="none"/>
          <w:lang w:val="en-US" w:eastAsia="zh-CN" w:bidi="ar-SA"/>
        </w:rPr>
        <w:t>36.质疑答复</w:t>
      </w:r>
      <w:bookmarkEnd w:id="349"/>
      <w:bookmarkEnd w:id="350"/>
      <w:bookmarkEnd w:id="351"/>
      <w:bookmarkEnd w:id="352"/>
      <w:bookmarkEnd w:id="353"/>
    </w:p>
    <w:p w14:paraId="43D7F91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354" w:name="_Toc163492869"/>
      <w:bookmarkStart w:id="355" w:name="_Toc140132802"/>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4E9D6E2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36.2供应商对评审过程、中标结果提出质疑的，采购人、采购代理机构可以组织原评标委员会协助答复质疑。</w:t>
      </w:r>
    </w:p>
    <w:p w14:paraId="0056DA5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质疑答复应当包括下列内容：</w:t>
      </w:r>
    </w:p>
    <w:p w14:paraId="34339C8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）质疑供应商的姓名或者名称；</w:t>
      </w:r>
    </w:p>
    <w:p w14:paraId="2F25172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）收到质疑函的日期、质疑项目名称及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zh-CN" w:eastAsia="zh-CN"/>
        </w:rPr>
        <w:t>；</w:t>
      </w:r>
    </w:p>
    <w:p w14:paraId="1365ED7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）质疑事项、质疑答复的具体内容、事实依据和法律依据；</w:t>
      </w:r>
    </w:p>
    <w:p w14:paraId="3C71AFF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）告知质疑供应商依法投诉的权利；</w:t>
      </w:r>
    </w:p>
    <w:p w14:paraId="77F64A3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）质疑答复人名称；</w:t>
      </w:r>
    </w:p>
    <w:p w14:paraId="52743A2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）答复质疑的日期。</w:t>
      </w:r>
    </w:p>
    <w:p w14:paraId="56A5E1E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质疑答复的内容不得涉及商业秘密。</w:t>
      </w:r>
    </w:p>
    <w:p w14:paraId="631FD1E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6" w:name="_Toc8648"/>
      <w:bookmarkStart w:id="357" w:name="_Toc4201"/>
      <w:bookmarkStart w:id="358" w:name="_Toc13241"/>
      <w:r>
        <w:rPr>
          <w:rFonts w:hint="eastAsia" w:ascii="宋体" w:hAnsi="宋体" w:eastAsia="宋体" w:cs="宋体"/>
          <w:b/>
          <w:bCs/>
          <w:color w:val="auto"/>
          <w:kern w:val="2"/>
          <w:sz w:val="24"/>
          <w:szCs w:val="24"/>
          <w:highlight w:val="none"/>
          <w:lang w:val="en-US" w:eastAsia="zh-CN" w:bidi="ar-SA"/>
        </w:rPr>
        <w:t>37.投诉</w:t>
      </w:r>
      <w:bookmarkEnd w:id="354"/>
      <w:bookmarkEnd w:id="355"/>
      <w:bookmarkEnd w:id="356"/>
      <w:bookmarkEnd w:id="357"/>
      <w:bookmarkEnd w:id="358"/>
    </w:p>
    <w:p w14:paraId="34C5EAA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lang w:val="en-US" w:eastAsia="zh-CN"/>
        </w:rPr>
        <w:t>同级政府采购监督管理部门</w:t>
      </w:r>
      <w:r>
        <w:rPr>
          <w:rFonts w:hint="eastAsia" w:ascii="宋体" w:hAnsi="宋体" w:eastAsia="宋体" w:cs="宋体"/>
          <w:color w:val="auto"/>
          <w:sz w:val="24"/>
          <w:szCs w:val="24"/>
          <w:highlight w:val="none"/>
        </w:rPr>
        <w:t>提起投诉。</w:t>
      </w:r>
    </w:p>
    <w:p w14:paraId="7AE3C0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）投诉人和被投诉人的姓名或者名称、通讯地址、邮编、联系人及联系电话；</w:t>
      </w:r>
    </w:p>
    <w:p w14:paraId="1A65A10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）质疑和质疑答复情况说明及相关证明材料；</w:t>
      </w:r>
    </w:p>
    <w:p w14:paraId="675A6D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）具体、明确的投诉事项和与投诉事项相关的投诉请求；</w:t>
      </w:r>
    </w:p>
    <w:p w14:paraId="4A0C159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CFD3E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）法律依据；</w:t>
      </w:r>
    </w:p>
    <w:p w14:paraId="35FA6A4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）提起投诉的日期。</w:t>
      </w:r>
    </w:p>
    <w:p w14:paraId="4FC7C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质疑、</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val="en-US" w:eastAsia="zh-CN"/>
        </w:rPr>
        <w:t>应当有明确的请求和必要的证明材料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供应商投诉的事项不得超出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质疑事项的范围，但基于质疑答复内容提出的投诉事项除外</w:t>
      </w:r>
      <w:r>
        <w:rPr>
          <w:rFonts w:hint="eastAsia" w:ascii="宋体" w:hAnsi="宋体" w:eastAsia="宋体" w:cs="宋体"/>
          <w:bCs/>
          <w:color w:val="auto"/>
          <w:sz w:val="24"/>
          <w:szCs w:val="24"/>
          <w:highlight w:val="none"/>
        </w:rPr>
        <w:t>。</w:t>
      </w:r>
    </w:p>
    <w:p w14:paraId="0C7738C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lang w:val="en-US" w:eastAsia="zh-CN"/>
        </w:rPr>
        <w:t>37.4</w:t>
      </w:r>
      <w:r>
        <w:rPr>
          <w:rFonts w:hint="eastAsia" w:ascii="宋体" w:hAnsi="宋体" w:eastAsia="宋体" w:cs="宋体"/>
          <w:color w:val="auto"/>
          <w:sz w:val="24"/>
          <w:szCs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9" w:name="_Toc155185882"/>
      <w:bookmarkStart w:id="360" w:name="_Toc163492870"/>
      <w:bookmarkStart w:id="361" w:name="_Toc140132803"/>
      <w:bookmarkStart w:id="362" w:name="_Toc19407"/>
      <w:bookmarkStart w:id="363" w:name="_Toc26619"/>
      <w:bookmarkStart w:id="364" w:name="_Toc25532"/>
      <w:r>
        <w:rPr>
          <w:rFonts w:hint="eastAsia" w:ascii="宋体" w:hAnsi="宋体" w:eastAsia="宋体" w:cs="宋体"/>
          <w:b/>
          <w:bCs/>
          <w:color w:val="auto"/>
          <w:kern w:val="2"/>
          <w:sz w:val="24"/>
          <w:szCs w:val="24"/>
          <w:highlight w:val="none"/>
          <w:lang w:val="en-US" w:eastAsia="zh-CN" w:bidi="ar-SA"/>
        </w:rPr>
        <w:t>（十一）采购代理服务费</w:t>
      </w:r>
      <w:bookmarkEnd w:id="359"/>
      <w:bookmarkEnd w:id="360"/>
      <w:bookmarkEnd w:id="361"/>
      <w:bookmarkEnd w:id="362"/>
      <w:bookmarkEnd w:id="363"/>
      <w:bookmarkEnd w:id="364"/>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5" w:name="_Toc16634"/>
      <w:bookmarkStart w:id="366" w:name="_Toc21533"/>
      <w:bookmarkStart w:id="367" w:name="_Toc140132804"/>
      <w:bookmarkStart w:id="368" w:name="_Toc16138"/>
      <w:bookmarkStart w:id="369" w:name="_Toc163492871"/>
      <w:r>
        <w:rPr>
          <w:rFonts w:hint="eastAsia" w:ascii="宋体" w:hAnsi="宋体" w:eastAsia="宋体" w:cs="宋体"/>
          <w:b/>
          <w:bCs/>
          <w:color w:val="auto"/>
          <w:kern w:val="2"/>
          <w:sz w:val="24"/>
          <w:szCs w:val="24"/>
          <w:highlight w:val="none"/>
          <w:lang w:val="en-US" w:eastAsia="zh-CN" w:bidi="ar-SA"/>
        </w:rPr>
        <w:t>38.收取方式和标准</w:t>
      </w:r>
      <w:bookmarkEnd w:id="365"/>
      <w:bookmarkEnd w:id="366"/>
      <w:bookmarkEnd w:id="367"/>
      <w:bookmarkEnd w:id="368"/>
      <w:bookmarkEnd w:id="369"/>
    </w:p>
    <w:p w14:paraId="0FDD9E2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0" w:name="_Toc15853"/>
      <w:bookmarkStart w:id="371" w:name="_Toc26455"/>
      <w:bookmarkStart w:id="372" w:name="_Toc155185883"/>
      <w:bookmarkStart w:id="373" w:name="_Toc163492872"/>
      <w:bookmarkStart w:id="374" w:name="_Toc140132805"/>
      <w:bookmarkStart w:id="375" w:name="_Toc7566"/>
      <w:r>
        <w:rPr>
          <w:rFonts w:hint="eastAsia" w:ascii="宋体" w:hAnsi="宋体" w:eastAsia="宋体" w:cs="宋体"/>
          <w:b/>
          <w:bCs/>
          <w:color w:val="auto"/>
          <w:kern w:val="2"/>
          <w:sz w:val="24"/>
          <w:szCs w:val="24"/>
          <w:highlight w:val="none"/>
          <w:lang w:val="en-US" w:eastAsia="zh-CN" w:bidi="ar-SA"/>
        </w:rPr>
        <w:t>（十二）无效投标和废标</w:t>
      </w:r>
      <w:bookmarkEnd w:id="370"/>
      <w:bookmarkEnd w:id="371"/>
      <w:bookmarkEnd w:id="372"/>
      <w:bookmarkEnd w:id="373"/>
      <w:bookmarkEnd w:id="374"/>
      <w:bookmarkEnd w:id="375"/>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6" w:name="_Toc9909"/>
      <w:bookmarkStart w:id="377" w:name="_Toc163492873"/>
      <w:bookmarkStart w:id="378" w:name="_Toc23298"/>
      <w:bookmarkStart w:id="379" w:name="_Toc32022"/>
      <w:bookmarkStart w:id="380" w:name="_Toc140132806"/>
      <w:r>
        <w:rPr>
          <w:rFonts w:hint="eastAsia" w:ascii="宋体" w:hAnsi="宋体" w:eastAsia="宋体" w:cs="宋体"/>
          <w:b/>
          <w:bCs/>
          <w:color w:val="auto"/>
          <w:kern w:val="2"/>
          <w:sz w:val="24"/>
          <w:szCs w:val="24"/>
          <w:highlight w:val="none"/>
          <w:lang w:val="en-US" w:eastAsia="zh-CN" w:bidi="ar-SA"/>
        </w:rPr>
        <w:t>39.无效投标</w:t>
      </w:r>
      <w:bookmarkEnd w:id="376"/>
      <w:bookmarkEnd w:id="377"/>
      <w:bookmarkEnd w:id="378"/>
      <w:bookmarkEnd w:id="379"/>
      <w:bookmarkEnd w:id="380"/>
    </w:p>
    <w:p w14:paraId="0EBD130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.1投标文件存在“第四章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规定的投标无效情形的，其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1" w:name="_Toc15799"/>
      <w:bookmarkStart w:id="382" w:name="_Toc163492874"/>
      <w:bookmarkStart w:id="383" w:name="_Toc140132807"/>
      <w:bookmarkStart w:id="384" w:name="_Toc3107"/>
      <w:bookmarkStart w:id="385" w:name="_Toc18467"/>
      <w:r>
        <w:rPr>
          <w:rFonts w:hint="eastAsia" w:ascii="宋体" w:hAnsi="宋体" w:eastAsia="宋体" w:cs="宋体"/>
          <w:b/>
          <w:bCs/>
          <w:color w:val="auto"/>
          <w:kern w:val="2"/>
          <w:sz w:val="24"/>
          <w:szCs w:val="24"/>
          <w:highlight w:val="none"/>
          <w:lang w:val="en-US" w:eastAsia="zh-CN" w:bidi="ar-SA"/>
        </w:rPr>
        <w:t>40.废标</w:t>
      </w:r>
      <w:bookmarkEnd w:id="381"/>
      <w:bookmarkEnd w:id="382"/>
      <w:bookmarkEnd w:id="383"/>
      <w:bookmarkEnd w:id="384"/>
      <w:bookmarkEnd w:id="385"/>
    </w:p>
    <w:p w14:paraId="7B56974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.1在招标采购中出现有“第五章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规定的废标情形的，应予以</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6" w:name="_Toc140132766"/>
      <w:bookmarkStart w:id="387" w:name="_Toc163492875"/>
      <w:bookmarkStart w:id="388" w:name="_Toc22480"/>
      <w:bookmarkStart w:id="389" w:name="_Toc16271"/>
      <w:bookmarkStart w:id="390" w:name="_Toc3516"/>
      <w:bookmarkStart w:id="391" w:name="_Toc155185884"/>
      <w:bookmarkStart w:id="392" w:name="_Toc140132808"/>
      <w:r>
        <w:rPr>
          <w:rFonts w:hint="eastAsia" w:ascii="宋体" w:hAnsi="宋体" w:eastAsia="宋体" w:cs="宋体"/>
          <w:b/>
          <w:bCs/>
          <w:color w:val="auto"/>
          <w:kern w:val="2"/>
          <w:sz w:val="24"/>
          <w:szCs w:val="24"/>
          <w:highlight w:val="none"/>
          <w:lang w:val="en-US" w:eastAsia="zh-CN" w:bidi="ar-SA"/>
        </w:rPr>
        <w:t>（十三）落实政府采购政策</w:t>
      </w:r>
      <w:bookmarkEnd w:id="386"/>
      <w:bookmarkEnd w:id="387"/>
      <w:r>
        <w:rPr>
          <w:rFonts w:hint="eastAsia" w:ascii="宋体" w:hAnsi="宋体" w:eastAsia="宋体" w:cs="宋体"/>
          <w:b/>
          <w:bCs/>
          <w:color w:val="auto"/>
          <w:kern w:val="2"/>
          <w:sz w:val="24"/>
          <w:szCs w:val="24"/>
          <w:highlight w:val="none"/>
          <w:lang w:val="en-US" w:eastAsia="zh-CN" w:bidi="ar-SA"/>
        </w:rPr>
        <w:t>（包括但不限于下列具体政策要求）</w:t>
      </w:r>
      <w:bookmarkEnd w:id="388"/>
      <w:bookmarkEnd w:id="389"/>
      <w:bookmarkEnd w:id="390"/>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3" w:name="_Toc21216"/>
      <w:bookmarkStart w:id="394" w:name="_Toc163492876"/>
      <w:bookmarkStart w:id="395" w:name="_Toc12045"/>
      <w:bookmarkStart w:id="396" w:name="_Toc23969"/>
      <w:r>
        <w:rPr>
          <w:rFonts w:hint="eastAsia" w:ascii="宋体" w:hAnsi="宋体" w:eastAsia="宋体" w:cs="宋体"/>
          <w:b/>
          <w:bCs/>
          <w:color w:val="auto"/>
          <w:kern w:val="2"/>
          <w:sz w:val="24"/>
          <w:szCs w:val="24"/>
          <w:highlight w:val="none"/>
          <w:lang w:val="en-US" w:eastAsia="zh-CN" w:bidi="ar-SA"/>
        </w:rPr>
        <w:t>41.支持国产和进口产品审批</w:t>
      </w:r>
      <w:bookmarkEnd w:id="393"/>
      <w:bookmarkEnd w:id="394"/>
      <w:bookmarkEnd w:id="395"/>
      <w:bookmarkEnd w:id="396"/>
    </w:p>
    <w:p w14:paraId="26D924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.1除“投标人须知前附表”另有规定外，政府采购应当采购本国</w:t>
      </w:r>
      <w:r>
        <w:rPr>
          <w:rFonts w:hint="eastAsia" w:ascii="宋体" w:hAnsi="宋体" w:eastAsia="宋体" w:cs="宋体"/>
          <w:snapToGrid w:val="0"/>
          <w:color w:val="auto"/>
          <w:sz w:val="24"/>
          <w:szCs w:val="24"/>
          <w:highlight w:val="none"/>
          <w:lang w:val="en-US" w:eastAsia="zh-CN"/>
        </w:rPr>
        <w:t>货物、工程和服务</w:t>
      </w:r>
      <w:r>
        <w:rPr>
          <w:rFonts w:hint="eastAsia" w:ascii="宋体" w:hAnsi="宋体" w:eastAsia="宋体" w:cs="宋体"/>
          <w:snapToGrid w:val="0"/>
          <w:color w:val="auto"/>
          <w:sz w:val="24"/>
          <w:szCs w:val="24"/>
          <w:highlight w:val="none"/>
        </w:rPr>
        <w:t>，确需采购进口产品的，采购人应当按照</w:t>
      </w:r>
      <w:r>
        <w:rPr>
          <w:rFonts w:hint="eastAsia" w:ascii="宋体" w:hAnsi="宋体" w:eastAsia="宋体" w:cs="宋体"/>
          <w:snapToGrid w:val="0"/>
          <w:color w:val="auto"/>
          <w:sz w:val="24"/>
          <w:szCs w:val="24"/>
          <w:highlight w:val="none"/>
          <w:lang w:val="en-US" w:eastAsia="zh-CN"/>
        </w:rPr>
        <w:t>《政府采购进口产品管理办法》（财库〔2007〕119 号文）、</w:t>
      </w:r>
      <w:r>
        <w:rPr>
          <w:rFonts w:hint="eastAsia" w:ascii="宋体" w:hAnsi="宋体" w:eastAsia="宋体" w:cs="宋体"/>
          <w:snapToGrid w:val="0"/>
          <w:color w:val="auto"/>
          <w:sz w:val="24"/>
          <w:szCs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41.2进口产品指通过中国海关报关验放进入中国境内且产自关境外的产品，包括已经进入中国境内的进口产品。 </w:t>
      </w:r>
    </w:p>
    <w:p w14:paraId="0C404CE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41.3若采购需求中写明允许采购进口产品，投标人应保证所投产品可履行合法报通关手续进入中国关境内。</w:t>
      </w:r>
    </w:p>
    <w:p w14:paraId="50A8DE9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41.4若采购需求中未写明允许采购进口产品，如投标人所投产品为进口产品，其投标将被认定为</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7" w:name="_Toc17933"/>
      <w:bookmarkStart w:id="398" w:name="_Toc3349"/>
      <w:bookmarkStart w:id="399" w:name="_Toc13373"/>
      <w:bookmarkStart w:id="400" w:name="_Toc163492877"/>
      <w:r>
        <w:rPr>
          <w:rFonts w:hint="eastAsia" w:ascii="宋体" w:hAnsi="宋体" w:eastAsia="宋体" w:cs="宋体"/>
          <w:b/>
          <w:bCs/>
          <w:color w:val="auto"/>
          <w:kern w:val="2"/>
          <w:sz w:val="24"/>
          <w:szCs w:val="24"/>
          <w:highlight w:val="none"/>
          <w:lang w:val="en-US" w:eastAsia="zh-CN" w:bidi="ar-SA"/>
        </w:rPr>
        <w:t>42.中小企业、监狱企业及残疾人福利性单位</w:t>
      </w:r>
      <w:bookmarkEnd w:id="397"/>
      <w:bookmarkEnd w:id="398"/>
      <w:bookmarkEnd w:id="399"/>
      <w:bookmarkEnd w:id="400"/>
    </w:p>
    <w:p w14:paraId="6CF3C24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szCs w:val="24"/>
          <w:highlight w:val="none"/>
          <w:lang w:eastAsia="zh-CN"/>
        </w:rPr>
        <w:t>需享受中小企业相关政策的，且</w:t>
      </w:r>
      <w:r>
        <w:rPr>
          <w:rFonts w:hint="eastAsia" w:ascii="宋体" w:hAnsi="宋体" w:eastAsia="宋体" w:cs="宋体"/>
          <w:snapToGrid w:val="0"/>
          <w:color w:val="auto"/>
          <w:sz w:val="24"/>
          <w:szCs w:val="24"/>
          <w:highlight w:val="none"/>
        </w:rPr>
        <w:t>符合上述文件规定的，</w:t>
      </w:r>
      <w:r>
        <w:rPr>
          <w:rFonts w:hint="eastAsia" w:ascii="宋体" w:hAnsi="宋体" w:eastAsia="宋体" w:cs="宋体"/>
          <w:snapToGrid w:val="0"/>
          <w:color w:val="auto"/>
          <w:sz w:val="24"/>
          <w:szCs w:val="24"/>
          <w:highlight w:val="none"/>
          <w:lang w:eastAsia="zh-CN"/>
        </w:rPr>
        <w:t>应按本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，评审时，</w:t>
      </w:r>
      <w:r>
        <w:rPr>
          <w:rFonts w:hint="eastAsia" w:ascii="宋体" w:hAnsi="宋体" w:eastAsia="宋体" w:cs="宋体"/>
          <w:snapToGrid w:val="0"/>
          <w:color w:val="auto"/>
          <w:sz w:val="24"/>
          <w:szCs w:val="24"/>
          <w:highlight w:val="none"/>
          <w:lang w:val="en-US" w:eastAsia="zh-CN"/>
        </w:rPr>
        <w:t>评标委员会</w:t>
      </w:r>
      <w:r>
        <w:rPr>
          <w:rFonts w:hint="eastAsia" w:ascii="宋体" w:hAnsi="宋体" w:eastAsia="宋体" w:cs="宋体"/>
          <w:snapToGrid w:val="0"/>
          <w:color w:val="auto"/>
          <w:sz w:val="24"/>
          <w:szCs w:val="24"/>
          <w:highlight w:val="none"/>
        </w:rPr>
        <w:t>将依据</w:t>
      </w:r>
      <w:r>
        <w:rPr>
          <w:rFonts w:hint="eastAsia" w:ascii="宋体" w:hAnsi="宋体" w:eastAsia="宋体" w:cs="宋体"/>
          <w:snapToGrid w:val="0"/>
          <w:color w:val="auto"/>
          <w:sz w:val="24"/>
          <w:szCs w:val="24"/>
          <w:highlight w:val="none"/>
          <w:lang w:eastAsia="zh-CN"/>
        </w:rPr>
        <w:t>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须知前附表”规定的报价扣除比例，对供应商报价进行价格扣除，用扣除后的价格参与评审</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公告中明确项目专门面向中小企业采购的，“</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”为资格要求文件，</w:t>
      </w:r>
      <w:r>
        <w:rPr>
          <w:rFonts w:hint="eastAsia" w:ascii="宋体" w:hAnsi="宋体" w:eastAsia="宋体" w:cs="宋体"/>
          <w:snapToGrid w:val="0"/>
          <w:color w:val="auto"/>
          <w:sz w:val="24"/>
          <w:szCs w:val="24"/>
          <w:highlight w:val="none"/>
        </w:rPr>
        <w:t>供应商</w:t>
      </w:r>
      <w:r>
        <w:rPr>
          <w:rFonts w:hint="eastAsia" w:ascii="宋体" w:hAnsi="宋体" w:eastAsia="宋体" w:cs="宋体"/>
          <w:snapToGrid w:val="0"/>
          <w:color w:val="auto"/>
          <w:sz w:val="24"/>
          <w:szCs w:val="24"/>
          <w:highlight w:val="none"/>
          <w:lang w:eastAsia="zh-CN"/>
        </w:rPr>
        <w:t>参与</w:t>
      </w:r>
      <w:r>
        <w:rPr>
          <w:rFonts w:hint="eastAsia" w:ascii="宋体" w:hAnsi="宋体" w:eastAsia="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eastAsia="zh-CN"/>
        </w:rPr>
        <w:t>须按本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”等作为资格证明文件。</w:t>
      </w:r>
      <w:r>
        <w:rPr>
          <w:rFonts w:hint="eastAsia" w:ascii="宋体" w:hAnsi="宋体" w:eastAsia="宋体" w:cs="宋体"/>
          <w:snapToGrid w:val="0"/>
          <w:color w:val="auto"/>
          <w:sz w:val="24"/>
          <w:szCs w:val="24"/>
          <w:highlight w:val="none"/>
          <w:lang w:val="en-US" w:eastAsia="zh-CN"/>
        </w:rPr>
        <w:t xml:space="preserve"> </w:t>
      </w:r>
    </w:p>
    <w:p w14:paraId="743E5E0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 供应商提供的货物、工程或者服务符合下列情形的，享受中小企业扶持政策： </w:t>
      </w:r>
    </w:p>
    <w:p w14:paraId="07E7A00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（1）在货物采购项目中，货物由中小企业制造，即货物由中小企业生产且使用该中小企业商号或者注册商标； </w:t>
      </w:r>
    </w:p>
    <w:p w14:paraId="128FB5A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（2）在工程采购项目中，工程由中小企业承建，即工程施工单位为中小企业； </w:t>
      </w:r>
    </w:p>
    <w:p w14:paraId="4557B96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5C38B69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42.4 在服务采购项目中，供应商提供的服务既有中小企业承接，也有大型企业承接的，不享受中小企业扶持政策。 </w:t>
      </w:r>
    </w:p>
    <w:p w14:paraId="31F905A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42.5 以联合体形式参加政府采购活动，联合体各方均为中小企业的，联合体视同中小企业。其中，联合体各方均为小微企业的，联合体视同小微企业。</w:t>
      </w:r>
    </w:p>
    <w:p w14:paraId="589A89E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5B128E6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42.7.2 依法与安置的每位残疾人签订了1年以上（含1年）的劳动合同或服务协议； </w:t>
      </w:r>
    </w:p>
    <w:p w14:paraId="750299D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5494926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42.8 本项目是否专门面向中小企业预留采购份额见“第一章 </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snapToGrid w:val="0"/>
          <w:color w:val="auto"/>
          <w:sz w:val="24"/>
          <w:szCs w:val="24"/>
          <w:highlight w:val="none"/>
          <w:lang w:val="en-US" w:eastAsia="zh-CN"/>
        </w:rPr>
        <w:t>”。    42.9 采购标的对应的中小企业划分标准所属行业见“投标人须知前附表”。    42.10 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1" w:name="_Toc23996"/>
      <w:bookmarkStart w:id="402" w:name="_Toc5861"/>
      <w:bookmarkStart w:id="403" w:name="_Toc163492878"/>
      <w:bookmarkStart w:id="404" w:name="_Toc15890"/>
      <w:r>
        <w:rPr>
          <w:rFonts w:hint="eastAsia" w:ascii="宋体" w:hAnsi="宋体" w:eastAsia="宋体" w:cs="宋体"/>
          <w:b/>
          <w:bCs/>
          <w:color w:val="auto"/>
          <w:kern w:val="2"/>
          <w:sz w:val="24"/>
          <w:szCs w:val="24"/>
          <w:highlight w:val="none"/>
          <w:lang w:val="en-US" w:eastAsia="zh-CN" w:bidi="ar-SA"/>
        </w:rPr>
        <w:t>43.政府采购节能产品、环境标志产品</w:t>
      </w:r>
      <w:bookmarkEnd w:id="401"/>
      <w:bookmarkEnd w:id="402"/>
      <w:bookmarkEnd w:id="403"/>
      <w:bookmarkEnd w:id="404"/>
    </w:p>
    <w:p w14:paraId="741E7E7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 </w:t>
      </w:r>
    </w:p>
    <w:p w14:paraId="04E599F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43.5 </w:t>
      </w:r>
      <w:r>
        <w:rPr>
          <w:rFonts w:hint="eastAsia" w:ascii="宋体" w:hAnsi="宋体" w:eastAsia="宋体" w:cs="宋体"/>
          <w:snapToGrid w:val="0"/>
          <w:color w:val="auto"/>
          <w:sz w:val="24"/>
          <w:szCs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 w:val="24"/>
          <w:szCs w:val="24"/>
          <w:highlight w:val="none"/>
          <w:lang w:val="en-US" w:eastAsia="zh-CN"/>
        </w:rPr>
        <w:t>价格评审优惠</w:t>
      </w:r>
      <w:r>
        <w:rPr>
          <w:rFonts w:hint="eastAsia" w:ascii="宋体" w:hAnsi="宋体" w:eastAsia="宋体" w:cs="宋体"/>
          <w:snapToGrid w:val="0"/>
          <w:color w:val="auto"/>
          <w:sz w:val="24"/>
          <w:szCs w:val="24"/>
          <w:highlight w:val="none"/>
        </w:rPr>
        <w:t>，未提供认证证书的视为</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rPr>
        <w:t>无效</w:t>
      </w:r>
      <w:r>
        <w:rPr>
          <w:rFonts w:hint="eastAsia" w:ascii="宋体" w:hAnsi="宋体" w:eastAsia="宋体" w:cs="宋体"/>
          <w:snapToGrid w:val="0"/>
          <w:color w:val="auto"/>
          <w:sz w:val="24"/>
          <w:szCs w:val="24"/>
          <w:highlight w:val="none"/>
        </w:rPr>
        <w:t>。属于</w:t>
      </w:r>
      <w:r>
        <w:rPr>
          <w:rFonts w:hint="eastAsia" w:ascii="宋体" w:hAnsi="宋体" w:eastAsia="宋体" w:cs="宋体"/>
          <w:snapToGrid w:val="0"/>
          <w:color w:val="auto"/>
          <w:sz w:val="24"/>
          <w:szCs w:val="24"/>
          <w:highlight w:val="none"/>
          <w:lang w:val="en-US" w:eastAsia="zh-CN"/>
        </w:rPr>
        <w:t>优先采购</w:t>
      </w:r>
      <w:r>
        <w:rPr>
          <w:rFonts w:hint="eastAsia" w:ascii="宋体" w:hAnsi="宋体" w:eastAsia="宋体" w:cs="宋体"/>
          <w:snapToGrid w:val="0"/>
          <w:color w:val="auto"/>
          <w:sz w:val="24"/>
          <w:szCs w:val="24"/>
          <w:highlight w:val="none"/>
        </w:rPr>
        <w:t>节能产品政府采购品目清单、环境标志产品政府采购品目清单</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创新产品</w:t>
      </w:r>
      <w:r>
        <w:rPr>
          <w:rFonts w:hint="eastAsia" w:ascii="宋体" w:hAnsi="宋体" w:eastAsia="宋体" w:cs="宋体"/>
          <w:snapToGrid w:val="0"/>
          <w:color w:val="auto"/>
          <w:sz w:val="24"/>
          <w:szCs w:val="24"/>
          <w:highlight w:val="none"/>
        </w:rPr>
        <w:t>范围的，按照“</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snapToGrid w:val="0"/>
          <w:color w:val="auto"/>
          <w:sz w:val="24"/>
          <w:szCs w:val="24"/>
          <w:highlight w:val="none"/>
        </w:rPr>
        <w:t>”中相关规定</w:t>
      </w:r>
      <w:r>
        <w:rPr>
          <w:rFonts w:hint="eastAsia" w:ascii="宋体" w:hAnsi="宋体" w:eastAsia="宋体" w:cs="宋体"/>
          <w:color w:val="auto"/>
          <w:sz w:val="24"/>
          <w:szCs w:val="24"/>
          <w:highlight w:val="none"/>
          <w:lang w:val="en-US" w:eastAsia="zh-CN"/>
        </w:rPr>
        <w:t>在评审时给予价格评审优惠，具体详见</w:t>
      </w:r>
      <w:r>
        <w:rPr>
          <w:rFonts w:hint="eastAsia" w:ascii="宋体" w:hAnsi="宋体" w:eastAsia="宋体" w:cs="宋体"/>
          <w:snapToGrid w:val="0"/>
          <w:color w:val="auto"/>
          <w:sz w:val="24"/>
          <w:szCs w:val="24"/>
          <w:highlight w:val="none"/>
          <w:lang w:val="en-US" w:eastAsia="zh-CN"/>
        </w:rPr>
        <w:t>“投标人须知前附表”及</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color w:val="auto"/>
          <w:sz w:val="24"/>
          <w:szCs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5" w:name="_Toc22896"/>
      <w:bookmarkStart w:id="406" w:name="_Toc8054"/>
      <w:bookmarkStart w:id="407" w:name="_Toc5777"/>
      <w:bookmarkStart w:id="408" w:name="_Toc163492879"/>
      <w:r>
        <w:rPr>
          <w:rFonts w:hint="eastAsia" w:ascii="宋体" w:hAnsi="宋体" w:eastAsia="宋体" w:cs="宋体"/>
          <w:b/>
          <w:bCs/>
          <w:color w:val="auto"/>
          <w:kern w:val="2"/>
          <w:sz w:val="24"/>
          <w:szCs w:val="24"/>
          <w:highlight w:val="none"/>
          <w:lang w:val="en-US" w:eastAsia="zh-CN" w:bidi="ar-SA"/>
        </w:rPr>
        <w:t>44.正版软件</w:t>
      </w:r>
      <w:bookmarkEnd w:id="405"/>
      <w:bookmarkEnd w:id="406"/>
      <w:bookmarkEnd w:id="407"/>
      <w:r>
        <w:rPr>
          <w:rFonts w:hint="eastAsia" w:ascii="宋体" w:hAnsi="宋体" w:eastAsia="宋体" w:cs="宋体"/>
          <w:b/>
          <w:bCs/>
          <w:color w:val="auto"/>
          <w:kern w:val="2"/>
          <w:sz w:val="24"/>
          <w:szCs w:val="24"/>
          <w:highlight w:val="none"/>
          <w:lang w:val="en-US" w:eastAsia="zh-CN" w:bidi="ar-SA"/>
        </w:rPr>
        <w:t xml:space="preserve">  </w:t>
      </w:r>
    </w:p>
    <w:p w14:paraId="415973C1">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9" w:name="_Toc7834"/>
      <w:bookmarkStart w:id="410" w:name="_Toc27611"/>
      <w:bookmarkStart w:id="411" w:name="_Toc15694"/>
      <w:r>
        <w:rPr>
          <w:rFonts w:hint="eastAsia" w:ascii="宋体" w:hAnsi="宋体" w:eastAsia="宋体" w:cs="宋体"/>
          <w:b/>
          <w:bCs/>
          <w:color w:val="auto"/>
          <w:kern w:val="2"/>
          <w:sz w:val="24"/>
          <w:szCs w:val="24"/>
          <w:highlight w:val="none"/>
          <w:lang w:val="en-US" w:eastAsia="zh-CN" w:bidi="ar-SA"/>
        </w:rPr>
        <w:t>45.网络安全专用产品</w:t>
      </w:r>
      <w:bookmarkEnd w:id="409"/>
      <w:bookmarkEnd w:id="410"/>
      <w:bookmarkEnd w:id="411"/>
      <w:r>
        <w:rPr>
          <w:rFonts w:hint="eastAsia" w:ascii="宋体" w:hAnsi="宋体" w:eastAsia="宋体" w:cs="宋体"/>
          <w:b/>
          <w:bCs/>
          <w:color w:val="auto"/>
          <w:kern w:val="2"/>
          <w:sz w:val="24"/>
          <w:szCs w:val="24"/>
          <w:highlight w:val="none"/>
          <w:lang w:val="en-US" w:eastAsia="zh-CN" w:bidi="ar-SA"/>
        </w:rPr>
        <w:t xml:space="preserve">   </w:t>
      </w:r>
    </w:p>
    <w:p w14:paraId="13C0877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2" w:name="_Toc27892"/>
      <w:bookmarkStart w:id="413" w:name="_Toc11862"/>
      <w:bookmarkStart w:id="414" w:name="_Toc5974"/>
      <w:r>
        <w:rPr>
          <w:rFonts w:hint="eastAsia" w:ascii="宋体" w:hAnsi="宋体" w:eastAsia="宋体" w:cs="宋体"/>
          <w:b/>
          <w:bCs/>
          <w:color w:val="auto"/>
          <w:kern w:val="2"/>
          <w:sz w:val="24"/>
          <w:szCs w:val="24"/>
          <w:highlight w:val="none"/>
          <w:lang w:val="en-US" w:eastAsia="zh-CN" w:bidi="ar-SA"/>
        </w:rPr>
        <w:t>46.采购需求标准</w:t>
      </w:r>
      <w:bookmarkEnd w:id="412"/>
      <w:bookmarkEnd w:id="413"/>
      <w:bookmarkEnd w:id="414"/>
      <w:r>
        <w:rPr>
          <w:rFonts w:hint="eastAsia" w:ascii="宋体" w:hAnsi="宋体" w:eastAsia="宋体" w:cs="宋体"/>
          <w:b/>
          <w:bCs/>
          <w:color w:val="auto"/>
          <w:kern w:val="2"/>
          <w:sz w:val="24"/>
          <w:szCs w:val="24"/>
          <w:highlight w:val="none"/>
          <w:lang w:val="en-US" w:eastAsia="zh-CN" w:bidi="ar-SA"/>
        </w:rPr>
        <w:t xml:space="preserve">   </w:t>
      </w:r>
    </w:p>
    <w:p w14:paraId="77C6365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46.1 商品包装、快递包装政府采购需求标准（试行） </w:t>
      </w:r>
    </w:p>
    <w:p w14:paraId="3DA9478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46.2 绿色数据中心政府采购需求标准（试行） </w:t>
      </w:r>
    </w:p>
    <w:p w14:paraId="1617383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46.3台式计算机政府采购需求标准</w:t>
      </w:r>
    </w:p>
    <w:p w14:paraId="3830872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46.4便携式计算机政府采购需求标准</w:t>
      </w:r>
    </w:p>
    <w:p w14:paraId="2DDABA7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46.5一体式计算机政府采购需求标准</w:t>
      </w:r>
    </w:p>
    <w:p w14:paraId="30E8139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46.6工作站政府采购需求标准</w:t>
      </w:r>
    </w:p>
    <w:p w14:paraId="23F8A15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46.7通用服务器政府采购需求标准</w:t>
      </w:r>
    </w:p>
    <w:p w14:paraId="2DC5EF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46.8操作系统政府采购需求标准</w:t>
      </w:r>
    </w:p>
    <w:p w14:paraId="0C0F87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46.9数据库政府采购需求标准</w:t>
      </w:r>
    </w:p>
    <w:p w14:paraId="45BE4E6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46.10物业管理服务政府采购需求标准（办公场所类）（试行）</w:t>
      </w:r>
    </w:p>
    <w:p w14:paraId="0169F2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5" w:name="_Toc17357"/>
      <w:bookmarkStart w:id="416" w:name="_Toc18589"/>
      <w:bookmarkStart w:id="417" w:name="_Toc27566"/>
      <w:r>
        <w:rPr>
          <w:rFonts w:hint="eastAsia" w:ascii="宋体" w:hAnsi="宋体" w:eastAsia="宋体" w:cs="宋体"/>
          <w:b/>
          <w:bCs/>
          <w:color w:val="auto"/>
          <w:kern w:val="2"/>
          <w:sz w:val="24"/>
          <w:szCs w:val="24"/>
          <w:highlight w:val="none"/>
          <w:lang w:val="en-US" w:eastAsia="zh-CN" w:bidi="ar-SA"/>
        </w:rPr>
        <w:t>（十四）政府采购合同融资政策</w:t>
      </w:r>
      <w:bookmarkEnd w:id="391"/>
      <w:bookmarkEnd w:id="392"/>
      <w:bookmarkEnd w:id="408"/>
      <w:bookmarkEnd w:id="415"/>
      <w:bookmarkEnd w:id="416"/>
      <w:bookmarkEnd w:id="417"/>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8" w:name="_Toc163492880"/>
      <w:bookmarkStart w:id="419" w:name="_Toc10283"/>
      <w:bookmarkStart w:id="420" w:name="_Toc10372"/>
      <w:bookmarkStart w:id="421" w:name="_Toc16609"/>
      <w:r>
        <w:rPr>
          <w:rFonts w:hint="eastAsia" w:ascii="宋体" w:hAnsi="宋体" w:eastAsia="宋体" w:cs="宋体"/>
          <w:b/>
          <w:bCs/>
          <w:color w:val="auto"/>
          <w:kern w:val="2"/>
          <w:sz w:val="24"/>
          <w:szCs w:val="24"/>
          <w:highlight w:val="none"/>
          <w:lang w:val="en-US" w:eastAsia="zh-CN" w:bidi="ar-SA"/>
        </w:rPr>
        <w:t>47.政府采购合同融资政策</w:t>
      </w:r>
      <w:bookmarkEnd w:id="418"/>
      <w:bookmarkEnd w:id="419"/>
      <w:bookmarkEnd w:id="420"/>
      <w:bookmarkEnd w:id="421"/>
    </w:p>
    <w:p w14:paraId="2F9086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2" w:name="_Toc21672"/>
      <w:bookmarkStart w:id="423" w:name="_Toc6921"/>
      <w:bookmarkStart w:id="424" w:name="_Toc25511"/>
      <w:bookmarkStart w:id="425" w:name="_Toc163492881"/>
      <w:r>
        <w:rPr>
          <w:rFonts w:hint="eastAsia" w:ascii="宋体" w:hAnsi="宋体" w:eastAsia="宋体" w:cs="宋体"/>
          <w:b/>
          <w:bCs/>
          <w:color w:val="auto"/>
          <w:kern w:val="2"/>
          <w:sz w:val="24"/>
          <w:szCs w:val="24"/>
          <w:highlight w:val="none"/>
          <w:lang w:val="en-US" w:eastAsia="zh-CN" w:bidi="ar-SA"/>
        </w:rPr>
        <w:t>（十五）其他</w:t>
      </w:r>
      <w:bookmarkEnd w:id="422"/>
      <w:bookmarkEnd w:id="423"/>
      <w:bookmarkEnd w:id="424"/>
      <w:bookmarkEnd w:id="425"/>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6" w:name="_Toc19852"/>
      <w:bookmarkStart w:id="427" w:name="_Toc1148"/>
      <w:bookmarkStart w:id="428" w:name="_Toc163492882"/>
      <w:bookmarkStart w:id="429" w:name="_Toc28158"/>
      <w:r>
        <w:rPr>
          <w:rFonts w:hint="eastAsia" w:ascii="宋体" w:hAnsi="宋体" w:eastAsia="宋体" w:cs="宋体"/>
          <w:b/>
          <w:bCs/>
          <w:color w:val="auto"/>
          <w:kern w:val="2"/>
          <w:sz w:val="24"/>
          <w:szCs w:val="24"/>
          <w:highlight w:val="none"/>
          <w:lang w:val="en-US" w:eastAsia="zh-CN" w:bidi="ar-SA"/>
        </w:rPr>
        <w:t>48.需要补充的其他内容</w:t>
      </w:r>
      <w:bookmarkEnd w:id="426"/>
      <w:bookmarkEnd w:id="427"/>
      <w:bookmarkEnd w:id="428"/>
      <w:bookmarkEnd w:id="429"/>
    </w:p>
    <w:p w14:paraId="325164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0" w:name="_Toc155185886"/>
      <w:bookmarkStart w:id="431" w:name="_Toc11583"/>
      <w:bookmarkStart w:id="432" w:name="_Toc24080"/>
      <w:bookmarkStart w:id="433" w:name="_Toc746"/>
      <w:bookmarkStart w:id="434" w:name="_Toc140132810"/>
      <w:bookmarkStart w:id="435" w:name="_Toc163492883"/>
      <w:r>
        <w:rPr>
          <w:rFonts w:hint="eastAsia" w:ascii="宋体" w:hAnsi="宋体" w:eastAsia="宋体" w:cs="宋体"/>
          <w:b/>
          <w:bCs/>
          <w:color w:val="auto"/>
          <w:kern w:val="2"/>
          <w:sz w:val="24"/>
          <w:szCs w:val="24"/>
          <w:highlight w:val="none"/>
          <w:lang w:val="en-US" w:eastAsia="zh-CN" w:bidi="ar-SA"/>
        </w:rPr>
        <w:t>49.适用法律</w:t>
      </w:r>
      <w:bookmarkEnd w:id="430"/>
      <w:bookmarkEnd w:id="431"/>
      <w:bookmarkEnd w:id="432"/>
      <w:bookmarkEnd w:id="433"/>
      <w:bookmarkEnd w:id="434"/>
      <w:bookmarkEnd w:id="435"/>
    </w:p>
    <w:p w14:paraId="0953B8A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.2政府采购合同的履行、违约责任和解决争议的方法等适用《中华人民共和国民法典》。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6" w:name="_Toc163492884"/>
      <w:bookmarkStart w:id="437" w:name="_Toc7856"/>
      <w:bookmarkStart w:id="438" w:name="_Toc155185887"/>
      <w:bookmarkStart w:id="439" w:name="_Toc17601"/>
      <w:bookmarkStart w:id="440" w:name="_Toc17546"/>
      <w:r>
        <w:rPr>
          <w:rFonts w:hint="eastAsia" w:ascii="宋体" w:hAnsi="宋体" w:eastAsia="宋体" w:cs="宋体"/>
          <w:b/>
          <w:bCs/>
          <w:color w:val="auto"/>
          <w:kern w:val="2"/>
          <w:sz w:val="24"/>
          <w:szCs w:val="24"/>
          <w:highlight w:val="none"/>
          <w:lang w:val="en-US" w:eastAsia="zh-CN" w:bidi="ar-SA"/>
        </w:rPr>
        <w:t>50.解释权</w:t>
      </w:r>
      <w:bookmarkEnd w:id="436"/>
      <w:bookmarkEnd w:id="437"/>
      <w:bookmarkEnd w:id="438"/>
      <w:bookmarkEnd w:id="439"/>
      <w:bookmarkEnd w:id="440"/>
    </w:p>
    <w:p w14:paraId="5C6D27F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50</w:t>
      </w:r>
      <w:r>
        <w:rPr>
          <w:rFonts w:hint="eastAsia" w:ascii="宋体" w:hAnsi="宋体" w:eastAsia="宋体" w:cs="宋体"/>
          <w:snapToGrid w:val="0"/>
          <w:color w:val="auto"/>
          <w:sz w:val="24"/>
          <w:szCs w:val="24"/>
          <w:highlight w:val="none"/>
        </w:rPr>
        <w:t>.1本招标文件最终解释权归采购人或采购代理机构所有。</w:t>
      </w:r>
    </w:p>
    <w:p w14:paraId="3C497DAE">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FD6489E">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3956D8C">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6853F8C">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4B168E8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334BC83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833B9FA">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F68D20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41" w:name="_Toc21746"/>
      <w:bookmarkStart w:id="442" w:name="_Toc155185888"/>
      <w:r>
        <w:rPr>
          <w:rFonts w:hint="eastAsia" w:ascii="宋体" w:hAnsi="宋体" w:eastAsia="宋体" w:cs="宋体"/>
          <w:b/>
          <w:bCs/>
          <w:color w:val="auto"/>
          <w:kern w:val="44"/>
          <w:sz w:val="36"/>
          <w:szCs w:val="36"/>
          <w:highlight w:val="none"/>
          <w:lang w:val="en-US" w:eastAsia="zh-CN" w:bidi="ar-SA"/>
        </w:rPr>
        <w:t>第三章 采购需求</w:t>
      </w:r>
      <w:bookmarkEnd w:id="441"/>
      <w:bookmarkEnd w:id="442"/>
    </w:p>
    <w:p w14:paraId="74BCECBF">
      <w:pPr>
        <w:pStyle w:val="3"/>
        <w:bidi w:val="0"/>
        <w:rPr>
          <w:rFonts w:hint="eastAsia"/>
          <w:sz w:val="28"/>
          <w:szCs w:val="28"/>
          <w:lang w:val="en-US" w:eastAsia="zh-CN"/>
        </w:rPr>
      </w:pPr>
      <w:bookmarkStart w:id="443" w:name="_Toc24725"/>
      <w:bookmarkStart w:id="444" w:name="_Toc155185889"/>
      <w:bookmarkStart w:id="445" w:name="_Toc140132812"/>
      <w:r>
        <w:rPr>
          <w:rFonts w:hint="eastAsia"/>
          <w:sz w:val="28"/>
          <w:szCs w:val="28"/>
          <w:lang w:val="en-US" w:eastAsia="zh-CN"/>
        </w:rPr>
        <w:t>一、采购标的</w:t>
      </w:r>
      <w:bookmarkEnd w:id="443"/>
      <w:r>
        <w:rPr>
          <w:rFonts w:hint="eastAsia"/>
          <w:sz w:val="28"/>
          <w:szCs w:val="28"/>
          <w:lang w:val="en-US" w:eastAsia="zh-CN"/>
        </w:rPr>
        <w:t xml:space="preserve"> </w:t>
      </w:r>
    </w:p>
    <w:p w14:paraId="1058EB2B">
      <w:pPr>
        <w:snapToGrid w:val="0"/>
        <w:ind w:firstLine="480" w:firstLineChars="200"/>
        <w:rPr>
          <w:rFonts w:hint="eastAsia" w:ascii="宋体" w:hAnsi="宋体" w:eastAsia="宋体" w:cs="宋体"/>
          <w:sz w:val="24"/>
          <w:szCs w:val="24"/>
          <w:lang w:val="en-US" w:eastAsia="zh-CN"/>
        </w:rPr>
      </w:pPr>
      <w:bookmarkStart w:id="446" w:name="_Toc4366"/>
      <w:r>
        <w:rPr>
          <w:rFonts w:hint="eastAsia" w:ascii="宋体" w:hAnsi="宋体" w:eastAsia="宋体" w:cs="宋体"/>
          <w:sz w:val="24"/>
          <w:szCs w:val="24"/>
          <w:lang w:val="en-US" w:eastAsia="zh-CN"/>
        </w:rPr>
        <w:t>1.定制开发资源明细名称、数量（采购标的）</w:t>
      </w:r>
    </w:p>
    <w:tbl>
      <w:tblPr>
        <w:tblStyle w:val="29"/>
        <w:tblW w:w="8521" w:type="dxa"/>
        <w:tblInd w:w="0" w:type="dxa"/>
        <w:tblLayout w:type="autofit"/>
        <w:tblCellMar>
          <w:top w:w="0" w:type="dxa"/>
          <w:left w:w="108" w:type="dxa"/>
          <w:bottom w:w="0" w:type="dxa"/>
          <w:right w:w="108" w:type="dxa"/>
        </w:tblCellMar>
      </w:tblPr>
      <w:tblGrid>
        <w:gridCol w:w="795"/>
        <w:gridCol w:w="4341"/>
        <w:gridCol w:w="825"/>
        <w:gridCol w:w="765"/>
        <w:gridCol w:w="1795"/>
      </w:tblGrid>
      <w:tr w14:paraId="11DC9FD1">
        <w:tblPrEx>
          <w:tblCellMar>
            <w:top w:w="0" w:type="dxa"/>
            <w:left w:w="108" w:type="dxa"/>
            <w:bottom w:w="0" w:type="dxa"/>
            <w:right w:w="108" w:type="dxa"/>
          </w:tblCellMar>
        </w:tblPrEx>
        <w:trPr>
          <w:trHeight w:val="667"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28DFFF4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4341" w:type="dxa"/>
            <w:tcBorders>
              <w:top w:val="single" w:color="000000" w:sz="4" w:space="0"/>
              <w:left w:val="single" w:color="000000" w:sz="4" w:space="0"/>
              <w:bottom w:val="single" w:color="000000" w:sz="4" w:space="0"/>
              <w:right w:val="single" w:color="000000" w:sz="4" w:space="0"/>
            </w:tcBorders>
            <w:vAlign w:val="center"/>
          </w:tcPr>
          <w:p w14:paraId="11F63D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名称</w:t>
            </w:r>
          </w:p>
        </w:tc>
        <w:tc>
          <w:tcPr>
            <w:tcW w:w="825" w:type="dxa"/>
            <w:tcBorders>
              <w:top w:val="single" w:color="000000" w:sz="4" w:space="0"/>
              <w:left w:val="single" w:color="000000" w:sz="4" w:space="0"/>
              <w:bottom w:val="single" w:color="000000" w:sz="4" w:space="0"/>
              <w:right w:val="single" w:color="000000" w:sz="4" w:space="0"/>
            </w:tcBorders>
            <w:vAlign w:val="center"/>
          </w:tcPr>
          <w:p w14:paraId="3B22C27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单位</w:t>
            </w:r>
          </w:p>
        </w:tc>
        <w:tc>
          <w:tcPr>
            <w:tcW w:w="765" w:type="dxa"/>
            <w:tcBorders>
              <w:top w:val="single" w:color="000000" w:sz="4" w:space="0"/>
              <w:left w:val="single" w:color="000000" w:sz="4" w:space="0"/>
              <w:bottom w:val="single" w:color="000000" w:sz="4" w:space="0"/>
              <w:right w:val="single" w:color="000000" w:sz="4" w:space="0"/>
            </w:tcBorders>
            <w:vAlign w:val="center"/>
          </w:tcPr>
          <w:p w14:paraId="09AEA16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1795" w:type="dxa"/>
            <w:tcBorders>
              <w:top w:val="single" w:color="000000" w:sz="4" w:space="0"/>
              <w:left w:val="single" w:color="000000" w:sz="4" w:space="0"/>
              <w:bottom w:val="single" w:color="000000" w:sz="4" w:space="0"/>
              <w:right w:val="single" w:color="000000" w:sz="4" w:space="0"/>
            </w:tcBorders>
            <w:vAlign w:val="center"/>
          </w:tcPr>
          <w:p w14:paraId="41DE0B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标的所属行业</w:t>
            </w:r>
          </w:p>
        </w:tc>
      </w:tr>
      <w:tr w14:paraId="257280AD">
        <w:tblPrEx>
          <w:tblCellMar>
            <w:top w:w="0" w:type="dxa"/>
            <w:left w:w="108" w:type="dxa"/>
            <w:bottom w:w="0" w:type="dxa"/>
            <w:right w:w="108" w:type="dxa"/>
          </w:tblCellMar>
        </w:tblPrEx>
        <w:trPr>
          <w:trHeight w:val="783"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72378D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4341" w:type="dxa"/>
            <w:tcBorders>
              <w:top w:val="single" w:color="000000" w:sz="4" w:space="0"/>
              <w:left w:val="single" w:color="000000" w:sz="4" w:space="0"/>
              <w:bottom w:val="single" w:color="000000" w:sz="4" w:space="0"/>
              <w:right w:val="single" w:color="000000" w:sz="4" w:space="0"/>
            </w:tcBorders>
            <w:vAlign w:val="center"/>
          </w:tcPr>
          <w:p w14:paraId="76CC13D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虚拟仿真交互类的三维全景视频教学资源定制开发（含PC版）</w:t>
            </w:r>
          </w:p>
        </w:tc>
        <w:tc>
          <w:tcPr>
            <w:tcW w:w="825" w:type="dxa"/>
            <w:tcBorders>
              <w:top w:val="single" w:color="000000" w:sz="4" w:space="0"/>
              <w:left w:val="single" w:color="000000" w:sz="4" w:space="0"/>
              <w:bottom w:val="single" w:color="000000" w:sz="4" w:space="0"/>
              <w:right w:val="single" w:color="000000" w:sz="4" w:space="0"/>
            </w:tcBorders>
            <w:vAlign w:val="center"/>
          </w:tcPr>
          <w:p w14:paraId="53664B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w:t>
            </w:r>
          </w:p>
        </w:tc>
        <w:tc>
          <w:tcPr>
            <w:tcW w:w="765" w:type="dxa"/>
            <w:tcBorders>
              <w:top w:val="single" w:color="000000" w:sz="4" w:space="0"/>
              <w:left w:val="single" w:color="000000" w:sz="4" w:space="0"/>
              <w:bottom w:val="single" w:color="000000" w:sz="4" w:space="0"/>
              <w:right w:val="single" w:color="000000" w:sz="4" w:space="0"/>
            </w:tcBorders>
            <w:vAlign w:val="center"/>
          </w:tcPr>
          <w:p w14:paraId="6E2067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795" w:type="dxa"/>
            <w:tcBorders>
              <w:top w:val="single" w:color="000000" w:sz="4" w:space="0"/>
              <w:left w:val="single" w:color="000000" w:sz="4" w:space="0"/>
              <w:bottom w:val="single" w:color="000000" w:sz="4" w:space="0"/>
              <w:right w:val="single" w:color="000000" w:sz="4" w:space="0"/>
            </w:tcBorders>
            <w:vAlign w:val="center"/>
          </w:tcPr>
          <w:p w14:paraId="4F8D114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软件和信息技术服务业</w:t>
            </w:r>
          </w:p>
        </w:tc>
      </w:tr>
      <w:tr w14:paraId="49D0BC73">
        <w:tblPrEx>
          <w:tblCellMar>
            <w:top w:w="0" w:type="dxa"/>
            <w:left w:w="108" w:type="dxa"/>
            <w:bottom w:w="0" w:type="dxa"/>
            <w:right w:w="108" w:type="dxa"/>
          </w:tblCellMar>
        </w:tblPrEx>
        <w:trPr>
          <w:trHeight w:val="783"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0CFDF1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4341" w:type="dxa"/>
            <w:tcBorders>
              <w:top w:val="single" w:color="000000" w:sz="4" w:space="0"/>
              <w:left w:val="single" w:color="000000" w:sz="4" w:space="0"/>
              <w:bottom w:val="single" w:color="000000" w:sz="4" w:space="0"/>
              <w:right w:val="single" w:color="000000" w:sz="4" w:space="0"/>
            </w:tcBorders>
            <w:vAlign w:val="center"/>
          </w:tcPr>
          <w:p w14:paraId="052770B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思政课教育教学平台（含中职、高职）</w:t>
            </w:r>
          </w:p>
        </w:tc>
        <w:tc>
          <w:tcPr>
            <w:tcW w:w="825" w:type="dxa"/>
            <w:tcBorders>
              <w:top w:val="single" w:color="000000" w:sz="4" w:space="0"/>
              <w:left w:val="single" w:color="000000" w:sz="4" w:space="0"/>
              <w:bottom w:val="single" w:color="000000" w:sz="4" w:space="0"/>
              <w:right w:val="single" w:color="000000" w:sz="4" w:space="0"/>
            </w:tcBorders>
            <w:vAlign w:val="center"/>
          </w:tcPr>
          <w:p w14:paraId="551C81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个</w:t>
            </w:r>
          </w:p>
        </w:tc>
        <w:tc>
          <w:tcPr>
            <w:tcW w:w="765" w:type="dxa"/>
            <w:tcBorders>
              <w:top w:val="single" w:color="000000" w:sz="4" w:space="0"/>
              <w:left w:val="single" w:color="000000" w:sz="4" w:space="0"/>
              <w:bottom w:val="single" w:color="000000" w:sz="4" w:space="0"/>
              <w:right w:val="single" w:color="000000" w:sz="4" w:space="0"/>
            </w:tcBorders>
            <w:vAlign w:val="center"/>
          </w:tcPr>
          <w:p w14:paraId="41A529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795" w:type="dxa"/>
            <w:tcBorders>
              <w:top w:val="single" w:color="000000" w:sz="4" w:space="0"/>
              <w:left w:val="single" w:color="000000" w:sz="4" w:space="0"/>
              <w:bottom w:val="single" w:color="000000" w:sz="4" w:space="0"/>
              <w:right w:val="single" w:color="000000" w:sz="4" w:space="0"/>
            </w:tcBorders>
            <w:vAlign w:val="center"/>
          </w:tcPr>
          <w:p w14:paraId="7D232D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软件和信息技术服务业</w:t>
            </w:r>
          </w:p>
        </w:tc>
      </w:tr>
    </w:tbl>
    <w:p w14:paraId="7219E128">
      <w:pPr>
        <w:pStyle w:val="36"/>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Style w:val="41"/>
          <w:rFonts w:hint="eastAsia" w:ascii="宋体" w:hAnsi="宋体" w:eastAsia="宋体" w:cs="宋体"/>
          <w:b w:val="0"/>
          <w:bCs w:val="0"/>
          <w:sz w:val="24"/>
          <w:szCs w:val="24"/>
          <w:lang w:val="en-US" w:eastAsia="zh-CN"/>
        </w:rPr>
      </w:pPr>
      <w:r>
        <w:rPr>
          <w:rStyle w:val="41"/>
          <w:rFonts w:hint="eastAsia" w:ascii="宋体" w:hAnsi="宋体" w:eastAsia="宋体" w:cs="宋体"/>
          <w:b w:val="0"/>
          <w:bCs w:val="0"/>
          <w:sz w:val="24"/>
          <w:szCs w:val="24"/>
          <w:lang w:val="en-US" w:eastAsia="zh-CN"/>
        </w:rPr>
        <w:t>2.项目概述：石河子卫生学校《中国特色社会主义》课程虚拟仿真资源定制开发项目内容主要包含：根据《中等职业学校思想政治课程标准（2020版）》、国家统编教材《中国特色社会主义》（高等教育出版社），梳理出不少于14个的主题内容，进行虚拟仿真交互类的三维全景视频教学资源的定制开发建设（含PC版）；思政课教育教学平台（含中职、高职）免费使用3年。项目建成后将有效推动学校思想政治理论课教学改革与发展。</w:t>
      </w:r>
    </w:p>
    <w:p w14:paraId="6D523F8D">
      <w:pPr>
        <w:pStyle w:val="36"/>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Fonts w:hint="eastAsia"/>
          <w:b/>
          <w:bCs/>
          <w:snapToGrid w:val="0"/>
          <w:color w:val="auto"/>
          <w:sz w:val="24"/>
          <w:szCs w:val="24"/>
          <w:highlight w:val="none"/>
          <w:lang w:val="en-US" w:eastAsia="zh-CN"/>
        </w:rPr>
      </w:pPr>
      <w:r>
        <w:rPr>
          <w:rStyle w:val="41"/>
          <w:rFonts w:hint="eastAsia"/>
          <w:sz w:val="28"/>
          <w:szCs w:val="28"/>
          <w:lang w:val="en-US" w:eastAsia="zh-CN"/>
        </w:rPr>
        <w:t>二、商务要求</w:t>
      </w:r>
      <w:bookmarkEnd w:id="446"/>
    </w:p>
    <w:p w14:paraId="5DCBDE34">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b/>
          <w:bCs/>
          <w:i w:val="0"/>
          <w:iCs w:val="0"/>
          <w:snapToGrid w:val="0"/>
          <w:color w:val="auto"/>
          <w:sz w:val="24"/>
          <w:szCs w:val="24"/>
          <w:highlight w:val="none"/>
          <w:lang w:val="en-US" w:eastAsia="zh-CN"/>
        </w:rPr>
        <w:t>★</w:t>
      </w:r>
      <w:r>
        <w:rPr>
          <w:rFonts w:hint="default"/>
          <w:snapToGrid w:val="0"/>
          <w:color w:val="auto"/>
          <w:sz w:val="24"/>
          <w:szCs w:val="24"/>
          <w:highlight w:val="none"/>
          <w:lang w:val="en-US" w:eastAsia="zh-CN"/>
        </w:rPr>
        <w:t>1.</w:t>
      </w:r>
      <w:r>
        <w:rPr>
          <w:rFonts w:hint="eastAsia"/>
          <w:snapToGrid w:val="0"/>
          <w:color w:val="auto"/>
          <w:sz w:val="24"/>
          <w:szCs w:val="24"/>
          <w:highlight w:val="none"/>
          <w:lang w:val="en-US" w:eastAsia="zh-CN"/>
        </w:rPr>
        <w:t>交付（实施）的时间（期限）和地点（范围） ：</w:t>
      </w:r>
    </w:p>
    <w:p w14:paraId="60A235F4">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①虚拟仿真交互类的三维全景视频教学资源定制开发：150个自然日。</w:t>
      </w:r>
    </w:p>
    <w:p w14:paraId="045C91A5">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②思政课教育教学平台（含中职、高职）：60个自然日。</w:t>
      </w:r>
    </w:p>
    <w:p w14:paraId="395092DD">
      <w:pPr>
        <w:pStyle w:val="36"/>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eastAsia"/>
          <w:snapToGrid w:val="0"/>
          <w:color w:val="auto"/>
          <w:sz w:val="24"/>
          <w:szCs w:val="24"/>
          <w:highlight w:val="none"/>
          <w:lang w:val="en-US" w:eastAsia="zh-CN"/>
        </w:rPr>
        <w:t>③交货地点：石河子卫生学校。</w:t>
      </w:r>
    </w:p>
    <w:p w14:paraId="2017E928">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b/>
          <w:bCs/>
          <w:i w:val="0"/>
          <w:iCs w:val="0"/>
          <w:snapToGrid w:val="0"/>
          <w:color w:val="auto"/>
          <w:sz w:val="24"/>
          <w:szCs w:val="24"/>
          <w:highlight w:val="none"/>
          <w:lang w:val="en-US" w:eastAsia="zh-CN"/>
        </w:rPr>
        <w:t>★</w:t>
      </w:r>
      <w:r>
        <w:rPr>
          <w:rFonts w:hint="default"/>
          <w:snapToGrid w:val="0"/>
          <w:color w:val="auto"/>
          <w:sz w:val="24"/>
          <w:szCs w:val="24"/>
          <w:highlight w:val="none"/>
          <w:lang w:val="en-US" w:eastAsia="zh-CN"/>
        </w:rPr>
        <w:t>2.</w:t>
      </w:r>
      <w:r>
        <w:rPr>
          <w:rFonts w:hint="eastAsia"/>
          <w:snapToGrid w:val="0"/>
          <w:color w:val="auto"/>
          <w:sz w:val="24"/>
          <w:szCs w:val="24"/>
          <w:highlight w:val="none"/>
          <w:lang w:val="en-US" w:eastAsia="zh-CN"/>
        </w:rPr>
        <w:t>付款条件（进度和方式） ：</w:t>
      </w:r>
    </w:p>
    <w:p w14:paraId="2356657A">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合同签订后15日内中标方须向采购方提供中标价10%的售后履约保函（期限3年）。</w:t>
      </w:r>
    </w:p>
    <w:p w14:paraId="43E1C6F7">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因定制开发资源建设周期较长，中标方按照合同约定开始资源建设工作后的30个工作日内，采购方向中标方支付中标价80%预付款，由中标方向采购方提供增值税专用发票，所产生的税费由中标方承担，同时中标方须向采购方提供预付款履约保函（在交货期内完成建设任务，并确保建设质量）。</w:t>
      </w:r>
    </w:p>
    <w:p w14:paraId="638FE2B5">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全部建设任务完成、经采购方验收合格后，采购方向中标方支付剩余合同款，由中标方向采购方提供增值税专用发票，所产生的税费由中标方承担。</w:t>
      </w:r>
    </w:p>
    <w:p w14:paraId="68249201">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b/>
          <w:bCs/>
          <w:i w:val="0"/>
          <w:iCs w:val="0"/>
          <w:snapToGrid w:val="0"/>
          <w:color w:val="auto"/>
          <w:sz w:val="24"/>
          <w:szCs w:val="24"/>
          <w:highlight w:val="none"/>
          <w:lang w:val="en-US" w:eastAsia="zh-CN"/>
        </w:rPr>
        <w:t>★</w:t>
      </w:r>
      <w:r>
        <w:rPr>
          <w:rFonts w:hint="default"/>
          <w:snapToGrid w:val="0"/>
          <w:color w:val="auto"/>
          <w:sz w:val="24"/>
          <w:szCs w:val="24"/>
          <w:highlight w:val="none"/>
          <w:lang w:val="en-US" w:eastAsia="zh-CN"/>
        </w:rPr>
        <w:t>3.</w:t>
      </w:r>
      <w:r>
        <w:rPr>
          <w:rFonts w:hint="eastAsia"/>
          <w:snapToGrid w:val="0"/>
          <w:color w:val="auto"/>
          <w:sz w:val="24"/>
          <w:szCs w:val="24"/>
          <w:highlight w:val="none"/>
          <w:lang w:val="en-US" w:eastAsia="zh-CN"/>
        </w:rPr>
        <w:t>售后服务（质保期）：</w:t>
      </w:r>
    </w:p>
    <w:p w14:paraId="40E6A753">
      <w:pPr>
        <w:pStyle w:val="36"/>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eastAsia"/>
          <w:snapToGrid w:val="0"/>
          <w:color w:val="auto"/>
          <w:sz w:val="24"/>
          <w:szCs w:val="24"/>
          <w:highlight w:val="none"/>
          <w:lang w:val="en-US" w:eastAsia="zh-CN"/>
        </w:rPr>
        <w:t>①</w:t>
      </w:r>
      <w:r>
        <w:rPr>
          <w:rFonts w:hint="default"/>
          <w:snapToGrid w:val="0"/>
          <w:color w:val="auto"/>
          <w:sz w:val="24"/>
          <w:szCs w:val="24"/>
          <w:highlight w:val="none"/>
          <w:lang w:val="en-US" w:eastAsia="zh-CN"/>
        </w:rPr>
        <w:t>质保期：质保期3年。</w:t>
      </w:r>
    </w:p>
    <w:p w14:paraId="5B9772E3">
      <w:pPr>
        <w:pStyle w:val="36"/>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eastAsia"/>
          <w:snapToGrid w:val="0"/>
          <w:color w:val="auto"/>
          <w:sz w:val="24"/>
          <w:szCs w:val="24"/>
          <w:highlight w:val="none"/>
          <w:lang w:val="en-US" w:eastAsia="zh-CN"/>
        </w:rPr>
        <w:t>②</w:t>
      </w:r>
      <w:r>
        <w:rPr>
          <w:rFonts w:hint="default"/>
          <w:snapToGrid w:val="0"/>
          <w:color w:val="auto"/>
          <w:sz w:val="24"/>
          <w:szCs w:val="24"/>
          <w:highlight w:val="none"/>
          <w:lang w:val="en-US" w:eastAsia="zh-CN"/>
        </w:rPr>
        <w:t>售后服务：免费运维期3年。</w:t>
      </w:r>
    </w:p>
    <w:p w14:paraId="60D39851">
      <w:pPr>
        <w:pStyle w:val="36"/>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eastAsia"/>
          <w:snapToGrid w:val="0"/>
          <w:color w:val="auto"/>
          <w:sz w:val="24"/>
          <w:szCs w:val="24"/>
          <w:highlight w:val="none"/>
          <w:lang w:val="en-US" w:eastAsia="zh-CN"/>
        </w:rPr>
        <w:t>③中标供应商负责开发建设的全部售后服务保障,如果投标供应商不是资源（软件）开发商，在保质期内，学校需要资源（软件）开发商到校调试或提供相应服务时，资源（软件）开发商不能满足服务要求的，中标方负全部责任，校方有权扣除全部履约保证金，若履约保证金不足以弥补校方损失的,中标单位还需承担校方所有损失的赔偿责任。</w:t>
      </w:r>
    </w:p>
    <w:p w14:paraId="05E0D52A">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b/>
          <w:bCs/>
          <w:i w:val="0"/>
          <w:iCs w:val="0"/>
          <w:snapToGrid w:val="0"/>
          <w:color w:val="auto"/>
          <w:sz w:val="24"/>
          <w:szCs w:val="24"/>
          <w:highlight w:val="none"/>
          <w:lang w:val="en-US" w:eastAsia="zh-CN"/>
        </w:rPr>
        <w:t>★</w:t>
      </w:r>
      <w:r>
        <w:rPr>
          <w:rFonts w:hint="eastAsia"/>
          <w:snapToGrid w:val="0"/>
          <w:color w:val="auto"/>
          <w:sz w:val="24"/>
          <w:szCs w:val="24"/>
          <w:highlight w:val="none"/>
          <w:lang w:val="en-US" w:eastAsia="zh-CN"/>
        </w:rPr>
        <w:t>4.其他要求：</w:t>
      </w:r>
    </w:p>
    <w:p w14:paraId="539A599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t>（1）虚拟仿真交互类的三维全景视频教学资源定制开发标准：</w:t>
      </w:r>
    </w:p>
    <w:p w14:paraId="7FF6808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①投标方须与采购方详细沟通资源定制开发的计划、实施步骤、内容、修改反馈，以满足采购方的具体教学需求为目标，由采购方确认开发方案。</w:t>
      </w:r>
    </w:p>
    <w:p w14:paraId="705B01C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②投标方须安排在思想政治教育教学领域中有影响力的高校专家参与，对定制开发的主题内容进行严格专业审核，出具审核证明书。</w:t>
      </w:r>
    </w:p>
    <w:p w14:paraId="553F945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③投标方每制作完成一个虚拟仿真交互类的三维全景视频后，应按照采购方要求试用或调整修改，直至达到采购方定制开发标准与要求。</w:t>
      </w:r>
    </w:p>
    <w:p w14:paraId="121CE79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④定制开发的资源版权属采购方与投标方共有。未经一方同意，另一方不得用于商业用途。后期获得的商业收益按照双方商议后确定。</w:t>
      </w:r>
    </w:p>
    <w:p w14:paraId="6324CFC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t>（2）思政课教育教学平台（含中职、高职）使用标准：</w:t>
      </w:r>
    </w:p>
    <w:p w14:paraId="0CB25C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①从验收文件签订起，中标方提供平台云端部署3年免费升级及使用服务，并出具服务承诺书。3年后软件实时升级、服务器及网络等费用，由双方商议后确定。</w:t>
      </w:r>
    </w:p>
    <w:p w14:paraId="0EE6F8C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②投标方提供的平台使用登录账号、密码数量，须满足采购方单位在校全体师生使用。</w:t>
      </w:r>
    </w:p>
    <w:p w14:paraId="36A7BC4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t>（3）验收标准：</w:t>
      </w:r>
    </w:p>
    <w:p w14:paraId="2FB7682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①虚拟仿真交互类的三维全景视频教学资源定制开发、制作全部完成后，由中标方安装至采购方全部VR眼镜中，同时向采购方提供所开发资源的PC版教学资源及版权证明资料等。调试工作全部完成后，由采购方对定制开发资源进行使用性能方面的验收及确认。所有性能应符合中标方应答文件中承诺的技术指标。验收合格后，采购方及中标方双方共同签署验收文件。</w:t>
      </w:r>
    </w:p>
    <w:p w14:paraId="57970BD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②思政课教育教学平台（含中职、高职），由采购方根据中标方提供的账号，组织人员登录使用，确认平台内容符合与投标人应答文件中承诺的功能等保持一致后，采购方及中标方双方共同签署验收文件。</w:t>
      </w:r>
    </w:p>
    <w:p w14:paraId="3F90EB44">
      <w:pPr>
        <w:pStyle w:val="36"/>
        <w:keepNext w:val="0"/>
        <w:keepLines w:val="0"/>
        <w:pageBreakBefore/>
        <w:widowControl w:val="0"/>
        <w:kinsoku/>
        <w:wordWrap w:val="0"/>
        <w:overflowPunct/>
        <w:topLinePunct w:val="0"/>
        <w:autoSpaceDE/>
        <w:autoSpaceDN/>
        <w:bidi w:val="0"/>
        <w:adjustRightInd/>
        <w:snapToGrid/>
        <w:spacing w:line="240" w:lineRule="auto"/>
        <w:ind w:firstLine="0"/>
        <w:textAlignment w:val="auto"/>
        <w:rPr>
          <w:rFonts w:hint="eastAsia"/>
          <w:b/>
          <w:bCs/>
          <w:snapToGrid w:val="0"/>
          <w:color w:val="auto"/>
          <w:sz w:val="24"/>
          <w:szCs w:val="24"/>
          <w:highlight w:val="none"/>
          <w:lang w:val="en-US" w:eastAsia="zh-CN"/>
        </w:rPr>
      </w:pPr>
      <w:bookmarkStart w:id="447" w:name="_Toc10153"/>
      <w:r>
        <w:rPr>
          <w:rStyle w:val="41"/>
          <w:rFonts w:hint="eastAsia"/>
          <w:sz w:val="28"/>
          <w:szCs w:val="28"/>
          <w:lang w:val="en-US" w:eastAsia="zh-CN"/>
        </w:rPr>
        <w:t>三、技术要求</w:t>
      </w:r>
      <w:bookmarkEnd w:id="447"/>
    </w:p>
    <w:p w14:paraId="4ABFACF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sz w:val="28"/>
          <w:szCs w:val="28"/>
          <w:lang w:val="zh-TW" w:eastAsia="zh-TW"/>
        </w:rPr>
      </w:pPr>
      <w:r>
        <w:rPr>
          <w:rFonts w:hint="eastAsia" w:ascii="宋体" w:hAnsi="宋体" w:eastAsia="宋体" w:cs="宋体"/>
          <w:sz w:val="28"/>
          <w:szCs w:val="28"/>
          <w:lang w:val="zh-TW"/>
        </w:rPr>
        <w:t>拟定制开发资源明细表</w:t>
      </w:r>
    </w:p>
    <w:tbl>
      <w:tblPr>
        <w:tblStyle w:val="29"/>
        <w:tblpPr w:leftFromText="180" w:rightFromText="180" w:vertAnchor="text" w:horzAnchor="page" w:tblpX="1878"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60"/>
        <w:gridCol w:w="5093"/>
        <w:gridCol w:w="735"/>
        <w:gridCol w:w="787"/>
      </w:tblGrid>
      <w:tr w14:paraId="1A46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6" w:type="dxa"/>
            <w:vAlign w:val="center"/>
          </w:tcPr>
          <w:p w14:paraId="46B88D9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val="zh-TW"/>
              </w:rPr>
            </w:pPr>
            <w:r>
              <w:rPr>
                <w:rFonts w:hint="eastAsia" w:ascii="宋体" w:hAnsi="宋体" w:eastAsia="宋体" w:cs="宋体"/>
                <w:b/>
                <w:bCs/>
                <w:sz w:val="21"/>
                <w:szCs w:val="21"/>
                <w:lang w:val="zh-TW"/>
              </w:rPr>
              <w:t>序号</w:t>
            </w:r>
          </w:p>
        </w:tc>
        <w:tc>
          <w:tcPr>
            <w:tcW w:w="960" w:type="dxa"/>
            <w:vAlign w:val="center"/>
          </w:tcPr>
          <w:p w14:paraId="04E5BFC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val="zh-TW"/>
              </w:rPr>
            </w:pPr>
            <w:r>
              <w:rPr>
                <w:rFonts w:hint="eastAsia" w:ascii="宋体" w:hAnsi="宋体" w:eastAsia="宋体" w:cs="宋体"/>
                <w:b/>
                <w:bCs/>
                <w:sz w:val="21"/>
                <w:szCs w:val="21"/>
                <w:lang w:val="zh-TW"/>
              </w:rPr>
              <w:t>名称</w:t>
            </w:r>
          </w:p>
        </w:tc>
        <w:tc>
          <w:tcPr>
            <w:tcW w:w="5093" w:type="dxa"/>
            <w:vAlign w:val="center"/>
          </w:tcPr>
          <w:p w14:paraId="7C02ACB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val="zh-TW" w:eastAsia="zh-CN"/>
              </w:rPr>
            </w:pPr>
            <w:r>
              <w:rPr>
                <w:rFonts w:hint="eastAsia" w:ascii="宋体" w:hAnsi="宋体" w:eastAsia="宋体" w:cs="宋体"/>
                <w:b/>
                <w:bCs/>
                <w:sz w:val="21"/>
                <w:szCs w:val="21"/>
                <w:lang w:val="zh-TW"/>
              </w:rPr>
              <w:t>技术</w:t>
            </w:r>
            <w:r>
              <w:rPr>
                <w:rFonts w:hint="eastAsia" w:ascii="宋体" w:hAnsi="宋体" w:eastAsia="宋体" w:cs="宋体"/>
                <w:b/>
                <w:bCs/>
                <w:sz w:val="21"/>
                <w:szCs w:val="21"/>
                <w:lang w:val="en-US" w:eastAsia="zh-CN"/>
              </w:rPr>
              <w:t>要求</w:t>
            </w:r>
          </w:p>
        </w:tc>
        <w:tc>
          <w:tcPr>
            <w:tcW w:w="735" w:type="dxa"/>
            <w:vAlign w:val="center"/>
          </w:tcPr>
          <w:p w14:paraId="1FC7A7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val="zh-TW"/>
              </w:rPr>
            </w:pPr>
            <w:r>
              <w:rPr>
                <w:rFonts w:hint="eastAsia" w:ascii="宋体" w:hAnsi="宋体" w:eastAsia="宋体" w:cs="宋体"/>
                <w:b/>
                <w:bCs/>
                <w:sz w:val="21"/>
                <w:szCs w:val="21"/>
                <w:lang w:val="zh-TW"/>
              </w:rPr>
              <w:t>数量</w:t>
            </w:r>
          </w:p>
        </w:tc>
        <w:tc>
          <w:tcPr>
            <w:tcW w:w="787" w:type="dxa"/>
            <w:vAlign w:val="center"/>
          </w:tcPr>
          <w:p w14:paraId="0DCF19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r>
      <w:tr w14:paraId="64A2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shd w:val="clear" w:color="auto" w:fill="auto"/>
            <w:vAlign w:val="center"/>
          </w:tcPr>
          <w:p w14:paraId="7795AA7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val="zh-TW" w:bidi="ar"/>
              </w:rPr>
            </w:pPr>
            <w:r>
              <w:rPr>
                <w:rFonts w:hint="eastAsia" w:ascii="宋体" w:hAnsi="宋体" w:eastAsia="宋体" w:cs="宋体"/>
                <w:kern w:val="0"/>
                <w:sz w:val="21"/>
                <w:szCs w:val="21"/>
                <w:lang w:bidi="ar"/>
              </w:rPr>
              <w:t>1</w:t>
            </w:r>
          </w:p>
        </w:tc>
        <w:tc>
          <w:tcPr>
            <w:tcW w:w="960" w:type="dxa"/>
            <w:shd w:val="clear" w:color="auto" w:fill="auto"/>
            <w:vAlign w:val="center"/>
          </w:tcPr>
          <w:p w14:paraId="0767399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虚拟仿真交互类的三维全景视频教学资源（含PC版）</w:t>
            </w:r>
          </w:p>
        </w:tc>
        <w:tc>
          <w:tcPr>
            <w:tcW w:w="5093" w:type="dxa"/>
            <w:shd w:val="clear" w:color="auto" w:fill="auto"/>
          </w:tcPr>
          <w:p w14:paraId="67A2DE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FF0000"/>
                <w:kern w:val="0"/>
                <w:sz w:val="21"/>
                <w:szCs w:val="21"/>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1.重</w:t>
            </w:r>
            <w:r>
              <w:rPr>
                <w:rFonts w:hint="eastAsia" w:ascii="宋体" w:hAnsi="宋体" w:eastAsia="宋体" w:cs="宋体"/>
                <w:kern w:val="0"/>
                <w:sz w:val="21"/>
                <w:szCs w:val="21"/>
                <w:lang w:bidi="ar"/>
              </w:rPr>
              <w:t>要参数</w:t>
            </w:r>
            <w:r>
              <w:rPr>
                <w:rFonts w:hint="eastAsia" w:ascii="宋体" w:hAnsi="宋体" w:eastAsia="宋体" w:cs="宋体"/>
                <w:color w:val="FF0000"/>
                <w:kern w:val="0"/>
                <w:sz w:val="21"/>
                <w:szCs w:val="21"/>
                <w:lang w:bidi="ar"/>
              </w:rPr>
              <w:t>（保证定制开发资源与采购方已有VR眼镜配套安装使用，服务于采购方单位思政课“沉浸式”教学需要。）</w:t>
            </w:r>
          </w:p>
          <w:p w14:paraId="4A273B4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①用Maya、3Dmax、SubstancePainter等软件精确还原现实中的场景、物体、角色等模型，并为其设置相应的物理特性；</w:t>
            </w:r>
          </w:p>
          <w:p w14:paraId="5E18F33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②场景模型不低于100万面，物体模型不低于1000面，角色模型不低于5万面；</w:t>
            </w:r>
          </w:p>
          <w:p w14:paraId="7E36BA0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③场景及角色贴图不低于4096像素；</w:t>
            </w:r>
          </w:p>
          <w:p w14:paraId="148C6C5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④通过Unity实现超写实实时渲染场景，场景逼真，特效震撼生动、动画流畅自然；</w:t>
            </w:r>
          </w:p>
          <w:p w14:paraId="6A25744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eastAsia="仿宋"/>
                <w:kern w:val="0"/>
                <w:szCs w:val="21"/>
                <w:highlight w:val="none"/>
                <w:lang w:bidi="ar"/>
              </w:rPr>
              <w:t>▲</w:t>
            </w:r>
            <w:r>
              <w:rPr>
                <w:rFonts w:hint="eastAsia" w:ascii="宋体" w:hAnsi="宋体" w:eastAsia="宋体" w:cs="宋体"/>
                <w:kern w:val="0"/>
                <w:sz w:val="21"/>
                <w:szCs w:val="21"/>
                <w:highlight w:val="none"/>
                <w:lang w:bidi="ar"/>
              </w:rPr>
              <w:t>⑤通</w:t>
            </w:r>
            <w:r>
              <w:rPr>
                <w:rFonts w:hint="eastAsia" w:ascii="宋体" w:hAnsi="宋体" w:eastAsia="宋体" w:cs="宋体"/>
                <w:kern w:val="0"/>
                <w:sz w:val="21"/>
                <w:szCs w:val="21"/>
                <w:lang w:bidi="ar"/>
              </w:rPr>
              <w:t>过Unity设计模拟算法和程序，比如物理模拟、渲染、碰撞、动力学等；</w:t>
            </w:r>
          </w:p>
          <w:p w14:paraId="39EA17B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2.开发软件：</w:t>
            </w:r>
          </w:p>
          <w:p w14:paraId="649BA39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3DMax、Maya、Photoshop、Unity、SubstancePainter、Quixel、SpeedTree、Adobe Premiere、Visual Studio、WorldMachine、WorldCreator等。</w:t>
            </w:r>
          </w:p>
          <w:p w14:paraId="2B24A83D">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3.同时提供PC版资源。</w:t>
            </w:r>
          </w:p>
          <w:p w14:paraId="6792861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4.参考主题内容：</w:t>
            </w:r>
          </w:p>
          <w:p w14:paraId="0E6F3937">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（1）社会主义在中国的确立与探索；</w:t>
            </w:r>
          </w:p>
          <w:p w14:paraId="57CC5B65">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（2）中国特色社会主义的开创和发展；</w:t>
            </w:r>
          </w:p>
          <w:p w14:paraId="7661A1A4">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（3）中国特色社会主义进入新时代；</w:t>
            </w:r>
          </w:p>
          <w:p w14:paraId="3912AD23">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（4）社会主义基本经济制度；</w:t>
            </w:r>
          </w:p>
          <w:p w14:paraId="547C3D7A">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（5）推动高质量发展</w:t>
            </w:r>
          </w:p>
          <w:p w14:paraId="5A97FE33">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（6）推动形成全面对外开放新局面；</w:t>
            </w:r>
          </w:p>
          <w:p w14:paraId="0778895B">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（7）党是最高政治领导力量；</w:t>
            </w:r>
          </w:p>
          <w:p w14:paraId="7156124F">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（8）用制度体系保证人民当家作主；</w:t>
            </w:r>
          </w:p>
          <w:p w14:paraId="7CC8CA7C">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（9）发展社会主义民主政治；</w:t>
            </w:r>
          </w:p>
          <w:p w14:paraId="62C7D73C">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（10）文化自信与文明交流互鉴；</w:t>
            </w:r>
          </w:p>
          <w:p w14:paraId="6E46F4E2">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（11）以社会主义核心价值观引领文化建设；</w:t>
            </w:r>
          </w:p>
          <w:p w14:paraId="718994D1">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（12）增加民生福祉；</w:t>
            </w:r>
          </w:p>
          <w:p w14:paraId="79A1D64D">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（13）社会治理与总体国家安全观；</w:t>
            </w:r>
          </w:p>
          <w:p w14:paraId="1773C329">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（14）推进绿色发展；</w:t>
            </w:r>
          </w:p>
          <w:p w14:paraId="259EA2C4">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（15）建设美丽中国。</w:t>
            </w:r>
          </w:p>
          <w:p w14:paraId="1A987087">
            <w:pPr>
              <w:pStyle w:val="13"/>
              <w:keepNext w:val="0"/>
              <w:keepLines w:val="0"/>
              <w:pageBreakBefore w:val="0"/>
              <w:kinsoku/>
              <w:wordWrap/>
              <w:overflowPunct/>
              <w:topLinePunct w:val="0"/>
              <w:autoSpaceDE/>
              <w:autoSpaceDN/>
              <w:bidi w:val="0"/>
              <w:adjustRightInd/>
              <w:snapToGrid/>
              <w:spacing w:after="0" w:line="240" w:lineRule="auto"/>
              <w:ind w:firstLine="0" w:firstLineChars="0"/>
              <w:jc w:val="left"/>
              <w:rPr>
                <w:rFonts w:hint="eastAsia" w:ascii="宋体" w:hAnsi="宋体" w:eastAsia="宋体" w:cs="宋体"/>
                <w:sz w:val="21"/>
                <w:szCs w:val="21"/>
                <w:lang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投标人在投标</w:t>
            </w:r>
            <w:r>
              <w:rPr>
                <w:rFonts w:hint="eastAsia" w:ascii="宋体" w:hAnsi="宋体" w:eastAsia="宋体" w:cs="宋体"/>
                <w:kern w:val="0"/>
                <w:sz w:val="21"/>
                <w:szCs w:val="21"/>
                <w:highlight w:val="none"/>
                <w:lang w:val="en-US" w:eastAsia="zh-CN" w:bidi="ar"/>
              </w:rPr>
              <w:t>时</w:t>
            </w:r>
            <w:r>
              <w:rPr>
                <w:rFonts w:hint="eastAsia" w:ascii="宋体" w:hAnsi="宋体" w:eastAsia="宋体" w:cs="宋体"/>
                <w:kern w:val="0"/>
                <w:sz w:val="21"/>
                <w:szCs w:val="21"/>
                <w:highlight w:val="none"/>
                <w:lang w:bidi="ar"/>
              </w:rPr>
              <w:t>提供承诺书，承诺在项目验收前提供本项目的版权证书及承诺书。</w:t>
            </w:r>
          </w:p>
        </w:tc>
        <w:tc>
          <w:tcPr>
            <w:tcW w:w="735" w:type="dxa"/>
            <w:shd w:val="clear" w:color="auto" w:fill="auto"/>
            <w:vAlign w:val="center"/>
          </w:tcPr>
          <w:p w14:paraId="21DB4634">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val="zh-TW" w:bidi="ar"/>
              </w:rPr>
            </w:pPr>
            <w:r>
              <w:rPr>
                <w:rFonts w:hint="eastAsia" w:ascii="宋体" w:hAnsi="宋体" w:eastAsia="宋体" w:cs="宋体"/>
                <w:sz w:val="21"/>
                <w:szCs w:val="21"/>
              </w:rPr>
              <w:t>1</w:t>
            </w:r>
          </w:p>
        </w:tc>
        <w:tc>
          <w:tcPr>
            <w:tcW w:w="787" w:type="dxa"/>
            <w:shd w:val="clear" w:color="auto" w:fill="auto"/>
            <w:vAlign w:val="center"/>
          </w:tcPr>
          <w:p w14:paraId="78D3079D">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r>
      <w:tr w14:paraId="3990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shd w:val="clear" w:color="auto" w:fill="auto"/>
            <w:vAlign w:val="center"/>
          </w:tcPr>
          <w:p w14:paraId="2639C4E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960" w:type="dxa"/>
            <w:shd w:val="clear" w:color="auto" w:fill="auto"/>
            <w:vAlign w:val="center"/>
          </w:tcPr>
          <w:p w14:paraId="1142A06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思政课教育教学平台（含中职、高职）</w:t>
            </w:r>
          </w:p>
        </w:tc>
        <w:tc>
          <w:tcPr>
            <w:tcW w:w="5093" w:type="dxa"/>
            <w:shd w:val="clear" w:color="auto" w:fill="auto"/>
          </w:tcPr>
          <w:p w14:paraId="12DAEF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1.基础平台功能</w:t>
            </w:r>
          </w:p>
          <w:p w14:paraId="7412ACB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①为学校思想政治工作、教师备授课、学生学习，提供资源、授课、考核、实践等功能为一体的“一站式”服务平台。</w:t>
            </w:r>
          </w:p>
          <w:p w14:paraId="0B7858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②领导、老师、学生和管理员可通过电脑或手机APP分角色登陆平台，让使用者从专业、丰富的资源平台上查看、观看、体验、下载需要的教学资源。老师可结合教材内容和教学进度，通过平台提供的课程中心进行备授课，也可通过作业中心和实践中心给学生下发学习作业或实践任务，学生接收到相应的学习任务或实践任务后可按要求作答、提交，最后形成学生的平时成绩和实践成绩。</w:t>
            </w:r>
          </w:p>
          <w:p w14:paraId="22E5EC5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（投标人需提供针对此项的功能截图</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w:t>
            </w:r>
          </w:p>
          <w:p w14:paraId="69A8F17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▲③支持管理员、校领导、老师、学生使用电脑和手机APP的分类登录、资源使用、权限划分、统计查询等。</w:t>
            </w:r>
          </w:p>
          <w:p w14:paraId="11453C7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（投标人需提供针对此项的功能截图</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w:t>
            </w:r>
          </w:p>
          <w:p w14:paraId="282DD5A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2.每日思政</w:t>
            </w:r>
          </w:p>
          <w:p w14:paraId="016A76D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功能要求：该功能分为学生端、教师端和领导端。</w:t>
            </w:r>
          </w:p>
          <w:p w14:paraId="6C5E8DD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教师根据时事热点、重大事件等内容编辑相应的思政主题，选择班级下发，学生端收到信息后在教师开放的时间段内撰写自己的看法、论点或制作视频、图文、海报等，提交到平台上。教师在约定提交的时间到期后，进行审阅，审阅过程中发现优秀的作品推送到领导端，领导再进行审阅，确认是优秀的作品可分享到首页每日思政展览区供全体师生浏览学习。</w:t>
            </w:r>
          </w:p>
          <w:p w14:paraId="0273781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学生端自我发表业务流程：学生若对时事热点、重大事件有自己的论述或看法，可以点击自我发表页面，自己编辑主题和内容，然后选择所在班级的某一教师进行推送，推送后教师进行审阅，同样教师认为是优秀的作品，可推送给领导端审阅，领导审阅确认后也可分享到平台首页的每日思政。</w:t>
            </w:r>
          </w:p>
          <w:p w14:paraId="22D32F2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教师端自我发表业务流程：若对时事热点、重大事件有自己的论述或看法，可以点击自我发表页面，自己编辑主题和内容，提交到领导端审阅，领导审阅确认后也可分享到平台首页的每日思政。</w:t>
            </w:r>
          </w:p>
          <w:p w14:paraId="1AC3A28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3.思政课程教学资源</w:t>
            </w:r>
          </w:p>
          <w:p w14:paraId="5E3E5B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含《中国特色社会主义》、《心理健康与职业生涯》、《哲学与人生》、《职业道德与法治》、《中华民族共同体概论》、《毛泽东思想和中国特色社会主义理论体系概论》、《思想道德与法治》、《习近平新时代中国特色社会主义思想概论》等课程的课件、视频、习题等相关资料。课件资源以章或专题为单位，利用多媒体制作的PPT课件，包括重点、难点等。视频资源以章或专题为单位。每章或专题分别配备测试题及答案，测试题题型为客观题（单选、多选、判断），包括题干、选项及答案。</w:t>
            </w:r>
          </w:p>
          <w:p w14:paraId="195483A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FF0000"/>
                <w:kern w:val="0"/>
                <w:sz w:val="21"/>
                <w:szCs w:val="21"/>
                <w:lang w:bidi="ar"/>
              </w:rPr>
            </w:pPr>
            <w:r>
              <w:rPr>
                <w:rFonts w:hint="eastAsia" w:eastAsia="仿宋"/>
                <w:kern w:val="0"/>
                <w:szCs w:val="21"/>
                <w:lang w:bidi="ar"/>
              </w:rPr>
              <w:t>▲</w:t>
            </w:r>
            <w:r>
              <w:rPr>
                <w:rFonts w:hint="eastAsia" w:ascii="宋体" w:hAnsi="宋体" w:eastAsia="宋体" w:cs="宋体"/>
                <w:kern w:val="0"/>
                <w:sz w:val="21"/>
                <w:szCs w:val="21"/>
                <w:lang w:bidi="ar"/>
              </w:rPr>
              <w:t>4.全景思政资源</w:t>
            </w:r>
            <w:r>
              <w:rPr>
                <w:rFonts w:hint="eastAsia" w:ascii="宋体" w:hAnsi="宋体" w:eastAsia="宋体" w:cs="宋体"/>
                <w:color w:val="FF0000"/>
                <w:kern w:val="0"/>
                <w:sz w:val="21"/>
                <w:szCs w:val="21"/>
                <w:lang w:bidi="ar"/>
              </w:rPr>
              <w:t>（主要服务于采购方单位“行走的思政课”实践教学需要</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kern w:val="0"/>
                <w:sz w:val="21"/>
                <w:szCs w:val="21"/>
                <w:lang w:bidi="ar"/>
              </w:rPr>
              <w:t>）</w:t>
            </w:r>
          </w:p>
          <w:p w14:paraId="5A4AFEF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eastAsia="仿宋"/>
                <w:kern w:val="0"/>
                <w:szCs w:val="21"/>
                <w:lang w:bidi="ar"/>
              </w:rPr>
              <w:t>▲</w:t>
            </w:r>
            <w:r>
              <w:rPr>
                <w:rFonts w:hint="eastAsia" w:ascii="宋体" w:hAnsi="宋体" w:eastAsia="宋体" w:cs="宋体"/>
                <w:kern w:val="0"/>
                <w:sz w:val="21"/>
                <w:szCs w:val="21"/>
                <w:lang w:bidi="ar"/>
              </w:rPr>
              <w:t>①软件功能</w:t>
            </w:r>
            <w:r>
              <w:rPr>
                <w:rFonts w:hint="eastAsia" w:ascii="宋体" w:hAnsi="宋体" w:eastAsia="宋体" w:cs="宋体"/>
                <w:kern w:val="0"/>
                <w:sz w:val="21"/>
                <w:szCs w:val="21"/>
                <w:highlight w:val="none"/>
                <w:lang w:bidi="ar"/>
              </w:rPr>
              <w:t>（投标人需提供针对此项的功能截图）</w:t>
            </w:r>
          </w:p>
          <w:p w14:paraId="0A2377F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A.720度实景展示国内主要的爱国主义教育示范基地、百家红色旅游经典景区景点；</w:t>
            </w:r>
          </w:p>
          <w:p w14:paraId="0DBED1D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B.全景资源包含：辛亥革命时期、建党时期、大革命时期、土地革命时期、抗日战争时期、解放战争时期、人物楷模、奋斗崛起、改革开放、民族之魂、专题展示、其他史料12大篇章；</w:t>
            </w:r>
          </w:p>
          <w:p w14:paraId="6C860AE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C.通过全景展示可以让学生更深入地进行体验参观全国各地的红色景点，不用进行实地参观就可以体验到想去和想看的参观景点，提高思政实践教学效率；</w:t>
            </w:r>
          </w:p>
          <w:p w14:paraId="6D5C8D1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D.除平台提供现有国内著名红色旅游景区外，同时支持按照用户需求协商后，额外进行定制开发其所在区域的红色旅游景区；</w:t>
            </w:r>
          </w:p>
          <w:p w14:paraId="129E8C0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E.要求每个红色旅游景区支持漫游模式游览，自带景区介绍、专业讲解员的音频讲解、讲解词查看；</w:t>
            </w:r>
          </w:p>
          <w:p w14:paraId="676F5B3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F.该数据库可与校园网连接，学生与老师可在校园网站连接，随时随地观看、体验、学习。</w:t>
            </w:r>
          </w:p>
          <w:p w14:paraId="360BF3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G.每个资源都配套有：</w:t>
            </w:r>
          </w:p>
          <w:p w14:paraId="038756C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a.教学导引：教学目的；知识要点；教学思路；教学方法；参考文献；布置作业等。</w:t>
            </w:r>
          </w:p>
          <w:p w14:paraId="7A18B52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b.学习导引：学习目标；知识要点；学习方法；文献阅读；习题作答等。</w:t>
            </w:r>
          </w:p>
          <w:p w14:paraId="20EAA7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c.实践任务书：梳理思政课教学实践活动的主题类型，提供两个以上的实践任务书模版。每个模版包含：主题类别，结合课本的哪个章节使用。活动名称，活动主题，活动背景，活动目标，活动时间，活动地点，参加人员，参加班级，活动内容，实践作业等。</w:t>
            </w:r>
          </w:p>
          <w:p w14:paraId="65270AF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5.该平台从验收文件签订起，投标方提供平台云端部署3年免费升级及使用服务。3年后软件实时升级、服务器及网络等费用，由采购方单位与投标方双方商议确定。</w:t>
            </w:r>
          </w:p>
          <w:p w14:paraId="25DBBE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6.投标方提供的平台使用登录账号、密码数量，须满足采购方单位在校全体师生能够在电脑端与手机APP使用。</w:t>
            </w:r>
          </w:p>
          <w:p w14:paraId="7A32C27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7.</w:t>
            </w:r>
            <w:r>
              <w:rPr>
                <w:rFonts w:hint="eastAsia" w:ascii="宋体" w:hAnsi="宋体" w:eastAsia="宋体" w:cs="宋体"/>
                <w:kern w:val="0"/>
                <w:sz w:val="21"/>
                <w:szCs w:val="21"/>
                <w:highlight w:val="none"/>
                <w:lang w:bidi="ar"/>
              </w:rPr>
              <w:t>为保证投标产品</w:t>
            </w:r>
            <w:r>
              <w:rPr>
                <w:rFonts w:hint="eastAsia" w:cs="宋体"/>
                <w:kern w:val="0"/>
                <w:sz w:val="21"/>
                <w:szCs w:val="21"/>
                <w:highlight w:val="none"/>
                <w:lang w:val="en-US" w:eastAsia="zh-CN" w:bidi="ar"/>
              </w:rPr>
              <w:t>是</w:t>
            </w:r>
            <w:r>
              <w:rPr>
                <w:rFonts w:hint="eastAsia" w:ascii="宋体" w:hAnsi="宋体" w:eastAsia="宋体" w:cs="宋体"/>
                <w:kern w:val="0"/>
                <w:sz w:val="21"/>
                <w:szCs w:val="21"/>
                <w:highlight w:val="none"/>
                <w:lang w:bidi="ar"/>
              </w:rPr>
              <w:t>具有自主知识产权的正版产品，投标人需提供软件著作权证书并加盖</w:t>
            </w:r>
            <w:r>
              <w:rPr>
                <w:rFonts w:hint="eastAsia" w:ascii="宋体" w:hAnsi="宋体" w:eastAsia="宋体" w:cs="宋体"/>
                <w:kern w:val="0"/>
                <w:sz w:val="21"/>
                <w:szCs w:val="21"/>
                <w:highlight w:val="none"/>
                <w:lang w:val="en-US" w:eastAsia="zh-CN" w:bidi="ar"/>
              </w:rPr>
              <w:t>开发商</w:t>
            </w:r>
            <w:r>
              <w:rPr>
                <w:rFonts w:hint="eastAsia" w:ascii="宋体" w:hAnsi="宋体" w:eastAsia="宋体" w:cs="宋体"/>
                <w:kern w:val="0"/>
                <w:sz w:val="21"/>
                <w:szCs w:val="21"/>
                <w:highlight w:val="none"/>
                <w:lang w:bidi="ar"/>
              </w:rPr>
              <w:t>公章；提供软件测试报告加盖</w:t>
            </w:r>
            <w:r>
              <w:rPr>
                <w:rFonts w:hint="eastAsia" w:ascii="宋体" w:hAnsi="宋体" w:eastAsia="宋体" w:cs="宋体"/>
                <w:kern w:val="0"/>
                <w:sz w:val="21"/>
                <w:szCs w:val="21"/>
                <w:highlight w:val="none"/>
                <w:lang w:val="en-US" w:eastAsia="zh-CN" w:bidi="ar"/>
              </w:rPr>
              <w:t>开发商</w:t>
            </w:r>
            <w:r>
              <w:rPr>
                <w:rFonts w:hint="eastAsia" w:ascii="宋体" w:hAnsi="宋体" w:eastAsia="宋体" w:cs="宋体"/>
                <w:kern w:val="0"/>
                <w:sz w:val="21"/>
                <w:szCs w:val="21"/>
                <w:highlight w:val="none"/>
                <w:lang w:bidi="ar"/>
              </w:rPr>
              <w:t>公章；</w:t>
            </w:r>
          </w:p>
          <w:p w14:paraId="4410D09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8.</w:t>
            </w:r>
            <w:r>
              <w:rPr>
                <w:rFonts w:hint="eastAsia" w:ascii="宋体" w:hAnsi="宋体" w:eastAsia="宋体" w:cs="宋体"/>
                <w:kern w:val="0"/>
                <w:sz w:val="21"/>
                <w:szCs w:val="21"/>
                <w:highlight w:val="none"/>
                <w:lang w:bidi="ar"/>
              </w:rPr>
              <w:t>提供</w:t>
            </w:r>
            <w:r>
              <w:rPr>
                <w:rFonts w:hint="eastAsia" w:ascii="宋体" w:hAnsi="宋体" w:eastAsia="宋体" w:cs="宋体"/>
                <w:kern w:val="0"/>
                <w:sz w:val="21"/>
                <w:szCs w:val="21"/>
                <w:highlight w:val="none"/>
                <w:lang w:val="en-US" w:eastAsia="zh-CN" w:bidi="ar"/>
              </w:rPr>
              <w:t>开发商</w:t>
            </w:r>
            <w:r>
              <w:rPr>
                <w:rFonts w:hint="eastAsia" w:ascii="宋体" w:hAnsi="宋体" w:eastAsia="宋体" w:cs="宋体"/>
                <w:kern w:val="0"/>
                <w:sz w:val="21"/>
                <w:szCs w:val="21"/>
                <w:highlight w:val="none"/>
                <w:lang w:bidi="ar"/>
              </w:rPr>
              <w:t>针对本项目的售后服务承诺书</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承诺书内容需包含针对本项目的具体服务条款（如响应时间、保修范围等）</w:t>
            </w:r>
            <w:r>
              <w:rPr>
                <w:rFonts w:hint="eastAsia" w:ascii="宋体" w:hAnsi="宋体" w:eastAsia="宋体" w:cs="宋体"/>
                <w:kern w:val="0"/>
                <w:sz w:val="21"/>
                <w:szCs w:val="21"/>
                <w:highlight w:val="none"/>
                <w:lang w:val="en-US" w:eastAsia="zh-CN" w:bidi="ar"/>
              </w:rPr>
              <w:t>并需在承诺书中明确与经销商的权责关系</w:t>
            </w:r>
            <w:r>
              <w:rPr>
                <w:rFonts w:hint="eastAsia" w:ascii="宋体" w:hAnsi="宋体" w:eastAsia="宋体" w:cs="宋体"/>
                <w:kern w:val="0"/>
                <w:sz w:val="21"/>
                <w:szCs w:val="21"/>
                <w:highlight w:val="none"/>
                <w:lang w:bidi="ar"/>
              </w:rPr>
              <w:t>。</w:t>
            </w:r>
          </w:p>
        </w:tc>
        <w:tc>
          <w:tcPr>
            <w:tcW w:w="735" w:type="dxa"/>
            <w:shd w:val="clear" w:color="auto" w:fill="auto"/>
            <w:vAlign w:val="center"/>
          </w:tcPr>
          <w:p w14:paraId="3BF752E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w:t>
            </w:r>
          </w:p>
        </w:tc>
        <w:tc>
          <w:tcPr>
            <w:tcW w:w="787" w:type="dxa"/>
            <w:shd w:val="clear" w:color="auto" w:fill="auto"/>
            <w:vAlign w:val="center"/>
          </w:tcPr>
          <w:p w14:paraId="1A34E18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个</w:t>
            </w:r>
          </w:p>
        </w:tc>
      </w:tr>
      <w:bookmarkEnd w:id="444"/>
      <w:bookmarkEnd w:id="445"/>
    </w:tbl>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48" w:name="_Toc155185895"/>
      <w:bookmarkStart w:id="449" w:name="_Toc17715"/>
      <w:r>
        <w:rPr>
          <w:rFonts w:hint="eastAsia" w:ascii="宋体" w:hAnsi="宋体" w:eastAsia="宋体" w:cs="宋体"/>
          <w:b/>
          <w:bCs/>
          <w:color w:val="auto"/>
          <w:kern w:val="44"/>
          <w:sz w:val="36"/>
          <w:szCs w:val="36"/>
          <w:highlight w:val="none"/>
          <w:lang w:val="en-US" w:eastAsia="zh-CN" w:bidi="ar-SA"/>
        </w:rPr>
        <w:t>第四章 资格审查</w:t>
      </w:r>
      <w:bookmarkEnd w:id="448"/>
      <w:bookmarkEnd w:id="449"/>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color w:val="auto"/>
          <w:sz w:val="28"/>
          <w:szCs w:val="28"/>
          <w:highlight w:val="none"/>
          <w:lang w:val="zh-CN" w:eastAsia="zh-CN"/>
        </w:rPr>
      </w:pPr>
      <w:bookmarkStart w:id="450" w:name="_Toc31801"/>
      <w:r>
        <w:rPr>
          <w:rFonts w:hint="eastAsia"/>
          <w:color w:val="auto"/>
          <w:sz w:val="28"/>
          <w:szCs w:val="28"/>
          <w:highlight w:val="none"/>
          <w:lang w:val="en-US" w:eastAsia="zh-CN"/>
        </w:rPr>
        <w:t>一、资格审查程序</w:t>
      </w:r>
      <w:bookmarkEnd w:id="450"/>
      <w:r>
        <w:rPr>
          <w:rFonts w:hint="eastAsia"/>
          <w:color w:val="auto"/>
          <w:sz w:val="28"/>
          <w:szCs w:val="28"/>
          <w:highlight w:val="none"/>
          <w:lang w:val="en-US" w:eastAsia="zh-CN"/>
        </w:rPr>
        <w:t xml:space="preserve"> </w:t>
      </w:r>
    </w:p>
    <w:p w14:paraId="4E4090D3">
      <w:pPr>
        <w:pStyle w:val="36"/>
        <w:keepNext w:val="0"/>
        <w:keepLines w:val="0"/>
        <w:pageBreakBefore w:val="0"/>
        <w:widowControl w:val="0"/>
        <w:kinsoku/>
        <w:wordWrap w:val="0"/>
        <w:overflowPunct/>
        <w:topLinePunct w:val="0"/>
        <w:autoSpaceDE/>
        <w:autoSpaceDN/>
        <w:bidi w:val="0"/>
        <w:adjustRightInd/>
        <w:snapToGrid/>
        <w:spacing w:line="240" w:lineRule="auto"/>
        <w:ind w:firstLine="482"/>
        <w:textAlignment w:val="auto"/>
        <w:rPr>
          <w:rFonts w:hint="eastAsia"/>
          <w:color w:val="auto"/>
          <w:highlight w:val="none"/>
        </w:rPr>
      </w:pPr>
      <w:r>
        <w:rPr>
          <w:rFonts w:hint="eastAsia"/>
          <w:color w:val="auto"/>
          <w:highlight w:val="none"/>
          <w:lang w:val="en-US" w:eastAsia="zh-CN"/>
        </w:rPr>
        <w:t xml:space="preserve">1 开标结束后，采购人或采购代理机构将根据《资格审查要求》中的规定，对投标人进行资格审查，并形成资格审查结果。 </w:t>
      </w:r>
    </w:p>
    <w:p w14:paraId="62799CDE">
      <w:pPr>
        <w:pStyle w:val="36"/>
        <w:keepNext w:val="0"/>
        <w:keepLines w:val="0"/>
        <w:pageBreakBefore w:val="0"/>
        <w:widowControl w:val="0"/>
        <w:kinsoku/>
        <w:wordWrap w:val="0"/>
        <w:overflowPunct/>
        <w:topLinePunct w:val="0"/>
        <w:autoSpaceDE/>
        <w:autoSpaceDN/>
        <w:bidi w:val="0"/>
        <w:adjustRightInd/>
        <w:snapToGrid/>
        <w:spacing w:line="240" w:lineRule="auto"/>
        <w:ind w:firstLine="482"/>
        <w:textAlignment w:val="auto"/>
        <w:rPr>
          <w:rFonts w:hint="eastAsia"/>
          <w:color w:val="auto"/>
          <w:highlight w:val="none"/>
        </w:rPr>
      </w:pPr>
      <w:r>
        <w:rPr>
          <w:rFonts w:hint="default"/>
          <w:color w:val="auto"/>
          <w:highlight w:val="none"/>
          <w:lang w:val="en-US" w:eastAsia="zh-CN"/>
        </w:rPr>
        <w:t xml:space="preserve">2 </w:t>
      </w:r>
      <w:r>
        <w:rPr>
          <w:rFonts w:hint="eastAsia"/>
          <w:color w:val="auto"/>
          <w:highlight w:val="none"/>
          <w:lang w:val="en-US" w:eastAsia="zh-CN"/>
        </w:rPr>
        <w:t>投标人《资格证明文件》有任何一项不符合《资格审查要求》的，资格审查不合格，其</w:t>
      </w:r>
      <w:r>
        <w:rPr>
          <w:rFonts w:hint="eastAsia"/>
          <w:b/>
          <w:bCs/>
          <w:color w:val="auto"/>
          <w:highlight w:val="none"/>
          <w:lang w:val="en-US" w:eastAsia="zh-CN"/>
        </w:rPr>
        <w:t>投标无效</w:t>
      </w:r>
      <w:r>
        <w:rPr>
          <w:rFonts w:hint="eastAsia"/>
          <w:color w:val="auto"/>
          <w:highlight w:val="none"/>
          <w:lang w:val="en-US" w:eastAsia="zh-CN"/>
        </w:rPr>
        <w:t xml:space="preserve">。 </w:t>
      </w:r>
    </w:p>
    <w:p w14:paraId="37E914D8">
      <w:pPr>
        <w:pStyle w:val="36"/>
        <w:keepNext w:val="0"/>
        <w:keepLines w:val="0"/>
        <w:pageBreakBefore w:val="0"/>
        <w:widowControl w:val="0"/>
        <w:kinsoku/>
        <w:wordWrap w:val="0"/>
        <w:overflowPunct/>
        <w:topLinePunct w:val="0"/>
        <w:autoSpaceDE/>
        <w:autoSpaceDN/>
        <w:bidi w:val="0"/>
        <w:adjustRightInd/>
        <w:snapToGrid/>
        <w:spacing w:line="240" w:lineRule="auto"/>
        <w:ind w:firstLine="482"/>
        <w:textAlignment w:val="auto"/>
        <w:rPr>
          <w:rFonts w:hint="eastAsia"/>
          <w:color w:val="auto"/>
          <w:highlight w:val="none"/>
        </w:rPr>
      </w:pPr>
      <w:r>
        <w:rPr>
          <w:rFonts w:hint="eastAsia"/>
          <w:color w:val="auto"/>
          <w:highlight w:val="none"/>
          <w:lang w:val="en-US" w:eastAsia="zh-CN"/>
        </w:rPr>
        <w:t>3</w:t>
      </w:r>
      <w:r>
        <w:rPr>
          <w:rFonts w:hint="default"/>
          <w:color w:val="auto"/>
          <w:highlight w:val="none"/>
          <w:lang w:val="en-US" w:eastAsia="zh-CN"/>
        </w:rPr>
        <w:t xml:space="preserve"> </w:t>
      </w:r>
      <w:r>
        <w:rPr>
          <w:rFonts w:hint="eastAsia"/>
          <w:color w:val="auto"/>
          <w:highlight w:val="none"/>
          <w:lang w:val="en-US" w:eastAsia="zh-CN"/>
        </w:rPr>
        <w:t xml:space="preserve">资格审查合格的投标人不足 </w:t>
      </w:r>
      <w:r>
        <w:rPr>
          <w:rFonts w:hint="default"/>
          <w:color w:val="auto"/>
          <w:highlight w:val="none"/>
          <w:lang w:val="en-US" w:eastAsia="zh-CN"/>
        </w:rPr>
        <w:t xml:space="preserve">3 </w:t>
      </w:r>
      <w:r>
        <w:rPr>
          <w:rFonts w:hint="eastAsia"/>
          <w:color w:val="auto"/>
          <w:highlight w:val="none"/>
          <w:lang w:val="en-US" w:eastAsia="zh-CN"/>
        </w:rPr>
        <w:t xml:space="preserve">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20" w:leftChars="0" w:hanging="420" w:firstLineChars="0"/>
        <w:textAlignment w:val="auto"/>
        <w:rPr>
          <w:rFonts w:hint="eastAsia"/>
          <w:color w:val="auto"/>
          <w:sz w:val="28"/>
          <w:szCs w:val="28"/>
          <w:highlight w:val="none"/>
          <w:lang w:val="en-US" w:eastAsia="zh-CN"/>
        </w:rPr>
      </w:pPr>
      <w:bookmarkStart w:id="451" w:name="_Toc19754"/>
      <w:r>
        <w:rPr>
          <w:rFonts w:hint="eastAsia"/>
          <w:color w:val="auto"/>
          <w:sz w:val="28"/>
          <w:szCs w:val="28"/>
          <w:highlight w:val="none"/>
          <w:lang w:val="en-US" w:eastAsia="zh-CN"/>
        </w:rPr>
        <w:t>二、资格审查要求</w:t>
      </w:r>
      <w:bookmarkEnd w:id="451"/>
      <w:r>
        <w:rPr>
          <w:rFonts w:hint="eastAsia"/>
          <w:color w:val="auto"/>
          <w:sz w:val="28"/>
          <w:szCs w:val="28"/>
          <w:highlight w:val="none"/>
          <w:lang w:val="en-US" w:eastAsia="zh-CN"/>
        </w:rPr>
        <w:t xml:space="preserve"> </w:t>
      </w:r>
    </w:p>
    <w:tbl>
      <w:tblPr>
        <w:tblStyle w:val="29"/>
        <w:tblW w:w="6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57" w:type="dxa"/>
          <w:left w:w="108" w:type="dxa"/>
          <w:bottom w:w="57" w:type="dxa"/>
          <w:right w:w="108" w:type="dxa"/>
        </w:tblCellMar>
      </w:tblPr>
      <w:tblGrid>
        <w:gridCol w:w="818"/>
        <w:gridCol w:w="2374"/>
        <w:gridCol w:w="5242"/>
        <w:gridCol w:w="1867"/>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97" w:type="pct"/>
            <w:shd w:val="clear" w:color="auto" w:fill="auto"/>
            <w:vAlign w:val="center"/>
          </w:tcPr>
          <w:p w14:paraId="31F150F3">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序号</w:t>
            </w:r>
          </w:p>
        </w:tc>
        <w:tc>
          <w:tcPr>
            <w:tcW w:w="1152" w:type="pct"/>
            <w:shd w:val="clear" w:color="auto" w:fill="auto"/>
            <w:vAlign w:val="center"/>
          </w:tcPr>
          <w:p w14:paraId="29694278">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审查因素</w:t>
            </w:r>
          </w:p>
        </w:tc>
        <w:tc>
          <w:tcPr>
            <w:tcW w:w="2544" w:type="pct"/>
            <w:shd w:val="clear" w:color="auto" w:fill="auto"/>
            <w:vAlign w:val="center"/>
          </w:tcPr>
          <w:p w14:paraId="635BC09B">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审查内容</w:t>
            </w:r>
          </w:p>
        </w:tc>
        <w:tc>
          <w:tcPr>
            <w:tcW w:w="906" w:type="pct"/>
            <w:shd w:val="clear" w:color="auto" w:fill="auto"/>
            <w:vAlign w:val="center"/>
          </w:tcPr>
          <w:p w14:paraId="6075A15A">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34" w:hRule="atLeast"/>
          <w:jc w:val="center"/>
        </w:trPr>
        <w:tc>
          <w:tcPr>
            <w:tcW w:w="397" w:type="pct"/>
            <w:shd w:val="clear" w:color="auto" w:fill="auto"/>
            <w:vAlign w:val="center"/>
          </w:tcPr>
          <w:p w14:paraId="636EB3B4">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w:t>
            </w:r>
          </w:p>
        </w:tc>
        <w:tc>
          <w:tcPr>
            <w:tcW w:w="1152" w:type="pct"/>
            <w:shd w:val="clear" w:color="auto" w:fill="auto"/>
            <w:vAlign w:val="center"/>
          </w:tcPr>
          <w:p w14:paraId="4DBD5590">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满足《政府采购法》第二十二条规定</w:t>
            </w:r>
          </w:p>
        </w:tc>
        <w:tc>
          <w:tcPr>
            <w:tcW w:w="2544" w:type="pct"/>
            <w:shd w:val="clear" w:color="auto" w:fill="auto"/>
            <w:vAlign w:val="center"/>
          </w:tcPr>
          <w:p w14:paraId="215E0855">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具体规定见“第一章 招标公告”</w:t>
            </w:r>
          </w:p>
        </w:tc>
        <w:tc>
          <w:tcPr>
            <w:tcW w:w="906" w:type="pct"/>
            <w:shd w:val="clear" w:color="auto" w:fill="auto"/>
            <w:vAlign w:val="center"/>
          </w:tcPr>
          <w:p w14:paraId="24AF5599">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11" w:hRule="atLeast"/>
          <w:jc w:val="center"/>
        </w:trPr>
        <w:tc>
          <w:tcPr>
            <w:tcW w:w="397" w:type="pct"/>
            <w:shd w:val="clear" w:color="auto" w:fill="auto"/>
            <w:vAlign w:val="center"/>
          </w:tcPr>
          <w:p w14:paraId="1AF8CF7F">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1-1</w:t>
            </w:r>
          </w:p>
        </w:tc>
        <w:tc>
          <w:tcPr>
            <w:tcW w:w="1152" w:type="pct"/>
            <w:shd w:val="clear" w:color="auto" w:fill="auto"/>
            <w:vAlign w:val="center"/>
          </w:tcPr>
          <w:p w14:paraId="055CD5DC">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营业执照等证明文件</w:t>
            </w:r>
          </w:p>
        </w:tc>
        <w:tc>
          <w:tcPr>
            <w:tcW w:w="2544" w:type="pct"/>
            <w:shd w:val="clear" w:color="auto" w:fill="auto"/>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kern w:val="0"/>
                <w:sz w:val="21"/>
                <w:szCs w:val="21"/>
                <w:highlight w:val="none"/>
                <w:shd w:val="clear" w:color="auto" w:fill="auto"/>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kern w:val="0"/>
                <w:sz w:val="21"/>
                <w:szCs w:val="21"/>
                <w:highlight w:val="none"/>
                <w:shd w:val="clear" w:color="auto" w:fill="auto"/>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kern w:val="0"/>
                <w:sz w:val="21"/>
                <w:szCs w:val="21"/>
                <w:highlight w:val="none"/>
                <w:shd w:val="clear" w:color="auto" w:fill="auto"/>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kern w:val="0"/>
                <w:sz w:val="21"/>
                <w:szCs w:val="21"/>
                <w:highlight w:val="none"/>
                <w:shd w:val="clear" w:color="auto" w:fill="auto"/>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1"/>
                <w:szCs w:val="21"/>
                <w:highlight w:val="none"/>
                <w:shd w:val="clear" w:color="auto" w:fill="auto"/>
                <w:lang w:val="en-US" w:eastAsia="zh-CN"/>
              </w:rPr>
            </w:pPr>
            <w:r>
              <w:rPr>
                <w:rFonts w:hint="eastAsia" w:ascii="宋体" w:hAnsi="宋体" w:eastAsia="宋体" w:cs="宋体"/>
                <w:color w:val="auto"/>
                <w:spacing w:val="-11"/>
                <w:kern w:val="0"/>
                <w:sz w:val="21"/>
                <w:szCs w:val="21"/>
                <w:highlight w:val="none"/>
                <w:shd w:val="clear" w:color="auto" w:fill="auto"/>
                <w:lang w:val="en-US" w:eastAsia="zh-CN" w:bidi="ar"/>
              </w:rPr>
              <w:t>投标人是自然人的，应提供有效的自然人身份证明。</w:t>
            </w:r>
          </w:p>
        </w:tc>
        <w:tc>
          <w:tcPr>
            <w:tcW w:w="906" w:type="pct"/>
            <w:shd w:val="clear" w:color="auto" w:fill="auto"/>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800" w:hRule="atLeast"/>
          <w:jc w:val="center"/>
        </w:trPr>
        <w:tc>
          <w:tcPr>
            <w:tcW w:w="397" w:type="pct"/>
            <w:shd w:val="clear" w:color="auto" w:fill="auto"/>
            <w:vAlign w:val="center"/>
          </w:tcPr>
          <w:p w14:paraId="1B6B10C6">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1-2</w:t>
            </w:r>
          </w:p>
        </w:tc>
        <w:tc>
          <w:tcPr>
            <w:tcW w:w="1152" w:type="pct"/>
            <w:shd w:val="clear" w:color="auto" w:fill="auto"/>
            <w:vAlign w:val="center"/>
          </w:tcPr>
          <w:p w14:paraId="1BD0E12D">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投标人信用承诺函</w:t>
            </w:r>
          </w:p>
        </w:tc>
        <w:tc>
          <w:tcPr>
            <w:tcW w:w="2544" w:type="pct"/>
            <w:shd w:val="clear" w:color="auto" w:fill="auto"/>
            <w:vAlign w:val="center"/>
          </w:tcPr>
          <w:p w14:paraId="041E784F">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提供了符合招标文件要求的《兵团政府采购供应商信用承诺函》。</w:t>
            </w:r>
          </w:p>
        </w:tc>
        <w:tc>
          <w:tcPr>
            <w:tcW w:w="906" w:type="pct"/>
            <w:shd w:val="clear" w:color="auto" w:fill="auto"/>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格式见《第七章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57" w:hRule="atLeast"/>
          <w:jc w:val="center"/>
        </w:trPr>
        <w:tc>
          <w:tcPr>
            <w:tcW w:w="397" w:type="pct"/>
            <w:shd w:val="clear" w:color="auto" w:fill="auto"/>
            <w:vAlign w:val="center"/>
          </w:tcPr>
          <w:p w14:paraId="0A4E48AD">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1-3</w:t>
            </w:r>
          </w:p>
        </w:tc>
        <w:tc>
          <w:tcPr>
            <w:tcW w:w="1152" w:type="pct"/>
            <w:shd w:val="clear" w:color="auto" w:fill="auto"/>
            <w:vAlign w:val="center"/>
          </w:tcPr>
          <w:p w14:paraId="6F347850">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投标人信用记录</w:t>
            </w:r>
          </w:p>
        </w:tc>
        <w:tc>
          <w:tcPr>
            <w:tcW w:w="2544" w:type="pct"/>
            <w:shd w:val="clear" w:color="auto" w:fill="auto"/>
            <w:vAlign w:val="center"/>
          </w:tcPr>
          <w:p w14:paraId="1A0058F5">
            <w:pPr>
              <w:pStyle w:val="48"/>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pacing w:val="-6"/>
                <w:sz w:val="21"/>
                <w:szCs w:val="21"/>
                <w:highlight w:val="none"/>
                <w:shd w:val="clear" w:color="auto" w:fill="auto"/>
                <w:lang w:val="en-US" w:eastAsia="zh-CN"/>
              </w:rPr>
              <w:t>查询渠道：信用中国网站和中国政府采购网（ www.creditchina.gov.cn 、www.ccgp.gov.cn）；</w:t>
            </w:r>
            <w:r>
              <w:rPr>
                <w:rFonts w:hint="eastAsia" w:ascii="宋体" w:hAnsi="宋体" w:eastAsia="宋体" w:cs="宋体"/>
                <w:color w:val="auto"/>
                <w:sz w:val="21"/>
                <w:szCs w:val="21"/>
                <w:highlight w:val="none"/>
                <w:shd w:val="clear" w:color="auto" w:fill="auto"/>
                <w:lang w:val="en-US" w:eastAsia="zh-CN"/>
              </w:rPr>
              <w:t xml:space="preserve"> 截止时点：投标截止时间以后、资格审查阶段采购人或采购代理机构的实际查询时间； 信用信息查询记录和证据留存具体方式：查询结果网页打印页作为查询记录和证据，与其他采购文件一并保存； </w:t>
            </w:r>
            <w:r>
              <w:rPr>
                <w:rFonts w:hint="eastAsia" w:ascii="宋体" w:hAnsi="宋体" w:eastAsia="宋体" w:cs="宋体"/>
                <w:color w:val="auto"/>
                <w:spacing w:val="-6"/>
                <w:sz w:val="21"/>
                <w:szCs w:val="21"/>
                <w:highlight w:val="none"/>
                <w:shd w:val="clear" w:color="auto" w:fill="auto"/>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1"/>
                <w:szCs w:val="21"/>
                <w:highlight w:val="none"/>
                <w:shd w:val="clear" w:color="auto" w:fill="auto"/>
                <w:lang w:val="en-US" w:eastAsia="zh-CN"/>
              </w:rPr>
              <w:t>投标无效</w:t>
            </w:r>
            <w:r>
              <w:rPr>
                <w:rFonts w:hint="eastAsia" w:ascii="宋体" w:hAnsi="宋体" w:eastAsia="宋体" w:cs="宋体"/>
                <w:color w:val="auto"/>
                <w:spacing w:val="-6"/>
                <w:sz w:val="21"/>
                <w:szCs w:val="21"/>
                <w:highlight w:val="none"/>
                <w:shd w:val="clear" w:color="auto" w:fill="auto"/>
                <w:lang w:val="en-US" w:eastAsia="zh-CN"/>
              </w:rPr>
              <w:t>。联合体形式投标的，联合体成员存在不良信用记录，视同联合体存在不良信用记录。</w:t>
            </w:r>
          </w:p>
        </w:tc>
        <w:tc>
          <w:tcPr>
            <w:tcW w:w="906" w:type="pct"/>
            <w:shd w:val="clear" w:color="auto" w:fill="auto"/>
            <w:vAlign w:val="center"/>
          </w:tcPr>
          <w:p w14:paraId="41CEE0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highlight w:val="none"/>
                <w:shd w:val="clear" w:color="auto" w:fill="auto"/>
                <w:lang w:val="en-US" w:eastAsia="zh-CN" w:bidi="ar"/>
              </w:rPr>
              <w:t>无须投标人提供，由采购人或采购代理机构查询。</w:t>
            </w:r>
          </w:p>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shd w:val="clear" w:color="auto" w:fill="auto"/>
                <w:lang w:val="en-US" w:eastAsia="zh-CN" w:bidi="ar"/>
              </w:rPr>
            </w:pP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07" w:hRule="atLeast"/>
          <w:jc w:val="center"/>
        </w:trPr>
        <w:tc>
          <w:tcPr>
            <w:tcW w:w="397" w:type="pct"/>
            <w:shd w:val="clear" w:color="auto" w:fill="auto"/>
            <w:vAlign w:val="center"/>
          </w:tcPr>
          <w:p w14:paraId="330FEA22">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1-4</w:t>
            </w:r>
          </w:p>
        </w:tc>
        <w:tc>
          <w:tcPr>
            <w:tcW w:w="1152" w:type="pct"/>
            <w:shd w:val="clear" w:color="auto" w:fill="auto"/>
            <w:vAlign w:val="center"/>
          </w:tcPr>
          <w:p w14:paraId="60F45FA7">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法律、行政法规规定的其他条件</w:t>
            </w:r>
          </w:p>
        </w:tc>
        <w:tc>
          <w:tcPr>
            <w:tcW w:w="2544" w:type="pct"/>
            <w:shd w:val="clear" w:color="auto" w:fill="auto"/>
            <w:vAlign w:val="center"/>
          </w:tcPr>
          <w:p w14:paraId="2B64265B">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法律、行政法规规定的其他条件：提供《不参与围标串标承诺书》。</w:t>
            </w:r>
          </w:p>
        </w:tc>
        <w:tc>
          <w:tcPr>
            <w:tcW w:w="906" w:type="pct"/>
            <w:shd w:val="clear" w:color="auto" w:fill="auto"/>
            <w:vAlign w:val="center"/>
          </w:tcPr>
          <w:p w14:paraId="0ACC3285">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bidi="ar"/>
              </w:rPr>
              <w:t>格式见《第七章 投标文件格式》</w:t>
            </w:r>
          </w:p>
        </w:tc>
      </w:tr>
      <w:tr w14:paraId="6062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7" w:hRule="atLeast"/>
          <w:jc w:val="center"/>
        </w:trPr>
        <w:tc>
          <w:tcPr>
            <w:tcW w:w="397" w:type="pct"/>
            <w:shd w:val="clear" w:color="auto" w:fill="auto"/>
            <w:vAlign w:val="center"/>
          </w:tcPr>
          <w:p w14:paraId="3DCD8F4B">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highlight w:val="none"/>
                <w:shd w:val="clear" w:color="auto" w:fill="auto"/>
                <w:lang w:val="en-US" w:eastAsia="zh-CN"/>
              </w:rPr>
            </w:pPr>
            <w:bookmarkStart w:id="452" w:name="_Toc155185903"/>
            <w:bookmarkStart w:id="453" w:name="_Toc18814"/>
            <w:r>
              <w:rPr>
                <w:rFonts w:hint="eastAsia" w:cs="宋体"/>
                <w:b/>
                <w:bCs/>
                <w:color w:val="auto"/>
                <w:sz w:val="21"/>
                <w:szCs w:val="21"/>
                <w:highlight w:val="none"/>
                <w:shd w:val="clear" w:color="auto" w:fill="auto"/>
                <w:lang w:val="en-US" w:eastAsia="zh-CN"/>
              </w:rPr>
              <w:t>2</w:t>
            </w:r>
          </w:p>
        </w:tc>
        <w:tc>
          <w:tcPr>
            <w:tcW w:w="1152" w:type="pct"/>
            <w:shd w:val="clear" w:color="auto" w:fill="auto"/>
            <w:vAlign w:val="center"/>
          </w:tcPr>
          <w:p w14:paraId="3E3060FA">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其他资格要求</w:t>
            </w:r>
          </w:p>
        </w:tc>
        <w:tc>
          <w:tcPr>
            <w:tcW w:w="2544" w:type="pct"/>
            <w:shd w:val="clear" w:color="auto" w:fill="auto"/>
            <w:vAlign w:val="center"/>
          </w:tcPr>
          <w:p w14:paraId="00795855">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（1）法定代表人或单位负责人为同一人或者存在直接控股、管理关系的不同供应商，不得参加同一合同项下的政府采购活动。</w:t>
            </w:r>
          </w:p>
          <w:p w14:paraId="6F34B16A">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（2）除单一来源采购项目外，为采购项目提供整体设计、规范编制或者项目管理、监理、检测等服务的供应商，不得再参加该采购项目的其他采购活动。</w:t>
            </w:r>
          </w:p>
          <w:p w14:paraId="43D92D36">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（3）供应商的信用行为：在资格审查阶段经查询，未被列入“失信被执行人”、“重大税收违法失信主体”、“政府采购严重违法失信行为记录名单”其中之一。如有以上不良信用记录之一的，其投标无效。</w:t>
            </w:r>
          </w:p>
        </w:tc>
        <w:tc>
          <w:tcPr>
            <w:tcW w:w="906" w:type="pct"/>
            <w:shd w:val="clear" w:color="auto" w:fill="auto"/>
            <w:vAlign w:val="center"/>
          </w:tcPr>
          <w:p w14:paraId="124EEF51">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shd w:val="clear" w:color="auto" w:fill="auto"/>
                <w:lang w:val="en-US" w:eastAsia="zh-CN" w:bidi="ar"/>
              </w:rPr>
            </w:pPr>
            <w:r>
              <w:rPr>
                <w:rFonts w:hint="eastAsia" w:cs="宋体"/>
                <w:color w:val="auto"/>
                <w:kern w:val="0"/>
                <w:sz w:val="21"/>
                <w:szCs w:val="21"/>
                <w:highlight w:val="none"/>
                <w:shd w:val="clear" w:color="auto" w:fill="auto"/>
                <w:lang w:val="en-US" w:eastAsia="zh-CN" w:bidi="ar"/>
              </w:rPr>
              <w:t>提供声明函，格式自拟。</w:t>
            </w:r>
          </w:p>
        </w:tc>
      </w:tr>
      <w:tr w14:paraId="7876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7" w:hRule="atLeast"/>
          <w:jc w:val="center"/>
        </w:trPr>
        <w:tc>
          <w:tcPr>
            <w:tcW w:w="397" w:type="pct"/>
            <w:shd w:val="clear" w:color="auto" w:fill="auto"/>
            <w:vAlign w:val="center"/>
          </w:tcPr>
          <w:p w14:paraId="5299F34B">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cs="宋体"/>
                <w:b/>
                <w:bCs/>
                <w:color w:val="auto"/>
                <w:sz w:val="21"/>
                <w:szCs w:val="21"/>
                <w:highlight w:val="none"/>
                <w:shd w:val="clear" w:color="auto" w:fill="auto"/>
                <w:lang w:val="en-US" w:eastAsia="zh-CN"/>
              </w:rPr>
              <w:t>3</w:t>
            </w:r>
          </w:p>
        </w:tc>
        <w:tc>
          <w:tcPr>
            <w:tcW w:w="1152" w:type="pct"/>
            <w:shd w:val="clear" w:color="auto" w:fill="auto"/>
            <w:vAlign w:val="center"/>
          </w:tcPr>
          <w:p w14:paraId="2B1C55A2">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落实政府采购政策需满足的资格要求</w:t>
            </w:r>
          </w:p>
        </w:tc>
        <w:tc>
          <w:tcPr>
            <w:tcW w:w="2544" w:type="pct"/>
            <w:shd w:val="clear" w:color="auto" w:fill="auto"/>
            <w:vAlign w:val="center"/>
          </w:tcPr>
          <w:p w14:paraId="349CC2CB">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提供《中小企业声明函》，内容格式按照招标文件给定格式填写，标的内容须填写完整。</w:t>
            </w:r>
          </w:p>
        </w:tc>
        <w:tc>
          <w:tcPr>
            <w:tcW w:w="906" w:type="pct"/>
            <w:shd w:val="clear" w:color="auto" w:fill="auto"/>
            <w:vAlign w:val="center"/>
          </w:tcPr>
          <w:p w14:paraId="62463C55">
            <w:pPr>
              <w:pStyle w:val="4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
              </w:rPr>
              <w:t>格式见《第七章 投标文件格式》</w:t>
            </w:r>
          </w:p>
        </w:tc>
      </w:tr>
    </w:tbl>
    <w:p w14:paraId="21B53EAD">
      <w:pPr>
        <w:keepNext w:val="0"/>
        <w:keepLines w:val="0"/>
        <w:pageBreakBefore/>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第五章 评标方法</w:t>
      </w:r>
      <w:bookmarkEnd w:id="452"/>
      <w:r>
        <w:rPr>
          <w:rFonts w:hint="eastAsia" w:ascii="宋体" w:hAnsi="宋体" w:eastAsia="宋体" w:cs="宋体"/>
          <w:b/>
          <w:bCs/>
          <w:color w:val="auto"/>
          <w:kern w:val="44"/>
          <w:sz w:val="36"/>
          <w:szCs w:val="36"/>
          <w:highlight w:val="none"/>
          <w:lang w:val="en-US" w:eastAsia="zh-CN" w:bidi="ar-SA"/>
        </w:rPr>
        <w:t>及标准(综合评分法)</w:t>
      </w:r>
      <w:bookmarkEnd w:id="453"/>
    </w:p>
    <w:p w14:paraId="2BB6F8A4">
      <w:pPr>
        <w:pStyle w:val="36"/>
        <w:rPr>
          <w:color w:val="auto"/>
          <w:highlight w:val="none"/>
        </w:rPr>
      </w:pPr>
      <w:r>
        <w:rPr>
          <w:rFonts w:hint="eastAsia"/>
          <w:color w:val="auto"/>
          <w:highlight w:val="none"/>
        </w:rPr>
        <w:t>根据《中华人民共和国政府采购法》及其实施条例、《政府采购货物和服务招标投标管理办法》</w:t>
      </w:r>
      <w:r>
        <w:rPr>
          <w:rFonts w:hint="eastAsia"/>
          <w:color w:val="auto"/>
          <w:highlight w:val="none"/>
          <w:lang w:val="en-US" w:eastAsia="zh-CN"/>
        </w:rPr>
        <w:t>及</w:t>
      </w:r>
      <w:r>
        <w:rPr>
          <w:rFonts w:hint="eastAsia"/>
          <w:color w:val="auto"/>
          <w:highlight w:val="none"/>
        </w:rPr>
        <w:t>相关法律法规确定以下评标</w:t>
      </w:r>
      <w:r>
        <w:rPr>
          <w:rFonts w:hint="eastAsia"/>
          <w:color w:val="auto"/>
          <w:highlight w:val="none"/>
          <w:lang w:val="en-US" w:eastAsia="zh-CN"/>
        </w:rPr>
        <w:t>方</w:t>
      </w:r>
      <w:r>
        <w:rPr>
          <w:rFonts w:hint="eastAsia"/>
          <w:color w:val="auto"/>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54" w:name="_Toc21370"/>
      <w:bookmarkStart w:id="455" w:name="_Toc272247709"/>
      <w:bookmarkStart w:id="456" w:name="_Toc109899903"/>
      <w:bookmarkStart w:id="457" w:name="_Toc494561962"/>
      <w:bookmarkStart w:id="458" w:name="_Toc278891606"/>
      <w:bookmarkStart w:id="459" w:name="_Toc109899484"/>
      <w:bookmarkStart w:id="460" w:name="_Toc109900322"/>
      <w:bookmarkStart w:id="461" w:name="_Toc511894518"/>
      <w:bookmarkStart w:id="462" w:name="_Toc140132826"/>
      <w:bookmarkStart w:id="463" w:name="_Toc155185905"/>
      <w:bookmarkStart w:id="464" w:name="_Toc61280402"/>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454"/>
    </w:p>
    <w:p w14:paraId="40F9AE81">
      <w:pPr>
        <w:pStyle w:val="36"/>
        <w:keepNext w:val="0"/>
        <w:keepLines w:val="0"/>
        <w:pageBreakBefore w:val="0"/>
        <w:widowControl w:val="0"/>
        <w:kinsoku/>
        <w:wordWrap w:val="0"/>
        <w:overflowPunct/>
        <w:topLinePunct w:val="0"/>
        <w:autoSpaceDE/>
        <w:autoSpaceDN/>
        <w:bidi w:val="0"/>
        <w:adjustRightInd/>
        <w:snapToGrid/>
        <w:ind w:firstLine="482"/>
        <w:textAlignment w:val="auto"/>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65" w:name="_Toc4945"/>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465"/>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6" w:name="_Toc30735"/>
      <w:bookmarkStart w:id="467" w:name="_Toc18989"/>
      <w:bookmarkStart w:id="468" w:name="_Toc27226"/>
      <w:r>
        <w:rPr>
          <w:rFonts w:hint="eastAsia" w:ascii="宋体" w:hAnsi="宋体" w:eastAsia="宋体" w:cs="宋体"/>
          <w:b/>
          <w:bCs/>
          <w:color w:val="auto"/>
          <w:kern w:val="2"/>
          <w:sz w:val="24"/>
          <w:szCs w:val="24"/>
          <w:highlight w:val="none"/>
          <w:lang w:val="zh-CN" w:eastAsia="zh-CN" w:bidi="ar-SA"/>
        </w:rPr>
        <w:t>（一）符合性审查</w:t>
      </w:r>
      <w:bookmarkEnd w:id="466"/>
      <w:bookmarkEnd w:id="467"/>
      <w:bookmarkEnd w:id="468"/>
    </w:p>
    <w:p w14:paraId="4E726315">
      <w:pPr>
        <w:pStyle w:val="36"/>
        <w:rPr>
          <w:rFonts w:hint="eastAsia"/>
          <w:color w:val="auto"/>
          <w:highlight w:val="none"/>
          <w:lang w:val="zh-CN"/>
        </w:rPr>
      </w:pPr>
      <w:r>
        <w:rPr>
          <w:rFonts w:hint="eastAsia"/>
          <w:color w:val="auto"/>
          <w:highlight w:val="none"/>
          <w:lang w:val="en-US" w:eastAsia="zh-CN"/>
        </w:rPr>
        <w:t>2.</w:t>
      </w:r>
      <w:r>
        <w:rPr>
          <w:rFonts w:hint="eastAsia"/>
          <w:color w:val="auto"/>
          <w:highlight w:val="none"/>
        </w:rPr>
        <w:t>评标委员会应当对</w:t>
      </w:r>
      <w:r>
        <w:rPr>
          <w:rFonts w:hint="eastAsia"/>
          <w:color w:val="auto"/>
          <w:highlight w:val="none"/>
          <w:lang w:val="en-US" w:eastAsia="zh-CN"/>
        </w:rPr>
        <w:t>通过</w:t>
      </w:r>
      <w:r>
        <w:rPr>
          <w:rFonts w:hint="eastAsia"/>
          <w:color w:val="auto"/>
          <w:highlight w:val="none"/>
        </w:rPr>
        <w:t>资格</w:t>
      </w:r>
      <w:r>
        <w:rPr>
          <w:rFonts w:hint="eastAsia"/>
          <w:color w:val="auto"/>
          <w:highlight w:val="none"/>
          <w:lang w:val="en-US" w:eastAsia="zh-CN"/>
        </w:rPr>
        <w:t>审查</w:t>
      </w:r>
      <w:r>
        <w:rPr>
          <w:rFonts w:hint="eastAsia"/>
          <w:color w:val="auto"/>
          <w:highlight w:val="none"/>
        </w:rPr>
        <w:t>的投标人的投标文件进行符合性审查，以确定其是否满足招标文件的实质性要求。投标人必须通过符合性审查的全部评审指标</w:t>
      </w:r>
      <w:r>
        <w:rPr>
          <w:rFonts w:hint="eastAsia"/>
          <w:color w:val="auto"/>
          <w:highlight w:val="none"/>
          <w:lang w:eastAsia="zh-CN"/>
        </w:rPr>
        <w:t>，</w:t>
      </w:r>
      <w:r>
        <w:rPr>
          <w:rFonts w:hint="eastAsia"/>
          <w:color w:val="auto"/>
          <w:highlight w:val="none"/>
        </w:rPr>
        <w:t>不满足招标文件的实质性要求的，</w:t>
      </w:r>
      <w:r>
        <w:rPr>
          <w:rFonts w:hint="eastAsia"/>
          <w:color w:val="auto"/>
          <w:highlight w:val="none"/>
          <w:lang w:val="en-US" w:eastAsia="zh-CN"/>
        </w:rPr>
        <w:t>其</w:t>
      </w:r>
      <w:r>
        <w:rPr>
          <w:rFonts w:hint="eastAsia"/>
          <w:b/>
          <w:bCs/>
          <w:color w:val="auto"/>
          <w:highlight w:val="none"/>
        </w:rPr>
        <w:t>投标无效</w:t>
      </w:r>
      <w:r>
        <w:rPr>
          <w:rFonts w:hint="eastAsia"/>
          <w:color w:val="auto"/>
          <w:highlight w:val="none"/>
        </w:rPr>
        <w:t>。</w:t>
      </w:r>
      <w:r>
        <w:rPr>
          <w:rFonts w:hint="eastAsia"/>
          <w:color w:val="auto"/>
          <w:highlight w:val="none"/>
          <w:lang w:val="en-US" w:eastAsia="zh-CN"/>
        </w:rPr>
        <w:t>具体内容详</w:t>
      </w:r>
      <w:r>
        <w:rPr>
          <w:rFonts w:hint="eastAsia"/>
          <w:color w:val="auto"/>
          <w:highlight w:val="none"/>
          <w:lang w:val="zh-CN"/>
        </w:rPr>
        <w:t>本章“</w:t>
      </w:r>
      <w:r>
        <w:rPr>
          <w:rFonts w:hint="eastAsia"/>
          <w:color w:val="auto"/>
          <w:highlight w:val="none"/>
          <w:lang w:val="en-US" w:eastAsia="zh-CN"/>
        </w:rPr>
        <w:t>四</w:t>
      </w:r>
      <w:r>
        <w:rPr>
          <w:rFonts w:hint="eastAsia"/>
          <w:color w:val="auto"/>
          <w:highlight w:val="none"/>
          <w:lang w:val="zh-CN"/>
        </w:rPr>
        <w:t>、评标标准”中</w:t>
      </w:r>
      <w:r>
        <w:rPr>
          <w:rFonts w:hint="eastAsia"/>
          <w:color w:val="auto"/>
          <w:highlight w:val="none"/>
          <w:lang w:val="en-US" w:eastAsia="zh-CN"/>
        </w:rPr>
        <w:t>的</w:t>
      </w:r>
      <w:r>
        <w:rPr>
          <w:rFonts w:hint="eastAsia"/>
          <w:color w:val="auto"/>
          <w:highlight w:val="none"/>
          <w:lang w:val="zh-CN"/>
        </w:rPr>
        <w:t>“（一）符合性审查”。</w:t>
      </w:r>
    </w:p>
    <w:p w14:paraId="6117DC47">
      <w:pPr>
        <w:pStyle w:val="36"/>
        <w:rPr>
          <w:rFonts w:hint="eastAsia"/>
          <w:color w:val="auto"/>
          <w:highlight w:val="none"/>
          <w:lang w:val="zh-CN"/>
        </w:rPr>
      </w:pPr>
      <w:r>
        <w:rPr>
          <w:rFonts w:hint="eastAsia"/>
          <w:color w:val="auto"/>
          <w:highlight w:val="none"/>
          <w:lang w:val="en-US" w:eastAsia="zh-CN"/>
        </w:rPr>
        <w:t>通过</w:t>
      </w:r>
      <w:r>
        <w:rPr>
          <w:rFonts w:hint="eastAsia"/>
          <w:color w:val="auto"/>
          <w:highlight w:val="none"/>
        </w:rPr>
        <w:t>符合性审查</w:t>
      </w:r>
      <w:r>
        <w:rPr>
          <w:rFonts w:hint="eastAsia"/>
          <w:color w:val="auto"/>
          <w:highlight w:val="none"/>
          <w:lang w:val="en-US" w:eastAsia="zh-CN"/>
        </w:rPr>
        <w:t>的</w:t>
      </w:r>
      <w:r>
        <w:rPr>
          <w:rFonts w:hint="eastAsia"/>
          <w:color w:val="auto"/>
          <w:highlight w:val="none"/>
        </w:rPr>
        <w:t>有效</w:t>
      </w:r>
      <w:r>
        <w:rPr>
          <w:rFonts w:hint="eastAsia"/>
          <w:color w:val="auto"/>
          <w:highlight w:val="none"/>
          <w:lang w:eastAsia="zh-CN"/>
        </w:rPr>
        <w:t>供应商</w:t>
      </w:r>
      <w:r>
        <w:rPr>
          <w:rFonts w:hint="eastAsia"/>
          <w:color w:val="auto"/>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9" w:name="_Toc102119879"/>
      <w:bookmarkStart w:id="470" w:name="_Toc102057744"/>
      <w:bookmarkStart w:id="471" w:name="_Toc102114946"/>
      <w:bookmarkStart w:id="472" w:name="_Toc155185907"/>
      <w:bookmarkStart w:id="473" w:name="_Toc102116048"/>
      <w:bookmarkStart w:id="474" w:name="_Toc102116178"/>
      <w:bookmarkStart w:id="475" w:name="_Toc102056244"/>
      <w:bookmarkStart w:id="476" w:name="_Toc20930"/>
      <w:bookmarkStart w:id="477" w:name="_Toc10476"/>
      <w:bookmarkStart w:id="478" w:name="_Toc2036"/>
      <w:bookmarkStart w:id="479" w:name="_Toc1634929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469"/>
      <w:bookmarkEnd w:id="470"/>
      <w:bookmarkEnd w:id="471"/>
      <w:bookmarkEnd w:id="472"/>
      <w:bookmarkEnd w:id="473"/>
      <w:bookmarkEnd w:id="474"/>
      <w:bookmarkEnd w:id="475"/>
      <w:r>
        <w:rPr>
          <w:rFonts w:hint="eastAsia" w:ascii="宋体" w:hAnsi="宋体" w:eastAsia="宋体" w:cs="宋体"/>
          <w:b/>
          <w:bCs/>
          <w:color w:val="auto"/>
          <w:kern w:val="2"/>
          <w:sz w:val="24"/>
          <w:szCs w:val="24"/>
          <w:highlight w:val="none"/>
          <w:lang w:val="zh-CN" w:eastAsia="zh-CN" w:bidi="ar-SA"/>
        </w:rPr>
        <w:t>及修正</w:t>
      </w:r>
      <w:bookmarkEnd w:id="476"/>
      <w:bookmarkEnd w:id="477"/>
      <w:bookmarkEnd w:id="478"/>
      <w:bookmarkEnd w:id="479"/>
    </w:p>
    <w:p w14:paraId="0EC9197C">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3</w:t>
      </w:r>
      <w:r>
        <w:rPr>
          <w:color w:val="auto"/>
          <w:highlight w:val="none"/>
        </w:rPr>
        <w:t>.</w:t>
      </w:r>
      <w:r>
        <w:rPr>
          <w:rFonts w:hint="eastAsia"/>
          <w:iCs/>
          <w:color w:val="auto"/>
          <w:spacing w:val="-6"/>
          <w:sz w:val="24"/>
          <w:highlight w:val="none"/>
        </w:rPr>
        <w:t>评标期间，对于投标文件中含义不明确、同类问题表述不一致或者有明显文字和计算错误的内容需要投标人作出必要的澄清、说明或者补正的，评标委员会应当在</w:t>
      </w:r>
      <w:r>
        <w:rPr>
          <w:rFonts w:hint="eastAsia"/>
          <w:iCs/>
          <w:color w:val="auto"/>
          <w:spacing w:val="-6"/>
          <w:sz w:val="24"/>
          <w:highlight w:val="none"/>
          <w:lang w:val="en-US" w:eastAsia="zh-CN"/>
        </w:rPr>
        <w:t>政采云平台评标</w:t>
      </w:r>
      <w:r>
        <w:rPr>
          <w:rFonts w:hint="eastAsia"/>
          <w:iCs/>
          <w:color w:val="auto"/>
          <w:spacing w:val="-6"/>
          <w:sz w:val="24"/>
          <w:highlight w:val="none"/>
        </w:rPr>
        <w:t>系统中以书面形式要求投标人作出必要的澄清、说明或者补正。</w:t>
      </w:r>
    </w:p>
    <w:p w14:paraId="079329DA">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投标人应按照评标委员会要求在规定时间内作出澄清、说明或者补正，</w:t>
      </w:r>
      <w:r>
        <w:rPr>
          <w:color w:val="auto"/>
          <w:highlight w:val="none"/>
        </w:rPr>
        <w:t>澄清、说明或者补正不得超出投标文件的范围或者改变投标文件的实质性内容。</w:t>
      </w:r>
    </w:p>
    <w:p w14:paraId="591A6455">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投标人的</w:t>
      </w:r>
      <w:r>
        <w:rPr>
          <w:color w:val="auto"/>
          <w:highlight w:val="none"/>
        </w:rPr>
        <w:t>澄清、说明或者补正</w:t>
      </w:r>
      <w:r>
        <w:rPr>
          <w:rFonts w:hint="eastAsia"/>
          <w:color w:val="auto"/>
          <w:highlight w:val="none"/>
        </w:rPr>
        <w:t>是其投标文件的有效组成部分，</w:t>
      </w:r>
      <w:r>
        <w:rPr>
          <w:color w:val="auto"/>
          <w:highlight w:val="none"/>
        </w:rPr>
        <w:t>澄清、说明或者补正应当</w:t>
      </w:r>
      <w:r>
        <w:rPr>
          <w:rFonts w:hint="eastAsia"/>
          <w:color w:val="auto"/>
          <w:highlight w:val="none"/>
        </w:rPr>
        <w:t>在</w:t>
      </w:r>
      <w:r>
        <w:rPr>
          <w:rFonts w:hint="eastAsia"/>
          <w:color w:val="auto"/>
          <w:highlight w:val="none"/>
          <w:lang w:val="en-US" w:eastAsia="zh-CN"/>
        </w:rPr>
        <w:t>政采云平台评标</w:t>
      </w:r>
      <w:r>
        <w:rPr>
          <w:rFonts w:hint="eastAsia"/>
          <w:color w:val="auto"/>
          <w:highlight w:val="none"/>
        </w:rPr>
        <w:t>系统中加盖电子印章后提交</w:t>
      </w:r>
      <w:r>
        <w:rPr>
          <w:color w:val="auto"/>
          <w:highlight w:val="none"/>
        </w:rPr>
        <w:t>。</w:t>
      </w:r>
    </w:p>
    <w:p w14:paraId="3B466024">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6</w:t>
      </w:r>
      <w:r>
        <w:rPr>
          <w:color w:val="auto"/>
          <w:highlight w:val="none"/>
        </w:rPr>
        <w:t>.</w:t>
      </w:r>
      <w:r>
        <w:rPr>
          <w:rFonts w:hint="eastAsia"/>
          <w:color w:val="auto"/>
          <w:highlight w:val="none"/>
        </w:rPr>
        <w:t>报价合理性说明：</w:t>
      </w:r>
      <w:r>
        <w:rPr>
          <w:color w:val="auto"/>
          <w:highlight w:val="none"/>
        </w:rPr>
        <w:t>评标委员会认为投标人的报价明显低于其他通过</w:t>
      </w:r>
      <w:r>
        <w:rPr>
          <w:rFonts w:hint="eastAsia"/>
          <w:color w:val="auto"/>
          <w:highlight w:val="none"/>
        </w:rPr>
        <w:t>符合性审查</w:t>
      </w:r>
      <w:r>
        <w:rPr>
          <w:color w:val="auto"/>
          <w:highlight w:val="none"/>
        </w:rPr>
        <w:t>投标人的报价，有可能影响</w:t>
      </w:r>
      <w:r>
        <w:rPr>
          <w:rFonts w:hint="eastAsia"/>
          <w:color w:val="auto"/>
          <w:highlight w:val="none"/>
          <w:lang w:val="en-US" w:eastAsia="zh-CN"/>
        </w:rPr>
        <w:t>服务</w:t>
      </w:r>
      <w:r>
        <w:rPr>
          <w:color w:val="auto"/>
          <w:highlight w:val="none"/>
        </w:rPr>
        <w:t>质量或者不能诚信履约的，</w:t>
      </w:r>
      <w:r>
        <w:rPr>
          <w:rFonts w:hint="eastAsia"/>
          <w:color w:val="auto"/>
          <w:highlight w:val="none"/>
          <w:lang w:val="en-US" w:eastAsia="zh-CN"/>
        </w:rPr>
        <w:t>应当</w:t>
      </w:r>
      <w:r>
        <w:rPr>
          <w:color w:val="auto"/>
          <w:highlight w:val="none"/>
        </w:rPr>
        <w:t>要求</w:t>
      </w:r>
      <w:r>
        <w:rPr>
          <w:rFonts w:hint="eastAsia"/>
          <w:color w:val="auto"/>
          <w:highlight w:val="none"/>
          <w:lang w:val="en-US" w:eastAsia="zh-CN"/>
        </w:rPr>
        <w:t>该投标人</w:t>
      </w:r>
      <w:r>
        <w:rPr>
          <w:rFonts w:hint="eastAsia"/>
          <w:color w:val="auto"/>
          <w:highlight w:val="none"/>
        </w:rPr>
        <w:t>在</w:t>
      </w:r>
      <w:r>
        <w:rPr>
          <w:color w:val="auto"/>
          <w:highlight w:val="none"/>
        </w:rPr>
        <w:t>合理的时间内提供说明，必要时提交相关证明材料；</w:t>
      </w:r>
      <w:r>
        <w:rPr>
          <w:rFonts w:hint="eastAsia"/>
          <w:color w:val="auto"/>
          <w:highlight w:val="none"/>
          <w:lang w:val="en-US" w:eastAsia="zh-CN"/>
        </w:rPr>
        <w:t>若</w:t>
      </w:r>
      <w:r>
        <w:rPr>
          <w:color w:val="auto"/>
          <w:highlight w:val="none"/>
        </w:rPr>
        <w:t>投标人不能证明其报价合理性的，评标委员</w:t>
      </w:r>
      <w:r>
        <w:rPr>
          <w:rFonts w:hint="eastAsia"/>
          <w:color w:val="auto"/>
          <w:highlight w:val="none"/>
          <w:lang w:val="en-US" w:eastAsia="zh-CN"/>
        </w:rPr>
        <w:t>会应当</w:t>
      </w:r>
      <w:r>
        <w:rPr>
          <w:rFonts w:hint="eastAsia"/>
          <w:color w:val="auto"/>
          <w:highlight w:val="none"/>
        </w:rPr>
        <w:t>将其作</w:t>
      </w:r>
      <w:r>
        <w:rPr>
          <w:b/>
          <w:bCs/>
          <w:color w:val="auto"/>
          <w:highlight w:val="none"/>
        </w:rPr>
        <w:t>无效投标</w:t>
      </w:r>
      <w:r>
        <w:rPr>
          <w:color w:val="auto"/>
          <w:highlight w:val="none"/>
        </w:rPr>
        <w:t>处理。</w:t>
      </w:r>
    </w:p>
    <w:p w14:paraId="4FD6345C">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b/>
          <w:bCs/>
          <w:color w:val="auto"/>
          <w:highlight w:val="none"/>
          <w:lang w:val="en-US" w:eastAsia="zh-CN"/>
        </w:rPr>
        <w:t>投标无效</w:t>
      </w:r>
      <w:r>
        <w:rPr>
          <w:rFonts w:hint="eastAsia"/>
          <w:color w:val="auto"/>
          <w:highlight w:val="none"/>
          <w:lang w:val="en-US" w:eastAsia="zh-CN"/>
        </w:rPr>
        <w:t>。</w:t>
      </w:r>
    </w:p>
    <w:p w14:paraId="015D7E7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8.投标文件报价出现前后不一致的，除招标文件另有规定外，按照下列规定修正：</w:t>
      </w:r>
    </w:p>
    <w:p w14:paraId="4D967018">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8.1投标文件中开标一览表（报价表）内容与投标文件中相应内容不一致的，以开标一览表（报价表）为准；</w:t>
      </w:r>
    </w:p>
    <w:p w14:paraId="657B9F51">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8.2大写金额和小写金额不一致的，以大写金额为准；</w:t>
      </w:r>
    </w:p>
    <w:p w14:paraId="628E9D79">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8.3单价金额小数点或者百分比有明显错位的，以开标一览表的总价为准，并修改单价；</w:t>
      </w:r>
    </w:p>
    <w:p w14:paraId="3D45997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8.4总价金额与按单价汇总金额不一致的，以单价金额计算结果为准。</w:t>
      </w:r>
    </w:p>
    <w:p w14:paraId="4E5FFFF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b/>
          <w:bCs/>
          <w:color w:val="auto"/>
          <w:highlight w:val="none"/>
          <w:lang w:val="en-US" w:eastAsia="zh-CN"/>
        </w:rPr>
        <w:t>投标无效</w:t>
      </w:r>
      <w:r>
        <w:rPr>
          <w:rFonts w:hint="eastAsia"/>
          <w:color w:val="auto"/>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0" w:name="_Toc13289"/>
      <w:bookmarkStart w:id="481" w:name="_Toc1388"/>
      <w:bookmarkStart w:id="482" w:name="_Toc853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480"/>
      <w:bookmarkEnd w:id="481"/>
      <w:bookmarkEnd w:id="482"/>
    </w:p>
    <w:p w14:paraId="2BE6ECB2">
      <w:pPr>
        <w:pStyle w:val="36"/>
        <w:rPr>
          <w:rFonts w:hint="eastAsia"/>
          <w:color w:val="auto"/>
          <w:highlight w:val="none"/>
        </w:rPr>
      </w:pPr>
      <w:r>
        <w:rPr>
          <w:rFonts w:hint="eastAsia"/>
          <w:color w:val="auto"/>
          <w:highlight w:val="none"/>
          <w:lang w:val="en-US" w:eastAsia="zh-CN"/>
        </w:rPr>
        <w:t>9.</w:t>
      </w:r>
      <w:r>
        <w:rPr>
          <w:rFonts w:hint="eastAsia"/>
          <w:color w:val="auto"/>
          <w:highlight w:val="none"/>
        </w:rPr>
        <w:t>评标委员会应当按照招标文件中规定的评标方法和标准，对符合性审查合格的投标文件进行商务和技术评</w:t>
      </w:r>
      <w:r>
        <w:rPr>
          <w:rFonts w:hint="eastAsia"/>
          <w:color w:val="auto"/>
          <w:highlight w:val="none"/>
          <w:lang w:val="en-US" w:eastAsia="zh-CN"/>
        </w:rPr>
        <w:t>估</w:t>
      </w:r>
      <w:r>
        <w:rPr>
          <w:rFonts w:hint="eastAsia"/>
          <w:color w:val="auto"/>
          <w:highlight w:val="none"/>
        </w:rPr>
        <w:t>，综合比较与评价</w:t>
      </w:r>
      <w:r>
        <w:rPr>
          <w:rFonts w:hint="eastAsia"/>
          <w:color w:val="auto"/>
          <w:highlight w:val="none"/>
          <w:lang w:val="en-US" w:eastAsia="zh-CN"/>
        </w:rPr>
        <w:t>；未通过符合性审查的投标文件不得进入比较与评价</w:t>
      </w:r>
      <w:r>
        <w:rPr>
          <w:rFonts w:hint="eastAsia"/>
          <w:color w:val="auto"/>
          <w:highlight w:val="none"/>
        </w:rPr>
        <w:t>。评审因素包括投标报价、商务技术以及落实政府采购政策。评审因素及标准见本章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rFonts w:hint="eastAsia"/>
          <w:color w:val="auto"/>
          <w:highlight w:val="none"/>
        </w:rPr>
        <w:t>。</w:t>
      </w:r>
    </w:p>
    <w:p w14:paraId="384D833B">
      <w:pPr>
        <w:pStyle w:val="36"/>
        <w:keepNext w:val="0"/>
        <w:keepLines w:val="0"/>
        <w:pageBreakBefore w:val="0"/>
        <w:widowControl w:val="0"/>
        <w:kinsoku/>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10</w:t>
      </w:r>
      <w:r>
        <w:rPr>
          <w:color w:val="auto"/>
          <w:highlight w:val="none"/>
        </w:rPr>
        <w:t>.</w:t>
      </w:r>
      <w:r>
        <w:rPr>
          <w:rFonts w:hint="eastAsia"/>
          <w:color w:val="auto"/>
          <w:highlight w:val="none"/>
        </w:rPr>
        <w:t>有效投标</w:t>
      </w:r>
      <w:r>
        <w:rPr>
          <w:rFonts w:hint="eastAsia"/>
          <w:color w:val="auto"/>
          <w:highlight w:val="none"/>
          <w:lang w:val="en-US" w:eastAsia="zh-CN"/>
        </w:rPr>
        <w:t>人</w:t>
      </w:r>
      <w:r>
        <w:rPr>
          <w:rFonts w:hint="eastAsia"/>
          <w:color w:val="auto"/>
          <w:highlight w:val="none"/>
        </w:rPr>
        <w:t>不足</w:t>
      </w:r>
      <w:r>
        <w:rPr>
          <w:color w:val="auto"/>
          <w:highlight w:val="none"/>
        </w:rPr>
        <w:t>3</w:t>
      </w:r>
      <w:r>
        <w:rPr>
          <w:rFonts w:hint="eastAsia"/>
          <w:color w:val="auto"/>
          <w:highlight w:val="none"/>
        </w:rPr>
        <w:t>家的应按</w:t>
      </w:r>
      <w:r>
        <w:rPr>
          <w:rFonts w:hint="eastAsia"/>
          <w:b/>
          <w:bCs/>
          <w:color w:val="auto"/>
          <w:highlight w:val="none"/>
        </w:rPr>
        <w:t>废标</w:t>
      </w:r>
      <w:r>
        <w:rPr>
          <w:rFonts w:hint="eastAsia"/>
          <w:color w:val="auto"/>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3" w:name="_Toc24190"/>
      <w:bookmarkStart w:id="484" w:name="_Toc4273"/>
      <w:bookmarkStart w:id="485" w:name="_Toc2269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483"/>
      <w:bookmarkEnd w:id="484"/>
      <w:bookmarkEnd w:id="485"/>
    </w:p>
    <w:p w14:paraId="21874171">
      <w:pPr>
        <w:pStyle w:val="36"/>
        <w:rPr>
          <w:color w:val="auto"/>
          <w:highlight w:val="none"/>
        </w:rPr>
      </w:pPr>
      <w:r>
        <w:rPr>
          <w:rFonts w:hint="eastAsia"/>
          <w:color w:val="auto"/>
          <w:highlight w:val="none"/>
          <w:lang w:val="en-US" w:eastAsia="zh-CN"/>
        </w:rPr>
        <w:t>11.</w:t>
      </w:r>
      <w:r>
        <w:rPr>
          <w:color w:val="auto"/>
          <w:highlight w:val="none"/>
        </w:rPr>
        <w:t>投标报价评审</w:t>
      </w:r>
    </w:p>
    <w:p w14:paraId="266BD854">
      <w:pPr>
        <w:pStyle w:val="36"/>
        <w:rPr>
          <w:color w:val="auto"/>
          <w:highlight w:val="none"/>
        </w:rPr>
      </w:pPr>
      <w:r>
        <w:rPr>
          <w:rFonts w:hint="eastAsia" w:ascii="宋体" w:hAnsi="宋体" w:eastAsia="宋体"/>
          <w:color w:val="auto"/>
          <w:highlight w:val="none"/>
          <w:lang w:val="en-US" w:eastAsia="zh-CN"/>
        </w:rPr>
        <w:t>11.1服务项目的价格分值占总分值的比重不得低于</w:t>
      </w:r>
      <w:r>
        <w:rPr>
          <w:rFonts w:hint="default" w:ascii="宋体" w:hAnsi="宋体" w:eastAsia="宋体"/>
          <w:color w:val="auto"/>
          <w:highlight w:val="none"/>
          <w:lang w:val="en-US" w:eastAsia="zh-CN"/>
        </w:rPr>
        <w:t>10%。</w:t>
      </w:r>
      <w:r>
        <w:rPr>
          <w:rFonts w:hint="eastAsia"/>
          <w:color w:val="auto"/>
          <w:highlight w:val="none"/>
          <w:lang w:val="en-US" w:eastAsia="zh-CN"/>
        </w:rPr>
        <w:t>执行国家统一定价标准和采用固定价格采购的项目，其价格不列为评审因素。</w:t>
      </w:r>
      <w:r>
        <w:rPr>
          <w:color w:val="auto"/>
          <w:highlight w:val="none"/>
        </w:rPr>
        <w:t>价格分应当采用低价优先法计算，即满足招标文件要求且投标价格最低的投标报价为评标基准价，其价格分为满分。其他投标人的价格分统一按照下列公式计算：</w:t>
      </w:r>
    </w:p>
    <w:p w14:paraId="2D86B7AD">
      <w:pPr>
        <w:pStyle w:val="36"/>
        <w:rPr>
          <w:color w:val="auto"/>
          <w:highlight w:val="none"/>
        </w:rPr>
      </w:pPr>
      <w:r>
        <w:rPr>
          <w:rFonts w:hint="eastAsia"/>
          <w:color w:val="auto"/>
          <w:highlight w:val="none"/>
        </w:rPr>
        <w:t>投标报价得分</w:t>
      </w:r>
      <w:r>
        <w:rPr>
          <w:color w:val="auto"/>
          <w:highlight w:val="none"/>
        </w:rPr>
        <w:t>=(评标基准价／投标报价)×</w:t>
      </w:r>
      <w:r>
        <w:rPr>
          <w:rFonts w:hint="eastAsia"/>
          <w:color w:val="auto"/>
          <w:highlight w:val="none"/>
        </w:rPr>
        <w:t>价格</w:t>
      </w:r>
      <w:r>
        <w:rPr>
          <w:rFonts w:hint="eastAsia"/>
          <w:color w:val="auto"/>
          <w:highlight w:val="none"/>
          <w:lang w:eastAsia="zh-CN"/>
        </w:rPr>
        <w:t>分值</w:t>
      </w:r>
    </w:p>
    <w:p w14:paraId="0CCB2E48">
      <w:pPr>
        <w:pStyle w:val="36"/>
        <w:rPr>
          <w:color w:val="auto"/>
          <w:highlight w:val="none"/>
        </w:rPr>
      </w:pPr>
      <w:r>
        <w:rPr>
          <w:rFonts w:hint="eastAsia"/>
          <w:color w:val="auto"/>
          <w:highlight w:val="none"/>
        </w:rPr>
        <w:t>评标过程中，不得去掉报价中的最高报价和最低报价。</w:t>
      </w:r>
    </w:p>
    <w:p w14:paraId="14E623B0">
      <w:pPr>
        <w:pStyle w:val="36"/>
        <w:rPr>
          <w:color w:val="auto"/>
          <w:highlight w:val="none"/>
        </w:rPr>
      </w:pPr>
      <w:r>
        <w:rPr>
          <w:rFonts w:hint="eastAsia"/>
          <w:color w:val="auto"/>
          <w:highlight w:val="none"/>
          <w:lang w:val="en-US" w:eastAsia="zh-CN"/>
        </w:rPr>
        <w:t>11.</w:t>
      </w:r>
      <w:r>
        <w:rPr>
          <w:color w:val="auto"/>
          <w:highlight w:val="none"/>
        </w:rPr>
        <w:t>2</w:t>
      </w:r>
      <w:r>
        <w:rPr>
          <w:rFonts w:hint="eastAsia"/>
          <w:iCs/>
          <w:color w:val="auto"/>
          <w:spacing w:val="-6"/>
          <w:sz w:val="24"/>
          <w:highlight w:val="none"/>
        </w:rPr>
        <w:t>除算术修正和落实政府采购政策的价格扣除外，不对投标报价进行调整；</w:t>
      </w:r>
    </w:p>
    <w:p w14:paraId="6DDDADCE">
      <w:pPr>
        <w:pStyle w:val="36"/>
        <w:rPr>
          <w:color w:val="auto"/>
          <w:highlight w:val="none"/>
        </w:rPr>
      </w:pPr>
      <w:r>
        <w:rPr>
          <w:rFonts w:hint="eastAsia"/>
          <w:color w:val="auto"/>
          <w:highlight w:val="none"/>
          <w:lang w:val="en-US" w:eastAsia="zh-CN"/>
        </w:rPr>
        <w:t>11.</w:t>
      </w:r>
      <w:r>
        <w:rPr>
          <w:color w:val="auto"/>
          <w:highlight w:val="none"/>
        </w:rPr>
        <w:t>3价</w:t>
      </w:r>
      <w:r>
        <w:rPr>
          <w:rFonts w:hint="eastAsia"/>
          <w:color w:val="auto"/>
          <w:highlight w:val="none"/>
        </w:rPr>
        <w:t>格</w:t>
      </w:r>
      <w:r>
        <w:rPr>
          <w:rFonts w:hint="eastAsia"/>
          <w:color w:val="auto"/>
          <w:highlight w:val="none"/>
          <w:lang w:eastAsia="zh-CN"/>
        </w:rPr>
        <w:t>分值</w:t>
      </w:r>
      <w:r>
        <w:rPr>
          <w:rFonts w:hint="eastAsia"/>
          <w:color w:val="auto"/>
          <w:highlight w:val="none"/>
        </w:rPr>
        <w:t>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color w:val="auto"/>
          <w:highlight w:val="none"/>
        </w:rPr>
        <w:t>。</w:t>
      </w:r>
    </w:p>
    <w:p w14:paraId="30866637">
      <w:pPr>
        <w:pStyle w:val="36"/>
        <w:rPr>
          <w:b w:val="0"/>
          <w:bCs w:val="0"/>
          <w:color w:val="auto"/>
          <w:highlight w:val="none"/>
        </w:rPr>
      </w:pPr>
      <w:r>
        <w:rPr>
          <w:rFonts w:hint="eastAsia"/>
          <w:b w:val="0"/>
          <w:bCs w:val="0"/>
          <w:color w:val="auto"/>
          <w:highlight w:val="none"/>
        </w:rPr>
        <w:t>1</w:t>
      </w:r>
      <w:r>
        <w:rPr>
          <w:rFonts w:hint="eastAsia"/>
          <w:b w:val="0"/>
          <w:bCs w:val="0"/>
          <w:color w:val="auto"/>
          <w:highlight w:val="none"/>
          <w:lang w:val="en-US" w:eastAsia="zh-CN"/>
        </w:rPr>
        <w:t>2</w:t>
      </w:r>
      <w:r>
        <w:rPr>
          <w:b w:val="0"/>
          <w:bCs w:val="0"/>
          <w:color w:val="auto"/>
          <w:highlight w:val="none"/>
        </w:rPr>
        <w:t>.</w:t>
      </w:r>
      <w:r>
        <w:rPr>
          <w:rFonts w:hint="eastAsia"/>
          <w:b w:val="0"/>
          <w:bCs w:val="0"/>
          <w:color w:val="auto"/>
          <w:highlight w:val="none"/>
        </w:rPr>
        <w:t>政府采购政策评审</w:t>
      </w:r>
    </w:p>
    <w:p w14:paraId="1627C557">
      <w:pPr>
        <w:pStyle w:val="36"/>
        <w:numPr>
          <w:ilvl w:val="0"/>
          <w:numId w:val="0"/>
        </w:numPr>
        <w:ind w:firstLine="48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.1非专门面向中小企业的采购项目或采购包，对符合规定的小微企业（</w:t>
      </w:r>
      <w:r>
        <w:rPr>
          <w:rFonts w:hint="eastAsia"/>
          <w:color w:val="auto"/>
          <w:highlight w:val="none"/>
          <w:lang w:val="en-US" w:eastAsia="zh-CN"/>
        </w:rPr>
        <w:t>含</w:t>
      </w:r>
      <w:r>
        <w:rPr>
          <w:color w:val="auto"/>
          <w:highlight w:val="none"/>
        </w:rPr>
        <w:t>监狱企业、残疾人福利性单位、联合体各方均为小微企业的联合体、符合小微企业划分标准的个体工商户视同小微企业）报价</w:t>
      </w:r>
      <w:r>
        <w:rPr>
          <w:rFonts w:hint="eastAsia"/>
          <w:color w:val="auto"/>
          <w:highlight w:val="none"/>
        </w:rPr>
        <w:t>按照本招标文件</w:t>
      </w:r>
      <w:r>
        <w:rPr>
          <w:rFonts w:hint="eastAsia"/>
          <w:color w:val="auto"/>
          <w:highlight w:val="none"/>
          <w:lang w:eastAsia="zh-CN"/>
        </w:rPr>
        <w:t>“</w:t>
      </w:r>
      <w:r>
        <w:rPr>
          <w:rFonts w:hint="eastAsia"/>
          <w:color w:val="auto"/>
          <w:highlight w:val="none"/>
        </w:rPr>
        <w:t>投标人须知前附表”中的规定</w:t>
      </w:r>
      <w:r>
        <w:rPr>
          <w:color w:val="auto"/>
          <w:highlight w:val="none"/>
        </w:rPr>
        <w:t>扣除</w:t>
      </w:r>
      <w:r>
        <w:rPr>
          <w:rFonts w:hint="eastAsia"/>
          <w:color w:val="auto"/>
          <w:highlight w:val="none"/>
        </w:rPr>
        <w:t>，对小微企业中的监狱企业、残疾人福利性单位、采购产品纳入创新产品应用示范推荐目录内企业、采购产品获得节能产品或环境标志产品认证证书的企业报价按照本</w:t>
      </w:r>
      <w:r>
        <w:rPr>
          <w:rFonts w:hint="eastAsia"/>
          <w:color w:val="auto"/>
          <w:highlight w:val="none"/>
          <w:lang w:val="en-US" w:eastAsia="zh-CN"/>
        </w:rPr>
        <w:t>招标</w:t>
      </w:r>
      <w:r>
        <w:rPr>
          <w:rFonts w:hint="eastAsia"/>
          <w:color w:val="auto"/>
          <w:highlight w:val="none"/>
        </w:rPr>
        <w:t>文件</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rPr>
        <w:t>须知前附表”中的规定扣除，用扣除后的价格计算评审基准价</w:t>
      </w:r>
      <w:r>
        <w:rPr>
          <w:color w:val="auto"/>
          <w:highlight w:val="none"/>
        </w:rPr>
        <w:t>。</w:t>
      </w:r>
    </w:p>
    <w:p w14:paraId="1E5F4E03">
      <w:pPr>
        <w:pStyle w:val="36"/>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2</w:t>
      </w:r>
      <w:r>
        <w:rPr>
          <w:rFonts w:ascii="宋体" w:hAnsi="宋体" w:eastAsia="宋体"/>
          <w:color w:val="auto"/>
          <w:highlight w:val="none"/>
        </w:rPr>
        <w:t>参加政府采购活动的小微企业</w:t>
      </w:r>
      <w:r>
        <w:rPr>
          <w:rFonts w:hint="eastAsia"/>
          <w:color w:val="auto"/>
          <w:highlight w:val="none"/>
        </w:rPr>
        <w:t>（含节能环保、创新产品企业）</w:t>
      </w:r>
      <w:r>
        <w:rPr>
          <w:rFonts w:ascii="宋体" w:hAnsi="宋体" w:eastAsia="宋体"/>
          <w:color w:val="auto"/>
          <w:highlight w:val="none"/>
        </w:rPr>
        <w:t>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color w:val="auto"/>
          <w:highlight w:val="none"/>
          <w:lang w:val="en-US" w:eastAsia="zh-CN"/>
        </w:rPr>
        <w:t>若供应商同时属于小型或微型企业、监狱企业、残疾人福利性单位 中的两种及以上，将不重复享受小微企业价格扣减的优惠政策。</w:t>
      </w:r>
    </w:p>
    <w:p w14:paraId="1A495953">
      <w:pPr>
        <w:pStyle w:val="36"/>
        <w:numPr>
          <w:ilvl w:val="0"/>
          <w:numId w:val="0"/>
        </w:numPr>
        <w:shd w:val="clear" w:color="auto"/>
        <w:ind w:firstLine="480" w:firstLineChars="200"/>
        <w:rPr>
          <w:rFonts w:ascii="宋体" w:hAnsi="宋体" w:eastAsia="宋体" w:cstheme="minorBidi"/>
          <w:color w:val="auto"/>
          <w:kern w:val="2"/>
          <w:sz w:val="24"/>
          <w:szCs w:val="22"/>
          <w:highlight w:val="none"/>
          <w:lang w:val="en-US" w:eastAsia="zh-CN" w:bidi="ar-SA"/>
        </w:rPr>
      </w:pPr>
      <w:r>
        <w:rPr>
          <w:rFonts w:ascii="宋体" w:hAnsi="宋体" w:eastAsia="宋体" w:cstheme="minorBidi"/>
          <w:color w:val="auto"/>
          <w:kern w:val="2"/>
          <w:sz w:val="24"/>
          <w:szCs w:val="22"/>
          <w:highlight w:val="none"/>
          <w:lang w:val="en-US" w:eastAsia="zh-CN" w:bidi="ar-SA"/>
        </w:rPr>
        <w:t>组成联合体或者接受分包的小微企业与联合体内其他企业、分包企业</w:t>
      </w:r>
      <w:r>
        <w:rPr>
          <w:rFonts w:hint="default" w:ascii="宋体" w:hAnsi="宋体" w:eastAsia="宋体" w:cstheme="minorBidi"/>
          <w:color w:val="auto"/>
          <w:kern w:val="2"/>
          <w:sz w:val="24"/>
          <w:szCs w:val="22"/>
          <w:highlight w:val="none"/>
          <w:lang w:val="en-US" w:eastAsia="zh-CN" w:bidi="ar-SA"/>
        </w:rPr>
        <w:t>之间存在直接控股、管理关系的，不享受价格扣除优惠政策。</w:t>
      </w:r>
    </w:p>
    <w:p w14:paraId="4FDAF77C">
      <w:pPr>
        <w:pStyle w:val="36"/>
        <w:numPr>
          <w:ilvl w:val="0"/>
          <w:numId w:val="0"/>
        </w:numPr>
        <w:ind w:firstLine="480" w:firstLineChars="200"/>
        <w:rPr>
          <w:rFonts w:ascii="宋体" w:hAnsi="宋体" w:eastAsia="宋体"/>
          <w:color w:val="auto"/>
          <w:highlight w:val="none"/>
        </w:rPr>
      </w:pPr>
      <w:r>
        <w:rPr>
          <w:rFonts w:ascii="宋体" w:hAnsi="宋体" w:eastAsia="宋体" w:cstheme="minorBidi"/>
          <w:color w:val="auto"/>
          <w:kern w:val="2"/>
          <w:sz w:val="24"/>
          <w:szCs w:val="22"/>
          <w:highlight w:val="none"/>
          <w:lang w:val="en-US" w:eastAsia="zh-CN" w:bidi="ar-SA"/>
        </w:rPr>
        <w:t>价格扣除比例对小型企业和微型企业同等对待，不作区分。</w:t>
      </w:r>
    </w:p>
    <w:p w14:paraId="71DD10A8">
      <w:pPr>
        <w:pStyle w:val="36"/>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3</w:t>
      </w:r>
      <w:r>
        <w:rPr>
          <w:rFonts w:ascii="宋体" w:hAnsi="宋体" w:eastAsia="宋体"/>
          <w:color w:val="auto"/>
          <w:highlight w:val="none"/>
        </w:rPr>
        <w:t>专门面向中小企业、预留部分采购份额面向中小企业采购的项目或采购包，评审时不再进行价格扣除。</w:t>
      </w:r>
    </w:p>
    <w:p w14:paraId="3874ED83">
      <w:pPr>
        <w:pStyle w:val="36"/>
        <w:numPr>
          <w:ilvl w:val="0"/>
          <w:numId w:val="0"/>
        </w:numPr>
        <w:ind w:firstLine="48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12.4</w:t>
      </w:r>
      <w:r>
        <w:rPr>
          <w:rFonts w:hint="eastAsia" w:ascii="宋体" w:hAnsi="宋体" w:eastAsia="宋体"/>
          <w:color w:val="auto"/>
          <w:highlight w:val="none"/>
        </w:rPr>
        <w:t>对于未预留份额专门面向中小企业的政府采购项目，以及预留份额政府采购项目中的非预留部分标项，对小型和微型企业的投标报价给予10%-</w:t>
      </w:r>
      <w:r>
        <w:rPr>
          <w:rFonts w:ascii="宋体" w:hAnsi="宋体" w:eastAsia="宋体"/>
          <w:color w:val="auto"/>
          <w:highlight w:val="none"/>
        </w:rPr>
        <w:t>20</w:t>
      </w:r>
      <w:r>
        <w:rPr>
          <w:rFonts w:hint="eastAsia" w:ascii="宋体" w:hAnsi="宋体" w:eastAsia="宋体"/>
          <w:color w:val="auto"/>
          <w:highlight w:val="none"/>
        </w:rPr>
        <w:t>%的扣除，用扣除后的价格参与评审。接受大中型企业与小微企业组成联合体或者允许大中型企业向一家或者多家小微企业分包的政府采购项目，对于联合</w:t>
      </w:r>
      <w:r>
        <w:rPr>
          <w:rFonts w:hint="eastAsia" w:ascii="宋体" w:hAnsi="宋体" w:eastAsia="宋体"/>
          <w:color w:val="auto"/>
          <w:highlight w:val="none"/>
          <w:lang w:val="en-US" w:eastAsia="zh-CN"/>
        </w:rPr>
        <w:t>体</w:t>
      </w:r>
      <w:r>
        <w:rPr>
          <w:rFonts w:hint="eastAsia" w:ascii="宋体" w:hAnsi="宋体" w:eastAsia="宋体"/>
          <w:color w:val="auto"/>
          <w:highlight w:val="none"/>
        </w:rPr>
        <w:t>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或者分包意向协议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约定小微企业的合同份额占到合同总金额30%以上的，对联合体或者大中型企业的报价给予4%-</w:t>
      </w:r>
      <w:r>
        <w:rPr>
          <w:rFonts w:ascii="宋体" w:hAnsi="宋体" w:eastAsia="宋体"/>
          <w:color w:val="auto"/>
          <w:highlight w:val="none"/>
        </w:rPr>
        <w:t>6</w:t>
      </w:r>
      <w:r>
        <w:rPr>
          <w:rFonts w:hint="eastAsia"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6" w:name="_Toc32272"/>
      <w:bookmarkStart w:id="487" w:name="_Toc8718"/>
      <w:bookmarkStart w:id="488" w:name="_Toc1357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486"/>
      <w:bookmarkEnd w:id="487"/>
      <w:bookmarkEnd w:id="488"/>
    </w:p>
    <w:p w14:paraId="073A56A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13.评标过程中，各项分值一般精确到小数点后两位，评标得分应为商务评分、技术评分、报价评分之和。评标委员会各成员应汇总每个投标人的得分。</w:t>
      </w:r>
    </w:p>
    <w:p w14:paraId="0BE80DC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14.评标结果汇总完成后，采购代理机构应对评标结果进行复核。经复核发现存在以下情形之一的，</w:t>
      </w:r>
      <w:r>
        <w:rPr>
          <w:rFonts w:hint="eastAsia"/>
          <w:iCs/>
          <w:color w:val="auto"/>
          <w:spacing w:val="-6"/>
          <w:sz w:val="24"/>
          <w:highlight w:val="none"/>
          <w:lang w:val="en-US" w:eastAsia="zh-CN"/>
        </w:rPr>
        <w:t>评标委员会应当当场修改评标结果，并在评标报告中记载</w:t>
      </w:r>
      <w:r>
        <w:rPr>
          <w:rFonts w:hint="eastAsia"/>
          <w:color w:val="auto"/>
          <w:highlight w:val="none"/>
          <w:lang w:val="en-US" w:eastAsia="zh-CN"/>
        </w:rPr>
        <w:t>：</w:t>
      </w:r>
    </w:p>
    <w:p w14:paraId="427128F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14.1分值汇总计算错误的；</w:t>
      </w:r>
    </w:p>
    <w:p w14:paraId="4404F7B4">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14.2分项评分超出评分标准范围的；</w:t>
      </w:r>
    </w:p>
    <w:p w14:paraId="18150CA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14.3评标委员会成员对客观评审因素评分不一致的；</w:t>
      </w:r>
    </w:p>
    <w:p w14:paraId="6BFAB3D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14.4经评标委员会认定评分畸高、畸低的。</w:t>
      </w:r>
    </w:p>
    <w:p w14:paraId="0FD26D1C">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15.各投标人的最终得分为评标委员会所有成员对各投标人评标得分汇总后的算术平均值。</w:t>
      </w:r>
    </w:p>
    <w:p w14:paraId="1FD846A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5228022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9" w:name="_Toc10811"/>
      <w:bookmarkStart w:id="490" w:name="_Toc16908"/>
      <w:bookmarkStart w:id="491" w:name="_Toc2583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489"/>
      <w:bookmarkEnd w:id="490"/>
      <w:bookmarkEnd w:id="491"/>
    </w:p>
    <w:p w14:paraId="514ADBD8">
      <w:pPr>
        <w:pStyle w:val="36"/>
        <w:rPr>
          <w:rFonts w:hint="eastAsia"/>
          <w:color w:val="auto"/>
          <w:highlight w:val="none"/>
        </w:rPr>
      </w:pPr>
      <w:r>
        <w:rPr>
          <w:rFonts w:hint="eastAsia"/>
          <w:color w:val="auto"/>
          <w:highlight w:val="none"/>
          <w:lang w:val="en-US" w:eastAsia="zh-CN"/>
        </w:rPr>
        <w:t>16.</w:t>
      </w:r>
      <w:r>
        <w:rPr>
          <w:rFonts w:hint="eastAsia"/>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color w:val="auto"/>
          <w:highlight w:val="none"/>
          <w:lang w:val="en-US" w:eastAsia="zh-CN"/>
        </w:rPr>
        <w:t>按</w:t>
      </w:r>
      <w:r>
        <w:rPr>
          <w:rFonts w:hint="eastAsia"/>
          <w:color w:val="auto"/>
          <w:highlight w:val="none"/>
        </w:rPr>
        <w:t>技术指标</w:t>
      </w:r>
      <w:r>
        <w:rPr>
          <w:rFonts w:hint="eastAsia"/>
          <w:color w:val="auto"/>
          <w:highlight w:val="none"/>
          <w:lang w:val="en-US" w:eastAsia="zh-CN"/>
        </w:rPr>
        <w:t>优劣顺序排列</w:t>
      </w:r>
      <w:r>
        <w:rPr>
          <w:rFonts w:hint="eastAsia"/>
          <w:color w:val="auto"/>
          <w:highlight w:val="none"/>
        </w:rPr>
        <w:t>。</w:t>
      </w:r>
    </w:p>
    <w:p w14:paraId="3B1F6C1A">
      <w:pPr>
        <w:pStyle w:val="36"/>
        <w:rPr>
          <w:color w:val="auto"/>
          <w:highlight w:val="none"/>
        </w:rPr>
      </w:pPr>
      <w:r>
        <w:rPr>
          <w:rFonts w:hint="eastAsia"/>
          <w:color w:val="auto"/>
          <w:highlight w:val="none"/>
          <w:lang w:val="en-US" w:eastAsia="zh-CN"/>
        </w:rPr>
        <w:t>17.</w:t>
      </w:r>
      <w:r>
        <w:rPr>
          <w:rFonts w:hint="eastAsia"/>
          <w:color w:val="auto"/>
          <w:highlight w:val="none"/>
        </w:rPr>
        <w:t>中标候选人</w:t>
      </w:r>
      <w:r>
        <w:rPr>
          <w:rFonts w:hint="eastAsia"/>
          <w:color w:val="auto"/>
          <w:highlight w:val="none"/>
          <w:lang w:val="en-US" w:eastAsia="zh-CN"/>
        </w:rPr>
        <w:t>推荐家数详</w:t>
      </w:r>
      <w:r>
        <w:rPr>
          <w:rFonts w:hint="eastAsia"/>
          <w:color w:val="auto"/>
          <w:highlight w:val="none"/>
        </w:rPr>
        <w:t>见“</w:t>
      </w:r>
      <w:r>
        <w:rPr>
          <w:rFonts w:hint="eastAsia"/>
          <w:color w:val="auto"/>
          <w:highlight w:val="none"/>
          <w:lang w:val="en-US" w:eastAsia="zh-CN"/>
        </w:rPr>
        <w:t>投标人须知</w:t>
      </w:r>
      <w:r>
        <w:rPr>
          <w:rFonts w:hint="eastAsia"/>
          <w:color w:val="auto"/>
          <w:highlight w:val="none"/>
        </w:rPr>
        <w:t>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2" w:name="_Toc13628"/>
      <w:bookmarkStart w:id="493" w:name="_Toc7048"/>
      <w:bookmarkStart w:id="494" w:name="_Toc3106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492"/>
      <w:bookmarkEnd w:id="493"/>
      <w:bookmarkEnd w:id="494"/>
    </w:p>
    <w:p w14:paraId="3576CABA">
      <w:pPr>
        <w:pStyle w:val="36"/>
        <w:rPr>
          <w:color w:val="auto"/>
          <w:highlight w:val="none"/>
        </w:rPr>
      </w:pPr>
      <w:r>
        <w:rPr>
          <w:rFonts w:hint="eastAsia"/>
          <w:color w:val="auto"/>
          <w:highlight w:val="none"/>
          <w:lang w:val="en-US" w:eastAsia="zh-CN"/>
        </w:rPr>
        <w:t>18.</w:t>
      </w:r>
      <w:r>
        <w:rPr>
          <w:rFonts w:hint="eastAsia"/>
          <w:color w:val="auto"/>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5" w:name="_Toc163492906"/>
      <w:bookmarkStart w:id="496" w:name="_Toc102116021"/>
      <w:bookmarkStart w:id="497" w:name="_Toc102114919"/>
      <w:bookmarkStart w:id="498" w:name="_Toc102057717"/>
      <w:bookmarkStart w:id="499" w:name="_Toc102119852"/>
      <w:bookmarkStart w:id="500" w:name="_Toc155185913"/>
      <w:bookmarkStart w:id="501" w:name="_Toc4897"/>
      <w:bookmarkStart w:id="502" w:name="_Toc22304"/>
      <w:bookmarkStart w:id="503" w:name="_Toc102116151"/>
      <w:bookmarkStart w:id="504" w:name="_Toc102056217"/>
      <w:bookmarkStart w:id="505" w:name="_Toc252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495"/>
      <w:bookmarkEnd w:id="496"/>
      <w:bookmarkEnd w:id="497"/>
      <w:bookmarkEnd w:id="498"/>
      <w:bookmarkEnd w:id="499"/>
      <w:bookmarkEnd w:id="500"/>
      <w:bookmarkEnd w:id="501"/>
      <w:bookmarkEnd w:id="502"/>
      <w:bookmarkEnd w:id="503"/>
      <w:bookmarkEnd w:id="504"/>
      <w:bookmarkEnd w:id="505"/>
    </w:p>
    <w:p w14:paraId="2D93D6F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19.投标人存在下列情形之一的，</w:t>
      </w:r>
      <w:r>
        <w:rPr>
          <w:rFonts w:hint="eastAsia"/>
          <w:b/>
          <w:bCs/>
          <w:color w:val="auto"/>
          <w:highlight w:val="none"/>
          <w:lang w:val="en-US" w:eastAsia="zh-CN"/>
        </w:rPr>
        <w:t>投标无效</w:t>
      </w:r>
      <w:r>
        <w:rPr>
          <w:rFonts w:hint="eastAsia"/>
          <w:color w:val="auto"/>
          <w:highlight w:val="none"/>
          <w:lang w:val="en-US" w:eastAsia="zh-CN"/>
        </w:rPr>
        <w:t>：</w:t>
      </w:r>
    </w:p>
    <w:p w14:paraId="5C1B2C9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投标人</w:t>
      </w:r>
      <w:r>
        <w:rPr>
          <w:rFonts w:hint="eastAsia"/>
          <w:color w:val="auto"/>
          <w:highlight w:val="none"/>
          <w:lang w:val="zh-CN" w:eastAsia="zh-CN"/>
        </w:rPr>
        <w:t>不具备《中华人民共和国政府采购法》第二十二条规定条件</w:t>
      </w:r>
      <w:r>
        <w:rPr>
          <w:rFonts w:hint="eastAsia"/>
          <w:color w:val="auto"/>
          <w:highlight w:val="none"/>
          <w:lang w:val="en-US" w:eastAsia="zh-CN"/>
        </w:rPr>
        <w:t>；</w:t>
      </w:r>
    </w:p>
    <w:p w14:paraId="15C939E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eastAsia="宋体"/>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2</w:t>
      </w:r>
      <w:r>
        <w:rPr>
          <w:rFonts w:hint="eastAsia"/>
          <w:color w:val="auto"/>
          <w:highlight w:val="none"/>
        </w:rPr>
        <w:t>投标文件未按招标文件要求签署、盖章的</w:t>
      </w:r>
      <w:r>
        <w:rPr>
          <w:rFonts w:hint="eastAsia"/>
          <w:color w:val="auto"/>
          <w:highlight w:val="none"/>
          <w:lang w:val="en-US" w:eastAsia="zh-CN"/>
        </w:rPr>
        <w:t>；</w:t>
      </w:r>
    </w:p>
    <w:p w14:paraId="0A936FC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3</w:t>
      </w:r>
      <w:r>
        <w:rPr>
          <w:rFonts w:hint="eastAsia"/>
          <w:color w:val="auto"/>
          <w:highlight w:val="none"/>
          <w:lang w:val="en-US" w:eastAsia="zh-CN"/>
        </w:rPr>
        <w:t>不具备招标文件中规定的资格要求的（投标人未提供有效资格文件的，视为投标人不具备招标文件中规定的资格要求）；</w:t>
      </w:r>
    </w:p>
    <w:p w14:paraId="0C68E35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4</w:t>
      </w:r>
      <w:r>
        <w:rPr>
          <w:rFonts w:hint="eastAsia"/>
          <w:color w:val="auto"/>
          <w:highlight w:val="none"/>
          <w:lang w:val="en-US" w:eastAsia="zh-CN"/>
        </w:rPr>
        <w:t>投标</w:t>
      </w:r>
      <w:r>
        <w:rPr>
          <w:rFonts w:hint="eastAsia"/>
          <w:color w:val="auto"/>
          <w:highlight w:val="none"/>
          <w:lang w:val="zh-CN" w:eastAsia="zh-CN"/>
        </w:rPr>
        <w:t>文件提供虚假材料的</w:t>
      </w:r>
      <w:r>
        <w:rPr>
          <w:rFonts w:hint="eastAsia"/>
          <w:color w:val="auto"/>
          <w:highlight w:val="none"/>
          <w:lang w:val="en-US" w:eastAsia="zh-CN"/>
        </w:rPr>
        <w:t>；</w:t>
      </w:r>
    </w:p>
    <w:p w14:paraId="3FDAE16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5</w:t>
      </w:r>
      <w:r>
        <w:rPr>
          <w:rFonts w:hint="eastAsia"/>
          <w:color w:val="auto"/>
          <w:highlight w:val="none"/>
          <w:lang w:val="en-US" w:eastAsia="zh-CN"/>
        </w:rPr>
        <w:t>投标</w:t>
      </w:r>
      <w:r>
        <w:rPr>
          <w:rFonts w:hint="eastAsia"/>
          <w:color w:val="auto"/>
          <w:highlight w:val="none"/>
          <w:lang w:val="zh-CN" w:eastAsia="zh-CN"/>
        </w:rPr>
        <w:t>文件不满足</w:t>
      </w:r>
      <w:r>
        <w:rPr>
          <w:rFonts w:hint="eastAsia"/>
          <w:color w:val="auto"/>
          <w:highlight w:val="none"/>
          <w:lang w:val="en-US" w:eastAsia="zh-CN"/>
        </w:rPr>
        <w:t>招标</w:t>
      </w:r>
      <w:r>
        <w:rPr>
          <w:rFonts w:hint="eastAsia"/>
          <w:color w:val="auto"/>
          <w:highlight w:val="none"/>
          <w:lang w:val="zh-CN" w:eastAsia="zh-CN"/>
        </w:rPr>
        <w:t>文件中标注“★”号的实质性条款（或指标）要求的</w:t>
      </w:r>
      <w:r>
        <w:rPr>
          <w:rFonts w:hint="eastAsia"/>
          <w:color w:val="auto"/>
          <w:highlight w:val="none"/>
          <w:lang w:val="en-US" w:eastAsia="zh-CN"/>
        </w:rPr>
        <w:t>；</w:t>
      </w:r>
    </w:p>
    <w:p w14:paraId="2C5FC304">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6</w:t>
      </w:r>
      <w:r>
        <w:rPr>
          <w:rFonts w:hint="eastAsia"/>
          <w:color w:val="auto"/>
          <w:highlight w:val="none"/>
          <w:lang w:val="en-US" w:eastAsia="zh-CN"/>
        </w:rPr>
        <w:t>投标人</w:t>
      </w:r>
      <w:r>
        <w:rPr>
          <w:rFonts w:hint="eastAsia"/>
          <w:color w:val="auto"/>
          <w:highlight w:val="none"/>
          <w:lang w:val="zh-CN" w:eastAsia="zh-CN"/>
        </w:rPr>
        <w:t>报价超过招标文件中规定的</w:t>
      </w:r>
      <w:r>
        <w:rPr>
          <w:rFonts w:hint="eastAsia" w:ascii="宋体" w:hAnsi="宋体" w:eastAsia="宋体"/>
          <w:color w:val="auto"/>
          <w:highlight w:val="none"/>
          <w:lang w:val="en-US" w:eastAsia="zh-CN"/>
        </w:rPr>
        <w:t>最高限价或者预算金额</w:t>
      </w:r>
      <w:r>
        <w:rPr>
          <w:rFonts w:hint="eastAsia"/>
          <w:color w:val="auto"/>
          <w:highlight w:val="none"/>
          <w:lang w:val="zh-CN" w:eastAsia="zh-CN"/>
        </w:rPr>
        <w:t>的</w:t>
      </w:r>
      <w:r>
        <w:rPr>
          <w:rFonts w:hint="eastAsia"/>
          <w:color w:val="auto"/>
          <w:highlight w:val="none"/>
          <w:lang w:val="en-US" w:eastAsia="zh-CN"/>
        </w:rPr>
        <w:t>；</w:t>
      </w:r>
    </w:p>
    <w:p w14:paraId="6FC2A54F">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7联合体的供应商未提交各方共同签署的</w:t>
      </w:r>
      <w:r>
        <w:rPr>
          <w:rFonts w:hint="eastAsia"/>
          <w:color w:val="auto"/>
          <w:highlight w:val="none"/>
          <w:lang w:val="en-US" w:eastAsia="zh-CN"/>
        </w:rPr>
        <w:t>联合体</w:t>
      </w:r>
      <w:r>
        <w:rPr>
          <w:rFonts w:hint="eastAsia"/>
          <w:color w:val="auto"/>
          <w:highlight w:val="none"/>
          <w:lang w:val="zh-CN" w:eastAsia="zh-CN"/>
        </w:rPr>
        <w:t>协议</w:t>
      </w:r>
      <w:r>
        <w:rPr>
          <w:rFonts w:hint="eastAsia"/>
          <w:color w:val="auto"/>
          <w:highlight w:val="none"/>
          <w:lang w:val="en-US" w:eastAsia="zh-CN"/>
        </w:rPr>
        <w:t>的；</w:t>
      </w:r>
    </w:p>
    <w:p w14:paraId="4D1E785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8</w:t>
      </w:r>
      <w:r>
        <w:rPr>
          <w:rFonts w:hint="eastAsia"/>
          <w:color w:val="auto"/>
          <w:highlight w:val="none"/>
          <w:lang w:val="en-US" w:eastAsia="zh-CN"/>
        </w:rPr>
        <w:t>投标人</w:t>
      </w:r>
      <w:r>
        <w:rPr>
          <w:rFonts w:hint="eastAsia"/>
          <w:color w:val="auto"/>
          <w:highlight w:val="none"/>
          <w:lang w:val="zh-CN" w:eastAsia="zh-CN"/>
        </w:rPr>
        <w:t>未按</w:t>
      </w:r>
      <w:r>
        <w:rPr>
          <w:rFonts w:hint="eastAsia"/>
          <w:color w:val="auto"/>
          <w:highlight w:val="none"/>
          <w:lang w:val="en-US" w:eastAsia="zh-CN"/>
        </w:rPr>
        <w:t>招标</w:t>
      </w:r>
      <w:r>
        <w:rPr>
          <w:rFonts w:hint="eastAsia"/>
          <w:color w:val="auto"/>
          <w:highlight w:val="none"/>
          <w:lang w:val="zh-CN" w:eastAsia="zh-CN"/>
        </w:rPr>
        <w:t>文件</w:t>
      </w:r>
      <w:r>
        <w:rPr>
          <w:rFonts w:hint="eastAsia"/>
          <w:color w:val="auto"/>
          <w:highlight w:val="none"/>
          <w:lang w:val="en-US" w:eastAsia="zh-CN"/>
        </w:rPr>
        <w:t>的规定</w:t>
      </w:r>
      <w:r>
        <w:rPr>
          <w:rFonts w:hint="eastAsia"/>
          <w:color w:val="auto"/>
          <w:highlight w:val="none"/>
          <w:lang w:val="zh-CN" w:eastAsia="zh-CN"/>
        </w:rPr>
        <w:t>交纳投标保证金</w:t>
      </w:r>
      <w:r>
        <w:rPr>
          <w:rFonts w:hint="eastAsia"/>
          <w:color w:val="auto"/>
          <w:highlight w:val="none"/>
          <w:lang w:val="en-US" w:eastAsia="zh-CN"/>
        </w:rPr>
        <w:t>的；</w:t>
      </w:r>
    </w:p>
    <w:p w14:paraId="149A35CB">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9评审期间,</w:t>
      </w:r>
      <w:r>
        <w:rPr>
          <w:rFonts w:hint="eastAsia"/>
          <w:color w:val="auto"/>
          <w:highlight w:val="none"/>
          <w:lang w:val="en-US" w:eastAsia="zh-CN"/>
        </w:rPr>
        <w:t>投标人</w:t>
      </w:r>
      <w:r>
        <w:rPr>
          <w:rFonts w:hint="eastAsia"/>
          <w:color w:val="auto"/>
          <w:highlight w:val="none"/>
          <w:lang w:val="zh-CN" w:eastAsia="zh-CN"/>
        </w:rPr>
        <w:t>没有按评标委员会的要求提交经授权代表签字的澄清、说明、补正或改变了</w:t>
      </w:r>
      <w:r>
        <w:rPr>
          <w:rFonts w:hint="eastAsia"/>
          <w:color w:val="auto"/>
          <w:highlight w:val="none"/>
          <w:lang w:val="en-US" w:eastAsia="zh-CN"/>
        </w:rPr>
        <w:t>投标</w:t>
      </w:r>
      <w:r>
        <w:rPr>
          <w:rFonts w:hint="eastAsia"/>
          <w:color w:val="auto"/>
          <w:highlight w:val="none"/>
          <w:lang w:val="zh-CN" w:eastAsia="zh-CN"/>
        </w:rPr>
        <w:t>文件的实质性内容</w:t>
      </w:r>
      <w:r>
        <w:rPr>
          <w:rFonts w:hint="eastAsia"/>
          <w:color w:val="auto"/>
          <w:highlight w:val="none"/>
          <w:lang w:val="en-US" w:eastAsia="zh-CN"/>
        </w:rPr>
        <w:t>的；</w:t>
      </w:r>
    </w:p>
    <w:p w14:paraId="19EFB93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10</w:t>
      </w:r>
      <w:r>
        <w:rPr>
          <w:rFonts w:hint="eastAsia"/>
          <w:color w:val="auto"/>
          <w:highlight w:val="none"/>
          <w:lang w:val="en-US" w:eastAsia="zh-CN"/>
        </w:rPr>
        <w:t>投标人</w:t>
      </w:r>
      <w:r>
        <w:rPr>
          <w:rFonts w:hint="eastAsia"/>
          <w:color w:val="auto"/>
          <w:highlight w:val="none"/>
          <w:lang w:val="zh-CN" w:eastAsia="zh-CN"/>
        </w:rPr>
        <w:t>对采购人、采购代理机构、评标委员会及其工作人员施加影响,有碍公平、公正</w:t>
      </w:r>
      <w:r>
        <w:rPr>
          <w:rFonts w:hint="eastAsia"/>
          <w:color w:val="auto"/>
          <w:highlight w:val="none"/>
          <w:lang w:val="en-US" w:eastAsia="zh-CN"/>
        </w:rPr>
        <w:t>的；</w:t>
      </w:r>
    </w:p>
    <w:p w14:paraId="3A6B238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color w:val="auto"/>
          <w:highlight w:val="none"/>
          <w:lang w:val="en-US" w:eastAsia="zh-CN"/>
        </w:rPr>
      </w:pPr>
      <w:r>
        <w:rPr>
          <w:rFonts w:hint="eastAsia"/>
          <w:color w:val="auto"/>
          <w:highlight w:val="none"/>
          <w:lang w:val="en-US" w:eastAsia="zh-CN"/>
        </w:rPr>
        <w:t>19.11投标文件含有采购人不能接受的附加条件的；</w:t>
      </w:r>
    </w:p>
    <w:p w14:paraId="3764E97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2</w:t>
      </w:r>
      <w:r>
        <w:rPr>
          <w:rFonts w:hint="eastAsia"/>
          <w:color w:val="auto"/>
          <w:highlight w:val="none"/>
          <w:lang w:val="zh-CN" w:eastAsia="zh-CN"/>
        </w:rPr>
        <w:t>法律、法规、规章规定属于</w:t>
      </w:r>
      <w:r>
        <w:rPr>
          <w:rFonts w:hint="eastAsia"/>
          <w:color w:val="auto"/>
          <w:highlight w:val="none"/>
          <w:lang w:val="en-US" w:eastAsia="zh-CN"/>
        </w:rPr>
        <w:t>投标</w:t>
      </w:r>
      <w:r>
        <w:rPr>
          <w:rFonts w:hint="eastAsia"/>
          <w:color w:val="auto"/>
          <w:highlight w:val="none"/>
          <w:lang w:val="zh-CN" w:eastAsia="zh-CN"/>
        </w:rPr>
        <w:t>无效的其他情形。</w:t>
      </w:r>
    </w:p>
    <w:p w14:paraId="601D797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20.有下列情形之一的，视为投标人串通投标，其</w:t>
      </w:r>
      <w:r>
        <w:rPr>
          <w:rFonts w:hint="eastAsia"/>
          <w:b/>
          <w:bCs/>
          <w:color w:val="auto"/>
          <w:highlight w:val="none"/>
          <w:lang w:val="en-US" w:eastAsia="zh-CN"/>
        </w:rPr>
        <w:t>投标无效</w:t>
      </w:r>
      <w:r>
        <w:rPr>
          <w:rFonts w:hint="eastAsia"/>
          <w:color w:val="auto"/>
          <w:highlight w:val="none"/>
          <w:lang w:val="en-US" w:eastAsia="zh-CN"/>
        </w:rPr>
        <w:t>：</w:t>
      </w:r>
    </w:p>
    <w:p w14:paraId="0BD5061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20.1不同投标人的投标文件由同一单位或者个人编制；</w:t>
      </w:r>
    </w:p>
    <w:p w14:paraId="3181555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20.2不同投标人委托同一单位或者个人办理投标事宜；</w:t>
      </w:r>
    </w:p>
    <w:p w14:paraId="3AD2037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20.3不同投标人的投标文件载明的项目管理成员或者联系人员为同一人；</w:t>
      </w:r>
    </w:p>
    <w:p w14:paraId="3F168EA2">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20.4不同投标人的投标文件异常一致或者投标报价呈规律性差异；</w:t>
      </w:r>
    </w:p>
    <w:p w14:paraId="634E793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20.5不同投标人的投标文件相互混装；</w:t>
      </w:r>
    </w:p>
    <w:p w14:paraId="3B078CE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20.6不同投标人的投标保证金从同一单位或者个人的账户转出；</w:t>
      </w:r>
    </w:p>
    <w:p w14:paraId="1C3AF75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20.7</w:t>
      </w:r>
      <w:r>
        <w:rPr>
          <w:rFonts w:hint="eastAsia"/>
          <w:color w:val="auto"/>
          <w:highlight w:val="none"/>
          <w:lang w:val="zh-CN" w:eastAsia="zh-CN"/>
        </w:rPr>
        <w:t>不同投标人使用同一电脑（机器特征值一致：如MAC地址等）或使用同一电子密钥，编制或上传电子投标文件</w:t>
      </w:r>
      <w:r>
        <w:rPr>
          <w:rFonts w:hint="eastAsia"/>
          <w:color w:val="auto"/>
          <w:highlight w:val="none"/>
          <w:lang w:val="en-US" w:eastAsia="zh-CN"/>
        </w:rPr>
        <w:t>；</w:t>
      </w:r>
    </w:p>
    <w:p w14:paraId="0641DF4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eastAsia="宋体"/>
          <w:color w:val="auto"/>
          <w:highlight w:val="none"/>
          <w:lang w:val="en-US" w:eastAsia="zh-CN"/>
        </w:rPr>
      </w:pPr>
      <w:r>
        <w:rPr>
          <w:rFonts w:hint="eastAsia"/>
          <w:color w:val="auto"/>
          <w:highlight w:val="none"/>
          <w:lang w:val="en-US" w:eastAsia="zh-CN"/>
        </w:rPr>
        <w:t>20.8法律、法规、规章规定属于投标人串通投标的其他情形</w:t>
      </w:r>
      <w:r>
        <w:rPr>
          <w:rFonts w:hint="eastAsia"/>
          <w:color w:val="auto"/>
          <w:highlight w:val="none"/>
          <w:lang w:val="zh-CN" w:eastAsia="zh-CN"/>
        </w:rPr>
        <w:t>。</w:t>
      </w:r>
    </w:p>
    <w:p w14:paraId="737FAF0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w:t>
      </w:r>
      <w:r>
        <w:rPr>
          <w:rFonts w:hint="eastAsia"/>
          <w:color w:val="auto"/>
          <w:highlight w:val="none"/>
        </w:rPr>
        <w:t>根据《中华人民共和国政府采购法》第三十六条之规定，在招标采购过程中，出现下列情形之一的，应予</w:t>
      </w:r>
      <w:r>
        <w:rPr>
          <w:rFonts w:hint="eastAsia"/>
          <w:b/>
          <w:bCs/>
          <w:color w:val="auto"/>
          <w:highlight w:val="none"/>
        </w:rPr>
        <w:t>废标</w:t>
      </w:r>
      <w:r>
        <w:rPr>
          <w:rFonts w:hint="eastAsia"/>
          <w:color w:val="auto"/>
          <w:highlight w:val="none"/>
        </w:rPr>
        <w:t>：</w:t>
      </w:r>
    </w:p>
    <w:p w14:paraId="2C92042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.1</w:t>
      </w:r>
      <w:r>
        <w:rPr>
          <w:rFonts w:hint="eastAsia"/>
          <w:iCs/>
          <w:color w:val="auto"/>
          <w:spacing w:val="-6"/>
          <w:sz w:val="24"/>
          <w:highlight w:val="none"/>
        </w:rPr>
        <w:t>符合专业条件的供应商或者对招标文件作实质响应的供应商不足3家的；</w:t>
      </w:r>
    </w:p>
    <w:p w14:paraId="34ECD7A2">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.2</w:t>
      </w:r>
      <w:r>
        <w:rPr>
          <w:rFonts w:hint="eastAsia"/>
          <w:color w:val="auto"/>
          <w:highlight w:val="none"/>
        </w:rPr>
        <w:t>出现影响采购公正的违法、违规行为的；</w:t>
      </w:r>
    </w:p>
    <w:p w14:paraId="55223AA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.3</w:t>
      </w:r>
      <w:r>
        <w:rPr>
          <w:rFonts w:hint="eastAsia"/>
          <w:color w:val="auto"/>
          <w:highlight w:val="none"/>
        </w:rPr>
        <w:t>投标人的报价均超过了采购预算，采购人不能支付的；</w:t>
      </w:r>
    </w:p>
    <w:p w14:paraId="238CC2DB">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21</w:t>
      </w:r>
      <w:r>
        <w:rPr>
          <w:color w:val="auto"/>
          <w:highlight w:val="none"/>
        </w:rPr>
        <w:t>.4</w:t>
      </w:r>
      <w:r>
        <w:rPr>
          <w:rFonts w:hint="eastAsia"/>
          <w:color w:val="auto"/>
          <w:highlight w:val="none"/>
        </w:rPr>
        <w:t>因重大变故，采购任务取消的</w:t>
      </w:r>
      <w:r>
        <w:rPr>
          <w:rFonts w:hint="eastAsia"/>
          <w:color w:val="auto"/>
          <w:highlight w:val="none"/>
          <w:lang w:val="en-US" w:eastAsia="zh-CN"/>
        </w:rPr>
        <w:t>；</w:t>
      </w:r>
    </w:p>
    <w:p w14:paraId="42948BC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21.5</w:t>
      </w:r>
      <w:r>
        <w:rPr>
          <w:rFonts w:hint="eastAsia"/>
          <w:color w:val="auto"/>
          <w:highlight w:val="none"/>
        </w:rPr>
        <w:t>法律、法规、规章规定属于</w:t>
      </w:r>
      <w:r>
        <w:rPr>
          <w:rFonts w:hint="eastAsia"/>
          <w:color w:val="auto"/>
          <w:highlight w:val="none"/>
          <w:lang w:val="en-US" w:eastAsia="zh-CN"/>
        </w:rPr>
        <w:t>废标</w:t>
      </w:r>
      <w:r>
        <w:rPr>
          <w:rFonts w:hint="eastAsia"/>
          <w:color w:val="auto"/>
          <w:highlight w:val="none"/>
        </w:rPr>
        <w:t>的其他情形。</w:t>
      </w:r>
    </w:p>
    <w:p w14:paraId="3EE3913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22.</w:t>
      </w:r>
      <w:r>
        <w:rPr>
          <w:rFonts w:hint="eastAsia"/>
          <w:color w:val="auto"/>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06" w:name="_Toc102114920"/>
      <w:bookmarkStart w:id="507" w:name="_Toc20839"/>
      <w:bookmarkStart w:id="508" w:name="_Toc102116152"/>
      <w:bookmarkStart w:id="509" w:name="_Toc5243"/>
      <w:bookmarkStart w:id="510" w:name="_Toc102119853"/>
      <w:bookmarkStart w:id="511" w:name="_Toc102056218"/>
      <w:bookmarkStart w:id="512" w:name="_Toc163492907"/>
      <w:bookmarkStart w:id="513" w:name="_Toc102057718"/>
      <w:bookmarkStart w:id="514" w:name="_Toc102116022"/>
      <w:bookmarkStart w:id="515" w:name="_Toc155185914"/>
      <w:bookmarkStart w:id="516" w:name="_Toc1400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06"/>
      <w:bookmarkEnd w:id="507"/>
      <w:bookmarkEnd w:id="508"/>
      <w:bookmarkEnd w:id="509"/>
      <w:bookmarkEnd w:id="510"/>
      <w:bookmarkEnd w:id="511"/>
      <w:bookmarkEnd w:id="512"/>
      <w:bookmarkEnd w:id="513"/>
      <w:bookmarkEnd w:id="514"/>
      <w:bookmarkEnd w:id="515"/>
      <w:bookmarkEnd w:id="516"/>
    </w:p>
    <w:p w14:paraId="190044DE">
      <w:pPr>
        <w:pStyle w:val="36"/>
        <w:rPr>
          <w:rFonts w:hint="eastAsia"/>
          <w:color w:val="auto"/>
          <w:highlight w:val="none"/>
        </w:rPr>
      </w:pPr>
      <w:r>
        <w:rPr>
          <w:rFonts w:hint="eastAsia"/>
          <w:color w:val="auto"/>
          <w:highlight w:val="none"/>
          <w:lang w:val="en-US" w:eastAsia="zh-CN"/>
        </w:rPr>
        <w:t>23</w:t>
      </w:r>
      <w:r>
        <w:rPr>
          <w:color w:val="auto"/>
          <w:highlight w:val="none"/>
        </w:rPr>
        <w:t>.</w:t>
      </w: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7" w:name="_Toc8262"/>
      <w:bookmarkStart w:id="518" w:name="_Toc13967"/>
      <w:bookmarkStart w:id="519" w:name="_Toc1059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17"/>
      <w:bookmarkEnd w:id="518"/>
      <w:bookmarkEnd w:id="519"/>
    </w:p>
    <w:p w14:paraId="461B653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有</w:t>
      </w:r>
      <w:r>
        <w:rPr>
          <w:rFonts w:hint="eastAsia"/>
          <w:color w:val="auto"/>
          <w:highlight w:val="none"/>
          <w:lang w:eastAsia="zh-CN"/>
        </w:rPr>
        <w:t>《</w:t>
      </w:r>
      <w:r>
        <w:rPr>
          <w:rFonts w:hint="eastAsia"/>
          <w:color w:val="auto"/>
          <w:highlight w:val="none"/>
        </w:rPr>
        <w:t>中华人民共和国政府采购法</w:t>
      </w:r>
      <w:r>
        <w:rPr>
          <w:rFonts w:hint="eastAsia"/>
          <w:color w:val="auto"/>
          <w:highlight w:val="none"/>
          <w:lang w:eastAsia="zh-CN"/>
        </w:rPr>
        <w:t>》</w:t>
      </w:r>
      <w:r>
        <w:rPr>
          <w:rFonts w:hint="eastAsia"/>
          <w:color w:val="auto"/>
          <w:highlight w:val="none"/>
        </w:rPr>
        <w:t>第七十一条、第七十二条规定的违法行为之一，影响或者可能影响中标结果的，依照下列规定处理：</w:t>
      </w:r>
    </w:p>
    <w:p w14:paraId="7AA5C7C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.1</w:t>
      </w:r>
      <w:r>
        <w:rPr>
          <w:rFonts w:hint="eastAsia"/>
          <w:iCs/>
          <w:color w:val="auto"/>
          <w:spacing w:val="-6"/>
          <w:sz w:val="24"/>
          <w:highlight w:val="none"/>
        </w:rPr>
        <w:t>未确定中标供应商的，终止本次政府采购活动，重新开展政府采购活动。</w:t>
      </w:r>
    </w:p>
    <w:p w14:paraId="3A79489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.2已确定中标供应商但尚未签订政府采购合同的，中标结果无效，从合格的中标候选人中另行确定中标供应商；没有合格的中标候选人的，重新开展政府采购活动。</w:t>
      </w:r>
    </w:p>
    <w:p w14:paraId="595100CC">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.3政府采购合同已签订但尚未履行的，撤销合同，从合格的中标候选人中另行确定中标供应商；没有合格的中标候选人的，重新开展政府采购活动。</w:t>
      </w:r>
    </w:p>
    <w:p w14:paraId="45E078B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.4政府采购合同已经履行，给采购人、供应商造成损失的，由责任人承担赔偿责任。</w:t>
      </w:r>
    </w:p>
    <w:p w14:paraId="43A428E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24</w:t>
      </w:r>
      <w:r>
        <w:rPr>
          <w:rFonts w:hint="eastAsia"/>
          <w:color w:val="auto"/>
          <w:highlight w:val="none"/>
        </w:rPr>
        <w:t>.5政府采购当事人有其他违反</w:t>
      </w:r>
      <w:r>
        <w:rPr>
          <w:rFonts w:hint="eastAsia"/>
          <w:iCs/>
          <w:color w:val="auto"/>
          <w:spacing w:val="-6"/>
          <w:sz w:val="24"/>
          <w:highlight w:val="none"/>
          <w:lang w:eastAsia="zh-CN"/>
        </w:rPr>
        <w:t>《</w:t>
      </w:r>
      <w:r>
        <w:rPr>
          <w:rFonts w:hint="eastAsia"/>
          <w:iCs/>
          <w:color w:val="auto"/>
          <w:spacing w:val="-6"/>
          <w:sz w:val="24"/>
          <w:highlight w:val="none"/>
        </w:rPr>
        <w:t>中华人民共和国政府采购法</w:t>
      </w:r>
      <w:r>
        <w:rPr>
          <w:rFonts w:hint="eastAsia"/>
          <w:iCs/>
          <w:color w:val="auto"/>
          <w:spacing w:val="-6"/>
          <w:sz w:val="24"/>
          <w:highlight w:val="none"/>
          <w:lang w:eastAsia="zh-CN"/>
        </w:rPr>
        <w:t>》</w:t>
      </w:r>
      <w:r>
        <w:rPr>
          <w:rFonts w:hint="eastAsia"/>
          <w:iCs/>
          <w:color w:val="auto"/>
          <w:spacing w:val="-6"/>
          <w:sz w:val="24"/>
          <w:highlight w:val="none"/>
        </w:rPr>
        <w:t>或者</w:t>
      </w:r>
      <w:r>
        <w:rPr>
          <w:rFonts w:hint="eastAsia"/>
          <w:iCs/>
          <w:color w:val="auto"/>
          <w:spacing w:val="-6"/>
          <w:sz w:val="24"/>
          <w:highlight w:val="none"/>
          <w:lang w:eastAsia="zh-CN"/>
        </w:rPr>
        <w:t>《</w:t>
      </w:r>
      <w:r>
        <w:rPr>
          <w:rFonts w:hint="eastAsia"/>
          <w:iCs/>
          <w:color w:val="auto"/>
          <w:spacing w:val="-6"/>
          <w:sz w:val="24"/>
          <w:highlight w:val="none"/>
        </w:rPr>
        <w:t>中华人民共和国政府采购法实施条例</w:t>
      </w:r>
      <w:r>
        <w:rPr>
          <w:rFonts w:hint="eastAsia"/>
          <w:iCs/>
          <w:color w:val="auto"/>
          <w:spacing w:val="-6"/>
          <w:sz w:val="24"/>
          <w:highlight w:val="none"/>
          <w:lang w:eastAsia="zh-CN"/>
        </w:rPr>
        <w:t>》</w:t>
      </w:r>
      <w:r>
        <w:rPr>
          <w:rFonts w:hint="eastAsia"/>
          <w:color w:val="auto"/>
          <w:highlight w:val="none"/>
        </w:rPr>
        <w:t>等法律法规规定的行为，经改正后仍然影响或者可能影响中标结果或者依法被认定为中标无效的，依照</w:t>
      </w:r>
      <w:r>
        <w:rPr>
          <w:rFonts w:hint="eastAsia"/>
          <w:color w:val="auto"/>
          <w:highlight w:val="none"/>
          <w:lang w:val="en-US" w:eastAsia="zh-CN"/>
        </w:rPr>
        <w:t>24</w:t>
      </w: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24</w:t>
      </w:r>
      <w:r>
        <w:rPr>
          <w:rFonts w:hint="eastAsia"/>
          <w:color w:val="auto"/>
          <w:highlight w:val="none"/>
        </w:rPr>
        <w:t>.4规定处理。</w:t>
      </w:r>
    </w:p>
    <w:bookmarkEnd w:id="455"/>
    <w:bookmarkEnd w:id="456"/>
    <w:bookmarkEnd w:id="457"/>
    <w:bookmarkEnd w:id="458"/>
    <w:bookmarkEnd w:id="459"/>
    <w:bookmarkEnd w:id="460"/>
    <w:bookmarkEnd w:id="461"/>
    <w:bookmarkEnd w:id="462"/>
    <w:bookmarkEnd w:id="463"/>
    <w:bookmarkEnd w:id="464"/>
    <w:p w14:paraId="6AD5E43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520" w:name="_Toc27264"/>
      <w:bookmarkStart w:id="521" w:name="_Toc14768"/>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520"/>
      <w:bookmarkEnd w:id="521"/>
    </w:p>
    <w:p w14:paraId="555D6B49">
      <w:pPr>
        <w:pStyle w:val="36"/>
        <w:keepNext w:val="0"/>
        <w:keepLines w:val="0"/>
        <w:pageBreakBefore w:val="0"/>
        <w:widowControl w:val="0"/>
        <w:kinsoku/>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val="en-US" w:eastAsia="zh-CN"/>
        </w:rPr>
        <w:t>无。</w:t>
      </w:r>
    </w:p>
    <w:p w14:paraId="0BE29AB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22" w:name="_Toc2099"/>
      <w:bookmarkStart w:id="523" w:name="_Toc22385"/>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22"/>
      <w:bookmarkEnd w:id="523"/>
    </w:p>
    <w:p w14:paraId="6FC1DEB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4" w:name="_Toc12396"/>
      <w:bookmarkStart w:id="525" w:name="_Toc163492909"/>
      <w:bookmarkStart w:id="526" w:name="_Toc29368"/>
      <w:bookmarkStart w:id="527" w:name="_Toc1508"/>
      <w:r>
        <w:rPr>
          <w:rFonts w:hint="eastAsia" w:ascii="宋体" w:hAnsi="宋体" w:eastAsia="宋体" w:cs="宋体"/>
          <w:b/>
          <w:bCs/>
          <w:color w:val="auto"/>
          <w:kern w:val="2"/>
          <w:sz w:val="24"/>
          <w:szCs w:val="24"/>
          <w:highlight w:val="none"/>
          <w:lang w:val="zh-CN" w:eastAsia="zh-CN" w:bidi="ar-SA"/>
        </w:rPr>
        <w:t>（一）符合性审查表</w:t>
      </w:r>
      <w:bookmarkEnd w:id="524"/>
      <w:bookmarkEnd w:id="525"/>
      <w:bookmarkEnd w:id="526"/>
      <w:bookmarkEnd w:id="527"/>
    </w:p>
    <w:tbl>
      <w:tblPr>
        <w:tblStyle w:val="29"/>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302"/>
        <w:gridCol w:w="5481"/>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restart"/>
            <w:shd w:val="clear" w:color="auto" w:fill="D8D8D8" w:themeFill="background1" w:themeFillShade="D9"/>
            <w:vAlign w:val="center"/>
          </w:tcPr>
          <w:p w14:paraId="3B188FC3">
            <w:pPr>
              <w:pStyle w:val="48"/>
              <w:jc w:val="center"/>
              <w:rPr>
                <w:rFonts w:hint="eastAsia" w:ascii="宋体" w:hAnsi="宋体" w:eastAsia="宋体" w:cs="宋体"/>
                <w:b/>
                <w:bCs/>
                <w:color w:val="auto"/>
                <w:sz w:val="21"/>
                <w:szCs w:val="21"/>
                <w:highlight w:val="none"/>
                <w:lang w:val="zh-CN"/>
              </w:rPr>
            </w:pPr>
            <w:bookmarkStart w:id="528" w:name="_Toc155185917"/>
            <w:bookmarkStart w:id="529" w:name="_Toc163492910"/>
            <w:r>
              <w:rPr>
                <w:rFonts w:hint="eastAsia" w:ascii="宋体" w:hAnsi="宋体" w:eastAsia="宋体" w:cs="宋体"/>
                <w:b/>
                <w:bCs/>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2963" w:type="pct"/>
            <w:vMerge w:val="restart"/>
            <w:shd w:val="clear" w:color="auto" w:fill="D8D8D8" w:themeFill="background1" w:themeFillShade="D9"/>
            <w:vAlign w:val="center"/>
          </w:tcPr>
          <w:p w14:paraId="44B32FDC">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continue"/>
            <w:shd w:val="clear" w:color="auto" w:fill="D8D8D8" w:themeFill="background1" w:themeFillShade="D9"/>
            <w:vAlign w:val="center"/>
          </w:tcPr>
          <w:p w14:paraId="1859AA86">
            <w:pPr>
              <w:pStyle w:val="48"/>
              <w:jc w:val="center"/>
              <w:rPr>
                <w:rFonts w:hint="eastAsia" w:ascii="宋体" w:hAnsi="宋体" w:eastAsia="宋体" w:cs="宋体"/>
                <w:b/>
                <w:bCs/>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48"/>
              <w:jc w:val="center"/>
              <w:rPr>
                <w:rFonts w:hint="eastAsia" w:ascii="宋体" w:hAnsi="宋体" w:eastAsia="宋体" w:cs="宋体"/>
                <w:b/>
                <w:bCs/>
                <w:color w:val="auto"/>
                <w:sz w:val="21"/>
                <w:szCs w:val="21"/>
                <w:highlight w:val="none"/>
                <w:lang w:val="zh-CN"/>
              </w:rPr>
            </w:pPr>
          </w:p>
        </w:tc>
        <w:tc>
          <w:tcPr>
            <w:tcW w:w="2963" w:type="pct"/>
            <w:vMerge w:val="continue"/>
            <w:shd w:val="clear" w:color="auto" w:fill="D8D8D8" w:themeFill="background1" w:themeFillShade="D9"/>
            <w:vAlign w:val="center"/>
          </w:tcPr>
          <w:p w14:paraId="2128C077">
            <w:pPr>
              <w:pStyle w:val="48"/>
              <w:jc w:val="center"/>
              <w:rPr>
                <w:rFonts w:hint="eastAsia" w:ascii="宋体" w:hAnsi="宋体" w:eastAsia="宋体" w:cs="宋体"/>
                <w:b/>
                <w:bCs/>
                <w:color w:val="auto"/>
                <w:sz w:val="21"/>
                <w:szCs w:val="21"/>
                <w:highlight w:val="none"/>
                <w:lang w:val="zh-CN"/>
              </w:rPr>
            </w:pPr>
          </w:p>
        </w:tc>
        <w:tc>
          <w:tcPr>
            <w:tcW w:w="468" w:type="pct"/>
            <w:shd w:val="clear" w:color="auto" w:fill="D8D8D8" w:themeFill="background1" w:themeFillShade="D9"/>
            <w:vAlign w:val="center"/>
          </w:tcPr>
          <w:p w14:paraId="0CAA21D7">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5" w:type="pct"/>
            <w:shd w:val="clear" w:color="auto" w:fill="auto"/>
            <w:vAlign w:val="center"/>
          </w:tcPr>
          <w:p w14:paraId="4A515C07">
            <w:pPr>
              <w:pStyle w:val="48"/>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704" w:type="pct"/>
            <w:vAlign w:val="center"/>
          </w:tcPr>
          <w:p w14:paraId="5E0E3062">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2963" w:type="pct"/>
            <w:shd w:val="clear" w:color="auto" w:fill="auto"/>
            <w:vAlign w:val="center"/>
          </w:tcPr>
          <w:p w14:paraId="0FA4ED80">
            <w:pPr>
              <w:pStyle w:val="48"/>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468" w:type="pct"/>
            <w:shd w:val="clear" w:color="auto" w:fill="auto"/>
            <w:vAlign w:val="center"/>
          </w:tcPr>
          <w:p w14:paraId="1E1F1EB1">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35325BAA">
            <w:pPr>
              <w:pStyle w:val="48"/>
              <w:rPr>
                <w:rFonts w:hint="eastAsia" w:ascii="宋体" w:hAnsi="宋体" w:eastAsia="宋体" w:cs="宋体"/>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70154C2F">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704" w:type="pct"/>
            <w:shd w:val="clear" w:color="auto" w:fill="auto"/>
            <w:vAlign w:val="center"/>
          </w:tcPr>
          <w:p w14:paraId="1B390AF0">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2963" w:type="pct"/>
            <w:shd w:val="clear" w:color="auto" w:fill="auto"/>
            <w:vAlign w:val="center"/>
          </w:tcPr>
          <w:p w14:paraId="6D95F485">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文件中标注“★”号的实质性条款（或指标）要求的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468" w:type="pct"/>
            <w:shd w:val="clear" w:color="auto" w:fill="auto"/>
            <w:vAlign w:val="center"/>
          </w:tcPr>
          <w:p w14:paraId="4C63B966">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5A615EFE">
            <w:pPr>
              <w:pStyle w:val="48"/>
              <w:rPr>
                <w:rFonts w:hint="eastAsia" w:ascii="宋体" w:hAnsi="宋体" w:eastAsia="宋体" w:cs="宋体"/>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5" w:type="pct"/>
            <w:shd w:val="clear" w:color="auto" w:fill="auto"/>
            <w:vAlign w:val="center"/>
          </w:tcPr>
          <w:p w14:paraId="48860C47">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704" w:type="pct"/>
            <w:vAlign w:val="center"/>
          </w:tcPr>
          <w:p w14:paraId="31EA832C">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2963" w:type="pct"/>
            <w:shd w:val="clear" w:color="auto" w:fill="auto"/>
            <w:vAlign w:val="center"/>
          </w:tcPr>
          <w:p w14:paraId="02D97709">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w:t>
            </w:r>
            <w:r>
              <w:rPr>
                <w:rFonts w:hint="eastAsia" w:ascii="宋体" w:hAnsi="宋体" w:eastAsia="宋体" w:cs="宋体"/>
                <w:color w:val="auto"/>
                <w:sz w:val="21"/>
                <w:szCs w:val="21"/>
                <w:highlight w:val="none"/>
                <w:lang w:val="en-US" w:eastAsia="zh-CN"/>
              </w:rPr>
              <w:t>最高限价或者预算金额</w:t>
            </w:r>
            <w:r>
              <w:rPr>
                <w:rFonts w:hint="eastAsia" w:ascii="宋体" w:hAnsi="宋体" w:eastAsia="宋体" w:cs="宋体"/>
                <w:color w:val="auto"/>
                <w:kern w:val="2"/>
                <w:sz w:val="21"/>
                <w:szCs w:val="21"/>
                <w:highlight w:val="none"/>
                <w:lang w:val="en-US" w:eastAsia="zh-CN" w:bidi="ar-SA"/>
              </w:rPr>
              <w:t>的</w:t>
            </w:r>
          </w:p>
        </w:tc>
        <w:tc>
          <w:tcPr>
            <w:tcW w:w="468" w:type="pct"/>
            <w:shd w:val="clear" w:color="auto" w:fill="auto"/>
            <w:vAlign w:val="center"/>
          </w:tcPr>
          <w:p w14:paraId="18835E98">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32826E79">
            <w:pPr>
              <w:pStyle w:val="48"/>
              <w:rPr>
                <w:rFonts w:hint="eastAsia" w:ascii="宋体" w:hAnsi="宋体" w:eastAsia="宋体" w:cs="宋体"/>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5" w:type="pct"/>
            <w:shd w:val="clear" w:color="auto" w:fill="auto"/>
            <w:vAlign w:val="center"/>
          </w:tcPr>
          <w:p w14:paraId="0D25BA5B">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704" w:type="pct"/>
            <w:vAlign w:val="center"/>
          </w:tcPr>
          <w:p w14:paraId="6B53D7DD">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2963" w:type="pct"/>
            <w:shd w:val="clear" w:color="auto" w:fill="auto"/>
            <w:vAlign w:val="center"/>
          </w:tcPr>
          <w:p w14:paraId="3C241A91">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468" w:type="pct"/>
            <w:shd w:val="clear" w:color="auto" w:fill="auto"/>
            <w:vAlign w:val="center"/>
          </w:tcPr>
          <w:p w14:paraId="4B513014">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48AFA180">
            <w:pPr>
              <w:pStyle w:val="48"/>
              <w:rPr>
                <w:rFonts w:hint="eastAsia" w:ascii="宋体" w:hAnsi="宋体" w:eastAsia="宋体" w:cs="宋体"/>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5" w:type="pct"/>
            <w:shd w:val="clear" w:color="auto" w:fill="auto"/>
            <w:vAlign w:val="center"/>
          </w:tcPr>
          <w:p w14:paraId="5772C4C0">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w:t>
            </w:r>
          </w:p>
        </w:tc>
        <w:tc>
          <w:tcPr>
            <w:tcW w:w="704" w:type="pct"/>
            <w:shd w:val="clear" w:color="auto" w:fill="auto"/>
            <w:vAlign w:val="center"/>
          </w:tcPr>
          <w:p w14:paraId="1817A2C0">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投标保证金</w:t>
            </w:r>
          </w:p>
        </w:tc>
        <w:tc>
          <w:tcPr>
            <w:tcW w:w="2963" w:type="pct"/>
            <w:shd w:val="clear" w:color="auto" w:fill="auto"/>
            <w:vAlign w:val="center"/>
          </w:tcPr>
          <w:p w14:paraId="39640874">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投标人按招标文件的规定交纳投标保证金的</w:t>
            </w:r>
          </w:p>
        </w:tc>
        <w:tc>
          <w:tcPr>
            <w:tcW w:w="468" w:type="pct"/>
            <w:shd w:val="clear" w:color="auto" w:fill="auto"/>
            <w:vAlign w:val="center"/>
          </w:tcPr>
          <w:p w14:paraId="2C782F18">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163069B8">
            <w:pPr>
              <w:pStyle w:val="48"/>
              <w:rPr>
                <w:rFonts w:hint="eastAsia" w:ascii="宋体" w:hAnsi="宋体" w:eastAsia="宋体" w:cs="宋体"/>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5" w:type="pct"/>
            <w:shd w:val="clear" w:color="auto" w:fill="auto"/>
            <w:vAlign w:val="center"/>
          </w:tcPr>
          <w:p w14:paraId="31C12A1B">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6</w:t>
            </w:r>
          </w:p>
        </w:tc>
        <w:tc>
          <w:tcPr>
            <w:tcW w:w="704" w:type="pct"/>
            <w:shd w:val="clear" w:color="auto" w:fill="auto"/>
            <w:vAlign w:val="center"/>
          </w:tcPr>
          <w:p w14:paraId="55194F4F">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投标文件的澄清、说明、补正</w:t>
            </w:r>
          </w:p>
        </w:tc>
        <w:tc>
          <w:tcPr>
            <w:tcW w:w="2963" w:type="pct"/>
            <w:shd w:val="clear" w:color="auto" w:fill="auto"/>
            <w:vAlign w:val="center"/>
          </w:tcPr>
          <w:p w14:paraId="4803457A">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468" w:type="pct"/>
            <w:shd w:val="clear" w:color="auto" w:fill="auto"/>
            <w:vAlign w:val="center"/>
          </w:tcPr>
          <w:p w14:paraId="194FF3C2">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2372B823">
            <w:pPr>
              <w:pStyle w:val="48"/>
              <w:rPr>
                <w:rFonts w:hint="eastAsia" w:ascii="宋体" w:hAnsi="宋体" w:eastAsia="宋体" w:cs="宋体"/>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6C002E13">
            <w:pPr>
              <w:pStyle w:val="48"/>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7</w:t>
            </w:r>
          </w:p>
        </w:tc>
        <w:tc>
          <w:tcPr>
            <w:tcW w:w="704" w:type="pct"/>
            <w:shd w:val="clear" w:color="auto" w:fill="auto"/>
            <w:vAlign w:val="center"/>
          </w:tcPr>
          <w:p w14:paraId="5C91A4A7">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投标人影响评标</w:t>
            </w:r>
          </w:p>
        </w:tc>
        <w:tc>
          <w:tcPr>
            <w:tcW w:w="2963" w:type="pct"/>
            <w:shd w:val="clear" w:color="auto" w:fill="auto"/>
            <w:vAlign w:val="center"/>
          </w:tcPr>
          <w:p w14:paraId="3E6052BB">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468" w:type="pct"/>
            <w:shd w:val="clear" w:color="auto" w:fill="auto"/>
            <w:vAlign w:val="center"/>
          </w:tcPr>
          <w:p w14:paraId="1EA81190">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2394B23D">
            <w:pPr>
              <w:pStyle w:val="48"/>
              <w:rPr>
                <w:rFonts w:hint="eastAsia" w:ascii="宋体" w:hAnsi="宋体" w:eastAsia="宋体" w:cs="宋体"/>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5" w:type="pct"/>
            <w:shd w:val="clear" w:color="auto" w:fill="auto"/>
            <w:vAlign w:val="center"/>
          </w:tcPr>
          <w:p w14:paraId="09617D9C">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8</w:t>
            </w:r>
          </w:p>
        </w:tc>
        <w:tc>
          <w:tcPr>
            <w:tcW w:w="704" w:type="pct"/>
            <w:shd w:val="clear" w:color="auto" w:fill="auto"/>
            <w:vAlign w:val="center"/>
          </w:tcPr>
          <w:p w14:paraId="2016E93A">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围标串标情形</w:t>
            </w:r>
          </w:p>
        </w:tc>
        <w:tc>
          <w:tcPr>
            <w:tcW w:w="2963" w:type="pct"/>
            <w:shd w:val="clear" w:color="auto" w:fill="auto"/>
            <w:vAlign w:val="center"/>
          </w:tcPr>
          <w:p w14:paraId="50B76BB4">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第20条情形之一的</w:t>
            </w:r>
          </w:p>
        </w:tc>
        <w:tc>
          <w:tcPr>
            <w:tcW w:w="468" w:type="pct"/>
            <w:shd w:val="clear" w:color="auto" w:fill="auto"/>
            <w:vAlign w:val="center"/>
          </w:tcPr>
          <w:p w14:paraId="75DB24A7">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7D6DA84C">
            <w:pPr>
              <w:pStyle w:val="48"/>
              <w:rPr>
                <w:rFonts w:hint="eastAsia" w:ascii="宋体" w:hAnsi="宋体" w:eastAsia="宋体" w:cs="宋体"/>
                <w:color w:val="auto"/>
                <w:sz w:val="21"/>
                <w:szCs w:val="21"/>
                <w:highlight w:val="none"/>
                <w:lang w:val="zh-CN"/>
              </w:rPr>
            </w:pPr>
          </w:p>
        </w:tc>
      </w:tr>
      <w:tr w14:paraId="6719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06D38870">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704" w:type="pct"/>
            <w:shd w:val="clear" w:color="auto" w:fill="auto"/>
            <w:vAlign w:val="center"/>
          </w:tcPr>
          <w:p w14:paraId="32AEC3D4">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附加条件</w:t>
            </w:r>
          </w:p>
        </w:tc>
        <w:tc>
          <w:tcPr>
            <w:tcW w:w="2963" w:type="pct"/>
            <w:shd w:val="clear" w:color="auto" w:fill="auto"/>
            <w:vAlign w:val="center"/>
          </w:tcPr>
          <w:p w14:paraId="68DBD364">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投标文件没有采购人不能接受的附加条件的</w:t>
            </w:r>
          </w:p>
        </w:tc>
        <w:tc>
          <w:tcPr>
            <w:tcW w:w="468" w:type="pct"/>
            <w:shd w:val="clear" w:color="auto" w:fill="auto"/>
            <w:vAlign w:val="center"/>
          </w:tcPr>
          <w:p w14:paraId="5A26F512">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06C24958">
            <w:pPr>
              <w:pStyle w:val="48"/>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32BD4A6">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704" w:type="pct"/>
            <w:shd w:val="clear" w:color="auto" w:fill="auto"/>
            <w:vAlign w:val="center"/>
          </w:tcPr>
          <w:p w14:paraId="56EEFE7E">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其他无效情形</w:t>
            </w:r>
          </w:p>
        </w:tc>
        <w:tc>
          <w:tcPr>
            <w:tcW w:w="2963" w:type="pct"/>
            <w:shd w:val="clear" w:color="auto" w:fill="auto"/>
            <w:vAlign w:val="center"/>
          </w:tcPr>
          <w:p w14:paraId="618DB2FB">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468" w:type="pct"/>
            <w:shd w:val="clear" w:color="auto" w:fill="auto"/>
            <w:vAlign w:val="center"/>
          </w:tcPr>
          <w:p w14:paraId="36C2A679">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73E4201A">
            <w:pPr>
              <w:pStyle w:val="48"/>
              <w:rPr>
                <w:rFonts w:hint="eastAsia" w:ascii="宋体" w:hAnsi="宋体" w:eastAsia="宋体" w:cs="宋体"/>
                <w:color w:val="auto"/>
                <w:sz w:val="21"/>
                <w:szCs w:val="21"/>
                <w:highlight w:val="none"/>
                <w:lang w:val="zh-CN"/>
              </w:rPr>
            </w:pPr>
          </w:p>
        </w:tc>
      </w:tr>
    </w:tbl>
    <w:p w14:paraId="1300A53A">
      <w:pPr>
        <w:rPr>
          <w:rFonts w:hint="eastAsia" w:ascii="宋体" w:hAnsi="宋体" w:eastAsia="宋体" w:cstheme="minorBidi"/>
          <w:b/>
          <w:bCs/>
          <w:color w:val="auto"/>
          <w:kern w:val="2"/>
          <w:sz w:val="30"/>
          <w:szCs w:val="32"/>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p>
    <w:p w14:paraId="3DB6FBF5">
      <w:pPr>
        <w:pageBreakBefore w:val="0"/>
        <w:widowControl w:val="0"/>
        <w:shd w:val="clear" w:color="auto"/>
        <w:tabs>
          <w:tab w:val="left" w:pos="3045"/>
        </w:tabs>
        <w:kinsoku/>
        <w:wordWrap/>
        <w:overflowPunct/>
        <w:topLinePunct w:val="0"/>
        <w:autoSpaceDE w:val="0"/>
        <w:autoSpaceDN w:val="0"/>
        <w:bidi w:val="0"/>
        <w:adjustRightInd/>
        <w:snapToGrid/>
        <w:spacing w:line="240" w:lineRule="auto"/>
        <w:ind w:left="0" w:firstLine="0"/>
        <w:textAlignment w:val="auto"/>
        <w:rPr>
          <w:rFonts w:hint="eastAsia"/>
          <w:color w:val="auto"/>
          <w:highlight w:val="none"/>
        </w:rPr>
      </w:pPr>
      <w:r>
        <w:rPr>
          <w:rFonts w:hint="eastAsia" w:ascii="宋体" w:hAnsi="宋体" w:cs="宋体"/>
          <w:b/>
          <w:color w:val="auto"/>
          <w:sz w:val="24"/>
          <w:highlight w:val="none"/>
        </w:rPr>
        <w:t>符合</w:t>
      </w:r>
      <w:r>
        <w:rPr>
          <w:rFonts w:hint="eastAsia" w:ascii="宋体" w:hAnsi="宋体" w:cs="宋体"/>
          <w:b/>
          <w:color w:val="auto"/>
          <w:sz w:val="24"/>
          <w:highlight w:val="none"/>
          <w:lang w:eastAsia="zh-CN"/>
        </w:rPr>
        <w:t>性</w:t>
      </w:r>
      <w:r>
        <w:rPr>
          <w:rFonts w:hint="eastAsia" w:cs="宋体"/>
          <w:b/>
          <w:color w:val="auto"/>
          <w:sz w:val="24"/>
          <w:highlight w:val="none"/>
          <w:lang w:val="en-US" w:eastAsia="zh-CN"/>
        </w:rPr>
        <w:t>审查表-</w:t>
      </w:r>
      <w:r>
        <w:rPr>
          <w:rFonts w:hint="eastAsia" w:ascii="宋体" w:hAnsi="宋体" w:cs="宋体"/>
          <w:b/>
          <w:color w:val="auto"/>
          <w:sz w:val="24"/>
          <w:highlight w:val="none"/>
        </w:rPr>
        <w:t>附表</w:t>
      </w:r>
    </w:p>
    <w:p w14:paraId="70584E38">
      <w:pPr>
        <w:pStyle w:val="4"/>
        <w:keepNext/>
        <w:keepLines/>
        <w:pageBreakBefore w:val="0"/>
        <w:widowControl w:val="0"/>
        <w:numPr>
          <w:ilvl w:val="0"/>
          <w:numId w:val="0"/>
        </w:numPr>
        <w:shd w:val="clea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530" w:name="_Toc32259"/>
      <w:bookmarkStart w:id="531" w:name="_Toc26981"/>
      <w:bookmarkStart w:id="532" w:name="_Toc15958"/>
      <w:r>
        <w:rPr>
          <w:rFonts w:hint="eastAsia" w:ascii="宋体" w:hAnsi="宋体" w:eastAsia="宋体" w:cstheme="minorBidi"/>
          <w:b/>
          <w:bCs/>
          <w:color w:val="auto"/>
          <w:kern w:val="2"/>
          <w:sz w:val="28"/>
          <w:szCs w:val="28"/>
          <w:highlight w:val="none"/>
          <w:lang w:val="zh-CN" w:eastAsia="zh-CN" w:bidi="ar-SA"/>
        </w:rPr>
        <w:t>实质性响应一览表</w:t>
      </w:r>
      <w:bookmarkEnd w:id="530"/>
      <w:bookmarkEnd w:id="531"/>
      <w:bookmarkEnd w:id="532"/>
    </w:p>
    <w:p w14:paraId="7DFD9111">
      <w:pPr>
        <w:pageBreakBefore w:val="0"/>
        <w:widowControl w:val="0"/>
        <w:shd w:val="clear" w:color="auto"/>
        <w:tabs>
          <w:tab w:val="left" w:pos="3045"/>
        </w:tabs>
        <w:kinsoku/>
        <w:wordWrap/>
        <w:overflowPunct/>
        <w:topLinePunct w:val="0"/>
        <w:autoSpaceDE w:val="0"/>
        <w:autoSpaceDN w:val="0"/>
        <w:bidi w:val="0"/>
        <w:adjustRightInd/>
        <w:snapToGrid/>
        <w:spacing w:line="240" w:lineRule="auto"/>
        <w:ind w:left="0" w:firstLine="0"/>
        <w:jc w:val="center"/>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w:t>
      </w:r>
      <w:r>
        <w:rPr>
          <w:rFonts w:hint="eastAsia" w:cs="宋体"/>
          <w:b/>
          <w:bCs w:val="0"/>
          <w:color w:val="auto"/>
          <w:sz w:val="24"/>
          <w:highlight w:val="none"/>
          <w:lang w:val="en-US" w:eastAsia="zh-CN"/>
        </w:rPr>
        <w:t>投标人</w:t>
      </w:r>
      <w:r>
        <w:rPr>
          <w:rFonts w:hint="eastAsia" w:ascii="宋体" w:hAnsi="宋体" w:cs="宋体"/>
          <w:b/>
          <w:bCs w:val="0"/>
          <w:color w:val="auto"/>
          <w:sz w:val="24"/>
          <w:highlight w:val="none"/>
        </w:rPr>
        <w:t>须对本附表所有内容逐条响应且无负偏离，否则</w:t>
      </w:r>
      <w:r>
        <w:rPr>
          <w:rFonts w:hint="eastAsia" w:cs="宋体"/>
          <w:b/>
          <w:bCs w:val="0"/>
          <w:color w:val="auto"/>
          <w:sz w:val="24"/>
          <w:highlight w:val="none"/>
          <w:lang w:val="en-US" w:eastAsia="zh-CN"/>
        </w:rPr>
        <w:t>其</w:t>
      </w:r>
      <w:r>
        <w:rPr>
          <w:rFonts w:hint="eastAsia" w:ascii="宋体" w:hAnsi="宋体" w:cs="宋体"/>
          <w:b/>
          <w:bCs w:val="0"/>
          <w:color w:val="auto"/>
          <w:sz w:val="24"/>
          <w:highlight w:val="none"/>
        </w:rPr>
        <w:t>投标无效）</w:t>
      </w:r>
    </w:p>
    <w:tbl>
      <w:tblPr>
        <w:tblStyle w:val="29"/>
        <w:tblW w:w="5596" w:type="pct"/>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215"/>
        <w:gridCol w:w="4769"/>
        <w:gridCol w:w="1358"/>
        <w:gridCol w:w="732"/>
      </w:tblGrid>
      <w:tr w14:paraId="117F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3" w:type="pct"/>
            <w:vMerge w:val="restart"/>
            <w:noWrap w:val="0"/>
            <w:vAlign w:val="center"/>
          </w:tcPr>
          <w:p w14:paraId="4FA32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60" w:type="pct"/>
            <w:gridSpan w:val="2"/>
            <w:noWrap w:val="0"/>
            <w:vAlign w:val="center"/>
          </w:tcPr>
          <w:p w14:paraId="188CA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712" w:type="pct"/>
            <w:vMerge w:val="restart"/>
            <w:noWrap w:val="0"/>
            <w:vAlign w:val="center"/>
          </w:tcPr>
          <w:p w14:paraId="41A24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83" w:type="pct"/>
            <w:vMerge w:val="restart"/>
            <w:noWrap w:val="0"/>
            <w:vAlign w:val="center"/>
          </w:tcPr>
          <w:p w14:paraId="7A09F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3" w:type="pct"/>
            <w:vMerge w:val="continue"/>
            <w:noWrap w:val="0"/>
            <w:vAlign w:val="center"/>
          </w:tcPr>
          <w:p w14:paraId="03EF4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60" w:type="pct"/>
            <w:shd w:val="clear" w:color="auto" w:fill="auto"/>
            <w:noWrap w:val="0"/>
            <w:vAlign w:val="center"/>
          </w:tcPr>
          <w:p w14:paraId="5FC57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500" w:type="pct"/>
            <w:shd w:val="clear" w:color="auto" w:fill="auto"/>
            <w:noWrap w:val="0"/>
            <w:vAlign w:val="center"/>
          </w:tcPr>
          <w:p w14:paraId="19DBC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712" w:type="pct"/>
            <w:vMerge w:val="continue"/>
            <w:noWrap w:val="0"/>
            <w:vAlign w:val="center"/>
          </w:tcPr>
          <w:p w14:paraId="6263B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83" w:type="pct"/>
            <w:vMerge w:val="continue"/>
            <w:noWrap w:val="0"/>
            <w:vAlign w:val="center"/>
          </w:tcPr>
          <w:p w14:paraId="1B799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41A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43" w:type="pct"/>
            <w:noWrap w:val="0"/>
            <w:vAlign w:val="center"/>
          </w:tcPr>
          <w:p w14:paraId="7FA8F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60" w:type="pct"/>
            <w:shd w:val="clear" w:color="auto" w:fill="auto"/>
            <w:noWrap w:val="0"/>
            <w:vAlign w:val="center"/>
          </w:tcPr>
          <w:p w14:paraId="250071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投标报价</w:t>
            </w:r>
          </w:p>
        </w:tc>
        <w:tc>
          <w:tcPr>
            <w:tcW w:w="2500" w:type="pct"/>
            <w:shd w:val="clear" w:color="auto" w:fill="auto"/>
            <w:noWrap w:val="0"/>
            <w:vAlign w:val="center"/>
          </w:tcPr>
          <w:p w14:paraId="3CCE80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本项目预算及最高限价100万元</w:t>
            </w:r>
            <w:r>
              <w:rPr>
                <w:rFonts w:hint="eastAsia" w:cs="宋体"/>
                <w:color w:val="auto"/>
                <w:kern w:val="2"/>
                <w:sz w:val="21"/>
                <w:szCs w:val="21"/>
                <w:highlight w:val="none"/>
                <w:lang w:val="en-US" w:eastAsia="zh-CN" w:bidi="ar-SA"/>
              </w:rPr>
              <w:t>（壹佰万元整）</w:t>
            </w:r>
            <w:r>
              <w:rPr>
                <w:rFonts w:hint="eastAsia" w:ascii="宋体" w:hAnsi="宋体" w:eastAsia="宋体" w:cs="宋体"/>
                <w:color w:val="auto"/>
                <w:kern w:val="2"/>
                <w:sz w:val="21"/>
                <w:szCs w:val="21"/>
                <w:highlight w:val="none"/>
                <w:lang w:val="en-US" w:eastAsia="zh-CN" w:bidi="ar-SA"/>
              </w:rPr>
              <w:t>，投标人的投标报价不得超过最高限价，否则，其投标无效。投标人投标总报价应包括全部开发服务、培训、维护与技术支持、备品备件、税金等所有费用。</w:t>
            </w:r>
          </w:p>
        </w:tc>
        <w:tc>
          <w:tcPr>
            <w:tcW w:w="712" w:type="pct"/>
            <w:noWrap w:val="0"/>
            <w:vAlign w:val="center"/>
          </w:tcPr>
          <w:p w14:paraId="49C37A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83" w:type="pct"/>
            <w:noWrap w:val="0"/>
            <w:vAlign w:val="center"/>
          </w:tcPr>
          <w:p w14:paraId="65DC97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393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43" w:type="pct"/>
            <w:noWrap w:val="0"/>
            <w:vAlign w:val="center"/>
          </w:tcPr>
          <w:p w14:paraId="406B5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60" w:type="pct"/>
            <w:shd w:val="clear" w:color="auto" w:fill="auto"/>
            <w:noWrap w:val="0"/>
            <w:vAlign w:val="center"/>
          </w:tcPr>
          <w:p w14:paraId="7DBBB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投标有效期满足招标文件前附表要求</w:t>
            </w:r>
          </w:p>
        </w:tc>
        <w:tc>
          <w:tcPr>
            <w:tcW w:w="2500" w:type="pct"/>
            <w:shd w:val="clear" w:color="auto" w:fill="auto"/>
            <w:noWrap w:val="0"/>
            <w:vAlign w:val="center"/>
          </w:tcPr>
          <w:p w14:paraId="2A757C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投标截止时间后 90 日历日。(投标有效期短于该期限的投标无效)</w:t>
            </w:r>
            <w:r>
              <w:rPr>
                <w:rFonts w:hint="eastAsia" w:cs="宋体"/>
                <w:color w:val="auto"/>
                <w:kern w:val="2"/>
                <w:sz w:val="21"/>
                <w:szCs w:val="21"/>
                <w:highlight w:val="none"/>
                <w:lang w:val="en-US" w:eastAsia="zh-CN" w:bidi="ar-SA"/>
              </w:rPr>
              <w:t>。</w:t>
            </w:r>
          </w:p>
        </w:tc>
        <w:tc>
          <w:tcPr>
            <w:tcW w:w="712" w:type="pct"/>
            <w:noWrap w:val="0"/>
            <w:vAlign w:val="center"/>
          </w:tcPr>
          <w:p w14:paraId="6A568C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383" w:type="pct"/>
            <w:noWrap w:val="0"/>
            <w:vAlign w:val="center"/>
          </w:tcPr>
          <w:p w14:paraId="60A323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960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3" w:type="pct"/>
            <w:shd w:val="clear" w:color="auto" w:fill="auto"/>
            <w:noWrap w:val="0"/>
            <w:vAlign w:val="center"/>
          </w:tcPr>
          <w:p w14:paraId="17A19D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60" w:type="pct"/>
            <w:shd w:val="clear" w:color="auto" w:fill="auto"/>
            <w:noWrap w:val="0"/>
            <w:vAlign w:val="center"/>
          </w:tcPr>
          <w:p w14:paraId="630BE0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投标保证金的缴纳满足招标文件前附表要求</w:t>
            </w:r>
          </w:p>
        </w:tc>
        <w:tc>
          <w:tcPr>
            <w:tcW w:w="2500" w:type="pct"/>
            <w:shd w:val="clear" w:color="auto" w:fill="auto"/>
            <w:noWrap w:val="0"/>
            <w:vAlign w:val="center"/>
          </w:tcPr>
          <w:p w14:paraId="1465A9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招标文件“第二章投标须知”关于</w:t>
            </w:r>
            <w:r>
              <w:rPr>
                <w:rFonts w:hint="eastAsia" w:ascii="宋体" w:hAnsi="宋体" w:eastAsia="宋体" w:cs="宋体"/>
                <w:color w:val="auto"/>
                <w:sz w:val="21"/>
                <w:szCs w:val="21"/>
                <w:highlight w:val="none"/>
              </w:rPr>
              <w:t>投标保证金</w:t>
            </w:r>
            <w:r>
              <w:rPr>
                <w:rFonts w:hint="eastAsia" w:ascii="宋体" w:hAnsi="宋体" w:eastAsia="宋体" w:cs="宋体"/>
                <w:color w:val="auto"/>
                <w:kern w:val="2"/>
                <w:sz w:val="21"/>
                <w:szCs w:val="21"/>
                <w:highlight w:val="none"/>
                <w:lang w:val="en-US" w:eastAsia="zh-CN" w:bidi="ar-SA"/>
              </w:rPr>
              <w:t>的规定</w:t>
            </w:r>
            <w:r>
              <w:rPr>
                <w:rFonts w:hint="eastAsia" w:cs="宋体"/>
                <w:color w:val="auto"/>
                <w:kern w:val="2"/>
                <w:sz w:val="21"/>
                <w:szCs w:val="21"/>
                <w:highlight w:val="none"/>
                <w:lang w:val="en-US" w:eastAsia="zh-CN" w:bidi="ar-SA"/>
              </w:rPr>
              <w:t>。</w:t>
            </w:r>
          </w:p>
        </w:tc>
        <w:tc>
          <w:tcPr>
            <w:tcW w:w="712" w:type="pct"/>
            <w:shd w:val="clear" w:color="auto" w:fill="auto"/>
            <w:noWrap w:val="0"/>
            <w:vAlign w:val="center"/>
          </w:tcPr>
          <w:p w14:paraId="36050A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p>
        </w:tc>
        <w:tc>
          <w:tcPr>
            <w:tcW w:w="383" w:type="pct"/>
            <w:noWrap w:val="0"/>
            <w:vAlign w:val="center"/>
          </w:tcPr>
          <w:p w14:paraId="3949B8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FAD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3" w:type="pct"/>
            <w:shd w:val="clear" w:color="auto" w:fill="auto"/>
            <w:noWrap w:val="0"/>
            <w:vAlign w:val="center"/>
          </w:tcPr>
          <w:p w14:paraId="3FC63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160" w:type="pct"/>
            <w:shd w:val="clear" w:color="auto" w:fill="auto"/>
            <w:noWrap w:val="0"/>
            <w:vAlign w:val="center"/>
          </w:tcPr>
          <w:p w14:paraId="3CC15A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履约保证金的缴纳满足招标文件前附表要求</w:t>
            </w:r>
          </w:p>
        </w:tc>
        <w:tc>
          <w:tcPr>
            <w:tcW w:w="2500" w:type="pct"/>
            <w:shd w:val="clear" w:color="auto" w:fill="auto"/>
            <w:noWrap w:val="0"/>
            <w:vAlign w:val="center"/>
          </w:tcPr>
          <w:p w14:paraId="133CFF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招标文件“第二章投标须知”关于</w:t>
            </w:r>
            <w:r>
              <w:rPr>
                <w:rFonts w:hint="eastAsia" w:ascii="宋体" w:hAnsi="宋体" w:eastAsia="宋体" w:cs="宋体"/>
                <w:color w:val="auto"/>
                <w:sz w:val="21"/>
                <w:szCs w:val="21"/>
                <w:highlight w:val="none"/>
                <w:lang w:val="zh-CN"/>
              </w:rPr>
              <w:t>履约保证金</w:t>
            </w:r>
            <w:r>
              <w:rPr>
                <w:rFonts w:hint="eastAsia" w:ascii="宋体" w:hAnsi="宋体" w:eastAsia="宋体" w:cs="宋体"/>
                <w:color w:val="auto"/>
                <w:kern w:val="2"/>
                <w:sz w:val="21"/>
                <w:szCs w:val="21"/>
                <w:highlight w:val="none"/>
                <w:lang w:val="en-US" w:eastAsia="zh-CN" w:bidi="ar-SA"/>
              </w:rPr>
              <w:t>的规定</w:t>
            </w:r>
            <w:r>
              <w:rPr>
                <w:rFonts w:hint="eastAsia" w:cs="宋体"/>
                <w:color w:val="auto"/>
                <w:kern w:val="2"/>
                <w:sz w:val="21"/>
                <w:szCs w:val="21"/>
                <w:highlight w:val="none"/>
                <w:lang w:val="en-US" w:eastAsia="zh-CN" w:bidi="ar-SA"/>
              </w:rPr>
              <w:t>。</w:t>
            </w:r>
          </w:p>
        </w:tc>
        <w:tc>
          <w:tcPr>
            <w:tcW w:w="712" w:type="pct"/>
            <w:noWrap w:val="0"/>
            <w:vAlign w:val="center"/>
          </w:tcPr>
          <w:p w14:paraId="0E19E7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383" w:type="pct"/>
            <w:noWrap w:val="0"/>
            <w:vAlign w:val="center"/>
          </w:tcPr>
          <w:p w14:paraId="3719A8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67D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3" w:type="pct"/>
            <w:shd w:val="clear" w:color="auto" w:fill="auto"/>
            <w:noWrap w:val="0"/>
            <w:vAlign w:val="center"/>
          </w:tcPr>
          <w:p w14:paraId="3D46F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60" w:type="pct"/>
            <w:noWrap w:val="0"/>
            <w:vAlign w:val="center"/>
          </w:tcPr>
          <w:p w14:paraId="32D18B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投标文件组成必备项是否提供完整</w:t>
            </w:r>
          </w:p>
        </w:tc>
        <w:tc>
          <w:tcPr>
            <w:tcW w:w="2500" w:type="pct"/>
            <w:noWrap w:val="0"/>
            <w:vAlign w:val="center"/>
          </w:tcPr>
          <w:p w14:paraId="0BD42C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1.投标文件组成必备项</w:t>
            </w:r>
          </w:p>
          <w:p w14:paraId="6EF3BD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 资格响应文件</w:t>
            </w:r>
          </w:p>
          <w:p w14:paraId="1BD9A7D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①法人、其他组织或者自然人的证明文件</w:t>
            </w:r>
          </w:p>
          <w:p w14:paraId="6A34A22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②兵团政府采购供应商信用承诺函</w:t>
            </w:r>
          </w:p>
          <w:p w14:paraId="7642D27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③中小企业声明函</w:t>
            </w:r>
          </w:p>
          <w:p w14:paraId="0CAFF7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④不参与围标串标承诺书</w:t>
            </w:r>
          </w:p>
          <w:p w14:paraId="07355E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 商务技术文件</w:t>
            </w:r>
          </w:p>
          <w:p w14:paraId="6AD164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①投标函</w:t>
            </w:r>
          </w:p>
          <w:p w14:paraId="1C90B4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②法定代表人（单位负责人）身份证明</w:t>
            </w:r>
          </w:p>
          <w:p w14:paraId="40835D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③授权委托书（如法人授权代理人投标须提供）</w:t>
            </w:r>
          </w:p>
          <w:p w14:paraId="099029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④政府采购投标人廉洁自律承诺书</w:t>
            </w:r>
          </w:p>
          <w:p w14:paraId="48BED4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⑤投标保证金缴纳凭证</w:t>
            </w:r>
          </w:p>
          <w:p w14:paraId="5AFD4A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⑥实质性响应一览表</w:t>
            </w:r>
          </w:p>
          <w:p w14:paraId="41F7C0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⑦技术响应偏离表</w:t>
            </w:r>
          </w:p>
          <w:p w14:paraId="572BD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 报价响应文件</w:t>
            </w:r>
          </w:p>
          <w:p w14:paraId="725546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①开标一览表</w:t>
            </w:r>
          </w:p>
          <w:p w14:paraId="2A2719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②分项报价表</w:t>
            </w:r>
          </w:p>
        </w:tc>
        <w:tc>
          <w:tcPr>
            <w:tcW w:w="712" w:type="pct"/>
            <w:noWrap w:val="0"/>
            <w:vAlign w:val="center"/>
          </w:tcPr>
          <w:p w14:paraId="3CD5E7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383" w:type="pct"/>
            <w:noWrap w:val="0"/>
            <w:vAlign w:val="center"/>
          </w:tcPr>
          <w:p w14:paraId="606AE8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240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43" w:type="pct"/>
            <w:shd w:val="clear" w:color="auto" w:fill="auto"/>
            <w:noWrap w:val="0"/>
            <w:vAlign w:val="center"/>
          </w:tcPr>
          <w:p w14:paraId="55CEF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160" w:type="pct"/>
            <w:noWrap w:val="0"/>
            <w:vAlign w:val="center"/>
          </w:tcPr>
          <w:p w14:paraId="6052AD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项目采购需求中标注★的条款</w:t>
            </w:r>
          </w:p>
        </w:tc>
        <w:tc>
          <w:tcPr>
            <w:tcW w:w="2500" w:type="pct"/>
            <w:noWrap w:val="0"/>
            <w:vAlign w:val="center"/>
          </w:tcPr>
          <w:p w14:paraId="39F13A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招标文件“第三章 采购需求”中</w:t>
            </w:r>
            <w:r>
              <w:rPr>
                <w:rFonts w:hint="eastAsia" w:ascii="宋体" w:hAnsi="宋体" w:eastAsia="宋体" w:cs="宋体"/>
                <w:color w:val="auto"/>
                <w:sz w:val="21"/>
                <w:szCs w:val="21"/>
                <w:highlight w:val="none"/>
                <w:lang w:val="en-US" w:eastAsia="zh-CN"/>
              </w:rPr>
              <w:t>标注★的条款</w:t>
            </w:r>
            <w:r>
              <w:rPr>
                <w:rFonts w:hint="eastAsia" w:cs="宋体"/>
                <w:color w:val="auto"/>
                <w:sz w:val="21"/>
                <w:szCs w:val="21"/>
                <w:highlight w:val="none"/>
                <w:lang w:val="en-US" w:eastAsia="zh-CN"/>
              </w:rPr>
              <w:t>。</w:t>
            </w:r>
          </w:p>
        </w:tc>
        <w:tc>
          <w:tcPr>
            <w:tcW w:w="712" w:type="pct"/>
            <w:noWrap w:val="0"/>
            <w:vAlign w:val="center"/>
          </w:tcPr>
          <w:p w14:paraId="6D7CEE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383" w:type="pct"/>
            <w:noWrap w:val="0"/>
            <w:vAlign w:val="center"/>
          </w:tcPr>
          <w:p w14:paraId="7FEB85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bl>
    <w:p w14:paraId="73C7580B">
      <w:pPr>
        <w:rPr>
          <w:rFonts w:hint="default" w:eastAsia="宋体"/>
          <w:b/>
          <w:bCs/>
          <w:color w:val="auto"/>
          <w:sz w:val="21"/>
          <w:szCs w:val="21"/>
          <w:highlight w:val="none"/>
          <w:lang w:val="en-US" w:eastAsia="zh-CN"/>
        </w:rPr>
      </w:pPr>
    </w:p>
    <w:p w14:paraId="16A7E26A">
      <w:pPr>
        <w:rPr>
          <w:rFonts w:hint="eastAsia" w:ascii="宋体" w:hAnsi="宋体" w:eastAsia="宋体" w:cstheme="minorBidi"/>
          <w:b/>
          <w:bCs/>
          <w:color w:val="auto"/>
          <w:kern w:val="2"/>
          <w:sz w:val="30"/>
          <w:szCs w:val="32"/>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p>
    <w:p w14:paraId="3FE0903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3" w:name="_Toc30949"/>
      <w:bookmarkStart w:id="534" w:name="_Toc9173"/>
      <w:bookmarkStart w:id="535" w:name="_Toc27284"/>
      <w:r>
        <w:rPr>
          <w:rFonts w:hint="eastAsia" w:ascii="宋体" w:hAnsi="宋体" w:eastAsia="宋体" w:cs="宋体"/>
          <w:b/>
          <w:bCs/>
          <w:color w:val="auto"/>
          <w:kern w:val="2"/>
          <w:sz w:val="24"/>
          <w:szCs w:val="24"/>
          <w:highlight w:val="none"/>
          <w:lang w:val="zh-CN" w:eastAsia="zh-CN" w:bidi="ar-SA"/>
        </w:rPr>
        <w:t>（二）评分标</w:t>
      </w:r>
      <w:bookmarkStart w:id="837" w:name="_GoBack"/>
      <w:bookmarkEnd w:id="837"/>
      <w:r>
        <w:rPr>
          <w:rFonts w:hint="eastAsia" w:ascii="宋体" w:hAnsi="宋体" w:eastAsia="宋体" w:cs="宋体"/>
          <w:b/>
          <w:bCs/>
          <w:color w:val="auto"/>
          <w:kern w:val="2"/>
          <w:sz w:val="24"/>
          <w:szCs w:val="24"/>
          <w:highlight w:val="none"/>
          <w:lang w:val="zh-CN" w:eastAsia="zh-CN" w:bidi="ar-SA"/>
        </w:rPr>
        <w:t>准</w:t>
      </w:r>
      <w:bookmarkEnd w:id="528"/>
      <w:bookmarkEnd w:id="529"/>
      <w:bookmarkEnd w:id="533"/>
      <w:bookmarkEnd w:id="534"/>
      <w:bookmarkEnd w:id="535"/>
    </w:p>
    <w:tbl>
      <w:tblPr>
        <w:tblStyle w:val="29"/>
        <w:tblW w:w="5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76"/>
        <w:gridCol w:w="991"/>
        <w:gridCol w:w="6046"/>
      </w:tblGrid>
      <w:tr w14:paraId="22D1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6" w:type="pct"/>
            <w:shd w:val="clear" w:color="auto" w:fill="D8D8D8" w:themeFill="background1" w:themeFillShade="D9"/>
            <w:vAlign w:val="center"/>
          </w:tcPr>
          <w:p w14:paraId="498F095D">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13" w:type="pct"/>
            <w:shd w:val="clear" w:color="auto" w:fill="D8D8D8" w:themeFill="background1" w:themeFillShade="D9"/>
            <w:vAlign w:val="center"/>
          </w:tcPr>
          <w:p w14:paraId="63FDB295">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11" w:type="pct"/>
            <w:shd w:val="clear" w:color="auto" w:fill="D8D8D8" w:themeFill="background1" w:themeFillShade="D9"/>
            <w:vAlign w:val="center"/>
          </w:tcPr>
          <w:p w14:paraId="35787DE2">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119" w:type="pct"/>
            <w:shd w:val="clear" w:color="auto" w:fill="D8D8D8" w:themeFill="background1" w:themeFillShade="D9"/>
            <w:vAlign w:val="center"/>
          </w:tcPr>
          <w:p w14:paraId="159D9783">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1535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56" w:type="pct"/>
            <w:vAlign w:val="center"/>
          </w:tcPr>
          <w:p w14:paraId="343607E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2812991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813" w:type="pct"/>
            <w:tcBorders>
              <w:bottom w:val="single" w:color="auto" w:sz="4" w:space="0"/>
            </w:tcBorders>
            <w:vAlign w:val="center"/>
          </w:tcPr>
          <w:p w14:paraId="5E56FE5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11" w:type="pct"/>
            <w:vAlign w:val="center"/>
          </w:tcPr>
          <w:p w14:paraId="34A8A881">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3119" w:type="pct"/>
            <w:vAlign w:val="center"/>
          </w:tcPr>
          <w:p w14:paraId="15D3415D">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4450F0FB">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w:t>
            </w:r>
            <w:r>
              <w:rPr>
                <w:rFonts w:hint="eastAsia" w:ascii="宋体" w:hAnsi="宋体" w:eastAsia="宋体" w:cs="宋体"/>
                <w:color w:val="auto"/>
                <w:sz w:val="21"/>
                <w:szCs w:val="21"/>
                <w:highlight w:val="none"/>
                <w:lang w:eastAsia="zh-CN"/>
              </w:rPr>
              <w:t>分值</w:t>
            </w:r>
          </w:p>
          <w:p w14:paraId="531FED8C">
            <w:pPr>
              <w:pStyle w:val="4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35C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56" w:type="pct"/>
            <w:vMerge w:val="restart"/>
            <w:vAlign w:val="center"/>
          </w:tcPr>
          <w:p w14:paraId="117E64A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B846A1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813" w:type="pct"/>
            <w:tcBorders>
              <w:top w:val="single" w:color="auto" w:sz="4" w:space="0"/>
            </w:tcBorders>
            <w:vAlign w:val="center"/>
          </w:tcPr>
          <w:p w14:paraId="16D3AEF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11" w:type="pct"/>
            <w:vAlign w:val="center"/>
          </w:tcPr>
          <w:p w14:paraId="7A76A1D9">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3119" w:type="pct"/>
            <w:vAlign w:val="center"/>
          </w:tcPr>
          <w:p w14:paraId="461EC230">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本项评审要求提供供应商近三年（自2022年1月1日至今）类似项目业绩。每提供一项有效业绩得 </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9EE6E9E">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注：类似项目业绩需包含至少一项本项目采购内容，有效业绩须提供业绩证明资料（合同扫描件及项目验收单扫描件），证明资料应能清晰反映</w:t>
            </w:r>
            <w:r>
              <w:rPr>
                <w:rFonts w:hint="eastAsia" w:cs="宋体"/>
                <w:color w:val="auto"/>
                <w:sz w:val="21"/>
                <w:szCs w:val="21"/>
                <w:highlight w:val="none"/>
                <w:lang w:val="en-US" w:eastAsia="zh-CN"/>
              </w:rPr>
              <w:t>服</w:t>
            </w:r>
            <w:r>
              <w:rPr>
                <w:rFonts w:hint="eastAsia" w:ascii="宋体" w:hAnsi="宋体" w:eastAsia="宋体" w:cs="宋体"/>
                <w:color w:val="auto"/>
                <w:sz w:val="21"/>
                <w:szCs w:val="21"/>
                <w:highlight w:val="none"/>
              </w:rPr>
              <w:t>物</w:t>
            </w:r>
            <w:r>
              <w:rPr>
                <w:rFonts w:hint="eastAsia" w:cs="宋体"/>
                <w:color w:val="auto"/>
                <w:sz w:val="21"/>
                <w:szCs w:val="21"/>
                <w:highlight w:val="none"/>
                <w:lang w:val="en-US" w:eastAsia="zh-CN"/>
              </w:rPr>
              <w:t>内容</w:t>
            </w:r>
            <w:r>
              <w:rPr>
                <w:rFonts w:hint="eastAsia" w:ascii="宋体" w:hAnsi="宋体" w:eastAsia="宋体" w:cs="宋体"/>
                <w:color w:val="auto"/>
                <w:sz w:val="21"/>
                <w:szCs w:val="21"/>
                <w:highlight w:val="none"/>
              </w:rPr>
              <w:t>、金额、日期、签字盖章信息等。证明材料不完整或不符合要求或未提供的，不计分。</w:t>
            </w:r>
          </w:p>
        </w:tc>
      </w:tr>
      <w:tr w14:paraId="662E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56" w:type="pct"/>
            <w:vMerge w:val="continue"/>
            <w:vAlign w:val="center"/>
          </w:tcPr>
          <w:p w14:paraId="45FFE472">
            <w:pPr>
              <w:pStyle w:val="48"/>
              <w:jc w:val="center"/>
              <w:rPr>
                <w:rFonts w:hint="eastAsia" w:ascii="宋体" w:hAnsi="宋体" w:eastAsia="宋体" w:cs="宋体"/>
                <w:color w:val="auto"/>
                <w:sz w:val="21"/>
                <w:szCs w:val="21"/>
                <w:highlight w:val="none"/>
              </w:rPr>
            </w:pPr>
          </w:p>
        </w:tc>
        <w:tc>
          <w:tcPr>
            <w:tcW w:w="813" w:type="pct"/>
            <w:tcBorders>
              <w:top w:val="single" w:color="auto" w:sz="4" w:space="0"/>
            </w:tcBorders>
            <w:vAlign w:val="center"/>
          </w:tcPr>
          <w:p w14:paraId="2CCB35B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项目参与人员</w:t>
            </w:r>
          </w:p>
        </w:tc>
        <w:tc>
          <w:tcPr>
            <w:tcW w:w="511" w:type="pct"/>
            <w:vAlign w:val="center"/>
          </w:tcPr>
          <w:p w14:paraId="27C7EA6A">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分</w:t>
            </w:r>
          </w:p>
        </w:tc>
        <w:tc>
          <w:tcPr>
            <w:tcW w:w="3119" w:type="pct"/>
            <w:vAlign w:val="center"/>
          </w:tcPr>
          <w:p w14:paraId="2300BF5C">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本项目为达到高质量运维要求，需配置以下项目团队，并满足核心负责人技术资格能力，项目组成员专业完备综合能力强，</w:t>
            </w:r>
            <w:r>
              <w:rPr>
                <w:rFonts w:hint="eastAsia" w:cs="宋体"/>
                <w:color w:val="auto"/>
                <w:sz w:val="21"/>
                <w:szCs w:val="21"/>
                <w:highlight w:val="none"/>
                <w:lang w:val="en-US" w:eastAsia="zh-CN"/>
              </w:rPr>
              <w:t>合计15分：</w:t>
            </w:r>
          </w:p>
          <w:p w14:paraId="7042E0E9">
            <w:pPr>
              <w:pStyle w:val="48"/>
              <w:rPr>
                <w:rFonts w:hint="default" w:cs="宋体"/>
                <w:color w:val="auto"/>
                <w:sz w:val="21"/>
                <w:szCs w:val="21"/>
                <w:highlight w:val="none"/>
                <w:lang w:val="en-US" w:eastAsia="zh-CN"/>
              </w:rPr>
            </w:pPr>
            <w:r>
              <w:rPr>
                <w:rFonts w:hint="eastAsia" w:cs="宋体"/>
                <w:color w:val="auto"/>
                <w:sz w:val="21"/>
                <w:szCs w:val="21"/>
                <w:highlight w:val="none"/>
                <w:lang w:val="en-US" w:eastAsia="zh-CN"/>
              </w:rPr>
              <w:t>1.</w:t>
            </w:r>
            <w:r>
              <w:rPr>
                <w:rFonts w:hint="default" w:cs="宋体"/>
                <w:color w:val="auto"/>
                <w:sz w:val="21"/>
                <w:szCs w:val="21"/>
                <w:highlight w:val="none"/>
                <w:lang w:val="en-US" w:eastAsia="zh-CN"/>
              </w:rPr>
              <w:t>项目经理</w:t>
            </w:r>
            <w:r>
              <w:rPr>
                <w:rFonts w:hint="eastAsia" w:cs="宋体"/>
                <w:color w:val="auto"/>
                <w:sz w:val="21"/>
                <w:szCs w:val="21"/>
                <w:highlight w:val="none"/>
                <w:lang w:val="en-US" w:eastAsia="zh-CN"/>
              </w:rPr>
              <w:t>1</w:t>
            </w:r>
            <w:r>
              <w:rPr>
                <w:rFonts w:hint="default" w:cs="宋体"/>
                <w:color w:val="auto"/>
                <w:sz w:val="21"/>
                <w:szCs w:val="21"/>
                <w:highlight w:val="none"/>
                <w:lang w:val="en-US" w:eastAsia="zh-CN"/>
              </w:rPr>
              <w:t>名：</w:t>
            </w:r>
            <w:r>
              <w:rPr>
                <w:rFonts w:hint="eastAsia" w:cs="宋体"/>
                <w:color w:val="auto"/>
                <w:sz w:val="21"/>
                <w:szCs w:val="21"/>
                <w:highlight w:val="none"/>
                <w:lang w:val="en-US" w:eastAsia="zh-CN"/>
              </w:rPr>
              <w:t>3</w:t>
            </w:r>
            <w:r>
              <w:rPr>
                <w:rFonts w:hint="default" w:cs="宋体"/>
                <w:color w:val="auto"/>
                <w:sz w:val="21"/>
                <w:szCs w:val="21"/>
                <w:highlight w:val="none"/>
                <w:lang w:val="en-US" w:eastAsia="zh-CN"/>
              </w:rPr>
              <w:t>分</w:t>
            </w:r>
          </w:p>
          <w:p w14:paraId="6E333FCE">
            <w:pPr>
              <w:pStyle w:val="48"/>
              <w:rPr>
                <w:rFonts w:hint="default" w:cs="宋体"/>
                <w:color w:val="auto"/>
                <w:sz w:val="21"/>
                <w:szCs w:val="21"/>
                <w:highlight w:val="none"/>
                <w:lang w:val="en-US" w:eastAsia="zh-CN"/>
              </w:rPr>
            </w:pPr>
            <w:r>
              <w:rPr>
                <w:rFonts w:hint="eastAsia" w:cs="宋体"/>
                <w:color w:val="auto"/>
                <w:sz w:val="21"/>
                <w:szCs w:val="21"/>
                <w:highlight w:val="none"/>
                <w:lang w:val="en-US" w:eastAsia="zh-CN"/>
              </w:rPr>
              <w:t>①</w:t>
            </w:r>
            <w:r>
              <w:rPr>
                <w:rFonts w:hint="default" w:cs="宋体"/>
                <w:color w:val="auto"/>
                <w:sz w:val="21"/>
                <w:szCs w:val="21"/>
                <w:highlight w:val="none"/>
                <w:lang w:val="en-US" w:eastAsia="zh-CN"/>
              </w:rPr>
              <w:t>具备高级信息系统管理师</w:t>
            </w:r>
            <w:r>
              <w:rPr>
                <w:rFonts w:hint="eastAsia" w:cs="宋体"/>
                <w:color w:val="auto"/>
                <w:sz w:val="21"/>
                <w:szCs w:val="21"/>
                <w:highlight w:val="none"/>
                <w:lang w:val="en-US" w:eastAsia="zh-CN"/>
              </w:rPr>
              <w:t>或</w:t>
            </w:r>
            <w:r>
              <w:rPr>
                <w:rFonts w:hint="default" w:cs="宋体"/>
                <w:color w:val="auto"/>
                <w:sz w:val="21"/>
                <w:szCs w:val="21"/>
                <w:highlight w:val="none"/>
                <w:lang w:val="en-US" w:eastAsia="zh-CN"/>
              </w:rPr>
              <w:t>高级系统架构设计师证书得</w:t>
            </w:r>
            <w:r>
              <w:rPr>
                <w:rFonts w:hint="eastAsia" w:cs="宋体"/>
                <w:color w:val="auto"/>
                <w:sz w:val="21"/>
                <w:szCs w:val="21"/>
                <w:highlight w:val="none"/>
                <w:lang w:val="en-US" w:eastAsia="zh-CN"/>
              </w:rPr>
              <w:t>2</w:t>
            </w:r>
            <w:r>
              <w:rPr>
                <w:rFonts w:hint="default" w:cs="宋体"/>
                <w:color w:val="auto"/>
                <w:sz w:val="21"/>
                <w:szCs w:val="21"/>
                <w:highlight w:val="none"/>
                <w:lang w:val="en-US" w:eastAsia="zh-CN"/>
              </w:rPr>
              <w:t>分，不满足不得分。</w:t>
            </w:r>
          </w:p>
          <w:p w14:paraId="12A99B86">
            <w:pPr>
              <w:pStyle w:val="48"/>
              <w:rPr>
                <w:rFonts w:hint="default" w:cs="宋体"/>
                <w:color w:val="auto"/>
                <w:sz w:val="21"/>
                <w:szCs w:val="21"/>
                <w:highlight w:val="none"/>
                <w:lang w:val="en-US" w:eastAsia="zh-CN"/>
              </w:rPr>
            </w:pPr>
            <w:r>
              <w:rPr>
                <w:rFonts w:hint="eastAsia" w:cs="宋体"/>
                <w:color w:val="auto"/>
                <w:sz w:val="21"/>
                <w:szCs w:val="21"/>
                <w:highlight w:val="none"/>
                <w:lang w:val="en-US" w:eastAsia="zh-CN"/>
              </w:rPr>
              <w:t>②具有相关项目经验，至少参与过1个类似项目实施，且提供了证明材料的，得1分，</w:t>
            </w:r>
            <w:r>
              <w:rPr>
                <w:rFonts w:hint="default" w:cs="宋体"/>
                <w:color w:val="auto"/>
                <w:sz w:val="21"/>
                <w:szCs w:val="21"/>
                <w:highlight w:val="none"/>
                <w:lang w:val="en-US" w:eastAsia="zh-CN"/>
              </w:rPr>
              <w:t>不满足或有缺项不得分。</w:t>
            </w:r>
          </w:p>
          <w:p w14:paraId="18D73149">
            <w:pPr>
              <w:pStyle w:val="48"/>
              <w:rPr>
                <w:rFonts w:hint="eastAsia" w:cs="宋体"/>
                <w:color w:val="auto"/>
                <w:sz w:val="21"/>
                <w:szCs w:val="21"/>
                <w:highlight w:val="none"/>
                <w:lang w:val="en-US" w:eastAsia="zh-CN"/>
              </w:rPr>
            </w:pPr>
            <w:r>
              <w:rPr>
                <w:rFonts w:hint="eastAsia" w:cs="宋体"/>
                <w:color w:val="auto"/>
                <w:sz w:val="21"/>
                <w:szCs w:val="21"/>
                <w:highlight w:val="none"/>
                <w:lang w:val="en-US" w:eastAsia="zh-CN"/>
              </w:rPr>
              <w:t>2.项目技术负责人1名：2分</w:t>
            </w:r>
          </w:p>
          <w:p w14:paraId="12A09571">
            <w:pPr>
              <w:pStyle w:val="48"/>
              <w:rPr>
                <w:rFonts w:hint="default" w:cs="宋体"/>
                <w:color w:val="auto"/>
                <w:sz w:val="21"/>
                <w:szCs w:val="21"/>
                <w:highlight w:val="none"/>
                <w:lang w:val="en-US" w:eastAsia="zh-CN"/>
              </w:rPr>
            </w:pPr>
            <w:r>
              <w:rPr>
                <w:rFonts w:hint="default" w:cs="宋体"/>
                <w:color w:val="auto"/>
                <w:sz w:val="21"/>
                <w:szCs w:val="21"/>
                <w:highlight w:val="none"/>
                <w:lang w:val="en-US" w:eastAsia="zh-CN"/>
              </w:rPr>
              <w:t>具备高级信息系统管理师</w:t>
            </w:r>
            <w:r>
              <w:rPr>
                <w:rFonts w:hint="eastAsia" w:cs="宋体"/>
                <w:color w:val="auto"/>
                <w:sz w:val="21"/>
                <w:szCs w:val="21"/>
                <w:highlight w:val="none"/>
                <w:lang w:val="en-US" w:eastAsia="zh-CN"/>
              </w:rPr>
              <w:t>或</w:t>
            </w:r>
            <w:r>
              <w:rPr>
                <w:rFonts w:hint="default" w:cs="宋体"/>
                <w:color w:val="auto"/>
                <w:sz w:val="21"/>
                <w:szCs w:val="21"/>
                <w:highlight w:val="none"/>
                <w:lang w:val="en-US" w:eastAsia="zh-CN"/>
              </w:rPr>
              <w:t>高级系统架构设计师证书得</w:t>
            </w:r>
            <w:r>
              <w:rPr>
                <w:rFonts w:hint="eastAsia" w:cs="宋体"/>
                <w:color w:val="auto"/>
                <w:sz w:val="21"/>
                <w:szCs w:val="21"/>
                <w:highlight w:val="none"/>
                <w:lang w:val="en-US" w:eastAsia="zh-CN"/>
              </w:rPr>
              <w:t>2</w:t>
            </w:r>
            <w:r>
              <w:rPr>
                <w:rFonts w:hint="default" w:cs="宋体"/>
                <w:color w:val="auto"/>
                <w:sz w:val="21"/>
                <w:szCs w:val="21"/>
                <w:highlight w:val="none"/>
                <w:lang w:val="en-US" w:eastAsia="zh-CN"/>
              </w:rPr>
              <w:t>分，不满足不得分；</w:t>
            </w:r>
          </w:p>
          <w:p w14:paraId="17A86F8F">
            <w:pPr>
              <w:pStyle w:val="48"/>
              <w:numPr>
                <w:ilvl w:val="0"/>
                <w:numId w:val="0"/>
              </w:numPr>
              <w:rPr>
                <w:rFonts w:hint="eastAsia"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cs="宋体"/>
                <w:color w:val="auto"/>
                <w:sz w:val="21"/>
                <w:szCs w:val="21"/>
                <w:highlight w:val="none"/>
                <w:lang w:val="en-US" w:eastAsia="zh-CN"/>
              </w:rPr>
              <w:t>项目组成员：9分</w:t>
            </w:r>
          </w:p>
          <w:p w14:paraId="4C8EF13C">
            <w:pPr>
              <w:pStyle w:val="48"/>
              <w:numPr>
                <w:ilvl w:val="0"/>
                <w:numId w:val="0"/>
              </w:numPr>
              <w:rPr>
                <w:rFonts w:hint="eastAsia" w:cs="宋体"/>
                <w:color w:val="auto"/>
                <w:sz w:val="21"/>
                <w:szCs w:val="21"/>
                <w:highlight w:val="none"/>
                <w:lang w:val="en-US" w:eastAsia="zh-CN"/>
              </w:rPr>
            </w:pPr>
            <w:r>
              <w:rPr>
                <w:rFonts w:hint="eastAsia" w:cs="宋体"/>
                <w:color w:val="auto"/>
                <w:sz w:val="21"/>
                <w:szCs w:val="21"/>
                <w:highlight w:val="none"/>
                <w:lang w:val="en-US" w:eastAsia="zh-CN"/>
              </w:rPr>
              <w:t>要求具备三维建模与渲染人员3名，全景视频开发人员1名，交互开发人员2名，虚拟仿真系统架构人员1名。</w:t>
            </w:r>
          </w:p>
          <w:p w14:paraId="03D31F88">
            <w:pPr>
              <w:pStyle w:val="48"/>
              <w:numPr>
                <w:ilvl w:val="0"/>
                <w:numId w:val="0"/>
              </w:numPr>
              <w:rPr>
                <w:rFonts w:hint="default" w:cs="宋体"/>
                <w:color w:val="auto"/>
                <w:sz w:val="21"/>
                <w:szCs w:val="21"/>
                <w:highlight w:val="none"/>
                <w:lang w:val="en-US" w:eastAsia="zh-CN"/>
              </w:rPr>
            </w:pPr>
            <w:r>
              <w:rPr>
                <w:rFonts w:hint="eastAsia" w:cs="宋体"/>
                <w:color w:val="auto"/>
                <w:sz w:val="21"/>
                <w:szCs w:val="21"/>
                <w:highlight w:val="none"/>
                <w:lang w:val="en-US" w:eastAsia="zh-CN"/>
              </w:rPr>
              <w:t>①每有一名三维建模与渲染人员具备Autodesk认证专家证书及三维动画设计师证书的得1分，最多得3分，</w:t>
            </w:r>
            <w:r>
              <w:rPr>
                <w:rFonts w:hint="default" w:cs="宋体"/>
                <w:color w:val="auto"/>
                <w:sz w:val="21"/>
                <w:szCs w:val="21"/>
                <w:highlight w:val="none"/>
                <w:lang w:val="en-US" w:eastAsia="zh-CN"/>
              </w:rPr>
              <w:t>不满足或有缺项不得分。</w:t>
            </w:r>
          </w:p>
          <w:p w14:paraId="74C23589">
            <w:pPr>
              <w:pStyle w:val="48"/>
              <w:numPr>
                <w:ilvl w:val="0"/>
                <w:numId w:val="0"/>
              </w:numPr>
              <w:rPr>
                <w:rFonts w:hint="default" w:cs="宋体"/>
                <w:color w:val="auto"/>
                <w:sz w:val="21"/>
                <w:szCs w:val="21"/>
                <w:highlight w:val="none"/>
                <w:lang w:val="en-US" w:eastAsia="zh-CN"/>
              </w:rPr>
            </w:pPr>
            <w:r>
              <w:rPr>
                <w:rFonts w:hint="eastAsia" w:cs="宋体"/>
                <w:color w:val="auto"/>
                <w:sz w:val="21"/>
                <w:szCs w:val="21"/>
                <w:highlight w:val="none"/>
                <w:lang w:val="en-US" w:eastAsia="zh-CN"/>
              </w:rPr>
              <w:t>②全景视频开发人员具备影视后期合成师认证证书的得2分，最多得2分，</w:t>
            </w:r>
            <w:r>
              <w:rPr>
                <w:rFonts w:hint="default" w:cs="宋体"/>
                <w:color w:val="auto"/>
                <w:sz w:val="21"/>
                <w:szCs w:val="21"/>
                <w:highlight w:val="none"/>
                <w:lang w:val="en-US" w:eastAsia="zh-CN"/>
              </w:rPr>
              <w:t>不满足或有缺项不得分。</w:t>
            </w:r>
          </w:p>
          <w:p w14:paraId="384F877B">
            <w:pPr>
              <w:pStyle w:val="48"/>
              <w:numPr>
                <w:ilvl w:val="0"/>
                <w:numId w:val="0"/>
              </w:numPr>
              <w:rPr>
                <w:rFonts w:hint="default" w:cs="宋体"/>
                <w:color w:val="auto"/>
                <w:sz w:val="21"/>
                <w:szCs w:val="21"/>
                <w:highlight w:val="none"/>
                <w:lang w:val="en-US" w:eastAsia="zh-CN"/>
              </w:rPr>
            </w:pPr>
            <w:r>
              <w:rPr>
                <w:rFonts w:hint="eastAsia" w:cs="宋体"/>
                <w:color w:val="auto"/>
                <w:sz w:val="21"/>
                <w:szCs w:val="21"/>
                <w:highlight w:val="none"/>
                <w:lang w:val="en-US" w:eastAsia="zh-CN"/>
              </w:rPr>
              <w:t>③每有一名交互开发人员具备Unity认证及敏捷开发认证证书的得1分，最多得2分，</w:t>
            </w:r>
            <w:r>
              <w:rPr>
                <w:rFonts w:hint="default" w:cs="宋体"/>
                <w:color w:val="auto"/>
                <w:sz w:val="21"/>
                <w:szCs w:val="21"/>
                <w:highlight w:val="none"/>
                <w:lang w:val="en-US" w:eastAsia="zh-CN"/>
              </w:rPr>
              <w:t>不满足或有缺项不得分。</w:t>
            </w:r>
          </w:p>
          <w:p w14:paraId="52C051D6">
            <w:pPr>
              <w:pStyle w:val="48"/>
              <w:numPr>
                <w:ilvl w:val="0"/>
                <w:numId w:val="0"/>
              </w:numPr>
              <w:rPr>
                <w:rFonts w:hint="default" w:cs="宋体"/>
                <w:color w:val="auto"/>
                <w:sz w:val="21"/>
                <w:szCs w:val="21"/>
                <w:highlight w:val="none"/>
                <w:lang w:val="en-US" w:eastAsia="zh-CN"/>
              </w:rPr>
            </w:pPr>
            <w:r>
              <w:rPr>
                <w:rFonts w:hint="eastAsia" w:cs="宋体"/>
                <w:color w:val="auto"/>
                <w:sz w:val="21"/>
                <w:szCs w:val="21"/>
                <w:highlight w:val="none"/>
                <w:lang w:val="en-US" w:eastAsia="zh-CN"/>
              </w:rPr>
              <w:t>④虚拟仿真系统架构人员具备系统架构设计师证书的得2分，最多得2分，</w:t>
            </w:r>
            <w:r>
              <w:rPr>
                <w:rFonts w:hint="default" w:cs="宋体"/>
                <w:color w:val="auto"/>
                <w:sz w:val="21"/>
                <w:szCs w:val="21"/>
                <w:highlight w:val="none"/>
                <w:lang w:val="en-US" w:eastAsia="zh-CN"/>
              </w:rPr>
              <w:t>不满足或有缺项不得分。</w:t>
            </w:r>
          </w:p>
          <w:p w14:paraId="1944B066">
            <w:pPr>
              <w:pStyle w:val="48"/>
              <w:numPr>
                <w:ilvl w:val="0"/>
                <w:numId w:val="0"/>
              </w:numPr>
              <w:rPr>
                <w:rFonts w:hint="default" w:cs="宋体"/>
                <w:color w:val="auto"/>
                <w:sz w:val="21"/>
                <w:szCs w:val="21"/>
                <w:highlight w:val="none"/>
                <w:lang w:val="en-US" w:eastAsia="zh-CN"/>
              </w:rPr>
            </w:pPr>
            <w:r>
              <w:rPr>
                <w:rFonts w:hint="eastAsia" w:cs="宋体"/>
                <w:b/>
                <w:bCs/>
                <w:color w:val="auto"/>
                <w:sz w:val="21"/>
                <w:szCs w:val="21"/>
                <w:highlight w:val="none"/>
                <w:lang w:val="en-US" w:eastAsia="zh-CN"/>
              </w:rPr>
              <w:t>注：本项需提供团队成员身份证、相关资格证书复印件、开标前3个月（2025年5月至2025年7月）投标人为其缴纳社保的社保证明材料，同一人员拥有多个证件的不重复计算。未提供或提供不全不得分。</w:t>
            </w:r>
          </w:p>
        </w:tc>
      </w:tr>
      <w:tr w14:paraId="78B9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56" w:type="pct"/>
            <w:vMerge w:val="continue"/>
            <w:vAlign w:val="center"/>
          </w:tcPr>
          <w:p w14:paraId="3A9E4F63">
            <w:pPr>
              <w:pStyle w:val="48"/>
              <w:jc w:val="center"/>
              <w:rPr>
                <w:rFonts w:hint="eastAsia" w:ascii="宋体" w:hAnsi="宋体" w:eastAsia="宋体" w:cs="宋体"/>
                <w:color w:val="auto"/>
                <w:sz w:val="21"/>
                <w:szCs w:val="21"/>
                <w:highlight w:val="none"/>
              </w:rPr>
            </w:pPr>
          </w:p>
        </w:tc>
        <w:tc>
          <w:tcPr>
            <w:tcW w:w="813" w:type="pct"/>
            <w:tcBorders>
              <w:top w:val="single" w:color="auto" w:sz="4" w:space="0"/>
            </w:tcBorders>
            <w:shd w:val="clear" w:color="auto" w:fill="auto"/>
            <w:vAlign w:val="center"/>
          </w:tcPr>
          <w:p w14:paraId="6478A838">
            <w:pPr>
              <w:pStyle w:val="4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售后服务方案</w:t>
            </w:r>
          </w:p>
        </w:tc>
        <w:tc>
          <w:tcPr>
            <w:tcW w:w="511" w:type="pct"/>
            <w:shd w:val="clear" w:color="auto" w:fill="auto"/>
            <w:vAlign w:val="center"/>
          </w:tcPr>
          <w:p w14:paraId="2188350F">
            <w:pPr>
              <w:pStyle w:val="4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c>
          <w:tcPr>
            <w:tcW w:w="3119" w:type="pct"/>
            <w:shd w:val="clear" w:color="auto" w:fill="auto"/>
            <w:vAlign w:val="center"/>
          </w:tcPr>
          <w:p w14:paraId="7A0A2AEA">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供应商须针对本项目提供详细的售后服务方案（包含但不限于①售后服务具体内容，售后服务人员信息及服务电话；②服务响应时间和故障处理措施；③备品备件保证；④质保期外维保方案；）：</w:t>
            </w:r>
          </w:p>
          <w:p w14:paraId="3BEEF30A">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以上</w:t>
            </w:r>
            <w:r>
              <w:rPr>
                <w:rFonts w:hint="eastAsia" w:cs="宋体"/>
                <w:color w:val="auto"/>
                <w:sz w:val="21"/>
                <w:szCs w:val="21"/>
                <w:highlight w:val="none"/>
                <w:lang w:val="en-US" w:eastAsia="zh-CN"/>
              </w:rPr>
              <w:t>售后服务</w:t>
            </w:r>
            <w:r>
              <w:rPr>
                <w:rFonts w:hint="eastAsia" w:ascii="宋体" w:hAnsi="宋体" w:eastAsia="宋体" w:cs="宋体"/>
                <w:color w:val="auto"/>
                <w:sz w:val="21"/>
                <w:szCs w:val="21"/>
                <w:highlight w:val="none"/>
                <w:lang w:val="en-US" w:eastAsia="zh-CN"/>
              </w:rPr>
              <w:t>方案内容完整清晰明确的得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分；每缺少一项扣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分，每有一项有缺陷（缺陷是指：存在内容响应不完整、不适用项目实际情况的情形、凭空编造、前后不一致、前后逻辑错误等）扣</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分，扣完为止。未提供或不满足需求的不得分。</w:t>
            </w:r>
          </w:p>
        </w:tc>
      </w:tr>
      <w:tr w14:paraId="6027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56" w:type="pct"/>
            <w:vMerge w:val="restart"/>
            <w:vAlign w:val="center"/>
          </w:tcPr>
          <w:p w14:paraId="0892125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7246553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813" w:type="pct"/>
            <w:tcBorders>
              <w:top w:val="single" w:color="auto" w:sz="4" w:space="0"/>
            </w:tcBorders>
            <w:vAlign w:val="center"/>
          </w:tcPr>
          <w:p w14:paraId="7003E44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技术指标响应</w:t>
            </w:r>
          </w:p>
        </w:tc>
        <w:tc>
          <w:tcPr>
            <w:tcW w:w="511" w:type="pct"/>
            <w:vAlign w:val="center"/>
          </w:tcPr>
          <w:p w14:paraId="0BCC1D14">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3119" w:type="pct"/>
            <w:vAlign w:val="center"/>
          </w:tcPr>
          <w:p w14:paraId="7A772260">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供应商须在《技术响应偏离表》中对第三章《采购需求》中的“三、技术要求”载明的所有条款逐条说明响应内容及是否存在偏离等情况：</w:t>
            </w:r>
          </w:p>
          <w:p w14:paraId="4C0CB502">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1）全部满足上述条款的，得</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17DE3A0C">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2）技术要求中标注▲号的条款为重要技术条款，对标注▲号的条款每出现一条负偏离扣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p w14:paraId="0C60BA21">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3）对技术要求中未标注▲号的条款每出现一条负偏离，扣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p w14:paraId="4C02C313">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注：①供应商针对各项技术</w:t>
            </w:r>
            <w:r>
              <w:rPr>
                <w:rFonts w:hint="eastAsia" w:cs="宋体"/>
                <w:color w:val="auto"/>
                <w:sz w:val="21"/>
                <w:szCs w:val="21"/>
                <w:highlight w:val="none"/>
                <w:lang w:val="en-US" w:eastAsia="zh-CN"/>
              </w:rPr>
              <w:t>要求</w:t>
            </w:r>
            <w:r>
              <w:rPr>
                <w:rFonts w:hint="eastAsia" w:ascii="宋体" w:hAnsi="宋体" w:eastAsia="宋体" w:cs="宋体"/>
                <w:color w:val="auto"/>
                <w:sz w:val="21"/>
                <w:szCs w:val="21"/>
                <w:highlight w:val="none"/>
              </w:rPr>
              <w:t>应在《技术响应偏离表》中如实填写响应内容，照搬照抄采购文件、不注明实际数值者视为</w:t>
            </w:r>
            <w:r>
              <w:rPr>
                <w:rFonts w:hint="eastAsia" w:cs="宋体"/>
                <w:color w:val="auto"/>
                <w:sz w:val="21"/>
                <w:szCs w:val="21"/>
                <w:highlight w:val="none"/>
                <w:lang w:val="en-US" w:eastAsia="zh-CN"/>
              </w:rPr>
              <w:t>负偏离</w:t>
            </w:r>
            <w:r>
              <w:rPr>
                <w:rFonts w:hint="eastAsia" w:ascii="宋体" w:hAnsi="宋体" w:eastAsia="宋体" w:cs="宋体"/>
                <w:color w:val="auto"/>
                <w:sz w:val="21"/>
                <w:szCs w:val="21"/>
                <w:highlight w:val="none"/>
              </w:rPr>
              <w:t>。②对采购需求“技术要求”中所列条款，供应商须提供证明材料（证明材料应提供产品功能截图</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彩页</w:t>
            </w:r>
            <w:r>
              <w:rPr>
                <w:rFonts w:hint="eastAsia" w:cs="宋体"/>
                <w:color w:val="auto"/>
                <w:sz w:val="21"/>
                <w:szCs w:val="21"/>
                <w:highlight w:val="none"/>
                <w:lang w:val="en-US" w:eastAsia="zh-CN"/>
              </w:rPr>
              <w:t>或白皮书，“技术要求”中明确要求提供产品功能截图的需按照要求提供，否则视为负偏离</w:t>
            </w:r>
            <w:r>
              <w:rPr>
                <w:rFonts w:hint="eastAsia" w:ascii="宋体" w:hAnsi="宋体" w:eastAsia="宋体" w:cs="宋体"/>
                <w:color w:val="auto"/>
                <w:sz w:val="21"/>
                <w:szCs w:val="21"/>
                <w:highlight w:val="none"/>
              </w:rPr>
              <w:t>），并在技术响应偏离表中备注此项证明资料在《投标文件》的页码索引，同时在技术支持资料中做出明确标识。未按招标文件要求提供相关证明资料的、或所提供证明资料与其响应内容不符的、或未按要求注明具体页码及条目号的，均视为负偏离。</w:t>
            </w:r>
          </w:p>
        </w:tc>
      </w:tr>
      <w:tr w14:paraId="785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56" w:type="pct"/>
            <w:vMerge w:val="continue"/>
            <w:vAlign w:val="center"/>
          </w:tcPr>
          <w:p w14:paraId="1B5E2F31">
            <w:pPr>
              <w:pStyle w:val="48"/>
              <w:jc w:val="center"/>
              <w:rPr>
                <w:rFonts w:hint="eastAsia" w:ascii="宋体" w:hAnsi="宋体" w:eastAsia="宋体" w:cs="宋体"/>
                <w:color w:val="auto"/>
                <w:sz w:val="21"/>
                <w:szCs w:val="21"/>
                <w:highlight w:val="none"/>
              </w:rPr>
            </w:pPr>
          </w:p>
        </w:tc>
        <w:tc>
          <w:tcPr>
            <w:tcW w:w="813" w:type="pct"/>
            <w:vAlign w:val="center"/>
          </w:tcPr>
          <w:p w14:paraId="270FECD8">
            <w:pPr>
              <w:pStyle w:val="48"/>
              <w:jc w:val="center"/>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需求分析</w:t>
            </w:r>
          </w:p>
        </w:tc>
        <w:tc>
          <w:tcPr>
            <w:tcW w:w="511" w:type="pct"/>
            <w:vAlign w:val="center"/>
          </w:tcPr>
          <w:p w14:paraId="77C55A94">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3119" w:type="pct"/>
            <w:vAlign w:val="center"/>
          </w:tcPr>
          <w:p w14:paraId="671F964B">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供应商结合项目实际情况，对项目需求进行分析： ①供应商需求分析能准确描述项目背景及目标、核心任务；②需求分析能准确描述本项目所需开发的功能与平台整体功能间的逻辑关系；③系统总体架构：提供平台/系统总体设计思路、总体框架设计、技术路线选择等；④系统功能架构：提供功能架构图，功能架构设计全面准确覆盖项目要求、无遗漏 </w:t>
            </w:r>
            <w:r>
              <w:rPr>
                <w:rFonts w:hint="eastAsia" w:cs="宋体"/>
                <w:color w:val="auto"/>
                <w:sz w:val="21"/>
                <w:szCs w:val="21"/>
                <w:highlight w:val="none"/>
                <w:lang w:val="en-US" w:eastAsia="zh-CN"/>
              </w:rPr>
              <w:t>⑤</w:t>
            </w:r>
            <w:r>
              <w:rPr>
                <w:rFonts w:hint="eastAsia" w:ascii="宋体" w:hAnsi="宋体" w:eastAsia="宋体" w:cs="宋体"/>
                <w:color w:val="auto"/>
                <w:sz w:val="21"/>
                <w:szCs w:val="21"/>
                <w:highlight w:val="none"/>
              </w:rPr>
              <w:t>系统数据架构：数据架构应包含数据架构图、技术架构图等。</w:t>
            </w:r>
          </w:p>
          <w:p w14:paraId="361CE95E">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以上需求分析内容完整清晰明确的得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分；每缺少一项扣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分，每有一项有缺陷（缺陷是指：存在内容响应不完整、不适用项目实际情况的情形、凭空编造、前后不一致、前后逻辑错误等）扣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分，扣完为止。未提供或不满足需求的不得分。</w:t>
            </w:r>
          </w:p>
        </w:tc>
      </w:tr>
      <w:tr w14:paraId="3E8E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 w:type="pct"/>
            <w:vMerge w:val="continue"/>
            <w:vAlign w:val="center"/>
          </w:tcPr>
          <w:p w14:paraId="685B63F0">
            <w:pPr>
              <w:pStyle w:val="48"/>
              <w:jc w:val="center"/>
              <w:rPr>
                <w:rFonts w:hint="eastAsia" w:ascii="宋体" w:hAnsi="宋体" w:eastAsia="宋体" w:cs="宋体"/>
                <w:color w:val="auto"/>
                <w:sz w:val="21"/>
                <w:szCs w:val="21"/>
                <w:highlight w:val="none"/>
              </w:rPr>
            </w:pPr>
          </w:p>
        </w:tc>
        <w:tc>
          <w:tcPr>
            <w:tcW w:w="813" w:type="pct"/>
            <w:vAlign w:val="center"/>
          </w:tcPr>
          <w:p w14:paraId="4784C8FB">
            <w:pPr>
              <w:pStyle w:val="48"/>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实施方案</w:t>
            </w:r>
          </w:p>
        </w:tc>
        <w:tc>
          <w:tcPr>
            <w:tcW w:w="511" w:type="pct"/>
            <w:vAlign w:val="center"/>
          </w:tcPr>
          <w:p w14:paraId="0D6C72DA">
            <w:pPr>
              <w:pStyle w:val="48"/>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15分</w:t>
            </w:r>
          </w:p>
        </w:tc>
        <w:tc>
          <w:tcPr>
            <w:tcW w:w="3119" w:type="pct"/>
            <w:vAlign w:val="center"/>
          </w:tcPr>
          <w:p w14:paraId="4EF20A0D">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供应商结合项目实际情况编制项目实施方案：①整体工作计划</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②各任务阶段计划及目标</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③人员组织计划；④供应商对关键技术问题、重点、难点分析准确并提供相应对策措施；</w:t>
            </w:r>
            <w:r>
              <w:rPr>
                <w:rFonts w:hint="eastAsia"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项目测试及试运行、验收流程完整且明确等</w:t>
            </w:r>
            <w:r>
              <w:rPr>
                <w:rFonts w:hint="eastAsia" w:cs="宋体"/>
                <w:color w:val="auto"/>
                <w:sz w:val="21"/>
                <w:szCs w:val="21"/>
                <w:highlight w:val="none"/>
                <w:lang w:val="en-US" w:eastAsia="zh-CN"/>
              </w:rPr>
              <w:t>；</w:t>
            </w:r>
          </w:p>
          <w:p w14:paraId="77BD3E47">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w:t>
            </w:r>
            <w:r>
              <w:rPr>
                <w:rFonts w:hint="eastAsia" w:cs="宋体"/>
                <w:color w:val="auto"/>
                <w:sz w:val="21"/>
                <w:szCs w:val="21"/>
                <w:highlight w:val="none"/>
                <w:lang w:val="en-US" w:eastAsia="zh-CN"/>
              </w:rPr>
              <w:t>实施</w:t>
            </w:r>
            <w:r>
              <w:rPr>
                <w:rFonts w:hint="eastAsia" w:ascii="宋体" w:hAnsi="宋体" w:eastAsia="宋体" w:cs="宋体"/>
                <w:color w:val="auto"/>
                <w:sz w:val="21"/>
                <w:szCs w:val="21"/>
                <w:highlight w:val="none"/>
                <w:lang w:val="en-US" w:eastAsia="zh-CN"/>
              </w:rPr>
              <w:t>方案内容完整清晰明确的得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分；每缺少一项扣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分，每有一项有缺陷（缺陷是指：存在内容响应不完整、不适用项目实际情况的情形、凭空编造、前后不一致、前后逻辑错误等）扣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分，扣完为止。未提供或不满足需求的不得分。</w:t>
            </w:r>
          </w:p>
        </w:tc>
      </w:tr>
      <w:tr w14:paraId="2730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6" w:type="pct"/>
            <w:vMerge w:val="continue"/>
            <w:vAlign w:val="center"/>
          </w:tcPr>
          <w:p w14:paraId="1C41285A">
            <w:pPr>
              <w:pStyle w:val="48"/>
              <w:jc w:val="center"/>
              <w:rPr>
                <w:rFonts w:hint="eastAsia" w:ascii="宋体" w:hAnsi="宋体" w:eastAsia="宋体" w:cs="宋体"/>
                <w:color w:val="auto"/>
                <w:sz w:val="21"/>
                <w:szCs w:val="21"/>
                <w:highlight w:val="none"/>
              </w:rPr>
            </w:pPr>
          </w:p>
        </w:tc>
        <w:tc>
          <w:tcPr>
            <w:tcW w:w="813" w:type="pct"/>
            <w:shd w:val="clear" w:color="auto" w:fill="auto"/>
            <w:vAlign w:val="center"/>
          </w:tcPr>
          <w:p w14:paraId="22065829">
            <w:pPr>
              <w:pStyle w:val="4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培训方案</w:t>
            </w:r>
          </w:p>
        </w:tc>
        <w:tc>
          <w:tcPr>
            <w:tcW w:w="511" w:type="pct"/>
            <w:shd w:val="clear" w:color="auto" w:fill="auto"/>
            <w:vAlign w:val="center"/>
          </w:tcPr>
          <w:p w14:paraId="447442C9">
            <w:pPr>
              <w:pStyle w:val="48"/>
              <w:jc w:val="center"/>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 </w:t>
            </w:r>
          </w:p>
        </w:tc>
        <w:tc>
          <w:tcPr>
            <w:tcW w:w="3119" w:type="pct"/>
            <w:vAlign w:val="center"/>
          </w:tcPr>
          <w:p w14:paraId="6B67280B">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提供明确可行的培训计划方案，内容应至少包含</w:t>
            </w:r>
            <w:r>
              <w:rPr>
                <w:rFonts w:hint="eastAsia"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课程内容</w:t>
            </w:r>
            <w:r>
              <w:rPr>
                <w:rFonts w:hint="eastAsia"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培训阶段和计划</w:t>
            </w:r>
            <w:r>
              <w:rPr>
                <w:rFonts w:hint="eastAsia"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培训交付物等</w:t>
            </w:r>
            <w:r>
              <w:rPr>
                <w:rFonts w:hint="eastAsia" w:cs="宋体"/>
                <w:color w:val="auto"/>
                <w:sz w:val="21"/>
                <w:szCs w:val="21"/>
                <w:highlight w:val="none"/>
                <w:lang w:val="en-US" w:eastAsia="zh-CN"/>
              </w:rPr>
              <w:t>；</w:t>
            </w:r>
          </w:p>
          <w:p w14:paraId="0FC175CE">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w:t>
            </w:r>
            <w:r>
              <w:rPr>
                <w:rFonts w:hint="eastAsia" w:cs="宋体"/>
                <w:color w:val="auto"/>
                <w:sz w:val="21"/>
                <w:szCs w:val="21"/>
                <w:highlight w:val="none"/>
                <w:lang w:val="en-US" w:eastAsia="zh-CN"/>
              </w:rPr>
              <w:t>培训</w:t>
            </w:r>
            <w:r>
              <w:rPr>
                <w:rFonts w:hint="eastAsia" w:ascii="宋体" w:hAnsi="宋体" w:eastAsia="宋体" w:cs="宋体"/>
                <w:color w:val="auto"/>
                <w:sz w:val="21"/>
                <w:szCs w:val="21"/>
                <w:highlight w:val="none"/>
                <w:lang w:val="en-US" w:eastAsia="zh-CN"/>
              </w:rPr>
              <w:t>方案内容完整清晰明确的得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分，每有一项有缺陷（缺陷是指：存在内容响应不完整、不适用项目实际情况的情形、凭空编造、前后不一致、前后逻辑错误等）扣</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分，扣完为止。未提供或不满足需求的不得分。</w:t>
            </w:r>
          </w:p>
        </w:tc>
      </w:tr>
      <w:tr w14:paraId="4C7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6" w:type="pct"/>
            <w:vMerge w:val="continue"/>
            <w:vAlign w:val="center"/>
          </w:tcPr>
          <w:p w14:paraId="41130855">
            <w:pPr>
              <w:pStyle w:val="48"/>
              <w:jc w:val="center"/>
              <w:rPr>
                <w:rFonts w:hint="eastAsia" w:ascii="宋体" w:hAnsi="宋体" w:eastAsia="宋体" w:cs="宋体"/>
                <w:color w:val="auto"/>
                <w:sz w:val="21"/>
                <w:szCs w:val="21"/>
                <w:highlight w:val="none"/>
              </w:rPr>
            </w:pPr>
          </w:p>
        </w:tc>
        <w:tc>
          <w:tcPr>
            <w:tcW w:w="813" w:type="pct"/>
            <w:shd w:val="clear" w:color="auto" w:fill="auto"/>
            <w:vAlign w:val="center"/>
          </w:tcPr>
          <w:p w14:paraId="0CE14926">
            <w:pPr>
              <w:pStyle w:val="48"/>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应急处理方案</w:t>
            </w:r>
          </w:p>
        </w:tc>
        <w:tc>
          <w:tcPr>
            <w:tcW w:w="511" w:type="pct"/>
            <w:shd w:val="clear" w:color="auto" w:fill="auto"/>
            <w:vAlign w:val="center"/>
          </w:tcPr>
          <w:p w14:paraId="2E61A33A">
            <w:pPr>
              <w:pStyle w:val="48"/>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4分</w:t>
            </w:r>
          </w:p>
        </w:tc>
        <w:tc>
          <w:tcPr>
            <w:tcW w:w="3119" w:type="pct"/>
            <w:vAlign w:val="center"/>
          </w:tcPr>
          <w:p w14:paraId="5902988A">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供应商针对本项目提供应急处理方案，内容应至少包含</w:t>
            </w:r>
            <w:r>
              <w:rPr>
                <w:rFonts w:hint="eastAsia"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应急预案规划和计划</w:t>
            </w:r>
            <w:r>
              <w:rPr>
                <w:rFonts w:hint="eastAsia"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应急管理制度</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运行机制</w:t>
            </w:r>
            <w:r>
              <w:rPr>
                <w:rFonts w:hint="eastAsia"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应急工作计划</w:t>
            </w:r>
            <w:r>
              <w:rPr>
                <w:rFonts w:hint="eastAsia"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应急预防计划等</w:t>
            </w:r>
            <w:r>
              <w:rPr>
                <w:rFonts w:hint="eastAsia" w:cs="宋体"/>
                <w:color w:val="auto"/>
                <w:sz w:val="21"/>
                <w:szCs w:val="21"/>
                <w:highlight w:val="none"/>
                <w:lang w:val="en-US" w:eastAsia="zh-CN"/>
              </w:rPr>
              <w:t>；</w:t>
            </w:r>
          </w:p>
          <w:p w14:paraId="2146894A">
            <w:pPr>
              <w:pStyle w:val="48"/>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以上应急处理方案内容完整清晰明确的得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分；每缺少一项扣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分，每有一项有缺陷（缺陷是指：存在内容响应不完整、不适用项目实际情况的情形、凭空编造、前后不一致、前后逻辑错误等）扣</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分，扣完为止。未提供或不满足需求的不得分。</w:t>
            </w:r>
          </w:p>
        </w:tc>
      </w:tr>
      <w:tr w14:paraId="7AE5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69" w:type="pct"/>
            <w:gridSpan w:val="2"/>
            <w:vAlign w:val="center"/>
          </w:tcPr>
          <w:p w14:paraId="59C3C18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11" w:type="pct"/>
            <w:tcBorders>
              <w:bottom w:val="single" w:color="auto" w:sz="4" w:space="0"/>
            </w:tcBorders>
            <w:vAlign w:val="center"/>
          </w:tcPr>
          <w:p w14:paraId="04C5738D">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119" w:type="pct"/>
            <w:tcBorders>
              <w:bottom w:val="single" w:color="auto" w:sz="4" w:space="0"/>
            </w:tcBorders>
            <w:vAlign w:val="center"/>
          </w:tcPr>
          <w:p w14:paraId="2ECDECF0">
            <w:pPr>
              <w:pStyle w:val="48"/>
              <w:rPr>
                <w:rFonts w:hint="eastAsia" w:ascii="宋体" w:hAnsi="宋体" w:eastAsia="宋体" w:cs="宋体"/>
                <w:color w:val="auto"/>
                <w:sz w:val="21"/>
                <w:szCs w:val="21"/>
                <w:highlight w:val="none"/>
              </w:rPr>
            </w:pPr>
          </w:p>
        </w:tc>
      </w:tr>
    </w:tbl>
    <w:p w14:paraId="2A3FD97D">
      <w:pPr>
        <w:pStyle w:val="36"/>
        <w:rPr>
          <w:rFonts w:hint="eastAsia"/>
          <w:color w:val="auto"/>
          <w:highlight w:val="none"/>
        </w:rPr>
      </w:pPr>
    </w:p>
    <w:p w14:paraId="1F09558C">
      <w:pPr>
        <w:pStyle w:val="36"/>
        <w:rPr>
          <w:rFonts w:hint="eastAsia"/>
          <w:color w:val="auto"/>
          <w:highlight w:val="none"/>
        </w:rPr>
      </w:pPr>
    </w:p>
    <w:p w14:paraId="57C0DA27">
      <w:pPr>
        <w:pStyle w:val="36"/>
        <w:rPr>
          <w:rFonts w:hint="eastAsia"/>
          <w:color w:val="auto"/>
          <w:highlight w:val="none"/>
        </w:rPr>
      </w:pPr>
    </w:p>
    <w:p w14:paraId="2CDE2CA0">
      <w:pPr>
        <w:pStyle w:val="36"/>
        <w:rPr>
          <w:rFonts w:hint="eastAsia"/>
          <w:color w:val="auto"/>
          <w:highlight w:val="none"/>
        </w:rPr>
      </w:pPr>
    </w:p>
    <w:p w14:paraId="3B7C1FEF">
      <w:pPr>
        <w:pStyle w:val="36"/>
        <w:rPr>
          <w:rFonts w:hint="eastAsia"/>
          <w:color w:val="auto"/>
          <w:highlight w:val="none"/>
        </w:rPr>
      </w:pPr>
    </w:p>
    <w:p w14:paraId="449D2B46">
      <w:pPr>
        <w:pStyle w:val="36"/>
        <w:rPr>
          <w:rFonts w:hint="eastAsia"/>
          <w:color w:val="auto"/>
          <w:highlight w:val="none"/>
        </w:rPr>
      </w:pPr>
    </w:p>
    <w:p w14:paraId="181EFDB0">
      <w:pPr>
        <w:pStyle w:val="36"/>
        <w:rPr>
          <w:rFonts w:hint="eastAsia"/>
          <w:color w:val="auto"/>
          <w:highlight w:val="none"/>
        </w:rPr>
      </w:pPr>
    </w:p>
    <w:p w14:paraId="6AFFD87A">
      <w:pPr>
        <w:pStyle w:val="36"/>
        <w:rPr>
          <w:rFonts w:hint="eastAsia"/>
          <w:color w:val="auto"/>
          <w:highlight w:val="none"/>
        </w:rPr>
      </w:pPr>
    </w:p>
    <w:p w14:paraId="2CE4E4EE">
      <w:pPr>
        <w:pStyle w:val="36"/>
        <w:rPr>
          <w:rFonts w:hint="eastAsia"/>
          <w:color w:val="auto"/>
          <w:highlight w:val="none"/>
        </w:rPr>
      </w:pPr>
    </w:p>
    <w:p w14:paraId="1FD393F8">
      <w:pPr>
        <w:pStyle w:val="36"/>
        <w:rPr>
          <w:rFonts w:hint="eastAsia"/>
          <w:color w:val="auto"/>
          <w:highlight w:val="none"/>
        </w:rPr>
      </w:pPr>
    </w:p>
    <w:p w14:paraId="47813109">
      <w:pPr>
        <w:pStyle w:val="36"/>
        <w:rPr>
          <w:rFonts w:hint="eastAsia"/>
          <w:color w:val="auto"/>
          <w:highlight w:val="none"/>
        </w:rPr>
      </w:pPr>
    </w:p>
    <w:p w14:paraId="0BFA49C5">
      <w:pPr>
        <w:rPr>
          <w:color w:val="auto"/>
          <w:highlight w:val="none"/>
          <w:lang w:val="zh-CN"/>
        </w:rPr>
      </w:pPr>
    </w:p>
    <w:p w14:paraId="4D73CDB2">
      <w:pPr>
        <w:rPr>
          <w:color w:val="auto"/>
          <w:highlight w:val="none"/>
          <w:lang w:val="zh-CN"/>
        </w:rPr>
      </w:pPr>
    </w:p>
    <w:p w14:paraId="1BD11739">
      <w:pPr>
        <w:rPr>
          <w:color w:val="auto"/>
          <w:highlight w:val="none"/>
          <w:lang w:val="zh-CN"/>
        </w:rPr>
        <w:sectPr>
          <w:headerReference r:id="rId9" w:type="default"/>
          <w:footerReference r:id="rId10" w:type="default"/>
          <w:pgSz w:w="11906" w:h="16838"/>
          <w:pgMar w:top="1440" w:right="1800" w:bottom="1440" w:left="1800" w:header="851" w:footer="765"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36" w:name="_Toc155185918"/>
      <w:bookmarkStart w:id="537" w:name="_Toc17112"/>
      <w:r>
        <w:rPr>
          <w:rFonts w:hint="eastAsia" w:ascii="宋体" w:hAnsi="宋体" w:eastAsia="宋体" w:cs="宋体"/>
          <w:b/>
          <w:bCs/>
          <w:color w:val="auto"/>
          <w:kern w:val="44"/>
          <w:sz w:val="36"/>
          <w:szCs w:val="36"/>
          <w:highlight w:val="none"/>
          <w:lang w:val="zh-CN" w:eastAsia="zh-CN" w:bidi="ar-SA"/>
        </w:rPr>
        <w:t>第六章 合同</w:t>
      </w:r>
      <w:bookmarkEnd w:id="536"/>
      <w:r>
        <w:rPr>
          <w:rFonts w:hint="eastAsia" w:ascii="宋体" w:hAnsi="宋体" w:eastAsia="宋体" w:cs="宋体"/>
          <w:b/>
          <w:bCs/>
          <w:color w:val="auto"/>
          <w:kern w:val="44"/>
          <w:sz w:val="36"/>
          <w:szCs w:val="36"/>
          <w:highlight w:val="none"/>
          <w:lang w:val="zh-CN" w:eastAsia="zh-CN" w:bidi="ar-SA"/>
        </w:rPr>
        <w:t>草案</w:t>
      </w:r>
      <w:bookmarkEnd w:id="537"/>
    </w:p>
    <w:p w14:paraId="0F73DEB3">
      <w:pPr>
        <w:wordWrap w:val="0"/>
        <w:jc w:val="center"/>
        <w:rPr>
          <w:bCs/>
          <w:color w:val="auto"/>
          <w:sz w:val="36"/>
          <w:szCs w:val="36"/>
          <w:highlight w:val="none"/>
        </w:rPr>
      </w:pPr>
      <w:r>
        <w:rPr>
          <w:rFonts w:hint="eastAsia"/>
          <w:color w:val="auto"/>
          <w:highlight w:val="none"/>
        </w:rPr>
        <w:t>（</w:t>
      </w:r>
      <w:r>
        <w:rPr>
          <w:rFonts w:hint="eastAsia"/>
          <w:color w:val="auto"/>
          <w:szCs w:val="24"/>
          <w:highlight w:val="none"/>
        </w:rPr>
        <w:t>此合同书仅作为签订正式合同时的参考，正式合同书应包括本参考格式的内容）</w:t>
      </w:r>
    </w:p>
    <w:p w14:paraId="51E629DD">
      <w:pPr>
        <w:wordWrap w:val="0"/>
        <w:rPr>
          <w:bCs/>
          <w:color w:val="auto"/>
          <w:sz w:val="28"/>
          <w:szCs w:val="28"/>
          <w:highlight w:val="none"/>
        </w:rPr>
      </w:pPr>
      <w:r>
        <w:rPr>
          <w:rFonts w:hint="eastAsia" w:cs="Helvetica"/>
          <w:bCs/>
          <w:color w:val="auto"/>
          <w:szCs w:val="24"/>
          <w:highlight w:val="none"/>
          <w:lang w:val="zh-CN"/>
        </w:rPr>
        <w:t>合同编号：</w:t>
      </w:r>
      <w:r>
        <w:rPr>
          <w:rFonts w:hint="eastAsia" w:cs="Helvetica"/>
          <w:bCs/>
          <w:color w:val="auto"/>
          <w:szCs w:val="24"/>
          <w:highlight w:val="none"/>
          <w:u w:val="single"/>
        </w:rPr>
        <w:t xml:space="preserve">              </w:t>
      </w:r>
    </w:p>
    <w:p w14:paraId="4DD54709">
      <w:pPr>
        <w:pStyle w:val="13"/>
        <w:spacing w:after="0"/>
        <w:jc w:val="center"/>
        <w:rPr>
          <w:rFonts w:ascii="宋体" w:hAnsi="宋体" w:cs="宋体"/>
          <w:b/>
          <w:bCs/>
          <w:color w:val="auto"/>
          <w:spacing w:val="-20"/>
          <w:kern w:val="44"/>
          <w:sz w:val="48"/>
          <w:szCs w:val="48"/>
          <w:highlight w:val="none"/>
        </w:rPr>
      </w:pPr>
      <w:bookmarkStart w:id="538" w:name="_Toc3995"/>
    </w:p>
    <w:p w14:paraId="3B059C39">
      <w:pPr>
        <w:pStyle w:val="13"/>
        <w:rPr>
          <w:color w:val="auto"/>
          <w:highlight w:val="none"/>
        </w:rPr>
      </w:pPr>
    </w:p>
    <w:p w14:paraId="1EAD278A">
      <w:pPr>
        <w:spacing w:line="24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39" w:name="_Toc3714"/>
      <w:bookmarkStart w:id="540" w:name="_Toc9350"/>
      <w:r>
        <w:rPr>
          <w:rFonts w:hint="eastAsia" w:ascii="宋体" w:hAnsi="宋体" w:eastAsia="宋体" w:cs="宋体"/>
          <w:b/>
          <w:bCs/>
          <w:color w:val="auto"/>
          <w:spacing w:val="-20"/>
          <w:kern w:val="44"/>
          <w:sz w:val="44"/>
          <w:szCs w:val="44"/>
          <w:highlight w:val="none"/>
          <w:lang w:val="en-US" w:eastAsia="zh-CN" w:bidi="ar-SA"/>
        </w:rPr>
        <w:t>政府采购合同参考范本</w:t>
      </w:r>
      <w:bookmarkEnd w:id="539"/>
      <w:bookmarkEnd w:id="540"/>
    </w:p>
    <w:p w14:paraId="4571CDB1">
      <w:pPr>
        <w:spacing w:line="48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1" w:name="_Toc8560"/>
      <w:bookmarkStart w:id="542" w:name="_Toc22704"/>
      <w:r>
        <w:rPr>
          <w:rFonts w:hint="eastAsia" w:ascii="宋体" w:hAnsi="宋体" w:eastAsia="宋体" w:cs="宋体"/>
          <w:b/>
          <w:bCs/>
          <w:color w:val="auto"/>
          <w:spacing w:val="-20"/>
          <w:kern w:val="44"/>
          <w:sz w:val="44"/>
          <w:szCs w:val="44"/>
          <w:highlight w:val="none"/>
          <w:lang w:val="en-US" w:eastAsia="zh-CN" w:bidi="ar-SA"/>
        </w:rPr>
        <w:t>（服务类）</w:t>
      </w:r>
      <w:bookmarkEnd w:id="541"/>
      <w:bookmarkEnd w:id="542"/>
    </w:p>
    <w:p w14:paraId="78DDAE5C">
      <w:pPr>
        <w:spacing w:line="480" w:lineRule="auto"/>
        <w:jc w:val="center"/>
        <w:rPr>
          <w:rFonts w:cs="Times New Roman" w:asciiTheme="minorEastAsia" w:hAnsiTheme="minorEastAsia" w:eastAsiaTheme="minorEastAsia"/>
          <w:b/>
          <w:color w:val="auto"/>
          <w:sz w:val="24"/>
          <w:szCs w:val="24"/>
          <w:highlight w:val="none"/>
        </w:rPr>
      </w:pPr>
    </w:p>
    <w:p w14:paraId="317A7DEF">
      <w:pPr>
        <w:spacing w:line="480" w:lineRule="auto"/>
        <w:jc w:val="center"/>
        <w:rPr>
          <w:rFonts w:cs="Times New Roman" w:asciiTheme="minorEastAsia" w:hAnsiTheme="minorEastAsia" w:eastAsiaTheme="minorEastAsia"/>
          <w:b/>
          <w:color w:val="auto"/>
          <w:sz w:val="24"/>
          <w:szCs w:val="24"/>
          <w:highlight w:val="none"/>
        </w:rPr>
      </w:pPr>
    </w:p>
    <w:p w14:paraId="55C3B597">
      <w:pPr>
        <w:spacing w:line="360" w:lineRule="auto"/>
        <w:jc w:val="center"/>
        <w:outlineLvl w:val="1"/>
        <w:rPr>
          <w:rFonts w:hint="eastAsia" w:ascii="宋体" w:hAnsi="宋体" w:eastAsia="宋体" w:cs="宋体"/>
          <w:b/>
          <w:color w:val="auto"/>
          <w:sz w:val="36"/>
          <w:szCs w:val="36"/>
          <w:highlight w:val="none"/>
        </w:rPr>
      </w:pPr>
      <w:bookmarkStart w:id="543" w:name="_Toc24900"/>
      <w:bookmarkStart w:id="544" w:name="_Toc16803"/>
      <w:bookmarkStart w:id="545" w:name="_Toc2449"/>
      <w:r>
        <w:rPr>
          <w:rFonts w:hint="eastAsia" w:ascii="宋体" w:hAnsi="宋体" w:eastAsia="宋体" w:cs="宋体"/>
          <w:b/>
          <w:color w:val="auto"/>
          <w:sz w:val="36"/>
          <w:szCs w:val="36"/>
          <w:highlight w:val="none"/>
        </w:rPr>
        <w:t>第一部分 合同书</w:t>
      </w:r>
      <w:bookmarkEnd w:id="543"/>
      <w:bookmarkEnd w:id="544"/>
      <w:bookmarkEnd w:id="545"/>
    </w:p>
    <w:p w14:paraId="4BA01776">
      <w:pPr>
        <w:spacing w:line="480" w:lineRule="auto"/>
        <w:jc w:val="center"/>
        <w:rPr>
          <w:rFonts w:cs="Times New Roman" w:asciiTheme="minorEastAsia" w:hAnsiTheme="minorEastAsia" w:eastAsiaTheme="minorEastAsia"/>
          <w:b/>
          <w:color w:val="auto"/>
          <w:sz w:val="24"/>
          <w:szCs w:val="24"/>
          <w:highlight w:val="none"/>
        </w:rPr>
      </w:pPr>
    </w:p>
    <w:p w14:paraId="5F204112">
      <w:pPr>
        <w:pStyle w:val="13"/>
        <w:rPr>
          <w:color w:val="auto"/>
          <w:highlight w:val="none"/>
        </w:rPr>
      </w:pPr>
    </w:p>
    <w:p w14:paraId="69570DA0">
      <w:pPr>
        <w:pStyle w:val="13"/>
        <w:rPr>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2025年石河子卫生学校《中国特色社会主义》课程虚拟仿真资源定制开发采购项目</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B8S[2025]1055号</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新疆兵团第八师石河子卫生学校</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乙方（中标人）：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5343AEB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方式采购活动，经</w:t>
      </w:r>
      <w:r>
        <w:rPr>
          <w:rFonts w:hint="eastAsia" w:ascii="宋体" w:hAnsi="宋体" w:eastAsia="宋体" w:cs="宋体"/>
          <w:color w:val="auto"/>
          <w:sz w:val="24"/>
          <w:szCs w:val="24"/>
          <w:highlight w:val="none"/>
          <w:u w:val="single"/>
        </w:rPr>
        <w:t>评标委员会</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szCs w:val="24"/>
          <w:highlight w:val="none"/>
        </w:rPr>
        <w:t>）为本项目中标人，现按照采购文件确定的事项签订本合同。</w:t>
      </w:r>
    </w:p>
    <w:p w14:paraId="1A7D661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color w:val="auto"/>
          <w:sz w:val="24"/>
          <w:szCs w:val="24"/>
          <w:highlight w:val="none"/>
          <w:lang w:val="zh-CN"/>
        </w:rPr>
      </w:pPr>
      <w:bookmarkStart w:id="546" w:name="_Toc2232"/>
      <w:bookmarkStart w:id="547" w:name="_Toc3029"/>
      <w:bookmarkStart w:id="548" w:name="_Toc1600"/>
      <w:bookmarkStart w:id="549" w:name="_Toc24059"/>
      <w:bookmarkStart w:id="550" w:name="_Toc32343"/>
      <w:r>
        <w:rPr>
          <w:rFonts w:hint="eastAsia" w:ascii="宋体" w:hAnsi="宋体" w:eastAsia="宋体" w:cs="宋体"/>
          <w:b/>
          <w:bCs/>
          <w:color w:val="auto"/>
          <w:sz w:val="24"/>
          <w:szCs w:val="24"/>
          <w:highlight w:val="none"/>
          <w:lang w:val="zh-CN"/>
        </w:rPr>
        <w:t>1.1 合同组成部分</w:t>
      </w:r>
      <w:bookmarkEnd w:id="546"/>
      <w:bookmarkEnd w:id="547"/>
      <w:bookmarkEnd w:id="548"/>
      <w:bookmarkEnd w:id="549"/>
      <w:bookmarkEnd w:id="550"/>
    </w:p>
    <w:p w14:paraId="024A42B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20FA8DCC">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01E3C1E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7BCC15D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color w:val="auto"/>
          <w:sz w:val="24"/>
          <w:szCs w:val="24"/>
          <w:highlight w:val="none"/>
          <w:lang w:val="zh-CN"/>
        </w:rPr>
      </w:pPr>
      <w:bookmarkStart w:id="551" w:name="_Toc22185"/>
      <w:bookmarkStart w:id="552" w:name="_Toc2918"/>
      <w:bookmarkStart w:id="553" w:name="_Toc18585"/>
      <w:bookmarkStart w:id="554" w:name="_Toc6773"/>
      <w:bookmarkStart w:id="555" w:name="_Toc6311"/>
      <w:bookmarkStart w:id="556" w:name="_Toc8950"/>
      <w:bookmarkStart w:id="557" w:name="_Toc4436"/>
      <w:r>
        <w:rPr>
          <w:rFonts w:hint="eastAsia" w:ascii="宋体" w:hAnsi="宋体" w:eastAsia="宋体" w:cs="宋体"/>
          <w:b/>
          <w:bCs/>
          <w:color w:val="auto"/>
          <w:sz w:val="24"/>
          <w:szCs w:val="24"/>
          <w:highlight w:val="none"/>
          <w:lang w:val="zh-CN"/>
        </w:rPr>
        <w:t xml:space="preserve">1.2 </w:t>
      </w:r>
      <w:bookmarkEnd w:id="551"/>
      <w:bookmarkEnd w:id="552"/>
      <w:bookmarkEnd w:id="553"/>
      <w:bookmarkEnd w:id="554"/>
      <w:bookmarkEnd w:id="555"/>
      <w:r>
        <w:rPr>
          <w:rFonts w:hint="eastAsia" w:ascii="宋体" w:hAnsi="宋体" w:eastAsia="宋体" w:cs="宋体"/>
          <w:b/>
          <w:bCs/>
          <w:color w:val="auto"/>
          <w:sz w:val="24"/>
          <w:szCs w:val="24"/>
          <w:highlight w:val="none"/>
          <w:lang w:val="zh-CN"/>
        </w:rPr>
        <w:t>服务</w:t>
      </w:r>
      <w:bookmarkEnd w:id="556"/>
      <w:bookmarkEnd w:id="557"/>
    </w:p>
    <w:p w14:paraId="2A8C808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507EF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170C5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949008">
      <w:pPr>
        <w:spacing w:line="360" w:lineRule="auto"/>
        <w:ind w:firstLine="437"/>
        <w:outlineLvl w:val="2"/>
        <w:rPr>
          <w:rFonts w:hint="eastAsia" w:ascii="宋体" w:hAnsi="宋体" w:eastAsia="宋体" w:cs="宋体"/>
          <w:b/>
          <w:bCs/>
          <w:color w:val="auto"/>
          <w:sz w:val="24"/>
          <w:szCs w:val="24"/>
          <w:highlight w:val="none"/>
          <w:lang w:val="zh-CN"/>
        </w:rPr>
      </w:pPr>
      <w:bookmarkStart w:id="558" w:name="_Toc23292"/>
      <w:bookmarkStart w:id="559" w:name="_Toc21551"/>
      <w:bookmarkStart w:id="560" w:name="_Toc11350"/>
      <w:bookmarkStart w:id="561" w:name="_Toc21631"/>
      <w:bookmarkStart w:id="562" w:name="_Toc8047"/>
      <w:r>
        <w:rPr>
          <w:rFonts w:hint="eastAsia" w:ascii="宋体" w:hAnsi="宋体" w:eastAsia="宋体" w:cs="宋体"/>
          <w:b/>
          <w:bCs/>
          <w:color w:val="auto"/>
          <w:sz w:val="24"/>
          <w:szCs w:val="24"/>
          <w:highlight w:val="none"/>
          <w:lang w:val="zh-CN"/>
        </w:rPr>
        <w:t>1.3 价款</w:t>
      </w:r>
      <w:bookmarkEnd w:id="558"/>
      <w:bookmarkEnd w:id="559"/>
      <w:bookmarkEnd w:id="560"/>
      <w:bookmarkEnd w:id="561"/>
      <w:bookmarkEnd w:id="562"/>
    </w:p>
    <w:p w14:paraId="0E6E2DB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85CBE5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CD18D7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4C7FFB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36042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虚拟仿真交互类的三维全景视频教学资源定制开发（含PC版）</w:t>
            </w:r>
          </w:p>
        </w:tc>
        <w:tc>
          <w:tcPr>
            <w:tcW w:w="3237" w:type="dxa"/>
            <w:gridSpan w:val="2"/>
            <w:vAlign w:val="center"/>
          </w:tcPr>
          <w:p w14:paraId="0E415F66">
            <w:pPr>
              <w:ind w:firstLine="200"/>
              <w:jc w:val="center"/>
              <w:rPr>
                <w:rFonts w:hint="eastAsia" w:ascii="宋体" w:hAnsi="宋体" w:eastAsia="宋体" w:cs="宋体"/>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24CE31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思政课教育教学平台（含中职、高职）</w:t>
            </w:r>
          </w:p>
        </w:tc>
        <w:tc>
          <w:tcPr>
            <w:tcW w:w="3237" w:type="dxa"/>
            <w:gridSpan w:val="2"/>
            <w:vAlign w:val="center"/>
          </w:tcPr>
          <w:p w14:paraId="3722A032">
            <w:pPr>
              <w:ind w:firstLine="200"/>
              <w:jc w:val="center"/>
              <w:rPr>
                <w:rFonts w:hint="eastAsia" w:ascii="宋体" w:hAnsi="宋体" w:eastAsia="宋体" w:cs="宋体"/>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12C37D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AABBD7">
            <w:pPr>
              <w:ind w:firstLine="200"/>
              <w:jc w:val="center"/>
              <w:rPr>
                <w:rFonts w:hint="eastAsia" w:ascii="宋体" w:hAnsi="宋体" w:eastAsia="宋体" w:cs="宋体"/>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019B67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4647217">
            <w:pPr>
              <w:ind w:firstLine="200"/>
              <w:jc w:val="center"/>
              <w:rPr>
                <w:rFonts w:hint="eastAsia" w:ascii="宋体" w:hAnsi="宋体" w:eastAsia="宋体" w:cs="宋体"/>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45538F7">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155BB530">
            <w:pPr>
              <w:ind w:firstLine="200"/>
              <w:jc w:val="center"/>
              <w:rPr>
                <w:rFonts w:hint="eastAsia" w:ascii="宋体" w:hAnsi="宋体" w:eastAsia="宋体" w:cs="宋体"/>
                <w:color w:val="auto"/>
                <w:sz w:val="24"/>
                <w:szCs w:val="24"/>
                <w:highlight w:val="none"/>
              </w:rPr>
            </w:pPr>
          </w:p>
        </w:tc>
      </w:tr>
    </w:tbl>
    <w:p w14:paraId="17E2FC9E">
      <w:pPr>
        <w:spacing w:line="360" w:lineRule="auto"/>
        <w:ind w:firstLine="437"/>
        <w:outlineLvl w:val="2"/>
        <w:rPr>
          <w:rFonts w:hint="eastAsia" w:ascii="宋体" w:hAnsi="宋体" w:eastAsia="宋体" w:cs="宋体"/>
          <w:b/>
          <w:bCs/>
          <w:color w:val="auto"/>
          <w:sz w:val="24"/>
          <w:szCs w:val="24"/>
          <w:highlight w:val="none"/>
          <w:lang w:val="zh-CN"/>
        </w:rPr>
      </w:pPr>
      <w:bookmarkStart w:id="563" w:name="_Toc20171"/>
      <w:bookmarkStart w:id="564" w:name="_Toc1814"/>
      <w:bookmarkStart w:id="565" w:name="_Toc21546"/>
      <w:bookmarkStart w:id="566" w:name="_Toc10340"/>
      <w:bookmarkStart w:id="567" w:name="_Toc22618"/>
      <w:r>
        <w:rPr>
          <w:rFonts w:hint="eastAsia" w:ascii="宋体" w:hAnsi="宋体" w:eastAsia="宋体" w:cs="宋体"/>
          <w:b/>
          <w:bCs/>
          <w:color w:val="auto"/>
          <w:sz w:val="24"/>
          <w:szCs w:val="24"/>
          <w:highlight w:val="none"/>
          <w:lang w:val="zh-CN"/>
        </w:rPr>
        <w:t>1.4 付款方式和发票开具方式</w:t>
      </w:r>
      <w:bookmarkEnd w:id="563"/>
      <w:bookmarkEnd w:id="564"/>
      <w:bookmarkEnd w:id="565"/>
      <w:bookmarkEnd w:id="566"/>
      <w:bookmarkEnd w:id="567"/>
    </w:p>
    <w:p w14:paraId="0D15CC0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91FB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035217">
      <w:pPr>
        <w:spacing w:line="360" w:lineRule="auto"/>
        <w:ind w:firstLine="437"/>
        <w:outlineLvl w:val="2"/>
        <w:rPr>
          <w:rFonts w:hint="eastAsia" w:ascii="宋体" w:hAnsi="宋体" w:eastAsia="宋体" w:cs="宋体"/>
          <w:b/>
          <w:bCs/>
          <w:color w:val="auto"/>
          <w:sz w:val="24"/>
          <w:szCs w:val="24"/>
          <w:highlight w:val="none"/>
          <w:lang w:val="zh-CN"/>
        </w:rPr>
      </w:pPr>
      <w:bookmarkStart w:id="568" w:name="_Toc21443"/>
      <w:bookmarkStart w:id="569" w:name="_Toc2846"/>
      <w:bookmarkStart w:id="570" w:name="_Toc19304"/>
      <w:bookmarkStart w:id="571" w:name="_Toc15519"/>
      <w:bookmarkStart w:id="572" w:name="_Toc32071"/>
      <w:r>
        <w:rPr>
          <w:rFonts w:hint="eastAsia" w:ascii="宋体" w:hAnsi="宋体" w:eastAsia="宋体" w:cs="宋体"/>
          <w:b/>
          <w:bCs/>
          <w:color w:val="auto"/>
          <w:sz w:val="24"/>
          <w:szCs w:val="24"/>
          <w:highlight w:val="none"/>
          <w:lang w:val="zh-CN"/>
        </w:rPr>
        <w:t>1.5 服务期限、地点和方式</w:t>
      </w:r>
      <w:bookmarkEnd w:id="568"/>
      <w:bookmarkEnd w:id="569"/>
      <w:bookmarkEnd w:id="570"/>
      <w:bookmarkEnd w:id="571"/>
      <w:bookmarkEnd w:id="572"/>
    </w:p>
    <w:p w14:paraId="5A2C5E6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FF65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E4FC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2ED679">
      <w:pPr>
        <w:spacing w:line="360" w:lineRule="auto"/>
        <w:ind w:firstLine="437"/>
        <w:outlineLvl w:val="2"/>
        <w:rPr>
          <w:rFonts w:hint="eastAsia" w:ascii="宋体" w:hAnsi="宋体" w:eastAsia="宋体" w:cs="宋体"/>
          <w:b/>
          <w:bCs/>
          <w:color w:val="auto"/>
          <w:sz w:val="24"/>
          <w:szCs w:val="24"/>
          <w:highlight w:val="none"/>
          <w:lang w:val="zh-CN"/>
        </w:rPr>
      </w:pPr>
      <w:bookmarkStart w:id="573" w:name="_Toc27250"/>
      <w:bookmarkStart w:id="574" w:name="_Toc26348"/>
      <w:bookmarkStart w:id="575" w:name="_Toc9372"/>
      <w:bookmarkStart w:id="576" w:name="_Toc21423"/>
      <w:bookmarkStart w:id="577" w:name="_Toc19554"/>
      <w:r>
        <w:rPr>
          <w:rFonts w:hint="eastAsia" w:ascii="宋体" w:hAnsi="宋体" w:eastAsia="宋体" w:cs="宋体"/>
          <w:b/>
          <w:bCs/>
          <w:color w:val="auto"/>
          <w:sz w:val="24"/>
          <w:szCs w:val="24"/>
          <w:highlight w:val="none"/>
          <w:lang w:val="zh-CN"/>
        </w:rPr>
        <w:t>1.6 违约责任</w:t>
      </w:r>
      <w:bookmarkEnd w:id="573"/>
      <w:bookmarkEnd w:id="574"/>
      <w:bookmarkEnd w:id="575"/>
      <w:bookmarkEnd w:id="576"/>
      <w:bookmarkEnd w:id="577"/>
    </w:p>
    <w:p w14:paraId="5DD1292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color w:val="auto"/>
          <w:sz w:val="24"/>
          <w:szCs w:val="24"/>
          <w:highlight w:val="none"/>
          <w:lang w:val="zh-CN"/>
        </w:rPr>
      </w:pPr>
      <w:bookmarkStart w:id="578" w:name="_Toc28375"/>
      <w:bookmarkStart w:id="579" w:name="_Toc15583"/>
      <w:bookmarkStart w:id="580" w:name="_Toc16021"/>
      <w:bookmarkStart w:id="581" w:name="_Toc20996"/>
      <w:bookmarkStart w:id="582" w:name="_Toc10408"/>
      <w:r>
        <w:rPr>
          <w:rFonts w:hint="eastAsia" w:ascii="宋体" w:hAnsi="宋体" w:eastAsia="宋体" w:cs="宋体"/>
          <w:b/>
          <w:bCs/>
          <w:color w:val="auto"/>
          <w:sz w:val="24"/>
          <w:szCs w:val="24"/>
          <w:highlight w:val="none"/>
          <w:lang w:val="zh-CN"/>
        </w:rPr>
        <w:t>1.7 合同争议的解决</w:t>
      </w:r>
      <w:bookmarkEnd w:id="578"/>
      <w:bookmarkEnd w:id="579"/>
      <w:bookmarkEnd w:id="580"/>
      <w:bookmarkEnd w:id="581"/>
      <w:bookmarkEnd w:id="582"/>
    </w:p>
    <w:p w14:paraId="7C025FB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856D44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1D8E3B4">
      <w:pPr>
        <w:spacing w:line="360" w:lineRule="auto"/>
        <w:ind w:firstLine="437"/>
        <w:outlineLvl w:val="2"/>
        <w:rPr>
          <w:rFonts w:hint="eastAsia" w:ascii="宋体" w:hAnsi="宋体" w:eastAsia="宋体" w:cs="宋体"/>
          <w:b/>
          <w:bCs/>
          <w:color w:val="auto"/>
          <w:sz w:val="24"/>
          <w:szCs w:val="24"/>
          <w:highlight w:val="none"/>
          <w:lang w:val="zh-CN"/>
        </w:rPr>
      </w:pPr>
      <w:bookmarkStart w:id="583" w:name="_Toc21422"/>
      <w:bookmarkStart w:id="584" w:name="_Toc7245"/>
      <w:bookmarkStart w:id="585" w:name="_Toc15322"/>
      <w:bookmarkStart w:id="586" w:name="_Toc11173"/>
      <w:bookmarkStart w:id="587" w:name="_Toc14122"/>
      <w:r>
        <w:rPr>
          <w:rFonts w:hint="eastAsia" w:ascii="宋体" w:hAnsi="宋体" w:eastAsia="宋体" w:cs="宋体"/>
          <w:b/>
          <w:bCs/>
          <w:color w:val="auto"/>
          <w:sz w:val="24"/>
          <w:szCs w:val="24"/>
          <w:highlight w:val="none"/>
          <w:lang w:val="zh-CN"/>
        </w:rPr>
        <w:t>1.8 合同生效</w:t>
      </w:r>
      <w:bookmarkEnd w:id="583"/>
      <w:bookmarkEnd w:id="584"/>
      <w:bookmarkEnd w:id="585"/>
      <w:bookmarkEnd w:id="586"/>
      <w:bookmarkEnd w:id="587"/>
    </w:p>
    <w:p w14:paraId="5961B8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bookmarkStart w:id="588"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89" w:name="_Hlk110099149"/>
      <w:r>
        <w:rPr>
          <w:rFonts w:hint="eastAsia" w:ascii="宋体" w:hAnsi="宋体" w:eastAsia="宋体" w:cs="宋体"/>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589"/>
    <w:p w14:paraId="4D631BBC">
      <w:pPr>
        <w:widowControl/>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37D2F896">
      <w:pPr>
        <w:spacing w:line="360" w:lineRule="auto"/>
        <w:jc w:val="center"/>
        <w:outlineLvl w:val="1"/>
        <w:rPr>
          <w:rFonts w:hint="eastAsia" w:ascii="宋体" w:hAnsi="宋体" w:eastAsia="宋体" w:cs="宋体"/>
          <w:b/>
          <w:color w:val="auto"/>
          <w:sz w:val="36"/>
          <w:szCs w:val="36"/>
          <w:highlight w:val="none"/>
        </w:rPr>
      </w:pPr>
      <w:bookmarkStart w:id="590" w:name="_Toc13256"/>
      <w:bookmarkStart w:id="591" w:name="_Toc4008"/>
      <w:bookmarkStart w:id="592" w:name="_Toc415"/>
      <w:r>
        <w:rPr>
          <w:rFonts w:hint="eastAsia" w:ascii="宋体" w:hAnsi="宋体" w:eastAsia="宋体" w:cs="宋体"/>
          <w:b/>
          <w:color w:val="auto"/>
          <w:sz w:val="36"/>
          <w:szCs w:val="36"/>
          <w:highlight w:val="none"/>
        </w:rPr>
        <w:t>第二部分 合同一般条款</w:t>
      </w:r>
      <w:bookmarkEnd w:id="588"/>
      <w:bookmarkEnd w:id="590"/>
      <w:bookmarkEnd w:id="591"/>
      <w:bookmarkEnd w:id="592"/>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3" w:name="_Ref467379195"/>
      <w:bookmarkStart w:id="594" w:name="_Ref467378404"/>
      <w:bookmarkStart w:id="595" w:name="_Toc19614"/>
      <w:bookmarkStart w:id="596" w:name="_Ref467378463"/>
      <w:bookmarkStart w:id="597" w:name="_Toc487900349"/>
      <w:bookmarkStart w:id="598" w:name="_Ref467379101"/>
      <w:bookmarkStart w:id="599" w:name="_Ref467379225"/>
      <w:bookmarkStart w:id="600" w:name="_Toc259093669"/>
      <w:bookmarkStart w:id="601" w:name="_Toc16917"/>
      <w:bookmarkStart w:id="602" w:name="_Toc6755"/>
      <w:bookmarkStart w:id="603" w:name="_Toc15955"/>
      <w:bookmarkStart w:id="604" w:name="_Ref467379205"/>
      <w:bookmarkStart w:id="605" w:name="_Ref467379109"/>
      <w:bookmarkStart w:id="606" w:name="_Ref467379214"/>
      <w:bookmarkStart w:id="607" w:name="_Toc279701240"/>
      <w:bookmarkStart w:id="608" w:name="_Ref467378499"/>
      <w:bookmarkStart w:id="609" w:name="_Toc28763"/>
      <w:bookmarkStart w:id="610" w:name="_Ref467379094"/>
      <w:r>
        <w:rPr>
          <w:rFonts w:hint="eastAsia" w:ascii="宋体" w:hAnsi="宋体" w:eastAsia="宋体" w:cs="宋体"/>
          <w:b/>
          <w:bCs/>
          <w:i w:val="0"/>
          <w:iCs w:val="0"/>
          <w:color w:val="auto"/>
          <w:sz w:val="24"/>
          <w:szCs w:val="24"/>
          <w:highlight w:val="none"/>
          <w:lang w:val="zh-CN"/>
        </w:rPr>
        <w:t>2.1 定义</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611" w:name="_Ref467378840"/>
      <w:r>
        <w:rPr>
          <w:rFonts w:hint="eastAsia" w:ascii="宋体" w:hAnsi="宋体" w:eastAsia="宋体" w:cs="宋体"/>
          <w:i w:val="0"/>
          <w:iCs w:val="0"/>
          <w:color w:val="auto"/>
          <w:sz w:val="24"/>
          <w:szCs w:val="24"/>
          <w:highlight w:val="none"/>
        </w:rPr>
        <w:t>2.1.4“甲方”系指与中标人签署合同的采购人</w:t>
      </w:r>
      <w:bookmarkEnd w:id="611"/>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612" w:name="_Ref467379400"/>
      <w:r>
        <w:rPr>
          <w:rFonts w:hint="eastAsia" w:ascii="宋体" w:hAnsi="宋体" w:eastAsia="宋体" w:cs="宋体"/>
          <w:i w:val="0"/>
          <w:iCs w:val="0"/>
          <w:color w:val="auto"/>
          <w:sz w:val="24"/>
          <w:szCs w:val="24"/>
          <w:highlight w:val="none"/>
        </w:rPr>
        <w:t>2.1.5“乙方”系指根据合同约定提供服务的中标人</w:t>
      </w:r>
      <w:bookmarkEnd w:id="612"/>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613" w:name="_Ref467379436"/>
      <w:r>
        <w:rPr>
          <w:rFonts w:hint="eastAsia" w:ascii="宋体" w:hAnsi="宋体" w:eastAsia="宋体" w:cs="宋体"/>
          <w:i w:val="0"/>
          <w:iCs w:val="0"/>
          <w:color w:val="auto"/>
          <w:sz w:val="24"/>
          <w:szCs w:val="24"/>
          <w:highlight w:val="none"/>
        </w:rPr>
        <w:t>2.1.6“现场”系指合同约定提供服务的地点。</w:t>
      </w:r>
      <w:bookmarkEnd w:id="613"/>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4" w:name="_Toc28490"/>
      <w:bookmarkStart w:id="615" w:name="_Toc27635"/>
      <w:bookmarkStart w:id="616" w:name="_Toc279701241"/>
      <w:bookmarkStart w:id="617" w:name="_Toc259093670"/>
      <w:bookmarkStart w:id="618" w:name="_Toc13336"/>
      <w:bookmarkStart w:id="619" w:name="_Toc487900350"/>
      <w:bookmarkStart w:id="620" w:name="_Toc32504"/>
      <w:bookmarkStart w:id="621" w:name="_Toc32079"/>
      <w:r>
        <w:rPr>
          <w:rFonts w:hint="eastAsia" w:ascii="宋体" w:hAnsi="宋体" w:eastAsia="宋体" w:cs="宋体"/>
          <w:b/>
          <w:bCs/>
          <w:i w:val="0"/>
          <w:iCs w:val="0"/>
          <w:color w:val="auto"/>
          <w:sz w:val="24"/>
          <w:szCs w:val="24"/>
          <w:highlight w:val="none"/>
          <w:lang w:val="zh-CN"/>
        </w:rPr>
        <w:t>2.2 技术规范</w:t>
      </w:r>
      <w:bookmarkEnd w:id="614"/>
      <w:bookmarkEnd w:id="615"/>
      <w:bookmarkEnd w:id="616"/>
      <w:bookmarkEnd w:id="617"/>
      <w:bookmarkEnd w:id="618"/>
      <w:bookmarkEnd w:id="619"/>
      <w:bookmarkEnd w:id="620"/>
      <w:bookmarkEnd w:id="621"/>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2" w:name="_Toc15907"/>
      <w:bookmarkStart w:id="623" w:name="_Toc487900351"/>
      <w:bookmarkStart w:id="624" w:name="_Toc27853"/>
      <w:bookmarkStart w:id="625" w:name="_Toc279701242"/>
      <w:bookmarkStart w:id="626" w:name="_Toc17683"/>
      <w:bookmarkStart w:id="627" w:name="_Toc9829"/>
      <w:bookmarkStart w:id="628" w:name="_Toc259093671"/>
      <w:bookmarkStart w:id="629" w:name="_Toc31634"/>
      <w:r>
        <w:rPr>
          <w:rFonts w:hint="eastAsia" w:ascii="宋体" w:hAnsi="宋体" w:eastAsia="宋体" w:cs="宋体"/>
          <w:b/>
          <w:bCs/>
          <w:i w:val="0"/>
          <w:iCs w:val="0"/>
          <w:color w:val="auto"/>
          <w:sz w:val="24"/>
          <w:szCs w:val="24"/>
          <w:highlight w:val="none"/>
          <w:lang w:val="zh-CN"/>
        </w:rPr>
        <w:t>2.3 知识产权</w:t>
      </w:r>
      <w:bookmarkEnd w:id="622"/>
      <w:bookmarkEnd w:id="623"/>
      <w:bookmarkEnd w:id="624"/>
      <w:bookmarkEnd w:id="625"/>
      <w:bookmarkEnd w:id="626"/>
      <w:bookmarkEnd w:id="627"/>
      <w:bookmarkEnd w:id="628"/>
      <w:bookmarkEnd w:id="629"/>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0" w:name="_Toc279701245"/>
      <w:bookmarkStart w:id="631" w:name="_Ref467379527"/>
      <w:bookmarkStart w:id="632" w:name="_Ref467379536"/>
      <w:bookmarkStart w:id="633" w:name="_Toc259093674"/>
      <w:bookmarkStart w:id="634" w:name="_Ref467378541"/>
      <w:bookmarkStart w:id="635" w:name="_Toc487900354"/>
      <w:bookmarkStart w:id="636" w:name="_Ref467379542"/>
      <w:bookmarkStart w:id="637" w:name="_Ref467378591"/>
      <w:bookmarkStart w:id="638" w:name="_Toc30272"/>
      <w:bookmarkStart w:id="639" w:name="_Toc19074"/>
      <w:bookmarkStart w:id="640" w:name="_Toc26182"/>
      <w:bookmarkStart w:id="641" w:name="_Toc28304"/>
      <w:bookmarkStart w:id="642" w:name="_Toc29150"/>
      <w:r>
        <w:rPr>
          <w:rFonts w:hint="eastAsia" w:ascii="宋体" w:hAnsi="宋体" w:eastAsia="宋体" w:cs="宋体"/>
          <w:b/>
          <w:bCs/>
          <w:i w:val="0"/>
          <w:iCs w:val="0"/>
          <w:color w:val="auto"/>
          <w:sz w:val="24"/>
          <w:szCs w:val="24"/>
          <w:highlight w:val="none"/>
          <w:lang w:val="zh-CN"/>
        </w:rPr>
        <w:t>2.</w:t>
      </w:r>
      <w:bookmarkEnd w:id="630"/>
      <w:bookmarkEnd w:id="631"/>
      <w:bookmarkEnd w:id="632"/>
      <w:bookmarkEnd w:id="633"/>
      <w:bookmarkEnd w:id="634"/>
      <w:bookmarkEnd w:id="635"/>
      <w:bookmarkEnd w:id="636"/>
      <w:bookmarkEnd w:id="637"/>
      <w:r>
        <w:rPr>
          <w:rFonts w:hint="eastAsia" w:ascii="宋体" w:hAnsi="宋体" w:eastAsia="宋体" w:cs="宋体"/>
          <w:b/>
          <w:bCs/>
          <w:i w:val="0"/>
          <w:iCs w:val="0"/>
          <w:color w:val="auto"/>
          <w:sz w:val="24"/>
          <w:szCs w:val="24"/>
          <w:highlight w:val="none"/>
          <w:lang w:val="zh-CN"/>
        </w:rPr>
        <w:t>4 履约检查和问题反馈</w:t>
      </w:r>
      <w:bookmarkEnd w:id="638"/>
      <w:bookmarkEnd w:id="639"/>
      <w:bookmarkEnd w:id="640"/>
      <w:bookmarkEnd w:id="641"/>
      <w:bookmarkEnd w:id="642"/>
    </w:p>
    <w:p w14:paraId="1F572855">
      <w:pPr>
        <w:spacing w:line="360" w:lineRule="auto"/>
        <w:ind w:firstLine="435"/>
        <w:rPr>
          <w:rFonts w:hint="eastAsia" w:ascii="宋体" w:hAnsi="宋体" w:eastAsia="宋体" w:cs="宋体"/>
          <w:i w:val="0"/>
          <w:iCs w:val="0"/>
          <w:color w:val="auto"/>
          <w:sz w:val="24"/>
          <w:szCs w:val="24"/>
          <w:highlight w:val="none"/>
        </w:rPr>
      </w:pPr>
      <w:bookmarkStart w:id="643" w:name="_Toc186431854"/>
      <w:bookmarkStart w:id="644" w:name="_Ref467379793"/>
      <w:bookmarkStart w:id="645" w:name="_Toc259093676"/>
      <w:bookmarkStart w:id="646" w:name="_Toc279701247"/>
      <w:bookmarkStart w:id="647" w:name="_Toc487900357"/>
      <w:bookmarkStart w:id="648" w:name="_Ref467379807"/>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643"/>
      <w:bookmarkStart w:id="649" w:name="_Toc186431855"/>
      <w:r>
        <w:rPr>
          <w:rFonts w:hint="eastAsia" w:ascii="宋体" w:hAnsi="宋体" w:eastAsia="宋体" w:cs="宋体"/>
          <w:i w:val="0"/>
          <w:iCs w:val="0"/>
          <w:color w:val="auto"/>
          <w:sz w:val="24"/>
          <w:szCs w:val="24"/>
          <w:highlight w:val="none"/>
        </w:rPr>
        <w:t>。</w:t>
      </w:r>
    </w:p>
    <w:bookmarkEnd w:id="649"/>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0" w:name="_Toc6918"/>
      <w:bookmarkStart w:id="651" w:name="_Toc28451"/>
      <w:bookmarkStart w:id="652" w:name="_Toc7836"/>
      <w:bookmarkStart w:id="653" w:name="_Toc745"/>
      <w:bookmarkStart w:id="654" w:name="_Toc19219"/>
      <w:r>
        <w:rPr>
          <w:rFonts w:hint="eastAsia" w:ascii="宋体" w:hAnsi="宋体" w:eastAsia="宋体" w:cs="宋体"/>
          <w:b/>
          <w:bCs/>
          <w:i w:val="0"/>
          <w:iCs w:val="0"/>
          <w:color w:val="auto"/>
          <w:sz w:val="24"/>
          <w:szCs w:val="24"/>
          <w:highlight w:val="none"/>
          <w:lang w:val="zh-CN"/>
        </w:rPr>
        <w:t>2.5 结算方式和付款条件</w:t>
      </w:r>
      <w:bookmarkEnd w:id="644"/>
      <w:bookmarkEnd w:id="645"/>
      <w:bookmarkEnd w:id="646"/>
      <w:bookmarkEnd w:id="647"/>
      <w:bookmarkEnd w:id="648"/>
      <w:bookmarkEnd w:id="650"/>
      <w:bookmarkEnd w:id="651"/>
      <w:bookmarkEnd w:id="652"/>
      <w:bookmarkEnd w:id="653"/>
      <w:bookmarkEnd w:id="654"/>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5" w:name="_Ref467379863"/>
      <w:bookmarkStart w:id="656" w:name="_Toc259093677"/>
      <w:bookmarkStart w:id="657" w:name="_Ref467379852"/>
      <w:bookmarkStart w:id="658" w:name="_Toc279701248"/>
      <w:bookmarkStart w:id="659" w:name="_Toc487900358"/>
      <w:bookmarkStart w:id="660" w:name="_Ref467379923"/>
      <w:bookmarkStart w:id="661" w:name="_Toc774"/>
      <w:bookmarkStart w:id="662" w:name="_Toc8947"/>
      <w:bookmarkStart w:id="663" w:name="_Toc16110"/>
      <w:bookmarkStart w:id="664" w:name="_Toc3225"/>
      <w:bookmarkStart w:id="665" w:name="_Toc6627"/>
      <w:r>
        <w:rPr>
          <w:rFonts w:hint="eastAsia" w:ascii="宋体" w:hAnsi="宋体" w:eastAsia="宋体" w:cs="宋体"/>
          <w:b/>
          <w:bCs/>
          <w:i w:val="0"/>
          <w:iCs w:val="0"/>
          <w:color w:val="auto"/>
          <w:sz w:val="24"/>
          <w:szCs w:val="24"/>
          <w:highlight w:val="none"/>
          <w:lang w:val="zh-CN"/>
        </w:rPr>
        <w:t>2.6 技术资料</w:t>
      </w:r>
      <w:bookmarkEnd w:id="655"/>
      <w:bookmarkEnd w:id="656"/>
      <w:bookmarkEnd w:id="657"/>
      <w:bookmarkEnd w:id="658"/>
      <w:bookmarkEnd w:id="659"/>
      <w:bookmarkEnd w:id="660"/>
      <w:r>
        <w:rPr>
          <w:rFonts w:hint="eastAsia" w:ascii="宋体" w:hAnsi="宋体" w:eastAsia="宋体" w:cs="宋体"/>
          <w:b/>
          <w:bCs/>
          <w:i w:val="0"/>
          <w:iCs w:val="0"/>
          <w:color w:val="auto"/>
          <w:sz w:val="24"/>
          <w:szCs w:val="24"/>
          <w:highlight w:val="none"/>
          <w:lang w:val="zh-CN"/>
        </w:rPr>
        <w:t>和保密义务</w:t>
      </w:r>
      <w:bookmarkEnd w:id="661"/>
      <w:bookmarkEnd w:id="662"/>
      <w:bookmarkEnd w:id="663"/>
      <w:bookmarkEnd w:id="664"/>
      <w:bookmarkEnd w:id="665"/>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66" w:name="_Toc20401"/>
      <w:bookmarkStart w:id="667" w:name="_Toc1434"/>
      <w:bookmarkStart w:id="668" w:name="_Toc7860"/>
      <w:r>
        <w:rPr>
          <w:rFonts w:hint="eastAsia" w:ascii="宋体" w:hAnsi="宋体" w:eastAsia="宋体" w:cs="宋体"/>
          <w:b/>
          <w:bCs/>
          <w:i w:val="0"/>
          <w:iCs w:val="0"/>
          <w:color w:val="auto"/>
          <w:sz w:val="24"/>
          <w:szCs w:val="24"/>
          <w:highlight w:val="none"/>
          <w:lang w:val="zh-CN"/>
        </w:rPr>
        <w:t>2.7 质量保证</w:t>
      </w:r>
      <w:bookmarkEnd w:id="666"/>
      <w:bookmarkEnd w:id="667"/>
      <w:bookmarkEnd w:id="668"/>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69" w:name="_Toc20440"/>
      <w:bookmarkStart w:id="670" w:name="_Toc27251"/>
      <w:bookmarkStart w:id="671" w:name="_Toc22267"/>
      <w:r>
        <w:rPr>
          <w:rFonts w:hint="eastAsia" w:ascii="宋体" w:hAnsi="宋体" w:eastAsia="宋体" w:cs="宋体"/>
          <w:b/>
          <w:i w:val="0"/>
          <w:iCs w:val="0"/>
          <w:color w:val="auto"/>
          <w:sz w:val="24"/>
          <w:szCs w:val="24"/>
          <w:highlight w:val="none"/>
        </w:rPr>
        <w:t>2.8 延迟履行</w:t>
      </w:r>
      <w:bookmarkEnd w:id="669"/>
      <w:bookmarkEnd w:id="670"/>
      <w:bookmarkEnd w:id="671"/>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72" w:name="_Toc106"/>
      <w:bookmarkStart w:id="673" w:name="_Toc7502"/>
      <w:bookmarkStart w:id="674" w:name="_Toc22045"/>
      <w:bookmarkStart w:id="675" w:name="_Toc487900364"/>
      <w:bookmarkStart w:id="676" w:name="_Ref467378121"/>
      <w:bookmarkStart w:id="677" w:name="_Toc279701254"/>
      <w:bookmarkStart w:id="678" w:name="_Toc259093683"/>
      <w:r>
        <w:rPr>
          <w:rFonts w:hint="eastAsia" w:ascii="宋体" w:hAnsi="宋体" w:eastAsia="宋体" w:cs="宋体"/>
          <w:b/>
          <w:bCs/>
          <w:i w:val="0"/>
          <w:iCs w:val="0"/>
          <w:color w:val="auto"/>
          <w:sz w:val="24"/>
          <w:szCs w:val="24"/>
          <w:highlight w:val="none"/>
          <w:lang w:val="zh-CN"/>
        </w:rPr>
        <w:t>2.9 合同变更</w:t>
      </w:r>
      <w:bookmarkEnd w:id="672"/>
      <w:bookmarkEnd w:id="673"/>
      <w:bookmarkEnd w:id="674"/>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79" w:name="_Toc487900369"/>
      <w:bookmarkStart w:id="680" w:name="_Toc279701259"/>
      <w:bookmarkStart w:id="681" w:name="_Toc259093688"/>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2" w:name="_Toc15237"/>
      <w:bookmarkStart w:id="683" w:name="_Toc22955"/>
      <w:bookmarkStart w:id="684" w:name="_Toc10366"/>
      <w:bookmarkStart w:id="685" w:name="_Toc19955"/>
      <w:bookmarkStart w:id="686" w:name="_Toc20243"/>
      <w:r>
        <w:rPr>
          <w:rFonts w:hint="eastAsia" w:ascii="宋体" w:hAnsi="宋体" w:eastAsia="宋体" w:cs="宋体"/>
          <w:b/>
          <w:bCs/>
          <w:i w:val="0"/>
          <w:iCs w:val="0"/>
          <w:color w:val="auto"/>
          <w:sz w:val="24"/>
          <w:szCs w:val="24"/>
          <w:highlight w:val="none"/>
          <w:lang w:val="zh-CN"/>
        </w:rPr>
        <w:t>2.10 合同转让</w:t>
      </w:r>
      <w:bookmarkEnd w:id="679"/>
      <w:bookmarkEnd w:id="680"/>
      <w:bookmarkEnd w:id="681"/>
      <w:r>
        <w:rPr>
          <w:rFonts w:hint="eastAsia" w:ascii="宋体" w:hAnsi="宋体" w:eastAsia="宋体" w:cs="宋体"/>
          <w:b/>
          <w:bCs/>
          <w:i w:val="0"/>
          <w:iCs w:val="0"/>
          <w:color w:val="auto"/>
          <w:sz w:val="24"/>
          <w:szCs w:val="24"/>
          <w:highlight w:val="none"/>
          <w:lang w:val="zh-CN"/>
        </w:rPr>
        <w:t>和分包</w:t>
      </w:r>
      <w:bookmarkEnd w:id="682"/>
      <w:bookmarkEnd w:id="683"/>
      <w:bookmarkEnd w:id="684"/>
      <w:bookmarkEnd w:id="685"/>
      <w:bookmarkEnd w:id="686"/>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7" w:name="_Toc13566"/>
      <w:bookmarkStart w:id="688" w:name="_Toc22946"/>
      <w:bookmarkStart w:id="689" w:name="_Toc14066"/>
      <w:bookmarkStart w:id="690" w:name="_Toc16508"/>
      <w:bookmarkStart w:id="691" w:name="_Toc10157"/>
      <w:r>
        <w:rPr>
          <w:rFonts w:hint="eastAsia" w:ascii="宋体" w:hAnsi="宋体" w:eastAsia="宋体" w:cs="宋体"/>
          <w:b/>
          <w:bCs/>
          <w:i w:val="0"/>
          <w:iCs w:val="0"/>
          <w:color w:val="auto"/>
          <w:sz w:val="24"/>
          <w:szCs w:val="24"/>
          <w:highlight w:val="none"/>
          <w:lang w:val="zh-CN"/>
        </w:rPr>
        <w:t>2.11 不可抗力</w:t>
      </w:r>
      <w:bookmarkEnd w:id="687"/>
      <w:bookmarkEnd w:id="688"/>
      <w:bookmarkEnd w:id="689"/>
      <w:bookmarkEnd w:id="690"/>
      <w:bookmarkEnd w:id="691"/>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2" w:name="_Toc30676"/>
      <w:bookmarkStart w:id="693" w:name="_Toc689"/>
      <w:bookmarkStart w:id="694" w:name="_Toc487900365"/>
      <w:bookmarkStart w:id="695" w:name="_Toc259093684"/>
      <w:bookmarkStart w:id="696" w:name="_Toc279701255"/>
      <w:bookmarkStart w:id="697" w:name="_Toc12787"/>
      <w:bookmarkStart w:id="698" w:name="_Toc6969"/>
      <w:bookmarkStart w:id="699" w:name="_Toc24332"/>
      <w:r>
        <w:rPr>
          <w:rFonts w:hint="eastAsia" w:ascii="宋体" w:hAnsi="宋体" w:eastAsia="宋体" w:cs="宋体"/>
          <w:b/>
          <w:bCs/>
          <w:i w:val="0"/>
          <w:iCs w:val="0"/>
          <w:color w:val="auto"/>
          <w:sz w:val="24"/>
          <w:szCs w:val="24"/>
          <w:highlight w:val="none"/>
          <w:lang w:val="zh-CN"/>
        </w:rPr>
        <w:t>2.12 税费</w:t>
      </w:r>
      <w:bookmarkEnd w:id="692"/>
      <w:bookmarkEnd w:id="693"/>
      <w:bookmarkEnd w:id="694"/>
      <w:bookmarkEnd w:id="695"/>
      <w:bookmarkEnd w:id="696"/>
      <w:bookmarkEnd w:id="697"/>
      <w:bookmarkEnd w:id="698"/>
      <w:bookmarkEnd w:id="699"/>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00" w:name="_Toc2206"/>
      <w:bookmarkStart w:id="701" w:name="_Toc279701258"/>
      <w:bookmarkStart w:id="702" w:name="_Toc487900368"/>
      <w:bookmarkStart w:id="703" w:name="_Toc7102"/>
      <w:bookmarkStart w:id="704" w:name="_Toc8298"/>
      <w:bookmarkStart w:id="705" w:name="_Toc259093687"/>
      <w:bookmarkStart w:id="706" w:name="_Toc16959"/>
      <w:bookmarkStart w:id="707" w:name="_Toc30741"/>
      <w:r>
        <w:rPr>
          <w:rFonts w:hint="eastAsia" w:ascii="宋体" w:hAnsi="宋体" w:eastAsia="宋体" w:cs="宋体"/>
          <w:b/>
          <w:bCs/>
          <w:i w:val="0"/>
          <w:iCs w:val="0"/>
          <w:color w:val="auto"/>
          <w:sz w:val="24"/>
          <w:szCs w:val="24"/>
          <w:highlight w:val="none"/>
          <w:lang w:val="zh-CN"/>
        </w:rPr>
        <w:t>2.13 乙方破产</w:t>
      </w:r>
      <w:bookmarkEnd w:id="700"/>
      <w:bookmarkEnd w:id="701"/>
      <w:bookmarkEnd w:id="702"/>
      <w:bookmarkEnd w:id="703"/>
      <w:bookmarkEnd w:id="704"/>
      <w:bookmarkEnd w:id="705"/>
      <w:bookmarkEnd w:id="706"/>
      <w:bookmarkEnd w:id="707"/>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708" w:name="_Toc15387"/>
      <w:bookmarkStart w:id="709" w:name="_Toc9036"/>
      <w:bookmarkStart w:id="710" w:name="_Toc13537"/>
      <w:bookmarkStart w:id="711" w:name="_Toc6134"/>
      <w:bookmarkStart w:id="712" w:name="_Toc29333"/>
      <w:r>
        <w:rPr>
          <w:rFonts w:hint="eastAsia" w:ascii="宋体" w:hAnsi="宋体" w:eastAsia="宋体" w:cs="宋体"/>
          <w:b/>
          <w:bCs/>
          <w:i w:val="0"/>
          <w:iCs w:val="0"/>
          <w:color w:val="auto"/>
          <w:sz w:val="24"/>
          <w:szCs w:val="24"/>
          <w:highlight w:val="none"/>
          <w:lang w:val="zh-CN"/>
        </w:rPr>
        <w:t>2.14 合同中止、终止</w:t>
      </w:r>
      <w:bookmarkEnd w:id="708"/>
      <w:bookmarkEnd w:id="709"/>
      <w:bookmarkEnd w:id="710"/>
      <w:bookmarkEnd w:id="711"/>
      <w:bookmarkEnd w:id="712"/>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13" w:name="_Toc14563"/>
      <w:bookmarkStart w:id="714" w:name="_Toc1125"/>
      <w:bookmarkStart w:id="715" w:name="_Toc14791"/>
      <w:bookmarkStart w:id="716" w:name="_Toc7061"/>
      <w:bookmarkStart w:id="717" w:name="_Toc6596"/>
      <w:r>
        <w:rPr>
          <w:rFonts w:hint="eastAsia" w:ascii="宋体" w:hAnsi="宋体" w:eastAsia="宋体" w:cs="宋体"/>
          <w:b/>
          <w:bCs/>
          <w:i w:val="0"/>
          <w:iCs w:val="0"/>
          <w:color w:val="auto"/>
          <w:sz w:val="24"/>
          <w:szCs w:val="24"/>
          <w:highlight w:val="none"/>
          <w:lang w:val="zh-CN"/>
        </w:rPr>
        <w:t>2.15 检验和验收</w:t>
      </w:r>
      <w:bookmarkEnd w:id="713"/>
      <w:bookmarkEnd w:id="714"/>
      <w:bookmarkEnd w:id="715"/>
      <w:bookmarkEnd w:id="716"/>
      <w:bookmarkEnd w:id="717"/>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75"/>
    <w:bookmarkEnd w:id="676"/>
    <w:bookmarkEnd w:id="677"/>
    <w:bookmarkEnd w:id="678"/>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718" w:name="_Toc279701263"/>
      <w:bookmarkStart w:id="719" w:name="_Toc259093692"/>
      <w:bookmarkStart w:id="720" w:name="_Toc12773"/>
      <w:bookmarkStart w:id="721" w:name="_Toc31923"/>
      <w:bookmarkStart w:id="722" w:name="_Toc28706"/>
      <w:bookmarkStart w:id="723" w:name="_Toc18567"/>
      <w:bookmarkStart w:id="724" w:name="_Toc10330"/>
      <w:bookmarkStart w:id="725" w:name="_Toc487900373"/>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718"/>
      <w:bookmarkEnd w:id="719"/>
      <w:bookmarkEnd w:id="720"/>
      <w:bookmarkEnd w:id="721"/>
      <w:bookmarkEnd w:id="722"/>
      <w:bookmarkEnd w:id="723"/>
      <w:bookmarkEnd w:id="724"/>
      <w:bookmarkEnd w:id="725"/>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726" w:name="_Toc3148"/>
      <w:bookmarkStart w:id="727" w:name="_Toc13059"/>
      <w:bookmarkStart w:id="728" w:name="_Toc16673"/>
      <w:bookmarkStart w:id="729" w:name="_Toc259093693"/>
      <w:bookmarkStart w:id="730" w:name="_Toc279701264"/>
      <w:bookmarkStart w:id="731" w:name="_Toc30894"/>
      <w:bookmarkStart w:id="732" w:name="_Toc12004"/>
      <w:bookmarkStart w:id="733" w:name="_Toc487900374"/>
      <w:r>
        <w:rPr>
          <w:rFonts w:hint="eastAsia" w:ascii="宋体" w:hAnsi="宋体" w:eastAsia="宋体" w:cs="宋体"/>
          <w:b/>
          <w:bCs/>
          <w:i w:val="0"/>
          <w:iCs w:val="0"/>
          <w:color w:val="auto"/>
          <w:sz w:val="24"/>
          <w:szCs w:val="24"/>
          <w:highlight w:val="none"/>
          <w:lang w:val="zh-CN"/>
        </w:rPr>
        <w:t>2.17 履约保证金</w:t>
      </w:r>
      <w:bookmarkEnd w:id="726"/>
      <w:bookmarkEnd w:id="727"/>
      <w:bookmarkEnd w:id="728"/>
      <w:bookmarkEnd w:id="729"/>
      <w:bookmarkEnd w:id="730"/>
      <w:bookmarkEnd w:id="731"/>
      <w:bookmarkEnd w:id="732"/>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3"/>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734" w:name="_Toc19890"/>
      <w:bookmarkStart w:id="735" w:name="_Toc11238"/>
      <w:bookmarkStart w:id="736" w:name="_Toc7242"/>
      <w:bookmarkStart w:id="737" w:name="_Toc6885"/>
      <w:bookmarkStart w:id="738" w:name="_Toc14001"/>
      <w:r>
        <w:rPr>
          <w:rFonts w:hint="eastAsia" w:ascii="宋体" w:hAnsi="宋体" w:eastAsia="宋体" w:cs="宋体"/>
          <w:b/>
          <w:bCs/>
          <w:i w:val="0"/>
          <w:iCs w:val="0"/>
          <w:color w:val="auto"/>
          <w:sz w:val="24"/>
          <w:szCs w:val="24"/>
          <w:highlight w:val="none"/>
          <w:lang w:val="zh-CN"/>
        </w:rPr>
        <w:t>2.18 合同份数</w:t>
      </w:r>
      <w:bookmarkEnd w:id="734"/>
      <w:bookmarkEnd w:id="735"/>
      <w:bookmarkEnd w:id="736"/>
      <w:bookmarkEnd w:id="737"/>
      <w:bookmarkEnd w:id="738"/>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color w:val="auto"/>
          <w:sz w:val="36"/>
          <w:szCs w:val="36"/>
          <w:highlight w:val="none"/>
        </w:rPr>
      </w:pPr>
      <w:r>
        <w:rPr>
          <w:rFonts w:cs="Times New Roman" w:asciiTheme="minorEastAsia" w:hAnsiTheme="minorEastAsia" w:eastAsiaTheme="minorEastAsia"/>
          <w:color w:val="auto"/>
          <w:sz w:val="24"/>
          <w:szCs w:val="24"/>
          <w:highlight w:val="none"/>
        </w:rPr>
        <w:br w:type="page"/>
      </w:r>
      <w:bookmarkStart w:id="739" w:name="_Toc3736"/>
      <w:bookmarkStart w:id="740" w:name="_Toc19801"/>
      <w:bookmarkStart w:id="741" w:name="_Toc24453"/>
      <w:r>
        <w:rPr>
          <w:rFonts w:hint="eastAsia" w:ascii="宋体" w:hAnsi="宋体" w:eastAsia="宋体" w:cs="宋体"/>
          <w:b/>
          <w:color w:val="auto"/>
          <w:sz w:val="36"/>
          <w:szCs w:val="36"/>
          <w:highlight w:val="none"/>
        </w:rPr>
        <w:t>第三部分 合同专用条款</w:t>
      </w:r>
      <w:bookmarkEnd w:id="739"/>
      <w:bookmarkEnd w:id="740"/>
      <w:bookmarkEnd w:id="741"/>
    </w:p>
    <w:p w14:paraId="3D7C5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本部分的条款号应与前两部分的条款号保持对应；与前两部分无对应关系的内容可另行编制条款号。</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E297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color w:val="auto"/>
                <w:sz w:val="24"/>
                <w:szCs w:val="24"/>
                <w:highlight w:val="none"/>
              </w:rPr>
            </w:pPr>
          </w:p>
        </w:tc>
        <w:tc>
          <w:tcPr>
            <w:tcW w:w="7568" w:type="dxa"/>
            <w:vAlign w:val="center"/>
          </w:tcPr>
          <w:p w14:paraId="40655C46">
            <w:pPr>
              <w:spacing w:line="560" w:lineRule="exact"/>
              <w:rPr>
                <w:rFonts w:hint="eastAsia" w:ascii="宋体" w:hAnsi="宋体" w:eastAsia="宋体" w:cs="宋体"/>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color w:val="auto"/>
                <w:sz w:val="24"/>
                <w:szCs w:val="24"/>
                <w:highlight w:val="none"/>
              </w:rPr>
            </w:pPr>
          </w:p>
        </w:tc>
        <w:tc>
          <w:tcPr>
            <w:tcW w:w="7568" w:type="dxa"/>
            <w:vAlign w:val="center"/>
          </w:tcPr>
          <w:p w14:paraId="32E7ECB0">
            <w:pPr>
              <w:spacing w:line="560" w:lineRule="exact"/>
              <w:rPr>
                <w:rFonts w:hint="eastAsia" w:ascii="宋体" w:hAnsi="宋体" w:eastAsia="宋体" w:cs="宋体"/>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color w:val="auto"/>
                <w:sz w:val="24"/>
                <w:szCs w:val="24"/>
                <w:highlight w:val="none"/>
              </w:rPr>
            </w:pPr>
          </w:p>
        </w:tc>
        <w:tc>
          <w:tcPr>
            <w:tcW w:w="7568" w:type="dxa"/>
            <w:vAlign w:val="center"/>
          </w:tcPr>
          <w:p w14:paraId="611385EA">
            <w:pPr>
              <w:spacing w:line="560" w:lineRule="exact"/>
              <w:rPr>
                <w:rFonts w:hint="eastAsia" w:ascii="宋体" w:hAnsi="宋体" w:eastAsia="宋体" w:cs="宋体"/>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color w:val="auto"/>
                <w:sz w:val="24"/>
                <w:szCs w:val="24"/>
                <w:highlight w:val="none"/>
              </w:rPr>
            </w:pPr>
          </w:p>
        </w:tc>
        <w:tc>
          <w:tcPr>
            <w:tcW w:w="7568" w:type="dxa"/>
            <w:vAlign w:val="center"/>
          </w:tcPr>
          <w:p w14:paraId="728B2346">
            <w:pPr>
              <w:spacing w:line="560" w:lineRule="exact"/>
              <w:rPr>
                <w:rFonts w:hint="eastAsia" w:ascii="宋体" w:hAnsi="宋体" w:eastAsia="宋体" w:cs="宋体"/>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color w:val="auto"/>
                <w:sz w:val="24"/>
                <w:szCs w:val="24"/>
                <w:highlight w:val="none"/>
              </w:rPr>
            </w:pPr>
          </w:p>
        </w:tc>
        <w:tc>
          <w:tcPr>
            <w:tcW w:w="7568" w:type="dxa"/>
            <w:vAlign w:val="center"/>
          </w:tcPr>
          <w:p w14:paraId="41CA5680">
            <w:pPr>
              <w:spacing w:line="560" w:lineRule="exact"/>
              <w:rPr>
                <w:rFonts w:hint="eastAsia" w:ascii="宋体" w:hAnsi="宋体" w:eastAsia="宋体" w:cs="宋体"/>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color w:val="auto"/>
                <w:sz w:val="24"/>
                <w:szCs w:val="24"/>
                <w:highlight w:val="none"/>
              </w:rPr>
            </w:pPr>
          </w:p>
        </w:tc>
        <w:tc>
          <w:tcPr>
            <w:tcW w:w="7568" w:type="dxa"/>
            <w:vAlign w:val="center"/>
          </w:tcPr>
          <w:p w14:paraId="5CD2BDDA">
            <w:pPr>
              <w:spacing w:line="560" w:lineRule="exact"/>
              <w:rPr>
                <w:rFonts w:hint="eastAsia" w:ascii="宋体" w:hAnsi="宋体" w:eastAsia="宋体" w:cs="宋体"/>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color w:val="auto"/>
                <w:sz w:val="24"/>
                <w:szCs w:val="24"/>
                <w:highlight w:val="none"/>
              </w:rPr>
            </w:pPr>
          </w:p>
        </w:tc>
        <w:tc>
          <w:tcPr>
            <w:tcW w:w="7568" w:type="dxa"/>
            <w:vAlign w:val="center"/>
          </w:tcPr>
          <w:p w14:paraId="7E92421C">
            <w:pPr>
              <w:spacing w:line="560" w:lineRule="exact"/>
              <w:rPr>
                <w:rFonts w:hint="eastAsia" w:ascii="宋体" w:hAnsi="宋体" w:eastAsia="宋体" w:cs="宋体"/>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color w:val="auto"/>
                <w:sz w:val="24"/>
                <w:szCs w:val="24"/>
                <w:highlight w:val="none"/>
              </w:rPr>
            </w:pPr>
          </w:p>
        </w:tc>
        <w:tc>
          <w:tcPr>
            <w:tcW w:w="7568" w:type="dxa"/>
            <w:vAlign w:val="center"/>
          </w:tcPr>
          <w:p w14:paraId="4A52371D">
            <w:pPr>
              <w:spacing w:line="560" w:lineRule="exact"/>
              <w:rPr>
                <w:rFonts w:hint="eastAsia" w:ascii="宋体" w:hAnsi="宋体" w:eastAsia="宋体" w:cs="宋体"/>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color w:val="auto"/>
                <w:sz w:val="24"/>
                <w:szCs w:val="24"/>
                <w:highlight w:val="none"/>
              </w:rPr>
            </w:pPr>
          </w:p>
        </w:tc>
        <w:tc>
          <w:tcPr>
            <w:tcW w:w="7568" w:type="dxa"/>
            <w:vAlign w:val="center"/>
          </w:tcPr>
          <w:p w14:paraId="6035952A">
            <w:pPr>
              <w:spacing w:line="560" w:lineRule="exact"/>
              <w:rPr>
                <w:rFonts w:hint="eastAsia" w:ascii="宋体" w:hAnsi="宋体" w:eastAsia="宋体" w:cs="宋体"/>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color w:val="auto"/>
                <w:sz w:val="24"/>
                <w:szCs w:val="24"/>
                <w:highlight w:val="none"/>
              </w:rPr>
            </w:pPr>
          </w:p>
        </w:tc>
        <w:tc>
          <w:tcPr>
            <w:tcW w:w="7568" w:type="dxa"/>
            <w:vAlign w:val="center"/>
          </w:tcPr>
          <w:p w14:paraId="3AE9AB17">
            <w:pPr>
              <w:spacing w:line="560" w:lineRule="exact"/>
              <w:rPr>
                <w:rFonts w:hint="eastAsia" w:ascii="宋体" w:hAnsi="宋体" w:eastAsia="宋体" w:cs="宋体"/>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color w:val="auto"/>
                <w:sz w:val="24"/>
                <w:szCs w:val="24"/>
                <w:highlight w:val="none"/>
              </w:rPr>
            </w:pPr>
          </w:p>
        </w:tc>
      </w:tr>
    </w:tbl>
    <w:p w14:paraId="1FAB85DE">
      <w:pPr>
        <w:spacing w:line="360" w:lineRule="auto"/>
        <w:rPr>
          <w:rFonts w:asciiTheme="minorEastAsia" w:hAnsiTheme="minorEastAsia" w:eastAsiaTheme="minorEastAsia"/>
          <w:color w:val="auto"/>
          <w:sz w:val="24"/>
          <w:highlight w:val="none"/>
        </w:rPr>
      </w:pPr>
    </w:p>
    <w:p w14:paraId="02ABD43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538"/>
    <w:p w14:paraId="557A8F2F">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bookmarkStart w:id="742" w:name="_Toc155185919"/>
    </w:p>
    <w:p w14:paraId="72D513E7">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743" w:name="_Toc4770"/>
      <w:r>
        <w:rPr>
          <w:rFonts w:hint="eastAsia" w:ascii="宋体" w:hAnsi="宋体" w:eastAsia="宋体" w:cs="宋体"/>
          <w:b/>
          <w:bCs/>
          <w:color w:val="auto"/>
          <w:kern w:val="44"/>
          <w:sz w:val="36"/>
          <w:szCs w:val="36"/>
          <w:highlight w:val="none"/>
          <w:lang w:val="en-US" w:eastAsia="zh-CN" w:bidi="ar-SA"/>
        </w:rPr>
        <w:t>第七章 投标文件格式</w:t>
      </w:r>
      <w:bookmarkEnd w:id="742"/>
      <w:bookmarkEnd w:id="743"/>
    </w:p>
    <w:p w14:paraId="20B1063D">
      <w:pPr>
        <w:ind w:left="240" w:leftChars="100" w:firstLine="480" w:firstLineChars="200"/>
        <w:rPr>
          <w:rFonts w:cs="仿宋_GB2312"/>
          <w:color w:val="auto"/>
          <w:szCs w:val="24"/>
          <w:highlight w:val="none"/>
        </w:rPr>
      </w:pPr>
    </w:p>
    <w:p w14:paraId="29D44C5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cs="仿宋_GB2312"/>
          <w:color w:val="auto"/>
          <w:szCs w:val="24"/>
          <w:highlight w:val="none"/>
          <w:lang w:val="zh-CN"/>
        </w:rPr>
      </w:pPr>
    </w:p>
    <w:p w14:paraId="3D40132F">
      <w:pPr>
        <w:ind w:firstLine="480" w:firstLineChars="200"/>
        <w:rPr>
          <w:rFonts w:hint="eastAsia" w:cs="仿宋_GB2312"/>
          <w:color w:val="auto"/>
          <w:szCs w:val="24"/>
          <w:highlight w:val="none"/>
          <w:lang w:val="zh-CN"/>
        </w:rPr>
      </w:pPr>
    </w:p>
    <w:p w14:paraId="375DA883">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466A4DC">
      <w:pPr>
        <w:autoSpaceDE w:val="0"/>
        <w:autoSpaceDN w:val="0"/>
        <w:adjustRightInd w:val="0"/>
        <w:rPr>
          <w:color w:val="auto"/>
          <w:sz w:val="21"/>
          <w:szCs w:val="24"/>
          <w:highlight w:val="none"/>
        </w:rPr>
      </w:pPr>
    </w:p>
    <w:p w14:paraId="445E5BF7">
      <w:pPr>
        <w:autoSpaceDE w:val="0"/>
        <w:autoSpaceDN w:val="0"/>
        <w:adjustRightInd w:val="0"/>
        <w:rPr>
          <w:color w:val="auto"/>
          <w:sz w:val="21"/>
          <w:szCs w:val="24"/>
          <w:highlight w:val="none"/>
        </w:rPr>
      </w:pPr>
    </w:p>
    <w:p w14:paraId="4BD0E164">
      <w:pPr>
        <w:autoSpaceDE w:val="0"/>
        <w:autoSpaceDN w:val="0"/>
        <w:adjustRightInd w:val="0"/>
        <w:jc w:val="center"/>
        <w:rPr>
          <w:color w:val="auto"/>
          <w:sz w:val="21"/>
          <w:szCs w:val="24"/>
          <w:highlight w:val="none"/>
        </w:rPr>
      </w:pPr>
    </w:p>
    <w:p w14:paraId="2280C3BA">
      <w:pPr>
        <w:pStyle w:val="3"/>
        <w:bidi w:val="0"/>
        <w:jc w:val="center"/>
        <w:rPr>
          <w:sz w:val="84"/>
          <w:szCs w:val="84"/>
        </w:rPr>
      </w:pPr>
      <w:bookmarkStart w:id="744" w:name="_Toc29969"/>
      <w:r>
        <w:rPr>
          <w:rFonts w:hint="eastAsia"/>
          <w:sz w:val="84"/>
          <w:szCs w:val="84"/>
        </w:rPr>
        <w:t>投 标 文 件</w:t>
      </w:r>
      <w:bookmarkEnd w:id="744"/>
    </w:p>
    <w:p w14:paraId="0FA5F802">
      <w:pPr>
        <w:pStyle w:val="3"/>
        <w:bidi w:val="0"/>
        <w:spacing w:before="0" w:after="0" w:line="240" w:lineRule="auto"/>
        <w:jc w:val="center"/>
        <w:rPr>
          <w:sz w:val="56"/>
          <w:szCs w:val="56"/>
        </w:rPr>
      </w:pPr>
      <w:bookmarkStart w:id="745" w:name="_Toc26966"/>
      <w:r>
        <w:rPr>
          <w:rFonts w:hint="eastAsia"/>
          <w:sz w:val="56"/>
          <w:szCs w:val="56"/>
        </w:rPr>
        <w:t>资格证明文件</w:t>
      </w:r>
      <w:bookmarkEnd w:id="745"/>
    </w:p>
    <w:p w14:paraId="66E88D4F">
      <w:pPr>
        <w:autoSpaceDE w:val="0"/>
        <w:autoSpaceDN w:val="0"/>
        <w:adjustRightInd w:val="0"/>
        <w:rPr>
          <w:b/>
          <w:bCs/>
          <w:color w:val="auto"/>
          <w:sz w:val="22"/>
          <w:highlight w:val="none"/>
        </w:rPr>
      </w:pPr>
    </w:p>
    <w:p w14:paraId="537F8D86">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26E8C70">
      <w:pPr>
        <w:autoSpaceDE w:val="0"/>
        <w:autoSpaceDN w:val="0"/>
        <w:adjustRightInd w:val="0"/>
        <w:rPr>
          <w:color w:val="auto"/>
          <w:sz w:val="21"/>
          <w:szCs w:val="21"/>
          <w:highlight w:val="none"/>
        </w:rPr>
      </w:pPr>
    </w:p>
    <w:p w14:paraId="2874C375">
      <w:pPr>
        <w:pStyle w:val="3"/>
        <w:rPr>
          <w:color w:val="auto"/>
          <w:highlight w:val="none"/>
        </w:rPr>
      </w:pPr>
    </w:p>
    <w:p w14:paraId="2085130F">
      <w:pPr>
        <w:autoSpaceDE w:val="0"/>
        <w:autoSpaceDN w:val="0"/>
        <w:adjustRightInd w:val="0"/>
        <w:rPr>
          <w:color w:val="auto"/>
          <w:sz w:val="21"/>
          <w:szCs w:val="21"/>
          <w:highlight w:val="none"/>
        </w:rPr>
      </w:pPr>
    </w:p>
    <w:p w14:paraId="39700BDA">
      <w:pPr>
        <w:autoSpaceDE w:val="0"/>
        <w:autoSpaceDN w:val="0"/>
        <w:adjustRightInd w:val="0"/>
        <w:rPr>
          <w:color w:val="auto"/>
          <w:sz w:val="21"/>
          <w:szCs w:val="21"/>
          <w:highlight w:val="none"/>
        </w:rPr>
      </w:pPr>
    </w:p>
    <w:p w14:paraId="6334E3E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A643116">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710CA7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A39596D">
      <w:pPr>
        <w:ind w:left="840" w:firstLine="420"/>
        <w:rPr>
          <w:b/>
          <w:bCs/>
          <w:color w:val="auto"/>
          <w:sz w:val="28"/>
          <w:szCs w:val="28"/>
          <w:highlight w:val="none"/>
        </w:rPr>
      </w:pPr>
    </w:p>
    <w:p w14:paraId="0613F091">
      <w:pPr>
        <w:ind w:left="840" w:firstLine="420"/>
        <w:rPr>
          <w:b/>
          <w:bCs/>
          <w:color w:val="auto"/>
          <w:sz w:val="28"/>
          <w:szCs w:val="28"/>
          <w:highlight w:val="none"/>
        </w:rPr>
      </w:pPr>
    </w:p>
    <w:p w14:paraId="2330D405">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6DBE2CDA">
      <w:pPr>
        <w:rPr>
          <w:color w:val="auto"/>
          <w:highlight w:val="none"/>
          <w:lang w:val="zh-CN"/>
        </w:rPr>
      </w:pPr>
    </w:p>
    <w:p w14:paraId="215FC2E3">
      <w:pPr>
        <w:pStyle w:val="3"/>
        <w:bidi w:val="0"/>
        <w:rPr>
          <w:rFonts w:hint="eastAsia"/>
          <w:sz w:val="28"/>
          <w:szCs w:val="28"/>
          <w:lang w:val="en-US" w:eastAsia="zh-CN"/>
        </w:rPr>
      </w:pPr>
      <w:bookmarkStart w:id="746" w:name="_Toc25215"/>
      <w:bookmarkStart w:id="747" w:name="_Toc155185927"/>
      <w:r>
        <w:rPr>
          <w:rFonts w:hint="eastAsia"/>
          <w:sz w:val="28"/>
          <w:szCs w:val="28"/>
          <w:lang w:val="en-US" w:eastAsia="zh-CN"/>
        </w:rPr>
        <w:t>一、满足《中华人民共和国政府采购法》第二十二条规定</w:t>
      </w:r>
      <w:bookmarkEnd w:id="746"/>
    </w:p>
    <w:bookmarkEnd w:id="747"/>
    <w:p w14:paraId="4C032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2881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CA28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4C09FD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323934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47F836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r>
        <w:rPr>
          <w:rFonts w:hint="eastAsia" w:cs="宋体"/>
          <w:b w:val="0"/>
          <w:bCs w:val="0"/>
          <w:color w:val="auto"/>
          <w:kern w:val="0"/>
          <w:sz w:val="24"/>
          <w:szCs w:val="24"/>
          <w:highlight w:val="none"/>
          <w:lang w:val="en-US" w:eastAsia="zh-CN"/>
        </w:rPr>
        <w:t>。</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FE2A9CA">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6FC7F68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748" w:name="_Toc15114"/>
      <w:bookmarkStart w:id="749" w:name="_Toc23771"/>
      <w:r>
        <w:rPr>
          <w:rFonts w:hint="eastAsia" w:eastAsia="宋体" w:cstheme="majorBidi"/>
          <w:b/>
          <w:bCs/>
          <w:color w:val="auto"/>
          <w:kern w:val="2"/>
          <w:sz w:val="24"/>
          <w:szCs w:val="24"/>
          <w:highlight w:val="none"/>
          <w:lang w:val="en-US" w:eastAsia="zh-CN" w:bidi="ar-SA"/>
        </w:rPr>
        <w:t>（二）兵团政府采购供应商信用承诺函</w:t>
      </w:r>
      <w:bookmarkEnd w:id="748"/>
      <w:bookmarkEnd w:id="749"/>
    </w:p>
    <w:p w14:paraId="695B752A">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F1CBCB">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14E343E">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F4CE840">
      <w:pPr>
        <w:spacing w:line="560" w:lineRule="exact"/>
        <w:ind w:firstLine="480" w:firstLineChars="200"/>
        <w:rPr>
          <w:rFonts w:hint="eastAsia" w:ascii="宋体" w:hAnsi="宋体" w:eastAsia="宋体" w:cs="宋体"/>
          <w:color w:val="auto"/>
          <w:kern w:val="0"/>
          <w:sz w:val="24"/>
          <w:szCs w:val="24"/>
          <w:highlight w:val="none"/>
        </w:rPr>
      </w:pPr>
    </w:p>
    <w:p w14:paraId="776D870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353CD75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6C579D2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125387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550B1CDF">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221E54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56D831A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126A1F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48BFD221">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30747A83">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663B752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B6C39AD">
      <w:pPr>
        <w:spacing w:line="560" w:lineRule="exact"/>
        <w:rPr>
          <w:rFonts w:hint="eastAsia" w:ascii="宋体" w:hAnsi="宋体" w:eastAsia="宋体" w:cs="宋体"/>
          <w:color w:val="auto"/>
          <w:kern w:val="0"/>
          <w:sz w:val="24"/>
          <w:szCs w:val="24"/>
          <w:highlight w:val="none"/>
        </w:rPr>
      </w:pPr>
    </w:p>
    <w:p w14:paraId="49F57DB1">
      <w:pPr>
        <w:spacing w:line="560" w:lineRule="exact"/>
        <w:rPr>
          <w:rFonts w:hint="eastAsia" w:ascii="宋体" w:hAnsi="宋体" w:eastAsia="宋体" w:cs="宋体"/>
          <w:color w:val="auto"/>
          <w:kern w:val="0"/>
          <w:sz w:val="24"/>
          <w:szCs w:val="24"/>
          <w:highlight w:val="none"/>
        </w:rPr>
      </w:pPr>
    </w:p>
    <w:p w14:paraId="5AA4881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C65A8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24E5AD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2CB41018">
      <w:pPr>
        <w:widowControl/>
        <w:spacing w:line="560" w:lineRule="exact"/>
        <w:ind w:firstLine="630"/>
        <w:jc w:val="left"/>
        <w:rPr>
          <w:rFonts w:hint="eastAsia" w:ascii="宋体" w:hAnsi="宋体" w:eastAsia="宋体" w:cs="宋体"/>
          <w:color w:val="auto"/>
          <w:kern w:val="0"/>
          <w:sz w:val="24"/>
          <w:szCs w:val="24"/>
          <w:highlight w:val="none"/>
        </w:rPr>
      </w:pPr>
    </w:p>
    <w:p w14:paraId="67DF1B87">
      <w:pPr>
        <w:rPr>
          <w:rFonts w:ascii="Arial" w:hAnsi="Arial" w:cs="Arial"/>
          <w:color w:val="auto"/>
          <w:szCs w:val="21"/>
          <w:highlight w:val="none"/>
        </w:rPr>
      </w:pPr>
      <w:r>
        <w:rPr>
          <w:rFonts w:ascii="Arial" w:hAnsi="Arial" w:cs="Arial"/>
          <w:color w:val="auto"/>
          <w:szCs w:val="21"/>
          <w:highlight w:val="none"/>
        </w:rPr>
        <w:br w:type="page"/>
      </w:r>
    </w:p>
    <w:p w14:paraId="70BE81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50" w:name="_Toc155185930"/>
      <w:bookmarkStart w:id="751" w:name="_Toc109899917"/>
      <w:bookmarkStart w:id="752" w:name="_Toc163492923"/>
      <w:bookmarkStart w:id="753" w:name="_Toc140132840"/>
      <w:bookmarkStart w:id="754" w:name="_Toc109900336"/>
      <w:bookmarkStart w:id="755" w:name="_Toc109899498"/>
      <w:bookmarkStart w:id="756" w:name="_Toc21383"/>
      <w:r>
        <w:rPr>
          <w:rFonts w:hint="eastAsia" w:cstheme="majorBidi"/>
          <w:b/>
          <w:bCs/>
          <w:color w:val="auto"/>
          <w:kern w:val="2"/>
          <w:sz w:val="28"/>
          <w:szCs w:val="28"/>
          <w:highlight w:val="none"/>
          <w:lang w:val="en-US" w:eastAsia="zh-CN" w:bidi="ar-SA"/>
        </w:rPr>
        <w:t>二</w:t>
      </w:r>
      <w:r>
        <w:rPr>
          <w:rFonts w:hint="eastAsia" w:eastAsia="宋体" w:asciiTheme="majorHAnsi" w:hAnsiTheme="majorHAnsi" w:cstheme="majorBidi"/>
          <w:b/>
          <w:bCs/>
          <w:color w:val="auto"/>
          <w:kern w:val="2"/>
          <w:sz w:val="28"/>
          <w:szCs w:val="28"/>
          <w:highlight w:val="none"/>
          <w:lang w:val="en-US" w:eastAsia="zh-CN" w:bidi="ar-SA"/>
        </w:rPr>
        <w:t>、</w:t>
      </w:r>
      <w:bookmarkEnd w:id="750"/>
      <w:bookmarkEnd w:id="751"/>
      <w:bookmarkEnd w:id="752"/>
      <w:bookmarkEnd w:id="753"/>
      <w:bookmarkEnd w:id="754"/>
      <w:bookmarkEnd w:id="755"/>
      <w:bookmarkStart w:id="757" w:name="_Toc155185931"/>
      <w:r>
        <w:rPr>
          <w:rFonts w:hint="eastAsia" w:eastAsia="宋体" w:asciiTheme="majorHAnsi" w:hAnsiTheme="majorHAnsi" w:cstheme="majorBidi"/>
          <w:b/>
          <w:bCs/>
          <w:color w:val="auto"/>
          <w:kern w:val="2"/>
          <w:sz w:val="28"/>
          <w:szCs w:val="28"/>
          <w:highlight w:val="none"/>
          <w:lang w:val="zh-CN" w:eastAsia="zh-CN" w:bidi="ar-SA"/>
        </w:rPr>
        <w:t>联合体协议书</w:t>
      </w:r>
      <w:bookmarkEnd w:id="757"/>
      <w:r>
        <w:rPr>
          <w:rFonts w:hint="eastAsia" w:ascii="宋体" w:hAnsi="宋体" w:eastAsia="宋体" w:cstheme="minorBidi"/>
          <w:b w:val="0"/>
          <w:bCs w:val="0"/>
          <w:color w:val="auto"/>
          <w:kern w:val="2"/>
          <w:sz w:val="28"/>
          <w:szCs w:val="28"/>
          <w:highlight w:val="none"/>
          <w:lang w:val="zh-CN" w:eastAsia="zh-CN" w:bidi="ar-SA"/>
        </w:rPr>
        <w:t>【如适用】</w:t>
      </w:r>
      <w:bookmarkEnd w:id="756"/>
    </w:p>
    <w:p w14:paraId="39563C7F">
      <w:pPr>
        <w:snapToGrid w:val="0"/>
        <w:spacing w:line="360" w:lineRule="auto"/>
        <w:jc w:val="center"/>
        <w:outlineLvl w:val="0"/>
        <w:rPr>
          <w:rFonts w:hint="eastAsia" w:ascii="宋体" w:hAnsi="宋体" w:cs="宋体"/>
          <w:b/>
          <w:color w:val="auto"/>
          <w:kern w:val="0"/>
          <w:sz w:val="32"/>
          <w:szCs w:val="32"/>
          <w:highlight w:val="none"/>
        </w:rPr>
      </w:pPr>
    </w:p>
    <w:p w14:paraId="23E3BC9F">
      <w:pPr>
        <w:snapToGrid w:val="0"/>
        <w:spacing w:line="360" w:lineRule="auto"/>
        <w:jc w:val="center"/>
        <w:outlineLvl w:val="0"/>
        <w:rPr>
          <w:rFonts w:hint="eastAsia" w:ascii="宋体" w:hAnsi="宋体" w:cs="宋体"/>
          <w:b/>
          <w:color w:val="auto"/>
          <w:kern w:val="0"/>
          <w:sz w:val="32"/>
          <w:szCs w:val="32"/>
          <w:highlight w:val="none"/>
        </w:rPr>
      </w:pPr>
      <w:bookmarkStart w:id="758" w:name="_Toc631"/>
      <w:bookmarkStart w:id="759" w:name="_Toc6437"/>
      <w:r>
        <w:rPr>
          <w:rFonts w:hint="eastAsia" w:ascii="宋体" w:hAnsi="宋体" w:cs="宋体"/>
          <w:b/>
          <w:color w:val="auto"/>
          <w:kern w:val="0"/>
          <w:sz w:val="32"/>
          <w:szCs w:val="32"/>
          <w:highlight w:val="none"/>
        </w:rPr>
        <w:t>联合体协议书</w:t>
      </w:r>
      <w:bookmarkEnd w:id="758"/>
      <w:bookmarkEnd w:id="759"/>
    </w:p>
    <w:p w14:paraId="6795462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14187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82E8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A3C7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4C75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742291A">
      <w:pPr>
        <w:snapToGrid w:val="0"/>
        <w:spacing w:line="360" w:lineRule="auto"/>
        <w:ind w:firstLine="576"/>
        <w:rPr>
          <w:rFonts w:ascii="宋体" w:hAnsi="宋体" w:cs="宋体"/>
          <w:color w:val="auto"/>
          <w:kern w:val="0"/>
          <w:sz w:val="24"/>
          <w:highlight w:val="none"/>
          <w:lang w:val="zh-CN"/>
        </w:rPr>
      </w:pPr>
      <w:bookmarkStart w:id="7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F758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4350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60"/>
    <w:p w14:paraId="41742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0493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cs="宋体"/>
          <w:color w:val="auto"/>
          <w:kern w:val="0"/>
          <w:sz w:val="24"/>
          <w:highlight w:val="none"/>
          <w:lang w:val="en-US" w:eastAsia="zh-CN"/>
        </w:rPr>
        <w:t>服务及</w:t>
      </w:r>
      <w:r>
        <w:rPr>
          <w:rFonts w:hint="eastAsia" w:ascii="宋体" w:hAnsi="宋体" w:cs="宋体"/>
          <w:color w:val="auto"/>
          <w:kern w:val="0"/>
          <w:sz w:val="24"/>
          <w:highlight w:val="none"/>
        </w:rPr>
        <w:t>货物由小微企业</w:t>
      </w:r>
      <w:r>
        <w:rPr>
          <w:rFonts w:hint="eastAsia" w:cs="宋体"/>
          <w:color w:val="auto"/>
          <w:kern w:val="0"/>
          <w:sz w:val="24"/>
          <w:highlight w:val="none"/>
          <w:lang w:val="en-US" w:eastAsia="zh-CN"/>
        </w:rPr>
        <w:t>提供和</w:t>
      </w:r>
      <w:r>
        <w:rPr>
          <w:rFonts w:hint="eastAsia" w:ascii="宋体" w:hAnsi="宋体" w:cs="宋体"/>
          <w:color w:val="auto"/>
          <w:kern w:val="0"/>
          <w:sz w:val="24"/>
          <w:highlight w:val="none"/>
        </w:rPr>
        <w:t>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0B6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C46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0B6A82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18CE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43009373">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580F475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75ABC4BD">
      <w:pPr>
        <w:snapToGrid w:val="0"/>
        <w:spacing w:line="360" w:lineRule="auto"/>
        <w:ind w:firstLine="576"/>
        <w:rPr>
          <w:rFonts w:hint="eastAsia" w:ascii="宋体" w:hAnsi="宋体" w:cs="宋体"/>
          <w:color w:val="auto"/>
          <w:kern w:val="0"/>
          <w:sz w:val="24"/>
          <w:highlight w:val="none"/>
          <w:lang w:val="zh-CN"/>
        </w:rPr>
      </w:pPr>
    </w:p>
    <w:p w14:paraId="4D791421">
      <w:pPr>
        <w:snapToGrid w:val="0"/>
        <w:spacing w:line="360" w:lineRule="auto"/>
        <w:ind w:firstLine="576"/>
        <w:rPr>
          <w:rFonts w:hint="eastAsia" w:ascii="宋体" w:hAnsi="宋体" w:cs="宋体"/>
          <w:color w:val="auto"/>
          <w:kern w:val="0"/>
          <w:sz w:val="24"/>
          <w:highlight w:val="none"/>
          <w:lang w:val="zh-CN"/>
        </w:rPr>
      </w:pPr>
    </w:p>
    <w:p w14:paraId="1BE31DA1">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F946487">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C01AA7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D03F6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BB115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color w:val="auto"/>
          <w:highlight w:val="none"/>
          <w:u w:val="single"/>
        </w:rPr>
      </w:pPr>
      <w:r>
        <w:rPr>
          <w:rFonts w:cs="Tahoma"/>
          <w:color w:val="auto"/>
          <w:highlight w:val="none"/>
          <w:u w:val="single"/>
        </w:rPr>
        <w:br w:type="page"/>
      </w:r>
    </w:p>
    <w:p w14:paraId="054D30B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61" w:name="_Toc162299566"/>
      <w:bookmarkStart w:id="762" w:name="_Toc31421"/>
      <w:bookmarkStart w:id="763" w:name="_Toc156490356"/>
      <w:bookmarkStart w:id="764" w:name="_Hlk101169080"/>
      <w:r>
        <w:rPr>
          <w:rFonts w:hint="eastAsia" w:cstheme="majorBidi"/>
          <w:b/>
          <w:bCs/>
          <w:color w:val="auto"/>
          <w:kern w:val="2"/>
          <w:sz w:val="28"/>
          <w:szCs w:val="28"/>
          <w:highlight w:val="none"/>
          <w:lang w:val="en-US" w:eastAsia="zh-CN" w:bidi="ar-SA"/>
        </w:rPr>
        <w:t>三</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分包意向协议书</w:t>
      </w:r>
      <w:r>
        <w:rPr>
          <w:rFonts w:hint="eastAsia" w:ascii="宋体" w:hAnsi="宋体" w:eastAsia="宋体" w:cstheme="minorBidi"/>
          <w:b w:val="0"/>
          <w:bCs w:val="0"/>
          <w:color w:val="auto"/>
          <w:kern w:val="2"/>
          <w:sz w:val="28"/>
          <w:szCs w:val="28"/>
          <w:highlight w:val="none"/>
          <w:lang w:val="zh-CN" w:eastAsia="zh-CN" w:bidi="ar-SA"/>
        </w:rPr>
        <w:t>【如适用】</w:t>
      </w:r>
      <w:bookmarkEnd w:id="761"/>
      <w:bookmarkEnd w:id="762"/>
      <w:bookmarkEnd w:id="763"/>
    </w:p>
    <w:p w14:paraId="72EF9FB2">
      <w:pPr>
        <w:snapToGrid w:val="0"/>
        <w:spacing w:line="360" w:lineRule="auto"/>
        <w:jc w:val="center"/>
        <w:outlineLvl w:val="0"/>
        <w:rPr>
          <w:rFonts w:hint="eastAsia" w:ascii="宋体" w:hAnsi="宋体" w:cs="宋体"/>
          <w:b/>
          <w:color w:val="auto"/>
          <w:kern w:val="0"/>
          <w:sz w:val="32"/>
          <w:szCs w:val="32"/>
          <w:highlight w:val="none"/>
        </w:rPr>
      </w:pPr>
    </w:p>
    <w:p w14:paraId="7214AD2B">
      <w:pPr>
        <w:snapToGrid w:val="0"/>
        <w:spacing w:line="360" w:lineRule="auto"/>
        <w:jc w:val="center"/>
        <w:outlineLvl w:val="0"/>
        <w:rPr>
          <w:rFonts w:hint="eastAsia" w:ascii="宋体" w:hAnsi="宋体" w:eastAsia="宋体" w:cs="宋体"/>
          <w:b/>
          <w:color w:val="auto"/>
          <w:kern w:val="0"/>
          <w:sz w:val="32"/>
          <w:szCs w:val="32"/>
          <w:highlight w:val="none"/>
          <w:lang w:val="en-US" w:eastAsia="zh-CN"/>
        </w:rPr>
      </w:pPr>
      <w:bookmarkStart w:id="765" w:name="_Toc24460"/>
      <w:bookmarkStart w:id="766" w:name="_Toc16974"/>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765"/>
      <w:bookmarkEnd w:id="766"/>
    </w:p>
    <w:p w14:paraId="4E9F0BF4">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5791A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545E90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0873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B916C5">
      <w:pPr>
        <w:pStyle w:val="3"/>
        <w:tabs>
          <w:tab w:val="left" w:pos="432"/>
        </w:tabs>
        <w:ind w:left="758" w:leftChars="316" w:firstLine="229" w:firstLineChars="95"/>
        <w:rPr>
          <w:rFonts w:ascii="宋体" w:hAnsi="宋体" w:eastAsia="宋体" w:cs="宋体"/>
          <w:color w:val="auto"/>
          <w:kern w:val="0"/>
          <w:sz w:val="24"/>
          <w:szCs w:val="24"/>
          <w:highlight w:val="none"/>
        </w:rPr>
      </w:pPr>
      <w:bookmarkStart w:id="767" w:name="_Toc29070"/>
      <w:bookmarkStart w:id="768" w:name="_Toc7988"/>
      <w:r>
        <w:rPr>
          <w:rFonts w:hint="eastAsia" w:ascii="宋体" w:hAnsi="宋体" w:eastAsia="宋体" w:cs="宋体"/>
          <w:color w:val="auto"/>
          <w:kern w:val="0"/>
          <w:sz w:val="24"/>
          <w:szCs w:val="24"/>
          <w:highlight w:val="none"/>
        </w:rPr>
        <w:t>……</w:t>
      </w:r>
      <w:bookmarkEnd w:id="767"/>
      <w:bookmarkEnd w:id="768"/>
    </w:p>
    <w:p w14:paraId="042688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cs="宋体"/>
          <w:color w:val="auto"/>
          <w:kern w:val="0"/>
          <w:sz w:val="24"/>
          <w:highlight w:val="none"/>
          <w:u w:val="single"/>
          <w:lang w:val="en-US" w:eastAsia="zh-CN"/>
        </w:rPr>
        <w:t>承担</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5FF2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6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69"/>
    </w:p>
    <w:p w14:paraId="51C56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26E4A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250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369B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7AB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2B92C8">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79FAF7">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F77B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CBB9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D83C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C21D17">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286910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63AD0D69">
      <w:pPr>
        <w:snapToGrid w:val="0"/>
        <w:spacing w:line="360" w:lineRule="auto"/>
        <w:jc w:val="right"/>
        <w:rPr>
          <w:rFonts w:ascii="宋体" w:hAnsi="宋体" w:cs="宋体"/>
          <w:color w:val="auto"/>
          <w:kern w:val="0"/>
          <w:sz w:val="24"/>
          <w:highlight w:val="none"/>
          <w:lang w:val="zh-CN"/>
        </w:rPr>
      </w:pPr>
    </w:p>
    <w:p w14:paraId="102F6BD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C38D7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A2F910">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F0D76CC">
      <w:pPr>
        <w:topLinePunct/>
        <w:ind w:firstLine="480" w:firstLineChars="200"/>
        <w:rPr>
          <w:rFonts w:hint="eastAsia"/>
          <w:color w:val="auto"/>
          <w:szCs w:val="32"/>
          <w:highlight w:val="none"/>
        </w:rPr>
      </w:pPr>
    </w:p>
    <w:p w14:paraId="5F400CB9">
      <w:pPr>
        <w:topLinePunct/>
        <w:ind w:firstLine="480" w:firstLineChars="200"/>
        <w:rPr>
          <w:rFonts w:hint="eastAsia"/>
          <w:color w:val="auto"/>
          <w:szCs w:val="32"/>
          <w:highlight w:val="none"/>
        </w:rPr>
      </w:pPr>
    </w:p>
    <w:p w14:paraId="11CAF290">
      <w:pPr>
        <w:topLinePunct/>
        <w:ind w:firstLine="480" w:firstLineChars="200"/>
        <w:rPr>
          <w:rFonts w:hint="eastAsia"/>
          <w:color w:val="auto"/>
          <w:szCs w:val="32"/>
          <w:highlight w:val="none"/>
        </w:rPr>
      </w:pPr>
    </w:p>
    <w:p w14:paraId="35CFE103">
      <w:pPr>
        <w:topLinePunct/>
        <w:ind w:firstLine="480" w:firstLineChars="200"/>
        <w:rPr>
          <w:rFonts w:hint="eastAsia"/>
          <w:color w:val="auto"/>
          <w:szCs w:val="32"/>
          <w:highlight w:val="none"/>
        </w:rPr>
      </w:pPr>
    </w:p>
    <w:bookmarkEnd w:id="764"/>
    <w:p w14:paraId="5775F461">
      <w:pPr>
        <w:ind w:left="2520" w:leftChars="1050"/>
        <w:rPr>
          <w:color w:val="auto"/>
          <w:highlight w:val="none"/>
        </w:rPr>
      </w:pPr>
      <w:r>
        <w:rPr>
          <w:rFonts w:cs="Courier New"/>
          <w:color w:val="auto"/>
          <w:szCs w:val="24"/>
          <w:highlight w:val="none"/>
        </w:rPr>
        <w:br w:type="page"/>
      </w:r>
    </w:p>
    <w:p w14:paraId="6C745F3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770" w:name="_Toc155185932"/>
      <w:bookmarkStart w:id="771" w:name="_Toc163492926"/>
      <w:bookmarkStart w:id="772" w:name="_Toc8875"/>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bookmarkEnd w:id="770"/>
      <w:bookmarkEnd w:id="771"/>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772"/>
    </w:p>
    <w:p w14:paraId="0076F407">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773" w:name="_Toc17038"/>
      <w:bookmarkStart w:id="774" w:name="_Toc163492938"/>
      <w:bookmarkStart w:id="775" w:name="_Toc8350"/>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773"/>
      <w:bookmarkEnd w:id="774"/>
      <w:bookmarkEnd w:id="775"/>
    </w:p>
    <w:p w14:paraId="129366EF">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51FADA0E">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214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9BA53A1">
            <w:pPr>
              <w:pStyle w:val="48"/>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33C66ABB">
            <w:pPr>
              <w:pStyle w:val="48"/>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0A6767B6">
            <w:pPr>
              <w:pStyle w:val="48"/>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31DEE91E">
            <w:pPr>
              <w:pStyle w:val="48"/>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5BB11F42">
            <w:pPr>
              <w:pStyle w:val="48"/>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146CD78D">
            <w:pPr>
              <w:pStyle w:val="48"/>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52ABF9B6">
            <w:pPr>
              <w:pStyle w:val="48"/>
              <w:jc w:val="center"/>
              <w:rPr>
                <w:color w:val="auto"/>
                <w:sz w:val="21"/>
                <w:szCs w:val="21"/>
                <w:highlight w:val="none"/>
              </w:rPr>
            </w:pPr>
            <w:r>
              <w:rPr>
                <w:rFonts w:hint="eastAsia"/>
                <w:color w:val="auto"/>
                <w:sz w:val="21"/>
                <w:szCs w:val="21"/>
                <w:highlight w:val="none"/>
              </w:rPr>
              <w:t>单价</w:t>
            </w:r>
          </w:p>
          <w:p w14:paraId="022A35EE">
            <w:pPr>
              <w:pStyle w:val="48"/>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47F9C89C">
            <w:pPr>
              <w:pStyle w:val="48"/>
              <w:jc w:val="center"/>
              <w:rPr>
                <w:color w:val="auto"/>
                <w:sz w:val="21"/>
                <w:szCs w:val="21"/>
                <w:highlight w:val="none"/>
              </w:rPr>
            </w:pPr>
            <w:r>
              <w:rPr>
                <w:rFonts w:hint="eastAsia"/>
                <w:color w:val="auto"/>
                <w:sz w:val="21"/>
                <w:szCs w:val="21"/>
                <w:highlight w:val="none"/>
              </w:rPr>
              <w:t>总价</w:t>
            </w:r>
          </w:p>
          <w:p w14:paraId="13E39665">
            <w:pPr>
              <w:pStyle w:val="48"/>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5EF1CA54">
            <w:pPr>
              <w:pStyle w:val="48"/>
              <w:jc w:val="center"/>
              <w:rPr>
                <w:color w:val="auto"/>
                <w:sz w:val="21"/>
                <w:szCs w:val="21"/>
                <w:highlight w:val="none"/>
              </w:rPr>
            </w:pPr>
            <w:r>
              <w:rPr>
                <w:rFonts w:hint="eastAsia"/>
                <w:color w:val="auto"/>
                <w:sz w:val="21"/>
                <w:szCs w:val="21"/>
                <w:highlight w:val="none"/>
              </w:rPr>
              <w:t>属强制采购或优先采购</w:t>
            </w:r>
          </w:p>
        </w:tc>
      </w:tr>
      <w:tr w14:paraId="2E9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ADB00D2">
            <w:pPr>
              <w:pStyle w:val="48"/>
              <w:numPr>
                <w:ilvl w:val="0"/>
                <w:numId w:val="3"/>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3FEE94B">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10BB06E">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C5A5920">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5E1910D">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648ECA9">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64C2E61">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25FE785">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64D763D">
            <w:pPr>
              <w:pStyle w:val="48"/>
              <w:jc w:val="center"/>
              <w:rPr>
                <w:color w:val="auto"/>
                <w:sz w:val="21"/>
                <w:szCs w:val="21"/>
                <w:highlight w:val="none"/>
              </w:rPr>
            </w:pPr>
          </w:p>
        </w:tc>
      </w:tr>
      <w:tr w14:paraId="37C9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FEF61DD">
            <w:pPr>
              <w:pStyle w:val="48"/>
              <w:numPr>
                <w:ilvl w:val="0"/>
                <w:numId w:val="3"/>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416B1F1">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2C36B510">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0AC0C7C">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67CCBE2">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BBEE273">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202F913">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965158B">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778C7D9">
            <w:pPr>
              <w:pStyle w:val="48"/>
              <w:jc w:val="center"/>
              <w:rPr>
                <w:color w:val="auto"/>
                <w:sz w:val="21"/>
                <w:szCs w:val="21"/>
                <w:highlight w:val="none"/>
              </w:rPr>
            </w:pPr>
          </w:p>
        </w:tc>
      </w:tr>
      <w:tr w14:paraId="54DD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48CCAB2">
            <w:pPr>
              <w:pStyle w:val="48"/>
              <w:numPr>
                <w:ilvl w:val="0"/>
                <w:numId w:val="3"/>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25CCB97">
            <w:pPr>
              <w:pStyle w:val="48"/>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20FBEE7F">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FABF0FD">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41EE4F1">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34758BE8">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A503622">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3CD9502">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1E5F4FE">
            <w:pPr>
              <w:pStyle w:val="48"/>
              <w:jc w:val="center"/>
              <w:rPr>
                <w:color w:val="auto"/>
                <w:sz w:val="21"/>
                <w:szCs w:val="21"/>
                <w:highlight w:val="none"/>
              </w:rPr>
            </w:pPr>
          </w:p>
        </w:tc>
      </w:tr>
    </w:tbl>
    <w:p w14:paraId="0BF4E52B">
      <w:pPr>
        <w:spacing w:line="300" w:lineRule="auto"/>
        <w:rPr>
          <w:rFonts w:ascii="Arial" w:hAnsi="Arial" w:cs="Arial"/>
          <w:color w:val="auto"/>
          <w:szCs w:val="21"/>
          <w:highlight w:val="none"/>
        </w:rPr>
      </w:pPr>
    </w:p>
    <w:p w14:paraId="37B13C23">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5A5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E1C37F0">
            <w:pPr>
              <w:pStyle w:val="48"/>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1FD081C">
            <w:pPr>
              <w:pStyle w:val="48"/>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29856322">
            <w:pPr>
              <w:pStyle w:val="48"/>
              <w:jc w:val="center"/>
              <w:rPr>
                <w:color w:val="auto"/>
                <w:sz w:val="21"/>
                <w:szCs w:val="21"/>
                <w:highlight w:val="none"/>
              </w:rPr>
            </w:pPr>
            <w:r>
              <w:rPr>
                <w:rFonts w:hint="eastAsia"/>
                <w:color w:val="auto"/>
                <w:sz w:val="21"/>
                <w:szCs w:val="21"/>
                <w:highlight w:val="none"/>
              </w:rPr>
              <w:t>制造商</w:t>
            </w:r>
          </w:p>
          <w:p w14:paraId="43D7ECA8">
            <w:pPr>
              <w:pStyle w:val="48"/>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3DA2F666">
            <w:pPr>
              <w:pStyle w:val="48"/>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C041C3A">
            <w:pPr>
              <w:pStyle w:val="48"/>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5EC682A5">
            <w:pPr>
              <w:pStyle w:val="48"/>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5112D1F1">
            <w:pPr>
              <w:pStyle w:val="48"/>
              <w:jc w:val="center"/>
              <w:rPr>
                <w:color w:val="auto"/>
                <w:sz w:val="21"/>
                <w:szCs w:val="21"/>
                <w:highlight w:val="none"/>
              </w:rPr>
            </w:pPr>
            <w:r>
              <w:rPr>
                <w:rFonts w:hint="eastAsia"/>
                <w:color w:val="auto"/>
                <w:sz w:val="21"/>
                <w:szCs w:val="21"/>
                <w:highlight w:val="none"/>
              </w:rPr>
              <w:t>单价</w:t>
            </w:r>
          </w:p>
          <w:p w14:paraId="0270B2E8">
            <w:pPr>
              <w:pStyle w:val="48"/>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52D01C53">
            <w:pPr>
              <w:pStyle w:val="48"/>
              <w:jc w:val="center"/>
              <w:rPr>
                <w:color w:val="auto"/>
                <w:sz w:val="21"/>
                <w:szCs w:val="21"/>
                <w:highlight w:val="none"/>
              </w:rPr>
            </w:pPr>
            <w:r>
              <w:rPr>
                <w:rFonts w:hint="eastAsia"/>
                <w:color w:val="auto"/>
                <w:sz w:val="21"/>
                <w:szCs w:val="21"/>
                <w:highlight w:val="none"/>
              </w:rPr>
              <w:t>总价</w:t>
            </w:r>
          </w:p>
          <w:p w14:paraId="461D4258">
            <w:pPr>
              <w:pStyle w:val="48"/>
              <w:jc w:val="center"/>
              <w:rPr>
                <w:color w:val="auto"/>
                <w:sz w:val="21"/>
                <w:szCs w:val="21"/>
                <w:highlight w:val="none"/>
              </w:rPr>
            </w:pPr>
            <w:r>
              <w:rPr>
                <w:rFonts w:hint="eastAsia"/>
                <w:color w:val="auto"/>
                <w:sz w:val="21"/>
                <w:szCs w:val="21"/>
                <w:highlight w:val="none"/>
              </w:rPr>
              <w:t>（万元）</w:t>
            </w:r>
          </w:p>
        </w:tc>
      </w:tr>
      <w:tr w14:paraId="3C0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7FEDD7F">
            <w:pPr>
              <w:pStyle w:val="48"/>
              <w:numPr>
                <w:ilvl w:val="0"/>
                <w:numId w:val="4"/>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E411FCE">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21DE2B">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C5EDF0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D72516A">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E3E6DE">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8F18718">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4FAA2A4">
            <w:pPr>
              <w:pStyle w:val="48"/>
              <w:jc w:val="center"/>
              <w:rPr>
                <w:color w:val="auto"/>
                <w:sz w:val="21"/>
                <w:szCs w:val="21"/>
                <w:highlight w:val="none"/>
              </w:rPr>
            </w:pPr>
          </w:p>
        </w:tc>
      </w:tr>
      <w:tr w14:paraId="507C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CEE92A2">
            <w:pPr>
              <w:pStyle w:val="48"/>
              <w:numPr>
                <w:ilvl w:val="0"/>
                <w:numId w:val="4"/>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7004DF9">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7819FE1">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DD8FC9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FB45CEE">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552F00C">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0679DB2">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241F95D">
            <w:pPr>
              <w:pStyle w:val="48"/>
              <w:jc w:val="center"/>
              <w:rPr>
                <w:color w:val="auto"/>
                <w:sz w:val="21"/>
                <w:szCs w:val="21"/>
                <w:highlight w:val="none"/>
              </w:rPr>
            </w:pPr>
          </w:p>
        </w:tc>
      </w:tr>
      <w:tr w14:paraId="5757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FF9C542">
            <w:pPr>
              <w:pStyle w:val="48"/>
              <w:numPr>
                <w:ilvl w:val="0"/>
                <w:numId w:val="4"/>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56190D9">
            <w:pPr>
              <w:pStyle w:val="48"/>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29185C8">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278FA62">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DC75679">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EAC5B30">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8F02ED0">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1916AC5">
            <w:pPr>
              <w:pStyle w:val="48"/>
              <w:jc w:val="center"/>
              <w:rPr>
                <w:color w:val="auto"/>
                <w:sz w:val="21"/>
                <w:szCs w:val="21"/>
                <w:highlight w:val="none"/>
              </w:rPr>
            </w:pPr>
          </w:p>
        </w:tc>
      </w:tr>
    </w:tbl>
    <w:p w14:paraId="04CE5F65">
      <w:pPr>
        <w:spacing w:line="300" w:lineRule="auto"/>
        <w:rPr>
          <w:rFonts w:ascii="Arial" w:hAnsi="Arial" w:cs="Arial"/>
          <w:color w:val="auto"/>
          <w:szCs w:val="21"/>
          <w:highlight w:val="none"/>
        </w:rPr>
      </w:pPr>
    </w:p>
    <w:p w14:paraId="4FDC8CEF">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4AE49928">
      <w:pPr>
        <w:spacing w:line="300" w:lineRule="auto"/>
        <w:rPr>
          <w:rFonts w:ascii="Arial" w:hAnsi="Arial" w:cs="Arial"/>
          <w:color w:val="auto"/>
          <w:szCs w:val="21"/>
          <w:highlight w:val="none"/>
        </w:rPr>
      </w:pPr>
    </w:p>
    <w:p w14:paraId="054561CD">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1A4D567">
      <w:pPr>
        <w:rPr>
          <w:rFonts w:ascii="Arial" w:hAnsi="Arial" w:cs="Arial"/>
          <w:color w:val="auto"/>
          <w:szCs w:val="21"/>
          <w:highlight w:val="none"/>
        </w:rPr>
      </w:pPr>
      <w:r>
        <w:rPr>
          <w:rFonts w:ascii="Arial" w:hAnsi="Arial" w:cs="Arial"/>
          <w:color w:val="auto"/>
          <w:szCs w:val="21"/>
          <w:highlight w:val="none"/>
        </w:rPr>
        <w:t>日期：</w:t>
      </w:r>
    </w:p>
    <w:p w14:paraId="0A67E61C">
      <w:pPr>
        <w:rPr>
          <w:rFonts w:ascii="Arial" w:hAnsi="Arial" w:cs="Arial"/>
          <w:color w:val="auto"/>
          <w:szCs w:val="21"/>
          <w:highlight w:val="none"/>
        </w:rPr>
      </w:pPr>
    </w:p>
    <w:p w14:paraId="70617D68">
      <w:pPr>
        <w:rPr>
          <w:rFonts w:ascii="Arial" w:hAnsi="Arial" w:cs="Arial"/>
          <w:color w:val="auto"/>
          <w:szCs w:val="21"/>
          <w:highlight w:val="none"/>
        </w:rPr>
      </w:pPr>
      <w:r>
        <w:rPr>
          <w:rFonts w:ascii="Arial" w:hAnsi="Arial" w:cs="Arial"/>
          <w:color w:val="auto"/>
          <w:szCs w:val="21"/>
          <w:highlight w:val="none"/>
        </w:rPr>
        <w:br w:type="page"/>
      </w:r>
    </w:p>
    <w:p w14:paraId="2A9F81A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76" w:name="_Toc29603"/>
      <w:bookmarkStart w:id="777" w:name="_Toc24277"/>
      <w:bookmarkStart w:id="778" w:name="_Toc163492939"/>
      <w:r>
        <w:rPr>
          <w:rFonts w:hint="eastAsia" w:ascii="宋体" w:hAnsi="宋体" w:eastAsia="宋体" w:cstheme="minorBidi"/>
          <w:b/>
          <w:bCs/>
          <w:color w:val="auto"/>
          <w:kern w:val="2"/>
          <w:sz w:val="24"/>
          <w:szCs w:val="24"/>
          <w:highlight w:val="none"/>
          <w:lang w:val="en-US" w:eastAsia="zh-CN" w:bidi="ar-SA"/>
        </w:rPr>
        <w:t>（二）中小企业声明函</w:t>
      </w:r>
      <w:bookmarkEnd w:id="776"/>
      <w:bookmarkEnd w:id="777"/>
      <w:bookmarkEnd w:id="778"/>
    </w:p>
    <w:p w14:paraId="16CFCD4A">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0D7CD940">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5688740A">
      <w:pPr>
        <w:ind w:firstLine="504" w:firstLineChars="200"/>
        <w:rPr>
          <w:rFonts w:hint="eastAsia"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采购活动，服务全部由符合政策要求的中小企业承接。相关企业（含联合体中的中小企业、签订分包意向协议的中小企业）的具体情况如下：</w:t>
      </w:r>
    </w:p>
    <w:p w14:paraId="57A088DF">
      <w:pPr>
        <w:ind w:firstLine="504" w:firstLineChars="200"/>
        <w:rPr>
          <w:rFonts w:hint="eastAsia" w:cs="宋体"/>
          <w:color w:val="auto"/>
          <w:spacing w:val="6"/>
          <w:szCs w:val="24"/>
          <w:highlight w:val="none"/>
        </w:rPr>
      </w:pPr>
      <w:r>
        <w:rPr>
          <w:rFonts w:hint="eastAsia" w:cs="宋体"/>
          <w:color w:val="auto"/>
          <w:spacing w:val="6"/>
          <w:szCs w:val="24"/>
          <w:highlight w:val="none"/>
        </w:rPr>
        <w:t xml:space="preserve">1. </w:t>
      </w:r>
      <w:r>
        <w:rPr>
          <w:rFonts w:hint="eastAsia" w:cs="宋体"/>
          <w:color w:val="auto"/>
          <w:spacing w:val="6"/>
          <w:szCs w:val="24"/>
          <w:highlight w:val="none"/>
          <w:u w:val="single"/>
        </w:rPr>
        <w:t xml:space="preserve">（标的名称）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222AFB4D">
      <w:pPr>
        <w:ind w:firstLine="504" w:firstLineChars="200"/>
        <w:rPr>
          <w:rFonts w:hint="eastAsia"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w:t>
      </w:r>
      <w:r>
        <w:rPr>
          <w:rFonts w:hint="eastAsia" w:cs="宋体"/>
          <w:color w:val="auto"/>
          <w:spacing w:val="6"/>
          <w:szCs w:val="24"/>
          <w:highlight w:val="none"/>
        </w:rPr>
        <w:t xml:space="preserve"> ，属于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39DCDC52">
      <w:pPr>
        <w:ind w:firstLine="504" w:firstLineChars="200"/>
        <w:rPr>
          <w:rFonts w:hint="eastAsia" w:cs="宋体"/>
          <w:color w:val="auto"/>
          <w:spacing w:val="6"/>
          <w:szCs w:val="24"/>
          <w:highlight w:val="none"/>
        </w:rPr>
      </w:pPr>
      <w:r>
        <w:rPr>
          <w:rFonts w:hint="eastAsia" w:cs="宋体"/>
          <w:color w:val="auto"/>
          <w:spacing w:val="6"/>
          <w:szCs w:val="24"/>
          <w:highlight w:val="none"/>
        </w:rPr>
        <w:t>……</w:t>
      </w:r>
    </w:p>
    <w:p w14:paraId="708F1D10">
      <w:pPr>
        <w:ind w:firstLine="504" w:firstLineChars="200"/>
        <w:rPr>
          <w:rFonts w:hint="eastAsia"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02D6F1D3">
      <w:pPr>
        <w:ind w:firstLine="504" w:firstLineChars="200"/>
        <w:rPr>
          <w:rFonts w:hint="eastAsia"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1ADB2C8D">
      <w:pPr>
        <w:ind w:firstLine="504" w:firstLineChars="200"/>
        <w:rPr>
          <w:rFonts w:cs="宋体"/>
          <w:color w:val="auto"/>
          <w:spacing w:val="6"/>
          <w:szCs w:val="24"/>
          <w:highlight w:val="none"/>
        </w:rPr>
      </w:pP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13E0A5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EA8D8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F0BA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5190A2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5E2CB0B5">
      <w:pPr>
        <w:keepNext w:val="0"/>
        <w:keepLines w:val="0"/>
        <w:widowControl/>
        <w:suppressLineNumbers w:val="0"/>
        <w:ind w:firstLine="562" w:firstLineChars="200"/>
        <w:jc w:val="left"/>
        <w:rPr>
          <w:rStyle w:val="32"/>
          <w:rFonts w:hint="eastAsia" w:ascii="宋体" w:hAnsi="宋体" w:eastAsia="宋体" w:cs="宋体"/>
          <w:color w:val="auto"/>
          <w:kern w:val="0"/>
          <w:sz w:val="28"/>
          <w:szCs w:val="28"/>
          <w:highlight w:val="none"/>
          <w:lang w:val="en-US" w:eastAsia="zh-CN" w:bidi="ar"/>
        </w:rPr>
      </w:pPr>
    </w:p>
    <w:p w14:paraId="62EF0AA4">
      <w:pPr>
        <w:keepNext w:val="0"/>
        <w:keepLines w:val="0"/>
        <w:widowControl/>
        <w:suppressLineNumbers w:val="0"/>
        <w:ind w:firstLine="482" w:firstLineChars="200"/>
        <w:jc w:val="left"/>
        <w:rPr>
          <w:rStyle w:val="32"/>
          <w:rFonts w:hint="eastAsia" w:ascii="宋体" w:hAnsi="宋体" w:eastAsia="宋体" w:cs="宋体"/>
          <w:color w:val="auto"/>
          <w:kern w:val="0"/>
          <w:sz w:val="28"/>
          <w:szCs w:val="28"/>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（一）关于</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中小企业声明函</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2"/>
          <w:rFonts w:hint="eastAsia" w:ascii="宋体" w:hAnsi="宋体" w:eastAsia="宋体" w:cs="宋体"/>
          <w:color w:val="auto"/>
          <w:kern w:val="0"/>
          <w:sz w:val="24"/>
          <w:szCs w:val="24"/>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1.投标（响应）供应商对</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3.如供应商提供的</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6B42F924">
      <w:pPr>
        <w:rPr>
          <w:rFonts w:cs="宋体"/>
          <w:color w:val="auto"/>
          <w:spacing w:val="6"/>
          <w:sz w:val="21"/>
          <w:szCs w:val="21"/>
          <w:highlight w:val="none"/>
        </w:rPr>
      </w:pPr>
    </w:p>
    <w:p w14:paraId="2C675DD3">
      <w:pPr>
        <w:rPr>
          <w:rFonts w:hint="eastAsia"/>
          <w:b/>
          <w:bCs/>
          <w:color w:val="auto"/>
          <w:highlight w:val="none"/>
          <w:lang w:val="en-US" w:eastAsia="zh-CN"/>
        </w:rPr>
      </w:pPr>
      <w:r>
        <w:rPr>
          <w:rFonts w:hint="eastAsia"/>
          <w:b/>
          <w:bCs/>
          <w:color w:val="auto"/>
          <w:highlight w:val="none"/>
          <w:lang w:val="en-US" w:eastAsia="zh-CN"/>
        </w:rPr>
        <w:br w:type="page"/>
      </w: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639A9CC2">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259220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2"/>
          <w:rFonts w:hint="eastAsia" w:ascii="宋体" w:hAnsi="宋体" w:eastAsia="宋体" w:cs="宋体"/>
          <w:b/>
          <w:bCs w:val="0"/>
          <w:color w:val="auto"/>
          <w:sz w:val="28"/>
          <w:szCs w:val="28"/>
          <w:highlight w:val="none"/>
        </w:rPr>
      </w:pPr>
      <w:r>
        <w:rPr>
          <w:rStyle w:val="32"/>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color w:val="auto"/>
          <w:spacing w:val="6"/>
          <w:sz w:val="21"/>
          <w:szCs w:val="21"/>
          <w:highlight w:val="none"/>
        </w:rPr>
      </w:pPr>
      <w:r>
        <w:rPr>
          <w:rFonts w:cs="宋体"/>
          <w:color w:val="auto"/>
          <w:spacing w:val="6"/>
          <w:sz w:val="21"/>
          <w:szCs w:val="21"/>
          <w:highlight w:val="none"/>
        </w:rPr>
        <w:br w:type="page"/>
      </w:r>
    </w:p>
    <w:p w14:paraId="6BF97866">
      <w:pPr>
        <w:rPr>
          <w:rFonts w:cs="宋体"/>
          <w:color w:val="auto"/>
          <w:spacing w:val="6"/>
          <w:sz w:val="21"/>
          <w:szCs w:val="21"/>
          <w:highlight w:val="none"/>
        </w:rPr>
      </w:pPr>
      <w:bookmarkStart w:id="779" w:name="_Toc163492940"/>
    </w:p>
    <w:p w14:paraId="07DD59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754A877D">
      <w:pPr>
        <w:rPr>
          <w:rFonts w:hint="eastAsia" w:cs="宋体"/>
          <w:color w:val="auto"/>
          <w:spacing w:val="6"/>
          <w:sz w:val="21"/>
          <w:szCs w:val="21"/>
          <w:highlight w:val="none"/>
        </w:rPr>
      </w:pPr>
    </w:p>
    <w:p w14:paraId="36D4DB1B">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46F847F3">
      <w:pPr>
        <w:jc w:val="center"/>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22DC8AB1">
      <w:pPr>
        <w:rPr>
          <w:rFonts w:hint="eastAsia" w:cs="宋体"/>
          <w:color w:val="auto"/>
          <w:spacing w:val="6"/>
          <w:sz w:val="21"/>
          <w:szCs w:val="21"/>
          <w:highlight w:val="none"/>
          <w:lang w:val="en-US" w:eastAsia="zh-CN"/>
        </w:rPr>
      </w:pPr>
    </w:p>
    <w:p w14:paraId="62A6A0C9">
      <w:pPr>
        <w:rPr>
          <w:rFonts w:hint="eastAsia" w:cs="宋体"/>
          <w:color w:val="auto"/>
          <w:spacing w:val="6"/>
          <w:sz w:val="21"/>
          <w:szCs w:val="21"/>
          <w:highlight w:val="none"/>
          <w:lang w:val="en-US" w:eastAsia="zh-CN"/>
        </w:rPr>
      </w:pPr>
    </w:p>
    <w:p w14:paraId="10A8E63C">
      <w:pPr>
        <w:rPr>
          <w:rFonts w:hint="eastAsia" w:cs="宋体"/>
          <w:color w:val="auto"/>
          <w:spacing w:val="6"/>
          <w:sz w:val="21"/>
          <w:szCs w:val="21"/>
          <w:highlight w:val="none"/>
          <w:lang w:val="en-US" w:eastAsia="zh-CN"/>
        </w:rPr>
      </w:pPr>
    </w:p>
    <w:p w14:paraId="422FF70F">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3E48D324">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5AB18E4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D87CEE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405839B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99C178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7793BE6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520E443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3C947BA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6D9795B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76FAEF4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9CAA27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1C3C005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158B91F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78FD5B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cs="宋体"/>
          <w:b w:val="0"/>
          <w:bCs w:val="0"/>
          <w:color w:val="auto"/>
          <w:sz w:val="24"/>
          <w:szCs w:val="24"/>
          <w:highlight w:val="none"/>
          <w:lang w:eastAsia="zh-CN"/>
        </w:rPr>
        <w:t>。</w:t>
      </w:r>
    </w:p>
    <w:p w14:paraId="064C9A6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cs="宋体"/>
          <w:b w:val="0"/>
          <w:bCs w:val="0"/>
          <w:color w:val="auto"/>
          <w:sz w:val="24"/>
          <w:szCs w:val="24"/>
          <w:highlight w:val="none"/>
          <w:lang w:eastAsia="zh-CN"/>
        </w:rPr>
        <w:t>，</w:t>
      </w:r>
      <w:r>
        <w:rPr>
          <w:rStyle w:val="32"/>
          <w:rFonts w:hint="eastAsia" w:ascii="宋体" w:hAnsi="宋体" w:eastAsia="宋体" w:cs="宋体"/>
          <w:b w:val="0"/>
          <w:bCs w:val="0"/>
          <w:color w:val="auto"/>
          <w:sz w:val="24"/>
          <w:szCs w:val="24"/>
          <w:highlight w:val="none"/>
        </w:rPr>
        <w:t>方便政府部门和社会各界查询使用。</w:t>
      </w:r>
    </w:p>
    <w:p w14:paraId="2C50E64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350BE40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cs="宋体"/>
          <w:b w:val="0"/>
          <w:bCs w:val="0"/>
          <w:color w:val="auto"/>
          <w:sz w:val="24"/>
          <w:szCs w:val="24"/>
          <w:highlight w:val="none"/>
          <w:lang w:eastAsia="zh-CN"/>
        </w:rPr>
        <w:t>。</w:t>
      </w:r>
    </w:p>
    <w:p w14:paraId="61D82EC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2"/>
          <w:rFonts w:hint="eastAsia" w:cs="宋体"/>
          <w:b w:val="0"/>
          <w:bCs w:val="0"/>
          <w:color w:val="auto"/>
          <w:sz w:val="24"/>
          <w:szCs w:val="24"/>
          <w:highlight w:val="none"/>
          <w:lang w:eastAsia="zh-CN"/>
        </w:rPr>
        <w:t>。</w:t>
      </w:r>
    </w:p>
    <w:p w14:paraId="63FF348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十、本规定由人民银行会同银监会、证监会、保监会和统计局负责解释。</w:t>
      </w:r>
    </w:p>
    <w:p w14:paraId="01147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十一、本规定自发布之日起实施</w:t>
      </w:r>
      <w:r>
        <w:rPr>
          <w:rStyle w:val="32"/>
          <w:rFonts w:hint="eastAsia" w:cs="宋体"/>
          <w:b w:val="0"/>
          <w:bCs w:val="0"/>
          <w:color w:val="auto"/>
          <w:sz w:val="24"/>
          <w:szCs w:val="24"/>
          <w:highlight w:val="none"/>
          <w:lang w:eastAsia="zh-CN"/>
        </w:rPr>
        <w:t>。</w:t>
      </w:r>
    </w:p>
    <w:p w14:paraId="74D81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p>
    <w:p w14:paraId="4033EFE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568CB75F">
      <w:pPr>
        <w:rPr>
          <w:rFonts w:hint="eastAsia" w:cs="宋体"/>
          <w:color w:val="auto"/>
          <w:spacing w:val="6"/>
          <w:sz w:val="24"/>
          <w:szCs w:val="24"/>
          <w:highlight w:val="none"/>
          <w:lang w:val="en-US" w:eastAsia="zh-CN"/>
        </w:rPr>
      </w:pPr>
    </w:p>
    <w:p w14:paraId="46228B00">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17"/>
        <w:keepNext w:val="0"/>
        <w:keepLines w:val="0"/>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76252C9C">
      <w:pPr>
        <w:pStyle w:val="1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color w:val="auto"/>
          <w:sz w:val="36"/>
          <w:szCs w:val="36"/>
          <w:highlight w:val="none"/>
          <w:lang w:val="en-US" w:eastAsia="zh-CN"/>
        </w:rPr>
      </w:pPr>
      <w:r>
        <w:rPr>
          <w:rFonts w:cs="宋体"/>
          <w:color w:val="auto"/>
          <w:spacing w:val="6"/>
          <w:sz w:val="21"/>
          <w:szCs w:val="21"/>
          <w:highlight w:val="none"/>
        </w:rPr>
        <w:br w:type="page"/>
      </w:r>
    </w:p>
    <w:p w14:paraId="3D939C43">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z w:val="36"/>
          <w:szCs w:val="36"/>
          <w:highlight w:val="none"/>
          <w:lang w:val="en-US" w:eastAsia="zh-CN"/>
        </w:rPr>
      </w:pPr>
    </w:p>
    <w:p w14:paraId="0711552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0" w:name="_Toc16227"/>
      <w:bookmarkStart w:id="781" w:name="_Toc30764"/>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779"/>
      <w:bookmarkEnd w:id="780"/>
      <w:bookmarkEnd w:id="781"/>
    </w:p>
    <w:p w14:paraId="744F56E2">
      <w:pPr>
        <w:rPr>
          <w:rFonts w:cs="仿宋_GB2312"/>
          <w:b/>
          <w:color w:val="auto"/>
          <w:sz w:val="24"/>
          <w:szCs w:val="24"/>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17"/>
        <w:spacing w:line="360" w:lineRule="auto"/>
        <w:jc w:val="center"/>
        <w:rPr>
          <w:rFonts w:hint="eastAsia" w:ascii="宋体" w:hAnsi="宋体" w:eastAsia="宋体" w:cs="宋体"/>
          <w:b/>
          <w:bCs w:val="0"/>
          <w:color w:val="auto"/>
          <w:sz w:val="32"/>
          <w:szCs w:val="32"/>
          <w:highlight w:val="none"/>
        </w:rPr>
      </w:pPr>
    </w:p>
    <w:p w14:paraId="3EAA5E2A">
      <w:pPr>
        <w:pStyle w:val="17"/>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504" w:firstLineChars="200"/>
        <w:rPr>
          <w:rFonts w:hint="eastAsia" w:cs="宋体"/>
          <w:color w:val="auto"/>
          <w:spacing w:val="6"/>
          <w:szCs w:val="24"/>
          <w:highlight w:val="none"/>
        </w:rPr>
      </w:pPr>
      <w:r>
        <w:rPr>
          <w:rFonts w:hint="eastAsia" w:cs="宋体"/>
          <w:color w:val="auto"/>
          <w:spacing w:val="6"/>
          <w:szCs w:val="24"/>
          <w:highlight w:val="none"/>
        </w:rPr>
        <w:t>本公司郑重声明，根据财政部、司法部《关于政府采购支持监狱企业发展有关问题的通知》（财库</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2014</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（含新疆生产建设兵团）（盖章）：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24405F3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2" w:name="_Toc163492941"/>
    </w:p>
    <w:p w14:paraId="05E6EFA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3" w:name="_Toc31652"/>
      <w:bookmarkStart w:id="784" w:name="_Toc13465"/>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782"/>
      <w:bookmarkEnd w:id="783"/>
      <w:bookmarkEnd w:id="784"/>
    </w:p>
    <w:p w14:paraId="0EAC9468">
      <w:pPr>
        <w:pStyle w:val="38"/>
        <w:numPr>
          <w:ilvl w:val="0"/>
          <w:numId w:val="0"/>
        </w:numPr>
        <w:ind w:left="420" w:leftChars="0" w:hanging="420" w:firstLineChars="0"/>
        <w:jc w:val="center"/>
        <w:rPr>
          <w:rFonts w:hint="eastAsia"/>
          <w:b/>
          <w:bCs/>
          <w:color w:val="auto"/>
          <w:sz w:val="32"/>
          <w:szCs w:val="32"/>
          <w:highlight w:val="none"/>
        </w:rPr>
      </w:pPr>
    </w:p>
    <w:p w14:paraId="091B47EA">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服务及</w:t>
      </w:r>
      <w:r>
        <w:rPr>
          <w:rFonts w:hint="eastAsia"/>
          <w:i w:val="0"/>
          <w:iCs w:val="0"/>
          <w:color w:val="auto"/>
          <w:szCs w:val="24"/>
          <w:highlight w:val="none"/>
        </w:rPr>
        <w:t>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提供和</w:t>
      </w:r>
      <w:r>
        <w:rPr>
          <w:rFonts w:hint="eastAsia"/>
          <w:b/>
          <w:i w:val="0"/>
          <w:iCs w:val="0"/>
          <w:color w:val="auto"/>
          <w:szCs w:val="24"/>
          <w:highlight w:val="none"/>
        </w:rPr>
        <w:t>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color w:val="auto"/>
          <w:szCs w:val="24"/>
          <w:highlight w:val="none"/>
        </w:rPr>
      </w:pPr>
      <w:r>
        <w:rPr>
          <w:rFonts w:hint="eastAsia"/>
          <w:color w:val="auto"/>
          <w:szCs w:val="24"/>
          <w:highlight w:val="none"/>
        </w:rPr>
        <w:t>本企业对上述声明内容的真实性负责。如有虚假，将依法承担相应责任。</w:t>
      </w:r>
    </w:p>
    <w:p w14:paraId="44C7A080">
      <w:pPr>
        <w:wordWrap w:val="0"/>
        <w:ind w:left="1091" w:hanging="1091" w:hangingChars="453"/>
        <w:rPr>
          <w:b/>
          <w:bCs/>
          <w:color w:val="auto"/>
          <w:szCs w:val="24"/>
          <w:highlight w:val="none"/>
        </w:rPr>
      </w:pPr>
    </w:p>
    <w:p w14:paraId="43523196">
      <w:pPr>
        <w:wordWrap w:val="0"/>
        <w:ind w:left="1091" w:hanging="1091" w:hangingChars="453"/>
        <w:rPr>
          <w:bCs/>
          <w:color w:val="auto"/>
          <w:szCs w:val="24"/>
          <w:highlight w:val="none"/>
        </w:rPr>
      </w:pPr>
      <w:r>
        <w:rPr>
          <w:rFonts w:hint="eastAsia"/>
          <w:b/>
          <w:bCs/>
          <w:color w:val="auto"/>
          <w:szCs w:val="24"/>
          <w:highlight w:val="none"/>
        </w:rPr>
        <w:t>说明：</w:t>
      </w:r>
      <w:r>
        <w:rPr>
          <w:rFonts w:hint="eastAsia"/>
          <w:bCs/>
          <w:color w:val="auto"/>
          <w:szCs w:val="24"/>
          <w:highlight w:val="none"/>
        </w:rPr>
        <w:t>1、</w:t>
      </w:r>
      <w:r>
        <w:rPr>
          <w:rFonts w:hint="eastAsia"/>
          <w:bCs/>
          <w:color w:val="auto"/>
          <w:szCs w:val="24"/>
          <w:highlight w:val="none"/>
          <w:lang w:val="en-US" w:eastAsia="zh-CN"/>
        </w:rPr>
        <w:t>服务及</w:t>
      </w:r>
      <w:r>
        <w:rPr>
          <w:rFonts w:hint="eastAsia"/>
          <w:bCs/>
          <w:color w:val="auto"/>
          <w:szCs w:val="21"/>
          <w:highlight w:val="none"/>
          <w:lang w:val="zh-CN"/>
        </w:rPr>
        <w:t>货物应当全部由符合政策要求的残疾人福利性单位</w:t>
      </w:r>
      <w:r>
        <w:rPr>
          <w:rFonts w:hint="eastAsia"/>
          <w:bCs/>
          <w:color w:val="auto"/>
          <w:szCs w:val="21"/>
          <w:highlight w:val="none"/>
          <w:lang w:val="en-US" w:eastAsia="zh-CN"/>
        </w:rPr>
        <w:t>提供及</w:t>
      </w:r>
      <w:r>
        <w:rPr>
          <w:rFonts w:hint="eastAsia"/>
          <w:bCs/>
          <w:color w:val="auto"/>
          <w:szCs w:val="21"/>
          <w:highlight w:val="none"/>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cs="Courier New"/>
          <w:color w:val="auto"/>
          <w:szCs w:val="21"/>
          <w:highlight w:val="none"/>
        </w:rPr>
      </w:pPr>
      <w:r>
        <w:rPr>
          <w:rFonts w:hint="eastAsia"/>
          <w:bCs/>
          <w:color w:val="auto"/>
          <w:szCs w:val="21"/>
          <w:highlight w:val="none"/>
          <w:lang w:val="zh-CN"/>
        </w:rPr>
        <w:t xml:space="preserve">      2、</w:t>
      </w:r>
      <w:r>
        <w:rPr>
          <w:rFonts w:hint="eastAsia" w:cs="Courier New"/>
          <w:color w:val="auto"/>
          <w:szCs w:val="21"/>
          <w:highlight w:val="none"/>
        </w:rPr>
        <w:t>以联合体形式参加的，应</w:t>
      </w:r>
      <w:r>
        <w:rPr>
          <w:rFonts w:hint="eastAsia"/>
          <w:bCs/>
          <w:color w:val="auto"/>
          <w:szCs w:val="21"/>
          <w:highlight w:val="none"/>
          <w:lang w:val="zh-CN"/>
        </w:rPr>
        <w:t>当</w:t>
      </w:r>
      <w:r>
        <w:rPr>
          <w:rFonts w:hint="eastAsia" w:cs="Courier New"/>
          <w:color w:val="auto"/>
          <w:szCs w:val="21"/>
          <w:highlight w:val="none"/>
        </w:rPr>
        <w:t>由联合体各方盖章。</w:t>
      </w:r>
    </w:p>
    <w:p w14:paraId="71983F83">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66079641">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4B9EE2D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785" w:name="_Toc24696"/>
      <w:r>
        <w:rPr>
          <w:rFonts w:hint="eastAsia" w:cstheme="majorBidi"/>
          <w:b/>
          <w:bCs/>
          <w:color w:val="auto"/>
          <w:kern w:val="2"/>
          <w:sz w:val="28"/>
          <w:szCs w:val="28"/>
          <w:highlight w:val="none"/>
          <w:lang w:val="en-US" w:eastAsia="zh-CN" w:bidi="ar-SA"/>
        </w:rPr>
        <w:t>五、不参与围标串标承诺书</w:t>
      </w:r>
      <w:bookmarkEnd w:id="785"/>
    </w:p>
    <w:p w14:paraId="70D7F2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3"/>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3"/>
        <w:rPr>
          <w:rFonts w:hint="eastAsia"/>
          <w:color w:val="auto"/>
          <w:highlight w:val="none"/>
          <w:lang w:val="en-US" w:eastAsia="zh-CN"/>
        </w:rPr>
      </w:pPr>
    </w:p>
    <w:p w14:paraId="6FC519D1">
      <w:pPr>
        <w:pStyle w:val="13"/>
        <w:rPr>
          <w:rFonts w:hint="eastAsia"/>
          <w:color w:val="auto"/>
          <w:highlight w:val="none"/>
          <w:lang w:val="en-US" w:eastAsia="zh-CN"/>
        </w:rPr>
      </w:pPr>
    </w:p>
    <w:p w14:paraId="7500053D">
      <w:pPr>
        <w:pStyle w:val="13"/>
        <w:rPr>
          <w:rFonts w:hint="eastAsia"/>
          <w:color w:val="auto"/>
          <w:highlight w:val="none"/>
          <w:lang w:val="en-US" w:eastAsia="zh-CN"/>
        </w:rPr>
      </w:pPr>
    </w:p>
    <w:p w14:paraId="5BF64493">
      <w:pPr>
        <w:pStyle w:val="13"/>
        <w:rPr>
          <w:rFonts w:hint="eastAsia"/>
          <w:color w:val="auto"/>
          <w:highlight w:val="none"/>
          <w:lang w:val="en-US" w:eastAsia="zh-CN"/>
        </w:rPr>
      </w:pPr>
    </w:p>
    <w:p w14:paraId="5CA01A8B">
      <w:pPr>
        <w:pStyle w:val="13"/>
        <w:rPr>
          <w:rFonts w:hint="eastAsia"/>
          <w:color w:val="auto"/>
          <w:highlight w:val="none"/>
          <w:lang w:val="en-US" w:eastAsia="zh-CN"/>
        </w:rPr>
      </w:pPr>
    </w:p>
    <w:p w14:paraId="029F743D">
      <w:pPr>
        <w:pStyle w:val="13"/>
        <w:rPr>
          <w:rFonts w:hint="eastAsia"/>
          <w:color w:val="auto"/>
          <w:highlight w:val="none"/>
          <w:lang w:val="en-US" w:eastAsia="zh-CN"/>
        </w:rPr>
      </w:pPr>
    </w:p>
    <w:p w14:paraId="41587146">
      <w:pPr>
        <w:pStyle w:val="13"/>
        <w:rPr>
          <w:rFonts w:hint="eastAsia"/>
          <w:color w:val="auto"/>
          <w:highlight w:val="none"/>
          <w:lang w:val="en-US" w:eastAsia="zh-CN"/>
        </w:rPr>
      </w:pPr>
    </w:p>
    <w:p w14:paraId="7CD2757F">
      <w:pPr>
        <w:pStyle w:val="13"/>
        <w:rPr>
          <w:rFonts w:hint="eastAsia"/>
          <w:color w:val="auto"/>
          <w:highlight w:val="none"/>
          <w:lang w:val="en-US" w:eastAsia="zh-CN"/>
        </w:rPr>
      </w:pPr>
    </w:p>
    <w:p w14:paraId="7EE0D7C2">
      <w:pPr>
        <w:pStyle w:val="13"/>
        <w:rPr>
          <w:rFonts w:hint="eastAsia"/>
          <w:color w:val="auto"/>
          <w:highlight w:val="none"/>
          <w:lang w:val="en-US" w:eastAsia="zh-CN"/>
        </w:rPr>
      </w:pPr>
    </w:p>
    <w:p w14:paraId="34406338">
      <w:pPr>
        <w:pStyle w:val="13"/>
        <w:rPr>
          <w:rFonts w:hint="eastAsia"/>
          <w:color w:val="auto"/>
          <w:highlight w:val="none"/>
          <w:lang w:val="en-US" w:eastAsia="zh-CN"/>
        </w:rPr>
      </w:pPr>
    </w:p>
    <w:p w14:paraId="30C8D33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86" w:name="_Toc2869"/>
      <w:r>
        <w:rPr>
          <w:rFonts w:hint="eastAsia" w:cstheme="majorBidi"/>
          <w:b/>
          <w:bCs/>
          <w:color w:val="auto"/>
          <w:kern w:val="2"/>
          <w:sz w:val="28"/>
          <w:szCs w:val="28"/>
          <w:highlight w:val="none"/>
          <w:lang w:val="en-US" w:eastAsia="zh-CN" w:bidi="ar-SA"/>
        </w:rPr>
        <w:t>六</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786"/>
    </w:p>
    <w:p w14:paraId="0C24F0AE">
      <w:pPr>
        <w:pStyle w:val="36"/>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6"/>
        <w:rPr>
          <w:rFonts w:hint="eastAsia"/>
          <w:color w:val="auto"/>
          <w:highlight w:val="none"/>
        </w:rPr>
      </w:pPr>
    </w:p>
    <w:p w14:paraId="58A36194">
      <w:pPr>
        <w:pStyle w:val="36"/>
        <w:rPr>
          <w:rFonts w:hint="eastAsia"/>
          <w:color w:val="auto"/>
          <w:highlight w:val="none"/>
        </w:rPr>
      </w:pPr>
    </w:p>
    <w:p w14:paraId="3553B395">
      <w:pPr>
        <w:pStyle w:val="36"/>
        <w:rPr>
          <w:rFonts w:hint="eastAsia"/>
          <w:color w:val="auto"/>
          <w:highlight w:val="none"/>
        </w:rPr>
      </w:pPr>
    </w:p>
    <w:p w14:paraId="49D404FC">
      <w:pPr>
        <w:pStyle w:val="36"/>
        <w:rPr>
          <w:rFonts w:hint="eastAsia"/>
          <w:color w:val="auto"/>
          <w:highlight w:val="none"/>
        </w:rPr>
      </w:pPr>
    </w:p>
    <w:p w14:paraId="4B98E4B6">
      <w:pPr>
        <w:pStyle w:val="36"/>
        <w:rPr>
          <w:rFonts w:hint="eastAsia"/>
          <w:color w:val="auto"/>
          <w:highlight w:val="none"/>
        </w:rPr>
      </w:pPr>
    </w:p>
    <w:p w14:paraId="737FEDD3">
      <w:pPr>
        <w:pStyle w:val="36"/>
        <w:rPr>
          <w:rFonts w:hint="eastAsia"/>
          <w:color w:val="auto"/>
          <w:highlight w:val="none"/>
        </w:rPr>
      </w:pPr>
    </w:p>
    <w:p w14:paraId="1C876135">
      <w:pPr>
        <w:pStyle w:val="36"/>
        <w:rPr>
          <w:rFonts w:hint="eastAsia"/>
          <w:color w:val="auto"/>
          <w:highlight w:val="none"/>
        </w:rPr>
      </w:pPr>
    </w:p>
    <w:p w14:paraId="7E85C842">
      <w:pPr>
        <w:pStyle w:val="36"/>
        <w:rPr>
          <w:rFonts w:hint="eastAsia"/>
          <w:color w:val="auto"/>
          <w:highlight w:val="none"/>
        </w:rPr>
      </w:pPr>
    </w:p>
    <w:p w14:paraId="4CBE3B0D">
      <w:pPr>
        <w:pStyle w:val="36"/>
        <w:rPr>
          <w:rFonts w:hint="eastAsia"/>
          <w:color w:val="auto"/>
          <w:highlight w:val="none"/>
        </w:rPr>
      </w:pPr>
    </w:p>
    <w:p w14:paraId="2E6E451F">
      <w:pPr>
        <w:pStyle w:val="36"/>
        <w:rPr>
          <w:rFonts w:hint="eastAsia"/>
          <w:color w:val="auto"/>
          <w:highlight w:val="none"/>
        </w:rPr>
      </w:pPr>
    </w:p>
    <w:p w14:paraId="38DC2C55">
      <w:pPr>
        <w:pStyle w:val="36"/>
        <w:rPr>
          <w:rFonts w:hint="eastAsia"/>
          <w:color w:val="auto"/>
          <w:highlight w:val="none"/>
        </w:rPr>
      </w:pPr>
    </w:p>
    <w:p w14:paraId="04DAFD3C">
      <w:pPr>
        <w:pStyle w:val="36"/>
        <w:rPr>
          <w:rFonts w:hint="eastAsia"/>
          <w:color w:val="auto"/>
          <w:highlight w:val="none"/>
        </w:rPr>
      </w:pPr>
    </w:p>
    <w:p w14:paraId="51E24CDC">
      <w:pPr>
        <w:pStyle w:val="36"/>
        <w:rPr>
          <w:rFonts w:hint="eastAsia"/>
          <w:color w:val="auto"/>
          <w:highlight w:val="none"/>
        </w:rPr>
      </w:pPr>
    </w:p>
    <w:p w14:paraId="1AC1942E">
      <w:pPr>
        <w:pStyle w:val="36"/>
        <w:rPr>
          <w:rFonts w:hint="eastAsia"/>
          <w:color w:val="auto"/>
          <w:highlight w:val="none"/>
        </w:rPr>
      </w:pPr>
    </w:p>
    <w:p w14:paraId="4722E259">
      <w:pPr>
        <w:pStyle w:val="36"/>
        <w:rPr>
          <w:rFonts w:hint="eastAsia"/>
          <w:color w:val="auto"/>
          <w:highlight w:val="none"/>
        </w:rPr>
      </w:pPr>
    </w:p>
    <w:p w14:paraId="07033BD3">
      <w:pPr>
        <w:pStyle w:val="36"/>
        <w:rPr>
          <w:rFonts w:hint="eastAsia"/>
          <w:color w:val="auto"/>
          <w:highlight w:val="none"/>
        </w:rPr>
      </w:pPr>
    </w:p>
    <w:p w14:paraId="6E1D094D">
      <w:pPr>
        <w:pStyle w:val="36"/>
        <w:rPr>
          <w:rFonts w:hint="eastAsia"/>
          <w:color w:val="auto"/>
          <w:highlight w:val="none"/>
        </w:rPr>
      </w:pPr>
    </w:p>
    <w:p w14:paraId="23B0DB54">
      <w:pPr>
        <w:pStyle w:val="36"/>
        <w:rPr>
          <w:rFonts w:hint="eastAsia"/>
          <w:color w:val="auto"/>
          <w:highlight w:val="none"/>
        </w:rPr>
      </w:pPr>
    </w:p>
    <w:p w14:paraId="07159DF6">
      <w:pPr>
        <w:pStyle w:val="36"/>
        <w:rPr>
          <w:rFonts w:hint="eastAsia"/>
          <w:color w:val="auto"/>
          <w:highlight w:val="none"/>
        </w:rPr>
      </w:pPr>
    </w:p>
    <w:p w14:paraId="44B3A5AA">
      <w:pPr>
        <w:pStyle w:val="36"/>
        <w:rPr>
          <w:rFonts w:hint="eastAsia"/>
          <w:color w:val="auto"/>
          <w:highlight w:val="none"/>
        </w:rPr>
      </w:pPr>
    </w:p>
    <w:p w14:paraId="05BB178A">
      <w:pPr>
        <w:pStyle w:val="36"/>
        <w:rPr>
          <w:rFonts w:hint="eastAsia"/>
          <w:color w:val="auto"/>
          <w:highlight w:val="none"/>
        </w:rPr>
      </w:pPr>
    </w:p>
    <w:p w14:paraId="0E7980AB">
      <w:pPr>
        <w:pStyle w:val="36"/>
        <w:rPr>
          <w:rFonts w:hint="eastAsia"/>
          <w:color w:val="auto"/>
          <w:highlight w:val="none"/>
        </w:rPr>
      </w:pPr>
    </w:p>
    <w:p w14:paraId="5A09B930">
      <w:pPr>
        <w:pStyle w:val="36"/>
        <w:rPr>
          <w:rFonts w:hint="eastAsia"/>
          <w:color w:val="auto"/>
          <w:highlight w:val="none"/>
        </w:rPr>
      </w:pPr>
    </w:p>
    <w:p w14:paraId="3FB1F62E">
      <w:pPr>
        <w:pStyle w:val="36"/>
        <w:rPr>
          <w:rFonts w:hint="eastAsia"/>
          <w:color w:val="auto"/>
          <w:highlight w:val="none"/>
        </w:rPr>
      </w:pPr>
    </w:p>
    <w:p w14:paraId="69D25AC1">
      <w:pPr>
        <w:pStyle w:val="36"/>
        <w:rPr>
          <w:rFonts w:hint="eastAsia"/>
          <w:color w:val="auto"/>
          <w:highlight w:val="none"/>
        </w:rPr>
      </w:pPr>
    </w:p>
    <w:p w14:paraId="3E9AC4C9">
      <w:pPr>
        <w:pStyle w:val="36"/>
        <w:rPr>
          <w:rFonts w:hint="eastAsia"/>
          <w:color w:val="auto"/>
          <w:highlight w:val="none"/>
        </w:rPr>
      </w:pPr>
    </w:p>
    <w:p w14:paraId="7FB9AF5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02CB8C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73A003D2">
      <w:pPr>
        <w:autoSpaceDE w:val="0"/>
        <w:autoSpaceDN w:val="0"/>
        <w:adjustRightInd w:val="0"/>
        <w:rPr>
          <w:color w:val="auto"/>
          <w:sz w:val="21"/>
          <w:szCs w:val="24"/>
          <w:highlight w:val="none"/>
        </w:rPr>
      </w:pPr>
    </w:p>
    <w:p w14:paraId="7773B439">
      <w:pPr>
        <w:autoSpaceDE w:val="0"/>
        <w:autoSpaceDN w:val="0"/>
        <w:adjustRightInd w:val="0"/>
        <w:rPr>
          <w:color w:val="auto"/>
          <w:sz w:val="21"/>
          <w:szCs w:val="24"/>
          <w:highlight w:val="none"/>
        </w:rPr>
      </w:pPr>
    </w:p>
    <w:p w14:paraId="2E04646F">
      <w:pPr>
        <w:autoSpaceDE w:val="0"/>
        <w:autoSpaceDN w:val="0"/>
        <w:adjustRightInd w:val="0"/>
        <w:jc w:val="center"/>
        <w:rPr>
          <w:color w:val="auto"/>
          <w:sz w:val="21"/>
          <w:szCs w:val="24"/>
          <w:highlight w:val="none"/>
        </w:rPr>
      </w:pPr>
    </w:p>
    <w:p w14:paraId="71180696">
      <w:pPr>
        <w:pStyle w:val="3"/>
        <w:bidi w:val="0"/>
        <w:jc w:val="center"/>
        <w:rPr>
          <w:sz w:val="84"/>
          <w:szCs w:val="84"/>
        </w:rPr>
      </w:pPr>
      <w:bookmarkStart w:id="787" w:name="_Toc19075"/>
      <w:r>
        <w:rPr>
          <w:rFonts w:hint="eastAsia"/>
          <w:sz w:val="84"/>
          <w:szCs w:val="84"/>
        </w:rPr>
        <w:t>投 标 文 件</w:t>
      </w:r>
      <w:bookmarkEnd w:id="787"/>
    </w:p>
    <w:p w14:paraId="31C74C30">
      <w:pPr>
        <w:pStyle w:val="3"/>
        <w:bidi w:val="0"/>
        <w:spacing w:before="0" w:after="0" w:line="240" w:lineRule="auto"/>
        <w:jc w:val="center"/>
        <w:rPr>
          <w:rFonts w:hint="eastAsia"/>
          <w:sz w:val="56"/>
          <w:szCs w:val="56"/>
          <w:lang w:val="en-US" w:eastAsia="zh-CN"/>
        </w:rPr>
      </w:pPr>
      <w:bookmarkStart w:id="788" w:name="_Toc11387"/>
      <w:r>
        <w:rPr>
          <w:rFonts w:hint="eastAsia"/>
          <w:sz w:val="56"/>
          <w:szCs w:val="56"/>
          <w:lang w:val="en-US" w:eastAsia="zh-CN"/>
        </w:rPr>
        <w:t>报价文件</w:t>
      </w:r>
      <w:bookmarkEnd w:id="788"/>
    </w:p>
    <w:p w14:paraId="2C10D33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01ADA03">
      <w:pPr>
        <w:pStyle w:val="3"/>
        <w:rPr>
          <w:color w:val="auto"/>
          <w:sz w:val="21"/>
          <w:szCs w:val="21"/>
          <w:highlight w:val="none"/>
        </w:rPr>
      </w:pPr>
    </w:p>
    <w:p w14:paraId="4800F1E7">
      <w:pPr>
        <w:rPr>
          <w:color w:val="auto"/>
          <w:sz w:val="21"/>
          <w:szCs w:val="21"/>
          <w:highlight w:val="none"/>
        </w:rPr>
      </w:pPr>
    </w:p>
    <w:p w14:paraId="4053884F">
      <w:pPr>
        <w:rPr>
          <w:color w:val="auto"/>
          <w:highlight w:val="none"/>
        </w:rPr>
      </w:pPr>
    </w:p>
    <w:p w14:paraId="5EABB570">
      <w:pPr>
        <w:autoSpaceDE w:val="0"/>
        <w:autoSpaceDN w:val="0"/>
        <w:adjustRightInd w:val="0"/>
        <w:rPr>
          <w:color w:val="auto"/>
          <w:sz w:val="21"/>
          <w:szCs w:val="21"/>
          <w:highlight w:val="none"/>
        </w:rPr>
      </w:pPr>
    </w:p>
    <w:p w14:paraId="4C687ECE">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01F64B59">
      <w:pPr>
        <w:ind w:left="840" w:firstLine="420"/>
        <w:rPr>
          <w:b/>
          <w:bCs/>
          <w:color w:val="auto"/>
          <w:sz w:val="28"/>
          <w:szCs w:val="28"/>
          <w:highlight w:val="none"/>
        </w:rPr>
      </w:pPr>
    </w:p>
    <w:p w14:paraId="1DC21250">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89" w:name="_Toc28928"/>
      <w:r>
        <w:rPr>
          <w:rFonts w:hint="eastAsia" w:cstheme="majorBidi"/>
          <w:b/>
          <w:bCs/>
          <w:color w:val="auto"/>
          <w:kern w:val="2"/>
          <w:sz w:val="32"/>
          <w:szCs w:val="32"/>
          <w:highlight w:val="none"/>
          <w:lang w:val="en-US" w:eastAsia="zh-CN" w:bidi="ar-SA"/>
        </w:rPr>
        <w:t>一、开标一览表</w:t>
      </w:r>
      <w:bookmarkEnd w:id="789"/>
    </w:p>
    <w:p w14:paraId="2AB3D72A">
      <w:pPr>
        <w:spacing w:line="300" w:lineRule="auto"/>
        <w:rPr>
          <w:rFonts w:cs="仿宋_GB2312"/>
          <w:color w:val="auto"/>
          <w:szCs w:val="24"/>
          <w:highlight w:val="none"/>
        </w:rPr>
      </w:pPr>
    </w:p>
    <w:p w14:paraId="33486E36">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5940ECBC">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875"/>
        <w:gridCol w:w="1230"/>
        <w:gridCol w:w="1020"/>
        <w:gridCol w:w="1470"/>
        <w:gridCol w:w="1470"/>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color w:val="auto"/>
                <w:sz w:val="24"/>
                <w:szCs w:val="24"/>
                <w:highlight w:val="none"/>
              </w:rPr>
            </w:pPr>
            <w:r>
              <w:rPr>
                <w:rFonts w:hint="eastAsia"/>
                <w:color w:val="auto"/>
                <w:sz w:val="24"/>
                <w:szCs w:val="24"/>
                <w:highlight w:val="none"/>
              </w:rPr>
              <w:t>序号</w:t>
            </w:r>
          </w:p>
        </w:tc>
        <w:tc>
          <w:tcPr>
            <w:tcW w:w="1875" w:type="dxa"/>
            <w:vAlign w:val="center"/>
          </w:tcPr>
          <w:p w14:paraId="5D10FF2E">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1230" w:type="dxa"/>
            <w:vAlign w:val="center"/>
          </w:tcPr>
          <w:p w14:paraId="48CC1886">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lang w:val="en-US" w:eastAsia="zh-CN"/>
              </w:rPr>
              <w:t>交付时间</w:t>
            </w:r>
          </w:p>
        </w:tc>
        <w:tc>
          <w:tcPr>
            <w:tcW w:w="1020" w:type="dxa"/>
            <w:vAlign w:val="center"/>
          </w:tcPr>
          <w:p w14:paraId="1B7AB0A5">
            <w:pPr>
              <w:widowControl/>
              <w:autoSpaceDE w:val="0"/>
              <w:autoSpaceDN w:val="0"/>
              <w:ind w:left="851" w:hanging="851"/>
              <w:jc w:val="center"/>
              <w:textAlignment w:val="bottom"/>
              <w:rPr>
                <w:rFonts w:hint="default"/>
                <w:color w:val="auto"/>
                <w:sz w:val="24"/>
                <w:szCs w:val="24"/>
                <w:highlight w:val="none"/>
                <w:lang w:val="en-US" w:eastAsia="zh-CN"/>
              </w:rPr>
            </w:pPr>
            <w:r>
              <w:rPr>
                <w:rFonts w:hint="eastAsia"/>
                <w:color w:val="auto"/>
                <w:sz w:val="24"/>
                <w:szCs w:val="24"/>
                <w:highlight w:val="none"/>
                <w:lang w:val="en-US" w:eastAsia="zh-CN"/>
              </w:rPr>
              <w:t>质保期</w:t>
            </w:r>
          </w:p>
        </w:tc>
        <w:tc>
          <w:tcPr>
            <w:tcW w:w="1470" w:type="dxa"/>
            <w:vAlign w:val="center"/>
          </w:tcPr>
          <w:p w14:paraId="0997E9EC">
            <w:pPr>
              <w:widowControl/>
              <w:autoSpaceDE w:val="0"/>
              <w:autoSpaceDN w:val="0"/>
              <w:ind w:left="851" w:hanging="851"/>
              <w:jc w:val="center"/>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售后服务期</w:t>
            </w:r>
          </w:p>
        </w:tc>
        <w:tc>
          <w:tcPr>
            <w:tcW w:w="1470" w:type="dxa"/>
            <w:vAlign w:val="center"/>
          </w:tcPr>
          <w:p w14:paraId="620875ED">
            <w:pPr>
              <w:widowControl/>
              <w:autoSpaceDE w:val="0"/>
              <w:autoSpaceDN w:val="0"/>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color w:val="auto"/>
                <w:sz w:val="24"/>
                <w:szCs w:val="24"/>
                <w:highlight w:val="none"/>
              </w:rPr>
            </w:pPr>
          </w:p>
        </w:tc>
        <w:tc>
          <w:tcPr>
            <w:tcW w:w="1875" w:type="dxa"/>
            <w:vAlign w:val="center"/>
          </w:tcPr>
          <w:p w14:paraId="45A40F19">
            <w:pPr>
              <w:widowControl/>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52F86517">
            <w:pPr>
              <w:jc w:val="both"/>
              <w:rPr>
                <w:color w:val="auto"/>
                <w:sz w:val="24"/>
                <w:szCs w:val="24"/>
                <w:highlight w:val="none"/>
              </w:rPr>
            </w:pPr>
            <w:r>
              <w:rPr>
                <w:rFonts w:hint="eastAsia"/>
                <w:color w:val="auto"/>
                <w:sz w:val="24"/>
                <w:szCs w:val="24"/>
                <w:highlight w:val="none"/>
                <w:lang w:val="en-US" w:eastAsia="zh-CN"/>
              </w:rPr>
              <w:t>大写：</w:t>
            </w:r>
          </w:p>
        </w:tc>
        <w:tc>
          <w:tcPr>
            <w:tcW w:w="1230" w:type="dxa"/>
            <w:vAlign w:val="center"/>
          </w:tcPr>
          <w:p w14:paraId="3409D243">
            <w:pPr>
              <w:jc w:val="center"/>
              <w:rPr>
                <w:color w:val="auto"/>
                <w:sz w:val="24"/>
                <w:szCs w:val="24"/>
                <w:highlight w:val="none"/>
              </w:rPr>
            </w:pPr>
          </w:p>
        </w:tc>
        <w:tc>
          <w:tcPr>
            <w:tcW w:w="1020" w:type="dxa"/>
            <w:vAlign w:val="center"/>
          </w:tcPr>
          <w:p w14:paraId="6386F6F7">
            <w:pPr>
              <w:jc w:val="center"/>
              <w:rPr>
                <w:color w:val="auto"/>
                <w:sz w:val="24"/>
                <w:szCs w:val="24"/>
                <w:highlight w:val="none"/>
              </w:rPr>
            </w:pPr>
          </w:p>
        </w:tc>
        <w:tc>
          <w:tcPr>
            <w:tcW w:w="1470" w:type="dxa"/>
            <w:vAlign w:val="center"/>
          </w:tcPr>
          <w:p w14:paraId="337D1493">
            <w:pPr>
              <w:jc w:val="center"/>
              <w:rPr>
                <w:color w:val="auto"/>
                <w:sz w:val="24"/>
                <w:szCs w:val="24"/>
                <w:highlight w:val="none"/>
              </w:rPr>
            </w:pPr>
          </w:p>
        </w:tc>
        <w:tc>
          <w:tcPr>
            <w:tcW w:w="1470" w:type="dxa"/>
            <w:vAlign w:val="center"/>
          </w:tcPr>
          <w:p w14:paraId="6FD35A35">
            <w:pPr>
              <w:jc w:val="center"/>
              <w:rPr>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3"/>
        <w:rPr>
          <w:rFonts w:cs="Arial"/>
          <w:color w:val="auto"/>
          <w:szCs w:val="24"/>
          <w:highlight w:val="none"/>
        </w:rPr>
      </w:pPr>
    </w:p>
    <w:p w14:paraId="4C551945">
      <w:pPr>
        <w:pStyle w:val="13"/>
        <w:rPr>
          <w:rFonts w:cs="Arial"/>
          <w:color w:val="auto"/>
          <w:szCs w:val="24"/>
          <w:highlight w:val="none"/>
        </w:rPr>
      </w:pPr>
    </w:p>
    <w:p w14:paraId="09ACCEBB">
      <w:pPr>
        <w:pStyle w:val="13"/>
        <w:rPr>
          <w:rFonts w:cs="Arial"/>
          <w:color w:val="auto"/>
          <w:szCs w:val="24"/>
          <w:highlight w:val="none"/>
        </w:rPr>
      </w:pPr>
    </w:p>
    <w:p w14:paraId="54CAC625">
      <w:pPr>
        <w:pStyle w:val="13"/>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4F9AF9BD">
      <w:pPr>
        <w:pStyle w:val="13"/>
        <w:ind w:firstLine="420" w:firstLineChars="200"/>
        <w:rPr>
          <w:rFonts w:hint="eastAsia" w:ascii="宋体" w:hAnsi="宋体" w:eastAsia="宋体" w:cs="宋体"/>
          <w:color w:val="auto"/>
          <w:sz w:val="24"/>
          <w:szCs w:val="24"/>
          <w:highlight w:val="none"/>
        </w:rPr>
        <w:sectPr>
          <w:headerReference r:id="rId11" w:type="default"/>
          <w:footerReference r:id="rId12" w:type="default"/>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90" w:name="_Toc17062"/>
      <w:r>
        <w:rPr>
          <w:rFonts w:hint="eastAsia" w:cstheme="majorBidi"/>
          <w:b/>
          <w:bCs/>
          <w:color w:val="auto"/>
          <w:kern w:val="2"/>
          <w:sz w:val="32"/>
          <w:szCs w:val="32"/>
          <w:highlight w:val="none"/>
          <w:lang w:val="en-US" w:eastAsia="zh-CN" w:bidi="ar-SA"/>
        </w:rPr>
        <w:t>二、分项报价表</w:t>
      </w:r>
      <w:bookmarkEnd w:id="790"/>
    </w:p>
    <w:p w14:paraId="25D833CC">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6FFFD51E">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20" w:type="dxa"/>
            <w:vAlign w:val="center"/>
          </w:tcPr>
          <w:p w14:paraId="088C5C1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65" w:type="dxa"/>
            <w:vAlign w:val="center"/>
          </w:tcPr>
          <w:p w14:paraId="73E9587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vAlign w:val="center"/>
          </w:tcPr>
          <w:p w14:paraId="46AE39C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066" w:type="dxa"/>
            <w:vAlign w:val="center"/>
          </w:tcPr>
          <w:p w14:paraId="39D5688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价</w:t>
            </w:r>
          </w:p>
        </w:tc>
        <w:tc>
          <w:tcPr>
            <w:tcW w:w="947" w:type="dxa"/>
            <w:vAlign w:val="center"/>
          </w:tcPr>
          <w:p w14:paraId="7A26779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20" w:type="dxa"/>
            <w:vAlign w:val="center"/>
          </w:tcPr>
          <w:p w14:paraId="07A38CC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D2CE283">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7A98B0">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39055D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3350EE9">
            <w:pPr>
              <w:adjustRightInd w:val="0"/>
              <w:snapToGrid w:val="0"/>
              <w:spacing w:line="240" w:lineRule="auto"/>
              <w:jc w:val="center"/>
              <w:rPr>
                <w:rFonts w:hint="eastAsia" w:ascii="宋体" w:hAnsi="宋体" w:eastAsia="宋体" w:cs="宋体"/>
                <w:color w:val="auto"/>
                <w:sz w:val="21"/>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20" w:type="dxa"/>
            <w:vAlign w:val="center"/>
          </w:tcPr>
          <w:p w14:paraId="19F1753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FA2A257">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34862ED">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04070DF">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45B52869">
            <w:pPr>
              <w:adjustRightInd w:val="0"/>
              <w:snapToGrid w:val="0"/>
              <w:spacing w:line="240" w:lineRule="auto"/>
              <w:jc w:val="center"/>
              <w:rPr>
                <w:rFonts w:hint="eastAsia" w:ascii="宋体" w:hAnsi="宋体" w:eastAsia="宋体" w:cs="宋体"/>
                <w:color w:val="auto"/>
                <w:sz w:val="21"/>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20" w:type="dxa"/>
            <w:vAlign w:val="center"/>
          </w:tcPr>
          <w:p w14:paraId="7605B56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DB12A28">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17BFF74">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B6F17D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E8ED10E">
            <w:pPr>
              <w:adjustRightInd w:val="0"/>
              <w:snapToGrid w:val="0"/>
              <w:spacing w:line="240" w:lineRule="auto"/>
              <w:jc w:val="center"/>
              <w:rPr>
                <w:rFonts w:hint="eastAsia" w:ascii="宋体" w:hAnsi="宋体" w:eastAsia="宋体" w:cs="宋体"/>
                <w:color w:val="auto"/>
                <w:sz w:val="21"/>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20" w:type="dxa"/>
            <w:vAlign w:val="center"/>
          </w:tcPr>
          <w:p w14:paraId="0B0031F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1A9AB905">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0C40B8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FDFD67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C259360">
            <w:pPr>
              <w:adjustRightInd w:val="0"/>
              <w:snapToGrid w:val="0"/>
              <w:spacing w:line="240" w:lineRule="auto"/>
              <w:jc w:val="center"/>
              <w:rPr>
                <w:rFonts w:hint="eastAsia" w:ascii="宋体" w:hAnsi="宋体" w:eastAsia="宋体" w:cs="宋体"/>
                <w:color w:val="auto"/>
                <w:sz w:val="21"/>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20" w:type="dxa"/>
            <w:vAlign w:val="center"/>
          </w:tcPr>
          <w:p w14:paraId="2B6E991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E951A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D9FC8D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745BDE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F20BA25">
            <w:pPr>
              <w:adjustRightInd w:val="0"/>
              <w:snapToGrid w:val="0"/>
              <w:spacing w:line="240" w:lineRule="auto"/>
              <w:jc w:val="center"/>
              <w:rPr>
                <w:rFonts w:hint="eastAsia" w:ascii="宋体" w:hAnsi="宋体" w:eastAsia="宋体" w:cs="宋体"/>
                <w:color w:val="auto"/>
                <w:sz w:val="21"/>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20" w:type="dxa"/>
            <w:vAlign w:val="center"/>
          </w:tcPr>
          <w:p w14:paraId="63E7761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BA61A9A">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7DCA522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8A2799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3A904F9">
            <w:pPr>
              <w:adjustRightInd w:val="0"/>
              <w:snapToGrid w:val="0"/>
              <w:spacing w:line="240" w:lineRule="auto"/>
              <w:jc w:val="center"/>
              <w:rPr>
                <w:rFonts w:hint="eastAsia" w:ascii="宋体" w:hAnsi="宋体" w:eastAsia="宋体" w:cs="宋体"/>
                <w:color w:val="auto"/>
                <w:sz w:val="21"/>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20" w:type="dxa"/>
            <w:vAlign w:val="center"/>
          </w:tcPr>
          <w:p w14:paraId="7864625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B4D906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A8DF27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54C5FBF7">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690F475">
            <w:pPr>
              <w:adjustRightInd w:val="0"/>
              <w:snapToGrid w:val="0"/>
              <w:spacing w:line="240" w:lineRule="auto"/>
              <w:jc w:val="center"/>
              <w:rPr>
                <w:rFonts w:hint="eastAsia" w:ascii="宋体" w:hAnsi="宋体" w:eastAsia="宋体" w:cs="宋体"/>
                <w:color w:val="auto"/>
                <w:sz w:val="21"/>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20" w:type="dxa"/>
            <w:vAlign w:val="center"/>
          </w:tcPr>
          <w:p w14:paraId="7C3908A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62E8E8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F2704AB">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9394E0B">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A8DCEE1">
            <w:pPr>
              <w:adjustRightInd w:val="0"/>
              <w:snapToGrid w:val="0"/>
              <w:spacing w:line="240" w:lineRule="auto"/>
              <w:jc w:val="center"/>
              <w:rPr>
                <w:rFonts w:hint="eastAsia" w:ascii="宋体" w:hAnsi="宋体" w:eastAsia="宋体" w:cs="宋体"/>
                <w:color w:val="auto"/>
                <w:sz w:val="21"/>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3720" w:type="dxa"/>
            <w:shd w:val="clear" w:color="auto" w:fill="auto"/>
            <w:vAlign w:val="center"/>
          </w:tcPr>
          <w:p w14:paraId="547CA859">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065" w:type="dxa"/>
            <w:vAlign w:val="center"/>
          </w:tcPr>
          <w:p w14:paraId="7B9DBE1E">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851C22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3950545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4D910E3">
            <w:pPr>
              <w:adjustRightInd w:val="0"/>
              <w:snapToGrid w:val="0"/>
              <w:spacing w:line="240" w:lineRule="auto"/>
              <w:jc w:val="center"/>
              <w:rPr>
                <w:rFonts w:hint="eastAsia" w:ascii="宋体" w:hAnsi="宋体" w:eastAsia="宋体" w:cs="宋体"/>
                <w:color w:val="auto"/>
                <w:sz w:val="21"/>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rFonts w:hint="eastAsia" w:ascii="宋体" w:hAnsi="宋体" w:eastAsia="宋体" w:cs="宋体"/>
                <w:color w:val="auto"/>
                <w:sz w:val="21"/>
                <w:szCs w:val="21"/>
                <w:highlight w:val="none"/>
              </w:rPr>
            </w:pPr>
          </w:p>
        </w:tc>
        <w:tc>
          <w:tcPr>
            <w:tcW w:w="3720" w:type="dxa"/>
            <w:vAlign w:val="center"/>
          </w:tcPr>
          <w:p w14:paraId="6E3D4C2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1065" w:type="dxa"/>
            <w:vAlign w:val="center"/>
          </w:tcPr>
          <w:p w14:paraId="34269FA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46717F9">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1629B6A">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7F337C52">
            <w:pPr>
              <w:adjustRightInd w:val="0"/>
              <w:snapToGrid w:val="0"/>
              <w:spacing w:line="240" w:lineRule="auto"/>
              <w:jc w:val="center"/>
              <w:rPr>
                <w:rFonts w:hint="eastAsia" w:ascii="宋体" w:hAnsi="宋体" w:eastAsia="宋体" w:cs="宋体"/>
                <w:color w:val="auto"/>
                <w:sz w:val="21"/>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720" w:type="dxa"/>
            <w:vAlign w:val="center"/>
          </w:tcPr>
          <w:p w14:paraId="5D4BF5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65" w:type="dxa"/>
            <w:vAlign w:val="center"/>
          </w:tcPr>
          <w:p w14:paraId="3E6B6F3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2B6CE3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15025601">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9116035">
            <w:pPr>
              <w:adjustRightInd w:val="0"/>
              <w:snapToGrid w:val="0"/>
              <w:spacing w:line="240" w:lineRule="auto"/>
              <w:jc w:val="center"/>
              <w:rPr>
                <w:rFonts w:hint="eastAsia" w:ascii="宋体" w:hAnsi="宋体" w:eastAsia="宋体" w:cs="宋体"/>
                <w:color w:val="auto"/>
                <w:sz w:val="21"/>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投标报价合计（元）</w:t>
            </w:r>
          </w:p>
        </w:tc>
        <w:tc>
          <w:tcPr>
            <w:tcW w:w="2013" w:type="dxa"/>
            <w:gridSpan w:val="2"/>
            <w:vAlign w:val="center"/>
          </w:tcPr>
          <w:p w14:paraId="0609C717">
            <w:pPr>
              <w:adjustRightInd w:val="0"/>
              <w:snapToGrid w:val="0"/>
              <w:spacing w:line="240" w:lineRule="auto"/>
              <w:jc w:val="center"/>
              <w:rPr>
                <w:rFonts w:hint="eastAsia" w:ascii="宋体" w:hAnsi="宋体" w:eastAsia="宋体" w:cs="宋体"/>
                <w:color w:val="auto"/>
                <w:sz w:val="21"/>
                <w:szCs w:val="21"/>
                <w:highlight w:val="none"/>
              </w:rPr>
            </w:pPr>
          </w:p>
        </w:tc>
      </w:tr>
    </w:tbl>
    <w:p w14:paraId="62480CF8">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ascii="宋体" w:hAnsi="宋体" w:cs="宋体"/>
          <w:color w:val="auto"/>
          <w:kern w:val="0"/>
          <w:sz w:val="24"/>
          <w:highlight w:val="none"/>
          <w:lang w:val="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8F15BC4">
      <w:pPr>
        <w:spacing w:line="300" w:lineRule="auto"/>
        <w:rPr>
          <w:rFonts w:ascii="Arial" w:hAnsi="Arial" w:cs="Arial"/>
          <w:color w:val="auto"/>
          <w:szCs w:val="21"/>
          <w:highlight w:val="none"/>
        </w:rPr>
      </w:pPr>
    </w:p>
    <w:p w14:paraId="19373AA9">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4681585F">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按照本表填写的各项目的投标报价合计填写到</w:t>
      </w:r>
      <w:r>
        <w:rPr>
          <w:rFonts w:hint="eastAsia" w:ascii="宋体" w:hAnsi="宋体" w:eastAsia="宋体" w:cs="宋体"/>
          <w:color w:val="auto"/>
          <w:sz w:val="21"/>
          <w:szCs w:val="21"/>
          <w:highlight w:val="none"/>
          <w:lang w:val="en-US" w:eastAsia="zh-CN"/>
        </w:rPr>
        <w:t>“开标一览表”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投标报价</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栏中。</w:t>
      </w:r>
    </w:p>
    <w:p w14:paraId="25B9431E">
      <w:pPr>
        <w:spacing w:line="360" w:lineRule="auto"/>
        <w:ind w:firstLine="435"/>
        <w:rPr>
          <w:rFonts w:hint="eastAsia" w:ascii="宋体" w:hAnsi="宋体" w:eastAsia="宋体" w:cs="宋体"/>
          <w:color w:val="auto"/>
          <w:sz w:val="24"/>
          <w:szCs w:val="24"/>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.所列服务为对应本项目需求的全部服务内容。如有漏项或缺项，投标人承担全部责任。</w:t>
      </w:r>
      <w:r>
        <w:rPr>
          <w:rFonts w:hint="eastAsia" w:ascii="宋体" w:hAnsi="宋体" w:eastAsia="宋体" w:cs="宋体"/>
          <w:color w:val="auto"/>
          <w:sz w:val="24"/>
          <w:szCs w:val="24"/>
          <w:highlight w:val="none"/>
        </w:rPr>
        <w:br w:type="page"/>
      </w:r>
    </w:p>
    <w:p w14:paraId="4A59D45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253C07">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1369E9F7">
      <w:pPr>
        <w:autoSpaceDE w:val="0"/>
        <w:autoSpaceDN w:val="0"/>
        <w:adjustRightInd w:val="0"/>
        <w:rPr>
          <w:color w:val="auto"/>
          <w:sz w:val="21"/>
          <w:szCs w:val="24"/>
          <w:highlight w:val="none"/>
        </w:rPr>
      </w:pPr>
    </w:p>
    <w:p w14:paraId="7545DFD8">
      <w:pPr>
        <w:autoSpaceDE w:val="0"/>
        <w:autoSpaceDN w:val="0"/>
        <w:adjustRightInd w:val="0"/>
        <w:rPr>
          <w:color w:val="auto"/>
          <w:sz w:val="21"/>
          <w:szCs w:val="24"/>
          <w:highlight w:val="none"/>
        </w:rPr>
      </w:pPr>
    </w:p>
    <w:p w14:paraId="6E9DF04D">
      <w:pPr>
        <w:autoSpaceDE w:val="0"/>
        <w:autoSpaceDN w:val="0"/>
        <w:adjustRightInd w:val="0"/>
        <w:jc w:val="center"/>
        <w:rPr>
          <w:color w:val="auto"/>
          <w:sz w:val="21"/>
          <w:szCs w:val="24"/>
          <w:highlight w:val="none"/>
        </w:rPr>
      </w:pPr>
    </w:p>
    <w:p w14:paraId="4A09F0AA">
      <w:pPr>
        <w:pStyle w:val="3"/>
        <w:bidi w:val="0"/>
        <w:jc w:val="center"/>
        <w:rPr>
          <w:sz w:val="84"/>
          <w:szCs w:val="84"/>
        </w:rPr>
      </w:pPr>
      <w:bookmarkStart w:id="791" w:name="_Toc27080"/>
      <w:r>
        <w:rPr>
          <w:rFonts w:hint="eastAsia"/>
          <w:sz w:val="84"/>
          <w:szCs w:val="84"/>
        </w:rPr>
        <w:t>投 标 文 件</w:t>
      </w:r>
      <w:bookmarkEnd w:id="791"/>
    </w:p>
    <w:p w14:paraId="4E8ADE01">
      <w:pPr>
        <w:pStyle w:val="3"/>
        <w:bidi w:val="0"/>
        <w:jc w:val="center"/>
        <w:rPr>
          <w:rFonts w:hint="eastAsia"/>
          <w:sz w:val="56"/>
          <w:szCs w:val="56"/>
          <w:lang w:val="en-US" w:eastAsia="zh-CN"/>
        </w:rPr>
      </w:pPr>
      <w:bookmarkStart w:id="792" w:name="_Toc15320"/>
      <w:r>
        <w:rPr>
          <w:rFonts w:hint="eastAsia"/>
          <w:sz w:val="56"/>
          <w:szCs w:val="56"/>
          <w:lang w:val="en-US" w:eastAsia="zh-CN"/>
        </w:rPr>
        <w:t>商务技术文件</w:t>
      </w:r>
      <w:bookmarkEnd w:id="792"/>
    </w:p>
    <w:p w14:paraId="570FB9DD">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3BFF9900">
      <w:pPr>
        <w:pStyle w:val="3"/>
        <w:rPr>
          <w:color w:val="auto"/>
          <w:sz w:val="21"/>
          <w:szCs w:val="21"/>
          <w:highlight w:val="none"/>
        </w:rPr>
      </w:pPr>
    </w:p>
    <w:p w14:paraId="3304790D">
      <w:pPr>
        <w:rPr>
          <w:color w:val="auto"/>
          <w:sz w:val="21"/>
          <w:szCs w:val="21"/>
          <w:highlight w:val="none"/>
        </w:rPr>
      </w:pPr>
    </w:p>
    <w:p w14:paraId="414CC1ED">
      <w:pPr>
        <w:rPr>
          <w:color w:val="auto"/>
          <w:highlight w:val="none"/>
        </w:rPr>
      </w:pPr>
    </w:p>
    <w:p w14:paraId="789512AB">
      <w:pPr>
        <w:autoSpaceDE w:val="0"/>
        <w:autoSpaceDN w:val="0"/>
        <w:adjustRightInd w:val="0"/>
        <w:rPr>
          <w:color w:val="auto"/>
          <w:sz w:val="21"/>
          <w:szCs w:val="21"/>
          <w:highlight w:val="none"/>
        </w:rPr>
      </w:pPr>
    </w:p>
    <w:p w14:paraId="4BE21783">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70A32CAD">
      <w:pPr>
        <w:ind w:left="840" w:firstLine="420"/>
        <w:rPr>
          <w:b/>
          <w:bCs/>
          <w:color w:val="auto"/>
          <w:sz w:val="28"/>
          <w:szCs w:val="28"/>
          <w:highlight w:val="none"/>
        </w:rPr>
      </w:pPr>
    </w:p>
    <w:p w14:paraId="25D3DD60">
      <w:pPr>
        <w:ind w:left="840" w:firstLine="420"/>
        <w:rPr>
          <w:b/>
          <w:bCs/>
          <w:color w:val="auto"/>
          <w:sz w:val="28"/>
          <w:szCs w:val="28"/>
          <w:highlight w:val="none"/>
        </w:rPr>
      </w:pPr>
    </w:p>
    <w:p w14:paraId="2F9296DD">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3" w:name="_Toc25402"/>
      <w:bookmarkStart w:id="794" w:name="_Toc155185921"/>
      <w:bookmarkStart w:id="795" w:name="_Toc3577"/>
      <w:bookmarkStart w:id="796" w:name="_Toc140132831"/>
      <w:bookmarkStart w:id="797" w:name="_Toc109899489"/>
      <w:bookmarkStart w:id="798" w:name="_Toc109899908"/>
      <w:bookmarkStart w:id="799" w:name="_Toc109900327"/>
      <w:bookmarkStart w:id="800" w:name="_Toc23604"/>
      <w:r>
        <w:rPr>
          <w:rFonts w:hint="eastAsia" w:eastAsia="宋体" w:asciiTheme="majorHAnsi" w:hAnsiTheme="majorHAnsi" w:cstheme="majorBidi"/>
          <w:b/>
          <w:bCs/>
          <w:color w:val="auto"/>
          <w:kern w:val="2"/>
          <w:sz w:val="32"/>
          <w:szCs w:val="32"/>
          <w:highlight w:val="none"/>
          <w:lang w:val="en-US" w:eastAsia="zh-CN" w:bidi="ar-SA"/>
        </w:rPr>
        <w:t>一、投标函</w:t>
      </w:r>
      <w:bookmarkEnd w:id="793"/>
      <w:bookmarkEnd w:id="794"/>
      <w:bookmarkEnd w:id="795"/>
      <w:bookmarkEnd w:id="796"/>
      <w:bookmarkEnd w:id="797"/>
      <w:bookmarkEnd w:id="798"/>
      <w:bookmarkEnd w:id="799"/>
      <w:bookmarkEnd w:id="800"/>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所附投标价格表中规定的应提交和交付的服务和</w:t>
      </w:r>
      <w:r>
        <w:rPr>
          <w:rFonts w:hint="eastAsia" w:cs="Arial"/>
          <w:color w:val="auto"/>
          <w:szCs w:val="24"/>
          <w:highlight w:val="none"/>
          <w:lang w:val="en-US" w:eastAsia="zh-CN"/>
        </w:rPr>
        <w:t>相关</w:t>
      </w:r>
      <w:r>
        <w:rPr>
          <w:rFonts w:hint="eastAsia" w:cs="Arial"/>
          <w:color w:val="auto"/>
          <w:szCs w:val="24"/>
          <w:highlight w:val="none"/>
        </w:rPr>
        <w:t>货物（如有）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w:t>
      </w:r>
      <w:r>
        <w:rPr>
          <w:rFonts w:cs="Arial"/>
          <w:i w:val="0"/>
          <w:iCs w:val="0"/>
          <w:color w:val="auto"/>
          <w:szCs w:val="24"/>
          <w:highlight w:val="none"/>
        </w:rPr>
        <w:t>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投标有效期为自提交投标文件的截止之日起</w:t>
      </w:r>
      <w:r>
        <w:rPr>
          <w:rFonts w:hint="eastAsia" w:cs="Arial"/>
          <w:i w:val="0"/>
          <w:iCs w:val="0"/>
          <w:color w:val="auto"/>
          <w:szCs w:val="24"/>
          <w:highlight w:val="none"/>
          <w:u w:val="single"/>
        </w:rPr>
        <w:t xml:space="preserve"> （由投标人填写）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招标</w:t>
      </w:r>
      <w:r>
        <w:rPr>
          <w:rFonts w:hint="eastAsia" w:cs="Arial"/>
          <w:i w:val="0"/>
          <w:iCs w:val="0"/>
          <w:color w:val="auto"/>
          <w:szCs w:val="24"/>
          <w:highlight w:val="none"/>
        </w:rPr>
        <w:t>文件</w:t>
      </w:r>
      <w:r>
        <w:rPr>
          <w:rFonts w:cs="Arial"/>
          <w:i w:val="0"/>
          <w:iCs w:val="0"/>
          <w:color w:val="auto"/>
          <w:szCs w:val="24"/>
          <w:highlight w:val="none"/>
        </w:rPr>
        <w:t>要求的与投标有关的一切数据或资料，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801" w:name="_Hlk161604053"/>
      <w:r>
        <w:rPr>
          <w:rFonts w:hint="eastAsia"/>
          <w:color w:val="auto"/>
          <w:szCs w:val="24"/>
          <w:highlight w:val="none"/>
        </w:rPr>
        <w:t>我方承诺本《投标函》的签章对本投标文件全部内容具有约束力并承担法律责任。</w:t>
      </w:r>
      <w:bookmarkEnd w:id="801"/>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2DB608AC">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投 </w:t>
      </w:r>
      <w:r>
        <w:rPr>
          <w:rFonts w:cs="宋体"/>
          <w:color w:val="auto"/>
          <w:highlight w:val="none"/>
        </w:rPr>
        <w:t xml:space="preserve">   </w:t>
      </w:r>
      <w:r>
        <w:rPr>
          <w:rFonts w:hint="eastAsia" w:cs="宋体"/>
          <w:color w:val="auto"/>
          <w:highlight w:val="none"/>
        </w:rPr>
        <w:t xml:space="preserve">标 </w:t>
      </w:r>
      <w:r>
        <w:rPr>
          <w:rFonts w:cs="宋体"/>
          <w:color w:val="auto"/>
          <w:highlight w:val="none"/>
        </w:rPr>
        <w:t xml:space="preserve">   </w:t>
      </w:r>
      <w:r>
        <w:rPr>
          <w:rFonts w:hint="eastAsia" w:cs="宋体"/>
          <w:color w:val="auto"/>
          <w:highlight w:val="none"/>
        </w:rPr>
        <w:t>人</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2" w:name="_Toc12459"/>
      <w:bookmarkStart w:id="803" w:name="_Toc155185924"/>
      <w:r>
        <w:rPr>
          <w:rFonts w:hint="eastAsia" w:cstheme="majorBidi"/>
          <w:b/>
          <w:bCs/>
          <w:color w:val="auto"/>
          <w:kern w:val="2"/>
          <w:sz w:val="32"/>
          <w:szCs w:val="32"/>
          <w:highlight w:val="none"/>
          <w:lang w:val="en-US" w:eastAsia="zh-CN" w:bidi="ar-SA"/>
        </w:rPr>
        <w:t>二</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802"/>
      <w:bookmarkEnd w:id="803"/>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4" w:name="_Toc155185925"/>
      <w:bookmarkStart w:id="805" w:name="_Toc26391"/>
      <w:r>
        <w:rPr>
          <w:rFonts w:hint="eastAsia" w:cstheme="majorBidi"/>
          <w:b/>
          <w:bCs/>
          <w:color w:val="auto"/>
          <w:kern w:val="2"/>
          <w:sz w:val="32"/>
          <w:szCs w:val="32"/>
          <w:highlight w:val="none"/>
          <w:lang w:val="en-US" w:eastAsia="zh-CN" w:bidi="ar-SA"/>
        </w:rPr>
        <w:t>三</w:t>
      </w:r>
      <w:r>
        <w:rPr>
          <w:rFonts w:hint="eastAsia" w:eastAsia="宋体" w:asciiTheme="majorHAnsi" w:hAnsiTheme="majorHAnsi" w:cstheme="majorBidi"/>
          <w:b/>
          <w:bCs/>
          <w:color w:val="auto"/>
          <w:kern w:val="2"/>
          <w:sz w:val="32"/>
          <w:szCs w:val="32"/>
          <w:highlight w:val="none"/>
          <w:lang w:val="en-US" w:eastAsia="zh-CN" w:bidi="ar-SA"/>
        </w:rPr>
        <w:t>、授权委托书</w:t>
      </w:r>
      <w:bookmarkEnd w:id="804"/>
      <w:bookmarkEnd w:id="805"/>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eastAsia" w:ascii="DejaVuSans" w:hAnsi="DejaVuSans" w:eastAsia="DejaVuSans" w:cs="DejaVuSans"/>
          <w:color w:val="auto"/>
          <w:kern w:val="0"/>
          <w:sz w:val="24"/>
          <w:szCs w:val="24"/>
          <w:highlight w:val="none"/>
          <w:u w:val="single"/>
          <w:lang w:val="en-US" w:eastAsia="zh-CN" w:bidi="ar"/>
        </w:rPr>
        <w:t xml:space="preserve">               </w:t>
      </w:r>
      <w:r>
        <w:rPr>
          <w:rFonts w:hint="default" w:ascii="DejaVuSans" w:hAnsi="DejaVuSans" w:eastAsia="DejaVuSans" w:cs="DejaVuSans"/>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6" w:name="_Toc163492928"/>
      <w:bookmarkStart w:id="807" w:name="_Toc155185934"/>
      <w:bookmarkStart w:id="808" w:name="_Toc27408"/>
      <w:r>
        <w:rPr>
          <w:rFonts w:hint="eastAsia" w:cstheme="majorBidi"/>
          <w:b/>
          <w:bCs/>
          <w:color w:val="auto"/>
          <w:kern w:val="2"/>
          <w:sz w:val="32"/>
          <w:szCs w:val="32"/>
          <w:highlight w:val="none"/>
          <w:lang w:val="en-US" w:eastAsia="zh-CN" w:bidi="ar-SA"/>
        </w:rPr>
        <w:t>四</w:t>
      </w:r>
      <w:r>
        <w:rPr>
          <w:rFonts w:hint="eastAsia" w:eastAsia="宋体" w:asciiTheme="majorHAnsi" w:hAnsiTheme="majorHAnsi" w:cstheme="majorBidi"/>
          <w:b/>
          <w:bCs/>
          <w:color w:val="auto"/>
          <w:kern w:val="2"/>
          <w:sz w:val="32"/>
          <w:szCs w:val="32"/>
          <w:highlight w:val="none"/>
          <w:lang w:val="en-US" w:eastAsia="zh-CN" w:bidi="ar-SA"/>
        </w:rPr>
        <w:t>、</w:t>
      </w:r>
      <w:bookmarkEnd w:id="806"/>
      <w:bookmarkEnd w:id="807"/>
      <w:r>
        <w:rPr>
          <w:rFonts w:hint="eastAsia" w:eastAsia="宋体" w:asciiTheme="majorHAnsi" w:hAnsiTheme="majorHAnsi" w:cstheme="majorBidi"/>
          <w:b/>
          <w:bCs/>
          <w:color w:val="auto"/>
          <w:kern w:val="2"/>
          <w:sz w:val="32"/>
          <w:szCs w:val="32"/>
          <w:highlight w:val="none"/>
          <w:lang w:val="zh-CN" w:eastAsia="zh-CN" w:bidi="ar-SA"/>
        </w:rPr>
        <w:t>政府采购</w:t>
      </w:r>
      <w:r>
        <w:rPr>
          <w:rFonts w:hint="eastAsia" w:cstheme="majorBidi"/>
          <w:b/>
          <w:bCs/>
          <w:color w:val="auto"/>
          <w:kern w:val="2"/>
          <w:sz w:val="32"/>
          <w:szCs w:val="32"/>
          <w:highlight w:val="none"/>
          <w:lang w:val="en-US" w:eastAsia="zh-CN" w:bidi="ar-SA"/>
        </w:rPr>
        <w:t>投标人</w:t>
      </w:r>
      <w:r>
        <w:rPr>
          <w:rFonts w:hint="eastAsia" w:eastAsia="宋体" w:asciiTheme="majorHAnsi" w:hAnsiTheme="majorHAnsi" w:cstheme="majorBidi"/>
          <w:b/>
          <w:bCs/>
          <w:color w:val="auto"/>
          <w:kern w:val="2"/>
          <w:sz w:val="32"/>
          <w:szCs w:val="32"/>
          <w:highlight w:val="none"/>
          <w:lang w:val="zh-CN" w:eastAsia="zh-CN" w:bidi="ar-SA"/>
        </w:rPr>
        <w:t>廉洁自律承诺书</w:t>
      </w:r>
      <w:bookmarkEnd w:id="808"/>
    </w:p>
    <w:p w14:paraId="2AB445CF">
      <w:pPr>
        <w:pStyle w:val="13"/>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w:t>
      </w:r>
      <w:r>
        <w:rPr>
          <w:rFonts w:hint="eastAsia"/>
          <w:color w:val="auto"/>
          <w:highlight w:val="none"/>
        </w:rPr>
        <w:t>《中华人民共和国政府采购法</w:t>
      </w:r>
      <w:r>
        <w:rPr>
          <w:rFonts w:hint="eastAsia"/>
          <w:color w:val="auto"/>
          <w:highlight w:val="none"/>
          <w:lang w:val="en-US" w:eastAsia="zh-CN"/>
        </w:rPr>
        <w:t>实施条例</w:t>
      </w:r>
      <w:r>
        <w:rPr>
          <w:rFonts w:hint="eastAsia"/>
          <w:color w:val="auto"/>
          <w:highlight w:val="none"/>
        </w:rPr>
        <w:t>》</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3"/>
        <w:rPr>
          <w:rFonts w:hint="eastAsia" w:eastAsia="宋体" w:asciiTheme="majorHAnsi" w:hAnsiTheme="majorHAnsi" w:cstheme="majorBidi"/>
          <w:b/>
          <w:bCs/>
          <w:color w:val="auto"/>
          <w:kern w:val="2"/>
          <w:sz w:val="24"/>
          <w:szCs w:val="24"/>
          <w:highlight w:val="none"/>
          <w:lang w:val="en-US" w:eastAsia="zh-CN" w:bidi="ar-SA"/>
        </w:rPr>
      </w:pPr>
    </w:p>
    <w:p w14:paraId="2CC927CA">
      <w:pPr>
        <w:pStyle w:val="13"/>
        <w:rPr>
          <w:rFonts w:hint="eastAsia" w:eastAsia="宋体" w:asciiTheme="majorHAnsi" w:hAnsiTheme="majorHAnsi" w:cstheme="majorBidi"/>
          <w:b/>
          <w:bCs/>
          <w:color w:val="auto"/>
          <w:kern w:val="2"/>
          <w:sz w:val="24"/>
          <w:szCs w:val="24"/>
          <w:highlight w:val="none"/>
          <w:lang w:val="en-US" w:eastAsia="zh-CN" w:bidi="ar-SA"/>
        </w:rPr>
      </w:pPr>
    </w:p>
    <w:p w14:paraId="18FDCDE0">
      <w:pPr>
        <w:pStyle w:val="13"/>
        <w:rPr>
          <w:rFonts w:hint="eastAsia" w:eastAsia="宋体" w:asciiTheme="majorHAnsi" w:hAnsiTheme="majorHAnsi" w:cstheme="majorBidi"/>
          <w:b/>
          <w:bCs/>
          <w:color w:val="auto"/>
          <w:kern w:val="2"/>
          <w:sz w:val="24"/>
          <w:szCs w:val="24"/>
          <w:highlight w:val="none"/>
          <w:lang w:val="en-US" w:eastAsia="zh-CN" w:bidi="ar-SA"/>
        </w:rPr>
      </w:pPr>
    </w:p>
    <w:p w14:paraId="74E8B7C7">
      <w:pPr>
        <w:pStyle w:val="3"/>
        <w:bidi w:val="0"/>
        <w:jc w:val="center"/>
        <w:rPr>
          <w:rFonts w:hint="default"/>
          <w:lang w:val="en-US" w:eastAsia="zh-CN"/>
        </w:rPr>
      </w:pPr>
      <w:bookmarkStart w:id="809" w:name="_Toc24923"/>
      <w:r>
        <w:rPr>
          <w:rFonts w:hint="eastAsia"/>
          <w:lang w:val="en-US" w:eastAsia="zh-CN"/>
        </w:rPr>
        <w:t>五、</w:t>
      </w:r>
      <w:r>
        <w:rPr>
          <w:rFonts w:hint="eastAsia"/>
          <w:lang w:val="zh-CN" w:eastAsia="zh-CN"/>
        </w:rPr>
        <w:t>实质性响应一览表【</w:t>
      </w:r>
      <w:r>
        <w:rPr>
          <w:rFonts w:hint="eastAsia"/>
          <w:lang w:val="en-US" w:eastAsia="zh-CN"/>
        </w:rPr>
        <w:t>本表须与第五章的一致】</w:t>
      </w:r>
      <w:bookmarkEnd w:id="809"/>
    </w:p>
    <w:p w14:paraId="3FC7E450">
      <w:pPr>
        <w:shd w:val="clear" w:color="auto"/>
        <w:tabs>
          <w:tab w:val="left" w:pos="3045"/>
        </w:tabs>
        <w:autoSpaceDE w:val="0"/>
        <w:autoSpaceDN w:val="0"/>
        <w:adjustRightInd w:val="0"/>
        <w:snapToGrid w:val="0"/>
        <w:spacing w:line="360" w:lineRule="exact"/>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w:t>
      </w:r>
      <w:r>
        <w:rPr>
          <w:rFonts w:hint="eastAsia" w:cs="宋体"/>
          <w:b/>
          <w:bCs w:val="0"/>
          <w:color w:val="auto"/>
          <w:sz w:val="24"/>
          <w:highlight w:val="none"/>
          <w:lang w:val="en-US" w:eastAsia="zh-CN"/>
        </w:rPr>
        <w:t>投标人</w:t>
      </w:r>
      <w:r>
        <w:rPr>
          <w:rFonts w:hint="eastAsia" w:ascii="宋体" w:hAnsi="宋体" w:cs="宋体"/>
          <w:b/>
          <w:bCs w:val="0"/>
          <w:color w:val="auto"/>
          <w:sz w:val="24"/>
          <w:highlight w:val="none"/>
        </w:rPr>
        <w:t>须对本附表所有内容逐条响应且无负偏离，否则</w:t>
      </w:r>
      <w:r>
        <w:rPr>
          <w:rFonts w:hint="eastAsia" w:cs="宋体"/>
          <w:b/>
          <w:bCs w:val="0"/>
          <w:color w:val="auto"/>
          <w:sz w:val="24"/>
          <w:highlight w:val="none"/>
          <w:lang w:val="en-US" w:eastAsia="zh-CN"/>
        </w:rPr>
        <w:t>其</w:t>
      </w:r>
      <w:r>
        <w:rPr>
          <w:rFonts w:hint="eastAsia" w:ascii="宋体" w:hAnsi="宋体" w:cs="宋体"/>
          <w:b/>
          <w:bCs w:val="0"/>
          <w:color w:val="auto"/>
          <w:sz w:val="24"/>
          <w:highlight w:val="none"/>
        </w:rPr>
        <w:t>投标无效）</w:t>
      </w:r>
    </w:p>
    <w:p w14:paraId="3B3C031E">
      <w:pPr>
        <w:pStyle w:val="23"/>
        <w:shd w:val="clear"/>
        <w:rPr>
          <w:rFonts w:hint="eastAsia" w:ascii="宋体" w:hAnsi="宋体" w:cs="宋体"/>
          <w:color w:val="auto"/>
          <w:highlight w:val="none"/>
        </w:rPr>
      </w:pPr>
    </w:p>
    <w:tbl>
      <w:tblPr>
        <w:tblStyle w:val="29"/>
        <w:tblW w:w="5396"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978"/>
        <w:gridCol w:w="4229"/>
        <w:gridCol w:w="1860"/>
        <w:gridCol w:w="726"/>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restart"/>
            <w:noWrap w:val="0"/>
            <w:vAlign w:val="center"/>
          </w:tcPr>
          <w:p w14:paraId="101C805A">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4" w:type="pct"/>
            <w:gridSpan w:val="2"/>
            <w:noWrap w:val="0"/>
            <w:vAlign w:val="center"/>
          </w:tcPr>
          <w:p w14:paraId="02D60536">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文件要求的实质性响应内容</w:t>
            </w:r>
          </w:p>
        </w:tc>
        <w:tc>
          <w:tcPr>
            <w:tcW w:w="1011" w:type="pct"/>
            <w:vMerge w:val="restart"/>
            <w:noWrap w:val="0"/>
            <w:vAlign w:val="center"/>
          </w:tcPr>
          <w:p w14:paraId="56144F2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394" w:type="pct"/>
            <w:vMerge w:val="restart"/>
            <w:noWrap w:val="0"/>
            <w:vAlign w:val="center"/>
          </w:tcPr>
          <w:p w14:paraId="3D4BAC2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continue"/>
            <w:noWrap w:val="0"/>
            <w:vAlign w:val="center"/>
          </w:tcPr>
          <w:p w14:paraId="61353542">
            <w:pPr>
              <w:keepNext w:val="0"/>
              <w:keepLines w:val="0"/>
              <w:pageBreakBefore w:val="0"/>
              <w:widowControl w:val="0"/>
              <w:shd w:val="clear"/>
              <w:kinsoku/>
              <w:wordWrap/>
              <w:overflowPunct/>
              <w:topLinePunct w:val="0"/>
              <w:bidi w:val="0"/>
              <w:adjustRightInd/>
              <w:snapToGrid/>
              <w:spacing w:line="360" w:lineRule="exact"/>
              <w:jc w:val="center"/>
              <w:textAlignment w:val="auto"/>
              <w:rPr>
                <w:color w:val="auto"/>
                <w:highlight w:val="none"/>
              </w:rPr>
            </w:pPr>
          </w:p>
        </w:tc>
        <w:tc>
          <w:tcPr>
            <w:tcW w:w="1075" w:type="pct"/>
            <w:noWrap w:val="0"/>
            <w:vAlign w:val="center"/>
          </w:tcPr>
          <w:p w14:paraId="6B0E1646">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实质性要求</w:t>
            </w:r>
          </w:p>
        </w:tc>
        <w:tc>
          <w:tcPr>
            <w:tcW w:w="2298" w:type="pct"/>
            <w:noWrap w:val="0"/>
            <w:vAlign w:val="center"/>
          </w:tcPr>
          <w:p w14:paraId="3466A6AA">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招标文件中的规定</w:t>
            </w:r>
          </w:p>
        </w:tc>
        <w:tc>
          <w:tcPr>
            <w:tcW w:w="1011" w:type="pct"/>
            <w:vMerge w:val="continue"/>
            <w:noWrap w:val="0"/>
            <w:vAlign w:val="center"/>
          </w:tcPr>
          <w:p w14:paraId="230A57B0">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94" w:type="pct"/>
            <w:vMerge w:val="continue"/>
            <w:noWrap w:val="0"/>
            <w:vAlign w:val="center"/>
          </w:tcPr>
          <w:p w14:paraId="1401563E">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noWrap w:val="0"/>
            <w:vAlign w:val="center"/>
          </w:tcPr>
          <w:p w14:paraId="5D4136A9">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5" w:type="pct"/>
            <w:shd w:val="clear" w:color="auto" w:fill="auto"/>
            <w:noWrap w:val="0"/>
            <w:vAlign w:val="center"/>
          </w:tcPr>
          <w:p w14:paraId="11E3D909">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2D62742B">
            <w:pPr>
              <w:keepNext w:val="0"/>
              <w:keepLines w:val="0"/>
              <w:pageBreakBefore w:val="0"/>
              <w:widowControl w:val="0"/>
              <w:shd w:val="clear" w:color="auto"/>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1E4B729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2ED2EBD7">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0" w:type="pct"/>
            <w:noWrap w:val="0"/>
            <w:vAlign w:val="center"/>
          </w:tcPr>
          <w:p w14:paraId="708A3B90">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75" w:type="pct"/>
            <w:shd w:val="clear" w:color="auto" w:fill="auto"/>
            <w:noWrap w:val="0"/>
            <w:vAlign w:val="center"/>
          </w:tcPr>
          <w:p w14:paraId="7DC773B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011D967C">
            <w:pPr>
              <w:keepNext w:val="0"/>
              <w:keepLines w:val="0"/>
              <w:pageBreakBefore w:val="0"/>
              <w:widowControl w:val="0"/>
              <w:shd w:val="clear" w:color="auto"/>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58F62CE4">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4CC2D3">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shd w:val="clear" w:color="auto" w:fill="auto"/>
            <w:noWrap w:val="0"/>
            <w:vAlign w:val="center"/>
          </w:tcPr>
          <w:p w14:paraId="6A2DB15C">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75" w:type="pct"/>
            <w:shd w:val="clear" w:color="auto" w:fill="auto"/>
            <w:noWrap w:val="0"/>
            <w:vAlign w:val="center"/>
          </w:tcPr>
          <w:p w14:paraId="46BFE239">
            <w:pPr>
              <w:pStyle w:val="48"/>
              <w:shd w:val="clear"/>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486ABA85">
            <w:pPr>
              <w:pStyle w:val="48"/>
              <w:shd w:val="clear"/>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59491DC1">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511A2D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12289F6C">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75" w:type="pct"/>
            <w:shd w:val="clear" w:color="auto" w:fill="auto"/>
            <w:noWrap w:val="0"/>
            <w:vAlign w:val="center"/>
          </w:tcPr>
          <w:p w14:paraId="1D3E0310">
            <w:pPr>
              <w:pStyle w:val="48"/>
              <w:shd w:val="clear"/>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281089E1">
            <w:pPr>
              <w:pStyle w:val="48"/>
              <w:shd w:val="clear"/>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6CCA3E71">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A8FC1EC">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0" w:type="pct"/>
            <w:shd w:val="clear" w:color="auto" w:fill="auto"/>
            <w:noWrap w:val="0"/>
            <w:vAlign w:val="center"/>
          </w:tcPr>
          <w:p w14:paraId="36B59CD3">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75" w:type="pct"/>
            <w:noWrap w:val="0"/>
            <w:vAlign w:val="center"/>
          </w:tcPr>
          <w:p w14:paraId="43A0BEF0">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310F1D1A">
            <w:pPr>
              <w:pStyle w:val="72"/>
              <w:keepNext w:val="0"/>
              <w:keepLines w:val="0"/>
              <w:pageBreakBefore w:val="0"/>
              <w:widowControl w:val="0"/>
              <w:shd w:val="clear" w:color="auto"/>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11" w:type="pct"/>
            <w:noWrap w:val="0"/>
            <w:vAlign w:val="center"/>
          </w:tcPr>
          <w:p w14:paraId="492A3FE6">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AFD0B5E">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0C145DE9">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75" w:type="pct"/>
            <w:noWrap w:val="0"/>
            <w:vAlign w:val="center"/>
          </w:tcPr>
          <w:p w14:paraId="24DF7F3A">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5482D5FB">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24D82CE2">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0A3A2D">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2F26FC6B">
            <w:pPr>
              <w:keepNext w:val="0"/>
              <w:keepLines w:val="0"/>
              <w:pageBreakBefore w:val="0"/>
              <w:widowControl w:val="0"/>
              <w:shd w:val="clear"/>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075" w:type="pct"/>
            <w:noWrap w:val="0"/>
            <w:vAlign w:val="center"/>
          </w:tcPr>
          <w:p w14:paraId="7BD1DFF1">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0998D7BE">
            <w:pPr>
              <w:keepNext w:val="0"/>
              <w:keepLines w:val="0"/>
              <w:pageBreakBefore w:val="0"/>
              <w:widowControl w:val="0"/>
              <w:shd w:val="clear" w:color="auto"/>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11" w:type="pct"/>
            <w:noWrap w:val="0"/>
            <w:vAlign w:val="center"/>
          </w:tcPr>
          <w:p w14:paraId="4CB98610">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15D30C8">
            <w:pPr>
              <w:keepNext w:val="0"/>
              <w:keepLines w:val="0"/>
              <w:pageBreakBefore w:val="0"/>
              <w:widowControl w:val="0"/>
              <w:shd w:val="clear"/>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0"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11"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rPr>
          <w:rFonts w:hint="eastAsia" w:eastAsia="宋体" w:asciiTheme="majorHAnsi" w:hAnsiTheme="majorHAnsi" w:cstheme="majorBidi"/>
          <w:b/>
          <w:bCs/>
          <w:color w:val="auto"/>
          <w:kern w:val="2"/>
          <w:sz w:val="28"/>
          <w:szCs w:val="28"/>
          <w:highlight w:val="none"/>
          <w:lang w:val="en-US" w:eastAsia="zh-CN" w:bidi="ar-SA"/>
        </w:rPr>
      </w:pPr>
      <w:r>
        <w:rPr>
          <w:rFonts w:hint="eastAsia" w:eastAsia="宋体" w:asciiTheme="majorHAnsi" w:hAnsiTheme="majorHAnsi" w:cstheme="majorBidi"/>
          <w:b/>
          <w:bCs/>
          <w:color w:val="auto"/>
          <w:kern w:val="2"/>
          <w:sz w:val="28"/>
          <w:szCs w:val="28"/>
          <w:highlight w:val="none"/>
          <w:lang w:val="en-US" w:eastAsia="zh-CN" w:bidi="ar-SA"/>
        </w:rPr>
        <w:br w:type="page"/>
      </w:r>
    </w:p>
    <w:p w14:paraId="626EF50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0" w:name="_Toc20481"/>
      <w:r>
        <w:rPr>
          <w:rFonts w:hint="eastAsia" w:cstheme="majorBidi"/>
          <w:b/>
          <w:bCs/>
          <w:color w:val="auto"/>
          <w:kern w:val="2"/>
          <w:sz w:val="32"/>
          <w:szCs w:val="32"/>
          <w:highlight w:val="none"/>
          <w:lang w:val="en-US" w:eastAsia="zh-CN" w:bidi="ar-SA"/>
        </w:rPr>
        <w:t>六</w:t>
      </w:r>
      <w:r>
        <w:rPr>
          <w:rFonts w:hint="eastAsia" w:eastAsia="宋体" w:asciiTheme="majorHAnsi" w:hAnsiTheme="majorHAnsi" w:cstheme="majorBidi"/>
          <w:b/>
          <w:bCs/>
          <w:color w:val="auto"/>
          <w:kern w:val="2"/>
          <w:sz w:val="32"/>
          <w:szCs w:val="32"/>
          <w:highlight w:val="none"/>
          <w:lang w:val="en-US" w:eastAsia="zh-CN" w:bidi="ar-SA"/>
        </w:rPr>
        <w:t>、商务响应偏离表</w:t>
      </w:r>
      <w:bookmarkEnd w:id="810"/>
    </w:p>
    <w:p w14:paraId="1D186498">
      <w:pPr>
        <w:rPr>
          <w:rFonts w:cs="仿宋_GB2312"/>
          <w:color w:val="auto"/>
          <w:szCs w:val="24"/>
          <w:highlight w:val="none"/>
        </w:rPr>
      </w:pPr>
      <w:r>
        <w:rPr>
          <w:rFonts w:hint="eastAsia" w:cs="仿宋_GB2312"/>
          <w:color w:val="auto"/>
          <w:szCs w:val="24"/>
          <w:highlight w:val="none"/>
        </w:rPr>
        <w:t xml:space="preserve">项目名称：                                         </w:t>
      </w:r>
    </w:p>
    <w:p w14:paraId="49D93B1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3312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61EA105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49200A2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2B47A59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0A22DBC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030997F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2C90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F94D57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4BC6C9AE">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5FBB365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0BE3ED7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38155B65">
            <w:pPr>
              <w:pStyle w:val="48"/>
              <w:jc w:val="center"/>
              <w:rPr>
                <w:rFonts w:hint="eastAsia" w:ascii="宋体" w:hAnsi="宋体" w:eastAsia="宋体" w:cs="宋体"/>
                <w:color w:val="auto"/>
                <w:sz w:val="21"/>
                <w:szCs w:val="21"/>
                <w:highlight w:val="none"/>
              </w:rPr>
            </w:pPr>
          </w:p>
        </w:tc>
      </w:tr>
      <w:tr w14:paraId="2C68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1A99A4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45C9EA1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78716E3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FF2D014">
            <w:pPr>
              <w:pStyle w:val="48"/>
              <w:jc w:val="center"/>
              <w:rPr>
                <w:rFonts w:hint="eastAsia" w:ascii="宋体" w:hAnsi="宋体" w:eastAsia="宋体" w:cs="宋体"/>
                <w:color w:val="auto"/>
                <w:sz w:val="21"/>
                <w:szCs w:val="21"/>
                <w:highlight w:val="none"/>
              </w:rPr>
            </w:pPr>
          </w:p>
        </w:tc>
        <w:tc>
          <w:tcPr>
            <w:tcW w:w="1090" w:type="pct"/>
            <w:vAlign w:val="center"/>
          </w:tcPr>
          <w:p w14:paraId="4FD2DF22">
            <w:pPr>
              <w:pStyle w:val="48"/>
              <w:jc w:val="center"/>
              <w:rPr>
                <w:rFonts w:hint="eastAsia" w:ascii="宋体" w:hAnsi="宋体" w:eastAsia="宋体" w:cs="宋体"/>
                <w:color w:val="auto"/>
                <w:sz w:val="21"/>
                <w:szCs w:val="21"/>
                <w:highlight w:val="none"/>
              </w:rPr>
            </w:pPr>
          </w:p>
        </w:tc>
      </w:tr>
      <w:tr w14:paraId="3CF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1DCD2E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69CD644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8A48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4CBAA73E">
            <w:pPr>
              <w:pStyle w:val="48"/>
              <w:jc w:val="center"/>
              <w:rPr>
                <w:rFonts w:hint="eastAsia" w:ascii="宋体" w:hAnsi="宋体" w:eastAsia="宋体" w:cs="宋体"/>
                <w:color w:val="auto"/>
                <w:sz w:val="21"/>
                <w:szCs w:val="21"/>
                <w:highlight w:val="none"/>
              </w:rPr>
            </w:pPr>
          </w:p>
        </w:tc>
        <w:tc>
          <w:tcPr>
            <w:tcW w:w="1090" w:type="pct"/>
            <w:vAlign w:val="center"/>
          </w:tcPr>
          <w:p w14:paraId="7E83BCC4">
            <w:pPr>
              <w:pStyle w:val="48"/>
              <w:jc w:val="center"/>
              <w:rPr>
                <w:rFonts w:hint="eastAsia" w:ascii="宋体" w:hAnsi="宋体" w:eastAsia="宋体" w:cs="宋体"/>
                <w:color w:val="auto"/>
                <w:sz w:val="21"/>
                <w:szCs w:val="21"/>
                <w:highlight w:val="none"/>
              </w:rPr>
            </w:pPr>
          </w:p>
        </w:tc>
      </w:tr>
      <w:tr w14:paraId="15C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F30B680">
            <w:pPr>
              <w:pStyle w:val="48"/>
              <w:jc w:val="center"/>
              <w:rPr>
                <w:rFonts w:hint="eastAsia" w:ascii="宋体" w:hAnsi="宋体" w:eastAsia="宋体" w:cs="宋体"/>
                <w:color w:val="auto"/>
                <w:sz w:val="21"/>
                <w:szCs w:val="21"/>
                <w:highlight w:val="none"/>
              </w:rPr>
            </w:pPr>
          </w:p>
        </w:tc>
        <w:tc>
          <w:tcPr>
            <w:tcW w:w="1395" w:type="pct"/>
            <w:vAlign w:val="center"/>
          </w:tcPr>
          <w:p w14:paraId="4AADEA29">
            <w:pPr>
              <w:pStyle w:val="48"/>
              <w:jc w:val="center"/>
              <w:rPr>
                <w:rFonts w:hint="eastAsia" w:ascii="宋体" w:hAnsi="宋体" w:eastAsia="宋体" w:cs="宋体"/>
                <w:color w:val="auto"/>
                <w:sz w:val="21"/>
                <w:szCs w:val="21"/>
                <w:highlight w:val="none"/>
              </w:rPr>
            </w:pPr>
          </w:p>
        </w:tc>
        <w:tc>
          <w:tcPr>
            <w:tcW w:w="1002" w:type="pct"/>
            <w:vAlign w:val="center"/>
          </w:tcPr>
          <w:p w14:paraId="38D5F739">
            <w:pPr>
              <w:pStyle w:val="48"/>
              <w:jc w:val="center"/>
              <w:rPr>
                <w:rFonts w:hint="eastAsia" w:ascii="宋体" w:hAnsi="宋体" w:eastAsia="宋体" w:cs="宋体"/>
                <w:color w:val="auto"/>
                <w:sz w:val="21"/>
                <w:szCs w:val="21"/>
                <w:highlight w:val="none"/>
              </w:rPr>
            </w:pPr>
          </w:p>
        </w:tc>
        <w:tc>
          <w:tcPr>
            <w:tcW w:w="1090" w:type="pct"/>
            <w:vAlign w:val="center"/>
          </w:tcPr>
          <w:p w14:paraId="225853EF">
            <w:pPr>
              <w:pStyle w:val="48"/>
              <w:jc w:val="center"/>
              <w:rPr>
                <w:rFonts w:hint="eastAsia" w:ascii="宋体" w:hAnsi="宋体" w:eastAsia="宋体" w:cs="宋体"/>
                <w:color w:val="auto"/>
                <w:sz w:val="21"/>
                <w:szCs w:val="21"/>
                <w:highlight w:val="none"/>
              </w:rPr>
            </w:pPr>
          </w:p>
        </w:tc>
        <w:tc>
          <w:tcPr>
            <w:tcW w:w="1090" w:type="pct"/>
            <w:vAlign w:val="center"/>
          </w:tcPr>
          <w:p w14:paraId="701964E1">
            <w:pPr>
              <w:pStyle w:val="48"/>
              <w:jc w:val="center"/>
              <w:rPr>
                <w:rFonts w:hint="eastAsia" w:ascii="宋体" w:hAnsi="宋体" w:eastAsia="宋体" w:cs="宋体"/>
                <w:color w:val="auto"/>
                <w:sz w:val="21"/>
                <w:szCs w:val="21"/>
                <w:highlight w:val="none"/>
              </w:rPr>
            </w:pPr>
          </w:p>
        </w:tc>
      </w:tr>
      <w:tr w14:paraId="0D3D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5F3EE02">
            <w:pPr>
              <w:pStyle w:val="48"/>
              <w:jc w:val="center"/>
              <w:rPr>
                <w:rFonts w:hint="eastAsia" w:ascii="宋体" w:hAnsi="宋体" w:eastAsia="宋体" w:cs="宋体"/>
                <w:color w:val="auto"/>
                <w:sz w:val="21"/>
                <w:szCs w:val="21"/>
                <w:highlight w:val="none"/>
              </w:rPr>
            </w:pPr>
          </w:p>
        </w:tc>
        <w:tc>
          <w:tcPr>
            <w:tcW w:w="1395" w:type="pct"/>
            <w:vAlign w:val="center"/>
          </w:tcPr>
          <w:p w14:paraId="4393079D">
            <w:pPr>
              <w:pStyle w:val="48"/>
              <w:jc w:val="center"/>
              <w:rPr>
                <w:rFonts w:hint="eastAsia" w:ascii="宋体" w:hAnsi="宋体" w:eastAsia="宋体" w:cs="宋体"/>
                <w:color w:val="auto"/>
                <w:sz w:val="21"/>
                <w:szCs w:val="21"/>
                <w:highlight w:val="none"/>
              </w:rPr>
            </w:pPr>
          </w:p>
        </w:tc>
        <w:tc>
          <w:tcPr>
            <w:tcW w:w="1002" w:type="pct"/>
            <w:vAlign w:val="center"/>
          </w:tcPr>
          <w:p w14:paraId="25A3A5BC">
            <w:pPr>
              <w:pStyle w:val="48"/>
              <w:jc w:val="center"/>
              <w:rPr>
                <w:rFonts w:hint="eastAsia" w:ascii="宋体" w:hAnsi="宋体" w:eastAsia="宋体" w:cs="宋体"/>
                <w:color w:val="auto"/>
                <w:sz w:val="21"/>
                <w:szCs w:val="21"/>
                <w:highlight w:val="none"/>
              </w:rPr>
            </w:pPr>
          </w:p>
        </w:tc>
        <w:tc>
          <w:tcPr>
            <w:tcW w:w="1090" w:type="pct"/>
            <w:vAlign w:val="center"/>
          </w:tcPr>
          <w:p w14:paraId="1B49FF8B">
            <w:pPr>
              <w:pStyle w:val="48"/>
              <w:jc w:val="center"/>
              <w:rPr>
                <w:rFonts w:hint="eastAsia" w:ascii="宋体" w:hAnsi="宋体" w:eastAsia="宋体" w:cs="宋体"/>
                <w:color w:val="auto"/>
                <w:sz w:val="21"/>
                <w:szCs w:val="21"/>
                <w:highlight w:val="none"/>
              </w:rPr>
            </w:pPr>
          </w:p>
        </w:tc>
        <w:tc>
          <w:tcPr>
            <w:tcW w:w="1090" w:type="pct"/>
            <w:vAlign w:val="center"/>
          </w:tcPr>
          <w:p w14:paraId="7AD8A67B">
            <w:pPr>
              <w:pStyle w:val="48"/>
              <w:jc w:val="center"/>
              <w:rPr>
                <w:rFonts w:hint="eastAsia" w:ascii="宋体" w:hAnsi="宋体" w:eastAsia="宋体" w:cs="宋体"/>
                <w:color w:val="auto"/>
                <w:sz w:val="21"/>
                <w:szCs w:val="21"/>
                <w:highlight w:val="none"/>
              </w:rPr>
            </w:pPr>
          </w:p>
        </w:tc>
      </w:tr>
      <w:tr w14:paraId="193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8504A9">
            <w:pPr>
              <w:pStyle w:val="48"/>
              <w:jc w:val="center"/>
              <w:rPr>
                <w:rFonts w:hint="eastAsia" w:ascii="宋体" w:hAnsi="宋体" w:eastAsia="宋体" w:cs="宋体"/>
                <w:color w:val="auto"/>
                <w:sz w:val="21"/>
                <w:szCs w:val="21"/>
                <w:highlight w:val="none"/>
              </w:rPr>
            </w:pPr>
          </w:p>
        </w:tc>
        <w:tc>
          <w:tcPr>
            <w:tcW w:w="1395" w:type="pct"/>
            <w:vAlign w:val="center"/>
          </w:tcPr>
          <w:p w14:paraId="0B05BA21">
            <w:pPr>
              <w:pStyle w:val="48"/>
              <w:jc w:val="center"/>
              <w:rPr>
                <w:rFonts w:hint="eastAsia" w:ascii="宋体" w:hAnsi="宋体" w:eastAsia="宋体" w:cs="宋体"/>
                <w:color w:val="auto"/>
                <w:sz w:val="21"/>
                <w:szCs w:val="21"/>
                <w:highlight w:val="none"/>
              </w:rPr>
            </w:pPr>
          </w:p>
        </w:tc>
        <w:tc>
          <w:tcPr>
            <w:tcW w:w="1002" w:type="pct"/>
            <w:vAlign w:val="center"/>
          </w:tcPr>
          <w:p w14:paraId="6EE2FD7A">
            <w:pPr>
              <w:pStyle w:val="48"/>
              <w:jc w:val="center"/>
              <w:rPr>
                <w:rFonts w:hint="eastAsia" w:ascii="宋体" w:hAnsi="宋体" w:eastAsia="宋体" w:cs="宋体"/>
                <w:color w:val="auto"/>
                <w:sz w:val="21"/>
                <w:szCs w:val="21"/>
                <w:highlight w:val="none"/>
              </w:rPr>
            </w:pPr>
          </w:p>
        </w:tc>
        <w:tc>
          <w:tcPr>
            <w:tcW w:w="1090" w:type="pct"/>
            <w:vAlign w:val="center"/>
          </w:tcPr>
          <w:p w14:paraId="3C3EE3D6">
            <w:pPr>
              <w:pStyle w:val="48"/>
              <w:jc w:val="center"/>
              <w:rPr>
                <w:rFonts w:hint="eastAsia" w:ascii="宋体" w:hAnsi="宋体" w:eastAsia="宋体" w:cs="宋体"/>
                <w:color w:val="auto"/>
                <w:sz w:val="21"/>
                <w:szCs w:val="21"/>
                <w:highlight w:val="none"/>
              </w:rPr>
            </w:pPr>
          </w:p>
        </w:tc>
        <w:tc>
          <w:tcPr>
            <w:tcW w:w="1090" w:type="pct"/>
            <w:vAlign w:val="center"/>
          </w:tcPr>
          <w:p w14:paraId="0D0213B3">
            <w:pPr>
              <w:pStyle w:val="48"/>
              <w:jc w:val="center"/>
              <w:rPr>
                <w:rFonts w:hint="eastAsia" w:ascii="宋体" w:hAnsi="宋体" w:eastAsia="宋体" w:cs="宋体"/>
                <w:color w:val="auto"/>
                <w:sz w:val="21"/>
                <w:szCs w:val="21"/>
                <w:highlight w:val="none"/>
              </w:rPr>
            </w:pPr>
          </w:p>
        </w:tc>
      </w:tr>
      <w:tr w14:paraId="05BC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DE1BBEB">
            <w:pPr>
              <w:pStyle w:val="48"/>
              <w:jc w:val="center"/>
              <w:rPr>
                <w:rFonts w:hint="eastAsia" w:ascii="宋体" w:hAnsi="宋体" w:eastAsia="宋体" w:cs="宋体"/>
                <w:color w:val="auto"/>
                <w:sz w:val="21"/>
                <w:szCs w:val="21"/>
                <w:highlight w:val="none"/>
              </w:rPr>
            </w:pPr>
          </w:p>
        </w:tc>
        <w:tc>
          <w:tcPr>
            <w:tcW w:w="1395" w:type="pct"/>
            <w:vAlign w:val="center"/>
          </w:tcPr>
          <w:p w14:paraId="2369E7CE">
            <w:pPr>
              <w:pStyle w:val="48"/>
              <w:jc w:val="center"/>
              <w:rPr>
                <w:rFonts w:hint="eastAsia" w:ascii="宋体" w:hAnsi="宋体" w:eastAsia="宋体" w:cs="宋体"/>
                <w:color w:val="auto"/>
                <w:sz w:val="21"/>
                <w:szCs w:val="21"/>
                <w:highlight w:val="none"/>
              </w:rPr>
            </w:pPr>
          </w:p>
        </w:tc>
        <w:tc>
          <w:tcPr>
            <w:tcW w:w="1002" w:type="pct"/>
            <w:vAlign w:val="center"/>
          </w:tcPr>
          <w:p w14:paraId="1C290511">
            <w:pPr>
              <w:pStyle w:val="48"/>
              <w:jc w:val="center"/>
              <w:rPr>
                <w:rFonts w:hint="eastAsia" w:ascii="宋体" w:hAnsi="宋体" w:eastAsia="宋体" w:cs="宋体"/>
                <w:color w:val="auto"/>
                <w:sz w:val="21"/>
                <w:szCs w:val="21"/>
                <w:highlight w:val="none"/>
              </w:rPr>
            </w:pPr>
          </w:p>
        </w:tc>
        <w:tc>
          <w:tcPr>
            <w:tcW w:w="1090" w:type="pct"/>
            <w:vAlign w:val="center"/>
          </w:tcPr>
          <w:p w14:paraId="2E4702A6">
            <w:pPr>
              <w:pStyle w:val="48"/>
              <w:jc w:val="center"/>
              <w:rPr>
                <w:rFonts w:hint="eastAsia" w:ascii="宋体" w:hAnsi="宋体" w:eastAsia="宋体" w:cs="宋体"/>
                <w:color w:val="auto"/>
                <w:sz w:val="21"/>
                <w:szCs w:val="21"/>
                <w:highlight w:val="none"/>
              </w:rPr>
            </w:pPr>
          </w:p>
        </w:tc>
        <w:tc>
          <w:tcPr>
            <w:tcW w:w="1090" w:type="pct"/>
            <w:vAlign w:val="center"/>
          </w:tcPr>
          <w:p w14:paraId="65DCC158">
            <w:pPr>
              <w:pStyle w:val="48"/>
              <w:jc w:val="center"/>
              <w:rPr>
                <w:rFonts w:hint="eastAsia" w:ascii="宋体" w:hAnsi="宋体" w:eastAsia="宋体" w:cs="宋体"/>
                <w:color w:val="auto"/>
                <w:sz w:val="21"/>
                <w:szCs w:val="21"/>
                <w:highlight w:val="none"/>
              </w:rPr>
            </w:pPr>
          </w:p>
        </w:tc>
      </w:tr>
      <w:tr w14:paraId="086E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A27D4B4">
            <w:pPr>
              <w:pStyle w:val="48"/>
              <w:jc w:val="center"/>
              <w:rPr>
                <w:rFonts w:hint="eastAsia" w:ascii="宋体" w:hAnsi="宋体" w:eastAsia="宋体" w:cs="宋体"/>
                <w:color w:val="auto"/>
                <w:sz w:val="21"/>
                <w:szCs w:val="21"/>
                <w:highlight w:val="none"/>
              </w:rPr>
            </w:pPr>
          </w:p>
        </w:tc>
        <w:tc>
          <w:tcPr>
            <w:tcW w:w="1395" w:type="pct"/>
            <w:vAlign w:val="center"/>
          </w:tcPr>
          <w:p w14:paraId="15CE8362">
            <w:pPr>
              <w:pStyle w:val="48"/>
              <w:jc w:val="center"/>
              <w:rPr>
                <w:rFonts w:hint="eastAsia" w:ascii="宋体" w:hAnsi="宋体" w:eastAsia="宋体" w:cs="宋体"/>
                <w:color w:val="auto"/>
                <w:sz w:val="21"/>
                <w:szCs w:val="21"/>
                <w:highlight w:val="none"/>
              </w:rPr>
            </w:pPr>
          </w:p>
        </w:tc>
        <w:tc>
          <w:tcPr>
            <w:tcW w:w="1002" w:type="pct"/>
            <w:vAlign w:val="center"/>
          </w:tcPr>
          <w:p w14:paraId="78520959">
            <w:pPr>
              <w:pStyle w:val="48"/>
              <w:jc w:val="center"/>
              <w:rPr>
                <w:rFonts w:hint="eastAsia" w:ascii="宋体" w:hAnsi="宋体" w:eastAsia="宋体" w:cs="宋体"/>
                <w:color w:val="auto"/>
                <w:sz w:val="21"/>
                <w:szCs w:val="21"/>
                <w:highlight w:val="none"/>
              </w:rPr>
            </w:pPr>
          </w:p>
        </w:tc>
        <w:tc>
          <w:tcPr>
            <w:tcW w:w="1090" w:type="pct"/>
            <w:vAlign w:val="center"/>
          </w:tcPr>
          <w:p w14:paraId="6B647A83">
            <w:pPr>
              <w:pStyle w:val="48"/>
              <w:jc w:val="center"/>
              <w:rPr>
                <w:rFonts w:hint="eastAsia" w:ascii="宋体" w:hAnsi="宋体" w:eastAsia="宋体" w:cs="宋体"/>
                <w:color w:val="auto"/>
                <w:sz w:val="21"/>
                <w:szCs w:val="21"/>
                <w:highlight w:val="none"/>
              </w:rPr>
            </w:pPr>
          </w:p>
        </w:tc>
        <w:tc>
          <w:tcPr>
            <w:tcW w:w="1090" w:type="pct"/>
            <w:vAlign w:val="center"/>
          </w:tcPr>
          <w:p w14:paraId="53ABE546">
            <w:pPr>
              <w:pStyle w:val="48"/>
              <w:jc w:val="center"/>
              <w:rPr>
                <w:rFonts w:hint="eastAsia" w:ascii="宋体" w:hAnsi="宋体" w:eastAsia="宋体" w:cs="宋体"/>
                <w:color w:val="auto"/>
                <w:sz w:val="21"/>
                <w:szCs w:val="21"/>
                <w:highlight w:val="none"/>
              </w:rPr>
            </w:pPr>
          </w:p>
        </w:tc>
      </w:tr>
      <w:tr w14:paraId="2CD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BECA690">
            <w:pPr>
              <w:pStyle w:val="48"/>
              <w:jc w:val="center"/>
              <w:rPr>
                <w:rFonts w:hint="eastAsia" w:ascii="宋体" w:hAnsi="宋体" w:eastAsia="宋体" w:cs="宋体"/>
                <w:color w:val="auto"/>
                <w:sz w:val="21"/>
                <w:szCs w:val="21"/>
                <w:highlight w:val="none"/>
              </w:rPr>
            </w:pPr>
          </w:p>
        </w:tc>
        <w:tc>
          <w:tcPr>
            <w:tcW w:w="1395" w:type="pct"/>
            <w:vAlign w:val="center"/>
          </w:tcPr>
          <w:p w14:paraId="1376A9AF">
            <w:pPr>
              <w:pStyle w:val="48"/>
              <w:jc w:val="center"/>
              <w:rPr>
                <w:rFonts w:hint="eastAsia" w:ascii="宋体" w:hAnsi="宋体" w:eastAsia="宋体" w:cs="宋体"/>
                <w:color w:val="auto"/>
                <w:sz w:val="21"/>
                <w:szCs w:val="21"/>
                <w:highlight w:val="none"/>
              </w:rPr>
            </w:pPr>
          </w:p>
        </w:tc>
        <w:tc>
          <w:tcPr>
            <w:tcW w:w="1002" w:type="pct"/>
            <w:vAlign w:val="center"/>
          </w:tcPr>
          <w:p w14:paraId="021889CB">
            <w:pPr>
              <w:pStyle w:val="48"/>
              <w:jc w:val="center"/>
              <w:rPr>
                <w:rFonts w:hint="eastAsia" w:ascii="宋体" w:hAnsi="宋体" w:eastAsia="宋体" w:cs="宋体"/>
                <w:color w:val="auto"/>
                <w:sz w:val="21"/>
                <w:szCs w:val="21"/>
                <w:highlight w:val="none"/>
              </w:rPr>
            </w:pPr>
          </w:p>
        </w:tc>
        <w:tc>
          <w:tcPr>
            <w:tcW w:w="1090" w:type="pct"/>
            <w:vAlign w:val="center"/>
          </w:tcPr>
          <w:p w14:paraId="1AA6C389">
            <w:pPr>
              <w:pStyle w:val="48"/>
              <w:jc w:val="center"/>
              <w:rPr>
                <w:rFonts w:hint="eastAsia" w:ascii="宋体" w:hAnsi="宋体" w:eastAsia="宋体" w:cs="宋体"/>
                <w:color w:val="auto"/>
                <w:sz w:val="21"/>
                <w:szCs w:val="21"/>
                <w:highlight w:val="none"/>
              </w:rPr>
            </w:pPr>
          </w:p>
        </w:tc>
        <w:tc>
          <w:tcPr>
            <w:tcW w:w="1090" w:type="pct"/>
            <w:vAlign w:val="center"/>
          </w:tcPr>
          <w:p w14:paraId="326386ED">
            <w:pPr>
              <w:pStyle w:val="48"/>
              <w:jc w:val="center"/>
              <w:rPr>
                <w:rFonts w:hint="eastAsia" w:ascii="宋体" w:hAnsi="宋体" w:eastAsia="宋体" w:cs="宋体"/>
                <w:color w:val="auto"/>
                <w:sz w:val="21"/>
                <w:szCs w:val="21"/>
                <w:highlight w:val="none"/>
              </w:rPr>
            </w:pPr>
          </w:p>
        </w:tc>
      </w:tr>
      <w:tr w14:paraId="646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C03EC05">
            <w:pPr>
              <w:pStyle w:val="48"/>
              <w:jc w:val="center"/>
              <w:rPr>
                <w:rFonts w:hint="eastAsia" w:ascii="宋体" w:hAnsi="宋体" w:eastAsia="宋体" w:cs="宋体"/>
                <w:color w:val="auto"/>
                <w:sz w:val="21"/>
                <w:szCs w:val="21"/>
                <w:highlight w:val="none"/>
              </w:rPr>
            </w:pPr>
          </w:p>
        </w:tc>
        <w:tc>
          <w:tcPr>
            <w:tcW w:w="1395" w:type="pct"/>
            <w:vAlign w:val="center"/>
          </w:tcPr>
          <w:p w14:paraId="03E9879F">
            <w:pPr>
              <w:pStyle w:val="48"/>
              <w:jc w:val="center"/>
              <w:rPr>
                <w:rFonts w:hint="eastAsia" w:ascii="宋体" w:hAnsi="宋体" w:eastAsia="宋体" w:cs="宋体"/>
                <w:color w:val="auto"/>
                <w:sz w:val="21"/>
                <w:szCs w:val="21"/>
                <w:highlight w:val="none"/>
              </w:rPr>
            </w:pPr>
          </w:p>
        </w:tc>
        <w:tc>
          <w:tcPr>
            <w:tcW w:w="1002" w:type="pct"/>
            <w:vAlign w:val="center"/>
          </w:tcPr>
          <w:p w14:paraId="602D2FCF">
            <w:pPr>
              <w:pStyle w:val="48"/>
              <w:jc w:val="center"/>
              <w:rPr>
                <w:rFonts w:hint="eastAsia" w:ascii="宋体" w:hAnsi="宋体" w:eastAsia="宋体" w:cs="宋体"/>
                <w:color w:val="auto"/>
                <w:sz w:val="21"/>
                <w:szCs w:val="21"/>
                <w:highlight w:val="none"/>
              </w:rPr>
            </w:pPr>
          </w:p>
        </w:tc>
        <w:tc>
          <w:tcPr>
            <w:tcW w:w="1090" w:type="pct"/>
            <w:vAlign w:val="center"/>
          </w:tcPr>
          <w:p w14:paraId="53E5BFE6">
            <w:pPr>
              <w:pStyle w:val="48"/>
              <w:jc w:val="center"/>
              <w:rPr>
                <w:rFonts w:hint="eastAsia" w:ascii="宋体" w:hAnsi="宋体" w:eastAsia="宋体" w:cs="宋体"/>
                <w:color w:val="auto"/>
                <w:sz w:val="21"/>
                <w:szCs w:val="21"/>
                <w:highlight w:val="none"/>
              </w:rPr>
            </w:pPr>
          </w:p>
        </w:tc>
        <w:tc>
          <w:tcPr>
            <w:tcW w:w="1090" w:type="pct"/>
            <w:vAlign w:val="center"/>
          </w:tcPr>
          <w:p w14:paraId="3AA5DDE3">
            <w:pPr>
              <w:pStyle w:val="48"/>
              <w:jc w:val="center"/>
              <w:rPr>
                <w:rFonts w:hint="eastAsia" w:ascii="宋体" w:hAnsi="宋体" w:eastAsia="宋体" w:cs="宋体"/>
                <w:color w:val="auto"/>
                <w:sz w:val="21"/>
                <w:szCs w:val="21"/>
                <w:highlight w:val="none"/>
              </w:rPr>
            </w:pPr>
          </w:p>
        </w:tc>
      </w:tr>
      <w:tr w14:paraId="1B88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0B43B81">
            <w:pPr>
              <w:pStyle w:val="48"/>
              <w:jc w:val="center"/>
              <w:rPr>
                <w:rFonts w:hint="eastAsia" w:ascii="宋体" w:hAnsi="宋体" w:eastAsia="宋体" w:cs="宋体"/>
                <w:color w:val="auto"/>
                <w:sz w:val="21"/>
                <w:szCs w:val="21"/>
                <w:highlight w:val="none"/>
              </w:rPr>
            </w:pPr>
          </w:p>
        </w:tc>
        <w:tc>
          <w:tcPr>
            <w:tcW w:w="1395" w:type="pct"/>
            <w:vAlign w:val="center"/>
          </w:tcPr>
          <w:p w14:paraId="002C280D">
            <w:pPr>
              <w:pStyle w:val="48"/>
              <w:jc w:val="center"/>
              <w:rPr>
                <w:rFonts w:hint="eastAsia" w:ascii="宋体" w:hAnsi="宋体" w:eastAsia="宋体" w:cs="宋体"/>
                <w:color w:val="auto"/>
                <w:sz w:val="21"/>
                <w:szCs w:val="21"/>
                <w:highlight w:val="none"/>
              </w:rPr>
            </w:pPr>
          </w:p>
        </w:tc>
        <w:tc>
          <w:tcPr>
            <w:tcW w:w="1002" w:type="pct"/>
            <w:vAlign w:val="center"/>
          </w:tcPr>
          <w:p w14:paraId="0042BF48">
            <w:pPr>
              <w:pStyle w:val="48"/>
              <w:jc w:val="center"/>
              <w:rPr>
                <w:rFonts w:hint="eastAsia" w:ascii="宋体" w:hAnsi="宋体" w:eastAsia="宋体" w:cs="宋体"/>
                <w:color w:val="auto"/>
                <w:sz w:val="21"/>
                <w:szCs w:val="21"/>
                <w:highlight w:val="none"/>
              </w:rPr>
            </w:pPr>
          </w:p>
        </w:tc>
        <w:tc>
          <w:tcPr>
            <w:tcW w:w="1090" w:type="pct"/>
            <w:vAlign w:val="center"/>
          </w:tcPr>
          <w:p w14:paraId="101256FD">
            <w:pPr>
              <w:pStyle w:val="48"/>
              <w:jc w:val="center"/>
              <w:rPr>
                <w:rFonts w:hint="eastAsia" w:ascii="宋体" w:hAnsi="宋体" w:eastAsia="宋体" w:cs="宋体"/>
                <w:color w:val="auto"/>
                <w:sz w:val="21"/>
                <w:szCs w:val="21"/>
                <w:highlight w:val="none"/>
              </w:rPr>
            </w:pPr>
          </w:p>
        </w:tc>
        <w:tc>
          <w:tcPr>
            <w:tcW w:w="1090" w:type="pct"/>
            <w:vAlign w:val="center"/>
          </w:tcPr>
          <w:p w14:paraId="1C7FF8A5">
            <w:pPr>
              <w:pStyle w:val="48"/>
              <w:jc w:val="center"/>
              <w:rPr>
                <w:rFonts w:hint="eastAsia" w:ascii="宋体" w:hAnsi="宋体" w:eastAsia="宋体" w:cs="宋体"/>
                <w:color w:val="auto"/>
                <w:sz w:val="21"/>
                <w:szCs w:val="21"/>
                <w:highlight w:val="none"/>
              </w:rPr>
            </w:pPr>
          </w:p>
        </w:tc>
      </w:tr>
      <w:tr w14:paraId="02F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458511A">
            <w:pPr>
              <w:pStyle w:val="48"/>
              <w:jc w:val="center"/>
              <w:rPr>
                <w:rFonts w:hint="eastAsia" w:ascii="宋体" w:hAnsi="宋体" w:eastAsia="宋体" w:cs="宋体"/>
                <w:color w:val="auto"/>
                <w:sz w:val="21"/>
                <w:szCs w:val="21"/>
                <w:highlight w:val="none"/>
              </w:rPr>
            </w:pPr>
          </w:p>
        </w:tc>
        <w:tc>
          <w:tcPr>
            <w:tcW w:w="1395" w:type="pct"/>
            <w:vAlign w:val="center"/>
          </w:tcPr>
          <w:p w14:paraId="5682E2D1">
            <w:pPr>
              <w:pStyle w:val="48"/>
              <w:jc w:val="center"/>
              <w:rPr>
                <w:rFonts w:hint="eastAsia" w:ascii="宋体" w:hAnsi="宋体" w:eastAsia="宋体" w:cs="宋体"/>
                <w:color w:val="auto"/>
                <w:sz w:val="21"/>
                <w:szCs w:val="21"/>
                <w:highlight w:val="none"/>
              </w:rPr>
            </w:pPr>
          </w:p>
        </w:tc>
        <w:tc>
          <w:tcPr>
            <w:tcW w:w="1002" w:type="pct"/>
            <w:vAlign w:val="center"/>
          </w:tcPr>
          <w:p w14:paraId="76E9879E">
            <w:pPr>
              <w:pStyle w:val="48"/>
              <w:jc w:val="center"/>
              <w:rPr>
                <w:rFonts w:hint="eastAsia" w:ascii="宋体" w:hAnsi="宋体" w:eastAsia="宋体" w:cs="宋体"/>
                <w:color w:val="auto"/>
                <w:sz w:val="21"/>
                <w:szCs w:val="21"/>
                <w:highlight w:val="none"/>
              </w:rPr>
            </w:pPr>
          </w:p>
        </w:tc>
        <w:tc>
          <w:tcPr>
            <w:tcW w:w="1090" w:type="pct"/>
            <w:vAlign w:val="center"/>
          </w:tcPr>
          <w:p w14:paraId="63343BAE">
            <w:pPr>
              <w:pStyle w:val="48"/>
              <w:jc w:val="center"/>
              <w:rPr>
                <w:rFonts w:hint="eastAsia" w:ascii="宋体" w:hAnsi="宋体" w:eastAsia="宋体" w:cs="宋体"/>
                <w:color w:val="auto"/>
                <w:sz w:val="21"/>
                <w:szCs w:val="21"/>
                <w:highlight w:val="none"/>
              </w:rPr>
            </w:pPr>
          </w:p>
        </w:tc>
        <w:tc>
          <w:tcPr>
            <w:tcW w:w="1090" w:type="pct"/>
            <w:vAlign w:val="center"/>
          </w:tcPr>
          <w:p w14:paraId="2F4D9BEC">
            <w:pPr>
              <w:pStyle w:val="48"/>
              <w:jc w:val="center"/>
              <w:rPr>
                <w:rFonts w:hint="eastAsia" w:ascii="宋体" w:hAnsi="宋体" w:eastAsia="宋体" w:cs="宋体"/>
                <w:color w:val="auto"/>
                <w:sz w:val="21"/>
                <w:szCs w:val="21"/>
                <w:highlight w:val="none"/>
              </w:rPr>
            </w:pPr>
          </w:p>
        </w:tc>
      </w:tr>
      <w:tr w14:paraId="650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D23FA22">
            <w:pPr>
              <w:pStyle w:val="48"/>
              <w:jc w:val="center"/>
              <w:rPr>
                <w:rFonts w:hint="eastAsia" w:ascii="宋体" w:hAnsi="宋体" w:eastAsia="宋体" w:cs="宋体"/>
                <w:color w:val="auto"/>
                <w:sz w:val="21"/>
                <w:szCs w:val="21"/>
                <w:highlight w:val="none"/>
              </w:rPr>
            </w:pPr>
          </w:p>
        </w:tc>
        <w:tc>
          <w:tcPr>
            <w:tcW w:w="1395" w:type="pct"/>
            <w:vAlign w:val="center"/>
          </w:tcPr>
          <w:p w14:paraId="582C2856">
            <w:pPr>
              <w:pStyle w:val="48"/>
              <w:jc w:val="center"/>
              <w:rPr>
                <w:rFonts w:hint="eastAsia" w:ascii="宋体" w:hAnsi="宋体" w:eastAsia="宋体" w:cs="宋体"/>
                <w:color w:val="auto"/>
                <w:sz w:val="21"/>
                <w:szCs w:val="21"/>
                <w:highlight w:val="none"/>
              </w:rPr>
            </w:pPr>
          </w:p>
        </w:tc>
        <w:tc>
          <w:tcPr>
            <w:tcW w:w="1002" w:type="pct"/>
            <w:vAlign w:val="center"/>
          </w:tcPr>
          <w:p w14:paraId="324F9122">
            <w:pPr>
              <w:pStyle w:val="48"/>
              <w:jc w:val="center"/>
              <w:rPr>
                <w:rFonts w:hint="eastAsia" w:ascii="宋体" w:hAnsi="宋体" w:eastAsia="宋体" w:cs="宋体"/>
                <w:color w:val="auto"/>
                <w:sz w:val="21"/>
                <w:szCs w:val="21"/>
                <w:highlight w:val="none"/>
              </w:rPr>
            </w:pPr>
          </w:p>
        </w:tc>
        <w:tc>
          <w:tcPr>
            <w:tcW w:w="1090" w:type="pct"/>
            <w:vAlign w:val="center"/>
          </w:tcPr>
          <w:p w14:paraId="2C83C7AC">
            <w:pPr>
              <w:pStyle w:val="48"/>
              <w:jc w:val="center"/>
              <w:rPr>
                <w:rFonts w:hint="eastAsia" w:ascii="宋体" w:hAnsi="宋体" w:eastAsia="宋体" w:cs="宋体"/>
                <w:color w:val="auto"/>
                <w:sz w:val="21"/>
                <w:szCs w:val="21"/>
                <w:highlight w:val="none"/>
              </w:rPr>
            </w:pPr>
          </w:p>
        </w:tc>
        <w:tc>
          <w:tcPr>
            <w:tcW w:w="1090" w:type="pct"/>
            <w:vAlign w:val="center"/>
          </w:tcPr>
          <w:p w14:paraId="23B6861A">
            <w:pPr>
              <w:pStyle w:val="48"/>
              <w:jc w:val="center"/>
              <w:rPr>
                <w:rFonts w:hint="eastAsia" w:ascii="宋体" w:hAnsi="宋体" w:eastAsia="宋体" w:cs="宋体"/>
                <w:color w:val="auto"/>
                <w:sz w:val="21"/>
                <w:szCs w:val="21"/>
                <w:highlight w:val="none"/>
              </w:rPr>
            </w:pPr>
          </w:p>
        </w:tc>
      </w:tr>
      <w:tr w14:paraId="53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06D2AB5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799470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460CD4A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A23004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8EC7DE5">
            <w:pPr>
              <w:pStyle w:val="48"/>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307BC303">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1" w:name="_Toc18155"/>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811"/>
    </w:p>
    <w:p w14:paraId="7DB08DA5">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4A687997">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2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0BB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37278D52">
            <w:pPr>
              <w:jc w:val="center"/>
              <w:rPr>
                <w:rFonts w:hint="eastAsia" w:ascii="宋体" w:hAnsi="宋体" w:eastAsia="宋体" w:cs="宋体"/>
                <w:color w:val="auto"/>
                <w:sz w:val="21"/>
                <w:szCs w:val="21"/>
                <w:highlight w:val="none"/>
              </w:rPr>
            </w:pPr>
            <w:bookmarkStart w:id="812" w:name="_Hlk46779239"/>
            <w:r>
              <w:rPr>
                <w:rFonts w:hint="eastAsia" w:ascii="宋体" w:hAnsi="宋体" w:eastAsia="宋体" w:cs="宋体"/>
                <w:color w:val="auto"/>
                <w:sz w:val="21"/>
                <w:szCs w:val="21"/>
                <w:highlight w:val="none"/>
              </w:rPr>
              <w:t>序号</w:t>
            </w:r>
          </w:p>
        </w:tc>
        <w:tc>
          <w:tcPr>
            <w:tcW w:w="1080" w:type="dxa"/>
            <w:vAlign w:val="center"/>
          </w:tcPr>
          <w:p w14:paraId="5EA65C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15F71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7F2B95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6A877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DD0D2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607D7E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49B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1F1D1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5A72089">
            <w:pPr>
              <w:rPr>
                <w:rFonts w:hint="eastAsia" w:ascii="宋体" w:hAnsi="宋体" w:eastAsia="宋体" w:cs="宋体"/>
                <w:color w:val="auto"/>
                <w:sz w:val="21"/>
                <w:szCs w:val="21"/>
                <w:highlight w:val="none"/>
              </w:rPr>
            </w:pPr>
          </w:p>
        </w:tc>
        <w:tc>
          <w:tcPr>
            <w:tcW w:w="1248" w:type="dxa"/>
            <w:vAlign w:val="center"/>
          </w:tcPr>
          <w:p w14:paraId="6F3805E3">
            <w:pPr>
              <w:rPr>
                <w:rFonts w:hint="eastAsia" w:ascii="宋体" w:hAnsi="宋体" w:eastAsia="宋体" w:cs="宋体"/>
                <w:color w:val="auto"/>
                <w:sz w:val="21"/>
                <w:szCs w:val="21"/>
                <w:highlight w:val="none"/>
              </w:rPr>
            </w:pPr>
          </w:p>
        </w:tc>
        <w:tc>
          <w:tcPr>
            <w:tcW w:w="1129" w:type="dxa"/>
            <w:vAlign w:val="center"/>
          </w:tcPr>
          <w:p w14:paraId="7CB7C00C">
            <w:pPr>
              <w:rPr>
                <w:rFonts w:hint="eastAsia" w:ascii="宋体" w:hAnsi="宋体" w:eastAsia="宋体" w:cs="宋体"/>
                <w:color w:val="auto"/>
                <w:sz w:val="21"/>
                <w:szCs w:val="21"/>
                <w:highlight w:val="none"/>
              </w:rPr>
            </w:pPr>
          </w:p>
        </w:tc>
        <w:tc>
          <w:tcPr>
            <w:tcW w:w="1283" w:type="dxa"/>
            <w:vAlign w:val="center"/>
          </w:tcPr>
          <w:p w14:paraId="60DAC622">
            <w:pPr>
              <w:rPr>
                <w:rFonts w:hint="eastAsia" w:ascii="宋体" w:hAnsi="宋体" w:eastAsia="宋体" w:cs="宋体"/>
                <w:color w:val="auto"/>
                <w:sz w:val="21"/>
                <w:szCs w:val="21"/>
                <w:highlight w:val="none"/>
              </w:rPr>
            </w:pPr>
          </w:p>
        </w:tc>
        <w:tc>
          <w:tcPr>
            <w:tcW w:w="1368" w:type="dxa"/>
            <w:vAlign w:val="center"/>
          </w:tcPr>
          <w:p w14:paraId="5436BEC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6799D8A5">
            <w:pPr>
              <w:rPr>
                <w:rFonts w:hint="eastAsia" w:ascii="宋体" w:hAnsi="宋体" w:eastAsia="宋体" w:cs="宋体"/>
                <w:color w:val="auto"/>
                <w:sz w:val="21"/>
                <w:szCs w:val="21"/>
                <w:highlight w:val="none"/>
              </w:rPr>
            </w:pPr>
          </w:p>
        </w:tc>
      </w:tr>
      <w:tr w14:paraId="4367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3174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3C7437EA">
            <w:pPr>
              <w:rPr>
                <w:rFonts w:hint="eastAsia" w:ascii="宋体" w:hAnsi="宋体" w:eastAsia="宋体" w:cs="宋体"/>
                <w:color w:val="auto"/>
                <w:sz w:val="21"/>
                <w:szCs w:val="21"/>
                <w:highlight w:val="none"/>
              </w:rPr>
            </w:pPr>
          </w:p>
        </w:tc>
        <w:tc>
          <w:tcPr>
            <w:tcW w:w="1248" w:type="dxa"/>
            <w:vAlign w:val="center"/>
          </w:tcPr>
          <w:p w14:paraId="753A8A2D">
            <w:pPr>
              <w:rPr>
                <w:rFonts w:hint="eastAsia" w:ascii="宋体" w:hAnsi="宋体" w:eastAsia="宋体" w:cs="宋体"/>
                <w:color w:val="auto"/>
                <w:sz w:val="21"/>
                <w:szCs w:val="21"/>
                <w:highlight w:val="none"/>
              </w:rPr>
            </w:pPr>
          </w:p>
        </w:tc>
        <w:tc>
          <w:tcPr>
            <w:tcW w:w="1129" w:type="dxa"/>
            <w:vAlign w:val="center"/>
          </w:tcPr>
          <w:p w14:paraId="02634890">
            <w:pPr>
              <w:rPr>
                <w:rFonts w:hint="eastAsia" w:ascii="宋体" w:hAnsi="宋体" w:eastAsia="宋体" w:cs="宋体"/>
                <w:color w:val="auto"/>
                <w:sz w:val="21"/>
                <w:szCs w:val="21"/>
                <w:highlight w:val="none"/>
              </w:rPr>
            </w:pPr>
          </w:p>
        </w:tc>
        <w:tc>
          <w:tcPr>
            <w:tcW w:w="1283" w:type="dxa"/>
            <w:vAlign w:val="center"/>
          </w:tcPr>
          <w:p w14:paraId="3563AED4">
            <w:pPr>
              <w:rPr>
                <w:rFonts w:hint="eastAsia" w:ascii="宋体" w:hAnsi="宋体" w:eastAsia="宋体" w:cs="宋体"/>
                <w:color w:val="auto"/>
                <w:sz w:val="21"/>
                <w:szCs w:val="21"/>
                <w:highlight w:val="none"/>
              </w:rPr>
            </w:pPr>
          </w:p>
        </w:tc>
        <w:tc>
          <w:tcPr>
            <w:tcW w:w="1368" w:type="dxa"/>
            <w:vAlign w:val="center"/>
          </w:tcPr>
          <w:p w14:paraId="4ED6DFCE">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069D1E24">
            <w:pPr>
              <w:rPr>
                <w:rFonts w:hint="eastAsia" w:ascii="宋体" w:hAnsi="宋体" w:eastAsia="宋体" w:cs="宋体"/>
                <w:color w:val="auto"/>
                <w:sz w:val="21"/>
                <w:szCs w:val="21"/>
                <w:highlight w:val="none"/>
              </w:rPr>
            </w:pPr>
          </w:p>
        </w:tc>
      </w:tr>
      <w:tr w14:paraId="026F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CB6E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5AFF132B">
            <w:pPr>
              <w:rPr>
                <w:rFonts w:hint="eastAsia" w:ascii="宋体" w:hAnsi="宋体" w:eastAsia="宋体" w:cs="宋体"/>
                <w:color w:val="auto"/>
                <w:sz w:val="21"/>
                <w:szCs w:val="21"/>
                <w:highlight w:val="none"/>
              </w:rPr>
            </w:pPr>
          </w:p>
        </w:tc>
        <w:tc>
          <w:tcPr>
            <w:tcW w:w="1248" w:type="dxa"/>
            <w:vAlign w:val="center"/>
          </w:tcPr>
          <w:p w14:paraId="40DFA463">
            <w:pPr>
              <w:rPr>
                <w:rFonts w:hint="eastAsia" w:ascii="宋体" w:hAnsi="宋体" w:eastAsia="宋体" w:cs="宋体"/>
                <w:color w:val="auto"/>
                <w:sz w:val="21"/>
                <w:szCs w:val="21"/>
                <w:highlight w:val="none"/>
              </w:rPr>
            </w:pPr>
          </w:p>
        </w:tc>
        <w:tc>
          <w:tcPr>
            <w:tcW w:w="1129" w:type="dxa"/>
            <w:vAlign w:val="center"/>
          </w:tcPr>
          <w:p w14:paraId="192188BA">
            <w:pPr>
              <w:rPr>
                <w:rFonts w:hint="eastAsia" w:ascii="宋体" w:hAnsi="宋体" w:eastAsia="宋体" w:cs="宋体"/>
                <w:color w:val="auto"/>
                <w:sz w:val="21"/>
                <w:szCs w:val="21"/>
                <w:highlight w:val="none"/>
              </w:rPr>
            </w:pPr>
          </w:p>
        </w:tc>
        <w:tc>
          <w:tcPr>
            <w:tcW w:w="1283" w:type="dxa"/>
            <w:vAlign w:val="center"/>
          </w:tcPr>
          <w:p w14:paraId="58044B96">
            <w:pPr>
              <w:rPr>
                <w:rFonts w:hint="eastAsia" w:ascii="宋体" w:hAnsi="宋体" w:eastAsia="宋体" w:cs="宋体"/>
                <w:color w:val="auto"/>
                <w:sz w:val="21"/>
                <w:szCs w:val="21"/>
                <w:highlight w:val="none"/>
              </w:rPr>
            </w:pPr>
          </w:p>
        </w:tc>
        <w:tc>
          <w:tcPr>
            <w:tcW w:w="1368" w:type="dxa"/>
            <w:vAlign w:val="center"/>
          </w:tcPr>
          <w:p w14:paraId="10BAB04D">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048AC4DE">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682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5EB02E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30E7C832">
            <w:pPr>
              <w:rPr>
                <w:rFonts w:hint="eastAsia" w:ascii="宋体" w:hAnsi="宋体" w:eastAsia="宋体" w:cs="宋体"/>
                <w:color w:val="auto"/>
                <w:sz w:val="21"/>
                <w:szCs w:val="21"/>
                <w:highlight w:val="none"/>
              </w:rPr>
            </w:pPr>
          </w:p>
        </w:tc>
        <w:tc>
          <w:tcPr>
            <w:tcW w:w="1248" w:type="dxa"/>
            <w:vAlign w:val="center"/>
          </w:tcPr>
          <w:p w14:paraId="147B2F98">
            <w:pPr>
              <w:rPr>
                <w:rFonts w:hint="eastAsia" w:ascii="宋体" w:hAnsi="宋体" w:eastAsia="宋体" w:cs="宋体"/>
                <w:color w:val="auto"/>
                <w:sz w:val="21"/>
                <w:szCs w:val="21"/>
                <w:highlight w:val="none"/>
              </w:rPr>
            </w:pPr>
          </w:p>
        </w:tc>
        <w:tc>
          <w:tcPr>
            <w:tcW w:w="1129" w:type="dxa"/>
            <w:vAlign w:val="center"/>
          </w:tcPr>
          <w:p w14:paraId="61B0E0D4">
            <w:pPr>
              <w:rPr>
                <w:rFonts w:hint="eastAsia" w:ascii="宋体" w:hAnsi="宋体" w:eastAsia="宋体" w:cs="宋体"/>
                <w:color w:val="auto"/>
                <w:sz w:val="21"/>
                <w:szCs w:val="21"/>
                <w:highlight w:val="none"/>
              </w:rPr>
            </w:pPr>
          </w:p>
        </w:tc>
        <w:tc>
          <w:tcPr>
            <w:tcW w:w="1283" w:type="dxa"/>
            <w:vAlign w:val="center"/>
          </w:tcPr>
          <w:p w14:paraId="6B918799">
            <w:pPr>
              <w:rPr>
                <w:rFonts w:hint="eastAsia" w:ascii="宋体" w:hAnsi="宋体" w:eastAsia="宋体" w:cs="宋体"/>
                <w:color w:val="auto"/>
                <w:sz w:val="21"/>
                <w:szCs w:val="21"/>
                <w:highlight w:val="none"/>
              </w:rPr>
            </w:pPr>
          </w:p>
        </w:tc>
        <w:tc>
          <w:tcPr>
            <w:tcW w:w="1368" w:type="dxa"/>
            <w:vAlign w:val="center"/>
          </w:tcPr>
          <w:p w14:paraId="1BCEEA1A">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459FE74C">
            <w:pPr>
              <w:rPr>
                <w:rFonts w:hint="eastAsia" w:ascii="宋体" w:hAnsi="宋体" w:eastAsia="宋体" w:cs="宋体"/>
                <w:color w:val="auto"/>
                <w:sz w:val="21"/>
                <w:szCs w:val="21"/>
                <w:highlight w:val="none"/>
              </w:rPr>
            </w:pPr>
          </w:p>
        </w:tc>
      </w:tr>
      <w:bookmarkEnd w:id="812"/>
    </w:tbl>
    <w:p w14:paraId="0D2F5038">
      <w:pPr>
        <w:rPr>
          <w:rFonts w:hint="eastAsia" w:cs="仿宋_GB2312"/>
          <w:color w:val="auto"/>
          <w:szCs w:val="24"/>
          <w:highlight w:val="none"/>
        </w:rPr>
      </w:pPr>
    </w:p>
    <w:p w14:paraId="088168D4">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7D75AD1">
      <w:pPr>
        <w:rPr>
          <w:rFonts w:cs="仿宋_GB2312"/>
          <w:color w:val="auto"/>
          <w:szCs w:val="24"/>
          <w:highlight w:val="none"/>
        </w:rPr>
      </w:pP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3" w:name="_Toc13134"/>
      <w:r>
        <w:rPr>
          <w:rFonts w:hint="eastAsia" w:cstheme="majorBidi"/>
          <w:b/>
          <w:bCs/>
          <w:color w:val="auto"/>
          <w:kern w:val="2"/>
          <w:sz w:val="32"/>
          <w:szCs w:val="32"/>
          <w:highlight w:val="none"/>
          <w:lang w:val="en-US" w:eastAsia="zh-CN" w:bidi="ar-SA"/>
        </w:rPr>
        <w:t>八</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813"/>
    </w:p>
    <w:tbl>
      <w:tblPr>
        <w:tblStyle w:val="2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0940B260">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资格</w:t>
            </w:r>
            <w:r>
              <w:rPr>
                <w:rFonts w:hint="eastAsia" w:ascii="宋体" w:hAnsi="宋体" w:eastAsia="宋体" w:cs="宋体"/>
                <w:color w:val="auto"/>
                <w:sz w:val="21"/>
                <w:szCs w:val="21"/>
                <w:highlight w:val="none"/>
                <w:lang w:val="en-US" w:eastAsia="zh-CN"/>
              </w:rPr>
              <w:t>证书（岗位证书）名称及编号</w:t>
            </w:r>
          </w:p>
        </w:tc>
        <w:tc>
          <w:tcPr>
            <w:tcW w:w="1356" w:type="dxa"/>
            <w:vAlign w:val="center"/>
          </w:tcPr>
          <w:p w14:paraId="422D7D9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8"/>
              <w:jc w:val="center"/>
              <w:rPr>
                <w:rFonts w:hint="eastAsia" w:ascii="宋体" w:hAnsi="宋体" w:eastAsia="宋体" w:cs="宋体"/>
                <w:color w:val="auto"/>
                <w:sz w:val="21"/>
                <w:szCs w:val="21"/>
                <w:highlight w:val="none"/>
              </w:rPr>
            </w:pPr>
            <w:bookmarkStart w:id="814" w:name="_Toc100090784"/>
            <w:bookmarkStart w:id="815" w:name="_Toc99533292"/>
            <w:r>
              <w:rPr>
                <w:rFonts w:hint="eastAsia" w:ascii="宋体" w:hAnsi="宋体" w:eastAsia="宋体" w:cs="宋体"/>
                <w:color w:val="auto"/>
                <w:sz w:val="21"/>
                <w:szCs w:val="21"/>
                <w:highlight w:val="none"/>
              </w:rPr>
              <w:t>1</w:t>
            </w:r>
            <w:bookmarkEnd w:id="814"/>
            <w:bookmarkEnd w:id="815"/>
          </w:p>
        </w:tc>
        <w:tc>
          <w:tcPr>
            <w:tcW w:w="1267" w:type="dxa"/>
            <w:vAlign w:val="center"/>
          </w:tcPr>
          <w:p w14:paraId="04D72608">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48"/>
              <w:jc w:val="center"/>
              <w:rPr>
                <w:rFonts w:hint="eastAsia" w:ascii="宋体" w:hAnsi="宋体" w:eastAsia="宋体" w:cs="宋体"/>
                <w:color w:val="auto"/>
                <w:sz w:val="21"/>
                <w:szCs w:val="21"/>
                <w:highlight w:val="none"/>
              </w:rPr>
            </w:pPr>
          </w:p>
        </w:tc>
        <w:tc>
          <w:tcPr>
            <w:tcW w:w="1860" w:type="dxa"/>
            <w:vAlign w:val="center"/>
          </w:tcPr>
          <w:p w14:paraId="7F355EC3">
            <w:pPr>
              <w:pStyle w:val="48"/>
              <w:jc w:val="center"/>
              <w:rPr>
                <w:rFonts w:hint="eastAsia" w:ascii="宋体" w:hAnsi="宋体" w:eastAsia="宋体" w:cs="宋体"/>
                <w:color w:val="auto"/>
                <w:sz w:val="21"/>
                <w:szCs w:val="21"/>
                <w:highlight w:val="none"/>
              </w:rPr>
            </w:pPr>
          </w:p>
        </w:tc>
        <w:tc>
          <w:tcPr>
            <w:tcW w:w="1356" w:type="dxa"/>
            <w:vAlign w:val="center"/>
          </w:tcPr>
          <w:p w14:paraId="11476DCE">
            <w:pPr>
              <w:pStyle w:val="48"/>
              <w:jc w:val="center"/>
              <w:rPr>
                <w:rFonts w:hint="eastAsia" w:ascii="宋体" w:hAnsi="宋体" w:eastAsia="宋体" w:cs="宋体"/>
                <w:color w:val="auto"/>
                <w:sz w:val="21"/>
                <w:szCs w:val="21"/>
                <w:highlight w:val="none"/>
              </w:rPr>
            </w:pPr>
          </w:p>
        </w:tc>
        <w:tc>
          <w:tcPr>
            <w:tcW w:w="816" w:type="dxa"/>
            <w:vAlign w:val="center"/>
          </w:tcPr>
          <w:p w14:paraId="30F5864D">
            <w:pPr>
              <w:pStyle w:val="48"/>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8"/>
              <w:jc w:val="center"/>
              <w:rPr>
                <w:rFonts w:hint="eastAsia" w:ascii="宋体" w:hAnsi="宋体" w:eastAsia="宋体" w:cs="宋体"/>
                <w:color w:val="auto"/>
                <w:sz w:val="21"/>
                <w:szCs w:val="21"/>
                <w:highlight w:val="none"/>
              </w:rPr>
            </w:pPr>
            <w:bookmarkStart w:id="816" w:name="_Toc99533293"/>
            <w:bookmarkStart w:id="817" w:name="_Toc100090785"/>
            <w:r>
              <w:rPr>
                <w:rFonts w:hint="eastAsia" w:ascii="宋体" w:hAnsi="宋体" w:eastAsia="宋体" w:cs="宋体"/>
                <w:color w:val="auto"/>
                <w:sz w:val="21"/>
                <w:szCs w:val="21"/>
                <w:highlight w:val="none"/>
              </w:rPr>
              <w:t>2</w:t>
            </w:r>
            <w:bookmarkEnd w:id="816"/>
            <w:bookmarkEnd w:id="817"/>
          </w:p>
        </w:tc>
        <w:tc>
          <w:tcPr>
            <w:tcW w:w="1267" w:type="dxa"/>
            <w:vAlign w:val="center"/>
          </w:tcPr>
          <w:p w14:paraId="3AE14FF6">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48"/>
              <w:jc w:val="center"/>
              <w:rPr>
                <w:rFonts w:hint="eastAsia" w:ascii="宋体" w:hAnsi="宋体" w:eastAsia="宋体" w:cs="宋体"/>
                <w:color w:val="auto"/>
                <w:sz w:val="21"/>
                <w:szCs w:val="21"/>
                <w:highlight w:val="none"/>
              </w:rPr>
            </w:pPr>
          </w:p>
        </w:tc>
        <w:tc>
          <w:tcPr>
            <w:tcW w:w="1860" w:type="dxa"/>
            <w:vAlign w:val="center"/>
          </w:tcPr>
          <w:p w14:paraId="390E678F">
            <w:pPr>
              <w:pStyle w:val="48"/>
              <w:jc w:val="center"/>
              <w:rPr>
                <w:rFonts w:hint="eastAsia" w:ascii="宋体" w:hAnsi="宋体" w:eastAsia="宋体" w:cs="宋体"/>
                <w:color w:val="auto"/>
                <w:sz w:val="21"/>
                <w:szCs w:val="21"/>
                <w:highlight w:val="none"/>
              </w:rPr>
            </w:pPr>
          </w:p>
        </w:tc>
        <w:tc>
          <w:tcPr>
            <w:tcW w:w="1356" w:type="dxa"/>
            <w:vAlign w:val="center"/>
          </w:tcPr>
          <w:p w14:paraId="44B4146B">
            <w:pPr>
              <w:pStyle w:val="48"/>
              <w:jc w:val="center"/>
              <w:rPr>
                <w:rFonts w:hint="eastAsia" w:ascii="宋体" w:hAnsi="宋体" w:eastAsia="宋体" w:cs="宋体"/>
                <w:color w:val="auto"/>
                <w:sz w:val="21"/>
                <w:szCs w:val="21"/>
                <w:highlight w:val="none"/>
              </w:rPr>
            </w:pPr>
          </w:p>
        </w:tc>
        <w:tc>
          <w:tcPr>
            <w:tcW w:w="816" w:type="dxa"/>
            <w:vAlign w:val="center"/>
          </w:tcPr>
          <w:p w14:paraId="3D8C0BFB">
            <w:pPr>
              <w:pStyle w:val="48"/>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8"/>
              <w:jc w:val="center"/>
              <w:rPr>
                <w:rFonts w:hint="eastAsia" w:ascii="宋体" w:hAnsi="宋体" w:eastAsia="宋体" w:cs="宋体"/>
                <w:color w:val="auto"/>
                <w:sz w:val="21"/>
                <w:szCs w:val="21"/>
                <w:highlight w:val="none"/>
              </w:rPr>
            </w:pPr>
            <w:bookmarkStart w:id="818" w:name="_Toc99533294"/>
            <w:bookmarkStart w:id="819" w:name="_Toc100090786"/>
            <w:r>
              <w:rPr>
                <w:rFonts w:hint="eastAsia" w:ascii="宋体" w:hAnsi="宋体" w:eastAsia="宋体" w:cs="宋体"/>
                <w:color w:val="auto"/>
                <w:sz w:val="21"/>
                <w:szCs w:val="21"/>
                <w:highlight w:val="none"/>
              </w:rPr>
              <w:t>3</w:t>
            </w:r>
            <w:bookmarkEnd w:id="818"/>
            <w:bookmarkEnd w:id="819"/>
          </w:p>
        </w:tc>
        <w:tc>
          <w:tcPr>
            <w:tcW w:w="1267" w:type="dxa"/>
            <w:vAlign w:val="center"/>
          </w:tcPr>
          <w:p w14:paraId="19C124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48"/>
              <w:jc w:val="center"/>
              <w:rPr>
                <w:rFonts w:hint="eastAsia" w:ascii="宋体" w:hAnsi="宋体" w:eastAsia="宋体" w:cs="宋体"/>
                <w:color w:val="auto"/>
                <w:sz w:val="21"/>
                <w:szCs w:val="21"/>
                <w:highlight w:val="none"/>
              </w:rPr>
            </w:pPr>
          </w:p>
        </w:tc>
        <w:tc>
          <w:tcPr>
            <w:tcW w:w="1860" w:type="dxa"/>
            <w:vAlign w:val="center"/>
          </w:tcPr>
          <w:p w14:paraId="3F31D2CD">
            <w:pPr>
              <w:pStyle w:val="48"/>
              <w:jc w:val="center"/>
              <w:rPr>
                <w:rFonts w:hint="eastAsia" w:ascii="宋体" w:hAnsi="宋体" w:eastAsia="宋体" w:cs="宋体"/>
                <w:color w:val="auto"/>
                <w:sz w:val="21"/>
                <w:szCs w:val="21"/>
                <w:highlight w:val="none"/>
              </w:rPr>
            </w:pPr>
          </w:p>
        </w:tc>
        <w:tc>
          <w:tcPr>
            <w:tcW w:w="1356" w:type="dxa"/>
            <w:vAlign w:val="center"/>
          </w:tcPr>
          <w:p w14:paraId="3A9D9DD7">
            <w:pPr>
              <w:pStyle w:val="48"/>
              <w:jc w:val="center"/>
              <w:rPr>
                <w:rFonts w:hint="eastAsia" w:ascii="宋体" w:hAnsi="宋体" w:eastAsia="宋体" w:cs="宋体"/>
                <w:color w:val="auto"/>
                <w:sz w:val="21"/>
                <w:szCs w:val="21"/>
                <w:highlight w:val="none"/>
              </w:rPr>
            </w:pPr>
          </w:p>
        </w:tc>
        <w:tc>
          <w:tcPr>
            <w:tcW w:w="816" w:type="dxa"/>
            <w:vAlign w:val="center"/>
          </w:tcPr>
          <w:p w14:paraId="0ED9D4FB">
            <w:pPr>
              <w:pStyle w:val="48"/>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8"/>
              <w:jc w:val="center"/>
              <w:rPr>
                <w:rFonts w:hint="eastAsia" w:ascii="宋体" w:hAnsi="宋体" w:eastAsia="宋体" w:cs="宋体"/>
                <w:color w:val="auto"/>
                <w:sz w:val="21"/>
                <w:szCs w:val="21"/>
                <w:highlight w:val="none"/>
              </w:rPr>
            </w:pPr>
            <w:bookmarkStart w:id="820" w:name="_Toc99533295"/>
            <w:bookmarkStart w:id="821" w:name="_Toc100090787"/>
            <w:r>
              <w:rPr>
                <w:rFonts w:hint="eastAsia" w:ascii="宋体" w:hAnsi="宋体" w:eastAsia="宋体" w:cs="宋体"/>
                <w:color w:val="auto"/>
                <w:sz w:val="21"/>
                <w:szCs w:val="21"/>
                <w:highlight w:val="none"/>
              </w:rPr>
              <w:t>4</w:t>
            </w:r>
            <w:bookmarkEnd w:id="820"/>
            <w:bookmarkEnd w:id="821"/>
          </w:p>
        </w:tc>
        <w:tc>
          <w:tcPr>
            <w:tcW w:w="1267" w:type="dxa"/>
            <w:vAlign w:val="center"/>
          </w:tcPr>
          <w:p w14:paraId="42DE0F63">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48"/>
              <w:jc w:val="center"/>
              <w:rPr>
                <w:rFonts w:hint="eastAsia" w:ascii="宋体" w:hAnsi="宋体" w:eastAsia="宋体" w:cs="宋体"/>
                <w:color w:val="auto"/>
                <w:sz w:val="21"/>
                <w:szCs w:val="21"/>
                <w:highlight w:val="none"/>
              </w:rPr>
            </w:pPr>
          </w:p>
        </w:tc>
        <w:tc>
          <w:tcPr>
            <w:tcW w:w="1860" w:type="dxa"/>
            <w:vAlign w:val="center"/>
          </w:tcPr>
          <w:p w14:paraId="068007BF">
            <w:pPr>
              <w:pStyle w:val="48"/>
              <w:jc w:val="center"/>
              <w:rPr>
                <w:rFonts w:hint="eastAsia" w:ascii="宋体" w:hAnsi="宋体" w:eastAsia="宋体" w:cs="宋体"/>
                <w:color w:val="auto"/>
                <w:sz w:val="21"/>
                <w:szCs w:val="21"/>
                <w:highlight w:val="none"/>
              </w:rPr>
            </w:pPr>
          </w:p>
        </w:tc>
        <w:tc>
          <w:tcPr>
            <w:tcW w:w="1356" w:type="dxa"/>
            <w:vAlign w:val="center"/>
          </w:tcPr>
          <w:p w14:paraId="5A94DC72">
            <w:pPr>
              <w:pStyle w:val="48"/>
              <w:jc w:val="center"/>
              <w:rPr>
                <w:rFonts w:hint="eastAsia" w:ascii="宋体" w:hAnsi="宋体" w:eastAsia="宋体" w:cs="宋体"/>
                <w:color w:val="auto"/>
                <w:sz w:val="21"/>
                <w:szCs w:val="21"/>
                <w:highlight w:val="none"/>
              </w:rPr>
            </w:pPr>
          </w:p>
        </w:tc>
        <w:tc>
          <w:tcPr>
            <w:tcW w:w="816" w:type="dxa"/>
            <w:vAlign w:val="center"/>
          </w:tcPr>
          <w:p w14:paraId="01F1E6DB">
            <w:pPr>
              <w:pStyle w:val="48"/>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8"/>
              <w:jc w:val="center"/>
              <w:rPr>
                <w:rFonts w:hint="eastAsia" w:ascii="宋体" w:hAnsi="宋体" w:eastAsia="宋体" w:cs="宋体"/>
                <w:color w:val="auto"/>
                <w:sz w:val="21"/>
                <w:szCs w:val="21"/>
                <w:highlight w:val="none"/>
              </w:rPr>
            </w:pPr>
            <w:bookmarkStart w:id="822" w:name="_Toc99533296"/>
            <w:bookmarkStart w:id="823" w:name="_Toc100090788"/>
            <w:r>
              <w:rPr>
                <w:rFonts w:hint="eastAsia" w:ascii="宋体" w:hAnsi="宋体" w:eastAsia="宋体" w:cs="宋体"/>
                <w:color w:val="auto"/>
                <w:sz w:val="21"/>
                <w:szCs w:val="21"/>
                <w:highlight w:val="none"/>
              </w:rPr>
              <w:t>5</w:t>
            </w:r>
            <w:bookmarkEnd w:id="822"/>
            <w:bookmarkEnd w:id="823"/>
          </w:p>
        </w:tc>
        <w:tc>
          <w:tcPr>
            <w:tcW w:w="1267" w:type="dxa"/>
            <w:vAlign w:val="center"/>
          </w:tcPr>
          <w:p w14:paraId="3241008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48"/>
              <w:jc w:val="center"/>
              <w:rPr>
                <w:rFonts w:hint="eastAsia" w:ascii="宋体" w:hAnsi="宋体" w:eastAsia="宋体" w:cs="宋体"/>
                <w:color w:val="auto"/>
                <w:sz w:val="21"/>
                <w:szCs w:val="21"/>
                <w:highlight w:val="none"/>
              </w:rPr>
            </w:pPr>
          </w:p>
        </w:tc>
        <w:tc>
          <w:tcPr>
            <w:tcW w:w="1860" w:type="dxa"/>
            <w:vAlign w:val="center"/>
          </w:tcPr>
          <w:p w14:paraId="12AB49C0">
            <w:pPr>
              <w:pStyle w:val="48"/>
              <w:jc w:val="center"/>
              <w:rPr>
                <w:rFonts w:hint="eastAsia" w:ascii="宋体" w:hAnsi="宋体" w:eastAsia="宋体" w:cs="宋体"/>
                <w:color w:val="auto"/>
                <w:sz w:val="21"/>
                <w:szCs w:val="21"/>
                <w:highlight w:val="none"/>
              </w:rPr>
            </w:pPr>
          </w:p>
        </w:tc>
        <w:tc>
          <w:tcPr>
            <w:tcW w:w="1356" w:type="dxa"/>
            <w:vAlign w:val="center"/>
          </w:tcPr>
          <w:p w14:paraId="1659A511">
            <w:pPr>
              <w:pStyle w:val="48"/>
              <w:jc w:val="center"/>
              <w:rPr>
                <w:rFonts w:hint="eastAsia" w:ascii="宋体" w:hAnsi="宋体" w:eastAsia="宋体" w:cs="宋体"/>
                <w:color w:val="auto"/>
                <w:sz w:val="21"/>
                <w:szCs w:val="21"/>
                <w:highlight w:val="none"/>
              </w:rPr>
            </w:pPr>
          </w:p>
        </w:tc>
        <w:tc>
          <w:tcPr>
            <w:tcW w:w="816" w:type="dxa"/>
            <w:vAlign w:val="center"/>
          </w:tcPr>
          <w:p w14:paraId="5FBE7410">
            <w:pPr>
              <w:pStyle w:val="48"/>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8"/>
              <w:jc w:val="center"/>
              <w:rPr>
                <w:rFonts w:hint="eastAsia" w:ascii="宋体" w:hAnsi="宋体" w:eastAsia="宋体" w:cs="宋体"/>
                <w:color w:val="auto"/>
                <w:sz w:val="21"/>
                <w:szCs w:val="21"/>
                <w:highlight w:val="none"/>
              </w:rPr>
            </w:pPr>
            <w:bookmarkStart w:id="824" w:name="_Toc99533297"/>
            <w:bookmarkStart w:id="825" w:name="_Toc100090789"/>
            <w:r>
              <w:rPr>
                <w:rFonts w:hint="eastAsia" w:ascii="宋体" w:hAnsi="宋体" w:eastAsia="宋体" w:cs="宋体"/>
                <w:color w:val="auto"/>
                <w:sz w:val="21"/>
                <w:szCs w:val="21"/>
                <w:highlight w:val="none"/>
              </w:rPr>
              <w:t>6</w:t>
            </w:r>
            <w:bookmarkEnd w:id="824"/>
            <w:bookmarkEnd w:id="825"/>
          </w:p>
        </w:tc>
        <w:tc>
          <w:tcPr>
            <w:tcW w:w="1267" w:type="dxa"/>
            <w:vAlign w:val="center"/>
          </w:tcPr>
          <w:p w14:paraId="40527E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48"/>
              <w:jc w:val="center"/>
              <w:rPr>
                <w:rFonts w:hint="eastAsia" w:ascii="宋体" w:hAnsi="宋体" w:eastAsia="宋体" w:cs="宋体"/>
                <w:color w:val="auto"/>
                <w:sz w:val="21"/>
                <w:szCs w:val="21"/>
                <w:highlight w:val="none"/>
              </w:rPr>
            </w:pPr>
          </w:p>
        </w:tc>
        <w:tc>
          <w:tcPr>
            <w:tcW w:w="1860" w:type="dxa"/>
            <w:vAlign w:val="center"/>
          </w:tcPr>
          <w:p w14:paraId="51ADEB68">
            <w:pPr>
              <w:pStyle w:val="48"/>
              <w:jc w:val="center"/>
              <w:rPr>
                <w:rFonts w:hint="eastAsia" w:ascii="宋体" w:hAnsi="宋体" w:eastAsia="宋体" w:cs="宋体"/>
                <w:color w:val="auto"/>
                <w:sz w:val="21"/>
                <w:szCs w:val="21"/>
                <w:highlight w:val="none"/>
              </w:rPr>
            </w:pPr>
          </w:p>
        </w:tc>
        <w:tc>
          <w:tcPr>
            <w:tcW w:w="1356" w:type="dxa"/>
            <w:vAlign w:val="center"/>
          </w:tcPr>
          <w:p w14:paraId="1CED2476">
            <w:pPr>
              <w:pStyle w:val="48"/>
              <w:jc w:val="center"/>
              <w:rPr>
                <w:rFonts w:hint="eastAsia" w:ascii="宋体" w:hAnsi="宋体" w:eastAsia="宋体" w:cs="宋体"/>
                <w:color w:val="auto"/>
                <w:sz w:val="21"/>
                <w:szCs w:val="21"/>
                <w:highlight w:val="none"/>
              </w:rPr>
            </w:pPr>
          </w:p>
        </w:tc>
        <w:tc>
          <w:tcPr>
            <w:tcW w:w="816" w:type="dxa"/>
            <w:vAlign w:val="center"/>
          </w:tcPr>
          <w:p w14:paraId="4EF8AB8A">
            <w:pPr>
              <w:pStyle w:val="48"/>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8"/>
              <w:jc w:val="center"/>
              <w:rPr>
                <w:rFonts w:hint="eastAsia" w:ascii="宋体" w:hAnsi="宋体" w:eastAsia="宋体" w:cs="宋体"/>
                <w:color w:val="auto"/>
                <w:sz w:val="21"/>
                <w:szCs w:val="21"/>
                <w:highlight w:val="none"/>
              </w:rPr>
            </w:pPr>
            <w:bookmarkStart w:id="826" w:name="_Toc99533298"/>
            <w:bookmarkStart w:id="827" w:name="_Toc100090790"/>
            <w:r>
              <w:rPr>
                <w:rFonts w:hint="eastAsia" w:ascii="宋体" w:hAnsi="宋体" w:eastAsia="宋体" w:cs="宋体"/>
                <w:color w:val="auto"/>
                <w:sz w:val="21"/>
                <w:szCs w:val="21"/>
                <w:highlight w:val="none"/>
              </w:rPr>
              <w:t>7</w:t>
            </w:r>
            <w:bookmarkEnd w:id="826"/>
            <w:bookmarkEnd w:id="827"/>
          </w:p>
        </w:tc>
        <w:tc>
          <w:tcPr>
            <w:tcW w:w="1267" w:type="dxa"/>
            <w:vAlign w:val="center"/>
          </w:tcPr>
          <w:p w14:paraId="3F3B684D">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48"/>
              <w:jc w:val="center"/>
              <w:rPr>
                <w:rFonts w:hint="eastAsia" w:ascii="宋体" w:hAnsi="宋体" w:eastAsia="宋体" w:cs="宋体"/>
                <w:color w:val="auto"/>
                <w:sz w:val="21"/>
                <w:szCs w:val="21"/>
                <w:highlight w:val="none"/>
              </w:rPr>
            </w:pPr>
          </w:p>
        </w:tc>
        <w:tc>
          <w:tcPr>
            <w:tcW w:w="1860" w:type="dxa"/>
            <w:vAlign w:val="center"/>
          </w:tcPr>
          <w:p w14:paraId="7E9B2A2D">
            <w:pPr>
              <w:pStyle w:val="48"/>
              <w:jc w:val="center"/>
              <w:rPr>
                <w:rFonts w:hint="eastAsia" w:ascii="宋体" w:hAnsi="宋体" w:eastAsia="宋体" w:cs="宋体"/>
                <w:color w:val="auto"/>
                <w:sz w:val="21"/>
                <w:szCs w:val="21"/>
                <w:highlight w:val="none"/>
              </w:rPr>
            </w:pPr>
          </w:p>
        </w:tc>
        <w:tc>
          <w:tcPr>
            <w:tcW w:w="1356" w:type="dxa"/>
            <w:vAlign w:val="center"/>
          </w:tcPr>
          <w:p w14:paraId="4A11C356">
            <w:pPr>
              <w:pStyle w:val="48"/>
              <w:jc w:val="center"/>
              <w:rPr>
                <w:rFonts w:hint="eastAsia" w:ascii="宋体" w:hAnsi="宋体" w:eastAsia="宋体" w:cs="宋体"/>
                <w:color w:val="auto"/>
                <w:sz w:val="21"/>
                <w:szCs w:val="21"/>
                <w:highlight w:val="none"/>
              </w:rPr>
            </w:pPr>
          </w:p>
        </w:tc>
        <w:tc>
          <w:tcPr>
            <w:tcW w:w="816" w:type="dxa"/>
            <w:vAlign w:val="center"/>
          </w:tcPr>
          <w:p w14:paraId="718DD530">
            <w:pPr>
              <w:pStyle w:val="48"/>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8"/>
              <w:jc w:val="center"/>
              <w:rPr>
                <w:rFonts w:hint="eastAsia" w:ascii="宋体" w:hAnsi="宋体" w:eastAsia="宋体" w:cs="宋体"/>
                <w:color w:val="auto"/>
                <w:sz w:val="21"/>
                <w:szCs w:val="21"/>
                <w:highlight w:val="none"/>
              </w:rPr>
            </w:pPr>
            <w:bookmarkStart w:id="828" w:name="_Toc99533299"/>
            <w:bookmarkStart w:id="829" w:name="_Toc100090791"/>
            <w:r>
              <w:rPr>
                <w:rFonts w:hint="eastAsia" w:ascii="宋体" w:hAnsi="宋体" w:eastAsia="宋体" w:cs="宋体"/>
                <w:color w:val="auto"/>
                <w:sz w:val="21"/>
                <w:szCs w:val="21"/>
                <w:highlight w:val="none"/>
              </w:rPr>
              <w:t>8</w:t>
            </w:r>
            <w:bookmarkEnd w:id="828"/>
            <w:bookmarkEnd w:id="829"/>
          </w:p>
        </w:tc>
        <w:tc>
          <w:tcPr>
            <w:tcW w:w="1267" w:type="dxa"/>
            <w:vAlign w:val="center"/>
          </w:tcPr>
          <w:p w14:paraId="20BD29D0">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48"/>
              <w:jc w:val="center"/>
              <w:rPr>
                <w:rFonts w:hint="eastAsia" w:ascii="宋体" w:hAnsi="宋体" w:eastAsia="宋体" w:cs="宋体"/>
                <w:color w:val="auto"/>
                <w:sz w:val="21"/>
                <w:szCs w:val="21"/>
                <w:highlight w:val="none"/>
              </w:rPr>
            </w:pPr>
          </w:p>
        </w:tc>
        <w:tc>
          <w:tcPr>
            <w:tcW w:w="1860" w:type="dxa"/>
            <w:vAlign w:val="center"/>
          </w:tcPr>
          <w:p w14:paraId="292DF220">
            <w:pPr>
              <w:pStyle w:val="48"/>
              <w:jc w:val="center"/>
              <w:rPr>
                <w:rFonts w:hint="eastAsia" w:ascii="宋体" w:hAnsi="宋体" w:eastAsia="宋体" w:cs="宋体"/>
                <w:color w:val="auto"/>
                <w:sz w:val="21"/>
                <w:szCs w:val="21"/>
                <w:highlight w:val="none"/>
              </w:rPr>
            </w:pPr>
          </w:p>
        </w:tc>
        <w:tc>
          <w:tcPr>
            <w:tcW w:w="1356" w:type="dxa"/>
            <w:vAlign w:val="center"/>
          </w:tcPr>
          <w:p w14:paraId="70F58594">
            <w:pPr>
              <w:pStyle w:val="48"/>
              <w:jc w:val="center"/>
              <w:rPr>
                <w:rFonts w:hint="eastAsia" w:ascii="宋体" w:hAnsi="宋体" w:eastAsia="宋体" w:cs="宋体"/>
                <w:color w:val="auto"/>
                <w:sz w:val="21"/>
                <w:szCs w:val="21"/>
                <w:highlight w:val="none"/>
              </w:rPr>
            </w:pPr>
          </w:p>
        </w:tc>
        <w:tc>
          <w:tcPr>
            <w:tcW w:w="816" w:type="dxa"/>
            <w:vAlign w:val="center"/>
          </w:tcPr>
          <w:p w14:paraId="247AF589">
            <w:pPr>
              <w:pStyle w:val="48"/>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8"/>
              <w:jc w:val="center"/>
              <w:rPr>
                <w:rFonts w:hint="eastAsia" w:ascii="宋体" w:hAnsi="宋体" w:eastAsia="宋体" w:cs="宋体"/>
                <w:color w:val="auto"/>
                <w:sz w:val="21"/>
                <w:szCs w:val="21"/>
                <w:highlight w:val="none"/>
              </w:rPr>
            </w:pPr>
            <w:bookmarkStart w:id="830" w:name="_Toc99533300"/>
            <w:bookmarkStart w:id="831" w:name="_Toc100090792"/>
            <w:r>
              <w:rPr>
                <w:rFonts w:hint="eastAsia" w:ascii="宋体" w:hAnsi="宋体" w:eastAsia="宋体" w:cs="宋体"/>
                <w:color w:val="auto"/>
                <w:sz w:val="21"/>
                <w:szCs w:val="21"/>
                <w:highlight w:val="none"/>
              </w:rPr>
              <w:t>9</w:t>
            </w:r>
            <w:bookmarkEnd w:id="830"/>
            <w:bookmarkEnd w:id="831"/>
          </w:p>
        </w:tc>
        <w:tc>
          <w:tcPr>
            <w:tcW w:w="1267" w:type="dxa"/>
            <w:vAlign w:val="center"/>
          </w:tcPr>
          <w:p w14:paraId="6C5090E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48"/>
              <w:jc w:val="center"/>
              <w:rPr>
                <w:rFonts w:hint="eastAsia" w:ascii="宋体" w:hAnsi="宋体" w:eastAsia="宋体" w:cs="宋体"/>
                <w:color w:val="auto"/>
                <w:sz w:val="21"/>
                <w:szCs w:val="21"/>
                <w:highlight w:val="none"/>
              </w:rPr>
            </w:pPr>
          </w:p>
        </w:tc>
        <w:tc>
          <w:tcPr>
            <w:tcW w:w="1860" w:type="dxa"/>
            <w:vAlign w:val="center"/>
          </w:tcPr>
          <w:p w14:paraId="337B4053">
            <w:pPr>
              <w:pStyle w:val="48"/>
              <w:jc w:val="center"/>
              <w:rPr>
                <w:rFonts w:hint="eastAsia" w:ascii="宋体" w:hAnsi="宋体" w:eastAsia="宋体" w:cs="宋体"/>
                <w:color w:val="auto"/>
                <w:sz w:val="21"/>
                <w:szCs w:val="21"/>
                <w:highlight w:val="none"/>
              </w:rPr>
            </w:pPr>
          </w:p>
        </w:tc>
        <w:tc>
          <w:tcPr>
            <w:tcW w:w="1356" w:type="dxa"/>
            <w:vAlign w:val="center"/>
          </w:tcPr>
          <w:p w14:paraId="7D6C0C38">
            <w:pPr>
              <w:pStyle w:val="48"/>
              <w:jc w:val="center"/>
              <w:rPr>
                <w:rFonts w:hint="eastAsia" w:ascii="宋体" w:hAnsi="宋体" w:eastAsia="宋体" w:cs="宋体"/>
                <w:color w:val="auto"/>
                <w:sz w:val="21"/>
                <w:szCs w:val="21"/>
                <w:highlight w:val="none"/>
              </w:rPr>
            </w:pPr>
          </w:p>
        </w:tc>
        <w:tc>
          <w:tcPr>
            <w:tcW w:w="816" w:type="dxa"/>
            <w:vAlign w:val="center"/>
          </w:tcPr>
          <w:p w14:paraId="45D99552">
            <w:pPr>
              <w:pStyle w:val="48"/>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48"/>
              <w:jc w:val="center"/>
              <w:rPr>
                <w:rFonts w:hint="eastAsia" w:ascii="宋体" w:hAnsi="宋体" w:eastAsia="宋体" w:cs="宋体"/>
                <w:color w:val="auto"/>
                <w:sz w:val="21"/>
                <w:szCs w:val="21"/>
                <w:highlight w:val="none"/>
              </w:rPr>
            </w:pPr>
            <w:bookmarkStart w:id="832" w:name="_Toc99533301"/>
            <w:bookmarkStart w:id="833" w:name="_Toc100090793"/>
            <w:r>
              <w:rPr>
                <w:rFonts w:hint="eastAsia" w:ascii="宋体" w:hAnsi="宋体" w:eastAsia="宋体" w:cs="宋体"/>
                <w:color w:val="auto"/>
                <w:sz w:val="21"/>
                <w:szCs w:val="21"/>
                <w:highlight w:val="none"/>
              </w:rPr>
              <w:t>10</w:t>
            </w:r>
            <w:bookmarkEnd w:id="832"/>
            <w:bookmarkEnd w:id="833"/>
          </w:p>
        </w:tc>
        <w:tc>
          <w:tcPr>
            <w:tcW w:w="1267" w:type="dxa"/>
            <w:vAlign w:val="center"/>
          </w:tcPr>
          <w:p w14:paraId="0D84E205">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48"/>
              <w:jc w:val="center"/>
              <w:rPr>
                <w:rFonts w:hint="eastAsia" w:ascii="宋体" w:hAnsi="宋体" w:eastAsia="宋体" w:cs="宋体"/>
                <w:color w:val="auto"/>
                <w:sz w:val="21"/>
                <w:szCs w:val="21"/>
                <w:highlight w:val="none"/>
              </w:rPr>
            </w:pPr>
          </w:p>
        </w:tc>
        <w:tc>
          <w:tcPr>
            <w:tcW w:w="1860" w:type="dxa"/>
            <w:vAlign w:val="center"/>
          </w:tcPr>
          <w:p w14:paraId="7790D037">
            <w:pPr>
              <w:pStyle w:val="48"/>
              <w:jc w:val="center"/>
              <w:rPr>
                <w:rFonts w:hint="eastAsia" w:ascii="宋体" w:hAnsi="宋体" w:eastAsia="宋体" w:cs="宋体"/>
                <w:color w:val="auto"/>
                <w:sz w:val="21"/>
                <w:szCs w:val="21"/>
                <w:highlight w:val="none"/>
              </w:rPr>
            </w:pPr>
          </w:p>
        </w:tc>
        <w:tc>
          <w:tcPr>
            <w:tcW w:w="1356" w:type="dxa"/>
            <w:vAlign w:val="center"/>
          </w:tcPr>
          <w:p w14:paraId="7B74B27D">
            <w:pPr>
              <w:pStyle w:val="48"/>
              <w:jc w:val="center"/>
              <w:rPr>
                <w:rFonts w:hint="eastAsia" w:ascii="宋体" w:hAnsi="宋体" w:eastAsia="宋体" w:cs="宋体"/>
                <w:color w:val="auto"/>
                <w:sz w:val="21"/>
                <w:szCs w:val="21"/>
                <w:highlight w:val="none"/>
              </w:rPr>
            </w:pPr>
          </w:p>
        </w:tc>
        <w:tc>
          <w:tcPr>
            <w:tcW w:w="816" w:type="dxa"/>
            <w:vAlign w:val="center"/>
          </w:tcPr>
          <w:p w14:paraId="77E1C162">
            <w:pPr>
              <w:pStyle w:val="48"/>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4" w:name="_Toc28083"/>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834"/>
    </w:p>
    <w:p w14:paraId="7EE50E6A">
      <w:pPr>
        <w:rPr>
          <w:rFonts w:cs="仿宋_GB2312"/>
          <w:color w:val="auto"/>
          <w:szCs w:val="24"/>
          <w:highlight w:val="none"/>
        </w:rPr>
      </w:pPr>
      <w:r>
        <w:rPr>
          <w:rFonts w:hint="eastAsia" w:cs="仿宋_GB2312"/>
          <w:color w:val="auto"/>
          <w:szCs w:val="24"/>
          <w:highlight w:val="none"/>
        </w:rPr>
        <w:t xml:space="preserve">项目名称：                                         </w:t>
      </w:r>
    </w:p>
    <w:p w14:paraId="3BECE8B1">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764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0FCCCEA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69669C7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71DD4B6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AB54F2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1F49E79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3F1EB79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3E3F1E7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7F92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390C61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23DD644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466927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C5A608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3F3AE223">
            <w:pPr>
              <w:pStyle w:val="48"/>
              <w:jc w:val="center"/>
              <w:rPr>
                <w:rFonts w:hint="eastAsia" w:ascii="宋体" w:hAnsi="宋体" w:eastAsia="宋体" w:cs="宋体"/>
                <w:color w:val="auto"/>
                <w:sz w:val="21"/>
                <w:szCs w:val="21"/>
                <w:highlight w:val="none"/>
              </w:rPr>
            </w:pPr>
          </w:p>
        </w:tc>
      </w:tr>
      <w:tr w14:paraId="16FF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681E1A2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1B1CC67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3CDA845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753229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1786AA8B">
            <w:pPr>
              <w:pStyle w:val="48"/>
              <w:jc w:val="center"/>
              <w:rPr>
                <w:rFonts w:hint="eastAsia" w:ascii="宋体" w:hAnsi="宋体" w:eastAsia="宋体" w:cs="宋体"/>
                <w:color w:val="auto"/>
                <w:sz w:val="21"/>
                <w:szCs w:val="21"/>
                <w:highlight w:val="none"/>
              </w:rPr>
            </w:pPr>
          </w:p>
        </w:tc>
      </w:tr>
      <w:tr w14:paraId="334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ADFE13">
            <w:pPr>
              <w:pStyle w:val="48"/>
              <w:jc w:val="center"/>
              <w:rPr>
                <w:rFonts w:hint="eastAsia" w:ascii="宋体" w:hAnsi="宋体" w:eastAsia="宋体" w:cs="宋体"/>
                <w:color w:val="auto"/>
                <w:sz w:val="21"/>
                <w:szCs w:val="21"/>
                <w:highlight w:val="none"/>
              </w:rPr>
            </w:pPr>
          </w:p>
        </w:tc>
        <w:tc>
          <w:tcPr>
            <w:tcW w:w="1159" w:type="pct"/>
            <w:vAlign w:val="center"/>
          </w:tcPr>
          <w:p w14:paraId="7EAC22E8">
            <w:pPr>
              <w:pStyle w:val="48"/>
              <w:jc w:val="center"/>
              <w:rPr>
                <w:rFonts w:hint="eastAsia" w:ascii="宋体" w:hAnsi="宋体" w:eastAsia="宋体" w:cs="宋体"/>
                <w:color w:val="auto"/>
                <w:sz w:val="21"/>
                <w:szCs w:val="21"/>
                <w:highlight w:val="none"/>
              </w:rPr>
            </w:pPr>
          </w:p>
        </w:tc>
        <w:tc>
          <w:tcPr>
            <w:tcW w:w="1031" w:type="pct"/>
            <w:vAlign w:val="center"/>
          </w:tcPr>
          <w:p w14:paraId="1261D841">
            <w:pPr>
              <w:pStyle w:val="48"/>
              <w:jc w:val="center"/>
              <w:rPr>
                <w:rFonts w:hint="eastAsia" w:ascii="宋体" w:hAnsi="宋体" w:eastAsia="宋体" w:cs="宋体"/>
                <w:color w:val="auto"/>
                <w:sz w:val="21"/>
                <w:szCs w:val="21"/>
                <w:highlight w:val="none"/>
              </w:rPr>
            </w:pPr>
          </w:p>
        </w:tc>
        <w:tc>
          <w:tcPr>
            <w:tcW w:w="1265" w:type="pct"/>
            <w:vAlign w:val="center"/>
          </w:tcPr>
          <w:p w14:paraId="21AB0CEA">
            <w:pPr>
              <w:pStyle w:val="48"/>
              <w:jc w:val="center"/>
              <w:rPr>
                <w:rFonts w:hint="eastAsia" w:ascii="宋体" w:hAnsi="宋体" w:eastAsia="宋体" w:cs="宋体"/>
                <w:color w:val="auto"/>
                <w:sz w:val="21"/>
                <w:szCs w:val="21"/>
                <w:highlight w:val="none"/>
              </w:rPr>
            </w:pPr>
          </w:p>
        </w:tc>
        <w:tc>
          <w:tcPr>
            <w:tcW w:w="1135" w:type="pct"/>
            <w:vAlign w:val="center"/>
          </w:tcPr>
          <w:p w14:paraId="02205EF5">
            <w:pPr>
              <w:pStyle w:val="48"/>
              <w:jc w:val="center"/>
              <w:rPr>
                <w:rFonts w:hint="eastAsia" w:ascii="宋体" w:hAnsi="宋体" w:eastAsia="宋体" w:cs="宋体"/>
                <w:color w:val="auto"/>
                <w:sz w:val="21"/>
                <w:szCs w:val="21"/>
                <w:highlight w:val="none"/>
              </w:rPr>
            </w:pPr>
          </w:p>
        </w:tc>
      </w:tr>
      <w:tr w14:paraId="547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615990F">
            <w:pPr>
              <w:pStyle w:val="48"/>
              <w:jc w:val="center"/>
              <w:rPr>
                <w:rFonts w:hint="eastAsia" w:ascii="宋体" w:hAnsi="宋体" w:eastAsia="宋体" w:cs="宋体"/>
                <w:color w:val="auto"/>
                <w:sz w:val="21"/>
                <w:szCs w:val="21"/>
                <w:highlight w:val="none"/>
              </w:rPr>
            </w:pPr>
          </w:p>
        </w:tc>
        <w:tc>
          <w:tcPr>
            <w:tcW w:w="1159" w:type="pct"/>
            <w:vAlign w:val="center"/>
          </w:tcPr>
          <w:p w14:paraId="4EFDD3F7">
            <w:pPr>
              <w:pStyle w:val="48"/>
              <w:jc w:val="center"/>
              <w:rPr>
                <w:rFonts w:hint="eastAsia" w:ascii="宋体" w:hAnsi="宋体" w:eastAsia="宋体" w:cs="宋体"/>
                <w:color w:val="auto"/>
                <w:sz w:val="21"/>
                <w:szCs w:val="21"/>
                <w:highlight w:val="none"/>
              </w:rPr>
            </w:pPr>
          </w:p>
        </w:tc>
        <w:tc>
          <w:tcPr>
            <w:tcW w:w="1031" w:type="pct"/>
            <w:vAlign w:val="center"/>
          </w:tcPr>
          <w:p w14:paraId="6F3FE338">
            <w:pPr>
              <w:pStyle w:val="48"/>
              <w:jc w:val="center"/>
              <w:rPr>
                <w:rFonts w:hint="eastAsia" w:ascii="宋体" w:hAnsi="宋体" w:eastAsia="宋体" w:cs="宋体"/>
                <w:color w:val="auto"/>
                <w:sz w:val="21"/>
                <w:szCs w:val="21"/>
                <w:highlight w:val="none"/>
              </w:rPr>
            </w:pPr>
          </w:p>
        </w:tc>
        <w:tc>
          <w:tcPr>
            <w:tcW w:w="1265" w:type="pct"/>
            <w:vAlign w:val="center"/>
          </w:tcPr>
          <w:p w14:paraId="1DE7F15C">
            <w:pPr>
              <w:pStyle w:val="48"/>
              <w:jc w:val="center"/>
              <w:rPr>
                <w:rFonts w:hint="eastAsia" w:ascii="宋体" w:hAnsi="宋体" w:eastAsia="宋体" w:cs="宋体"/>
                <w:color w:val="auto"/>
                <w:sz w:val="21"/>
                <w:szCs w:val="21"/>
                <w:highlight w:val="none"/>
              </w:rPr>
            </w:pPr>
          </w:p>
        </w:tc>
        <w:tc>
          <w:tcPr>
            <w:tcW w:w="1135" w:type="pct"/>
            <w:vAlign w:val="center"/>
          </w:tcPr>
          <w:p w14:paraId="7E461BBA">
            <w:pPr>
              <w:pStyle w:val="48"/>
              <w:jc w:val="center"/>
              <w:rPr>
                <w:rFonts w:hint="eastAsia" w:ascii="宋体" w:hAnsi="宋体" w:eastAsia="宋体" w:cs="宋体"/>
                <w:color w:val="auto"/>
                <w:sz w:val="21"/>
                <w:szCs w:val="21"/>
                <w:highlight w:val="none"/>
              </w:rPr>
            </w:pPr>
          </w:p>
        </w:tc>
      </w:tr>
      <w:tr w14:paraId="054E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1914A14">
            <w:pPr>
              <w:pStyle w:val="48"/>
              <w:jc w:val="center"/>
              <w:rPr>
                <w:rFonts w:hint="eastAsia" w:ascii="宋体" w:hAnsi="宋体" w:eastAsia="宋体" w:cs="宋体"/>
                <w:color w:val="auto"/>
                <w:sz w:val="21"/>
                <w:szCs w:val="21"/>
                <w:highlight w:val="none"/>
              </w:rPr>
            </w:pPr>
          </w:p>
        </w:tc>
        <w:tc>
          <w:tcPr>
            <w:tcW w:w="1159" w:type="pct"/>
            <w:vAlign w:val="center"/>
          </w:tcPr>
          <w:p w14:paraId="01FAF6FF">
            <w:pPr>
              <w:pStyle w:val="48"/>
              <w:jc w:val="center"/>
              <w:rPr>
                <w:rFonts w:hint="eastAsia" w:ascii="宋体" w:hAnsi="宋体" w:eastAsia="宋体" w:cs="宋体"/>
                <w:color w:val="auto"/>
                <w:sz w:val="21"/>
                <w:szCs w:val="21"/>
                <w:highlight w:val="none"/>
              </w:rPr>
            </w:pPr>
          </w:p>
        </w:tc>
        <w:tc>
          <w:tcPr>
            <w:tcW w:w="1031" w:type="pct"/>
            <w:vAlign w:val="center"/>
          </w:tcPr>
          <w:p w14:paraId="7C7F56A7">
            <w:pPr>
              <w:pStyle w:val="48"/>
              <w:jc w:val="center"/>
              <w:rPr>
                <w:rFonts w:hint="eastAsia" w:ascii="宋体" w:hAnsi="宋体" w:eastAsia="宋体" w:cs="宋体"/>
                <w:color w:val="auto"/>
                <w:sz w:val="21"/>
                <w:szCs w:val="21"/>
                <w:highlight w:val="none"/>
              </w:rPr>
            </w:pPr>
          </w:p>
        </w:tc>
        <w:tc>
          <w:tcPr>
            <w:tcW w:w="1265" w:type="pct"/>
            <w:vAlign w:val="center"/>
          </w:tcPr>
          <w:p w14:paraId="611127F1">
            <w:pPr>
              <w:pStyle w:val="48"/>
              <w:jc w:val="center"/>
              <w:rPr>
                <w:rFonts w:hint="eastAsia" w:ascii="宋体" w:hAnsi="宋体" w:eastAsia="宋体" w:cs="宋体"/>
                <w:color w:val="auto"/>
                <w:sz w:val="21"/>
                <w:szCs w:val="21"/>
                <w:highlight w:val="none"/>
              </w:rPr>
            </w:pPr>
          </w:p>
        </w:tc>
        <w:tc>
          <w:tcPr>
            <w:tcW w:w="1135" w:type="pct"/>
            <w:vAlign w:val="center"/>
          </w:tcPr>
          <w:p w14:paraId="0E4A26B6">
            <w:pPr>
              <w:pStyle w:val="48"/>
              <w:jc w:val="center"/>
              <w:rPr>
                <w:rFonts w:hint="eastAsia" w:ascii="宋体" w:hAnsi="宋体" w:eastAsia="宋体" w:cs="宋体"/>
                <w:color w:val="auto"/>
                <w:sz w:val="21"/>
                <w:szCs w:val="21"/>
                <w:highlight w:val="none"/>
              </w:rPr>
            </w:pPr>
          </w:p>
        </w:tc>
      </w:tr>
      <w:tr w14:paraId="6E8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0C5ED4E">
            <w:pPr>
              <w:pStyle w:val="48"/>
              <w:jc w:val="center"/>
              <w:rPr>
                <w:rFonts w:hint="eastAsia" w:ascii="宋体" w:hAnsi="宋体" w:eastAsia="宋体" w:cs="宋体"/>
                <w:color w:val="auto"/>
                <w:sz w:val="21"/>
                <w:szCs w:val="21"/>
                <w:highlight w:val="none"/>
              </w:rPr>
            </w:pPr>
          </w:p>
        </w:tc>
        <w:tc>
          <w:tcPr>
            <w:tcW w:w="1159" w:type="pct"/>
            <w:vAlign w:val="center"/>
          </w:tcPr>
          <w:p w14:paraId="5C4DD07B">
            <w:pPr>
              <w:pStyle w:val="48"/>
              <w:jc w:val="center"/>
              <w:rPr>
                <w:rFonts w:hint="eastAsia" w:ascii="宋体" w:hAnsi="宋体" w:eastAsia="宋体" w:cs="宋体"/>
                <w:color w:val="auto"/>
                <w:sz w:val="21"/>
                <w:szCs w:val="21"/>
                <w:highlight w:val="none"/>
              </w:rPr>
            </w:pPr>
          </w:p>
        </w:tc>
        <w:tc>
          <w:tcPr>
            <w:tcW w:w="1031" w:type="pct"/>
            <w:vAlign w:val="center"/>
          </w:tcPr>
          <w:p w14:paraId="26683DD4">
            <w:pPr>
              <w:pStyle w:val="48"/>
              <w:jc w:val="center"/>
              <w:rPr>
                <w:rFonts w:hint="eastAsia" w:ascii="宋体" w:hAnsi="宋体" w:eastAsia="宋体" w:cs="宋体"/>
                <w:color w:val="auto"/>
                <w:sz w:val="21"/>
                <w:szCs w:val="21"/>
                <w:highlight w:val="none"/>
              </w:rPr>
            </w:pPr>
          </w:p>
        </w:tc>
        <w:tc>
          <w:tcPr>
            <w:tcW w:w="1265" w:type="pct"/>
            <w:vAlign w:val="center"/>
          </w:tcPr>
          <w:p w14:paraId="4D8C3BA1">
            <w:pPr>
              <w:pStyle w:val="48"/>
              <w:jc w:val="center"/>
              <w:rPr>
                <w:rFonts w:hint="eastAsia" w:ascii="宋体" w:hAnsi="宋体" w:eastAsia="宋体" w:cs="宋体"/>
                <w:color w:val="auto"/>
                <w:sz w:val="21"/>
                <w:szCs w:val="21"/>
                <w:highlight w:val="none"/>
              </w:rPr>
            </w:pPr>
          </w:p>
        </w:tc>
        <w:tc>
          <w:tcPr>
            <w:tcW w:w="1135" w:type="pct"/>
            <w:vAlign w:val="center"/>
          </w:tcPr>
          <w:p w14:paraId="2E8B5F67">
            <w:pPr>
              <w:pStyle w:val="48"/>
              <w:jc w:val="center"/>
              <w:rPr>
                <w:rFonts w:hint="eastAsia" w:ascii="宋体" w:hAnsi="宋体" w:eastAsia="宋体" w:cs="宋体"/>
                <w:color w:val="auto"/>
                <w:sz w:val="21"/>
                <w:szCs w:val="21"/>
                <w:highlight w:val="none"/>
              </w:rPr>
            </w:pPr>
          </w:p>
        </w:tc>
      </w:tr>
      <w:tr w14:paraId="2B10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EE038ED">
            <w:pPr>
              <w:pStyle w:val="48"/>
              <w:jc w:val="center"/>
              <w:rPr>
                <w:rFonts w:hint="eastAsia" w:ascii="宋体" w:hAnsi="宋体" w:eastAsia="宋体" w:cs="宋体"/>
                <w:color w:val="auto"/>
                <w:sz w:val="21"/>
                <w:szCs w:val="21"/>
                <w:highlight w:val="none"/>
              </w:rPr>
            </w:pPr>
          </w:p>
        </w:tc>
        <w:tc>
          <w:tcPr>
            <w:tcW w:w="1159" w:type="pct"/>
            <w:vAlign w:val="center"/>
          </w:tcPr>
          <w:p w14:paraId="1568BE63">
            <w:pPr>
              <w:pStyle w:val="48"/>
              <w:jc w:val="center"/>
              <w:rPr>
                <w:rFonts w:hint="eastAsia" w:ascii="宋体" w:hAnsi="宋体" w:eastAsia="宋体" w:cs="宋体"/>
                <w:color w:val="auto"/>
                <w:sz w:val="21"/>
                <w:szCs w:val="21"/>
                <w:highlight w:val="none"/>
              </w:rPr>
            </w:pPr>
          </w:p>
        </w:tc>
        <w:tc>
          <w:tcPr>
            <w:tcW w:w="1031" w:type="pct"/>
            <w:vAlign w:val="center"/>
          </w:tcPr>
          <w:p w14:paraId="73EB38B3">
            <w:pPr>
              <w:pStyle w:val="48"/>
              <w:jc w:val="center"/>
              <w:rPr>
                <w:rFonts w:hint="eastAsia" w:ascii="宋体" w:hAnsi="宋体" w:eastAsia="宋体" w:cs="宋体"/>
                <w:color w:val="auto"/>
                <w:sz w:val="21"/>
                <w:szCs w:val="21"/>
                <w:highlight w:val="none"/>
              </w:rPr>
            </w:pPr>
          </w:p>
        </w:tc>
        <w:tc>
          <w:tcPr>
            <w:tcW w:w="1265" w:type="pct"/>
            <w:vAlign w:val="center"/>
          </w:tcPr>
          <w:p w14:paraId="75F9A705">
            <w:pPr>
              <w:pStyle w:val="48"/>
              <w:jc w:val="center"/>
              <w:rPr>
                <w:rFonts w:hint="eastAsia" w:ascii="宋体" w:hAnsi="宋体" w:eastAsia="宋体" w:cs="宋体"/>
                <w:color w:val="auto"/>
                <w:sz w:val="21"/>
                <w:szCs w:val="21"/>
                <w:highlight w:val="none"/>
              </w:rPr>
            </w:pPr>
          </w:p>
        </w:tc>
        <w:tc>
          <w:tcPr>
            <w:tcW w:w="1135" w:type="pct"/>
            <w:vAlign w:val="center"/>
          </w:tcPr>
          <w:p w14:paraId="7B4E9707">
            <w:pPr>
              <w:pStyle w:val="48"/>
              <w:jc w:val="center"/>
              <w:rPr>
                <w:rFonts w:hint="eastAsia" w:ascii="宋体" w:hAnsi="宋体" w:eastAsia="宋体" w:cs="宋体"/>
                <w:color w:val="auto"/>
                <w:sz w:val="21"/>
                <w:szCs w:val="21"/>
                <w:highlight w:val="none"/>
              </w:rPr>
            </w:pPr>
          </w:p>
        </w:tc>
      </w:tr>
      <w:tr w14:paraId="5B4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A9FD9CF">
            <w:pPr>
              <w:pStyle w:val="48"/>
              <w:jc w:val="center"/>
              <w:rPr>
                <w:rFonts w:hint="eastAsia" w:ascii="宋体" w:hAnsi="宋体" w:eastAsia="宋体" w:cs="宋体"/>
                <w:color w:val="auto"/>
                <w:sz w:val="21"/>
                <w:szCs w:val="21"/>
                <w:highlight w:val="none"/>
              </w:rPr>
            </w:pPr>
          </w:p>
        </w:tc>
        <w:tc>
          <w:tcPr>
            <w:tcW w:w="1159" w:type="pct"/>
            <w:vAlign w:val="center"/>
          </w:tcPr>
          <w:p w14:paraId="3873E5B8">
            <w:pPr>
              <w:pStyle w:val="48"/>
              <w:jc w:val="center"/>
              <w:rPr>
                <w:rFonts w:hint="eastAsia" w:ascii="宋体" w:hAnsi="宋体" w:eastAsia="宋体" w:cs="宋体"/>
                <w:color w:val="auto"/>
                <w:sz w:val="21"/>
                <w:szCs w:val="21"/>
                <w:highlight w:val="none"/>
              </w:rPr>
            </w:pPr>
          </w:p>
        </w:tc>
        <w:tc>
          <w:tcPr>
            <w:tcW w:w="1031" w:type="pct"/>
            <w:vAlign w:val="center"/>
          </w:tcPr>
          <w:p w14:paraId="4BFC552A">
            <w:pPr>
              <w:pStyle w:val="48"/>
              <w:jc w:val="center"/>
              <w:rPr>
                <w:rFonts w:hint="eastAsia" w:ascii="宋体" w:hAnsi="宋体" w:eastAsia="宋体" w:cs="宋体"/>
                <w:color w:val="auto"/>
                <w:sz w:val="21"/>
                <w:szCs w:val="21"/>
                <w:highlight w:val="none"/>
              </w:rPr>
            </w:pPr>
          </w:p>
        </w:tc>
        <w:tc>
          <w:tcPr>
            <w:tcW w:w="1265" w:type="pct"/>
            <w:vAlign w:val="center"/>
          </w:tcPr>
          <w:p w14:paraId="6752E62F">
            <w:pPr>
              <w:pStyle w:val="48"/>
              <w:jc w:val="center"/>
              <w:rPr>
                <w:rFonts w:hint="eastAsia" w:ascii="宋体" w:hAnsi="宋体" w:eastAsia="宋体" w:cs="宋体"/>
                <w:color w:val="auto"/>
                <w:sz w:val="21"/>
                <w:szCs w:val="21"/>
                <w:highlight w:val="none"/>
              </w:rPr>
            </w:pPr>
          </w:p>
        </w:tc>
        <w:tc>
          <w:tcPr>
            <w:tcW w:w="1135" w:type="pct"/>
            <w:vAlign w:val="center"/>
          </w:tcPr>
          <w:p w14:paraId="0D508B80">
            <w:pPr>
              <w:pStyle w:val="48"/>
              <w:jc w:val="center"/>
              <w:rPr>
                <w:rFonts w:hint="eastAsia" w:ascii="宋体" w:hAnsi="宋体" w:eastAsia="宋体" w:cs="宋体"/>
                <w:color w:val="auto"/>
                <w:sz w:val="21"/>
                <w:szCs w:val="21"/>
                <w:highlight w:val="none"/>
              </w:rPr>
            </w:pPr>
          </w:p>
        </w:tc>
      </w:tr>
      <w:tr w14:paraId="1A2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5F4BFC8">
            <w:pPr>
              <w:pStyle w:val="48"/>
              <w:jc w:val="center"/>
              <w:rPr>
                <w:rFonts w:hint="eastAsia" w:ascii="宋体" w:hAnsi="宋体" w:eastAsia="宋体" w:cs="宋体"/>
                <w:color w:val="auto"/>
                <w:sz w:val="21"/>
                <w:szCs w:val="21"/>
                <w:highlight w:val="none"/>
              </w:rPr>
            </w:pPr>
          </w:p>
        </w:tc>
        <w:tc>
          <w:tcPr>
            <w:tcW w:w="1159" w:type="pct"/>
            <w:vAlign w:val="center"/>
          </w:tcPr>
          <w:p w14:paraId="63890973">
            <w:pPr>
              <w:pStyle w:val="48"/>
              <w:jc w:val="center"/>
              <w:rPr>
                <w:rFonts w:hint="eastAsia" w:ascii="宋体" w:hAnsi="宋体" w:eastAsia="宋体" w:cs="宋体"/>
                <w:color w:val="auto"/>
                <w:sz w:val="21"/>
                <w:szCs w:val="21"/>
                <w:highlight w:val="none"/>
              </w:rPr>
            </w:pPr>
          </w:p>
        </w:tc>
        <w:tc>
          <w:tcPr>
            <w:tcW w:w="1031" w:type="pct"/>
            <w:vAlign w:val="center"/>
          </w:tcPr>
          <w:p w14:paraId="09F5DB10">
            <w:pPr>
              <w:pStyle w:val="48"/>
              <w:jc w:val="center"/>
              <w:rPr>
                <w:rFonts w:hint="eastAsia" w:ascii="宋体" w:hAnsi="宋体" w:eastAsia="宋体" w:cs="宋体"/>
                <w:color w:val="auto"/>
                <w:sz w:val="21"/>
                <w:szCs w:val="21"/>
                <w:highlight w:val="none"/>
              </w:rPr>
            </w:pPr>
          </w:p>
        </w:tc>
        <w:tc>
          <w:tcPr>
            <w:tcW w:w="1265" w:type="pct"/>
            <w:vAlign w:val="center"/>
          </w:tcPr>
          <w:p w14:paraId="59B50D42">
            <w:pPr>
              <w:pStyle w:val="48"/>
              <w:jc w:val="center"/>
              <w:rPr>
                <w:rFonts w:hint="eastAsia" w:ascii="宋体" w:hAnsi="宋体" w:eastAsia="宋体" w:cs="宋体"/>
                <w:color w:val="auto"/>
                <w:sz w:val="21"/>
                <w:szCs w:val="21"/>
                <w:highlight w:val="none"/>
              </w:rPr>
            </w:pPr>
          </w:p>
        </w:tc>
        <w:tc>
          <w:tcPr>
            <w:tcW w:w="1135" w:type="pct"/>
            <w:vAlign w:val="center"/>
          </w:tcPr>
          <w:p w14:paraId="15BCCC48">
            <w:pPr>
              <w:pStyle w:val="48"/>
              <w:jc w:val="center"/>
              <w:rPr>
                <w:rFonts w:hint="eastAsia" w:ascii="宋体" w:hAnsi="宋体" w:eastAsia="宋体" w:cs="宋体"/>
                <w:color w:val="auto"/>
                <w:sz w:val="21"/>
                <w:szCs w:val="21"/>
                <w:highlight w:val="none"/>
              </w:rPr>
            </w:pPr>
          </w:p>
        </w:tc>
      </w:tr>
      <w:tr w14:paraId="361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1F51D1EA">
            <w:pPr>
              <w:pStyle w:val="48"/>
              <w:jc w:val="center"/>
              <w:rPr>
                <w:rFonts w:hint="eastAsia" w:ascii="宋体" w:hAnsi="宋体" w:eastAsia="宋体" w:cs="宋体"/>
                <w:color w:val="auto"/>
                <w:sz w:val="21"/>
                <w:szCs w:val="21"/>
                <w:highlight w:val="none"/>
              </w:rPr>
            </w:pPr>
          </w:p>
        </w:tc>
        <w:tc>
          <w:tcPr>
            <w:tcW w:w="1159" w:type="pct"/>
            <w:vAlign w:val="center"/>
          </w:tcPr>
          <w:p w14:paraId="1204324D">
            <w:pPr>
              <w:pStyle w:val="48"/>
              <w:jc w:val="center"/>
              <w:rPr>
                <w:rFonts w:hint="eastAsia" w:ascii="宋体" w:hAnsi="宋体" w:eastAsia="宋体" w:cs="宋体"/>
                <w:color w:val="auto"/>
                <w:sz w:val="21"/>
                <w:szCs w:val="21"/>
                <w:highlight w:val="none"/>
              </w:rPr>
            </w:pPr>
          </w:p>
        </w:tc>
        <w:tc>
          <w:tcPr>
            <w:tcW w:w="1031" w:type="pct"/>
            <w:vAlign w:val="center"/>
          </w:tcPr>
          <w:p w14:paraId="36FD0F55">
            <w:pPr>
              <w:pStyle w:val="48"/>
              <w:jc w:val="center"/>
              <w:rPr>
                <w:rFonts w:hint="eastAsia" w:ascii="宋体" w:hAnsi="宋体" w:eastAsia="宋体" w:cs="宋体"/>
                <w:color w:val="auto"/>
                <w:sz w:val="21"/>
                <w:szCs w:val="21"/>
                <w:highlight w:val="none"/>
              </w:rPr>
            </w:pPr>
          </w:p>
        </w:tc>
        <w:tc>
          <w:tcPr>
            <w:tcW w:w="1265" w:type="pct"/>
            <w:vAlign w:val="center"/>
          </w:tcPr>
          <w:p w14:paraId="6D3AA7E1">
            <w:pPr>
              <w:pStyle w:val="48"/>
              <w:jc w:val="center"/>
              <w:rPr>
                <w:rFonts w:hint="eastAsia" w:ascii="宋体" w:hAnsi="宋体" w:eastAsia="宋体" w:cs="宋体"/>
                <w:color w:val="auto"/>
                <w:sz w:val="21"/>
                <w:szCs w:val="21"/>
                <w:highlight w:val="none"/>
              </w:rPr>
            </w:pPr>
          </w:p>
        </w:tc>
        <w:tc>
          <w:tcPr>
            <w:tcW w:w="1135" w:type="pct"/>
            <w:vAlign w:val="center"/>
          </w:tcPr>
          <w:p w14:paraId="449BE1FC">
            <w:pPr>
              <w:pStyle w:val="48"/>
              <w:jc w:val="center"/>
              <w:rPr>
                <w:rFonts w:hint="eastAsia" w:ascii="宋体" w:hAnsi="宋体" w:eastAsia="宋体" w:cs="宋体"/>
                <w:color w:val="auto"/>
                <w:sz w:val="21"/>
                <w:szCs w:val="21"/>
                <w:highlight w:val="none"/>
              </w:rPr>
            </w:pPr>
          </w:p>
        </w:tc>
      </w:tr>
      <w:tr w14:paraId="7E8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6ECE9C6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69EDFD2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D19C04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6652C7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7E732B44">
            <w:pPr>
              <w:pStyle w:val="48"/>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F5D40B2">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7D87EEFE">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1685FB85">
      <w:pPr>
        <w:ind w:firstLine="420"/>
        <w:rPr>
          <w:rFonts w:cs="仿宋_GB2312"/>
          <w:color w:val="auto"/>
          <w:szCs w:val="24"/>
          <w:highlight w:val="none"/>
        </w:rPr>
      </w:pPr>
    </w:p>
    <w:p w14:paraId="3095974B">
      <w:pPr>
        <w:ind w:firstLine="420"/>
        <w:rPr>
          <w:rFonts w:cs="仿宋_GB2312"/>
          <w:color w:val="auto"/>
          <w:szCs w:val="24"/>
          <w:highlight w:val="none"/>
        </w:rPr>
      </w:pPr>
    </w:p>
    <w:p w14:paraId="5228E054">
      <w:pPr>
        <w:ind w:firstLine="420"/>
        <w:rPr>
          <w:rFonts w:hint="eastAsia" w:cs="仿宋_GB2312"/>
          <w:color w:val="auto"/>
          <w:szCs w:val="24"/>
          <w:highlight w:val="none"/>
          <w:lang w:val="en-US" w:eastAsia="zh-CN"/>
        </w:rPr>
      </w:pPr>
      <w:r>
        <w:rPr>
          <w:rFonts w:hint="eastAsia" w:cs="仿宋_GB2312"/>
          <w:color w:val="auto"/>
          <w:sz w:val="21"/>
          <w:szCs w:val="21"/>
          <w:highlight w:val="none"/>
          <w:lang w:val="en-US" w:eastAsia="zh-CN"/>
        </w:rPr>
        <w:t>备注：投标人在本表中须标注技术响应的实际数值或内容，照搬照抄采购文件内容、不注明实际响应内容者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49A1A5E5">
      <w:pPr>
        <w:ind w:firstLine="420"/>
        <w:rPr>
          <w:rFonts w:cs="仿宋_GB2312"/>
          <w:color w:val="auto"/>
          <w:szCs w:val="24"/>
          <w:highlight w:val="none"/>
        </w:rPr>
      </w:pPr>
      <w:r>
        <w:rPr>
          <w:rFonts w:cs="仿宋_GB2312"/>
          <w:color w:val="auto"/>
          <w:szCs w:val="24"/>
          <w:highlight w:val="none"/>
        </w:rPr>
        <w:br w:type="page"/>
      </w:r>
    </w:p>
    <w:p w14:paraId="600EA7EE">
      <w:pPr>
        <w:pStyle w:val="17"/>
        <w:spacing w:line="360" w:lineRule="auto"/>
        <w:jc w:val="center"/>
        <w:rPr>
          <w:rFonts w:hint="eastAsia" w:ascii="方正小标宋_GBK" w:hAnsi="方正小标宋_GBK" w:eastAsia="方正小标宋_GBK" w:cs="方正小标宋_GBK"/>
          <w:bCs/>
          <w:color w:val="auto"/>
          <w:sz w:val="36"/>
          <w:szCs w:val="36"/>
          <w:highlight w:val="none"/>
          <w:lang w:val="en-US" w:eastAsia="zh-CN"/>
        </w:rPr>
      </w:pP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5" w:name="_Toc9988"/>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、技术方案</w:t>
      </w:r>
      <w:bookmarkEnd w:id="835"/>
    </w:p>
    <w:p w14:paraId="7078B366">
      <w:pPr>
        <w:pStyle w:val="36"/>
        <w:rPr>
          <w:rFonts w:hint="eastAsia"/>
          <w:color w:val="auto"/>
          <w:highlight w:val="none"/>
        </w:rPr>
      </w:pPr>
      <w:r>
        <w:rPr>
          <w:rFonts w:hint="eastAsia"/>
          <w:color w:val="auto"/>
          <w:highlight w:val="none"/>
        </w:rPr>
        <w:t>投标人应按照招标文件的要求，提供详细的服务方案，包括文字描述或图表显示。格式自拟。</w:t>
      </w:r>
    </w:p>
    <w:p w14:paraId="7EE77353">
      <w:pPr>
        <w:pStyle w:val="36"/>
        <w:rPr>
          <w:color w:val="auto"/>
          <w:highlight w:val="none"/>
        </w:rPr>
      </w:pPr>
      <w:r>
        <w:rPr>
          <w:color w:val="auto"/>
          <w:highlight w:val="none"/>
        </w:rPr>
        <w:br w:type="page"/>
      </w:r>
    </w:p>
    <w:p w14:paraId="01EB5657">
      <w:pPr>
        <w:ind w:firstLine="420"/>
        <w:rPr>
          <w:rFonts w:hint="eastAsia" w:cs="仿宋_GB2312"/>
          <w:color w:val="auto"/>
          <w:sz w:val="21"/>
          <w:szCs w:val="21"/>
          <w:highlight w:val="none"/>
          <w:lang w:val="en-US" w:eastAsia="zh-CN"/>
        </w:rPr>
      </w:pPr>
    </w:p>
    <w:p w14:paraId="3D75587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6" w:name="_Toc19458"/>
      <w:r>
        <w:rPr>
          <w:rFonts w:hint="eastAsia" w:eastAsia="宋体" w:asciiTheme="majorHAnsi" w:hAnsiTheme="majorHAnsi" w:cstheme="majorBidi"/>
          <w:b/>
          <w:bCs/>
          <w:color w:val="auto"/>
          <w:kern w:val="2"/>
          <w:sz w:val="32"/>
          <w:szCs w:val="32"/>
          <w:highlight w:val="none"/>
          <w:lang w:val="en-US" w:eastAsia="zh-CN" w:bidi="ar-SA"/>
        </w:rPr>
        <w:t>十</w:t>
      </w:r>
      <w:r>
        <w:rPr>
          <w:rFonts w:hint="eastAsia" w:cstheme="majorBidi"/>
          <w:b/>
          <w:bCs/>
          <w:color w:val="auto"/>
          <w:kern w:val="2"/>
          <w:sz w:val="32"/>
          <w:szCs w:val="32"/>
          <w:highlight w:val="none"/>
          <w:lang w:val="en-US" w:eastAsia="zh-CN" w:bidi="ar-SA"/>
        </w:rPr>
        <w:t>一</w:t>
      </w:r>
      <w:r>
        <w:rPr>
          <w:rFonts w:hint="eastAsia" w:eastAsia="宋体" w:asciiTheme="majorHAnsi" w:hAnsiTheme="majorHAnsi" w:cstheme="majorBidi"/>
          <w:b/>
          <w:bCs/>
          <w:color w:val="auto"/>
          <w:kern w:val="2"/>
          <w:sz w:val="32"/>
          <w:szCs w:val="32"/>
          <w:highlight w:val="none"/>
          <w:lang w:val="en-US" w:eastAsia="zh-CN" w:bidi="ar-SA"/>
        </w:rPr>
        <w:t>、其他文件</w:t>
      </w:r>
      <w:bookmarkEnd w:id="836"/>
    </w:p>
    <w:p w14:paraId="6EF40482">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09B7BCDB">
      <w:pPr>
        <w:pStyle w:val="36"/>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239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2708" w:type="dxa"/>
            <w:vAlign w:val="center"/>
          </w:tcPr>
          <w:p w14:paraId="1DAB5D76">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7E8BFF2C">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27FEC6C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C8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0EF63A6">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C8A474B">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F4800D6">
            <w:pPr>
              <w:pStyle w:val="36"/>
              <w:rPr>
                <w:rFonts w:hint="eastAsia" w:ascii="宋体" w:hAnsi="宋体" w:eastAsia="宋体" w:cs="宋体"/>
                <w:color w:val="auto"/>
                <w:sz w:val="24"/>
                <w:szCs w:val="24"/>
                <w:highlight w:val="none"/>
                <w:vertAlign w:val="baseline"/>
                <w:lang w:val="en-US" w:eastAsia="zh-CN"/>
              </w:rPr>
            </w:pPr>
          </w:p>
        </w:tc>
      </w:tr>
      <w:tr w14:paraId="2A1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8538042">
            <w:pPr>
              <w:pStyle w:val="36"/>
              <w:rPr>
                <w:rFonts w:hint="eastAsia" w:ascii="宋体" w:hAnsi="宋体" w:eastAsia="宋体" w:cs="宋体"/>
                <w:color w:val="auto"/>
                <w:sz w:val="24"/>
                <w:szCs w:val="24"/>
                <w:highlight w:val="none"/>
                <w:vertAlign w:val="baseline"/>
                <w:lang w:val="en-US" w:eastAsia="zh-CN"/>
              </w:rPr>
            </w:pPr>
          </w:p>
        </w:tc>
        <w:tc>
          <w:tcPr>
            <w:tcW w:w="2841" w:type="dxa"/>
          </w:tcPr>
          <w:p w14:paraId="15D28C08">
            <w:pPr>
              <w:pStyle w:val="36"/>
              <w:rPr>
                <w:rFonts w:hint="eastAsia" w:ascii="宋体" w:hAnsi="宋体" w:eastAsia="宋体" w:cs="宋体"/>
                <w:color w:val="auto"/>
                <w:sz w:val="24"/>
                <w:szCs w:val="24"/>
                <w:highlight w:val="none"/>
                <w:vertAlign w:val="baseline"/>
                <w:lang w:val="en-US" w:eastAsia="zh-CN"/>
              </w:rPr>
            </w:pPr>
          </w:p>
        </w:tc>
        <w:tc>
          <w:tcPr>
            <w:tcW w:w="2743" w:type="dxa"/>
          </w:tcPr>
          <w:p w14:paraId="31FE53FE">
            <w:pPr>
              <w:pStyle w:val="36"/>
              <w:rPr>
                <w:rFonts w:hint="eastAsia" w:ascii="宋体" w:hAnsi="宋体" w:eastAsia="宋体" w:cs="宋体"/>
                <w:color w:val="auto"/>
                <w:sz w:val="24"/>
                <w:szCs w:val="24"/>
                <w:highlight w:val="none"/>
                <w:vertAlign w:val="baseline"/>
                <w:lang w:val="en-US" w:eastAsia="zh-CN"/>
              </w:rPr>
            </w:pPr>
          </w:p>
        </w:tc>
      </w:tr>
      <w:tr w14:paraId="74D5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EF0ABBA">
            <w:pPr>
              <w:pStyle w:val="36"/>
              <w:rPr>
                <w:rFonts w:hint="eastAsia" w:ascii="宋体" w:hAnsi="宋体" w:eastAsia="宋体" w:cs="宋体"/>
                <w:color w:val="auto"/>
                <w:sz w:val="24"/>
                <w:szCs w:val="24"/>
                <w:highlight w:val="none"/>
                <w:vertAlign w:val="baseline"/>
                <w:lang w:val="en-US" w:eastAsia="zh-CN"/>
              </w:rPr>
            </w:pPr>
          </w:p>
        </w:tc>
        <w:tc>
          <w:tcPr>
            <w:tcW w:w="2841" w:type="dxa"/>
          </w:tcPr>
          <w:p w14:paraId="15A0EA10">
            <w:pPr>
              <w:pStyle w:val="36"/>
              <w:rPr>
                <w:rFonts w:hint="eastAsia" w:ascii="宋体" w:hAnsi="宋体" w:eastAsia="宋体" w:cs="宋体"/>
                <w:color w:val="auto"/>
                <w:sz w:val="24"/>
                <w:szCs w:val="24"/>
                <w:highlight w:val="none"/>
                <w:vertAlign w:val="baseline"/>
                <w:lang w:val="en-US" w:eastAsia="zh-CN"/>
              </w:rPr>
            </w:pPr>
          </w:p>
        </w:tc>
        <w:tc>
          <w:tcPr>
            <w:tcW w:w="2743" w:type="dxa"/>
          </w:tcPr>
          <w:p w14:paraId="4DD25543">
            <w:pPr>
              <w:pStyle w:val="36"/>
              <w:rPr>
                <w:rFonts w:hint="eastAsia" w:ascii="宋体" w:hAnsi="宋体" w:eastAsia="宋体" w:cs="宋体"/>
                <w:color w:val="auto"/>
                <w:sz w:val="24"/>
                <w:szCs w:val="24"/>
                <w:highlight w:val="none"/>
                <w:vertAlign w:val="baseline"/>
                <w:lang w:val="en-US" w:eastAsia="zh-CN"/>
              </w:rPr>
            </w:pPr>
          </w:p>
        </w:tc>
      </w:tr>
      <w:tr w14:paraId="000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B6D0E2F">
            <w:pPr>
              <w:pStyle w:val="36"/>
              <w:rPr>
                <w:rFonts w:hint="eastAsia" w:ascii="宋体" w:hAnsi="宋体" w:eastAsia="宋体" w:cs="宋体"/>
                <w:color w:val="auto"/>
                <w:sz w:val="24"/>
                <w:szCs w:val="24"/>
                <w:highlight w:val="none"/>
                <w:vertAlign w:val="baseline"/>
                <w:lang w:val="en-US" w:eastAsia="zh-CN"/>
              </w:rPr>
            </w:pPr>
          </w:p>
        </w:tc>
        <w:tc>
          <w:tcPr>
            <w:tcW w:w="2841" w:type="dxa"/>
          </w:tcPr>
          <w:p w14:paraId="7437EC56">
            <w:pPr>
              <w:pStyle w:val="36"/>
              <w:rPr>
                <w:rFonts w:hint="eastAsia" w:ascii="宋体" w:hAnsi="宋体" w:eastAsia="宋体" w:cs="宋体"/>
                <w:color w:val="auto"/>
                <w:sz w:val="24"/>
                <w:szCs w:val="24"/>
                <w:highlight w:val="none"/>
                <w:vertAlign w:val="baseline"/>
                <w:lang w:val="en-US" w:eastAsia="zh-CN"/>
              </w:rPr>
            </w:pPr>
          </w:p>
        </w:tc>
        <w:tc>
          <w:tcPr>
            <w:tcW w:w="2743" w:type="dxa"/>
          </w:tcPr>
          <w:p w14:paraId="769E8F28">
            <w:pPr>
              <w:pStyle w:val="36"/>
              <w:rPr>
                <w:rFonts w:hint="eastAsia" w:ascii="宋体" w:hAnsi="宋体" w:eastAsia="宋体" w:cs="宋体"/>
                <w:color w:val="auto"/>
                <w:sz w:val="24"/>
                <w:szCs w:val="24"/>
                <w:highlight w:val="none"/>
                <w:vertAlign w:val="baseline"/>
                <w:lang w:val="en-US" w:eastAsia="zh-CN"/>
              </w:rPr>
            </w:pPr>
          </w:p>
        </w:tc>
      </w:tr>
    </w:tbl>
    <w:p w14:paraId="3318F9F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53D1AE7E">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36"/>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36"/>
        <w:rPr>
          <w:rFonts w:hint="eastAsia"/>
          <w:color w:val="auto"/>
          <w:sz w:val="28"/>
          <w:szCs w:val="28"/>
          <w:highlight w:val="none"/>
          <w:lang w:val="en-US" w:eastAsia="zh-CN"/>
        </w:rPr>
      </w:pPr>
    </w:p>
    <w:p w14:paraId="3CD7B018">
      <w:pPr>
        <w:pStyle w:val="36"/>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45C8EB48">
      <w:pPr>
        <w:pStyle w:val="36"/>
        <w:ind w:left="0" w:leftChars="0" w:firstLine="0" w:firstLineChars="0"/>
        <w:rPr>
          <w:rFonts w:hint="eastAsia"/>
          <w:b/>
          <w:bCs/>
          <w:color w:val="auto"/>
          <w:sz w:val="24"/>
          <w:szCs w:val="24"/>
          <w:highlight w:val="none"/>
          <w:lang w:eastAsia="zh-CN"/>
        </w:rPr>
      </w:pPr>
    </w:p>
    <w:p w14:paraId="7DF13FE9">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6DA29BFF">
      <w:pPr>
        <w:pStyle w:val="36"/>
        <w:rPr>
          <w:rFonts w:hint="eastAsia"/>
          <w:color w:val="auto"/>
          <w:highlight w:val="none"/>
        </w:rPr>
      </w:pP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A3D5">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98"/>
                            <w:showingPlcHdr/>
                          </w:sdtPr>
                          <w:sdtContent>
                            <w:p w14:paraId="7E255E9E">
                              <w:pPr>
                                <w:pStyle w:val="19"/>
                                <w:jc w:val="center"/>
                              </w:pPr>
                              <w:r>
                                <w:rPr>
                                  <w:rFonts w:hint="eastAsia"/>
                                  <w:lang w:eastAsia="zh-CN"/>
                                </w:rPr>
                                <w:t xml:space="preserve">     </w:t>
                              </w:r>
                            </w:p>
                          </w:sdtContent>
                        </w:sdt>
                        <w:p w14:paraId="0AFEACD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3298"/>
                      <w:showingPlcHdr/>
                    </w:sdtPr>
                    <w:sdtContent>
                      <w:p w14:paraId="7E255E9E">
                        <w:pPr>
                          <w:pStyle w:val="19"/>
                          <w:jc w:val="center"/>
                        </w:pPr>
                        <w:r>
                          <w:rPr>
                            <w:rFonts w:hint="eastAsia"/>
                            <w:lang w:eastAsia="zh-CN"/>
                          </w:rPr>
                          <w:t xml:space="preserve">     </w:t>
                        </w:r>
                      </w:p>
                    </w:sdtContent>
                  </w:sdt>
                  <w:p w14:paraId="0AFEACD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EEBB">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2C40C">
                          <w:pPr>
                            <w:pStyle w:val="19"/>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92C40C">
                    <w:pPr>
                      <w:pStyle w:val="19"/>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416"/>
                            <w:showingPlcHdr/>
                          </w:sdtPr>
                          <w:sdtContent>
                            <w:p w14:paraId="5178AC84">
                              <w:pPr>
                                <w:pStyle w:val="19"/>
                                <w:jc w:val="center"/>
                              </w:pPr>
                              <w:r>
                                <w:rPr>
                                  <w:rFonts w:hint="eastAsia"/>
                                  <w:lang w:eastAsia="zh-CN"/>
                                </w:rPr>
                                <w:t xml:space="preserve">     </w:t>
                              </w:r>
                            </w:p>
                          </w:sdtContent>
                        </w:sdt>
                        <w:p w14:paraId="1172ED4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80416"/>
                      <w:showingPlcHdr/>
                    </w:sdtPr>
                    <w:sdtContent>
                      <w:p w14:paraId="5178AC84">
                        <w:pPr>
                          <w:pStyle w:val="19"/>
                          <w:jc w:val="center"/>
                        </w:pPr>
                        <w:r>
                          <w:rPr>
                            <w:rFonts w:hint="eastAsia"/>
                            <w:lang w:eastAsia="zh-CN"/>
                          </w:rPr>
                          <w:t xml:space="preserve">     </w:t>
                        </w:r>
                      </w:p>
                    </w:sdtContent>
                  </w:sdt>
                  <w:p w14:paraId="1172ED4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548"/>
                          </w:sdtPr>
                          <w:sdtContent>
                            <w:p w14:paraId="4AE1F8C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F235D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1548"/>
                    </w:sdtPr>
                    <w:sdtContent>
                      <w:p w14:paraId="4AE1F8C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F235DF"/>
                </w:txbxContent>
              </v:textbox>
            </v:shape>
          </w:pict>
        </mc:Fallback>
      </mc:AlternateContent>
    </w:r>
  </w:p>
  <w:p w14:paraId="23975237">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keepNext w:val="0"/>
      <w:keepLines w:val="0"/>
      <w:pageBreakBefore w:val="0"/>
      <w:widowControl w:val="0"/>
      <w:kinsoku/>
      <w:wordWrap/>
      <w:overflowPunct/>
      <w:topLinePunct w:val="0"/>
      <w:bidi w:val="0"/>
      <w:adjustRightInd/>
      <w:snapToGrid w:val="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383F">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E85C">
    <w:pPr>
      <w:pStyle w:val="20"/>
      <w:keepNext w:val="0"/>
      <w:keepLines w:val="0"/>
      <w:pageBreakBefore w:val="0"/>
      <w:widowControl w:val="0"/>
      <w:kinsoku/>
      <w:wordWrap/>
      <w:overflowPunct/>
      <w:topLinePunct w:val="0"/>
      <w:bidi w:val="0"/>
      <w:adjustRightInd/>
      <w:snapToGrid w:val="0"/>
      <w:jc w:val="right"/>
      <w:textAlignment w:val="auto"/>
    </w:pP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0"/>
      <w:jc w:val="right"/>
      <w:rPr>
        <w:sz w:val="24"/>
        <w:szCs w:val="24"/>
      </w:rPr>
    </w:pP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0"/>
    </w:pPr>
    <w:r>
      <w:rPr>
        <w:rFonts w:hint="eastAsia"/>
        <w:sz w:val="24"/>
        <w:szCs w:val="24"/>
        <w:lang w:val="en-US" w:eastAsia="zh-CN"/>
      </w:rPr>
      <w:t xml:space="preserve">                                    </w:t>
    </w: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7B6378"/>
    <w:multiLevelType w:val="multilevel"/>
    <w:tmpl w:val="447B6378"/>
    <w:lvl w:ilvl="0" w:tentative="0">
      <w:start w:val="1"/>
      <w:numFmt w:val="decimal"/>
      <w:pStyle w:val="3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mM4MmJhOGU4YjU2MzNlOTdiNTMwYzc2NjUxN2Q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3490"/>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E61E2"/>
    <w:rsid w:val="014F4893"/>
    <w:rsid w:val="01541EA9"/>
    <w:rsid w:val="01580C56"/>
    <w:rsid w:val="01781929"/>
    <w:rsid w:val="01877B89"/>
    <w:rsid w:val="019E3125"/>
    <w:rsid w:val="01D0068D"/>
    <w:rsid w:val="01D775B9"/>
    <w:rsid w:val="01DD59FB"/>
    <w:rsid w:val="02026E30"/>
    <w:rsid w:val="020B6A0C"/>
    <w:rsid w:val="02132174"/>
    <w:rsid w:val="02186A33"/>
    <w:rsid w:val="0224187C"/>
    <w:rsid w:val="023130F5"/>
    <w:rsid w:val="024737BC"/>
    <w:rsid w:val="024C2B81"/>
    <w:rsid w:val="02852DDF"/>
    <w:rsid w:val="0285797C"/>
    <w:rsid w:val="028604AE"/>
    <w:rsid w:val="029D33DC"/>
    <w:rsid w:val="02AD3196"/>
    <w:rsid w:val="02AE1145"/>
    <w:rsid w:val="02C44E0D"/>
    <w:rsid w:val="02DA63DE"/>
    <w:rsid w:val="02ED7EC0"/>
    <w:rsid w:val="03200295"/>
    <w:rsid w:val="035E2B6B"/>
    <w:rsid w:val="0361440A"/>
    <w:rsid w:val="036D7252"/>
    <w:rsid w:val="03773C2D"/>
    <w:rsid w:val="03922815"/>
    <w:rsid w:val="03C350C4"/>
    <w:rsid w:val="03E2554B"/>
    <w:rsid w:val="03EA08A3"/>
    <w:rsid w:val="03F51722"/>
    <w:rsid w:val="03F62DA4"/>
    <w:rsid w:val="04066E90"/>
    <w:rsid w:val="045126D0"/>
    <w:rsid w:val="045D72C7"/>
    <w:rsid w:val="047A5783"/>
    <w:rsid w:val="04820ADC"/>
    <w:rsid w:val="0487418D"/>
    <w:rsid w:val="04893C18"/>
    <w:rsid w:val="04B14F1D"/>
    <w:rsid w:val="04C17856"/>
    <w:rsid w:val="04F01EE9"/>
    <w:rsid w:val="04F574FF"/>
    <w:rsid w:val="04F72882"/>
    <w:rsid w:val="04FF212C"/>
    <w:rsid w:val="05235E1B"/>
    <w:rsid w:val="052D0A47"/>
    <w:rsid w:val="052E656D"/>
    <w:rsid w:val="053E0EA6"/>
    <w:rsid w:val="053F247C"/>
    <w:rsid w:val="05595CE0"/>
    <w:rsid w:val="057C377D"/>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87D46"/>
    <w:rsid w:val="067032E2"/>
    <w:rsid w:val="067E3A29"/>
    <w:rsid w:val="06856661"/>
    <w:rsid w:val="069114AA"/>
    <w:rsid w:val="06A21C50"/>
    <w:rsid w:val="06AE7966"/>
    <w:rsid w:val="06B07B82"/>
    <w:rsid w:val="06DD649D"/>
    <w:rsid w:val="06EC66E0"/>
    <w:rsid w:val="06F04422"/>
    <w:rsid w:val="07020C1A"/>
    <w:rsid w:val="0709089A"/>
    <w:rsid w:val="071C5217"/>
    <w:rsid w:val="071D4AEC"/>
    <w:rsid w:val="07210A39"/>
    <w:rsid w:val="072242D3"/>
    <w:rsid w:val="072440CC"/>
    <w:rsid w:val="0737795B"/>
    <w:rsid w:val="073F4A62"/>
    <w:rsid w:val="07442078"/>
    <w:rsid w:val="076C53FA"/>
    <w:rsid w:val="076D22AC"/>
    <w:rsid w:val="0784404A"/>
    <w:rsid w:val="078608E3"/>
    <w:rsid w:val="07941252"/>
    <w:rsid w:val="07A25DD3"/>
    <w:rsid w:val="07A64AE1"/>
    <w:rsid w:val="07B55348"/>
    <w:rsid w:val="07EA70C4"/>
    <w:rsid w:val="07F0083A"/>
    <w:rsid w:val="08687FE8"/>
    <w:rsid w:val="08935065"/>
    <w:rsid w:val="08997D8A"/>
    <w:rsid w:val="08A76D63"/>
    <w:rsid w:val="08AD2074"/>
    <w:rsid w:val="08BB45BC"/>
    <w:rsid w:val="08C6368D"/>
    <w:rsid w:val="08D306C7"/>
    <w:rsid w:val="08D538D0"/>
    <w:rsid w:val="08D77648"/>
    <w:rsid w:val="08E04023"/>
    <w:rsid w:val="08EE4992"/>
    <w:rsid w:val="09077801"/>
    <w:rsid w:val="091C32AD"/>
    <w:rsid w:val="09212671"/>
    <w:rsid w:val="0926010A"/>
    <w:rsid w:val="09664528"/>
    <w:rsid w:val="09970B85"/>
    <w:rsid w:val="09975029"/>
    <w:rsid w:val="09AC1C5B"/>
    <w:rsid w:val="09AD03A9"/>
    <w:rsid w:val="09CE174C"/>
    <w:rsid w:val="09E613EC"/>
    <w:rsid w:val="09EA6F07"/>
    <w:rsid w:val="09F23B8C"/>
    <w:rsid w:val="09FE29B2"/>
    <w:rsid w:val="0A1C108A"/>
    <w:rsid w:val="0A2148F3"/>
    <w:rsid w:val="0A391C3C"/>
    <w:rsid w:val="0A3D172D"/>
    <w:rsid w:val="0A3E680D"/>
    <w:rsid w:val="0A4A20D1"/>
    <w:rsid w:val="0A831432"/>
    <w:rsid w:val="0A9B6453"/>
    <w:rsid w:val="0AAB338B"/>
    <w:rsid w:val="0AAF1EFF"/>
    <w:rsid w:val="0ABF0394"/>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8640C"/>
    <w:rsid w:val="0C3C5A14"/>
    <w:rsid w:val="0C41302A"/>
    <w:rsid w:val="0C5A4DAC"/>
    <w:rsid w:val="0C874EE1"/>
    <w:rsid w:val="0C88488C"/>
    <w:rsid w:val="0C8A677F"/>
    <w:rsid w:val="0CBF01B9"/>
    <w:rsid w:val="0CC04897"/>
    <w:rsid w:val="0CD520F0"/>
    <w:rsid w:val="0CD67C16"/>
    <w:rsid w:val="0CD81BE1"/>
    <w:rsid w:val="0D0C53E6"/>
    <w:rsid w:val="0D1C7D1F"/>
    <w:rsid w:val="0D2210AE"/>
    <w:rsid w:val="0D2766C4"/>
    <w:rsid w:val="0D6B6E82"/>
    <w:rsid w:val="0D9D0734"/>
    <w:rsid w:val="0DA90E87"/>
    <w:rsid w:val="0DAF0B93"/>
    <w:rsid w:val="0DB241E0"/>
    <w:rsid w:val="0DB74AC1"/>
    <w:rsid w:val="0DC14423"/>
    <w:rsid w:val="0DC83A03"/>
    <w:rsid w:val="0DCD1019"/>
    <w:rsid w:val="0DE10B00"/>
    <w:rsid w:val="0DEF71E2"/>
    <w:rsid w:val="0E0D58BA"/>
    <w:rsid w:val="0E0F1632"/>
    <w:rsid w:val="0E342E47"/>
    <w:rsid w:val="0E460DCC"/>
    <w:rsid w:val="0E464928"/>
    <w:rsid w:val="0E651252"/>
    <w:rsid w:val="0E653000"/>
    <w:rsid w:val="0E6D45AA"/>
    <w:rsid w:val="0E72396F"/>
    <w:rsid w:val="0E796AAB"/>
    <w:rsid w:val="0E7C0027"/>
    <w:rsid w:val="0E7F6315"/>
    <w:rsid w:val="0E9543D1"/>
    <w:rsid w:val="0EA33B28"/>
    <w:rsid w:val="0EB208AB"/>
    <w:rsid w:val="0EB36461"/>
    <w:rsid w:val="0EB45D35"/>
    <w:rsid w:val="0EBD75FE"/>
    <w:rsid w:val="0EC817E1"/>
    <w:rsid w:val="0ECA5559"/>
    <w:rsid w:val="0ECF5ACE"/>
    <w:rsid w:val="0ED53B2A"/>
    <w:rsid w:val="0EF600FC"/>
    <w:rsid w:val="0F096081"/>
    <w:rsid w:val="0F1B5913"/>
    <w:rsid w:val="0F2442A2"/>
    <w:rsid w:val="0F3D21CF"/>
    <w:rsid w:val="0F4C0664"/>
    <w:rsid w:val="0F5A5835"/>
    <w:rsid w:val="0F7A2ADB"/>
    <w:rsid w:val="0F9D4A1B"/>
    <w:rsid w:val="0FA638D0"/>
    <w:rsid w:val="0FAB538A"/>
    <w:rsid w:val="0FD33C3D"/>
    <w:rsid w:val="0FE8213B"/>
    <w:rsid w:val="0FF52AA9"/>
    <w:rsid w:val="10047D52"/>
    <w:rsid w:val="10150A56"/>
    <w:rsid w:val="10240C99"/>
    <w:rsid w:val="102723E9"/>
    <w:rsid w:val="102B64CB"/>
    <w:rsid w:val="107439CE"/>
    <w:rsid w:val="1090632E"/>
    <w:rsid w:val="109220A6"/>
    <w:rsid w:val="109B71AD"/>
    <w:rsid w:val="10A92DD3"/>
    <w:rsid w:val="10AF4A06"/>
    <w:rsid w:val="10BD54A5"/>
    <w:rsid w:val="10C55FD8"/>
    <w:rsid w:val="10C85AC8"/>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A5AB3"/>
    <w:rsid w:val="11DF30C9"/>
    <w:rsid w:val="11FA6155"/>
    <w:rsid w:val="12130FC5"/>
    <w:rsid w:val="12371157"/>
    <w:rsid w:val="12483364"/>
    <w:rsid w:val="127001C5"/>
    <w:rsid w:val="12771554"/>
    <w:rsid w:val="127759F8"/>
    <w:rsid w:val="127A0C92"/>
    <w:rsid w:val="127F48AC"/>
    <w:rsid w:val="129E4D32"/>
    <w:rsid w:val="12AD766B"/>
    <w:rsid w:val="12B91B6C"/>
    <w:rsid w:val="12BA7692"/>
    <w:rsid w:val="12BC165D"/>
    <w:rsid w:val="12CC5D44"/>
    <w:rsid w:val="12DE7825"/>
    <w:rsid w:val="12E3308D"/>
    <w:rsid w:val="12EF558E"/>
    <w:rsid w:val="13021765"/>
    <w:rsid w:val="13037AFF"/>
    <w:rsid w:val="13453400"/>
    <w:rsid w:val="13456351"/>
    <w:rsid w:val="134C0C32"/>
    <w:rsid w:val="137B79E1"/>
    <w:rsid w:val="137D0DEC"/>
    <w:rsid w:val="13833F28"/>
    <w:rsid w:val="13A03104"/>
    <w:rsid w:val="13E62E35"/>
    <w:rsid w:val="14065285"/>
    <w:rsid w:val="143F42F3"/>
    <w:rsid w:val="144731A8"/>
    <w:rsid w:val="145373AC"/>
    <w:rsid w:val="1457788F"/>
    <w:rsid w:val="14717C9A"/>
    <w:rsid w:val="147F2942"/>
    <w:rsid w:val="14AF7789"/>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E1737A"/>
    <w:rsid w:val="16E3540A"/>
    <w:rsid w:val="16E442B3"/>
    <w:rsid w:val="1711641B"/>
    <w:rsid w:val="1719707D"/>
    <w:rsid w:val="17215F32"/>
    <w:rsid w:val="172872C1"/>
    <w:rsid w:val="17457E73"/>
    <w:rsid w:val="174C1201"/>
    <w:rsid w:val="174F6F43"/>
    <w:rsid w:val="176821F4"/>
    <w:rsid w:val="17710C68"/>
    <w:rsid w:val="177C760C"/>
    <w:rsid w:val="177E1C86"/>
    <w:rsid w:val="179B7A92"/>
    <w:rsid w:val="17AD77C6"/>
    <w:rsid w:val="17CB7119"/>
    <w:rsid w:val="17D2722C"/>
    <w:rsid w:val="17FB49D5"/>
    <w:rsid w:val="18041ADC"/>
    <w:rsid w:val="182E6B59"/>
    <w:rsid w:val="187C5B16"/>
    <w:rsid w:val="189246B5"/>
    <w:rsid w:val="18A706B9"/>
    <w:rsid w:val="18C272A1"/>
    <w:rsid w:val="18CB43A7"/>
    <w:rsid w:val="18DA283C"/>
    <w:rsid w:val="18F733EE"/>
    <w:rsid w:val="18F90F15"/>
    <w:rsid w:val="19197809"/>
    <w:rsid w:val="192D6E10"/>
    <w:rsid w:val="1934019F"/>
    <w:rsid w:val="19373862"/>
    <w:rsid w:val="19520625"/>
    <w:rsid w:val="19526877"/>
    <w:rsid w:val="195E2798"/>
    <w:rsid w:val="19D2300F"/>
    <w:rsid w:val="1A0214BE"/>
    <w:rsid w:val="1A0E5C74"/>
    <w:rsid w:val="1A197394"/>
    <w:rsid w:val="1A352420"/>
    <w:rsid w:val="1A512FD2"/>
    <w:rsid w:val="1A5D54D3"/>
    <w:rsid w:val="1A5F124B"/>
    <w:rsid w:val="1A6124EF"/>
    <w:rsid w:val="1A710493"/>
    <w:rsid w:val="1AB33908"/>
    <w:rsid w:val="1ADA2FC8"/>
    <w:rsid w:val="1AE259D8"/>
    <w:rsid w:val="1AE35507"/>
    <w:rsid w:val="1AEB2ADF"/>
    <w:rsid w:val="1B206F5C"/>
    <w:rsid w:val="1B3E3557"/>
    <w:rsid w:val="1B636B19"/>
    <w:rsid w:val="1B6805D3"/>
    <w:rsid w:val="1B7E1468"/>
    <w:rsid w:val="1B825739"/>
    <w:rsid w:val="1B83540D"/>
    <w:rsid w:val="1BC17CE4"/>
    <w:rsid w:val="1BCC0B62"/>
    <w:rsid w:val="1BDD4B1E"/>
    <w:rsid w:val="1BE718C7"/>
    <w:rsid w:val="1C146065"/>
    <w:rsid w:val="1C4032FE"/>
    <w:rsid w:val="1C406E5A"/>
    <w:rsid w:val="1C495921"/>
    <w:rsid w:val="1C6A3ED7"/>
    <w:rsid w:val="1C744D56"/>
    <w:rsid w:val="1C7A6810"/>
    <w:rsid w:val="1C7B7E93"/>
    <w:rsid w:val="1C9C6787"/>
    <w:rsid w:val="1CA05B4B"/>
    <w:rsid w:val="1CA90EA4"/>
    <w:rsid w:val="1CAA6093"/>
    <w:rsid w:val="1CD770EC"/>
    <w:rsid w:val="1CE43C8A"/>
    <w:rsid w:val="1D183933"/>
    <w:rsid w:val="1D1B3B0E"/>
    <w:rsid w:val="1D210A3A"/>
    <w:rsid w:val="1D214EDE"/>
    <w:rsid w:val="1D4A4435"/>
    <w:rsid w:val="1D524C10"/>
    <w:rsid w:val="1D61177E"/>
    <w:rsid w:val="1D7E7C3A"/>
    <w:rsid w:val="1D8D4321"/>
    <w:rsid w:val="1D9C27B6"/>
    <w:rsid w:val="1DAA4ED3"/>
    <w:rsid w:val="1DC53ABB"/>
    <w:rsid w:val="1DC835AB"/>
    <w:rsid w:val="1DE2466D"/>
    <w:rsid w:val="1E206F43"/>
    <w:rsid w:val="1E2F7187"/>
    <w:rsid w:val="1E340C41"/>
    <w:rsid w:val="1E401394"/>
    <w:rsid w:val="1E4E3AB1"/>
    <w:rsid w:val="1E51534F"/>
    <w:rsid w:val="1E5310C7"/>
    <w:rsid w:val="1E6908EA"/>
    <w:rsid w:val="1E766B63"/>
    <w:rsid w:val="1E9B2A6E"/>
    <w:rsid w:val="1EAC07D7"/>
    <w:rsid w:val="1EBA1146"/>
    <w:rsid w:val="1EC45B21"/>
    <w:rsid w:val="1EC73863"/>
    <w:rsid w:val="1ED63AA6"/>
    <w:rsid w:val="1EDF295B"/>
    <w:rsid w:val="1F046865"/>
    <w:rsid w:val="1F0A70F1"/>
    <w:rsid w:val="1F1D16D5"/>
    <w:rsid w:val="1F4536E0"/>
    <w:rsid w:val="1F525822"/>
    <w:rsid w:val="1F58270D"/>
    <w:rsid w:val="1F5D7D23"/>
    <w:rsid w:val="1F5F1CED"/>
    <w:rsid w:val="1F7237CF"/>
    <w:rsid w:val="1F770DE5"/>
    <w:rsid w:val="1F8D0609"/>
    <w:rsid w:val="1FA96FA3"/>
    <w:rsid w:val="1FB82BC8"/>
    <w:rsid w:val="1FE31481"/>
    <w:rsid w:val="1FED48C0"/>
    <w:rsid w:val="1FF468DA"/>
    <w:rsid w:val="1FFC753C"/>
    <w:rsid w:val="200B6E05"/>
    <w:rsid w:val="200F101E"/>
    <w:rsid w:val="200F54C2"/>
    <w:rsid w:val="201B5C14"/>
    <w:rsid w:val="202D1DEC"/>
    <w:rsid w:val="2039253E"/>
    <w:rsid w:val="204607B7"/>
    <w:rsid w:val="204A02A8"/>
    <w:rsid w:val="204D7D98"/>
    <w:rsid w:val="20690166"/>
    <w:rsid w:val="207B2DC6"/>
    <w:rsid w:val="20803CC9"/>
    <w:rsid w:val="209239FD"/>
    <w:rsid w:val="20A0611A"/>
    <w:rsid w:val="20B47E17"/>
    <w:rsid w:val="20DA3F99"/>
    <w:rsid w:val="20E71F9A"/>
    <w:rsid w:val="20E97AC1"/>
    <w:rsid w:val="20EA2A65"/>
    <w:rsid w:val="20EF2BFD"/>
    <w:rsid w:val="210112AE"/>
    <w:rsid w:val="212F12B7"/>
    <w:rsid w:val="214E2A84"/>
    <w:rsid w:val="21817CF9"/>
    <w:rsid w:val="21884BA0"/>
    <w:rsid w:val="219519F6"/>
    <w:rsid w:val="2197576F"/>
    <w:rsid w:val="21A659B2"/>
    <w:rsid w:val="21B55BF5"/>
    <w:rsid w:val="21DE15EF"/>
    <w:rsid w:val="22105521"/>
    <w:rsid w:val="2217240B"/>
    <w:rsid w:val="222039B6"/>
    <w:rsid w:val="2228094B"/>
    <w:rsid w:val="222B5EB7"/>
    <w:rsid w:val="224A27E1"/>
    <w:rsid w:val="227635D6"/>
    <w:rsid w:val="22794E74"/>
    <w:rsid w:val="22AF6B26"/>
    <w:rsid w:val="22BB723B"/>
    <w:rsid w:val="22C87E24"/>
    <w:rsid w:val="22C95DFC"/>
    <w:rsid w:val="22EE06E2"/>
    <w:rsid w:val="22F84FC6"/>
    <w:rsid w:val="22FD3CF7"/>
    <w:rsid w:val="23250B58"/>
    <w:rsid w:val="23411E36"/>
    <w:rsid w:val="234D0B5D"/>
    <w:rsid w:val="235C6C70"/>
    <w:rsid w:val="23614286"/>
    <w:rsid w:val="23CC5B62"/>
    <w:rsid w:val="23CD510E"/>
    <w:rsid w:val="24170DE9"/>
    <w:rsid w:val="243472A5"/>
    <w:rsid w:val="2440076D"/>
    <w:rsid w:val="24A563F4"/>
    <w:rsid w:val="24B228BF"/>
    <w:rsid w:val="24C15199"/>
    <w:rsid w:val="24CE288D"/>
    <w:rsid w:val="24EF7670"/>
    <w:rsid w:val="24F46A34"/>
    <w:rsid w:val="25034EC9"/>
    <w:rsid w:val="251946ED"/>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712CE"/>
    <w:rsid w:val="264B4D7A"/>
    <w:rsid w:val="264D6D44"/>
    <w:rsid w:val="26644EA7"/>
    <w:rsid w:val="266A3452"/>
    <w:rsid w:val="26977FBF"/>
    <w:rsid w:val="26AF355A"/>
    <w:rsid w:val="26B50445"/>
    <w:rsid w:val="26DA55FB"/>
    <w:rsid w:val="26DC11F6"/>
    <w:rsid w:val="26EC191F"/>
    <w:rsid w:val="26F251F5"/>
    <w:rsid w:val="26F31699"/>
    <w:rsid w:val="270C62B7"/>
    <w:rsid w:val="271E5FEA"/>
    <w:rsid w:val="272F7095"/>
    <w:rsid w:val="276B56D3"/>
    <w:rsid w:val="276E687B"/>
    <w:rsid w:val="27802801"/>
    <w:rsid w:val="278A123C"/>
    <w:rsid w:val="279F537D"/>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CA467C"/>
    <w:rsid w:val="28CB21A2"/>
    <w:rsid w:val="28E62B38"/>
    <w:rsid w:val="28F96D0F"/>
    <w:rsid w:val="290B7A2E"/>
    <w:rsid w:val="292A6EC8"/>
    <w:rsid w:val="293B10D5"/>
    <w:rsid w:val="2944442E"/>
    <w:rsid w:val="294550C5"/>
    <w:rsid w:val="294855A0"/>
    <w:rsid w:val="29493E9D"/>
    <w:rsid w:val="294F2293"/>
    <w:rsid w:val="29606D8E"/>
    <w:rsid w:val="29626662"/>
    <w:rsid w:val="2964062C"/>
    <w:rsid w:val="29787C34"/>
    <w:rsid w:val="29927747"/>
    <w:rsid w:val="29A749BD"/>
    <w:rsid w:val="29C9048F"/>
    <w:rsid w:val="29CB06AB"/>
    <w:rsid w:val="2A0108B7"/>
    <w:rsid w:val="2A04596B"/>
    <w:rsid w:val="2A0E67EA"/>
    <w:rsid w:val="2A133E00"/>
    <w:rsid w:val="2A1536D4"/>
    <w:rsid w:val="2A1A0CEB"/>
    <w:rsid w:val="2A202079"/>
    <w:rsid w:val="2A30050E"/>
    <w:rsid w:val="2A3B6D1B"/>
    <w:rsid w:val="2A411154"/>
    <w:rsid w:val="2A506E02"/>
    <w:rsid w:val="2A526D38"/>
    <w:rsid w:val="2A88659C"/>
    <w:rsid w:val="2A954815"/>
    <w:rsid w:val="2AD0584D"/>
    <w:rsid w:val="2AEE4B12"/>
    <w:rsid w:val="2AFE685E"/>
    <w:rsid w:val="2B027774"/>
    <w:rsid w:val="2B0D0850"/>
    <w:rsid w:val="2B116592"/>
    <w:rsid w:val="2B122D8D"/>
    <w:rsid w:val="2B193698"/>
    <w:rsid w:val="2B1C4F36"/>
    <w:rsid w:val="2B2160A9"/>
    <w:rsid w:val="2B3202B6"/>
    <w:rsid w:val="2B342280"/>
    <w:rsid w:val="2B361B54"/>
    <w:rsid w:val="2B367DA6"/>
    <w:rsid w:val="2B400C25"/>
    <w:rsid w:val="2B430715"/>
    <w:rsid w:val="2B4714A0"/>
    <w:rsid w:val="2B606BD1"/>
    <w:rsid w:val="2B6C5576"/>
    <w:rsid w:val="2B717030"/>
    <w:rsid w:val="2B74267D"/>
    <w:rsid w:val="2B93739B"/>
    <w:rsid w:val="2B994370"/>
    <w:rsid w:val="2BA50A88"/>
    <w:rsid w:val="2BB60EE7"/>
    <w:rsid w:val="2BC034DB"/>
    <w:rsid w:val="2BEF4305"/>
    <w:rsid w:val="2C077995"/>
    <w:rsid w:val="2C235EB7"/>
    <w:rsid w:val="2C2B5431"/>
    <w:rsid w:val="2C3C763E"/>
    <w:rsid w:val="2C610E53"/>
    <w:rsid w:val="2C646B95"/>
    <w:rsid w:val="2C6646BB"/>
    <w:rsid w:val="2C83526D"/>
    <w:rsid w:val="2C9A0B92"/>
    <w:rsid w:val="2C9F3729"/>
    <w:rsid w:val="2CB73169"/>
    <w:rsid w:val="2CE47D2A"/>
    <w:rsid w:val="2CED0939"/>
    <w:rsid w:val="2CED6B8B"/>
    <w:rsid w:val="2CF27CFD"/>
    <w:rsid w:val="2CFA3055"/>
    <w:rsid w:val="2CFB12A7"/>
    <w:rsid w:val="2D012636"/>
    <w:rsid w:val="2D016C6B"/>
    <w:rsid w:val="2D01792A"/>
    <w:rsid w:val="2D0B5263"/>
    <w:rsid w:val="2D0D2D89"/>
    <w:rsid w:val="2D2B1461"/>
    <w:rsid w:val="2D2D1B91"/>
    <w:rsid w:val="2D404F0C"/>
    <w:rsid w:val="2D546C0A"/>
    <w:rsid w:val="2D5B3AF4"/>
    <w:rsid w:val="2D8D7A26"/>
    <w:rsid w:val="2DA2135E"/>
    <w:rsid w:val="2DA84860"/>
    <w:rsid w:val="2DB9081B"/>
    <w:rsid w:val="2DCB70CE"/>
    <w:rsid w:val="2DCE2518"/>
    <w:rsid w:val="2DD218DC"/>
    <w:rsid w:val="2DDB69E3"/>
    <w:rsid w:val="2DEF7457"/>
    <w:rsid w:val="2E045F3A"/>
    <w:rsid w:val="2E093AD9"/>
    <w:rsid w:val="2E2A34C6"/>
    <w:rsid w:val="2E426A62"/>
    <w:rsid w:val="2E6C48D9"/>
    <w:rsid w:val="2E786928"/>
    <w:rsid w:val="2E8F4F19"/>
    <w:rsid w:val="2EA63495"/>
    <w:rsid w:val="2EB57234"/>
    <w:rsid w:val="2ED7364E"/>
    <w:rsid w:val="2EF35FAE"/>
    <w:rsid w:val="2EFA6A37"/>
    <w:rsid w:val="2F167CA6"/>
    <w:rsid w:val="2F1A353B"/>
    <w:rsid w:val="2F452CAE"/>
    <w:rsid w:val="2F5D70AC"/>
    <w:rsid w:val="2F8B61E7"/>
    <w:rsid w:val="2FA36C75"/>
    <w:rsid w:val="2FBE036A"/>
    <w:rsid w:val="302428C3"/>
    <w:rsid w:val="30297EDA"/>
    <w:rsid w:val="302C5C1C"/>
    <w:rsid w:val="303074BA"/>
    <w:rsid w:val="30405223"/>
    <w:rsid w:val="306929CC"/>
    <w:rsid w:val="306B405E"/>
    <w:rsid w:val="30832D34"/>
    <w:rsid w:val="30872E52"/>
    <w:rsid w:val="308C4B30"/>
    <w:rsid w:val="309D2676"/>
    <w:rsid w:val="30A75681"/>
    <w:rsid w:val="30C714A1"/>
    <w:rsid w:val="30DB6CFA"/>
    <w:rsid w:val="30F41419"/>
    <w:rsid w:val="30FC114A"/>
    <w:rsid w:val="310D77FB"/>
    <w:rsid w:val="310E0E7D"/>
    <w:rsid w:val="314A68DF"/>
    <w:rsid w:val="315620B8"/>
    <w:rsid w:val="317F1D7B"/>
    <w:rsid w:val="31841AC8"/>
    <w:rsid w:val="31A737AC"/>
    <w:rsid w:val="31A87524"/>
    <w:rsid w:val="31B00187"/>
    <w:rsid w:val="31CB6D6E"/>
    <w:rsid w:val="31D200FD"/>
    <w:rsid w:val="31E64732"/>
    <w:rsid w:val="31EA5447"/>
    <w:rsid w:val="32140715"/>
    <w:rsid w:val="32230959"/>
    <w:rsid w:val="324059AE"/>
    <w:rsid w:val="326351F9"/>
    <w:rsid w:val="327D078A"/>
    <w:rsid w:val="3284589B"/>
    <w:rsid w:val="32933D30"/>
    <w:rsid w:val="32B31CDC"/>
    <w:rsid w:val="32C75788"/>
    <w:rsid w:val="32CC7242"/>
    <w:rsid w:val="32E165BD"/>
    <w:rsid w:val="32FA3DAF"/>
    <w:rsid w:val="334F40FB"/>
    <w:rsid w:val="33641229"/>
    <w:rsid w:val="337B243F"/>
    <w:rsid w:val="338673F1"/>
    <w:rsid w:val="339D48A3"/>
    <w:rsid w:val="33BF2903"/>
    <w:rsid w:val="33CF6FEA"/>
    <w:rsid w:val="33EA3E24"/>
    <w:rsid w:val="33F64577"/>
    <w:rsid w:val="33FB1B8D"/>
    <w:rsid w:val="34056568"/>
    <w:rsid w:val="34525525"/>
    <w:rsid w:val="346040E6"/>
    <w:rsid w:val="34945B3E"/>
    <w:rsid w:val="34A0589E"/>
    <w:rsid w:val="34A67F96"/>
    <w:rsid w:val="34B0508B"/>
    <w:rsid w:val="34B1049E"/>
    <w:rsid w:val="34DF440A"/>
    <w:rsid w:val="34E502E4"/>
    <w:rsid w:val="34F605A6"/>
    <w:rsid w:val="350031D3"/>
    <w:rsid w:val="350A581B"/>
    <w:rsid w:val="352275ED"/>
    <w:rsid w:val="352E7D40"/>
    <w:rsid w:val="35426A60"/>
    <w:rsid w:val="35571045"/>
    <w:rsid w:val="35586B6B"/>
    <w:rsid w:val="355A1520"/>
    <w:rsid w:val="355E7319"/>
    <w:rsid w:val="35690D78"/>
    <w:rsid w:val="35CE6E2D"/>
    <w:rsid w:val="35DB7EC8"/>
    <w:rsid w:val="35EE2046"/>
    <w:rsid w:val="35F41640"/>
    <w:rsid w:val="362A0508"/>
    <w:rsid w:val="364652E8"/>
    <w:rsid w:val="36603F29"/>
    <w:rsid w:val="36653C36"/>
    <w:rsid w:val="366A4DA8"/>
    <w:rsid w:val="36897924"/>
    <w:rsid w:val="369116D0"/>
    <w:rsid w:val="36941E25"/>
    <w:rsid w:val="3699568D"/>
    <w:rsid w:val="369F7E9A"/>
    <w:rsid w:val="36B67FED"/>
    <w:rsid w:val="36C46BAE"/>
    <w:rsid w:val="36CC15BF"/>
    <w:rsid w:val="36D83970"/>
    <w:rsid w:val="370E607B"/>
    <w:rsid w:val="37112969"/>
    <w:rsid w:val="37180CA8"/>
    <w:rsid w:val="372907BF"/>
    <w:rsid w:val="37294C63"/>
    <w:rsid w:val="373830F8"/>
    <w:rsid w:val="374D6BA3"/>
    <w:rsid w:val="375647D6"/>
    <w:rsid w:val="377A726D"/>
    <w:rsid w:val="377E4FAF"/>
    <w:rsid w:val="37893954"/>
    <w:rsid w:val="378B3228"/>
    <w:rsid w:val="37971BCD"/>
    <w:rsid w:val="37A75B88"/>
    <w:rsid w:val="37D921E5"/>
    <w:rsid w:val="37F92887"/>
    <w:rsid w:val="37FC2378"/>
    <w:rsid w:val="380C2A2C"/>
    <w:rsid w:val="384B3FA8"/>
    <w:rsid w:val="3854528C"/>
    <w:rsid w:val="38565141"/>
    <w:rsid w:val="38602906"/>
    <w:rsid w:val="389F176C"/>
    <w:rsid w:val="38A00F55"/>
    <w:rsid w:val="38B95B73"/>
    <w:rsid w:val="38C509BB"/>
    <w:rsid w:val="38CF183A"/>
    <w:rsid w:val="38E30E42"/>
    <w:rsid w:val="38EF5A38"/>
    <w:rsid w:val="39036257"/>
    <w:rsid w:val="390F119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B6F44"/>
    <w:rsid w:val="3A322081"/>
    <w:rsid w:val="3A331955"/>
    <w:rsid w:val="3A361B71"/>
    <w:rsid w:val="3A456E52"/>
    <w:rsid w:val="3A463AB7"/>
    <w:rsid w:val="3A4B6C9E"/>
    <w:rsid w:val="3A631110"/>
    <w:rsid w:val="3A6F0BDF"/>
    <w:rsid w:val="3A7C32FC"/>
    <w:rsid w:val="3AC70A1B"/>
    <w:rsid w:val="3AD66EB0"/>
    <w:rsid w:val="3AEA64B7"/>
    <w:rsid w:val="3AF92B9E"/>
    <w:rsid w:val="3AFA0DF0"/>
    <w:rsid w:val="3B236ECD"/>
    <w:rsid w:val="3B337E5E"/>
    <w:rsid w:val="3B343BD6"/>
    <w:rsid w:val="3B3C653D"/>
    <w:rsid w:val="3B497682"/>
    <w:rsid w:val="3B49769C"/>
    <w:rsid w:val="3B53405D"/>
    <w:rsid w:val="3B691AD2"/>
    <w:rsid w:val="3B6E533A"/>
    <w:rsid w:val="3B7F30A4"/>
    <w:rsid w:val="3B8561E0"/>
    <w:rsid w:val="3B8B1A48"/>
    <w:rsid w:val="3B9A415A"/>
    <w:rsid w:val="3BA2244B"/>
    <w:rsid w:val="3BB07701"/>
    <w:rsid w:val="3BB2349B"/>
    <w:rsid w:val="3BB865B6"/>
    <w:rsid w:val="3BBF7944"/>
    <w:rsid w:val="3BC82C9D"/>
    <w:rsid w:val="3BE178BA"/>
    <w:rsid w:val="3BEE1F9C"/>
    <w:rsid w:val="3C0D4B53"/>
    <w:rsid w:val="3C2105FF"/>
    <w:rsid w:val="3C372D23"/>
    <w:rsid w:val="3C447E49"/>
    <w:rsid w:val="3C4B380F"/>
    <w:rsid w:val="3C4F6F1A"/>
    <w:rsid w:val="3C511E12"/>
    <w:rsid w:val="3C5F2ED5"/>
    <w:rsid w:val="3C74072E"/>
    <w:rsid w:val="3C97441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695DB9"/>
    <w:rsid w:val="3D762284"/>
    <w:rsid w:val="3D864BBD"/>
    <w:rsid w:val="3DDD67A7"/>
    <w:rsid w:val="3DE23DBE"/>
    <w:rsid w:val="3E1A70B4"/>
    <w:rsid w:val="3E330175"/>
    <w:rsid w:val="3E655E3A"/>
    <w:rsid w:val="3E667746"/>
    <w:rsid w:val="3E885B96"/>
    <w:rsid w:val="3E8E35FE"/>
    <w:rsid w:val="3EB43064"/>
    <w:rsid w:val="3EB92D70"/>
    <w:rsid w:val="3ECD4126"/>
    <w:rsid w:val="3EF1250A"/>
    <w:rsid w:val="3F0C66A8"/>
    <w:rsid w:val="3F163D1F"/>
    <w:rsid w:val="3F281CA4"/>
    <w:rsid w:val="3F2B709E"/>
    <w:rsid w:val="3F3B5533"/>
    <w:rsid w:val="3F4500E9"/>
    <w:rsid w:val="3F450160"/>
    <w:rsid w:val="3F4C14EF"/>
    <w:rsid w:val="3F692622"/>
    <w:rsid w:val="3F7153F9"/>
    <w:rsid w:val="3F720A50"/>
    <w:rsid w:val="3F917849"/>
    <w:rsid w:val="3F9B0612"/>
    <w:rsid w:val="3F9D1D4A"/>
    <w:rsid w:val="3FA241A2"/>
    <w:rsid w:val="3FAA4467"/>
    <w:rsid w:val="3FAC01DF"/>
    <w:rsid w:val="3FB4343D"/>
    <w:rsid w:val="3FD85478"/>
    <w:rsid w:val="40155D85"/>
    <w:rsid w:val="403A57EB"/>
    <w:rsid w:val="404B3E9C"/>
    <w:rsid w:val="4061546E"/>
    <w:rsid w:val="4079067E"/>
    <w:rsid w:val="4093139F"/>
    <w:rsid w:val="409343AF"/>
    <w:rsid w:val="409A0980"/>
    <w:rsid w:val="40AC655D"/>
    <w:rsid w:val="40AD7C60"/>
    <w:rsid w:val="40D75730"/>
    <w:rsid w:val="40E63BC5"/>
    <w:rsid w:val="40FA4F7A"/>
    <w:rsid w:val="41362456"/>
    <w:rsid w:val="413C37E5"/>
    <w:rsid w:val="41487F61"/>
    <w:rsid w:val="414A5F02"/>
    <w:rsid w:val="415648A7"/>
    <w:rsid w:val="415A71E1"/>
    <w:rsid w:val="41630D72"/>
    <w:rsid w:val="419B675D"/>
    <w:rsid w:val="419F484B"/>
    <w:rsid w:val="41AA69A0"/>
    <w:rsid w:val="41B15F81"/>
    <w:rsid w:val="41BE7BFB"/>
    <w:rsid w:val="41C31810"/>
    <w:rsid w:val="41E225DE"/>
    <w:rsid w:val="41F8595E"/>
    <w:rsid w:val="420C600C"/>
    <w:rsid w:val="42100EF9"/>
    <w:rsid w:val="4214206C"/>
    <w:rsid w:val="421B164C"/>
    <w:rsid w:val="422246E7"/>
    <w:rsid w:val="422B5D33"/>
    <w:rsid w:val="42312D26"/>
    <w:rsid w:val="42454372"/>
    <w:rsid w:val="42573796"/>
    <w:rsid w:val="426E5C20"/>
    <w:rsid w:val="42786A9F"/>
    <w:rsid w:val="428B67D2"/>
    <w:rsid w:val="428E0070"/>
    <w:rsid w:val="42943344"/>
    <w:rsid w:val="42975177"/>
    <w:rsid w:val="42C615B8"/>
    <w:rsid w:val="42D77C69"/>
    <w:rsid w:val="42EB2B81"/>
    <w:rsid w:val="42FC322C"/>
    <w:rsid w:val="43046BE3"/>
    <w:rsid w:val="43171E14"/>
    <w:rsid w:val="4329542D"/>
    <w:rsid w:val="43484F88"/>
    <w:rsid w:val="435C1F1C"/>
    <w:rsid w:val="437216C9"/>
    <w:rsid w:val="4385588B"/>
    <w:rsid w:val="4387343D"/>
    <w:rsid w:val="43882D11"/>
    <w:rsid w:val="43884ABF"/>
    <w:rsid w:val="43911BC6"/>
    <w:rsid w:val="43972F54"/>
    <w:rsid w:val="439E42E3"/>
    <w:rsid w:val="43A124B3"/>
    <w:rsid w:val="43A538C3"/>
    <w:rsid w:val="43BB4E95"/>
    <w:rsid w:val="43C55D14"/>
    <w:rsid w:val="43D85A47"/>
    <w:rsid w:val="43DE0B83"/>
    <w:rsid w:val="43E97C54"/>
    <w:rsid w:val="43F839F3"/>
    <w:rsid w:val="44022AC4"/>
    <w:rsid w:val="44044A8E"/>
    <w:rsid w:val="44236B1E"/>
    <w:rsid w:val="44244662"/>
    <w:rsid w:val="442742D8"/>
    <w:rsid w:val="444158E6"/>
    <w:rsid w:val="44564BBE"/>
    <w:rsid w:val="44641089"/>
    <w:rsid w:val="446948F1"/>
    <w:rsid w:val="44C11AA6"/>
    <w:rsid w:val="44D04970"/>
    <w:rsid w:val="44D426B2"/>
    <w:rsid w:val="44E346A3"/>
    <w:rsid w:val="44E67CEF"/>
    <w:rsid w:val="44F3240C"/>
    <w:rsid w:val="45110AAC"/>
    <w:rsid w:val="45123CB8"/>
    <w:rsid w:val="451A208F"/>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90D6C"/>
    <w:rsid w:val="465E4A23"/>
    <w:rsid w:val="4672304E"/>
    <w:rsid w:val="46843C64"/>
    <w:rsid w:val="469F45FA"/>
    <w:rsid w:val="46A460B4"/>
    <w:rsid w:val="46AF05B5"/>
    <w:rsid w:val="46D30747"/>
    <w:rsid w:val="46E14C12"/>
    <w:rsid w:val="470D3C59"/>
    <w:rsid w:val="472B1462"/>
    <w:rsid w:val="473B0E1B"/>
    <w:rsid w:val="473F27FF"/>
    <w:rsid w:val="476017C6"/>
    <w:rsid w:val="476B0980"/>
    <w:rsid w:val="47745A86"/>
    <w:rsid w:val="477A0BC3"/>
    <w:rsid w:val="47811F51"/>
    <w:rsid w:val="47833F1C"/>
    <w:rsid w:val="478E2D76"/>
    <w:rsid w:val="47A65E5C"/>
    <w:rsid w:val="47AB6FCE"/>
    <w:rsid w:val="47B71E17"/>
    <w:rsid w:val="47E67FE2"/>
    <w:rsid w:val="47F0014A"/>
    <w:rsid w:val="47F7612B"/>
    <w:rsid w:val="480E43E1"/>
    <w:rsid w:val="481903DC"/>
    <w:rsid w:val="486C0E54"/>
    <w:rsid w:val="48740AF8"/>
    <w:rsid w:val="487B247F"/>
    <w:rsid w:val="48907EB9"/>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3B69AF"/>
    <w:rsid w:val="4A421E6C"/>
    <w:rsid w:val="4A730023"/>
    <w:rsid w:val="4A8833F8"/>
    <w:rsid w:val="4A8A619F"/>
    <w:rsid w:val="4AA2290B"/>
    <w:rsid w:val="4ABF170F"/>
    <w:rsid w:val="4AD46AF0"/>
    <w:rsid w:val="4ADF76BB"/>
    <w:rsid w:val="4AE1272C"/>
    <w:rsid w:val="4B125FF6"/>
    <w:rsid w:val="4B2B2900"/>
    <w:rsid w:val="4B3F0159"/>
    <w:rsid w:val="4B3F45FD"/>
    <w:rsid w:val="4B4614E8"/>
    <w:rsid w:val="4B6C4CC7"/>
    <w:rsid w:val="4B7D0C82"/>
    <w:rsid w:val="4B8057E5"/>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CA439B"/>
    <w:rsid w:val="4CD62D3F"/>
    <w:rsid w:val="4CE0771A"/>
    <w:rsid w:val="4CF051AC"/>
    <w:rsid w:val="4D0C050F"/>
    <w:rsid w:val="4D275349"/>
    <w:rsid w:val="4D331F40"/>
    <w:rsid w:val="4D3B0DF4"/>
    <w:rsid w:val="4D70482D"/>
    <w:rsid w:val="4D7F6F33"/>
    <w:rsid w:val="4D8409ED"/>
    <w:rsid w:val="4D9549A9"/>
    <w:rsid w:val="4D9D16E6"/>
    <w:rsid w:val="4DB017E2"/>
    <w:rsid w:val="4DB82445"/>
    <w:rsid w:val="4DC25072"/>
    <w:rsid w:val="4DC96400"/>
    <w:rsid w:val="4DE106CB"/>
    <w:rsid w:val="4DEB281B"/>
    <w:rsid w:val="4E10402F"/>
    <w:rsid w:val="4E121B55"/>
    <w:rsid w:val="4E2B2C17"/>
    <w:rsid w:val="4E505C68"/>
    <w:rsid w:val="4E573A0C"/>
    <w:rsid w:val="4E5C1022"/>
    <w:rsid w:val="4E760336"/>
    <w:rsid w:val="4E7C16C5"/>
    <w:rsid w:val="4EAC6FD6"/>
    <w:rsid w:val="4EB250E6"/>
    <w:rsid w:val="4EBE1CDD"/>
    <w:rsid w:val="4EC05A55"/>
    <w:rsid w:val="4ECA0682"/>
    <w:rsid w:val="4ECD0674"/>
    <w:rsid w:val="4ED17C62"/>
    <w:rsid w:val="4EE47996"/>
    <w:rsid w:val="4EE74D90"/>
    <w:rsid w:val="4EEF633A"/>
    <w:rsid w:val="4EFB083B"/>
    <w:rsid w:val="4F1D6A04"/>
    <w:rsid w:val="4F2935FA"/>
    <w:rsid w:val="4F495A4B"/>
    <w:rsid w:val="4F532425"/>
    <w:rsid w:val="4F587A3C"/>
    <w:rsid w:val="4F6C6BDA"/>
    <w:rsid w:val="4F7E394E"/>
    <w:rsid w:val="4F7F2029"/>
    <w:rsid w:val="4F870321"/>
    <w:rsid w:val="4F9071D6"/>
    <w:rsid w:val="4F9547EC"/>
    <w:rsid w:val="4FE6773D"/>
    <w:rsid w:val="4FF43AC5"/>
    <w:rsid w:val="4FF77255"/>
    <w:rsid w:val="4FFE4A87"/>
    <w:rsid w:val="50106568"/>
    <w:rsid w:val="501222E0"/>
    <w:rsid w:val="501F0559"/>
    <w:rsid w:val="5023629C"/>
    <w:rsid w:val="503A5393"/>
    <w:rsid w:val="503F29AA"/>
    <w:rsid w:val="5043249A"/>
    <w:rsid w:val="505521CD"/>
    <w:rsid w:val="50827466"/>
    <w:rsid w:val="50A078EC"/>
    <w:rsid w:val="50B679A2"/>
    <w:rsid w:val="50D21A70"/>
    <w:rsid w:val="50D457E8"/>
    <w:rsid w:val="50D75B0C"/>
    <w:rsid w:val="50FB4B23"/>
    <w:rsid w:val="51163F32"/>
    <w:rsid w:val="51183927"/>
    <w:rsid w:val="51226553"/>
    <w:rsid w:val="512D6CA6"/>
    <w:rsid w:val="514E7348"/>
    <w:rsid w:val="51516E38"/>
    <w:rsid w:val="519A433C"/>
    <w:rsid w:val="51AE366B"/>
    <w:rsid w:val="51D823BF"/>
    <w:rsid w:val="51DF0427"/>
    <w:rsid w:val="51E67581"/>
    <w:rsid w:val="51F83758"/>
    <w:rsid w:val="520B3E30"/>
    <w:rsid w:val="521A547C"/>
    <w:rsid w:val="521F6F37"/>
    <w:rsid w:val="5246001F"/>
    <w:rsid w:val="52972F71"/>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87DC7"/>
    <w:rsid w:val="534C78B7"/>
    <w:rsid w:val="534D3630"/>
    <w:rsid w:val="53807561"/>
    <w:rsid w:val="5382152B"/>
    <w:rsid w:val="538708F0"/>
    <w:rsid w:val="538E7D0E"/>
    <w:rsid w:val="53A56FC8"/>
    <w:rsid w:val="53B4545D"/>
    <w:rsid w:val="53B8319F"/>
    <w:rsid w:val="53DF24DA"/>
    <w:rsid w:val="53F65A75"/>
    <w:rsid w:val="53FB308C"/>
    <w:rsid w:val="5416466D"/>
    <w:rsid w:val="541859EC"/>
    <w:rsid w:val="541A1764"/>
    <w:rsid w:val="542F214A"/>
    <w:rsid w:val="54302D35"/>
    <w:rsid w:val="54316AAD"/>
    <w:rsid w:val="543640C4"/>
    <w:rsid w:val="543A3BB4"/>
    <w:rsid w:val="54640C31"/>
    <w:rsid w:val="54661645"/>
    <w:rsid w:val="547F3CBD"/>
    <w:rsid w:val="54AA0D3A"/>
    <w:rsid w:val="54AB6860"/>
    <w:rsid w:val="54BB2F47"/>
    <w:rsid w:val="54BE216E"/>
    <w:rsid w:val="54BF40B9"/>
    <w:rsid w:val="54D73AF9"/>
    <w:rsid w:val="54D933CD"/>
    <w:rsid w:val="54DF37FA"/>
    <w:rsid w:val="550D2661"/>
    <w:rsid w:val="550F3292"/>
    <w:rsid w:val="552A3C28"/>
    <w:rsid w:val="55563AD1"/>
    <w:rsid w:val="555D2250"/>
    <w:rsid w:val="558722C8"/>
    <w:rsid w:val="55AC6D33"/>
    <w:rsid w:val="55AD03B6"/>
    <w:rsid w:val="55BD221A"/>
    <w:rsid w:val="55C027DF"/>
    <w:rsid w:val="55CE2806"/>
    <w:rsid w:val="55D63DB0"/>
    <w:rsid w:val="55DB3175"/>
    <w:rsid w:val="55EE4C56"/>
    <w:rsid w:val="55F61D5C"/>
    <w:rsid w:val="56051FA0"/>
    <w:rsid w:val="56222B52"/>
    <w:rsid w:val="562A1B91"/>
    <w:rsid w:val="562B40FC"/>
    <w:rsid w:val="562B5B9A"/>
    <w:rsid w:val="56331D5B"/>
    <w:rsid w:val="5637484F"/>
    <w:rsid w:val="5640122A"/>
    <w:rsid w:val="56570A4D"/>
    <w:rsid w:val="565D002E"/>
    <w:rsid w:val="565E627F"/>
    <w:rsid w:val="568A7075"/>
    <w:rsid w:val="56AB7BA5"/>
    <w:rsid w:val="56AF3861"/>
    <w:rsid w:val="56B85264"/>
    <w:rsid w:val="56CA56C3"/>
    <w:rsid w:val="56CF0F2B"/>
    <w:rsid w:val="56DC53F6"/>
    <w:rsid w:val="571406EC"/>
    <w:rsid w:val="5714693E"/>
    <w:rsid w:val="573F67D1"/>
    <w:rsid w:val="575C2093"/>
    <w:rsid w:val="576D604E"/>
    <w:rsid w:val="57706229"/>
    <w:rsid w:val="578C2978"/>
    <w:rsid w:val="57BE4AFC"/>
    <w:rsid w:val="57C2639A"/>
    <w:rsid w:val="57CE11E3"/>
    <w:rsid w:val="57CF2865"/>
    <w:rsid w:val="57E07028"/>
    <w:rsid w:val="57E207EA"/>
    <w:rsid w:val="57EC78BB"/>
    <w:rsid w:val="57F549C2"/>
    <w:rsid w:val="580764A3"/>
    <w:rsid w:val="58260F8E"/>
    <w:rsid w:val="582C5F09"/>
    <w:rsid w:val="586C6306"/>
    <w:rsid w:val="58737694"/>
    <w:rsid w:val="587F072F"/>
    <w:rsid w:val="58BA1767"/>
    <w:rsid w:val="59215342"/>
    <w:rsid w:val="5928001D"/>
    <w:rsid w:val="592941F7"/>
    <w:rsid w:val="592A3C50"/>
    <w:rsid w:val="594026BD"/>
    <w:rsid w:val="59460076"/>
    <w:rsid w:val="59515D8A"/>
    <w:rsid w:val="595C637A"/>
    <w:rsid w:val="5960477C"/>
    <w:rsid w:val="596B66F6"/>
    <w:rsid w:val="596C2A61"/>
    <w:rsid w:val="596F6178"/>
    <w:rsid w:val="597E2795"/>
    <w:rsid w:val="59A5674B"/>
    <w:rsid w:val="59AD4E28"/>
    <w:rsid w:val="59BD150F"/>
    <w:rsid w:val="59BE0DE3"/>
    <w:rsid w:val="59C53F20"/>
    <w:rsid w:val="59D535F0"/>
    <w:rsid w:val="5A0228E9"/>
    <w:rsid w:val="5A146C55"/>
    <w:rsid w:val="5A151F73"/>
    <w:rsid w:val="5A582FE6"/>
    <w:rsid w:val="5AA77AC9"/>
    <w:rsid w:val="5AA91A93"/>
    <w:rsid w:val="5ABE4B07"/>
    <w:rsid w:val="5AC266B1"/>
    <w:rsid w:val="5AEE74A6"/>
    <w:rsid w:val="5AFA409D"/>
    <w:rsid w:val="5AFA5E4B"/>
    <w:rsid w:val="5B307ABF"/>
    <w:rsid w:val="5B321A89"/>
    <w:rsid w:val="5B32273E"/>
    <w:rsid w:val="5B353327"/>
    <w:rsid w:val="5B386973"/>
    <w:rsid w:val="5B417F1E"/>
    <w:rsid w:val="5B4602DF"/>
    <w:rsid w:val="5B4A6DD2"/>
    <w:rsid w:val="5B57329D"/>
    <w:rsid w:val="5B6F6839"/>
    <w:rsid w:val="5B751975"/>
    <w:rsid w:val="5B765E19"/>
    <w:rsid w:val="5B8147BE"/>
    <w:rsid w:val="5B920779"/>
    <w:rsid w:val="5B977B3E"/>
    <w:rsid w:val="5BB74B2C"/>
    <w:rsid w:val="5BBB382C"/>
    <w:rsid w:val="5BCC1E57"/>
    <w:rsid w:val="5BD41E6E"/>
    <w:rsid w:val="5BEA2363"/>
    <w:rsid w:val="5BEA5EBF"/>
    <w:rsid w:val="5BF64864"/>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CF75EF"/>
    <w:rsid w:val="5ED54C05"/>
    <w:rsid w:val="5EF2352E"/>
    <w:rsid w:val="5EF57055"/>
    <w:rsid w:val="5EF763C6"/>
    <w:rsid w:val="5F08322C"/>
    <w:rsid w:val="5F4E6765"/>
    <w:rsid w:val="5F5D7160"/>
    <w:rsid w:val="5F7206A6"/>
    <w:rsid w:val="5F7408C2"/>
    <w:rsid w:val="5F887EC9"/>
    <w:rsid w:val="5F893C41"/>
    <w:rsid w:val="5F8B79B9"/>
    <w:rsid w:val="5FB23198"/>
    <w:rsid w:val="5FD70E51"/>
    <w:rsid w:val="5FEF7F48"/>
    <w:rsid w:val="5FF217E7"/>
    <w:rsid w:val="5FF27A39"/>
    <w:rsid w:val="5FF76DFD"/>
    <w:rsid w:val="5FFE1F39"/>
    <w:rsid w:val="60060FEE"/>
    <w:rsid w:val="602A0F80"/>
    <w:rsid w:val="60462E90"/>
    <w:rsid w:val="60536729"/>
    <w:rsid w:val="608368E3"/>
    <w:rsid w:val="608F7035"/>
    <w:rsid w:val="60A30D33"/>
    <w:rsid w:val="60A96349"/>
    <w:rsid w:val="60C2740B"/>
    <w:rsid w:val="60D94755"/>
    <w:rsid w:val="60F021CA"/>
    <w:rsid w:val="611834CF"/>
    <w:rsid w:val="61530A39"/>
    <w:rsid w:val="6183303E"/>
    <w:rsid w:val="61923281"/>
    <w:rsid w:val="61A564AF"/>
    <w:rsid w:val="61AC3CD1"/>
    <w:rsid w:val="61B054B5"/>
    <w:rsid w:val="61FA4982"/>
    <w:rsid w:val="61FE695C"/>
    <w:rsid w:val="621912AD"/>
    <w:rsid w:val="621C6FEF"/>
    <w:rsid w:val="623076A4"/>
    <w:rsid w:val="62326812"/>
    <w:rsid w:val="62392C11"/>
    <w:rsid w:val="62571DD5"/>
    <w:rsid w:val="625B7377"/>
    <w:rsid w:val="6278019C"/>
    <w:rsid w:val="6285420B"/>
    <w:rsid w:val="628C1A7E"/>
    <w:rsid w:val="628D5A97"/>
    <w:rsid w:val="629B7F14"/>
    <w:rsid w:val="62A96AD4"/>
    <w:rsid w:val="62B2525D"/>
    <w:rsid w:val="62B66AFB"/>
    <w:rsid w:val="62BB3577"/>
    <w:rsid w:val="62C0797A"/>
    <w:rsid w:val="62FB09B2"/>
    <w:rsid w:val="62FE04A2"/>
    <w:rsid w:val="631D29EB"/>
    <w:rsid w:val="633C6169"/>
    <w:rsid w:val="63500CFE"/>
    <w:rsid w:val="637A3FCD"/>
    <w:rsid w:val="63822EAD"/>
    <w:rsid w:val="63870498"/>
    <w:rsid w:val="638B75D1"/>
    <w:rsid w:val="63B70D7D"/>
    <w:rsid w:val="63D23E09"/>
    <w:rsid w:val="63E234B7"/>
    <w:rsid w:val="63F773CC"/>
    <w:rsid w:val="64047D3A"/>
    <w:rsid w:val="64300F47"/>
    <w:rsid w:val="64483336"/>
    <w:rsid w:val="644F0FB6"/>
    <w:rsid w:val="645E38EF"/>
    <w:rsid w:val="646C600B"/>
    <w:rsid w:val="64942E6C"/>
    <w:rsid w:val="64A75ABD"/>
    <w:rsid w:val="64AC6408"/>
    <w:rsid w:val="64AE53F9"/>
    <w:rsid w:val="64D63485"/>
    <w:rsid w:val="64DB040D"/>
    <w:rsid w:val="6500647B"/>
    <w:rsid w:val="65085608"/>
    <w:rsid w:val="65091AAC"/>
    <w:rsid w:val="65110961"/>
    <w:rsid w:val="6518767F"/>
    <w:rsid w:val="65237AC1"/>
    <w:rsid w:val="653603C7"/>
    <w:rsid w:val="65362175"/>
    <w:rsid w:val="656767D3"/>
    <w:rsid w:val="65801643"/>
    <w:rsid w:val="658904F7"/>
    <w:rsid w:val="6598698C"/>
    <w:rsid w:val="65A13CC9"/>
    <w:rsid w:val="65D23F5A"/>
    <w:rsid w:val="65E120E1"/>
    <w:rsid w:val="660D737A"/>
    <w:rsid w:val="66182E5E"/>
    <w:rsid w:val="661A38C3"/>
    <w:rsid w:val="661E2CB4"/>
    <w:rsid w:val="6632293D"/>
    <w:rsid w:val="664E603D"/>
    <w:rsid w:val="666F1DE3"/>
    <w:rsid w:val="66A870A3"/>
    <w:rsid w:val="66AD46B9"/>
    <w:rsid w:val="66C1550E"/>
    <w:rsid w:val="66C739CD"/>
    <w:rsid w:val="66CD4D5B"/>
    <w:rsid w:val="66DD6797"/>
    <w:rsid w:val="66F66060"/>
    <w:rsid w:val="66F67E0E"/>
    <w:rsid w:val="670818F0"/>
    <w:rsid w:val="671D183F"/>
    <w:rsid w:val="67293782"/>
    <w:rsid w:val="673646AF"/>
    <w:rsid w:val="675114E9"/>
    <w:rsid w:val="675863D3"/>
    <w:rsid w:val="679703E1"/>
    <w:rsid w:val="67A17496"/>
    <w:rsid w:val="67A965FC"/>
    <w:rsid w:val="67D839B8"/>
    <w:rsid w:val="68182006"/>
    <w:rsid w:val="681C1AF7"/>
    <w:rsid w:val="68207DE3"/>
    <w:rsid w:val="683926A8"/>
    <w:rsid w:val="685272C6"/>
    <w:rsid w:val="68537CAF"/>
    <w:rsid w:val="685F3791"/>
    <w:rsid w:val="68725BBA"/>
    <w:rsid w:val="68757459"/>
    <w:rsid w:val="687A4A6F"/>
    <w:rsid w:val="688C5099"/>
    <w:rsid w:val="68953657"/>
    <w:rsid w:val="68B735CD"/>
    <w:rsid w:val="68C1444C"/>
    <w:rsid w:val="68E51EE8"/>
    <w:rsid w:val="68EA5751"/>
    <w:rsid w:val="68F570FB"/>
    <w:rsid w:val="69227DA0"/>
    <w:rsid w:val="69456E2B"/>
    <w:rsid w:val="69531548"/>
    <w:rsid w:val="696F3EA8"/>
    <w:rsid w:val="69731BEA"/>
    <w:rsid w:val="69765236"/>
    <w:rsid w:val="69790883"/>
    <w:rsid w:val="697A2F79"/>
    <w:rsid w:val="69935DE8"/>
    <w:rsid w:val="69A47FF6"/>
    <w:rsid w:val="69A87C65"/>
    <w:rsid w:val="69EE301F"/>
    <w:rsid w:val="69FB1963"/>
    <w:rsid w:val="6A3F35DF"/>
    <w:rsid w:val="6A5D1F52"/>
    <w:rsid w:val="6A7C062B"/>
    <w:rsid w:val="6AA25BA0"/>
    <w:rsid w:val="6AA3205B"/>
    <w:rsid w:val="6AAB0F10"/>
    <w:rsid w:val="6AAD2EDA"/>
    <w:rsid w:val="6AB8548E"/>
    <w:rsid w:val="6ABC577D"/>
    <w:rsid w:val="6ACD70D8"/>
    <w:rsid w:val="6AE12B83"/>
    <w:rsid w:val="6AE42367"/>
    <w:rsid w:val="6AFE7291"/>
    <w:rsid w:val="6B054AC4"/>
    <w:rsid w:val="6B106FC5"/>
    <w:rsid w:val="6B225676"/>
    <w:rsid w:val="6B3A462E"/>
    <w:rsid w:val="6B422808"/>
    <w:rsid w:val="6B476E8A"/>
    <w:rsid w:val="6B4B5217"/>
    <w:rsid w:val="6B680BAF"/>
    <w:rsid w:val="6B8A1717"/>
    <w:rsid w:val="6B8C6F93"/>
    <w:rsid w:val="6BC56001"/>
    <w:rsid w:val="6BCC7390"/>
    <w:rsid w:val="6BD36970"/>
    <w:rsid w:val="6BD526E8"/>
    <w:rsid w:val="6C092392"/>
    <w:rsid w:val="6C17069E"/>
    <w:rsid w:val="6C2225DD"/>
    <w:rsid w:val="6C2830FF"/>
    <w:rsid w:val="6C5850C7"/>
    <w:rsid w:val="6C68355C"/>
    <w:rsid w:val="6C6B0957"/>
    <w:rsid w:val="6C832144"/>
    <w:rsid w:val="6C89702F"/>
    <w:rsid w:val="6C9C18EB"/>
    <w:rsid w:val="6CCD7863"/>
    <w:rsid w:val="6CD504C6"/>
    <w:rsid w:val="6CD52274"/>
    <w:rsid w:val="6CDD364E"/>
    <w:rsid w:val="6CF46B9E"/>
    <w:rsid w:val="6CF92406"/>
    <w:rsid w:val="6CFC3CA5"/>
    <w:rsid w:val="6D147240"/>
    <w:rsid w:val="6D196605"/>
    <w:rsid w:val="6D21370B"/>
    <w:rsid w:val="6D3B18E0"/>
    <w:rsid w:val="6D3B18E9"/>
    <w:rsid w:val="6D57537F"/>
    <w:rsid w:val="6D6C42DF"/>
    <w:rsid w:val="6D77332B"/>
    <w:rsid w:val="6D800432"/>
    <w:rsid w:val="6D940381"/>
    <w:rsid w:val="6D9C3AFC"/>
    <w:rsid w:val="6DAC1227"/>
    <w:rsid w:val="6DBB76BC"/>
    <w:rsid w:val="6DD469CF"/>
    <w:rsid w:val="6E22773B"/>
    <w:rsid w:val="6E2A4841"/>
    <w:rsid w:val="6E374EF7"/>
    <w:rsid w:val="6E443B55"/>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360C58"/>
    <w:rsid w:val="6F636421"/>
    <w:rsid w:val="6F6B5112"/>
    <w:rsid w:val="6F6E6EC3"/>
    <w:rsid w:val="6F7264A0"/>
    <w:rsid w:val="6F765F90"/>
    <w:rsid w:val="6F9401C4"/>
    <w:rsid w:val="6FB915A7"/>
    <w:rsid w:val="6FC14D32"/>
    <w:rsid w:val="6FCD1928"/>
    <w:rsid w:val="6FD902CD"/>
    <w:rsid w:val="6FDE58E3"/>
    <w:rsid w:val="6FE61F3E"/>
    <w:rsid w:val="6FF9428D"/>
    <w:rsid w:val="70161521"/>
    <w:rsid w:val="702F613F"/>
    <w:rsid w:val="703244E4"/>
    <w:rsid w:val="705636CC"/>
    <w:rsid w:val="707E3923"/>
    <w:rsid w:val="70D31B19"/>
    <w:rsid w:val="70FD0CB3"/>
    <w:rsid w:val="711E0B5E"/>
    <w:rsid w:val="712A5284"/>
    <w:rsid w:val="7130216F"/>
    <w:rsid w:val="713C4FB8"/>
    <w:rsid w:val="71687AE4"/>
    <w:rsid w:val="718F158B"/>
    <w:rsid w:val="71A004FF"/>
    <w:rsid w:val="71AD7C63"/>
    <w:rsid w:val="71C50B09"/>
    <w:rsid w:val="71C8684B"/>
    <w:rsid w:val="71DC40A5"/>
    <w:rsid w:val="71E03B95"/>
    <w:rsid w:val="71E116BB"/>
    <w:rsid w:val="71F615DC"/>
    <w:rsid w:val="71FE04BF"/>
    <w:rsid w:val="720F7FD6"/>
    <w:rsid w:val="72121874"/>
    <w:rsid w:val="7229553C"/>
    <w:rsid w:val="72323CC5"/>
    <w:rsid w:val="724B2077"/>
    <w:rsid w:val="72691DDC"/>
    <w:rsid w:val="726F4F19"/>
    <w:rsid w:val="726F7FB0"/>
    <w:rsid w:val="72A46970"/>
    <w:rsid w:val="72B50B7E"/>
    <w:rsid w:val="72C139C6"/>
    <w:rsid w:val="72C62D8B"/>
    <w:rsid w:val="72D57833"/>
    <w:rsid w:val="72DC25AE"/>
    <w:rsid w:val="72FC49FE"/>
    <w:rsid w:val="732E0930"/>
    <w:rsid w:val="73335F46"/>
    <w:rsid w:val="73373C88"/>
    <w:rsid w:val="733E4E7F"/>
    <w:rsid w:val="733F6699"/>
    <w:rsid w:val="7358775B"/>
    <w:rsid w:val="735C7C30"/>
    <w:rsid w:val="73634FBB"/>
    <w:rsid w:val="73661E78"/>
    <w:rsid w:val="73697BBA"/>
    <w:rsid w:val="73775E2C"/>
    <w:rsid w:val="738A025C"/>
    <w:rsid w:val="73B61051"/>
    <w:rsid w:val="73BB6668"/>
    <w:rsid w:val="73C365CB"/>
    <w:rsid w:val="73E95EE8"/>
    <w:rsid w:val="73EA4857"/>
    <w:rsid w:val="73F6144E"/>
    <w:rsid w:val="73F97190"/>
    <w:rsid w:val="74085625"/>
    <w:rsid w:val="74185868"/>
    <w:rsid w:val="742023C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60252B"/>
    <w:rsid w:val="776058DA"/>
    <w:rsid w:val="77626DFA"/>
    <w:rsid w:val="777032C5"/>
    <w:rsid w:val="777803CC"/>
    <w:rsid w:val="777D1E86"/>
    <w:rsid w:val="779276DF"/>
    <w:rsid w:val="77B70517"/>
    <w:rsid w:val="77E043E3"/>
    <w:rsid w:val="77F40160"/>
    <w:rsid w:val="78342545"/>
    <w:rsid w:val="78412EB3"/>
    <w:rsid w:val="784D0218"/>
    <w:rsid w:val="785030F6"/>
    <w:rsid w:val="78550E5C"/>
    <w:rsid w:val="78632E2A"/>
    <w:rsid w:val="78654DF4"/>
    <w:rsid w:val="787B0173"/>
    <w:rsid w:val="787D0429"/>
    <w:rsid w:val="78B24F5D"/>
    <w:rsid w:val="78E6503D"/>
    <w:rsid w:val="78EF46BD"/>
    <w:rsid w:val="790740FD"/>
    <w:rsid w:val="791660EE"/>
    <w:rsid w:val="791D122B"/>
    <w:rsid w:val="791F31F5"/>
    <w:rsid w:val="79265756"/>
    <w:rsid w:val="793F5645"/>
    <w:rsid w:val="794511BD"/>
    <w:rsid w:val="794A5D98"/>
    <w:rsid w:val="794C38BE"/>
    <w:rsid w:val="794E7636"/>
    <w:rsid w:val="79892D64"/>
    <w:rsid w:val="798E037A"/>
    <w:rsid w:val="79960FDD"/>
    <w:rsid w:val="79997202"/>
    <w:rsid w:val="799E680F"/>
    <w:rsid w:val="7A1B3962"/>
    <w:rsid w:val="7A2111EE"/>
    <w:rsid w:val="7A2F56B9"/>
    <w:rsid w:val="7A6D48C0"/>
    <w:rsid w:val="7A7268AA"/>
    <w:rsid w:val="7A765096"/>
    <w:rsid w:val="7A974046"/>
    <w:rsid w:val="7AAD65DE"/>
    <w:rsid w:val="7AC53928"/>
    <w:rsid w:val="7AC878BC"/>
    <w:rsid w:val="7ACA7190"/>
    <w:rsid w:val="7AEF309B"/>
    <w:rsid w:val="7AF74DED"/>
    <w:rsid w:val="7AFD2AA0"/>
    <w:rsid w:val="7AFD57B8"/>
    <w:rsid w:val="7AFF1FD8"/>
    <w:rsid w:val="7B007056"/>
    <w:rsid w:val="7B02692A"/>
    <w:rsid w:val="7B2368A0"/>
    <w:rsid w:val="7B627C76"/>
    <w:rsid w:val="7B705F89"/>
    <w:rsid w:val="7B735A7A"/>
    <w:rsid w:val="7B887EC5"/>
    <w:rsid w:val="7B914152"/>
    <w:rsid w:val="7BAE0860"/>
    <w:rsid w:val="7BB17EFC"/>
    <w:rsid w:val="7BB97365"/>
    <w:rsid w:val="7BC60184"/>
    <w:rsid w:val="7BD5403F"/>
    <w:rsid w:val="7BE349AD"/>
    <w:rsid w:val="7BE73A8B"/>
    <w:rsid w:val="7BEC3136"/>
    <w:rsid w:val="7BF471EA"/>
    <w:rsid w:val="7C011556"/>
    <w:rsid w:val="7C18217D"/>
    <w:rsid w:val="7C3C40BE"/>
    <w:rsid w:val="7C507B69"/>
    <w:rsid w:val="7C596A1E"/>
    <w:rsid w:val="7C5E2286"/>
    <w:rsid w:val="7C701FB9"/>
    <w:rsid w:val="7C817D22"/>
    <w:rsid w:val="7CD24A22"/>
    <w:rsid w:val="7CE25D6C"/>
    <w:rsid w:val="7CEA1D6C"/>
    <w:rsid w:val="7CF95D03"/>
    <w:rsid w:val="7D0C3A90"/>
    <w:rsid w:val="7D0E5A5A"/>
    <w:rsid w:val="7D360B0D"/>
    <w:rsid w:val="7D406A1E"/>
    <w:rsid w:val="7D494CE4"/>
    <w:rsid w:val="7D637428"/>
    <w:rsid w:val="7D717D97"/>
    <w:rsid w:val="7D7653AD"/>
    <w:rsid w:val="7D823D52"/>
    <w:rsid w:val="7D851A94"/>
    <w:rsid w:val="7D8E1E41"/>
    <w:rsid w:val="7D9121E7"/>
    <w:rsid w:val="7D965A4F"/>
    <w:rsid w:val="7DC73E5B"/>
    <w:rsid w:val="7DCB56F9"/>
    <w:rsid w:val="7DF34C50"/>
    <w:rsid w:val="7E0D00F2"/>
    <w:rsid w:val="7E105802"/>
    <w:rsid w:val="7E1A21DD"/>
    <w:rsid w:val="7E486D4A"/>
    <w:rsid w:val="7E5F22E5"/>
    <w:rsid w:val="7E635932"/>
    <w:rsid w:val="7E7C7B82"/>
    <w:rsid w:val="7E960CC1"/>
    <w:rsid w:val="7EA36676"/>
    <w:rsid w:val="7EAD12A3"/>
    <w:rsid w:val="7EB702F4"/>
    <w:rsid w:val="7ED625A7"/>
    <w:rsid w:val="7EDA196C"/>
    <w:rsid w:val="7EE56707"/>
    <w:rsid w:val="7EED715E"/>
    <w:rsid w:val="7EF42A2E"/>
    <w:rsid w:val="7EF46ED2"/>
    <w:rsid w:val="7EFD7F37"/>
    <w:rsid w:val="7F2271E4"/>
    <w:rsid w:val="7F2D7CEE"/>
    <w:rsid w:val="7F313C82"/>
    <w:rsid w:val="7F4A61E1"/>
    <w:rsid w:val="7F596D35"/>
    <w:rsid w:val="7F7D5F66"/>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7"/>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4"/>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5"/>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2"/>
    <w:autoRedefine/>
    <w:qFormat/>
    <w:uiPriority w:val="0"/>
    <w:pPr>
      <w:spacing w:line="240" w:lineRule="auto"/>
    </w:pPr>
    <w:rPr>
      <w:rFonts w:eastAsiaTheme="minorEastAsia"/>
      <w:sz w:val="21"/>
      <w:szCs w:val="24"/>
    </w:rPr>
  </w:style>
  <w:style w:type="paragraph" w:styleId="13">
    <w:name w:val="Body Text"/>
    <w:basedOn w:val="1"/>
    <w:next w:val="1"/>
    <w:link w:val="46"/>
    <w:autoRedefine/>
    <w:qFormat/>
    <w:uiPriority w:val="99"/>
    <w:pPr>
      <w:spacing w:after="120" w:line="240" w:lineRule="auto"/>
      <w:jc w:val="both"/>
    </w:pPr>
    <w:rPr>
      <w:rFonts w:eastAsiaTheme="minorEastAsia"/>
      <w:sz w:val="21"/>
      <w:szCs w:val="24"/>
    </w:rPr>
  </w:style>
  <w:style w:type="paragraph" w:styleId="14">
    <w:name w:val="Body Text Indent"/>
    <w:basedOn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0"/>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annotation subject"/>
    <w:basedOn w:val="12"/>
    <w:next w:val="12"/>
    <w:link w:val="50"/>
    <w:autoRedefine/>
    <w:semiHidden/>
    <w:unhideWhenUsed/>
    <w:qFormat/>
    <w:uiPriority w:val="99"/>
    <w:pPr>
      <w:spacing w:line="360" w:lineRule="auto"/>
    </w:pPr>
    <w:rPr>
      <w:rFonts w:eastAsia="宋体"/>
      <w:b/>
      <w:bCs/>
      <w:sz w:val="24"/>
      <w:szCs w:val="22"/>
    </w:rPr>
  </w:style>
  <w:style w:type="paragraph" w:styleId="28">
    <w:name w:val="Body Text First Indent 2"/>
    <w:basedOn w:val="14"/>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31"/>
    <w:autoRedefine/>
    <w:qFormat/>
    <w:uiPriority w:val="0"/>
    <w:rPr>
      <w:sz w:val="21"/>
      <w:szCs w:val="21"/>
    </w:rPr>
  </w:style>
  <w:style w:type="paragraph" w:customStyle="1" w:styleId="3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2"/>
    <w:basedOn w:val="1"/>
    <w:autoRedefine/>
    <w:qFormat/>
    <w:uiPriority w:val="0"/>
    <w:pPr>
      <w:wordWrap w:val="0"/>
      <w:ind w:firstLine="480"/>
    </w:pPr>
    <w:rPr>
      <w:iCs/>
      <w:shd w:val="clear" w:color="auto" w:fill="FFFFFF" w:themeFill="background1"/>
      <w:lang w:val="zh-CN"/>
    </w:rPr>
  </w:style>
  <w:style w:type="character" w:customStyle="1" w:styleId="37">
    <w:name w:val="标题 1 字符"/>
    <w:basedOn w:val="31"/>
    <w:link w:val="2"/>
    <w:autoRedefine/>
    <w:qFormat/>
    <w:uiPriority w:val="9"/>
    <w:rPr>
      <w:rFonts w:eastAsia="黑体"/>
      <w:b/>
      <w:bCs/>
      <w:kern w:val="44"/>
      <w:sz w:val="44"/>
      <w:szCs w:val="44"/>
    </w:rPr>
  </w:style>
  <w:style w:type="paragraph" w:styleId="38">
    <w:name w:val="List Paragraph"/>
    <w:basedOn w:val="1"/>
    <w:autoRedefine/>
    <w:qFormat/>
    <w:uiPriority w:val="34"/>
    <w:pPr>
      <w:numPr>
        <w:ilvl w:val="0"/>
        <w:numId w:val="2"/>
      </w:numPr>
    </w:pPr>
  </w:style>
  <w:style w:type="character" w:customStyle="1" w:styleId="39">
    <w:name w:val="页眉 字符"/>
    <w:basedOn w:val="31"/>
    <w:link w:val="20"/>
    <w:autoRedefine/>
    <w:qFormat/>
    <w:uiPriority w:val="99"/>
    <w:rPr>
      <w:rFonts w:eastAsia="宋体"/>
      <w:sz w:val="18"/>
      <w:szCs w:val="18"/>
    </w:rPr>
  </w:style>
  <w:style w:type="character" w:customStyle="1" w:styleId="40">
    <w:name w:val="页脚 字符"/>
    <w:basedOn w:val="31"/>
    <w:link w:val="19"/>
    <w:autoRedefine/>
    <w:qFormat/>
    <w:uiPriority w:val="99"/>
    <w:rPr>
      <w:rFonts w:eastAsia="宋体"/>
      <w:sz w:val="18"/>
      <w:szCs w:val="18"/>
    </w:rPr>
  </w:style>
  <w:style w:type="character" w:customStyle="1" w:styleId="41">
    <w:name w:val="标题 2 字符"/>
    <w:basedOn w:val="31"/>
    <w:link w:val="3"/>
    <w:autoRedefine/>
    <w:qFormat/>
    <w:uiPriority w:val="0"/>
    <w:rPr>
      <w:rFonts w:eastAsia="宋体" w:asciiTheme="majorHAnsi" w:hAnsiTheme="majorHAnsi" w:cstheme="majorBidi"/>
      <w:b/>
      <w:bCs/>
      <w:sz w:val="32"/>
      <w:szCs w:val="32"/>
    </w:rPr>
  </w:style>
  <w:style w:type="character" w:customStyle="1" w:styleId="42">
    <w:name w:val="批注文字 字符"/>
    <w:basedOn w:val="31"/>
    <w:link w:val="12"/>
    <w:autoRedefine/>
    <w:qFormat/>
    <w:uiPriority w:val="0"/>
    <w:rPr>
      <w:szCs w:val="24"/>
    </w:rPr>
  </w:style>
  <w:style w:type="paragraph" w:customStyle="1" w:styleId="43">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4">
    <w:name w:val="标题 3 字符"/>
    <w:basedOn w:val="31"/>
    <w:link w:val="4"/>
    <w:autoRedefine/>
    <w:qFormat/>
    <w:uiPriority w:val="9"/>
    <w:rPr>
      <w:rFonts w:eastAsia="宋体"/>
      <w:b/>
      <w:bCs/>
      <w:sz w:val="30"/>
      <w:szCs w:val="32"/>
    </w:rPr>
  </w:style>
  <w:style w:type="character" w:customStyle="1" w:styleId="45">
    <w:name w:val="标题 4 字符"/>
    <w:basedOn w:val="31"/>
    <w:link w:val="5"/>
    <w:autoRedefine/>
    <w:qFormat/>
    <w:uiPriority w:val="9"/>
    <w:rPr>
      <w:rFonts w:eastAsia="宋体" w:asciiTheme="majorHAnsi" w:hAnsiTheme="majorHAnsi" w:cstheme="majorBidi"/>
      <w:b/>
      <w:bCs/>
      <w:sz w:val="28"/>
      <w:szCs w:val="28"/>
    </w:rPr>
  </w:style>
  <w:style w:type="character" w:customStyle="1" w:styleId="46">
    <w:name w:val="正文文本 字符"/>
    <w:basedOn w:val="31"/>
    <w:link w:val="13"/>
    <w:autoRedefine/>
    <w:qFormat/>
    <w:uiPriority w:val="99"/>
    <w:rPr>
      <w:szCs w:val="24"/>
    </w:rPr>
  </w:style>
  <w:style w:type="paragraph" w:customStyle="1" w:styleId="47">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8">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49">
    <w:name w:val="未处理的提及1"/>
    <w:basedOn w:val="31"/>
    <w:autoRedefine/>
    <w:semiHidden/>
    <w:unhideWhenUsed/>
    <w:qFormat/>
    <w:uiPriority w:val="99"/>
    <w:rPr>
      <w:color w:val="605E5C"/>
      <w:shd w:val="clear" w:color="auto" w:fill="E1DFDD"/>
    </w:rPr>
  </w:style>
  <w:style w:type="character" w:customStyle="1" w:styleId="50">
    <w:name w:val="批注主题 字符"/>
    <w:basedOn w:val="42"/>
    <w:link w:val="27"/>
    <w:autoRedefine/>
    <w:semiHidden/>
    <w:qFormat/>
    <w:uiPriority w:val="99"/>
    <w:rPr>
      <w:rFonts w:ascii="宋体" w:hAnsi="宋体" w:cstheme="minorBidi"/>
      <w:b/>
      <w:bCs/>
      <w:kern w:val="2"/>
      <w:sz w:val="24"/>
      <w:szCs w:val="22"/>
    </w:rPr>
  </w:style>
  <w:style w:type="character" w:customStyle="1" w:styleId="51">
    <w:name w:val="未处理的提及2"/>
    <w:basedOn w:val="31"/>
    <w:autoRedefine/>
    <w:semiHidden/>
    <w:unhideWhenUsed/>
    <w:qFormat/>
    <w:uiPriority w:val="99"/>
    <w:rPr>
      <w:color w:val="605E5C"/>
      <w:shd w:val="clear" w:color="auto" w:fill="E1DFDD"/>
    </w:rPr>
  </w:style>
  <w:style w:type="paragraph" w:customStyle="1" w:styleId="52">
    <w:name w:val="正文_2"/>
    <w:autoRedefine/>
    <w:qFormat/>
    <w:uiPriority w:val="0"/>
    <w:pPr>
      <w:widowControl w:val="0"/>
      <w:jc w:val="both"/>
    </w:pPr>
    <w:rPr>
      <w:rFonts w:ascii="Calibri" w:hAnsi="Calibri" w:eastAsia="宋体" w:cs="Times New Roman"/>
      <w:lang w:val="en-US" w:eastAsia="zh-CN" w:bidi="ar-SA"/>
    </w:rPr>
  </w:style>
  <w:style w:type="paragraph" w:customStyle="1" w:styleId="53">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56">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Normal Indent1"/>
    <w:basedOn w:val="1"/>
    <w:autoRedefine/>
    <w:qFormat/>
    <w:uiPriority w:val="0"/>
    <w:pPr>
      <w:ind w:firstLine="420" w:firstLineChars="200"/>
    </w:pPr>
  </w:style>
  <w:style w:type="paragraph" w:customStyle="1" w:styleId="58">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59">
    <w:name w:val="Normal_22"/>
    <w:autoRedefine/>
    <w:qFormat/>
    <w:uiPriority w:val="0"/>
    <w:rPr>
      <w:rFonts w:ascii="Times New Roman" w:hAnsi="Times New Roman" w:eastAsia="Times New Roman" w:cs="Times New Roman"/>
      <w:sz w:val="24"/>
      <w:szCs w:val="24"/>
      <w:lang w:bidi="ar-SA"/>
    </w:rPr>
  </w:style>
  <w:style w:type="paragraph" w:customStyle="1" w:styleId="60">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正文_0_0_0 Char"/>
    <w:link w:val="62"/>
    <w:autoRedefine/>
    <w:qFormat/>
    <w:locked/>
    <w:uiPriority w:val="0"/>
    <w:rPr>
      <w:rFonts w:ascii="Calibri" w:hAnsi="Calibri" w:cs="Calibri"/>
      <w:kern w:val="2"/>
      <w:sz w:val="28"/>
      <w:szCs w:val="22"/>
      <w:lang w:val="en-US" w:eastAsia="zh-CN" w:bidi="ar-SA"/>
    </w:rPr>
  </w:style>
  <w:style w:type="paragraph" w:customStyle="1" w:styleId="62">
    <w:name w:val="正文_0_0_0_0_0"/>
    <w:link w:val="61"/>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3">
    <w:name w:val="正文文本_0_1"/>
    <w:basedOn w:val="64"/>
    <w:autoRedefine/>
    <w:qFormat/>
    <w:uiPriority w:val="99"/>
    <w:pPr>
      <w:spacing w:after="120"/>
    </w:pPr>
    <w:rPr>
      <w:rFonts w:ascii="Calibri" w:hAnsi="Calibri" w:eastAsia="宋体"/>
      <w:kern w:val="0"/>
      <w:sz w:val="24"/>
      <w:szCs w:val="20"/>
    </w:rPr>
  </w:style>
  <w:style w:type="paragraph" w:customStyle="1" w:styleId="64">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Table Paragraph_1"/>
    <w:basedOn w:val="64"/>
    <w:autoRedefine/>
    <w:qFormat/>
    <w:uiPriority w:val="0"/>
    <w:pPr>
      <w:jc w:val="left"/>
    </w:pPr>
    <w:rPr>
      <w:rFonts w:ascii="Calibri" w:hAnsi="Calibri" w:eastAsia="宋体"/>
      <w:kern w:val="0"/>
      <w:sz w:val="22"/>
      <w:lang w:eastAsia="en-US"/>
    </w:rPr>
  </w:style>
  <w:style w:type="paragraph" w:customStyle="1" w:styleId="6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1"/>
    <w:autoRedefine/>
    <w:qFormat/>
    <w:uiPriority w:val="0"/>
    <w:pPr>
      <w:widowControl w:val="0"/>
      <w:jc w:val="both"/>
    </w:pPr>
    <w:rPr>
      <w:rFonts w:ascii="Calibri" w:hAnsi="Calibri" w:eastAsia="宋体" w:cs="Times New Roman"/>
      <w:lang w:val="en-US" w:eastAsia="zh-CN" w:bidi="ar-SA"/>
    </w:rPr>
  </w:style>
  <w:style w:type="paragraph" w:customStyle="1" w:styleId="68">
    <w:name w:val="列出段落1"/>
    <w:basedOn w:val="1"/>
    <w:autoRedefine/>
    <w:qFormat/>
    <w:uiPriority w:val="0"/>
    <w:pPr>
      <w:ind w:firstLine="420" w:firstLineChars="200"/>
    </w:pPr>
    <w:rPr>
      <w:szCs w:val="21"/>
    </w:rPr>
  </w:style>
  <w:style w:type="paragraph" w:customStyle="1" w:styleId="6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Char Char Char Char Char Char Char1 Char"/>
    <w:basedOn w:val="1"/>
    <w:autoRedefine/>
    <w:qFormat/>
    <w:uiPriority w:val="0"/>
    <w:rPr>
      <w:rFonts w:ascii="Arial" w:hAnsi="Arial" w:eastAsia="宋体" w:cs="Arial"/>
      <w:sz w:val="24"/>
    </w:rPr>
  </w:style>
  <w:style w:type="paragraph" w:customStyle="1" w:styleId="72">
    <w:name w:val="正文缩进2格"/>
    <w:basedOn w:val="1"/>
    <w:qFormat/>
    <w:uiPriority w:val="0"/>
    <w:pPr>
      <w:spacing w:line="600" w:lineRule="exact"/>
      <w:ind w:firstLine="639" w:firstLineChars="206"/>
    </w:pPr>
    <w:rPr>
      <w:rFonts w:ascii="仿宋_GB2312" w:hAnsi="宋体" w:eastAsia="仿宋_GB2312"/>
      <w:kern w:val="0"/>
      <w:sz w:val="3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58718</Words>
  <Characters>62373</Characters>
  <Lines>328</Lines>
  <Paragraphs>92</Paragraphs>
  <TotalTime>0</TotalTime>
  <ScaleCrop>false</ScaleCrop>
  <LinksUpToDate>false</LinksUpToDate>
  <CharactersWithSpaces>66182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57046</cp:lastModifiedBy>
  <cp:lastPrinted>2024-12-28T09:34:00Z</cp:lastPrinted>
  <dcterms:modified xsi:type="dcterms:W3CDTF">2025-07-18T10:31:54Z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567D064B5D54495C82D4C0326422CF3B_13</vt:lpwstr>
  </property>
  <property fmtid="{D5CDD505-2E9C-101B-9397-08002B2CF9AE}" pid="4" name="KSOTemplateDocerSaveRecord">
    <vt:lpwstr>eyJoZGlkIjoiMWFkYjBkNzM5MmMwMTI4MDAwYzQ5ZmZlYzNhNGNmYTYiLCJ1c2VySWQiOiIyMjQxNjU5MzgifQ==</vt:lpwstr>
  </property>
</Properties>
</file>