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A372E">
      <w:pPr>
        <w:pageBreakBefore w:val="0"/>
        <w:tabs>
          <w:tab w:val="left" w:pos="1134"/>
          <w:tab w:val="left" w:pos="5481"/>
          <w:tab w:val="left" w:pos="5859"/>
        </w:tabs>
        <w:kinsoku/>
        <w:overflowPunct/>
        <w:topLinePunct w:val="0"/>
        <w:bidi w:val="0"/>
        <w:jc w:val="both"/>
        <w:rPr>
          <w:rFonts w:hint="eastAsia" w:asciiTheme="minorEastAsia" w:hAnsiTheme="minorEastAsia" w:eastAsiaTheme="minorEastAsia" w:cstheme="minorEastAsia"/>
          <w:color w:val="auto"/>
          <w:spacing w:val="0"/>
          <w:position w:val="0"/>
          <w:sz w:val="10"/>
          <w:szCs w:val="10"/>
          <w:highlight w:val="none"/>
        </w:rPr>
      </w:pPr>
    </w:p>
    <w:p w14:paraId="14E46315">
      <w:pPr>
        <w:pStyle w:val="76"/>
        <w:pageBreakBefore w:val="0"/>
        <w:kinsoku/>
        <w:overflowPunct/>
        <w:topLinePunct w:val="0"/>
        <w:bidi w:val="0"/>
        <w:snapToGrid w:val="0"/>
        <w:spacing w:before="0" w:beforeAutospacing="0" w:after="0" w:afterAutospacing="0" w:line="240" w:lineRule="auto"/>
        <w:jc w:val="center"/>
        <w:textAlignment w:val="baseline"/>
        <w:rPr>
          <w:rStyle w:val="77"/>
          <w:rFonts w:hint="eastAsia" w:asciiTheme="minorEastAsia" w:hAnsiTheme="minorEastAsia" w:eastAsiaTheme="minorEastAsia" w:cstheme="minorEastAsia"/>
          <w:b/>
          <w:i w:val="0"/>
          <w:caps w:val="0"/>
          <w:color w:val="auto"/>
          <w:spacing w:val="0"/>
          <w:w w:val="100"/>
          <w:position w:val="0"/>
          <w:sz w:val="48"/>
          <w:szCs w:val="48"/>
          <w:highlight w:val="none"/>
          <w:lang w:val="en-US" w:eastAsia="zh-CN" w:bidi="ar-SA"/>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6193CC86">
      <w:pPr>
        <w:pageBreakBefore w:val="0"/>
        <w:kinsoku/>
        <w:overflowPunct/>
        <w:topLinePunct w:val="0"/>
        <w:bidi w:val="0"/>
        <w:jc w:val="center"/>
        <w:rPr>
          <w:rFonts w:hint="eastAsia" w:asciiTheme="minorEastAsia" w:hAnsiTheme="minorEastAsia" w:eastAsiaTheme="minorEastAsia" w:cstheme="minorEastAsia"/>
          <w:b/>
          <w:bCs/>
          <w:color w:val="auto"/>
          <w:spacing w:val="0"/>
          <w:position w:val="0"/>
          <w:sz w:val="96"/>
          <w:szCs w:val="144"/>
          <w:highlight w:val="none"/>
          <w:lang w:val="en-US" w:eastAsia="zh-CN"/>
        </w:rPr>
      </w:pPr>
      <w:r>
        <w:rPr>
          <w:rFonts w:hint="eastAsia" w:asciiTheme="minorEastAsia" w:hAnsiTheme="minorEastAsia" w:eastAsiaTheme="minorEastAsia" w:cstheme="minorEastAsia"/>
          <w:b/>
          <w:bCs/>
          <w:color w:val="auto"/>
          <w:spacing w:val="0"/>
          <w:position w:val="0"/>
          <w:sz w:val="96"/>
          <w:szCs w:val="144"/>
          <w:highlight w:val="none"/>
          <w:lang w:val="en-US" w:eastAsia="zh-CN"/>
        </w:rPr>
        <w:t>竞争性磋商文件</w:t>
      </w:r>
    </w:p>
    <w:p w14:paraId="3BA6C42E">
      <w:pPr>
        <w:pageBreakBefore w:val="0"/>
        <w:kinsoku/>
        <w:overflowPunct/>
        <w:topLinePunct w:val="0"/>
        <w:bidi w:val="0"/>
        <w:snapToGrid w:val="0"/>
        <w:spacing w:before="0" w:beforeAutospacing="0" w:after="0" w:afterAutospacing="0" w:line="440" w:lineRule="exact"/>
        <w:jc w:val="center"/>
        <w:textAlignment w:val="baseline"/>
        <w:rPr>
          <w:rStyle w:val="77"/>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pPr>
      <w:r>
        <w:rPr>
          <w:rStyle w:val="77"/>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t>（服务类）</w:t>
      </w:r>
    </w:p>
    <w:p w14:paraId="64FF4846">
      <w:pPr>
        <w:pageBreakBefore w:val="0"/>
        <w:kinsoku/>
        <w:overflowPunct/>
        <w:topLinePunct w:val="0"/>
        <w:bidi w:val="0"/>
        <w:snapToGrid w:val="0"/>
        <w:spacing w:before="0" w:beforeAutospacing="0" w:after="0" w:afterAutospacing="0" w:line="240" w:lineRule="auto"/>
        <w:jc w:val="center"/>
        <w:textAlignment w:val="baseline"/>
        <w:rPr>
          <w:rStyle w:val="77"/>
          <w:rFonts w:hint="eastAsia" w:asciiTheme="minorEastAsia" w:hAnsiTheme="minorEastAsia" w:eastAsiaTheme="minorEastAsia" w:cstheme="minorEastAsia"/>
          <w:b/>
          <w:i w:val="0"/>
          <w:caps w:val="0"/>
          <w:color w:val="auto"/>
          <w:spacing w:val="0"/>
          <w:w w:val="100"/>
          <w:kern w:val="2"/>
          <w:position w:val="0"/>
          <w:sz w:val="44"/>
          <w:szCs w:val="44"/>
          <w:highlight w:val="none"/>
          <w:lang w:val="en-US" w:eastAsia="zh-CN" w:bidi="ar-SA"/>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1504950</wp:posOffset>
            </wp:positionH>
            <wp:positionV relativeFrom="paragraph">
              <wp:posOffset>17145</wp:posOffset>
            </wp:positionV>
            <wp:extent cx="2305050" cy="1809750"/>
            <wp:effectExtent l="0" t="0" r="11430" b="3810"/>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10"/>
                    <a:stretch>
                      <a:fillRect/>
                    </a:stretch>
                  </pic:blipFill>
                  <pic:spPr>
                    <a:xfrm>
                      <a:off x="0" y="0"/>
                      <a:ext cx="2305050" cy="1809750"/>
                    </a:xfrm>
                    <a:prstGeom prst="rect">
                      <a:avLst/>
                    </a:prstGeom>
                    <a:noFill/>
                    <a:ln>
                      <a:noFill/>
                    </a:ln>
                  </pic:spPr>
                </pic:pic>
              </a:graphicData>
            </a:graphic>
          </wp:anchor>
        </w:drawing>
      </w:r>
    </w:p>
    <w:p w14:paraId="4EC4A206">
      <w:pPr>
        <w:pStyle w:val="76"/>
        <w:pageBreakBefore w:val="0"/>
        <w:kinsoku/>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position w:val="0"/>
          <w:sz w:val="96"/>
          <w:szCs w:val="96"/>
          <w:highlight w:val="none"/>
          <w:lang w:val="en-US" w:eastAsia="zh-CN" w:bidi="ar-SA"/>
        </w:rPr>
      </w:pPr>
    </w:p>
    <w:p w14:paraId="40D6BCFB">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64CFDFEE">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1D0F1D4E">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6056E8B3">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6294079C">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 xml:space="preserve">项目名称：新疆维吾尔自治区建设职工教育培训中心编制新疆住房和城乡建设系统基层干部培训教材项目 </w:t>
      </w:r>
    </w:p>
    <w:p w14:paraId="56CCCA0A">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bookmarkStart w:id="338" w:name="_GoBack"/>
      <w:bookmarkEnd w:id="338"/>
    </w:p>
    <w:p w14:paraId="1B18B4CA">
      <w:pPr>
        <w:pStyle w:val="18"/>
        <w:pageBreakBefore w:val="0"/>
        <w:kinsoku/>
        <w:wordWrap/>
        <w:overflowPunct/>
        <w:topLinePunct w:val="0"/>
        <w:bidi w:val="0"/>
        <w:spacing w:line="360" w:lineRule="auto"/>
        <w:ind w:left="0" w:leftChars="0" w:firstLine="0" w:firstLineChars="0"/>
        <w:rPr>
          <w:rFonts w:hint="default" w:asciiTheme="minorEastAsia" w:hAnsiTheme="minorEastAsia" w:eastAsiaTheme="minorEastAsia" w:cstheme="minorEastAsia"/>
          <w:b/>
          <w:bCs/>
          <w:color w:val="auto"/>
          <w:spacing w:val="0"/>
          <w:position w:val="0"/>
          <w:sz w:val="32"/>
          <w:szCs w:val="40"/>
          <w:highlight w:val="none"/>
          <w:lang w:val="en-US"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招标编号：XJCC-ZB-2025-0</w:t>
      </w:r>
      <w:r>
        <w:rPr>
          <w:rFonts w:hint="eastAsia" w:asciiTheme="minorEastAsia" w:hAnsiTheme="minorEastAsia" w:eastAsiaTheme="minorEastAsia" w:cstheme="minorEastAsia"/>
          <w:b/>
          <w:bCs/>
          <w:color w:val="auto"/>
          <w:spacing w:val="0"/>
          <w:position w:val="0"/>
          <w:sz w:val="32"/>
          <w:szCs w:val="40"/>
          <w:highlight w:val="none"/>
          <w:lang w:val="en-US" w:eastAsia="zh-CN"/>
        </w:rPr>
        <w:t>7</w:t>
      </w:r>
      <w:r>
        <w:rPr>
          <w:rFonts w:hint="eastAsia" w:asciiTheme="minorEastAsia" w:hAnsiTheme="minorEastAsia" w:eastAsiaTheme="minorEastAsia" w:cstheme="minorEastAsia"/>
          <w:b/>
          <w:bCs/>
          <w:color w:val="auto"/>
          <w:spacing w:val="0"/>
          <w:position w:val="0"/>
          <w:sz w:val="32"/>
          <w:szCs w:val="40"/>
          <w:highlight w:val="none"/>
          <w:lang w:eastAsia="zh-CN"/>
        </w:rPr>
        <w:t>7</w:t>
      </w:r>
    </w:p>
    <w:p w14:paraId="684AA443">
      <w:pPr>
        <w:pStyle w:val="18"/>
        <w:pageBreakBefore w:val="0"/>
        <w:kinsoku/>
        <w:wordWrap/>
        <w:overflowPunct/>
        <w:topLinePunct w:val="0"/>
        <w:bidi w:val="0"/>
        <w:spacing w:line="360" w:lineRule="auto"/>
        <w:ind w:left="0" w:leftChars="0" w:firstLine="0" w:firstLineChars="0"/>
        <w:rPr>
          <w:rFonts w:hint="default" w:asciiTheme="minorEastAsia" w:hAnsiTheme="minorEastAsia" w:eastAsiaTheme="minorEastAsia" w:cstheme="minorEastAsia"/>
          <w:b/>
          <w:bCs/>
          <w:color w:val="auto"/>
          <w:spacing w:val="0"/>
          <w:position w:val="0"/>
          <w:sz w:val="32"/>
          <w:szCs w:val="40"/>
          <w:highlight w:val="none"/>
          <w:lang w:val="en-US" w:eastAsia="zh-CN"/>
        </w:rPr>
      </w:pPr>
    </w:p>
    <w:p w14:paraId="4DFCCC06">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rPr>
        <w:t>采购人</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新疆维吾尔自治区建设职工教育培训中心</w:t>
      </w:r>
    </w:p>
    <w:p w14:paraId="0F69E745">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29C7A752">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u w:val="single"/>
          <w:lang w:eastAsia="zh-CN"/>
        </w:rPr>
      </w:pPr>
      <w:r>
        <w:rPr>
          <w:rFonts w:hint="eastAsia" w:asciiTheme="minorEastAsia" w:hAnsiTheme="minorEastAsia" w:eastAsiaTheme="minorEastAsia" w:cstheme="minorEastAsia"/>
          <w:b/>
          <w:bCs/>
          <w:color w:val="auto"/>
          <w:spacing w:val="0"/>
          <w:position w:val="0"/>
          <w:sz w:val="32"/>
          <w:szCs w:val="40"/>
          <w:highlight w:val="none"/>
        </w:rPr>
        <w:t>采购代理机构</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新疆诚成工程项目管理有限公司</w:t>
      </w:r>
    </w:p>
    <w:p w14:paraId="3D37CEBC">
      <w:pPr>
        <w:pStyle w:val="18"/>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p>
    <w:p w14:paraId="7E3B9B9A">
      <w:pPr>
        <w:pStyle w:val="18"/>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r>
        <w:rPr>
          <w:rFonts w:hint="eastAsia" w:asciiTheme="minorEastAsia" w:hAnsiTheme="minorEastAsia" w:eastAsiaTheme="minorEastAsia" w:cstheme="minorEastAsia"/>
          <w:b/>
          <w:bCs/>
          <w:color w:val="auto"/>
          <w:spacing w:val="0"/>
          <w:position w:val="0"/>
          <w:sz w:val="32"/>
          <w:szCs w:val="4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32"/>
          <w:szCs w:val="40"/>
          <w:highlight w:val="none"/>
        </w:rPr>
        <w:t>202</w:t>
      </w:r>
      <w:r>
        <w:rPr>
          <w:rFonts w:hint="eastAsia" w:asciiTheme="minorEastAsia" w:hAnsiTheme="minorEastAsia" w:eastAsiaTheme="minorEastAsia" w:cstheme="minorEastAsia"/>
          <w:b/>
          <w:bCs/>
          <w:color w:val="auto"/>
          <w:spacing w:val="0"/>
          <w:position w:val="0"/>
          <w:sz w:val="32"/>
          <w:szCs w:val="40"/>
          <w:highlight w:val="none"/>
          <w:lang w:val="en-US" w:eastAsia="zh-CN"/>
        </w:rPr>
        <w:t>5</w:t>
      </w:r>
      <w:r>
        <w:rPr>
          <w:rFonts w:hint="eastAsia" w:asciiTheme="minorEastAsia" w:hAnsiTheme="minorEastAsia" w:eastAsiaTheme="minorEastAsia" w:cstheme="minorEastAsia"/>
          <w:b/>
          <w:bCs/>
          <w:color w:val="auto"/>
          <w:spacing w:val="0"/>
          <w:position w:val="0"/>
          <w:sz w:val="32"/>
          <w:szCs w:val="40"/>
          <w:highlight w:val="none"/>
        </w:rPr>
        <w:t>年</w:t>
      </w:r>
      <w:r>
        <w:rPr>
          <w:rFonts w:hint="eastAsia" w:asciiTheme="minorEastAsia" w:hAnsiTheme="minorEastAsia" w:eastAsiaTheme="minorEastAsia" w:cstheme="minorEastAsia"/>
          <w:b/>
          <w:bCs/>
          <w:color w:val="auto"/>
          <w:spacing w:val="0"/>
          <w:position w:val="0"/>
          <w:sz w:val="32"/>
          <w:szCs w:val="40"/>
          <w:highlight w:val="none"/>
          <w:lang w:val="en-US" w:eastAsia="zh-CN"/>
        </w:rPr>
        <w:t>06</w:t>
      </w:r>
      <w:r>
        <w:rPr>
          <w:rFonts w:hint="eastAsia" w:asciiTheme="minorEastAsia" w:hAnsiTheme="minorEastAsia" w:eastAsiaTheme="minorEastAsia" w:cstheme="minorEastAsia"/>
          <w:b/>
          <w:bCs/>
          <w:color w:val="auto"/>
          <w:spacing w:val="0"/>
          <w:position w:val="0"/>
          <w:sz w:val="32"/>
          <w:szCs w:val="40"/>
          <w:highlight w:val="none"/>
        </w:rPr>
        <w:t>月</w:t>
      </w:r>
      <w:bookmarkEnd w:id="0"/>
    </w:p>
    <w:p w14:paraId="4BF32FCF">
      <w:pPr>
        <w:pageBreakBefore w:val="0"/>
        <w:kinsoku/>
        <w:overflowPunct/>
        <w:topLinePunct w:val="0"/>
        <w:bidi w:val="0"/>
        <w:spacing w:line="500" w:lineRule="exact"/>
        <w:jc w:val="both"/>
        <w:rPr>
          <w:rFonts w:hint="eastAsia" w:asciiTheme="minorEastAsia" w:hAnsiTheme="minorEastAsia" w:eastAsiaTheme="minorEastAsia" w:cstheme="minorEastAsia"/>
          <w:b/>
          <w:color w:val="auto"/>
          <w:spacing w:val="0"/>
          <w:position w:val="0"/>
          <w:sz w:val="44"/>
          <w:highlight w:val="none"/>
          <w:lang w:val="zh-CN"/>
        </w:rPr>
      </w:pPr>
    </w:p>
    <w:p w14:paraId="58FE43F5">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sectPr>
          <w:pgSz w:w="11906" w:h="16838"/>
          <w:pgMar w:top="1440" w:right="1797" w:bottom="1440" w:left="1797" w:header="851" w:footer="992" w:gutter="0"/>
          <w:pgNumType w:fmt="decimal" w:start="1"/>
          <w:cols w:space="425" w:num="1"/>
          <w:docGrid w:linePitch="312" w:charSpace="0"/>
        </w:sectPr>
      </w:pPr>
    </w:p>
    <w:p w14:paraId="7AC0F00A">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pPr>
      <w:r>
        <w:rPr>
          <w:rFonts w:hint="eastAsia" w:ascii="宋体" w:hAnsi="宋体" w:eastAsia="宋体" w:cs="宋体"/>
          <w:b/>
          <w:color w:val="auto"/>
          <w:spacing w:val="0"/>
          <w:position w:val="0"/>
          <w:sz w:val="32"/>
          <w:szCs w:val="32"/>
          <w:highlight w:val="none"/>
          <w:lang w:val="zh-CN"/>
        </w:rPr>
        <w:t>目    录</w:t>
      </w:r>
    </w:p>
    <w:p w14:paraId="14EE34FA">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TOC \h \z \u \t "标题 1,1,标题 2,2"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_Toc23357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第一章 竞争性磋商</w:t>
      </w:r>
      <w:r>
        <w:rPr>
          <w:rFonts w:hint="eastAsia" w:asciiTheme="minorEastAsia" w:hAnsiTheme="minorEastAsia" w:eastAsiaTheme="minorEastAsia" w:cstheme="minorEastAsia"/>
          <w:color w:val="auto"/>
          <w:spacing w:val="0"/>
          <w:position w:val="0"/>
          <w:sz w:val="24"/>
          <w:szCs w:val="24"/>
          <w:highlight w:val="none"/>
          <w:lang w:eastAsia="zh-CN"/>
        </w:rPr>
        <w:t>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_Toc23357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7D01DD3">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_Toc2684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_Toc2684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9F985CF">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_Toc27339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供应商须知前附表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_Toc27339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A66A346">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_Toc10917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一、 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_Toc10917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1F794C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_Toc2036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二、磋商文件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_Toc2036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3B3CDC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_Toc7135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三、响应文件的编制和数量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_Toc7135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31F228D">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_Toc5449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五、竞争性磋商程序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_Toc5449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FD526B2">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_Toc8053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六、 授予合同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_Toc8053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110269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_Toc7141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七、质疑和投诉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_Toc7141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2353AC9">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_Toc6957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八、项目验收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_Toc6957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BFB3A91">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_Toc12093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九、适用法律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_Toc12093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51CCFF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_Toc11847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十、磋商文件的解释权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_Toc11847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B447ED2">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_Toc27818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十一、其他注意事项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_Toc27818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C5A38D1">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_Toc30568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_Toc30568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7B9959D">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_Toc23596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第四章 评审方法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_Toc23596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0BC016A">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_Toc23255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第五章 合同格式及合同条款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_Toc23255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5ACE783">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_Toc28060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第六章 竞争性磋商响应文件格式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_Toc28060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A50F958">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_Toc28612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一、</w:t>
      </w:r>
      <w:r>
        <w:rPr>
          <w:rFonts w:hint="eastAsia" w:asciiTheme="minorEastAsia" w:hAnsiTheme="minorEastAsia" w:eastAsiaTheme="minorEastAsia" w:cstheme="minorEastAsia"/>
          <w:color w:val="auto"/>
          <w:spacing w:val="0"/>
          <w:position w:val="0"/>
          <w:sz w:val="24"/>
          <w:szCs w:val="24"/>
          <w:highlight w:val="none"/>
          <w:lang w:val="en-US" w:eastAsia="zh-CN"/>
        </w:rPr>
        <w:t>资格审查材料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_Toc28612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A80FF5D">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_Toc14131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二</w:t>
      </w:r>
      <w:r>
        <w:rPr>
          <w:rFonts w:hint="eastAsia" w:asciiTheme="minorEastAsia" w:hAnsiTheme="minorEastAsia" w:eastAsiaTheme="minorEastAsia" w:cstheme="minorEastAsia"/>
          <w:color w:val="auto"/>
          <w:spacing w:val="0"/>
          <w:position w:val="0"/>
          <w:sz w:val="24"/>
          <w:szCs w:val="24"/>
          <w:highlight w:val="none"/>
        </w:rPr>
        <w:t>、商务文件组成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_Toc14131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5C51953">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_Toc7265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竞争性磋商函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_Toc7265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7392A6A">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_Toc2779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2、法定授权人委托书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_Toc2779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33445FD">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_Toc13329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3、开标一览</w:t>
      </w:r>
      <w:r>
        <w:rPr>
          <w:rFonts w:hint="eastAsia" w:asciiTheme="minorEastAsia" w:hAnsiTheme="minorEastAsia" w:eastAsiaTheme="minorEastAsia" w:cstheme="minorEastAsia"/>
          <w:color w:val="auto"/>
          <w:spacing w:val="0"/>
          <w:position w:val="0"/>
          <w:sz w:val="24"/>
          <w:szCs w:val="24"/>
          <w:highlight w:val="none"/>
        </w:rPr>
        <w:t>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_Toc13329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D19AE5F">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_Toc11890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4、</w:t>
      </w:r>
      <w:r>
        <w:rPr>
          <w:rFonts w:hint="eastAsia" w:asciiTheme="minorEastAsia" w:hAnsiTheme="minorEastAsia" w:eastAsiaTheme="minorEastAsia" w:cstheme="minorEastAsia"/>
          <w:color w:val="auto"/>
          <w:spacing w:val="0"/>
          <w:position w:val="0"/>
          <w:sz w:val="24"/>
          <w:szCs w:val="24"/>
          <w:highlight w:val="none"/>
        </w:rPr>
        <w:t>竞争性磋商报价明细表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_Toc11890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C25FE83">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_Toc8566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5</w:t>
      </w:r>
      <w:r>
        <w:rPr>
          <w:rFonts w:hint="eastAsia" w:asciiTheme="minorEastAsia" w:hAnsiTheme="minorEastAsia" w:eastAsiaTheme="minorEastAsia" w:cstheme="minorEastAsia"/>
          <w:color w:val="auto"/>
          <w:spacing w:val="0"/>
          <w:position w:val="0"/>
          <w:sz w:val="24"/>
          <w:szCs w:val="24"/>
          <w:highlight w:val="none"/>
          <w:lang w:val="en-US" w:eastAsia="zh-CN"/>
        </w:rPr>
        <w:t>、项目管理机构配备情况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_Toc8566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53E55BB">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_Toc5479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6</w:t>
      </w:r>
      <w:r>
        <w:rPr>
          <w:rFonts w:hint="eastAsia" w:asciiTheme="minorEastAsia" w:hAnsiTheme="minorEastAsia" w:eastAsiaTheme="minorEastAsia" w:cstheme="minorEastAsia"/>
          <w:color w:val="auto"/>
          <w:spacing w:val="0"/>
          <w:position w:val="0"/>
          <w:sz w:val="24"/>
          <w:szCs w:val="24"/>
          <w:highlight w:val="none"/>
          <w:lang w:val="en-US" w:eastAsia="zh-CN"/>
        </w:rPr>
        <w:t>、</w:t>
      </w:r>
      <w:r>
        <w:rPr>
          <w:rFonts w:hint="eastAsia" w:asciiTheme="minorEastAsia" w:hAnsiTheme="minorEastAsia" w:eastAsiaTheme="minorEastAsia" w:cstheme="minorEastAsia"/>
          <w:color w:val="auto"/>
          <w:spacing w:val="0"/>
          <w:position w:val="0"/>
          <w:sz w:val="24"/>
          <w:szCs w:val="24"/>
          <w:highlight w:val="none"/>
        </w:rPr>
        <w:t>供应商类似项目业绩表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_Toc5479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724F2F5">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_Toc14409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7</w:t>
      </w:r>
      <w:r>
        <w:rPr>
          <w:rFonts w:hint="eastAsia" w:asciiTheme="minorEastAsia" w:hAnsiTheme="minorEastAsia" w:eastAsiaTheme="minorEastAsia" w:cstheme="minorEastAsia"/>
          <w:color w:val="auto"/>
          <w:spacing w:val="0"/>
          <w:position w:val="0"/>
          <w:sz w:val="24"/>
          <w:szCs w:val="24"/>
          <w:highlight w:val="none"/>
          <w:lang w:val="en-US" w:eastAsia="zh-CN"/>
        </w:rPr>
        <w:t>、磋商文件要求提供或供应商认为需提供的其它资料；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_Toc14409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085DB54">
      <w:pPr>
        <w:pStyle w:val="28"/>
        <w:tabs>
          <w:tab w:val="right" w:leader="dot" w:pos="8312"/>
          <w:tab w:val="clear" w:pos="8222"/>
        </w:tabs>
        <w:spacing w:line="360" w:lineRule="auto"/>
        <w:rPr>
          <w:rFonts w:hint="eastAsia" w:ascii="宋体" w:hAnsi="宋体" w:eastAsia="宋体" w:cs="宋体"/>
          <w:color w:val="auto"/>
          <w:spacing w:val="0"/>
          <w:position w:val="0"/>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_Toc25200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二、技术文件组成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_Toc25200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BB2AFBF">
      <w:pPr>
        <w:rPr>
          <w:rFonts w:hint="eastAsia" w:ascii="宋体" w:hAnsi="宋体" w:eastAsia="宋体" w:cs="宋体"/>
          <w:color w:val="auto"/>
          <w:spacing w:val="0"/>
          <w:position w:val="0"/>
          <w:szCs w:val="24"/>
          <w:highlight w:val="none"/>
        </w:rPr>
      </w:pPr>
      <w:r>
        <w:rPr>
          <w:rFonts w:hint="eastAsia" w:ascii="宋体" w:hAnsi="宋体" w:eastAsia="宋体" w:cs="宋体"/>
          <w:color w:val="auto"/>
          <w:spacing w:val="0"/>
          <w:position w:val="0"/>
          <w:szCs w:val="24"/>
          <w:highlight w:val="none"/>
        </w:rPr>
        <w:br w:type="page"/>
      </w:r>
    </w:p>
    <w:p w14:paraId="12DF4CD6">
      <w:pPr>
        <w:rPr>
          <w:color w:val="auto"/>
          <w:highlight w:val="none"/>
        </w:rPr>
      </w:pPr>
    </w:p>
    <w:p w14:paraId="36592180">
      <w:pPr>
        <w:pStyle w:val="3"/>
        <w:pageBreakBefore w:val="0"/>
        <w:numPr>
          <w:ilvl w:val="0"/>
          <w:numId w:val="1"/>
        </w:numPr>
        <w:kinsoku/>
        <w:overflowPunct/>
        <w:topLinePunct w:val="0"/>
        <w:bidi w:val="0"/>
        <w:spacing w:before="0" w:after="0" w:line="360" w:lineRule="auto"/>
        <w:ind w:left="0" w:leftChars="0"/>
        <w:rPr>
          <w:rFonts w:hint="eastAsia" w:asciiTheme="minorEastAsia" w:hAnsiTheme="minorEastAsia" w:eastAsiaTheme="minorEastAsia" w:cstheme="minorEastAsia"/>
          <w:color w:val="auto"/>
          <w:spacing w:val="0"/>
          <w:position w:val="0"/>
          <w:sz w:val="32"/>
          <w:szCs w:val="32"/>
          <w:highlight w:val="none"/>
        </w:rPr>
      </w:pPr>
      <w:r>
        <w:rPr>
          <w:rFonts w:hint="eastAsia" w:ascii="宋体" w:hAnsi="宋体" w:eastAsia="宋体" w:cs="宋体"/>
          <w:color w:val="auto"/>
          <w:spacing w:val="0"/>
          <w:position w:val="0"/>
          <w:szCs w:val="24"/>
          <w:highlight w:val="none"/>
        </w:rPr>
        <w:fldChar w:fldCharType="end"/>
      </w:r>
      <w:bookmarkStart w:id="1" w:name="_Toc23357"/>
      <w:bookmarkStart w:id="2" w:name="_Toc456718476"/>
      <w:r>
        <w:rPr>
          <w:rFonts w:hint="eastAsia" w:asciiTheme="minorEastAsia" w:hAnsiTheme="minorEastAsia" w:eastAsiaTheme="minorEastAsia" w:cstheme="minorEastAsia"/>
          <w:color w:val="auto"/>
          <w:spacing w:val="0"/>
          <w:position w:val="0"/>
          <w:sz w:val="32"/>
          <w:szCs w:val="32"/>
          <w:highlight w:val="none"/>
        </w:rPr>
        <w:t>竞争性磋商</w:t>
      </w:r>
      <w:r>
        <w:rPr>
          <w:rFonts w:hint="eastAsia" w:asciiTheme="minorEastAsia" w:hAnsiTheme="minorEastAsia" w:eastAsiaTheme="minorEastAsia" w:cstheme="minorEastAsia"/>
          <w:color w:val="auto"/>
          <w:spacing w:val="0"/>
          <w:position w:val="0"/>
          <w:sz w:val="32"/>
          <w:szCs w:val="32"/>
          <w:highlight w:val="none"/>
          <w:lang w:eastAsia="zh-CN"/>
        </w:rPr>
        <w:t>公告</w:t>
      </w:r>
      <w:bookmarkEnd w:id="1"/>
    </w:p>
    <w:p w14:paraId="67AAAB2A">
      <w:pPr>
        <w:pageBreakBefore w:val="0"/>
        <w:numPr>
          <w:ilvl w:val="0"/>
          <w:numId w:val="0"/>
        </w:numPr>
        <w:kinsoku/>
        <w:overflowPunct/>
        <w:topLinePunct w:val="0"/>
        <w:bidi w:val="0"/>
        <w:rPr>
          <w:rFonts w:hint="eastAsia" w:asciiTheme="minorEastAsia" w:hAnsiTheme="minorEastAsia" w:eastAsiaTheme="minorEastAsia" w:cstheme="minorEastAsia"/>
          <w:color w:val="auto"/>
          <w:spacing w:val="0"/>
          <w:position w:val="0"/>
          <w:sz w:val="24"/>
          <w:highlight w:val="none"/>
        </w:rPr>
      </w:pPr>
    </w:p>
    <w:tbl>
      <w:tblPr>
        <w:tblStyle w:val="3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14:paraId="11705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722141D3">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2420AC44">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 xml:space="preserve">新疆维吾尔自治区建设职工教育培训中心编制新疆住房和城乡建设系统基层干部培训教材项目 </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获取（下载）磋商文件，并于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2025年06月30日11：00</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1ADC33FF">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009D964D">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highlight w:val="none"/>
          <w:lang w:val="en-US"/>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lang w:eastAsia="zh-CN"/>
        </w:rPr>
        <w:t>XJCC-ZB-2025-0</w:t>
      </w:r>
      <w:r>
        <w:rPr>
          <w:rFonts w:hint="eastAsia" w:asciiTheme="minorEastAsia" w:hAnsiTheme="minorEastAsia" w:eastAsia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lang w:eastAsia="zh-CN"/>
        </w:rPr>
        <w:t>7</w:t>
      </w:r>
    </w:p>
    <w:p w14:paraId="60C3A7AD">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 xml:space="preserve">新疆维吾尔自治区建设职工教育培训中心编制新疆住房和城乡建设系统基层干部培训教材项目 </w:t>
      </w:r>
      <w:r>
        <w:rPr>
          <w:rFonts w:hint="eastAsia" w:asciiTheme="minorEastAsia" w:hAnsiTheme="minorEastAsia" w:eastAsiaTheme="minorEastAsia" w:cstheme="minorEastAsia"/>
          <w:color w:val="auto"/>
          <w:spacing w:val="0"/>
          <w:position w:val="0"/>
          <w:highlight w:val="none"/>
        </w:rPr>
        <w:t> </w:t>
      </w:r>
    </w:p>
    <w:p w14:paraId="6313A5EB">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 xml:space="preserve"> 312000.00元</w:t>
      </w:r>
      <w:r>
        <w:rPr>
          <w:rFonts w:hint="eastAsia" w:asciiTheme="minorEastAsia" w:hAnsiTheme="minorEastAsia" w:eastAsiaTheme="minorEastAsia" w:cstheme="minorEastAsia"/>
          <w:color w:val="auto"/>
          <w:spacing w:val="0"/>
          <w:position w:val="0"/>
          <w:highlight w:val="none"/>
        </w:rPr>
        <w:t xml:space="preserve"> </w:t>
      </w:r>
    </w:p>
    <w:p w14:paraId="6E9A3310">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采购需求：  </w:t>
      </w:r>
    </w:p>
    <w:p w14:paraId="5DFA35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p>
    <w:p w14:paraId="4EE4F26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标项一</w:t>
      </w:r>
    </w:p>
    <w:p w14:paraId="5CCC3423">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标项名称：新疆维吾尔自治区建设职工教育培训中心编制住房和城乡建设系统基层干部培训教材《城市体检与城市更新--推动新疆城市高质量发展的路径》</w:t>
      </w:r>
    </w:p>
    <w:p w14:paraId="54506EC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56DCB01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492CC5AB">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467C3FE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5D53C4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60852B39">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标项二</w:t>
      </w:r>
    </w:p>
    <w:p w14:paraId="70CF077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标项名称：新疆维吾尔自治区建设职工教育培训中心编制住房和城乡建设系统基层干部培训教材《新疆城乡建设绿色低碳发展 --“双碳”目标实现》</w:t>
      </w:r>
    </w:p>
    <w:p w14:paraId="1843193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66838F39">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3FFF6AC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3AB45E02">
      <w:pPr>
        <w:pStyle w:val="41"/>
        <w:ind w:left="0" w:leftChars="0" w:firstLine="480" w:firstLineChars="200"/>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6F15563">
      <w:pPr>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28049E5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标项三</w:t>
      </w:r>
    </w:p>
    <w:p w14:paraId="50194C8A">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标项名称：新疆维吾尔自治区建设职工教育培训中心编制新疆住房和城乡建设系统基层干部培训教材《新疆绿色建筑》</w:t>
      </w:r>
    </w:p>
    <w:p w14:paraId="1364592A">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732C117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6B24A1E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1B51575B">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29E0D4CB">
      <w:pPr>
        <w:ind w:firstLine="480" w:firstLineChars="200"/>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62103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2099E069">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标项四</w:t>
      </w:r>
    </w:p>
    <w:p w14:paraId="35957DA0">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标项名称：新疆维吾尔自治区建设职工教育培训中心编制住房和城乡建设系统基层干部培训教材《新疆历史文化遗产--名城名镇名村的保护》</w:t>
      </w:r>
    </w:p>
    <w:p w14:paraId="3B86370F">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1AD5A1B7">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68B06B31">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3CFE98BE">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6A617C2">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0D4907A2">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标项五</w:t>
      </w:r>
    </w:p>
    <w:p w14:paraId="7C2B619E">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标项名称：新疆维吾尔自治区建设职工教育培训中心编制住房和城乡建设系统基层干部培训教材《工程建设标准化管理》</w:t>
      </w:r>
    </w:p>
    <w:p w14:paraId="3E21476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2EF85B5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2D4D224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41EA18C3">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28EF639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48C9C25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标项六</w:t>
      </w:r>
    </w:p>
    <w:p w14:paraId="1E1645D9">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标项名称：新疆维吾尔自治区建设职工教育培训中心编制住房和城乡建设系统基层干部培训教材《建筑施工安全生产管理》</w:t>
      </w:r>
    </w:p>
    <w:p w14:paraId="74A43FA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6C50D85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58BD224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2DAEC5AF">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15A40DD1">
      <w:pPr>
        <w:pStyle w:val="41"/>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6CD507AE">
      <w:pPr>
        <w:pStyle w:val="103"/>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rPr>
      </w:pPr>
    </w:p>
    <w:p w14:paraId="0831028F">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highlight w:val="none"/>
        </w:rPr>
        <w:t>合同履行期限：</w:t>
      </w:r>
      <w:r>
        <w:rPr>
          <w:rFonts w:hint="eastAsia" w:ascii="宋体" w:hAnsi="宋体" w:cs="宋体"/>
          <w:b w:val="0"/>
          <w:bCs w:val="0"/>
          <w:color w:val="auto"/>
          <w:sz w:val="24"/>
          <w:szCs w:val="24"/>
          <w:highlight w:val="none"/>
          <w:lang w:val="en-US" w:eastAsia="zh-CN"/>
        </w:rPr>
        <w:t>合同签订之日起至项目成果文件</w:t>
      </w:r>
      <w:r>
        <w:rPr>
          <w:rFonts w:hint="eastAsia" w:cs="宋体"/>
          <w:b w:val="0"/>
          <w:bCs w:val="0"/>
          <w:color w:val="auto"/>
          <w:sz w:val="24"/>
          <w:szCs w:val="24"/>
          <w:highlight w:val="none"/>
          <w:lang w:val="en-US" w:eastAsia="zh-CN"/>
        </w:rPr>
        <w:t>审核交付</w:t>
      </w:r>
      <w:r>
        <w:rPr>
          <w:rFonts w:hint="eastAsia" w:ascii="宋体" w:hAnsi="宋体" w:cs="宋体"/>
          <w:b w:val="0"/>
          <w:bCs w:val="0"/>
          <w:color w:val="auto"/>
          <w:sz w:val="24"/>
          <w:szCs w:val="24"/>
          <w:highlight w:val="none"/>
          <w:lang w:val="en-US" w:eastAsia="zh-CN"/>
        </w:rPr>
        <w:t>为止。</w:t>
      </w:r>
    </w:p>
    <w:p w14:paraId="7B90C7C0">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本项目（否）接受联合体投标。</w:t>
      </w:r>
    </w:p>
    <w:p w14:paraId="015037A0">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143D3782">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08E65BC4">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p>
    <w:p w14:paraId="58B23FC4">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yellow"/>
          <w:lang w:val="en-US" w:eastAsia="zh-CN"/>
        </w:rPr>
      </w:pPr>
      <w:r>
        <w:rPr>
          <w:rFonts w:hint="eastAsia" w:asciiTheme="minorEastAsia" w:hAnsiTheme="minorEastAsia" w:eastAsiaTheme="minorEastAsia" w:cstheme="minorEastAsia"/>
          <w:color w:val="auto"/>
          <w:spacing w:val="0"/>
          <w:position w:val="0"/>
          <w:sz w:val="24"/>
          <w:szCs w:val="24"/>
          <w:highlight w:val="yellow"/>
          <w:lang w:val="en-US" w:eastAsia="zh-CN"/>
        </w:rPr>
        <w:t xml:space="preserve">标项1、2、3、4：本项目不专门面向中小企业;标项5、6：本项目专门面向小微企业 </w:t>
      </w:r>
    </w:p>
    <w:p w14:paraId="739E852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default" w:asciiTheme="minorEastAsia" w:hAnsiTheme="minorEastAsia" w:eastAsiaTheme="minorEastAsia" w:cstheme="minorEastAsia"/>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val="en-US" w:eastAsia="zh-CN"/>
        </w:rPr>
        <w:t>/</w:t>
      </w:r>
    </w:p>
    <w:p w14:paraId="425D86EA">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30D8B8BD">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时间：2025年06月17日至2025年06月24日，每天上午00:00至14:00，下午14:00至23:59（北京时间，法定节假日除外）</w:t>
      </w:r>
    </w:p>
    <w:p w14:paraId="1BCAAC98">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地点：政采云线上平台</w:t>
      </w:r>
    </w:p>
    <w:p w14:paraId="63FA045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748210DD">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7F743EB3">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2025年06月30日11：00</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757ABF2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投标地点：请登录政采云投标客户端投标 </w:t>
      </w:r>
    </w:p>
    <w:p w14:paraId="5683F717">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2025年06月30日11：00</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38122F07">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24BFF80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0C8AF73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02AE14FB">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163372CE">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1、本公告在新疆政府采购网发布。</w:t>
      </w:r>
    </w:p>
    <w:p w14:paraId="3CFF8CA9">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7896B256">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3、本项目实行电子招投标，供应商须登录政采云平台申请获取磋商文件，并通过政采云电子投标客户端制作响应文件，同时自行承担与投标有关的一切费用。</w:t>
      </w:r>
    </w:p>
    <w:p w14:paraId="00191835">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9AE734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36CB2893">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356D8FF5">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E5020B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5D46A65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573A8000">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1.采购人信息</w:t>
      </w:r>
    </w:p>
    <w:p w14:paraId="648E137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新疆维吾尔自治区建设职工教育培训中心</w:t>
      </w:r>
    </w:p>
    <w:p w14:paraId="5246B541">
      <w:pPr>
        <w:keepNext w:val="0"/>
        <w:keepLines w:val="0"/>
        <w:pageBreakBefore w:val="0"/>
        <w:widowControl w:val="0"/>
        <w:kinsoku/>
        <w:overflowPunct/>
        <w:topLinePunct w:val="0"/>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乌市天山区光明路121号建设广场写字楼13楼右侧</w:t>
      </w:r>
    </w:p>
    <w:p w14:paraId="28176977">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联系人：阿丽娅</w:t>
      </w:r>
    </w:p>
    <w:p w14:paraId="1151FF87">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sz w:val="24"/>
          <w:szCs w:val="24"/>
          <w:highlight w:val="none"/>
          <w:u w:val="none"/>
          <w:shd w:val="clear"/>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联系方</w:t>
      </w:r>
      <w:r>
        <w:rPr>
          <w:rFonts w:hint="eastAsia" w:asciiTheme="minorEastAsia" w:hAnsiTheme="minorEastAsia" w:eastAsiaTheme="minorEastAsia" w:cstheme="minorEastAsia"/>
          <w:color w:val="auto"/>
          <w:spacing w:val="0"/>
          <w:position w:val="0"/>
          <w:sz w:val="24"/>
          <w:szCs w:val="24"/>
          <w:highlight w:val="none"/>
          <w:u w:val="none"/>
          <w:shd w:val="clear"/>
        </w:rPr>
        <w:t>式：</w:t>
      </w:r>
      <w:r>
        <w:rPr>
          <w:rFonts w:hint="eastAsia" w:asciiTheme="minorEastAsia" w:hAnsiTheme="minorEastAsia" w:eastAsiaTheme="minorEastAsia" w:cstheme="minorEastAsia"/>
          <w:color w:val="auto"/>
          <w:spacing w:val="0"/>
          <w:position w:val="0"/>
          <w:sz w:val="24"/>
          <w:szCs w:val="24"/>
          <w:highlight w:val="none"/>
          <w:u w:val="none"/>
          <w:shd w:val="clear"/>
          <w:lang w:val="en-US" w:eastAsia="zh-CN"/>
        </w:rPr>
        <w:t>15199088265</w:t>
      </w:r>
    </w:p>
    <w:p w14:paraId="2E009C4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2.采购代理机构信息</w:t>
      </w:r>
    </w:p>
    <w:p w14:paraId="033631B0">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新疆诚成工程项目管理有限公司</w:t>
      </w:r>
    </w:p>
    <w:p w14:paraId="3EDC4759">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乌鲁木齐市水磨沟区红光山路2588号绿地中心101栋1806室</w:t>
      </w:r>
    </w:p>
    <w:p w14:paraId="553A8D4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联系方式：13199858738、18690136275</w:t>
      </w:r>
    </w:p>
    <w:p w14:paraId="18B05EB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3.项目联系方式</w:t>
      </w:r>
    </w:p>
    <w:p w14:paraId="781E422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项目联系人：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p>
    <w:p w14:paraId="437D8BC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19990210962、17767622798</w:t>
      </w:r>
    </w:p>
    <w:p w14:paraId="2E4FCA17">
      <w:pPr>
        <w:pStyle w:val="74"/>
        <w:pageBreakBefore w:val="0"/>
        <w:kinsoku/>
        <w:overflowPunct/>
        <w:topLinePunct w:val="0"/>
        <w:bidi w:val="0"/>
        <w:ind w:firstLine="400"/>
        <w:rPr>
          <w:rFonts w:hint="eastAsia" w:asciiTheme="minorEastAsia" w:hAnsiTheme="minorEastAsia" w:eastAsiaTheme="minorEastAsia" w:cstheme="minorEastAsia"/>
          <w:color w:val="auto"/>
          <w:spacing w:val="0"/>
          <w:position w:val="0"/>
          <w:sz w:val="24"/>
          <w:highlight w:val="none"/>
        </w:rPr>
      </w:pPr>
    </w:p>
    <w:p w14:paraId="06085EDC">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BEAB2AB">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36"/>
          <w:szCs w:val="36"/>
          <w:highlight w:val="none"/>
        </w:rPr>
        <w:sectPr>
          <w:footerReference r:id="rId3" w:type="default"/>
          <w:pgSz w:w="11906" w:h="16838"/>
          <w:pgMar w:top="1440" w:right="1797" w:bottom="1440" w:left="1797" w:header="851" w:footer="992" w:gutter="0"/>
          <w:pgNumType w:fmt="decimal" w:start="1"/>
          <w:cols w:space="425" w:num="1"/>
          <w:docGrid w:linePitch="312" w:charSpace="0"/>
        </w:sectPr>
      </w:pPr>
      <w:r>
        <w:rPr>
          <w:rFonts w:hint="eastAsia" w:asciiTheme="minorEastAsia" w:hAnsiTheme="minorEastAsia" w:eastAsiaTheme="minorEastAsia" w:cstheme="minorEastAsia"/>
          <w:color w:val="auto"/>
          <w:spacing w:val="0"/>
          <w:position w:val="0"/>
          <w:sz w:val="36"/>
          <w:szCs w:val="36"/>
          <w:highlight w:val="none"/>
        </w:rPr>
        <w:br w:type="page"/>
      </w:r>
    </w:p>
    <w:p w14:paraId="171ED68D">
      <w:pPr>
        <w:pStyle w:val="3"/>
        <w:keepNext/>
        <w:keepLines/>
        <w:pageBreakBefore w:val="0"/>
        <w:widowControl w:val="0"/>
        <w:numPr>
          <w:ilvl w:val="0"/>
          <w:numId w:val="1"/>
        </w:numPr>
        <w:kinsoku/>
        <w:wordWrap/>
        <w:overflowPunct/>
        <w:topLinePunct w:val="0"/>
        <w:autoSpaceDE/>
        <w:autoSpaceDN/>
        <w:bidi w:val="0"/>
        <w:adjustRightInd w:val="0"/>
        <w:snapToGrid w:val="0"/>
        <w:spacing w:before="0" w:after="0" w:line="360" w:lineRule="auto"/>
        <w:ind w:left="0" w:leftChars="0"/>
        <w:textAlignment w:val="auto"/>
        <w:rPr>
          <w:rFonts w:hint="eastAsia" w:asciiTheme="minorEastAsia" w:hAnsiTheme="minorEastAsia" w:eastAsiaTheme="minorEastAsia" w:cstheme="minorEastAsia"/>
          <w:color w:val="auto"/>
          <w:spacing w:val="0"/>
          <w:position w:val="0"/>
          <w:sz w:val="32"/>
          <w:szCs w:val="32"/>
          <w:highlight w:val="none"/>
        </w:rPr>
      </w:pPr>
      <w:bookmarkStart w:id="3" w:name="_Toc2684"/>
      <w:bookmarkStart w:id="4" w:name="_Toc10571"/>
      <w:r>
        <w:rPr>
          <w:rFonts w:hint="eastAsia" w:asciiTheme="minorEastAsia" w:hAnsiTheme="minorEastAsia" w:eastAsiaTheme="minorEastAsia" w:cstheme="minorEastAsia"/>
          <w:color w:val="auto"/>
          <w:spacing w:val="0"/>
          <w:position w:val="0"/>
          <w:sz w:val="32"/>
          <w:szCs w:val="32"/>
          <w:highlight w:val="none"/>
        </w:rPr>
        <w:t>供应商须知</w:t>
      </w:r>
      <w:bookmarkEnd w:id="3"/>
      <w:bookmarkEnd w:id="4"/>
    </w:p>
    <w:p w14:paraId="66756080">
      <w:pPr>
        <w:pStyle w:val="4"/>
        <w:keepNext/>
        <w:keepLines/>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auto"/>
          <w:spacing w:val="0"/>
          <w:position w:val="0"/>
          <w:sz w:val="32"/>
          <w:szCs w:val="32"/>
          <w:highlight w:val="none"/>
        </w:rPr>
      </w:pPr>
      <w:bookmarkStart w:id="5" w:name="_Toc27339"/>
      <w:bookmarkStart w:id="6" w:name="_Toc21720"/>
      <w:r>
        <w:rPr>
          <w:rFonts w:hint="eastAsia" w:asciiTheme="minorEastAsia" w:hAnsiTheme="minorEastAsia" w:eastAsiaTheme="minorEastAsia" w:cstheme="minorEastAsia"/>
          <w:color w:val="auto"/>
          <w:spacing w:val="0"/>
          <w:position w:val="0"/>
          <w:sz w:val="32"/>
          <w:szCs w:val="32"/>
          <w:highlight w:val="none"/>
        </w:rPr>
        <w:t>供应商须知前附表</w:t>
      </w:r>
      <w:bookmarkEnd w:id="5"/>
      <w:bookmarkEnd w:id="6"/>
    </w:p>
    <w:tbl>
      <w:tblPr>
        <w:tblStyle w:val="34"/>
        <w:tblW w:w="104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105"/>
        <w:gridCol w:w="7251"/>
      </w:tblGrid>
      <w:tr w14:paraId="5C665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vAlign w:val="center"/>
          </w:tcPr>
          <w:p w14:paraId="5E2327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序列号</w:t>
            </w:r>
          </w:p>
        </w:tc>
        <w:tc>
          <w:tcPr>
            <w:tcW w:w="2105" w:type="dxa"/>
            <w:vAlign w:val="center"/>
          </w:tcPr>
          <w:p w14:paraId="4144BC1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条款名称</w:t>
            </w:r>
          </w:p>
        </w:tc>
        <w:tc>
          <w:tcPr>
            <w:tcW w:w="7251" w:type="dxa"/>
            <w:vAlign w:val="center"/>
          </w:tcPr>
          <w:p w14:paraId="1AD2B4E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编列内容规定</w:t>
            </w:r>
          </w:p>
        </w:tc>
      </w:tr>
      <w:tr w14:paraId="6D0BC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Merge w:val="restart"/>
            <w:vAlign w:val="center"/>
          </w:tcPr>
          <w:p w14:paraId="460FF9C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1</w:t>
            </w:r>
          </w:p>
        </w:tc>
        <w:tc>
          <w:tcPr>
            <w:tcW w:w="2105" w:type="dxa"/>
            <w:vAlign w:val="center"/>
          </w:tcPr>
          <w:p w14:paraId="78B01CA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项目名称</w:t>
            </w:r>
          </w:p>
        </w:tc>
        <w:tc>
          <w:tcPr>
            <w:tcW w:w="7251" w:type="dxa"/>
            <w:vAlign w:val="center"/>
          </w:tcPr>
          <w:p w14:paraId="4512F874">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lang w:val="en-US"/>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lang w:val="en-US" w:eastAsia="zh-CN" w:bidi="ar-SA"/>
              </w:rPr>
              <w:t xml:space="preserve">新疆维吾尔自治区建设职工教育培训中心编制新疆住房和城乡建设系统基层干部培训教材项目 </w:t>
            </w:r>
          </w:p>
        </w:tc>
      </w:tr>
      <w:tr w14:paraId="4A086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68BED28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p>
        </w:tc>
        <w:tc>
          <w:tcPr>
            <w:tcW w:w="2105" w:type="dxa"/>
            <w:vAlign w:val="center"/>
          </w:tcPr>
          <w:p w14:paraId="427C76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标项名称</w:t>
            </w:r>
          </w:p>
        </w:tc>
        <w:tc>
          <w:tcPr>
            <w:tcW w:w="7251" w:type="dxa"/>
            <w:vAlign w:val="center"/>
          </w:tcPr>
          <w:p w14:paraId="5B5204CF">
            <w:pPr>
              <w:pStyle w:val="29"/>
              <w:keepNext w:val="0"/>
              <w:keepLines w:val="0"/>
              <w:pageBreakBefore w:val="0"/>
              <w:kinsoku/>
              <w:wordWrap/>
              <w:overflowPunct/>
              <w:topLinePunct w:val="0"/>
              <w:autoSpaceDE/>
              <w:autoSpaceDN/>
              <w:bidi w:val="0"/>
              <w:adjustRightInd w:val="0"/>
              <w:snapToGrid w:val="0"/>
              <w:spacing w:before="0" w:beforeAutospacing="0" w:after="0" w:afterAutospacing="0" w:line="240" w:lineRule="auto"/>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标项一：新疆维吾尔自治区建设职工教育培训中心编制住房和城乡建设系统基层干部培训教材《城市体检与城市更新--推动新疆城市高质量发展的路径》</w:t>
            </w:r>
          </w:p>
          <w:p w14:paraId="70D27939">
            <w:pPr>
              <w:pStyle w:val="2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标项二：新疆维吾尔自治区建设职工教育培训中心编制住房和城乡建设系统基层干部培训教材《新疆城乡建设绿色低碳发展 --“双碳”目标实现》</w:t>
            </w:r>
          </w:p>
          <w:p w14:paraId="252706C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标项三：新疆维吾尔自治区建设职工教育培训中心编制新疆住房和城乡建设系统基层干部培训教材《新疆绿色建筑》</w:t>
            </w:r>
          </w:p>
          <w:p w14:paraId="217B780A">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标项四：新疆维吾尔自治区建设职工教育培训中心编制住房和城乡建设系统基层干部培训教材《新疆历史文化遗产--名城名镇名村的保护》</w:t>
            </w:r>
          </w:p>
          <w:p w14:paraId="3440F7BD">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标项五：新疆维吾尔自治区建设职工教育培训中心编制住房和城乡建设系统基层干部培训教材《工程建设标准化管理》</w:t>
            </w:r>
          </w:p>
          <w:p w14:paraId="5BA3F759">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标项六：新疆维吾尔自治区建设职工教育培训中心编制住房和城乡建设系统基层干部培训教材《建筑施工安全生产管理》</w:t>
            </w:r>
          </w:p>
        </w:tc>
      </w:tr>
      <w:tr w14:paraId="0FF60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7" w:hRule="atLeast"/>
          <w:jc w:val="center"/>
        </w:trPr>
        <w:tc>
          <w:tcPr>
            <w:tcW w:w="1117" w:type="dxa"/>
            <w:vAlign w:val="center"/>
          </w:tcPr>
          <w:p w14:paraId="23D3367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w:t>
            </w:r>
          </w:p>
        </w:tc>
        <w:tc>
          <w:tcPr>
            <w:tcW w:w="2105" w:type="dxa"/>
            <w:shd w:val="clear" w:color="auto" w:fill="auto"/>
            <w:vAlign w:val="center"/>
          </w:tcPr>
          <w:p w14:paraId="1C4C5AF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采购人</w:t>
            </w:r>
          </w:p>
        </w:tc>
        <w:tc>
          <w:tcPr>
            <w:tcW w:w="7251" w:type="dxa"/>
            <w:shd w:val="clear" w:color="auto" w:fill="auto"/>
            <w:vAlign w:val="center"/>
          </w:tcPr>
          <w:p w14:paraId="0A8F70A7">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新疆维吾尔自治区建设职工教育培训中心</w:t>
            </w:r>
            <w:r>
              <w:rPr>
                <w:rFonts w:hint="eastAsia" w:asciiTheme="minorEastAsia" w:hAnsiTheme="minorEastAsia" w:eastAsiaTheme="minorEastAsia" w:cstheme="minorEastAsia"/>
                <w:color w:val="auto"/>
                <w:spacing w:val="0"/>
                <w:position w:val="0"/>
                <w:sz w:val="24"/>
                <w:szCs w:val="24"/>
                <w:highlight w:val="none"/>
                <w:u w:val="none"/>
              </w:rPr>
              <w:t>　　　　　　　　</w:t>
            </w:r>
          </w:p>
          <w:p w14:paraId="1F6AE77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乌市天山区光明路121号建设广场写字楼13楼右侧</w:t>
            </w:r>
          </w:p>
          <w:p w14:paraId="0CEC47C9">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阿丽娅</w:t>
            </w:r>
          </w:p>
          <w:p w14:paraId="699EE58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电  话：</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15199088265</w:t>
            </w:r>
          </w:p>
        </w:tc>
      </w:tr>
      <w:tr w14:paraId="0B42FE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A168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3</w:t>
            </w:r>
          </w:p>
        </w:tc>
        <w:tc>
          <w:tcPr>
            <w:tcW w:w="2105" w:type="dxa"/>
            <w:shd w:val="clear" w:color="auto" w:fill="auto"/>
            <w:vAlign w:val="center"/>
          </w:tcPr>
          <w:p w14:paraId="0DBC42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采购代理机构</w:t>
            </w:r>
          </w:p>
        </w:tc>
        <w:tc>
          <w:tcPr>
            <w:tcW w:w="7251" w:type="dxa"/>
            <w:shd w:val="clear" w:color="auto" w:fill="auto"/>
            <w:vAlign w:val="center"/>
          </w:tcPr>
          <w:p w14:paraId="75168796">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采购代理机构名称：新疆诚成工程项目管理有限公司</w:t>
            </w:r>
          </w:p>
          <w:p w14:paraId="492BF376">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r>
              <w:rPr>
                <w:rFonts w:hint="eastAsia" w:asciiTheme="minorEastAsia" w:hAnsiTheme="minorEastAsia" w:eastAsiaTheme="minorEastAsia" w:cstheme="minorEastAsia"/>
                <w:color w:val="auto"/>
                <w:spacing w:val="0"/>
                <w:position w:val="0"/>
                <w:sz w:val="24"/>
                <w:szCs w:val="24"/>
                <w:highlight w:val="none"/>
              </w:rPr>
              <w:t> </w:t>
            </w:r>
          </w:p>
          <w:p w14:paraId="1614F42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w:t>
            </w:r>
            <w:r>
              <w:rPr>
                <w:rFonts w:hint="eastAsia" w:asciiTheme="minorEastAsia" w:hAnsiTheme="minorEastAsia" w:eastAsiaTheme="minorEastAsia" w:cstheme="minorEastAsia"/>
                <w:color w:val="auto"/>
                <w:spacing w:val="0"/>
                <w:position w:val="0"/>
                <w:sz w:val="24"/>
                <w:szCs w:val="24"/>
                <w:highlight w:val="none"/>
                <w:u w:val="none"/>
                <w:lang w:val="en-US" w:eastAsia="zh-CN"/>
              </w:rPr>
              <w:t>17767622798</w:t>
            </w:r>
          </w:p>
          <w:p w14:paraId="6002BBC0">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地址：乌鲁木齐市水磨沟区红光山路2588号绿地中心领海大厦1806       </w:t>
            </w:r>
          </w:p>
        </w:tc>
      </w:tr>
      <w:tr w14:paraId="700BA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2468C5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4</w:t>
            </w:r>
          </w:p>
        </w:tc>
        <w:tc>
          <w:tcPr>
            <w:tcW w:w="2105" w:type="dxa"/>
            <w:vAlign w:val="center"/>
          </w:tcPr>
          <w:p w14:paraId="3F1F74C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磋商范围</w:t>
            </w:r>
          </w:p>
        </w:tc>
        <w:tc>
          <w:tcPr>
            <w:tcW w:w="7251" w:type="dxa"/>
            <w:vAlign w:val="center"/>
          </w:tcPr>
          <w:p w14:paraId="355ECF0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具体参数要求详见第三章采购需求。</w:t>
            </w:r>
          </w:p>
        </w:tc>
      </w:tr>
      <w:tr w14:paraId="66081B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197681D">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5</w:t>
            </w:r>
          </w:p>
        </w:tc>
        <w:tc>
          <w:tcPr>
            <w:tcW w:w="2105" w:type="dxa"/>
            <w:vAlign w:val="center"/>
          </w:tcPr>
          <w:p w14:paraId="5099D68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项目预算</w:t>
            </w:r>
          </w:p>
        </w:tc>
        <w:tc>
          <w:tcPr>
            <w:tcW w:w="7251" w:type="dxa"/>
            <w:vAlign w:val="center"/>
          </w:tcPr>
          <w:p w14:paraId="15168F15">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预算为</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标项一：52000.00元；标项二：52000.00元；标项三：52000.00元；标项四：52000.00元；标项五：52000.00元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标项六：52000.00元</w:t>
            </w:r>
            <w:r>
              <w:rPr>
                <w:rFonts w:hint="eastAsia" w:asciiTheme="minorEastAsia" w:hAnsiTheme="minorEastAsia" w:eastAsiaTheme="minorEastAsia" w:cstheme="minorEastAsia"/>
                <w:color w:val="auto"/>
                <w:spacing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lang w:eastAsia="zh-CN"/>
              </w:rPr>
              <w:t>响应</w:t>
            </w:r>
            <w:r>
              <w:rPr>
                <w:rFonts w:hint="eastAsia" w:asciiTheme="minorEastAsia" w:hAnsiTheme="minorEastAsia" w:eastAsiaTheme="minorEastAsia" w:cstheme="minorEastAsia"/>
                <w:color w:val="auto"/>
                <w:spacing w:val="0"/>
                <w:position w:val="0"/>
                <w:sz w:val="24"/>
                <w:szCs w:val="24"/>
                <w:highlight w:val="none"/>
              </w:rPr>
              <w:t>报价超过项目预算的按无效投标处理。</w:t>
            </w:r>
          </w:p>
        </w:tc>
      </w:tr>
      <w:tr w14:paraId="5FA11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633EA1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6</w:t>
            </w:r>
          </w:p>
        </w:tc>
        <w:tc>
          <w:tcPr>
            <w:tcW w:w="2105" w:type="dxa"/>
            <w:vAlign w:val="center"/>
          </w:tcPr>
          <w:p w14:paraId="1DAB432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供应商资格条件</w:t>
            </w:r>
          </w:p>
        </w:tc>
        <w:tc>
          <w:tcPr>
            <w:tcW w:w="7251" w:type="dxa"/>
            <w:vAlign w:val="center"/>
          </w:tcPr>
          <w:p w14:paraId="223D0C72">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638A2FA3">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default" w:eastAsia="宋体" w:asciiTheme="minorEastAsia" w:hAnsi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yellow"/>
                <w:lang w:val="en-US" w:eastAsia="zh-CN"/>
              </w:rPr>
              <w:t xml:space="preserve">标项1、2、3、4：本项目不专门面向中小企业;标项5、6：本项目专门面向小微企业 </w:t>
            </w:r>
          </w:p>
          <w:p w14:paraId="644B8730">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val="en-US" w:eastAsia="zh-CN"/>
              </w:rPr>
              <w:t>/</w:t>
            </w:r>
          </w:p>
        </w:tc>
      </w:tr>
      <w:tr w14:paraId="7EC85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509B3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7</w:t>
            </w:r>
          </w:p>
        </w:tc>
        <w:tc>
          <w:tcPr>
            <w:tcW w:w="2105" w:type="dxa"/>
            <w:vAlign w:val="center"/>
          </w:tcPr>
          <w:p w14:paraId="190FD2F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联合体投标</w:t>
            </w: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    </w:t>
            </w:r>
          </w:p>
        </w:tc>
        <w:tc>
          <w:tcPr>
            <w:tcW w:w="7251" w:type="dxa"/>
            <w:vAlign w:val="center"/>
          </w:tcPr>
          <w:p w14:paraId="0ACCA95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665CC7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187A23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8</w:t>
            </w:r>
          </w:p>
        </w:tc>
        <w:tc>
          <w:tcPr>
            <w:tcW w:w="2105" w:type="dxa"/>
            <w:vAlign w:val="center"/>
          </w:tcPr>
          <w:p w14:paraId="70F3FD2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备选方案</w:t>
            </w:r>
          </w:p>
        </w:tc>
        <w:tc>
          <w:tcPr>
            <w:tcW w:w="7251" w:type="dxa"/>
            <w:vAlign w:val="center"/>
          </w:tcPr>
          <w:p w14:paraId="7AE1EE2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051FD9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03077C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9</w:t>
            </w:r>
          </w:p>
        </w:tc>
        <w:tc>
          <w:tcPr>
            <w:tcW w:w="2105" w:type="dxa"/>
            <w:vAlign w:val="center"/>
          </w:tcPr>
          <w:p w14:paraId="0FA19D3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信息公告媒体</w:t>
            </w:r>
          </w:p>
        </w:tc>
        <w:tc>
          <w:tcPr>
            <w:tcW w:w="7251" w:type="dxa"/>
            <w:vAlign w:val="center"/>
          </w:tcPr>
          <w:p w14:paraId="36F524C3">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eastAsia="zh-CN"/>
              </w:rPr>
              <w:t>新疆</w:t>
            </w:r>
            <w:r>
              <w:rPr>
                <w:rFonts w:hint="eastAsia" w:asciiTheme="minorEastAsia" w:hAnsiTheme="minorEastAsia" w:eastAsiaTheme="minorEastAsia" w:cstheme="minorEastAsia"/>
                <w:color w:val="auto"/>
                <w:spacing w:val="0"/>
                <w:kern w:val="0"/>
                <w:position w:val="0"/>
                <w:sz w:val="24"/>
                <w:szCs w:val="24"/>
                <w:highlight w:val="none"/>
                <w:lang w:val="en-US" w:eastAsia="zh-CN"/>
              </w:rPr>
              <w:t>政府采购网</w:t>
            </w:r>
          </w:p>
        </w:tc>
      </w:tr>
      <w:tr w14:paraId="6BA9D8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C7D1AF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10</w:t>
            </w:r>
          </w:p>
        </w:tc>
        <w:tc>
          <w:tcPr>
            <w:tcW w:w="2105" w:type="dxa"/>
            <w:vAlign w:val="center"/>
          </w:tcPr>
          <w:p w14:paraId="1F6AF4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响应文件递交截止时间</w:t>
            </w:r>
          </w:p>
        </w:tc>
        <w:tc>
          <w:tcPr>
            <w:tcW w:w="7251" w:type="dxa"/>
            <w:vAlign w:val="center"/>
          </w:tcPr>
          <w:p w14:paraId="1B0E0BF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w:t>
            </w:r>
            <w:r>
              <w:rPr>
                <w:rFonts w:hint="eastAsia" w:asciiTheme="minorEastAsia" w:hAnsiTheme="minorEastAsia" w:eastAsiaTheme="minorEastAsia" w:cstheme="minorEastAsia"/>
                <w:color w:val="auto"/>
                <w:spacing w:val="0"/>
                <w:position w:val="0"/>
                <w:sz w:val="24"/>
                <w:szCs w:val="24"/>
                <w:highlight w:val="none"/>
                <w:u w:val="none"/>
                <w:lang w:val="en-US" w:eastAsia="zh-CN"/>
              </w:rPr>
              <w:t>11时00分</w:t>
            </w:r>
            <w:r>
              <w:rPr>
                <w:rFonts w:hint="eastAsia" w:asciiTheme="minorEastAsia" w:hAnsiTheme="minorEastAsia" w:eastAsiaTheme="minorEastAsia" w:cstheme="minorEastAsia"/>
                <w:color w:val="auto"/>
                <w:spacing w:val="0"/>
                <w:position w:val="0"/>
                <w:sz w:val="24"/>
                <w:szCs w:val="24"/>
                <w:highlight w:val="none"/>
                <w:u w:val="none"/>
              </w:rPr>
              <w:t>（北京时间）</w:t>
            </w:r>
          </w:p>
        </w:tc>
      </w:tr>
      <w:tr w14:paraId="710CA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B417E4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11</w:t>
            </w:r>
          </w:p>
        </w:tc>
        <w:tc>
          <w:tcPr>
            <w:tcW w:w="2105" w:type="dxa"/>
            <w:vAlign w:val="center"/>
          </w:tcPr>
          <w:p w14:paraId="340E839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磋商时间、地点</w:t>
            </w:r>
          </w:p>
        </w:tc>
        <w:tc>
          <w:tcPr>
            <w:tcW w:w="7251" w:type="dxa"/>
            <w:vAlign w:val="center"/>
          </w:tcPr>
          <w:p w14:paraId="42809BC2">
            <w:pPr>
              <w:pStyle w:val="99"/>
              <w:keepNext w:val="0"/>
              <w:keepLines w:val="0"/>
              <w:pageBreakBefore w:val="0"/>
              <w:kinsoku/>
              <w:overflowPunct/>
              <w:topLinePunct w:val="0"/>
              <w:bidi w:val="0"/>
              <w:spacing w:line="440" w:lineRule="exact"/>
              <w:ind w:left="0" w:firstLine="0" w:firstLineChars="0"/>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14:paraId="555D7CB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w:t>
            </w:r>
            <w:r>
              <w:rPr>
                <w:rFonts w:hint="eastAsia" w:asciiTheme="minorEastAsia" w:hAnsiTheme="minorEastAsia" w:eastAsiaTheme="minorEastAsia" w:cstheme="minorEastAsia"/>
                <w:color w:val="auto"/>
                <w:spacing w:val="0"/>
                <w:position w:val="0"/>
                <w:sz w:val="24"/>
                <w:szCs w:val="24"/>
                <w:highlight w:val="none"/>
                <w:u w:val="none"/>
                <w:lang w:val="en-US" w:eastAsia="zh-CN"/>
              </w:rPr>
              <w:t>11时00分</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w:t>
            </w:r>
          </w:p>
          <w:p w14:paraId="0C2639F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地点：本项目采用不见面开标，供应商需要递交加密的电子响应文件，在磋商截止时间前通过新疆政府采购云平台https://www.zcygov.cn/开标系统上传到指定位置。逾期未上传的或不符合规定的响应文件将被拒绝接收。</w:t>
            </w:r>
          </w:p>
        </w:tc>
      </w:tr>
      <w:tr w14:paraId="18A26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7F26C0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12</w:t>
            </w:r>
          </w:p>
        </w:tc>
        <w:tc>
          <w:tcPr>
            <w:tcW w:w="2105" w:type="dxa"/>
            <w:vAlign w:val="center"/>
          </w:tcPr>
          <w:p w14:paraId="7C1A25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磋商小组的组建及评审专家的确定方式</w:t>
            </w:r>
          </w:p>
        </w:tc>
        <w:tc>
          <w:tcPr>
            <w:tcW w:w="7251" w:type="dxa"/>
            <w:vAlign w:val="center"/>
          </w:tcPr>
          <w:p w14:paraId="4006EF2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磋商小组由采购人代表和评审专家共3人以上单数组成，其中评审专家人数不得少于磋商小组成员总数的2/3。</w:t>
            </w:r>
          </w:p>
          <w:p w14:paraId="28F50988">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小组确定方式：计算机随机抽取语音通知方式 </w:t>
            </w:r>
          </w:p>
        </w:tc>
      </w:tr>
      <w:tr w14:paraId="2A5ED3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117B4D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13</w:t>
            </w:r>
          </w:p>
        </w:tc>
        <w:tc>
          <w:tcPr>
            <w:tcW w:w="2105" w:type="dxa"/>
            <w:vAlign w:val="center"/>
          </w:tcPr>
          <w:p w14:paraId="3C505E0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磋商保证金</w:t>
            </w:r>
          </w:p>
        </w:tc>
        <w:tc>
          <w:tcPr>
            <w:tcW w:w="7251" w:type="dxa"/>
            <w:vAlign w:val="center"/>
          </w:tcPr>
          <w:p w14:paraId="3BB5AB8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77"/>
                <w:rFonts w:hint="default" w:asciiTheme="minorEastAsia" w:hAnsiTheme="minorEastAsia" w:eastAsiaTheme="minorEastAsia" w:cstheme="minorEastAsia"/>
                <w:b w:val="0"/>
                <w:i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t>磋商保证金额为：</w:t>
            </w:r>
            <w:r>
              <w:rPr>
                <w:rFonts w:hint="eastAsia" w:asciiTheme="minorEastAsia" w:hAnsiTheme="minorEastAsia" w:eastAsiaTheme="minorEastAsia" w:cstheme="minorEastAsia"/>
                <w:color w:val="auto"/>
                <w:spacing w:val="0"/>
                <w:position w:val="0"/>
                <w:sz w:val="24"/>
                <w:szCs w:val="24"/>
                <w:highlight w:val="none"/>
                <w:lang w:val="en-US" w:eastAsia="zh-CN"/>
              </w:rPr>
              <w:t>标项一：1000.00元；标项二：1000.00元；标项三：1000.00元；标项四：1000.00元；标项五：1000.00元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标项六：1000.00元。</w:t>
            </w:r>
          </w:p>
          <w:p w14:paraId="1FDD53D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磋商保证金缴纳方式：银行汇票、银行电汇、转账、本票或者金融机构、担保机构出具的保函等非现金形式提交。</w:t>
            </w:r>
          </w:p>
          <w:p w14:paraId="358B79E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1、若采用银行汇票、银行电汇、转账、本票时，磋商保证金于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w:t>
            </w:r>
            <w:r>
              <w:rPr>
                <w:rFonts w:hint="eastAsia" w:asciiTheme="minorEastAsia" w:hAnsiTheme="minorEastAsia" w:eastAsiaTheme="minorEastAsia" w:cstheme="minorEastAsia"/>
                <w:color w:val="auto"/>
                <w:spacing w:val="0"/>
                <w:position w:val="0"/>
                <w:sz w:val="24"/>
                <w:szCs w:val="24"/>
                <w:highlight w:val="none"/>
                <w:u w:val="none"/>
                <w:lang w:val="en-US" w:eastAsia="zh-CN"/>
              </w:rPr>
              <w:t>11时00分</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（以到账时间为准）之前从供应商账户汇至新疆诚成工程项目管理有限公司账户，否则其响应文件将被拒绝评审，供应商提交磋商保证金应充分考虑资金在途时间。</w:t>
            </w:r>
          </w:p>
          <w:p w14:paraId="435DB48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注：供应商向银行办理磋商保证金汇（转）款时，应在用途栏（备注栏）准确注明"本项目招标编号（例如：XJCC-ZB-2025-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lang w:val="en-US" w:eastAsia="zh-CN"/>
              </w:rPr>
              <w:t>XX</w:t>
            </w: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磋商保证金）"字样（每个标段应分别汇款），由于未按要求准确注明信息而导致的一切后果由供应商承担。</w:t>
            </w:r>
          </w:p>
          <w:p w14:paraId="058D6CA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户名：新疆诚成工程项目管理有限公司</w:t>
            </w:r>
          </w:p>
          <w:p w14:paraId="7F900DA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开户行名称：乌鲁木齐银行新华南路支行</w:t>
            </w:r>
          </w:p>
          <w:p w14:paraId="0ACC18F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账号：0000001211121500053685</w:t>
            </w:r>
          </w:p>
          <w:p w14:paraId="0122135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开户行号：313881000176</w:t>
            </w:r>
          </w:p>
          <w:p w14:paraId="24DB709C">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若采用金融机构、担保机构出具的保函形式递交时，须出具对本项目（项目名称）的保函，提供原件的扫描件于响应文件中，否则视为无效。保函有效期不少于投标有效期。</w:t>
            </w:r>
          </w:p>
          <w:p w14:paraId="1A2416C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5C0CC97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（1）电子保函按照“一分包一保函”的原则。</w:t>
            </w:r>
          </w:p>
          <w:p w14:paraId="178215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（2）电子保函须在磋商文件规定的投标截止时间前办理完成。</w:t>
            </w:r>
          </w:p>
          <w:p w14:paraId="7115E014">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default" w:asciiTheme="minorEastAsia" w:hAnsiTheme="minorEastAsia" w:eastAsiaTheme="minorEastAsia" w:cstheme="minorEastAsia"/>
                <w:b/>
                <w:color w:val="auto"/>
                <w:spacing w:val="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★备注：（1）磋商保证金保证金缴纳截止时间同开标时间一致。（2）供应商未按照采购文件上述要求提交磋商保证金的，投标将被否决。</w:t>
            </w:r>
          </w:p>
        </w:tc>
      </w:tr>
      <w:tr w14:paraId="058A52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E2C667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14</w:t>
            </w:r>
          </w:p>
        </w:tc>
        <w:tc>
          <w:tcPr>
            <w:tcW w:w="2105" w:type="dxa"/>
            <w:vAlign w:val="center"/>
          </w:tcPr>
          <w:p w14:paraId="1C25179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评审办法</w:t>
            </w:r>
          </w:p>
        </w:tc>
        <w:tc>
          <w:tcPr>
            <w:tcW w:w="7251" w:type="dxa"/>
            <w:vAlign w:val="center"/>
          </w:tcPr>
          <w:p w14:paraId="6179CC4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w:t>
            </w:r>
          </w:p>
        </w:tc>
      </w:tr>
      <w:tr w14:paraId="04FC4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C194FC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15</w:t>
            </w:r>
          </w:p>
        </w:tc>
        <w:tc>
          <w:tcPr>
            <w:tcW w:w="2105" w:type="dxa"/>
            <w:vAlign w:val="center"/>
          </w:tcPr>
          <w:p w14:paraId="2FD9C7D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磋商有效期</w:t>
            </w:r>
          </w:p>
        </w:tc>
        <w:tc>
          <w:tcPr>
            <w:tcW w:w="7251" w:type="dxa"/>
            <w:vAlign w:val="center"/>
          </w:tcPr>
          <w:p w14:paraId="37F392F5">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rPr>
              <w:t>日（日历日）</w:t>
            </w:r>
          </w:p>
        </w:tc>
      </w:tr>
      <w:tr w14:paraId="59E8F4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7FF45D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16</w:t>
            </w:r>
          </w:p>
        </w:tc>
        <w:tc>
          <w:tcPr>
            <w:tcW w:w="2105" w:type="dxa"/>
            <w:vAlign w:val="center"/>
          </w:tcPr>
          <w:p w14:paraId="348F19E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响应</w:t>
            </w:r>
            <w:r>
              <w:rPr>
                <w:rFonts w:hint="eastAsia" w:asciiTheme="minorEastAsia" w:hAnsiTheme="minorEastAsia" w:eastAsiaTheme="minorEastAsia" w:cstheme="minorEastAsia"/>
                <w:b/>
                <w:bCs/>
                <w:color w:val="auto"/>
                <w:spacing w:val="0"/>
                <w:position w:val="0"/>
                <w:sz w:val="24"/>
                <w:szCs w:val="24"/>
                <w:highlight w:val="none"/>
              </w:rPr>
              <w:t>文件</w:t>
            </w:r>
          </w:p>
        </w:tc>
        <w:tc>
          <w:tcPr>
            <w:tcW w:w="7251" w:type="dxa"/>
            <w:vAlign w:val="center"/>
          </w:tcPr>
          <w:p w14:paraId="404FBA9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1．本项目采用不见面开标、投标人需要递交电子响应文件，加密的电子响应文件，在投标截止时间前通过新疆政府采购云平台：https://www.zcygov.cn/上传到指定位置。无需递交纸质文件。</w:t>
            </w:r>
          </w:p>
          <w:p w14:paraId="19C1FB21">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06E30611">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3.远程开标前，投标人务必在新疆政府采购云平台：https://www.zcygov.cn/响应文件上传模块中使用“模拟解密”功能，验证本机远程自助解密环境。</w:t>
            </w:r>
          </w:p>
        </w:tc>
      </w:tr>
      <w:tr w14:paraId="44538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5DA842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17</w:t>
            </w:r>
          </w:p>
        </w:tc>
        <w:tc>
          <w:tcPr>
            <w:tcW w:w="2105" w:type="dxa"/>
            <w:vAlign w:val="center"/>
          </w:tcPr>
          <w:p w14:paraId="58B46AAD">
            <w:pPr>
              <w:keepLines w:val="0"/>
              <w:pageBreakBefore w:val="0"/>
              <w:kinsoku/>
              <w:wordWrap/>
              <w:overflowPunct/>
              <w:topLinePunct w:val="0"/>
              <w:bidi w:val="0"/>
              <w:snapToGrid/>
              <w:spacing w:line="440" w:lineRule="exact"/>
              <w:ind w:right="0" w:right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u w:val="none"/>
              </w:rPr>
              <w:t>磋商轮数和最后报价的其他要求</w:t>
            </w:r>
          </w:p>
        </w:tc>
        <w:tc>
          <w:tcPr>
            <w:tcW w:w="7251" w:type="dxa"/>
            <w:vAlign w:val="center"/>
          </w:tcPr>
          <w:p w14:paraId="77C1B001">
            <w:pPr>
              <w:keepLines w:val="0"/>
              <w:pageBreakBefore w:val="0"/>
              <w:kinsoku/>
              <w:wordWrap/>
              <w:overflowPunct/>
              <w:topLinePunct w:val="0"/>
              <w:bidi w:val="0"/>
              <w:snapToGrid/>
              <w:spacing w:line="440" w:lineRule="exact"/>
              <w:ind w:right="0"/>
              <w:rPr>
                <w:rFonts w:hint="default" w:ascii="宋体" w:hAnsi="宋体" w:eastAsia="宋体" w:cs="宋体"/>
                <w:color w:val="auto"/>
                <w:spacing w:val="0"/>
                <w:position w:val="0"/>
                <w:sz w:val="24"/>
                <w:szCs w:val="24"/>
                <w:highlight w:val="none"/>
                <w:u w:val="none"/>
                <w:lang w:val="en-US"/>
              </w:rPr>
            </w:pPr>
            <w:r>
              <w:rPr>
                <w:rFonts w:hint="eastAsia" w:ascii="宋体" w:hAnsi="宋体" w:eastAsia="宋体" w:cs="宋体"/>
                <w:color w:val="auto"/>
                <w:spacing w:val="0"/>
                <w:position w:val="0"/>
                <w:sz w:val="24"/>
                <w:szCs w:val="24"/>
                <w:highlight w:val="none"/>
                <w:u w:val="none"/>
                <w:lang w:val="zh-CN"/>
              </w:rPr>
              <w:t>1、磋商轮数：不少于两轮；</w:t>
            </w:r>
          </w:p>
          <w:p w14:paraId="51DF8A6C">
            <w:pPr>
              <w:keepLines w:val="0"/>
              <w:pageBreakBefore w:val="0"/>
              <w:kinsoku/>
              <w:wordWrap/>
              <w:overflowPunct/>
              <w:topLinePunct w:val="0"/>
              <w:bidi w:val="0"/>
              <w:snapToGrid/>
              <w:spacing w:line="440" w:lineRule="exact"/>
              <w:ind w:right="0" w:rightChars="0"/>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2、其他要求：无</w:t>
            </w:r>
          </w:p>
        </w:tc>
      </w:tr>
      <w:tr w14:paraId="4700DB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0F950C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18</w:t>
            </w:r>
          </w:p>
        </w:tc>
        <w:tc>
          <w:tcPr>
            <w:tcW w:w="2105" w:type="dxa"/>
            <w:vAlign w:val="center"/>
          </w:tcPr>
          <w:p w14:paraId="6564E705">
            <w:pPr>
              <w:keepLines w:val="0"/>
              <w:pageBreakBefore w:val="0"/>
              <w:kinsoku/>
              <w:wordWrap/>
              <w:overflowPunct/>
              <w:topLinePunct w:val="0"/>
              <w:bidi w:val="0"/>
              <w:snapToGrid/>
              <w:spacing w:line="440" w:lineRule="exact"/>
              <w:ind w:right="0" w:rightChars="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推荐成交候选供应商的数量</w:t>
            </w:r>
          </w:p>
        </w:tc>
        <w:tc>
          <w:tcPr>
            <w:tcW w:w="7251" w:type="dxa"/>
            <w:vAlign w:val="center"/>
          </w:tcPr>
          <w:p w14:paraId="217904F5">
            <w:pPr>
              <w:keepLines w:val="0"/>
              <w:pageBreakBefore w:val="0"/>
              <w:kinsoku/>
              <w:wordWrap/>
              <w:overflowPunct/>
              <w:topLinePunct w:val="0"/>
              <w:bidi w:val="0"/>
              <w:snapToGrid/>
              <w:spacing w:line="440" w:lineRule="exact"/>
              <w:ind w:right="0" w:right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3</w:t>
            </w:r>
            <w:r>
              <w:rPr>
                <w:rFonts w:hint="eastAsia" w:ascii="宋体" w:hAnsi="宋体" w:eastAsia="宋体" w:cs="宋体"/>
                <w:color w:val="auto"/>
                <w:spacing w:val="0"/>
                <w:position w:val="0"/>
                <w:sz w:val="24"/>
                <w:szCs w:val="24"/>
                <w:highlight w:val="none"/>
                <w:u w:val="none"/>
              </w:rPr>
              <w:t>家</w:t>
            </w:r>
          </w:p>
        </w:tc>
      </w:tr>
      <w:tr w14:paraId="6A8E5B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70F5A93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19</w:t>
            </w:r>
          </w:p>
        </w:tc>
        <w:tc>
          <w:tcPr>
            <w:tcW w:w="2105" w:type="dxa"/>
            <w:vAlign w:val="center"/>
          </w:tcPr>
          <w:p w14:paraId="6EF7A46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是否允许投报进口产品</w:t>
            </w:r>
          </w:p>
        </w:tc>
        <w:tc>
          <w:tcPr>
            <w:tcW w:w="7251" w:type="dxa"/>
            <w:vAlign w:val="center"/>
          </w:tcPr>
          <w:p w14:paraId="3C48B5F4">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val="en-US" w:eastAsia="zh-CN"/>
              </w:rPr>
              <w:t>否</w:t>
            </w:r>
            <w:r>
              <w:rPr>
                <w:rFonts w:hint="eastAsia" w:asciiTheme="minorEastAsia" w:hAnsiTheme="minorEastAsia" w:eastAsiaTheme="minorEastAsia" w:cstheme="minorEastAsia"/>
                <w:color w:val="auto"/>
                <w:spacing w:val="0"/>
                <w:kern w:val="0"/>
                <w:position w:val="0"/>
                <w:sz w:val="24"/>
                <w:szCs w:val="24"/>
                <w:highlight w:val="none"/>
              </w:rPr>
              <w:t xml:space="preserve">             </w:t>
            </w:r>
          </w:p>
        </w:tc>
      </w:tr>
      <w:tr w14:paraId="4522D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124013F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20</w:t>
            </w:r>
          </w:p>
        </w:tc>
        <w:tc>
          <w:tcPr>
            <w:tcW w:w="2105" w:type="dxa"/>
            <w:vAlign w:val="center"/>
          </w:tcPr>
          <w:p w14:paraId="42C7309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踏勘现场</w:t>
            </w:r>
          </w:p>
        </w:tc>
        <w:tc>
          <w:tcPr>
            <w:tcW w:w="7251" w:type="dxa"/>
            <w:vAlign w:val="center"/>
          </w:tcPr>
          <w:p w14:paraId="25017414">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不组织</w:t>
            </w:r>
          </w:p>
        </w:tc>
      </w:tr>
      <w:tr w14:paraId="57E4BA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E631F5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21</w:t>
            </w:r>
          </w:p>
        </w:tc>
        <w:tc>
          <w:tcPr>
            <w:tcW w:w="2105" w:type="dxa"/>
            <w:vAlign w:val="center"/>
          </w:tcPr>
          <w:p w14:paraId="7BF5A78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代理</w:t>
            </w:r>
            <w:r>
              <w:rPr>
                <w:rFonts w:hint="eastAsia" w:asciiTheme="minorEastAsia" w:hAnsiTheme="minorEastAsia" w:eastAsiaTheme="minorEastAsia" w:cstheme="minorEastAsia"/>
                <w:b/>
                <w:bCs/>
                <w:color w:val="auto"/>
                <w:spacing w:val="0"/>
                <w:position w:val="0"/>
                <w:sz w:val="24"/>
                <w:szCs w:val="24"/>
                <w:highlight w:val="none"/>
              </w:rPr>
              <w:t>服务费</w:t>
            </w:r>
          </w:p>
        </w:tc>
        <w:tc>
          <w:tcPr>
            <w:tcW w:w="7251" w:type="dxa"/>
            <w:vAlign w:val="center"/>
          </w:tcPr>
          <w:p w14:paraId="1E782822">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计算后不足3000元按3000元计取，由中标人向采购代理机构支付。本项目最高限价已包含代理服务费，请供应商将该费用考虑在报价之中，招标人将不另行支付。</w:t>
            </w:r>
            <w:r>
              <w:rPr>
                <w:rFonts w:hint="eastAsia" w:ascii="宋体" w:hAnsi="宋体" w:cs="宋体"/>
                <w:color w:val="auto"/>
                <w:spacing w:val="0"/>
                <w:kern w:val="0"/>
                <w:position w:val="0"/>
                <w:sz w:val="24"/>
                <w:szCs w:val="24"/>
                <w:highlight w:val="none"/>
                <w:u w:val="none"/>
                <w:lang w:val="en-US" w:eastAsia="zh-CN"/>
              </w:rPr>
              <w:t xml:space="preserve">在领取中标通知书时由中标人一次性支付。 </w:t>
            </w:r>
          </w:p>
        </w:tc>
      </w:tr>
      <w:tr w14:paraId="33B616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5D9009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22</w:t>
            </w:r>
          </w:p>
        </w:tc>
        <w:tc>
          <w:tcPr>
            <w:tcW w:w="2105" w:type="dxa"/>
            <w:vAlign w:val="center"/>
          </w:tcPr>
          <w:p w14:paraId="7304CD9E">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7251" w:type="dxa"/>
            <w:vAlign w:val="center"/>
          </w:tcPr>
          <w:p w14:paraId="7FE996C6">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标项5、6：本项目专门面向小微企业 </w:t>
            </w:r>
          </w:p>
          <w:p w14:paraId="02E1A758">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本项目专门面向中</w:t>
            </w:r>
            <w:r>
              <w:rPr>
                <w:rFonts w:hint="eastAsia" w:ascii="宋体" w:hAnsi="宋体" w:eastAsia="宋体" w:cs="宋体"/>
                <w:color w:val="auto"/>
                <w:spacing w:val="0"/>
                <w:kern w:val="0"/>
                <w:position w:val="0"/>
                <w:sz w:val="24"/>
                <w:szCs w:val="24"/>
                <w:highlight w:val="none"/>
                <w:lang w:val="en-US" w:eastAsia="zh-CN" w:bidi="ar-SA"/>
              </w:rPr>
              <w:t>小/小微企</w:t>
            </w: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业。</w:t>
            </w:r>
          </w:p>
          <w:p w14:paraId="238B1A0A">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eastAsia="宋体" w:cs="宋体"/>
                <w:b/>
                <w:bCs/>
                <w:color w:val="auto"/>
                <w:kern w:val="0"/>
                <w:sz w:val="24"/>
                <w:szCs w:val="24"/>
                <w:highlight w:val="none"/>
                <w:u w:val="single"/>
                <w:lang w:val="en-US" w:eastAsia="zh-CN" w:bidi="ar"/>
              </w:rPr>
              <w:t>其他未列明行业</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符合以下条件的中小微型企业应按照磋商文件格式要求提供《中小企业声明函》。</w:t>
            </w:r>
          </w:p>
          <w:p w14:paraId="36BB3299">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78E0BD3">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（2）在服务采购项目中，服务由中小企业承接，即提供服务的人员为中小企业依照《中华人民共和国劳动合同法》订立劳动合同的从业人员。</w:t>
            </w:r>
          </w:p>
          <w:p w14:paraId="285A6346">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标项1、2、3、4：本项目不专门面向中小企业;</w:t>
            </w:r>
          </w:p>
          <w:p w14:paraId="516E161D">
            <w:pPr>
              <w:wordWrap w:val="0"/>
              <w:adjustRightInd w:val="0"/>
              <w:snapToGrid w:val="0"/>
              <w:spacing w:line="440" w:lineRule="exact"/>
              <w:jc w:val="left"/>
              <w:rPr>
                <w:rFonts w:hint="eastAsia" w:asciiTheme="minorEastAsia" w:hAnsiTheme="minorEastAsia" w:eastAsiaTheme="minorEastAsia" w:cstheme="minorEastAsia"/>
                <w:color w:val="auto"/>
                <w:sz w:val="24"/>
                <w:szCs w:val="24"/>
                <w:highlight w:val="none"/>
              </w:rPr>
            </w:pPr>
            <w:r>
              <w:rPr>
                <w:rStyle w:val="77"/>
                <w:rFonts w:hint="eastAsia" w:ascii="宋体" w:hAnsi="宋体" w:eastAsia="宋体" w:cs="宋体"/>
                <w:b w:val="0"/>
                <w:color w:val="auto"/>
                <w:kern w:val="0"/>
                <w:sz w:val="24"/>
                <w:szCs w:val="24"/>
                <w:highlight w:val="none"/>
              </w:rPr>
              <w:t>本项目不专门面向中小企业预留采购份额。</w:t>
            </w:r>
          </w:p>
          <w:p w14:paraId="534BE25F">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cs="宋体"/>
                <w:b/>
                <w:bCs/>
                <w:color w:val="auto"/>
                <w:kern w:val="0"/>
                <w:sz w:val="24"/>
                <w:szCs w:val="24"/>
                <w:highlight w:val="none"/>
                <w:u w:val="single"/>
                <w:lang w:bidi="ar"/>
              </w:rPr>
              <w:t>其他未列明行业</w:t>
            </w:r>
            <w:r>
              <w:rPr>
                <w:rFonts w:hint="eastAsia" w:asciiTheme="minorEastAsia" w:hAnsiTheme="minorEastAsia" w:eastAsiaTheme="minorEastAsia" w:cstheme="minorEastAsia"/>
                <w:color w:val="auto"/>
                <w:sz w:val="24"/>
                <w:szCs w:val="24"/>
                <w:highlight w:val="none"/>
              </w:rPr>
              <w:t>符合以下条件的中小微型企业应按照磋商文件格式要求提供《中小企业声明函》。</w:t>
            </w:r>
          </w:p>
          <w:p w14:paraId="4AB7E091">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45C22CB">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（2）在服务采购项目中，服务由中小企业承接，即提供服务的人员为中小企业依照《中华人民共和国劳动合同法》订立劳动合同的从业人员。</w:t>
            </w:r>
          </w:p>
          <w:p w14:paraId="391E436A">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（3）根据上述文件规定，对满足以上（1）（2）两项条件并按照规定格式提供《中小企业声明函》的小微企业的投标总报价给予</w:t>
            </w:r>
            <w:r>
              <w:rPr>
                <w:rStyle w:val="77"/>
                <w:rFonts w:hint="eastAsia" w:ascii="宋体" w:hAnsi="宋体" w:eastAsia="宋体" w:cs="宋体"/>
                <w:b/>
                <w:bCs/>
                <w:color w:val="auto"/>
                <w:kern w:val="0"/>
                <w:sz w:val="24"/>
                <w:szCs w:val="24"/>
                <w:highlight w:val="none"/>
                <w:u w:val="single"/>
              </w:rPr>
              <w:t>10</w:t>
            </w:r>
            <w:r>
              <w:rPr>
                <w:rStyle w:val="77"/>
                <w:rFonts w:hint="eastAsia" w:ascii="宋体" w:hAnsi="宋体" w:eastAsia="宋体" w:cs="宋体"/>
                <w:b w:val="0"/>
                <w:color w:val="auto"/>
                <w:kern w:val="0"/>
                <w:sz w:val="24"/>
                <w:szCs w:val="24"/>
                <w:highlight w:val="none"/>
              </w:rPr>
              <w:t>%的扣除，用扣除后的价格参与评审。</w:t>
            </w:r>
          </w:p>
          <w:p w14:paraId="31332B4F">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（4）依据本办法规定享受扶持政策获得政府采购合同的，小微企业不得将合同分包给大中型企业，中型企业不得将合同分包给大型企业。</w:t>
            </w:r>
          </w:p>
          <w:p w14:paraId="173490FB">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（5）提供由省级以上监狱管理局、戒毒管理局（含新疆生产建设兵团）出具的属于监狱企业证明文件（扫描件）的，视同为小型和微型企业。</w:t>
            </w:r>
          </w:p>
          <w:p w14:paraId="136EC29A">
            <w:pPr>
              <w:pStyle w:val="33"/>
              <w:rPr>
                <w:rFonts w:hint="eastAsia"/>
                <w:color w:val="auto"/>
                <w:highlight w:val="none"/>
                <w:lang w:val="en-US" w:eastAsia="zh-CN"/>
              </w:rPr>
            </w:pPr>
            <w:r>
              <w:rPr>
                <w:rStyle w:val="77"/>
                <w:rFonts w:hint="eastAsia" w:ascii="宋体" w:hAnsi="宋体" w:eastAsia="宋体" w:cs="宋体"/>
                <w:b w:val="0"/>
                <w:color w:val="auto"/>
                <w:kern w:val="0"/>
                <w:sz w:val="24"/>
                <w:szCs w:val="24"/>
                <w:highlight w:val="none"/>
              </w:rPr>
              <w:t>（6）符合享受政府采购支持政策的残疾人福利性单位条件且提供《残疾人福利性单位声明函》的，视同为小型和微型企业。</w:t>
            </w:r>
          </w:p>
        </w:tc>
      </w:tr>
      <w:tr w14:paraId="771396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0A8D118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p>
        </w:tc>
        <w:tc>
          <w:tcPr>
            <w:tcW w:w="2105" w:type="dxa"/>
            <w:vAlign w:val="center"/>
          </w:tcPr>
          <w:p w14:paraId="6EDE872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rPr>
              <w:t>服务期限</w:t>
            </w:r>
          </w:p>
        </w:tc>
        <w:tc>
          <w:tcPr>
            <w:tcW w:w="7251" w:type="dxa"/>
            <w:vAlign w:val="center"/>
          </w:tcPr>
          <w:p w14:paraId="13142B1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宋体" w:hAnsi="宋体" w:cs="宋体"/>
                <w:b w:val="0"/>
                <w:bCs w:val="0"/>
                <w:color w:val="auto"/>
                <w:sz w:val="24"/>
                <w:szCs w:val="24"/>
                <w:highlight w:val="none"/>
                <w:lang w:val="en-US" w:eastAsia="zh-CN"/>
              </w:rPr>
              <w:t>合同签订之日起至项目成果文件</w:t>
            </w:r>
            <w:r>
              <w:rPr>
                <w:rFonts w:hint="eastAsia" w:cs="宋体"/>
                <w:b w:val="0"/>
                <w:bCs w:val="0"/>
                <w:color w:val="auto"/>
                <w:sz w:val="24"/>
                <w:szCs w:val="24"/>
                <w:highlight w:val="none"/>
                <w:lang w:val="en-US" w:eastAsia="zh-CN"/>
              </w:rPr>
              <w:t>审核交付</w:t>
            </w:r>
            <w:r>
              <w:rPr>
                <w:rFonts w:hint="eastAsia" w:ascii="宋体" w:hAnsi="宋体" w:cs="宋体"/>
                <w:b w:val="0"/>
                <w:bCs w:val="0"/>
                <w:color w:val="auto"/>
                <w:sz w:val="24"/>
                <w:szCs w:val="24"/>
                <w:highlight w:val="none"/>
                <w:lang w:val="en-US" w:eastAsia="zh-CN"/>
              </w:rPr>
              <w:t>为止。</w:t>
            </w:r>
          </w:p>
        </w:tc>
      </w:tr>
      <w:tr w14:paraId="54B3EB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4763178C">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24</w:t>
            </w:r>
          </w:p>
        </w:tc>
        <w:tc>
          <w:tcPr>
            <w:tcW w:w="2105" w:type="dxa"/>
            <w:vAlign w:val="center"/>
          </w:tcPr>
          <w:p w14:paraId="645C5E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宋体" w:hAnsi="宋体"/>
                <w:b/>
                <w:bCs/>
                <w:color w:val="auto"/>
                <w:sz w:val="24"/>
                <w:highlight w:val="none"/>
              </w:rPr>
              <w:t>付款方式及币种</w:t>
            </w:r>
          </w:p>
        </w:tc>
        <w:tc>
          <w:tcPr>
            <w:tcW w:w="7251" w:type="dxa"/>
            <w:vAlign w:val="center"/>
          </w:tcPr>
          <w:p w14:paraId="32A19F06">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付款币种</w:t>
            </w:r>
          </w:p>
          <w:p w14:paraId="5FAD806D">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本次招标所述的项目资金均以人民币支付。</w:t>
            </w:r>
          </w:p>
          <w:p w14:paraId="1F1866A7">
            <w:pPr>
              <w:pStyle w:val="43"/>
              <w:rPr>
                <w:rFonts w:hint="default" w:eastAsia="宋体, SimSun" w:asciiTheme="minorEastAsia" w:hAnsiTheme="minorEastAsia" w:cstheme="minorEastAsia"/>
                <w:color w:val="auto"/>
                <w:spacing w:val="0"/>
                <w:kern w:val="2"/>
                <w:position w:val="0"/>
                <w:sz w:val="24"/>
                <w:szCs w:val="24"/>
                <w:highlight w:val="none"/>
                <w:u w:val="none"/>
                <w:lang w:val="en-US" w:eastAsia="zh-CN" w:bidi="ar-SA"/>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付款方式：</w:t>
            </w:r>
            <w:r>
              <w:rPr>
                <w:rFonts w:hint="eastAsia" w:ascii="宋体" w:hAnsi="宋体" w:cs="宋体"/>
                <w:color w:val="auto"/>
                <w:sz w:val="24"/>
                <w:highlight w:val="none"/>
                <w:lang w:val="en-US" w:eastAsia="zh-CN"/>
              </w:rPr>
              <w:t>以最终合同约定为准。</w:t>
            </w:r>
          </w:p>
          <w:p w14:paraId="0C24D9B4">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宋体" w:hAnsi="宋体" w:cs="宋体"/>
                <w:b/>
                <w:color w:val="auto"/>
                <w:sz w:val="24"/>
                <w:highlight w:val="none"/>
              </w:rPr>
              <w:t>备注：最终付款方式以和甲方单位签订合同为主</w:t>
            </w:r>
          </w:p>
        </w:tc>
      </w:tr>
      <w:tr w14:paraId="437589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5B67CFF">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default"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25</w:t>
            </w:r>
          </w:p>
        </w:tc>
        <w:tc>
          <w:tcPr>
            <w:tcW w:w="2105" w:type="dxa"/>
            <w:vAlign w:val="center"/>
          </w:tcPr>
          <w:p w14:paraId="714DFDF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其他内容</w:t>
            </w:r>
          </w:p>
        </w:tc>
        <w:tc>
          <w:tcPr>
            <w:tcW w:w="7251" w:type="dxa"/>
            <w:vAlign w:val="center"/>
          </w:tcPr>
          <w:p w14:paraId="407F8804">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本次招标如有变更、澄清或其他通知将在发布招标公告的网站上公布。</w:t>
            </w:r>
          </w:p>
        </w:tc>
      </w:tr>
      <w:tr w14:paraId="62DE95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EF118BB">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26</w:t>
            </w:r>
          </w:p>
        </w:tc>
        <w:tc>
          <w:tcPr>
            <w:tcW w:w="2105" w:type="dxa"/>
            <w:vAlign w:val="center"/>
          </w:tcPr>
          <w:p w14:paraId="55D18434">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需要开具招标文件费及代理费发票的要求</w:t>
            </w:r>
          </w:p>
        </w:tc>
        <w:tc>
          <w:tcPr>
            <w:tcW w:w="7251" w:type="dxa"/>
            <w:vAlign w:val="center"/>
          </w:tcPr>
          <w:p w14:paraId="1DC53D1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需要开具招标文件费及代理费发票的要求如下：</w:t>
            </w:r>
          </w:p>
          <w:p w14:paraId="31659C42">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发票类型：普/专票</w:t>
            </w:r>
          </w:p>
          <w:p w14:paraId="60FC753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单位名称：</w:t>
            </w:r>
          </w:p>
          <w:p w14:paraId="0541977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税号：</w:t>
            </w:r>
          </w:p>
          <w:p w14:paraId="79526D4F">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地址：</w:t>
            </w:r>
          </w:p>
          <w:p w14:paraId="1CD14108">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电话：</w:t>
            </w:r>
          </w:p>
          <w:p w14:paraId="6F7066E0">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开户行：</w:t>
            </w:r>
          </w:p>
          <w:p w14:paraId="2E7D5FA7">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银行账号：</w:t>
            </w:r>
          </w:p>
          <w:p w14:paraId="3313D4D9">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接收发票邮箱：</w:t>
            </w:r>
          </w:p>
          <w:p w14:paraId="666B6BA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开票内容：招标文件费/招标代理费    金额：</w:t>
            </w:r>
          </w:p>
          <w:p w14:paraId="31A27BB7">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招标项目名称：</w:t>
            </w:r>
          </w:p>
          <w:p w14:paraId="0DF87D89">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请将以上内容发到我公司开票邮箱：14035701@qq.com 电话：13899903590</w:t>
            </w:r>
          </w:p>
        </w:tc>
      </w:tr>
      <w:tr w14:paraId="46287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4A0015D">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注意</w:t>
            </w:r>
          </w:p>
          <w:p w14:paraId="44413166">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事项</w:t>
            </w:r>
          </w:p>
        </w:tc>
        <w:tc>
          <w:tcPr>
            <w:tcW w:w="9356" w:type="dxa"/>
            <w:gridSpan w:val="2"/>
            <w:vAlign w:val="center"/>
          </w:tcPr>
          <w:p w14:paraId="777F8867">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本项目实行网上投标，采用电子响应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响应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bl>
    <w:p w14:paraId="6D312859">
      <w:pPr>
        <w:pageBreakBefore w:val="0"/>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4"/>
          <w:szCs w:val="22"/>
          <w:highlight w:val="none"/>
        </w:rPr>
      </w:pPr>
      <w:r>
        <w:rPr>
          <w:rFonts w:hint="eastAsia" w:asciiTheme="minorEastAsia" w:hAnsiTheme="minorEastAsia" w:eastAsiaTheme="minorEastAsia" w:cstheme="minorEastAsia"/>
          <w:b/>
          <w:bCs/>
          <w:color w:val="auto"/>
          <w:spacing w:val="0"/>
          <w:kern w:val="0"/>
          <w:position w:val="0"/>
          <w:sz w:val="24"/>
          <w:szCs w:val="22"/>
          <w:highlight w:val="none"/>
        </w:rPr>
        <w:t>注：</w:t>
      </w:r>
      <w:r>
        <w:rPr>
          <w:rFonts w:hint="eastAsia" w:asciiTheme="minorEastAsia" w:hAnsiTheme="minorEastAsia" w:eastAsiaTheme="minorEastAsia" w:cstheme="minorEastAsia"/>
          <w:color w:val="auto"/>
          <w:spacing w:val="0"/>
          <w:position w:val="0"/>
          <w:sz w:val="24"/>
          <w:szCs w:val="22"/>
          <w:highlight w:val="none"/>
        </w:rPr>
        <w:t>本表内容与</w:t>
      </w:r>
      <w:r>
        <w:rPr>
          <w:rFonts w:hint="eastAsia" w:asciiTheme="minorEastAsia" w:hAnsiTheme="minorEastAsia" w:eastAsiaTheme="minorEastAsia" w:cstheme="minorEastAsia"/>
          <w:color w:val="auto"/>
          <w:spacing w:val="0"/>
          <w:position w:val="0"/>
          <w:sz w:val="24"/>
          <w:szCs w:val="22"/>
          <w:highlight w:val="none"/>
          <w:lang w:eastAsia="zh-CN"/>
        </w:rPr>
        <w:t>磋商文件</w:t>
      </w:r>
      <w:r>
        <w:rPr>
          <w:rFonts w:hint="eastAsia" w:asciiTheme="minorEastAsia" w:hAnsiTheme="minorEastAsia" w:eastAsiaTheme="minorEastAsia" w:cstheme="minorEastAsia"/>
          <w:color w:val="auto"/>
          <w:spacing w:val="0"/>
          <w:position w:val="0"/>
          <w:sz w:val="24"/>
          <w:szCs w:val="22"/>
          <w:highlight w:val="none"/>
        </w:rPr>
        <w:t>其它内容不一致的，应当以本表内容为准。</w:t>
      </w:r>
    </w:p>
    <w:bookmarkEnd w:id="2"/>
    <w:p w14:paraId="157E444C">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7" w:name="_Toc20823274"/>
      <w:bookmarkEnd w:id="7"/>
      <w:bookmarkStart w:id="8" w:name="_Toc513029202"/>
      <w:bookmarkEnd w:id="8"/>
      <w:bookmarkStart w:id="9" w:name="_Toc120614213"/>
      <w:bookmarkEnd w:id="9"/>
      <w:bookmarkStart w:id="10" w:name="_Toc455227390"/>
      <w:bookmarkEnd w:id="10"/>
      <w:bookmarkStart w:id="11" w:name="_Toc16938518"/>
      <w:bookmarkEnd w:id="11"/>
      <w:bookmarkStart w:id="12" w:name="_Toc1621"/>
    </w:p>
    <w:p w14:paraId="7ED1DEE0">
      <w:pPr>
        <w:bidi w:val="0"/>
        <w:rPr>
          <w:rFonts w:hint="eastAsia"/>
          <w:color w:val="auto"/>
          <w:highlight w:val="none"/>
        </w:rPr>
      </w:pPr>
    </w:p>
    <w:p w14:paraId="2BC2E99D">
      <w:pPr>
        <w:bidi w:val="0"/>
        <w:rPr>
          <w:rFonts w:hint="eastAsia"/>
          <w:color w:val="auto"/>
          <w:highlight w:val="none"/>
        </w:rPr>
      </w:pPr>
    </w:p>
    <w:p w14:paraId="59FE41FF">
      <w:pP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br w:type="page"/>
      </w:r>
    </w:p>
    <w:p w14:paraId="16F499E9">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3" w:name="_Toc10917"/>
      <w:r>
        <w:rPr>
          <w:rFonts w:hint="eastAsia" w:asciiTheme="minorEastAsia" w:hAnsiTheme="minorEastAsia" w:eastAsiaTheme="minorEastAsia" w:cstheme="minorEastAsia"/>
          <w:color w:val="auto"/>
          <w:spacing w:val="0"/>
          <w:position w:val="0"/>
          <w:highlight w:val="none"/>
        </w:rPr>
        <w:t>一、 说明</w:t>
      </w:r>
      <w:bookmarkEnd w:id="12"/>
      <w:bookmarkEnd w:id="13"/>
    </w:p>
    <w:p w14:paraId="43EB6320">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1.1适用范围</w:t>
      </w:r>
    </w:p>
    <w:p w14:paraId="59AAD6C3">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 .1本磋商文件仅适用于本磋商邀请函中所述项目的货物及相关服务的采购。</w:t>
      </w:r>
    </w:p>
    <w:p w14:paraId="7093C931">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1.2定义</w:t>
      </w:r>
    </w:p>
    <w:p w14:paraId="6C214F7F">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1.2.1“采购人”是指：详见供应商须知前附表.</w:t>
      </w:r>
    </w:p>
    <w:p w14:paraId="55492F70">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1.2.2“采购代理机构”是指：详见供应商须知前附表.</w:t>
      </w:r>
    </w:p>
    <w:p w14:paraId="13D3503B">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1.2.3“监管部门”是指：详见供应商须知前附表.</w:t>
      </w:r>
    </w:p>
    <w:p w14:paraId="151D38F2">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1.2.4 “供应商”是指：响应磋商文件要求并且符合磋商文件规定资格条件和参加竞争性磋商的法人、其他组织或者自然人。</w:t>
      </w:r>
    </w:p>
    <w:p w14:paraId="6240E335">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1.2.5“电子响应文件”是指：利用</w:t>
      </w:r>
      <w:r>
        <w:rPr>
          <w:rFonts w:hint="eastAsia" w:asciiTheme="minorEastAsia" w:hAnsiTheme="minorEastAsia" w:eastAsiaTheme="minorEastAsia" w:cstheme="minorEastAsia"/>
          <w:color w:val="auto"/>
          <w:spacing w:val="0"/>
          <w:position w:val="0"/>
          <w:sz w:val="24"/>
          <w:szCs w:val="24"/>
          <w:highlight w:val="none"/>
          <w:lang w:eastAsia="zh-CN"/>
        </w:rPr>
        <w:t>相应的</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制作工具”编制加密的响应文件。</w:t>
      </w:r>
    </w:p>
    <w:p w14:paraId="58233F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1.2.6“成交供应商”是指: 是指经磋商小组评审，授予合同的供应商。</w:t>
      </w:r>
    </w:p>
    <w:p w14:paraId="38EA22E4">
      <w:pPr>
        <w:pStyle w:val="21"/>
        <w:keepNext w:val="0"/>
        <w:keepLines w:val="0"/>
        <w:pageBreakBefore w:val="0"/>
        <w:widowControl w:val="0"/>
        <w:kinsoku/>
        <w:wordWrap/>
        <w:overflowPunct/>
        <w:topLinePunct w:val="0"/>
        <w:autoSpaceDE/>
        <w:autoSpaceDN/>
        <w:bidi w:val="0"/>
        <w:adjustRightInd w:val="0"/>
        <w:snapToGrid w:val="0"/>
        <w:spacing w:line="360" w:lineRule="auto"/>
        <w:ind w:left="561" w:leftChars="267"/>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1.2.7采购人和采购代理机构统称为招标采购单位。</w:t>
      </w:r>
    </w:p>
    <w:p w14:paraId="0525F6BD">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1.3、货物和服务</w:t>
      </w:r>
    </w:p>
    <w:p w14:paraId="0EC7D16A">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Theme="minorEastAsia" w:hAnsiTheme="minorEastAsia" w:eastAsiaTheme="minorEastAsia" w:cstheme="minorEastAsia"/>
          <w:snapToGrid w:val="0"/>
          <w:color w:val="auto"/>
          <w:spacing w:val="0"/>
          <w:kern w:val="0"/>
          <w:position w:val="0"/>
          <w:sz w:val="24"/>
          <w:szCs w:val="24"/>
          <w:highlight w:val="none"/>
        </w:rPr>
        <w:t>提供的货物必须是其合法生产的符合国家有关标准要求的货物，并能够按照合同规定的品牌、产地、质量、价格和有效期等履约。</w:t>
      </w:r>
    </w:p>
    <w:p w14:paraId="2EF474FD">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1.3.2“服务”是指：除货物和工程以外的其他政府采购对象。包括：政府自身需要的服务和政府向社会公众提供的公共服务。</w:t>
      </w:r>
    </w:p>
    <w:p w14:paraId="36F8322A">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1.4、磋商费用</w:t>
      </w:r>
    </w:p>
    <w:p w14:paraId="1BC9BA5F">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1.4.1供应商应承担所有与准备和参加竞争性磋商有关的费用。不论磋商的结果如何，采购单位均无义务和责任承担这些费用。</w:t>
      </w:r>
    </w:p>
    <w:p w14:paraId="0C55417A">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4" w:name="_Toc293736011"/>
      <w:bookmarkStart w:id="15" w:name="_Toc293736054"/>
      <w:bookmarkStart w:id="16" w:name="_Toc293738992"/>
      <w:bookmarkStart w:id="17" w:name="_Toc2036"/>
      <w:bookmarkStart w:id="18" w:name="_Toc3092"/>
      <w:bookmarkStart w:id="19" w:name="_Toc446599311"/>
      <w:r>
        <w:rPr>
          <w:rFonts w:hint="eastAsia" w:asciiTheme="minorEastAsia" w:hAnsiTheme="minorEastAsia" w:eastAsiaTheme="minorEastAsia" w:cstheme="minorEastAsia"/>
          <w:color w:val="auto"/>
          <w:spacing w:val="0"/>
          <w:position w:val="0"/>
          <w:highlight w:val="none"/>
        </w:rPr>
        <w:t>二、磋商文件</w:t>
      </w:r>
      <w:bookmarkEnd w:id="14"/>
      <w:bookmarkEnd w:id="15"/>
      <w:bookmarkEnd w:id="16"/>
      <w:bookmarkEnd w:id="17"/>
      <w:bookmarkEnd w:id="18"/>
      <w:bookmarkEnd w:id="19"/>
    </w:p>
    <w:p w14:paraId="763A1232">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2.1.磋商文件的构成</w:t>
      </w:r>
    </w:p>
    <w:p w14:paraId="3B66DAB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2.1.1磋商文件由下列文件以及在采购过程中发出的修正和补充文件组成：</w:t>
      </w:r>
    </w:p>
    <w:p w14:paraId="04A4AE9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(1)磋商邀请函；</w:t>
      </w:r>
    </w:p>
    <w:p w14:paraId="62A2348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(2)供应商须知；</w:t>
      </w:r>
    </w:p>
    <w:p w14:paraId="6D82086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(3)采购项目技术规格、参数及相关服务要求；</w:t>
      </w:r>
    </w:p>
    <w:p w14:paraId="4AEA408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(4)评审方法、步骤、标准；</w:t>
      </w:r>
    </w:p>
    <w:p w14:paraId="23F13C7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(5)合同格式及合同条款；</w:t>
      </w:r>
    </w:p>
    <w:p w14:paraId="07F2B05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(6)响应文件格式；</w:t>
      </w:r>
    </w:p>
    <w:p w14:paraId="64B6BFF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(7)在磋商过程中由采购单位发出的澄清和补充文件等。</w:t>
      </w:r>
    </w:p>
    <w:p w14:paraId="267EC7B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621D5B7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2.2.1供应商应仔细阅读和检查磋商文件的全部内容。供应商若对磋商文件有任何疑问，均应在响应文件递交截止时间5日前</w:t>
      </w:r>
      <w:r>
        <w:rPr>
          <w:rFonts w:hint="eastAsia" w:asciiTheme="minorEastAsia" w:hAnsiTheme="minorEastAsia" w:eastAsiaTheme="minorEastAsia" w:cstheme="minorEastAsia"/>
          <w:color w:val="auto"/>
          <w:spacing w:val="0"/>
          <w:position w:val="0"/>
          <w:sz w:val="24"/>
          <w:szCs w:val="24"/>
          <w:highlight w:val="none"/>
          <w:lang w:eastAsia="zh-CN"/>
        </w:rPr>
        <w:t>向采购人提出</w:t>
      </w:r>
      <w:r>
        <w:rPr>
          <w:rFonts w:hint="eastAsia" w:asciiTheme="minorEastAsia" w:hAnsiTheme="minorEastAsia" w:eastAsiaTheme="minorEastAsia" w:cstheme="minorEastAsia"/>
          <w:color w:val="auto"/>
          <w:spacing w:val="0"/>
          <w:position w:val="0"/>
          <w:sz w:val="24"/>
          <w:szCs w:val="24"/>
          <w:highlight w:val="none"/>
        </w:rPr>
        <w:t>。采购单位对供应商所要求澄清的内容均予以答复（答复中不包括问题的来源）。必要时，采购单位将组织相关专家召开答疑会，并在</w:t>
      </w:r>
      <w:r>
        <w:rPr>
          <w:rFonts w:hint="eastAsia" w:asciiTheme="minorEastAsia" w:hAnsiTheme="minorEastAsia" w:eastAsiaTheme="minorEastAsia" w:cstheme="minorEastAsia"/>
          <w:color w:val="auto"/>
          <w:spacing w:val="0"/>
          <w:position w:val="0"/>
          <w:sz w:val="24"/>
          <w:szCs w:val="24"/>
          <w:highlight w:val="none"/>
          <w:lang w:eastAsia="zh-CN"/>
        </w:rPr>
        <w:t>新疆政采云平台上</w:t>
      </w:r>
      <w:r>
        <w:rPr>
          <w:rFonts w:hint="eastAsia" w:asciiTheme="minorEastAsia" w:hAnsiTheme="minorEastAsia" w:eastAsiaTheme="minorEastAsia" w:cstheme="minorEastAsia"/>
          <w:color w:val="auto"/>
          <w:spacing w:val="0"/>
          <w:position w:val="0"/>
          <w:sz w:val="24"/>
          <w:szCs w:val="24"/>
          <w:highlight w:val="none"/>
        </w:rPr>
        <w:t>向所有供应商公布，供应商可在</w:t>
      </w:r>
      <w:r>
        <w:rPr>
          <w:rFonts w:hint="eastAsia" w:asciiTheme="minorEastAsia" w:hAnsiTheme="minorEastAsia" w:eastAsiaTheme="minorEastAsia" w:cstheme="minorEastAsia"/>
          <w:color w:val="auto"/>
          <w:spacing w:val="0"/>
          <w:position w:val="0"/>
          <w:sz w:val="24"/>
          <w:szCs w:val="24"/>
          <w:highlight w:val="none"/>
          <w:lang w:eastAsia="zh-CN"/>
        </w:rPr>
        <w:t>平台相对应的</w:t>
      </w:r>
      <w:r>
        <w:rPr>
          <w:rFonts w:hint="eastAsia" w:asciiTheme="minorEastAsia" w:hAnsiTheme="minorEastAsia" w:eastAsiaTheme="minorEastAsia" w:cstheme="minorEastAsia"/>
          <w:color w:val="auto"/>
          <w:spacing w:val="0"/>
          <w:position w:val="0"/>
          <w:sz w:val="24"/>
          <w:szCs w:val="24"/>
          <w:highlight w:val="none"/>
        </w:rPr>
        <w:t>栏目下载澄清文件。澄清文件作为磋商文件的组成部分，对供应商具有同等约束作用。</w:t>
      </w:r>
    </w:p>
    <w:p w14:paraId="559D5F16">
      <w:pPr>
        <w:pStyle w:val="21"/>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2.2.2供应商在本项目响应文件递交截止时间5日前未对磋商文件提出异议的，采购单位将视其为同意。在规定的时间后就磋商文件内容提出的质疑将不予受理。</w:t>
      </w:r>
    </w:p>
    <w:p w14:paraId="46F7E9B9">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2.3. 磋商文件的修改</w:t>
      </w:r>
    </w:p>
    <w:p w14:paraId="033CB47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2.3.1采购单位可以对已发出的磋商文件进行必要的澄清或者修改。澄清或者修改的内容可能影响响应文件编制的，采购单位将在响应文件递交截止时间五日前在新疆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 xml:space="preserve">发布更正公告。 </w:t>
      </w:r>
    </w:p>
    <w:p w14:paraId="1B8817F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2.3.2澄清或者修改的内容是磋商文件的组成部分，将在新疆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上会员专区向所有供应商公布，并对供应商具有约束力。</w:t>
      </w:r>
    </w:p>
    <w:p w14:paraId="0670295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2.3.3为使供应商有充足的时间对磋商文件的修改部分进行研究，采购单位可适当推迟响应文件截止期，并通过在新疆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上发布公告方式通知所有下载磋商文件的供应商。</w:t>
      </w:r>
    </w:p>
    <w:p w14:paraId="63D220E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2.3.4供应商应注意及时浏览网上发布的澄清或修改通知并下载，因供应商原因未及时获知澄清、修改或补充内容而导致的任何后果将由供应商自行承担。</w:t>
      </w:r>
    </w:p>
    <w:p w14:paraId="28C9958D">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20" w:name="_Toc13231"/>
      <w:bookmarkStart w:id="21" w:name="_Toc446599312"/>
      <w:bookmarkStart w:id="22" w:name="_Toc293736012"/>
      <w:bookmarkStart w:id="23" w:name="_Toc7135"/>
      <w:bookmarkStart w:id="24" w:name="_Toc293736055"/>
      <w:bookmarkStart w:id="25" w:name="_Toc293738993"/>
      <w:r>
        <w:rPr>
          <w:rFonts w:hint="eastAsia" w:asciiTheme="minorEastAsia" w:hAnsiTheme="minorEastAsia" w:eastAsiaTheme="minorEastAsia" w:cstheme="minorEastAsia"/>
          <w:color w:val="auto"/>
          <w:spacing w:val="0"/>
          <w:position w:val="0"/>
          <w:highlight w:val="none"/>
        </w:rPr>
        <w:t>三、响应文件的编制和数量</w:t>
      </w:r>
      <w:bookmarkEnd w:id="20"/>
      <w:bookmarkEnd w:id="21"/>
      <w:bookmarkEnd w:id="22"/>
      <w:bookmarkEnd w:id="23"/>
      <w:bookmarkEnd w:id="24"/>
      <w:bookmarkEnd w:id="25"/>
    </w:p>
    <w:p w14:paraId="7169332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3.1．响应文件的语言</w:t>
      </w:r>
    </w:p>
    <w:p w14:paraId="04E0646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750B56AD">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3.2响应文件的构成</w:t>
      </w:r>
    </w:p>
    <w:p w14:paraId="5BA8FC8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3.2.1供应商编制的响应文件应包括但不少于下列内容：</w:t>
      </w:r>
    </w:p>
    <w:p w14:paraId="6F64421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（1)商务文件内容（详见第六章商务文件组成）</w:t>
      </w:r>
    </w:p>
    <w:p w14:paraId="36D65A6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（2)技术文件内容（详见第六章技术文件组成）</w:t>
      </w:r>
    </w:p>
    <w:p w14:paraId="398C6BB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3.3响应文件编制</w:t>
      </w:r>
    </w:p>
    <w:p w14:paraId="3C64C11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3.3.1</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响应文件制作时，应按照统一的“</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制作工具”和磋商文件中明确的响应文件目录和投标</w:t>
      </w:r>
      <w:r>
        <w:rPr>
          <w:rFonts w:hint="eastAsia" w:asciiTheme="minorEastAsia" w:hAnsiTheme="minorEastAsia" w:eastAsiaTheme="minorEastAsia" w:cstheme="minorEastAsia"/>
          <w:color w:val="auto"/>
          <w:spacing w:val="0"/>
          <w:position w:val="0"/>
          <w:sz w:val="24"/>
          <w:szCs w:val="24"/>
          <w:highlight w:val="none"/>
        </w:rPr>
        <w:t>技术规格、参数及相关要求</w:t>
      </w:r>
      <w:r>
        <w:rPr>
          <w:rFonts w:hint="eastAsia" w:asciiTheme="minorEastAsia" w:hAnsiTheme="minorEastAsia" w:eastAsiaTheme="minorEastAsia" w:cstheme="minorEastAsia"/>
          <w:color w:val="auto"/>
          <w:spacing w:val="0"/>
          <w:kern w:val="0"/>
          <w:position w:val="0"/>
          <w:sz w:val="24"/>
          <w:szCs w:val="24"/>
          <w:highlight w:val="none"/>
        </w:rPr>
        <w:t>格式进行编制，保证目录清晰、内容完整。</w:t>
      </w:r>
    </w:p>
    <w:p w14:paraId="49DD033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3.3.2供应商应按照供应商须知前附表要求编制响应文件。</w:t>
      </w:r>
    </w:p>
    <w:p w14:paraId="51F4C4F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3</w:t>
      </w:r>
      <w:r>
        <w:rPr>
          <w:rFonts w:hint="eastAsia" w:asciiTheme="minorEastAsia" w:hAnsiTheme="minorEastAsia" w:eastAsiaTheme="minorEastAsia" w:cstheme="minorEastAsia"/>
          <w:color w:val="auto"/>
          <w:spacing w:val="0"/>
          <w:kern w:val="0"/>
          <w:position w:val="0"/>
          <w:sz w:val="24"/>
          <w:szCs w:val="24"/>
          <w:highlight w:val="none"/>
        </w:rPr>
        <w:t xml:space="preserve">供应商因自身原因导致电子响应文件无法导入电子评标系统的，该响应文件视为无效文件。 </w:t>
      </w:r>
    </w:p>
    <w:p w14:paraId="71F9A96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4</w:t>
      </w:r>
      <w:r>
        <w:rPr>
          <w:rFonts w:hint="eastAsia" w:asciiTheme="minorEastAsia" w:hAnsiTheme="minorEastAsia" w:eastAsiaTheme="minorEastAsia" w:cstheme="minorEastAsia"/>
          <w:color w:val="auto"/>
          <w:spacing w:val="0"/>
          <w:kern w:val="0"/>
          <w:position w:val="0"/>
          <w:sz w:val="24"/>
          <w:szCs w:val="24"/>
          <w:highlight w:val="none"/>
        </w:rPr>
        <w:t xml:space="preserve">电子响应文件具有法律效力,与其他形式的响应文件在内容和格式上等同，若响应文件与磋商文件要求不一致，其内容影响成交结果时，责任由供应商自行承担。 </w:t>
      </w:r>
    </w:p>
    <w:p w14:paraId="1AAA2F8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5</w:t>
      </w:r>
      <w:r>
        <w:rPr>
          <w:rFonts w:hint="eastAsia" w:asciiTheme="minorEastAsia" w:hAnsiTheme="minorEastAsia" w:eastAsiaTheme="minorEastAsia" w:cstheme="minorEastAsia"/>
          <w:color w:val="auto"/>
          <w:spacing w:val="0"/>
          <w:kern w:val="0"/>
          <w:position w:val="0"/>
          <w:sz w:val="24"/>
          <w:szCs w:val="24"/>
          <w:highlight w:val="none"/>
        </w:rPr>
        <w:t>为了保证</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标书的合法性、安全性和完整性，电子响应文件转换完成后，应在规定区域加盖单位和法定代表人CA印章。电子响应文件若无 CA电子签章，则视为无效文件。</w:t>
      </w:r>
    </w:p>
    <w:p w14:paraId="4F17598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6</w:t>
      </w:r>
      <w:r>
        <w:rPr>
          <w:rFonts w:hint="eastAsia" w:asciiTheme="minorEastAsia" w:hAnsiTheme="minorEastAsia" w:eastAsiaTheme="minorEastAsia" w:cstheme="minorEastAsia"/>
          <w:color w:val="auto"/>
          <w:spacing w:val="0"/>
          <w:kern w:val="0"/>
          <w:position w:val="0"/>
          <w:sz w:val="24"/>
          <w:szCs w:val="24"/>
          <w:highlight w:val="none"/>
        </w:rPr>
        <w:t>供应商应完整地</w:t>
      </w:r>
      <w:r>
        <w:rPr>
          <w:rFonts w:hint="eastAsia" w:asciiTheme="minorEastAsia" w:hAnsiTheme="minorEastAsia" w:eastAsiaTheme="minorEastAsia" w:cstheme="minorEastAsia"/>
          <w:color w:val="auto"/>
          <w:spacing w:val="0"/>
          <w:position w:val="0"/>
          <w:sz w:val="24"/>
          <w:szCs w:val="24"/>
          <w:highlight w:val="none"/>
        </w:rPr>
        <w:t>填写</w:t>
      </w:r>
      <w:r>
        <w:rPr>
          <w:rFonts w:hint="eastAsia" w:asciiTheme="minorEastAsia" w:hAnsiTheme="minorEastAsia" w:eastAsiaTheme="minorEastAsia" w:cstheme="minorEastAsia"/>
          <w:color w:val="auto"/>
          <w:spacing w:val="0"/>
          <w:kern w:val="0"/>
          <w:position w:val="0"/>
          <w:sz w:val="24"/>
          <w:szCs w:val="24"/>
          <w:highlight w:val="none"/>
        </w:rPr>
        <w:t xml:space="preserve">磋商文件中提供的《竞争性磋商函》、《竞争性磋商报价一览表》、《竞争性磋商报价明细表》等磋商文件中规定的所有内容。 </w:t>
      </w:r>
    </w:p>
    <w:p w14:paraId="6F060A1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7</w:t>
      </w:r>
      <w:r>
        <w:rPr>
          <w:rFonts w:hint="eastAsia" w:asciiTheme="minorEastAsia" w:hAnsiTheme="minorEastAsia" w:eastAsiaTheme="minorEastAsia" w:cstheme="minorEastAsia"/>
          <w:color w:val="auto"/>
          <w:spacing w:val="0"/>
          <w:kern w:val="0"/>
          <w:position w:val="0"/>
          <w:sz w:val="24"/>
          <w:szCs w:val="24"/>
          <w:highlight w:val="none"/>
        </w:rPr>
        <w:t xml:space="preserve">供应商必须保证响应文件所提供的全部资料真实可靠，并接受采购单位对其中任何资料进一步核实的要求。 </w:t>
      </w:r>
    </w:p>
    <w:p w14:paraId="767D2D3E">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3.4. 磋商报价要求</w:t>
      </w:r>
    </w:p>
    <w:p w14:paraId="234B1F6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3.4.1供应商所提供的货物和服务均以人民币报价。</w:t>
      </w:r>
    </w:p>
    <w:p w14:paraId="7869022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6C7F021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3.4.3《竞争性磋商报价明细表》填写时应响应下列要求：</w:t>
      </w:r>
    </w:p>
    <w:p w14:paraId="5F8E053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（1）对于报价免费的项目应标明“免费”；</w:t>
      </w:r>
    </w:p>
    <w:p w14:paraId="1DA78E7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（2）所有根据合同或其它原因应由供应商支付的税款和其它应交纳的费用都要包括在供应商提交的磋商总价中；</w:t>
      </w:r>
    </w:p>
    <w:p w14:paraId="05CF88B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（3）应包含货物运至最终目的地的运输、保险和伴随货物服务的有关费用。</w:t>
      </w:r>
    </w:p>
    <w:p w14:paraId="2EA1B6F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3.4.5每一种规格的货物、服务只允许有一个报价，否则将被视为无效投标。</w:t>
      </w:r>
    </w:p>
    <w:p w14:paraId="13C86BB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3.4.6供应商所报的总价在合同执行过程中是固定不变的，不得以任何理由予以变更。</w:t>
      </w:r>
    </w:p>
    <w:p w14:paraId="3A3C60C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3.4.7供应商的最后磋商报价超过项目采购预算的为无效报价。</w:t>
      </w:r>
    </w:p>
    <w:p w14:paraId="7603BBF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3.5备选方案</w:t>
      </w:r>
    </w:p>
    <w:p w14:paraId="1A5DFCE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3.5.1供应商应按照供应商须知前附表要求编制磋商备选方案，否则将被视为无效响应文件。</w:t>
      </w:r>
    </w:p>
    <w:p w14:paraId="2871FF2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3.6联合体投标</w:t>
      </w:r>
    </w:p>
    <w:p w14:paraId="754698D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3.6.1两个以上供应商可以组成一个联合体，以一个供应商的身份共同参与磋商。</w:t>
      </w:r>
    </w:p>
    <w:p w14:paraId="515BD86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4B5227B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3.6.3联合体各方之间必须签订联合磋商协议，明确约定联合体主体及各方承担的工作和相应的责任，其响应文件中必须提供联合磋商协议。</w:t>
      </w:r>
    </w:p>
    <w:p w14:paraId="5BDA2A5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3.6.4以联合体形式参加政府采购活动的，联合体各方不得再单独参加或者与其他供应商另外组成联合体参加同一合同项下的政府采购活动。</w:t>
      </w:r>
    </w:p>
    <w:p w14:paraId="4393258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2C909AE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3.6.6联合体成交的，联合体各方应当共同与采购人签订采购合同。</w:t>
      </w:r>
    </w:p>
    <w:p w14:paraId="3C6D176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3.6.7联合体中有同类资质的供应商按照联合体分工承担相同工作的，应当按照资质等级较低的供应商确定资质等级。</w:t>
      </w:r>
    </w:p>
    <w:p w14:paraId="1EB757D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 供应商资格证明文件</w:t>
      </w:r>
    </w:p>
    <w:p w14:paraId="64202C8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3.7.1供应商应提交证明其有资格参加磋商和成交后有能力履行合同的文件，并作为其响应文件的一部分。</w:t>
      </w:r>
    </w:p>
    <w:p w14:paraId="188E6F9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3.7.2资格证明文件必须真实可靠、不得伪造。</w:t>
      </w:r>
    </w:p>
    <w:p w14:paraId="1CACD68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3.7.3供应商相关资格证明文件：</w:t>
      </w:r>
    </w:p>
    <w:p w14:paraId="3A3C3FD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（1）法人或者其他组织的营业执照等证明文件，自然人的身份证明；</w:t>
      </w:r>
    </w:p>
    <w:p w14:paraId="6814945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（2）财务状况报告，依法缴纳税收和社会保障资金的相关材料；</w:t>
      </w:r>
    </w:p>
    <w:p w14:paraId="1809009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（3）具备履行合同所必需的设备和专业技术能力的证明材料；</w:t>
      </w:r>
    </w:p>
    <w:p w14:paraId="4462AB9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（4）参加政府采购活动前3年内在经营活动中没有重大违法记录的书面声明；</w:t>
      </w:r>
    </w:p>
    <w:p w14:paraId="62C8E75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（5）具备法律、行政法规规定的其他条件的证明材料；</w:t>
      </w:r>
    </w:p>
    <w:p w14:paraId="7591CCD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（6）采购项目有特殊要求的，供应商还应当提供其符合特殊要求的证明材料或者情况说明；</w:t>
      </w:r>
    </w:p>
    <w:p w14:paraId="5F56DC9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（7）信用信息查询记录；</w:t>
      </w:r>
    </w:p>
    <w:p w14:paraId="74A9C43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（8）磋商文件要求或供应商认为需提供的其它相关资格证明材料。</w:t>
      </w:r>
    </w:p>
    <w:p w14:paraId="236B5CF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3.7.4 证明投标货物、服务的合格性和符合磋商文件规定的文件。</w:t>
      </w:r>
    </w:p>
    <w:p w14:paraId="7F47882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采取资格预审方式项目的</w:t>
      </w:r>
      <w:r>
        <w:rPr>
          <w:rFonts w:hint="eastAsia" w:asciiTheme="minorEastAsia" w:hAnsiTheme="minorEastAsia" w:eastAsiaTheme="minorEastAsia" w:cstheme="minorEastAsia"/>
          <w:color w:val="auto"/>
          <w:spacing w:val="0"/>
          <w:kern w:val="0"/>
          <w:position w:val="0"/>
          <w:sz w:val="24"/>
          <w:szCs w:val="24"/>
          <w:highlight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rPr>
        <w:t>在递交</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时，其资格条件与资格预审时发生变化的，提交变化后的资料。</w:t>
      </w:r>
    </w:p>
    <w:p w14:paraId="4D85918D">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3.8. 磋商保证金</w:t>
      </w:r>
    </w:p>
    <w:p w14:paraId="0C6211E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3.8.1</w:t>
      </w:r>
      <w:r>
        <w:rPr>
          <w:rFonts w:hint="eastAsia" w:asciiTheme="minorEastAsia" w:hAnsiTheme="minorEastAsia" w:eastAsiaTheme="minorEastAsia" w:cstheme="minorEastAsia"/>
          <w:color w:val="auto"/>
          <w:spacing w:val="0"/>
          <w:kern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rPr>
        <w:t>应在响应文件截止时间之前，将所规定数额的保证金以转账或电汇方式缴纳至该项目所</w:t>
      </w:r>
      <w:r>
        <w:rPr>
          <w:rFonts w:hint="eastAsia" w:asciiTheme="minorEastAsia" w:hAnsiTheme="minorEastAsia" w:eastAsiaTheme="minorEastAsia" w:cstheme="minorEastAsia"/>
          <w:color w:val="auto"/>
          <w:spacing w:val="0"/>
          <w:kern w:val="0"/>
          <w:position w:val="0"/>
          <w:sz w:val="24"/>
          <w:szCs w:val="24"/>
          <w:highlight w:val="none"/>
        </w:rPr>
        <w:t>对应的保证金收取账号内（不接受现金缴纳）。保证金缴纳时间以该项目所对应的保证金收取账号中显示的到账时间为准。</w:t>
      </w:r>
    </w:p>
    <w:p w14:paraId="3AFF31F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3.8.2对于未能按要求提交保证金的将视为未响应磋商文件的要求，其响应文件无效。</w:t>
      </w:r>
    </w:p>
    <w:p w14:paraId="7C74E3F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0AAB714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0FFF341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3.8.5有下列情形之一的，保证金将被没收：</w:t>
      </w:r>
    </w:p>
    <w:p w14:paraId="099CFFA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（1）供应商在响应文件中提供虚假资料的；</w:t>
      </w:r>
    </w:p>
    <w:p w14:paraId="3330200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（2）除因不可抗力或磋商文件认可的情形以外，成交供应商不与采购人签订合同的；</w:t>
      </w:r>
    </w:p>
    <w:p w14:paraId="35AA300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（3）供应商与采购人、其他供应商或者采购代理机构恶意串通的；</w:t>
      </w:r>
    </w:p>
    <w:p w14:paraId="79F1D10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（4）磋商文件规定的其他情形。</w:t>
      </w:r>
    </w:p>
    <w:p w14:paraId="16F5857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 磋商的有效期</w:t>
      </w:r>
    </w:p>
    <w:p w14:paraId="39D04C9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3.9.1磋商有效期详见供应商须知前附表。供应商响应文件中有效期不足的将被视为无效文件。</w:t>
      </w:r>
    </w:p>
    <w:p w14:paraId="4DD95FB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3.9.2 有效期内供应商未经采购结果确认谈判达成一致不得改变其磋商最后报价及承诺的全部义务。</w:t>
      </w:r>
    </w:p>
    <w:p w14:paraId="0ACF4CBD">
      <w:pPr>
        <w:pStyle w:val="12"/>
        <w:pageBreakBefore w:val="0"/>
        <w:kinsoku/>
        <w:wordWrap/>
        <w:overflowPunct/>
        <w:topLinePunct w:val="0"/>
        <w:autoSpaceDE/>
        <w:autoSpaceDN/>
        <w:bidi w:val="0"/>
        <w:adjustRightInd w:val="0"/>
        <w:snapToGrid w:val="0"/>
        <w:spacing w:line="360" w:lineRule="auto"/>
        <w:ind w:firstLine="487" w:firstLineChars="202"/>
        <w:jc w:val="center"/>
        <w:rPr>
          <w:rFonts w:hint="eastAsia" w:asciiTheme="minorEastAsia" w:hAnsiTheme="minorEastAsia" w:eastAsiaTheme="minorEastAsia" w:cstheme="minorEastAsia"/>
          <w:b/>
          <w:bCs/>
          <w:color w:val="auto"/>
          <w:spacing w:val="0"/>
          <w:kern w:val="0"/>
          <w:position w:val="0"/>
          <w:sz w:val="24"/>
          <w:szCs w:val="24"/>
          <w:highlight w:val="none"/>
        </w:rPr>
      </w:pPr>
      <w:bookmarkStart w:id="26" w:name="_Toc293736013"/>
      <w:bookmarkStart w:id="27" w:name="_Toc293738994"/>
      <w:bookmarkStart w:id="28" w:name="_Toc293736056"/>
      <w:bookmarkStart w:id="29" w:name="_Toc446599313"/>
      <w:r>
        <w:rPr>
          <w:rFonts w:hint="eastAsia" w:asciiTheme="minorEastAsia" w:hAnsiTheme="minorEastAsia" w:eastAsiaTheme="minorEastAsia" w:cstheme="minorEastAsia"/>
          <w:b/>
          <w:bCs/>
          <w:color w:val="auto"/>
          <w:spacing w:val="0"/>
          <w:kern w:val="0"/>
          <w:position w:val="0"/>
          <w:sz w:val="24"/>
          <w:szCs w:val="24"/>
          <w:highlight w:val="none"/>
        </w:rPr>
        <w:t>四、响应文件的递交</w:t>
      </w:r>
      <w:bookmarkEnd w:id="26"/>
      <w:bookmarkEnd w:id="27"/>
      <w:bookmarkEnd w:id="28"/>
      <w:bookmarkEnd w:id="29"/>
    </w:p>
    <w:p w14:paraId="421FFC9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响应文件的密封和标记</w:t>
      </w:r>
    </w:p>
    <w:p w14:paraId="645FC61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.1响应文件的密封和标记。电子响应文件的内容通过数字证书进行加密并签章。未按要求加密和数字证书认证的响应文件，电子评标系统将无法接受,采购单位不予受理。</w:t>
      </w:r>
    </w:p>
    <w:p w14:paraId="4EFE20A7">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4.2响应文件的递交</w:t>
      </w:r>
    </w:p>
    <w:p w14:paraId="69CA0AE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4.2.1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77E4C3C9">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4.3迟交的响应文件</w:t>
      </w:r>
    </w:p>
    <w:p w14:paraId="7F39ED4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4.3</w:t>
      </w:r>
      <w:r>
        <w:rPr>
          <w:rFonts w:hint="eastAsia" w:asciiTheme="minorEastAsia" w:hAnsiTheme="minorEastAsia" w:eastAsiaTheme="minorEastAsia" w:cstheme="minorEastAsia"/>
          <w:color w:val="auto"/>
          <w:spacing w:val="0"/>
          <w:position w:val="0"/>
          <w:sz w:val="24"/>
          <w:szCs w:val="24"/>
          <w:highlight w:val="none"/>
        </w:rPr>
        <w:t>.1采购</w:t>
      </w:r>
      <w:r>
        <w:rPr>
          <w:rFonts w:hint="eastAsia" w:asciiTheme="minorEastAsia" w:hAnsiTheme="minorEastAsia" w:eastAsiaTheme="minorEastAsia" w:cstheme="minorEastAsia"/>
          <w:color w:val="auto"/>
          <w:spacing w:val="0"/>
          <w:kern w:val="0"/>
          <w:position w:val="0"/>
          <w:sz w:val="24"/>
          <w:szCs w:val="24"/>
          <w:highlight w:val="none"/>
        </w:rPr>
        <w:t>单位将拒绝并原封退回在规定的响应文件递交截止期后送达的任何响应文件。由于对网上招标操作不熟悉或自身电脑、网络的原因导致不能在响应文件递交截止时间之前上传响应文件，</w:t>
      </w:r>
      <w:r>
        <w:rPr>
          <w:rFonts w:hint="eastAsia" w:asciiTheme="minorEastAsia" w:hAnsiTheme="minorEastAsia" w:eastAsiaTheme="minorEastAsia" w:cstheme="minorEastAsia"/>
          <w:color w:val="auto"/>
          <w:spacing w:val="0"/>
          <w:kern w:val="0"/>
          <w:position w:val="0"/>
          <w:sz w:val="24"/>
          <w:szCs w:val="24"/>
          <w:highlight w:val="none"/>
          <w:lang w:eastAsia="zh-CN"/>
        </w:rPr>
        <w:t>采购人</w:t>
      </w:r>
      <w:r>
        <w:rPr>
          <w:rFonts w:hint="eastAsia" w:asciiTheme="minorEastAsia" w:hAnsiTheme="minorEastAsia" w:eastAsiaTheme="minorEastAsia" w:cstheme="minorEastAsia"/>
          <w:color w:val="auto"/>
          <w:spacing w:val="0"/>
          <w:kern w:val="0"/>
          <w:position w:val="0"/>
          <w:sz w:val="24"/>
          <w:szCs w:val="24"/>
          <w:highlight w:val="none"/>
        </w:rPr>
        <w:t>不负任何责任。</w:t>
      </w:r>
    </w:p>
    <w:p w14:paraId="5E59914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4.4响应文件的修改和撤回</w:t>
      </w:r>
    </w:p>
    <w:p w14:paraId="679FB20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3CB88449">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30" w:name="_Toc293738995"/>
      <w:bookmarkStart w:id="31" w:name="_Toc293736057"/>
      <w:bookmarkStart w:id="32" w:name="_Toc446599314"/>
      <w:bookmarkStart w:id="33" w:name="_Toc293736014"/>
      <w:bookmarkStart w:id="34" w:name="_Toc9220"/>
      <w:bookmarkStart w:id="35" w:name="_Toc5449"/>
      <w:r>
        <w:rPr>
          <w:rFonts w:hint="eastAsia" w:asciiTheme="minorEastAsia" w:hAnsiTheme="minorEastAsia" w:eastAsiaTheme="minorEastAsia" w:cstheme="minorEastAsia"/>
          <w:color w:val="auto"/>
          <w:spacing w:val="0"/>
          <w:position w:val="0"/>
          <w:highlight w:val="none"/>
        </w:rPr>
        <w:t>五、</w:t>
      </w:r>
      <w:bookmarkEnd w:id="30"/>
      <w:bookmarkEnd w:id="31"/>
      <w:bookmarkEnd w:id="32"/>
      <w:bookmarkEnd w:id="33"/>
      <w:r>
        <w:rPr>
          <w:rFonts w:hint="eastAsia" w:asciiTheme="minorEastAsia" w:hAnsiTheme="minorEastAsia" w:eastAsiaTheme="minorEastAsia" w:cstheme="minorEastAsia"/>
          <w:color w:val="auto"/>
          <w:spacing w:val="0"/>
          <w:position w:val="0"/>
          <w:highlight w:val="none"/>
        </w:rPr>
        <w:t>竞争性磋商程序</w:t>
      </w:r>
      <w:bookmarkEnd w:id="34"/>
      <w:bookmarkEnd w:id="35"/>
    </w:p>
    <w:p w14:paraId="2B3CCC41">
      <w:pPr>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5</w:t>
      </w:r>
      <w:r>
        <w:rPr>
          <w:rFonts w:hint="eastAsia" w:asciiTheme="minorEastAsia" w:hAnsiTheme="minorEastAsia" w:eastAsiaTheme="minorEastAsia" w:cstheme="minorEastAsia"/>
          <w:b/>
          <w:color w:val="auto"/>
          <w:spacing w:val="0"/>
          <w:kern w:val="0"/>
          <w:position w:val="0"/>
          <w:sz w:val="24"/>
          <w:szCs w:val="24"/>
          <w:highlight w:val="none"/>
        </w:rPr>
        <w:t>.</w:t>
      </w:r>
      <w:r>
        <w:rPr>
          <w:rFonts w:hint="eastAsia" w:asciiTheme="minorEastAsia" w:hAnsiTheme="minorEastAsia" w:eastAsiaTheme="minorEastAsia" w:cstheme="minorEastAsia"/>
          <w:b/>
          <w:color w:val="auto"/>
          <w:spacing w:val="0"/>
          <w:position w:val="0"/>
          <w:sz w:val="24"/>
          <w:szCs w:val="24"/>
          <w:highlight w:val="none"/>
        </w:rPr>
        <w:t>1磋商小组的组成</w:t>
      </w:r>
    </w:p>
    <w:p w14:paraId="5C1E5C68">
      <w:pPr>
        <w:pStyle w:val="12"/>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Theme="minorEastAsia" w:hAnsiTheme="minorEastAsia" w:eastAsiaTheme="minorEastAsia" w:cstheme="minorEastAsia"/>
          <w:color w:val="auto"/>
          <w:spacing w:val="0"/>
          <w:kern w:val="0"/>
          <w:position w:val="0"/>
          <w:sz w:val="24"/>
          <w:szCs w:val="24"/>
          <w:highlight w:val="none"/>
        </w:rPr>
        <w:fldChar w:fldCharType="begin"/>
      </w:r>
      <w:r>
        <w:rPr>
          <w:rFonts w:hint="eastAsia" w:asciiTheme="minorEastAsia" w:hAnsiTheme="minorEastAsia" w:eastAsiaTheme="minorEastAsia" w:cstheme="minorEastAsia"/>
          <w:color w:val="auto"/>
          <w:spacing w:val="0"/>
          <w:kern w:val="0"/>
          <w:position w:val="0"/>
          <w:sz w:val="24"/>
          <w:szCs w:val="24"/>
          <w:highlight w:val="none"/>
        </w:rPr>
        <w:instrText xml:space="preserve"> HYPERLINK "file:///C:\\WordForm\\e944b4b1-01b6-4e42-b170-f783fcf7903a.doc" \l "_评标委员会" </w:instrText>
      </w:r>
      <w:r>
        <w:rPr>
          <w:rFonts w:hint="eastAsia" w:asciiTheme="minorEastAsia" w:hAnsiTheme="minorEastAsia" w:eastAsiaTheme="minorEastAsia" w:cstheme="minorEastAsia"/>
          <w:color w:val="auto"/>
          <w:spacing w:val="0"/>
          <w:kern w:val="0"/>
          <w:position w:val="0"/>
          <w:sz w:val="24"/>
          <w:szCs w:val="24"/>
          <w:highlight w:val="none"/>
        </w:rPr>
        <w:fldChar w:fldCharType="separate"/>
      </w:r>
      <w:r>
        <w:rPr>
          <w:rFonts w:hint="eastAsia" w:asciiTheme="minorEastAsia" w:hAnsiTheme="minorEastAsia" w:eastAsiaTheme="minorEastAsia" w:cstheme="minorEastAsia"/>
          <w:color w:val="auto"/>
          <w:spacing w:val="0"/>
          <w:kern w:val="0"/>
          <w:position w:val="0"/>
          <w:sz w:val="24"/>
          <w:szCs w:val="24"/>
          <w:highlight w:val="none"/>
        </w:rPr>
        <w:t>供应商须知前附表</w:t>
      </w:r>
      <w:r>
        <w:rPr>
          <w:rFonts w:hint="eastAsia" w:asciiTheme="minorEastAsia" w:hAnsiTheme="minorEastAsia" w:eastAsiaTheme="minorEastAsia" w:cstheme="minorEastAsia"/>
          <w:color w:val="auto"/>
          <w:spacing w:val="0"/>
          <w:kern w:val="0"/>
          <w:position w:val="0"/>
          <w:sz w:val="24"/>
          <w:szCs w:val="24"/>
          <w:highlight w:val="none"/>
        </w:rPr>
        <w:fldChar w:fldCharType="end"/>
      </w:r>
      <w:r>
        <w:rPr>
          <w:rFonts w:hint="eastAsia" w:asciiTheme="minorEastAsia" w:hAnsiTheme="minorEastAsia" w:eastAsiaTheme="minorEastAsia" w:cstheme="minorEastAsia"/>
          <w:color w:val="auto"/>
          <w:spacing w:val="0"/>
          <w:kern w:val="0"/>
          <w:position w:val="0"/>
          <w:sz w:val="24"/>
          <w:szCs w:val="24"/>
          <w:highlight w:val="none"/>
        </w:rPr>
        <w:t>。</w:t>
      </w:r>
    </w:p>
    <w:p w14:paraId="21FE7ED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5.2磋商方法</w:t>
      </w:r>
    </w:p>
    <w:p w14:paraId="7588ECA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5.2.1磋商小组将按照磋商文件确定的评审方法进行评审。磋商小组对响应文件的评审分为响应文件初审、澄清有关问题、比较与评价响应文件、推荐中标候选人名单。</w:t>
      </w:r>
    </w:p>
    <w:p w14:paraId="0F6342F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5.2.1项目评审方法详见磋商文件“第四章 评审方法。</w:t>
      </w:r>
    </w:p>
    <w:p w14:paraId="77F324F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5.3响应文件的初审</w:t>
      </w:r>
    </w:p>
    <w:p w14:paraId="05E098C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初审分为资格性检查和符合性检查。</w:t>
      </w:r>
    </w:p>
    <w:p w14:paraId="78FEC2A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5.3.1资格性检查</w:t>
      </w:r>
    </w:p>
    <w:p w14:paraId="114E75F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4"/>
          <w:szCs w:val="24"/>
          <w:highlight w:val="none"/>
        </w:rPr>
        <w:t>（1）资格性检查指依据法律、法规和磋商文件的规定，</w:t>
      </w:r>
      <w:r>
        <w:rPr>
          <w:rFonts w:hint="eastAsia" w:asciiTheme="minorEastAsia" w:hAnsiTheme="minorEastAsia" w:eastAsiaTheme="minorEastAsia" w:cstheme="minorEastAsia"/>
          <w:color w:val="auto"/>
          <w:spacing w:val="0"/>
          <w:kern w:val="0"/>
          <w:position w:val="0"/>
          <w:sz w:val="24"/>
          <w:szCs w:val="24"/>
          <w:highlight w:val="none"/>
          <w:lang w:eastAsia="zh-CN"/>
        </w:rPr>
        <w:t>由</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采购人或者采购代理机构</w:t>
      </w:r>
      <w:r>
        <w:rPr>
          <w:rFonts w:hint="eastAsia" w:asciiTheme="minorEastAsia" w:hAnsiTheme="minorEastAsia" w:eastAsiaTheme="minorEastAsia" w:cstheme="minorEastAsia"/>
          <w:color w:val="auto"/>
          <w:spacing w:val="0"/>
          <w:kern w:val="0"/>
          <w:position w:val="0"/>
          <w:sz w:val="24"/>
          <w:szCs w:val="24"/>
          <w:highlight w:val="none"/>
        </w:rPr>
        <w:t>对响应文件资格证明、磋商保证金等进行审查，以确定供应商是否具备报价资格。</w:t>
      </w:r>
      <w:r>
        <w:rPr>
          <w:rFonts w:hint="eastAsia" w:asciiTheme="minorEastAsia" w:hAnsiTheme="minorEastAsia" w:eastAsiaTheme="minorEastAsia" w:cstheme="minorEastAsia"/>
          <w:color w:val="auto"/>
          <w:spacing w:val="0"/>
          <w:kern w:val="0"/>
          <w:position w:val="0"/>
          <w:sz w:val="24"/>
          <w:szCs w:val="24"/>
          <w:highlight w:val="none"/>
          <w:lang w:eastAsia="zh-CN"/>
        </w:rPr>
        <w:t>见下表：</w:t>
      </w:r>
    </w:p>
    <w:p w14:paraId="5E9B7E1D">
      <w:pPr>
        <w:pageBreakBefore w:val="0"/>
        <w:kinsoku/>
        <w:overflowPunct/>
        <w:topLinePunct w:val="0"/>
        <w:bidi w:val="0"/>
        <w:spacing w:line="360" w:lineRule="auto"/>
        <w:ind w:firstLine="495"/>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资格性检查表</w:t>
      </w:r>
    </w:p>
    <w:tbl>
      <w:tblPr>
        <w:tblStyle w:val="34"/>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240"/>
        <w:gridCol w:w="5760"/>
      </w:tblGrid>
      <w:tr w14:paraId="6FF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66D3AF3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EC6E4EE">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评审因素</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387B45C">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评审标准</w:t>
            </w:r>
          </w:p>
        </w:tc>
      </w:tr>
      <w:tr w14:paraId="5936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restart"/>
            <w:tcBorders>
              <w:left w:val="single" w:color="auto" w:sz="4" w:space="0"/>
              <w:right w:val="single" w:color="auto" w:sz="4" w:space="0"/>
            </w:tcBorders>
            <w:noWrap w:val="0"/>
            <w:vAlign w:val="center"/>
          </w:tcPr>
          <w:p w14:paraId="45C2DCF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5.3.1</w:t>
            </w:r>
          </w:p>
        </w:tc>
        <w:tc>
          <w:tcPr>
            <w:tcW w:w="3240" w:type="dxa"/>
            <w:vMerge w:val="restart"/>
            <w:tcBorders>
              <w:top w:val="single" w:color="auto" w:sz="4" w:space="0"/>
              <w:left w:val="single" w:color="auto" w:sz="4" w:space="0"/>
              <w:right w:val="single" w:color="auto" w:sz="4" w:space="0"/>
            </w:tcBorders>
            <w:noWrap w:val="0"/>
            <w:vAlign w:val="center"/>
          </w:tcPr>
          <w:p w14:paraId="30CB8AF7">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中华人民共和国政府采购法第二十二条规定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862949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具有独立承担民事责任的能力</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0D0A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111B620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1A260A50">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9D7C24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具有良好的商业信誉和健全的财务会计制度</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68E3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443CE9D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67A09E38">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85EFB6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具有履行合同所必须的设备和专业技术能力，</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4990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5875B79E">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1E8B2D3A">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2B95F9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有依法缴纳税收和社会保障金的良好记录，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6251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23C3FEF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bottom w:val="single" w:color="auto" w:sz="4" w:space="0"/>
              <w:right w:val="single" w:color="auto" w:sz="4" w:space="0"/>
            </w:tcBorders>
            <w:noWrap w:val="0"/>
            <w:vAlign w:val="center"/>
          </w:tcPr>
          <w:p w14:paraId="339321D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61CED9D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参加政府采购活动近3年内，在经营活动中没有重大违法记录，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11B5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09" w:type="dxa"/>
            <w:vMerge w:val="continue"/>
            <w:tcBorders>
              <w:left w:val="single" w:color="auto" w:sz="4" w:space="0"/>
              <w:right w:val="single" w:color="auto" w:sz="4" w:space="0"/>
            </w:tcBorders>
            <w:noWrap w:val="0"/>
            <w:vAlign w:val="center"/>
          </w:tcPr>
          <w:p w14:paraId="03558AA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right w:val="single" w:color="auto" w:sz="4" w:space="0"/>
            </w:tcBorders>
            <w:noWrap w:val="0"/>
            <w:vAlign w:val="center"/>
          </w:tcPr>
          <w:p w14:paraId="143E7A7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磋商保证金</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53650C4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bCs/>
                <w:color w:val="auto"/>
                <w:spacing w:val="0"/>
                <w:position w:val="0"/>
                <w:sz w:val="24"/>
                <w:szCs w:val="24"/>
                <w:highlight w:val="none"/>
              </w:rPr>
              <w:t>符合本</w:t>
            </w:r>
            <w:r>
              <w:rPr>
                <w:rFonts w:hint="eastAsia" w:asciiTheme="minorEastAsia" w:hAnsiTheme="minorEastAsia" w:eastAsiaTheme="minorEastAsia" w:cstheme="minorEastAsia"/>
                <w:b w:val="0"/>
                <w:bCs/>
                <w:color w:val="auto"/>
                <w:spacing w:val="0"/>
                <w:position w:val="0"/>
                <w:sz w:val="24"/>
                <w:szCs w:val="24"/>
                <w:highlight w:val="none"/>
                <w:lang w:eastAsia="zh-CN"/>
              </w:rPr>
              <w:t>磋商文件</w:t>
            </w:r>
            <w:r>
              <w:rPr>
                <w:rFonts w:hint="eastAsia" w:asciiTheme="minorEastAsia" w:hAnsiTheme="minorEastAsia" w:eastAsiaTheme="minorEastAsia" w:cstheme="minorEastAsia"/>
                <w:b w:val="0"/>
                <w:bCs/>
                <w:color w:val="auto"/>
                <w:spacing w:val="0"/>
                <w:position w:val="0"/>
                <w:sz w:val="24"/>
                <w:szCs w:val="24"/>
                <w:highlight w:val="none"/>
              </w:rPr>
              <w:t>关于</w:t>
            </w:r>
            <w:r>
              <w:rPr>
                <w:rFonts w:hint="eastAsia" w:asciiTheme="minorEastAsia" w:hAnsiTheme="minorEastAsia" w:eastAsiaTheme="minorEastAsia" w:cstheme="minorEastAsia"/>
                <w:b w:val="0"/>
                <w:bCs/>
                <w:color w:val="auto"/>
                <w:spacing w:val="0"/>
                <w:position w:val="0"/>
                <w:sz w:val="24"/>
                <w:szCs w:val="24"/>
                <w:highlight w:val="none"/>
                <w:lang w:eastAsia="zh-CN"/>
              </w:rPr>
              <w:t>磋商保证金</w:t>
            </w:r>
            <w:r>
              <w:rPr>
                <w:rFonts w:hint="eastAsia" w:asciiTheme="minorEastAsia" w:hAnsiTheme="minorEastAsia" w:eastAsiaTheme="minorEastAsia" w:cstheme="minorEastAsia"/>
                <w:b w:val="0"/>
                <w:bCs/>
                <w:color w:val="auto"/>
                <w:spacing w:val="0"/>
                <w:position w:val="0"/>
                <w:sz w:val="24"/>
                <w:szCs w:val="24"/>
                <w:highlight w:val="none"/>
              </w:rPr>
              <w:t>的</w:t>
            </w:r>
            <w:r>
              <w:rPr>
                <w:rFonts w:hint="eastAsia" w:asciiTheme="minorEastAsia" w:hAnsiTheme="minorEastAsia" w:eastAsiaTheme="minorEastAsia" w:cstheme="minorEastAsia"/>
                <w:b w:val="0"/>
                <w:bCs/>
                <w:color w:val="auto"/>
                <w:spacing w:val="0"/>
                <w:position w:val="0"/>
                <w:sz w:val="24"/>
                <w:szCs w:val="24"/>
                <w:highlight w:val="none"/>
                <w:lang w:val="zh-CN"/>
              </w:rPr>
              <w:t>规定</w:t>
            </w:r>
          </w:p>
        </w:tc>
      </w:tr>
      <w:tr w14:paraId="7FCC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09" w:type="dxa"/>
            <w:vMerge w:val="continue"/>
            <w:tcBorders>
              <w:left w:val="single" w:color="auto" w:sz="4" w:space="0"/>
              <w:right w:val="single" w:color="auto" w:sz="4" w:space="0"/>
            </w:tcBorders>
            <w:noWrap w:val="0"/>
            <w:vAlign w:val="center"/>
          </w:tcPr>
          <w:p w14:paraId="1CB4F9E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bottom w:val="single" w:color="auto" w:sz="4" w:space="0"/>
              <w:right w:val="single" w:color="auto" w:sz="4" w:space="0"/>
            </w:tcBorders>
            <w:shd w:val="clear" w:color="auto" w:fill="auto"/>
            <w:noWrap w:val="0"/>
            <w:vAlign w:val="center"/>
          </w:tcPr>
          <w:p w14:paraId="598D994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供应商应为小微企业（标项五、六）</w:t>
            </w:r>
          </w:p>
        </w:tc>
        <w:tc>
          <w:tcPr>
            <w:tcW w:w="5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A1E5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b w:val="0"/>
                <w:bCs/>
                <w:color w:val="auto"/>
                <w:spacing w:val="0"/>
                <w:kern w:val="2"/>
                <w:positio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请根据要求单独上传《中小企业声明函》。格式以采购文件要求为准。</w:t>
            </w:r>
          </w:p>
        </w:tc>
      </w:tr>
    </w:tbl>
    <w:p w14:paraId="13F4485E">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w:t>
      </w:r>
      <w:r>
        <w:rPr>
          <w:rFonts w:hint="eastAsia" w:asciiTheme="minorEastAsia" w:hAnsiTheme="minorEastAsia" w:eastAsiaTheme="minorEastAsia" w:cstheme="minorEastAsia"/>
          <w:color w:val="auto"/>
          <w:spacing w:val="0"/>
          <w:kern w:val="0"/>
          <w:position w:val="0"/>
          <w:sz w:val="24"/>
          <w:szCs w:val="24"/>
          <w:highlight w:val="none"/>
          <w:lang w:val="en-US" w:eastAsia="zh-CN"/>
        </w:rPr>
        <w:t>2</w:t>
      </w:r>
      <w:r>
        <w:rPr>
          <w:rFonts w:hint="eastAsia" w:asciiTheme="minorEastAsia" w:hAnsiTheme="minorEastAsia" w:eastAsiaTheme="minorEastAsia" w:cstheme="minorEastAsia"/>
          <w:color w:val="auto"/>
          <w:spacing w:val="0"/>
          <w:kern w:val="0"/>
          <w:position w:val="0"/>
          <w:sz w:val="24"/>
          <w:szCs w:val="24"/>
          <w:highlight w:val="none"/>
        </w:rPr>
        <w:t>）通过全部资格性检查条件合格的供应商才能通过资格检查，其响应文件方可进入下一个检查阶段。</w:t>
      </w:r>
    </w:p>
    <w:p w14:paraId="50975CA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5.3.2符合性检查</w:t>
      </w:r>
    </w:p>
    <w:p w14:paraId="4FD14D28">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磋商小组根据评审办法前附表规定的评审因素和评审标准，对供应商的响应文件进行符合性检查。符合性检查不合格的供应商的响应文件作无效文件处理。</w:t>
      </w:r>
    </w:p>
    <w:p w14:paraId="710CFAD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 xml:space="preserve">5.4违法违规行为 </w:t>
      </w:r>
    </w:p>
    <w:p w14:paraId="177DB975">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5.4.1在评审过程中，磋商小组发现供应商有下列情形之一的，作无效文件处理：</w:t>
      </w:r>
    </w:p>
    <w:p w14:paraId="0311ACF3">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（1）属于同一集团、协会、商会等组织成员的供应商按照该组织要求协同投标；</w:t>
      </w:r>
    </w:p>
    <w:p w14:paraId="7852B4B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（2）不同供应商的响应文件由同一单位或者个人编制；</w:t>
      </w:r>
    </w:p>
    <w:p w14:paraId="746A5620">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（3）不同供应商委托同一单位或者个人办理投标事宜；</w:t>
      </w:r>
    </w:p>
    <w:p w14:paraId="3DE2FB6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（4）不同供应商的响应文件载明的项目管理成员为同一人；</w:t>
      </w:r>
    </w:p>
    <w:p w14:paraId="195CC98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（5）不同供应商的响应文件异常一致或者投标报价呈规律性差异；</w:t>
      </w:r>
    </w:p>
    <w:p w14:paraId="2AB92CDF">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（6）不同供应商的响应文件相互混装；</w:t>
      </w:r>
    </w:p>
    <w:p w14:paraId="3E8CB94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（7）不同供应商的</w:t>
      </w:r>
      <w:r>
        <w:rPr>
          <w:rFonts w:hint="eastAsia" w:asciiTheme="minorEastAsia" w:hAnsiTheme="minorEastAsia" w:eastAsiaTheme="minorEastAsia" w:cstheme="minorEastAsia"/>
          <w:color w:val="auto"/>
          <w:spacing w:val="0"/>
          <w:kern w:val="0"/>
          <w:position w:val="0"/>
          <w:sz w:val="24"/>
          <w:szCs w:val="24"/>
          <w:highlight w:val="none"/>
          <w:lang w:eastAsia="zh-CN"/>
        </w:rPr>
        <w:t>磋商保证金</w:t>
      </w:r>
      <w:r>
        <w:rPr>
          <w:rFonts w:hint="eastAsia" w:asciiTheme="minorEastAsia" w:hAnsiTheme="minorEastAsia" w:eastAsiaTheme="minorEastAsia" w:cstheme="minorEastAsia"/>
          <w:color w:val="auto"/>
          <w:spacing w:val="0"/>
          <w:kern w:val="0"/>
          <w:position w:val="0"/>
          <w:sz w:val="24"/>
          <w:szCs w:val="24"/>
          <w:highlight w:val="none"/>
        </w:rPr>
        <w:t>从同一单位或者个人的账户转出；</w:t>
      </w:r>
    </w:p>
    <w:p w14:paraId="29774BC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（8）使用伪造、变造的行政许可证件；</w:t>
      </w:r>
    </w:p>
    <w:p w14:paraId="628729F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（9）提供虚假的财务状况或者业绩；</w:t>
      </w:r>
    </w:p>
    <w:p w14:paraId="38F8223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（10）提供虚假的项目负责人或者主要技术人员简历、劳动关系证明；</w:t>
      </w:r>
    </w:p>
    <w:p w14:paraId="35C73438">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（11）提供虚假的信用状况；</w:t>
      </w:r>
    </w:p>
    <w:p w14:paraId="781B810E">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（12）其他弄虚作假的行为。</w:t>
      </w:r>
    </w:p>
    <w:p w14:paraId="1B0FC96C">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 磋商小组审查响应文件是否完整、有无计算上的错误等。</w:t>
      </w:r>
    </w:p>
    <w:p w14:paraId="03D155FD">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5.5.1 响应文件的修正及澄清</w:t>
      </w:r>
    </w:p>
    <w:p w14:paraId="53F3780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（1）磋商小组对确定为实质上响应磋商文件要求的响应文件进行校核，看其是否有计算或表达上的错误，算术错误将按以下方法更正：</w:t>
      </w:r>
    </w:p>
    <w:p w14:paraId="2538C47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029935F0">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02A7B17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5.5.3实质上没有响应磋商文件要求的响应文件将被视为无效文件。供应商不得通过修正或撤销不合要求的偏离从而使其成为实质上响应的文件。</w:t>
      </w:r>
    </w:p>
    <w:p w14:paraId="64CE8C79">
      <w:pPr>
        <w:pStyle w:val="21"/>
        <w:keepNext w:val="0"/>
        <w:keepLines w:val="0"/>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54AEC9FD">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5.5.5供应商的澄清文件是其响应文件</w:t>
      </w:r>
      <w:r>
        <w:rPr>
          <w:rFonts w:hint="eastAsia" w:asciiTheme="minorEastAsia" w:hAnsiTheme="minorEastAsia" w:eastAsiaTheme="minorEastAsia" w:cstheme="minorEastAsia"/>
          <w:color w:val="auto"/>
          <w:spacing w:val="0"/>
          <w:position w:val="0"/>
          <w:sz w:val="24"/>
          <w:szCs w:val="24"/>
          <w:highlight w:val="none"/>
        </w:rPr>
        <w:t>的组成部分。</w:t>
      </w:r>
    </w:p>
    <w:p w14:paraId="5E38348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5.6磋商</w:t>
      </w:r>
    </w:p>
    <w:p w14:paraId="1C6352F5">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5.6.1磋商小组所有成员应当集中与单一供应商分别进行磋商，并给予所有参加磋商的供应商平等的磋商机会。</w:t>
      </w:r>
    </w:p>
    <w:p w14:paraId="24E1F219">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5.6.2在磋商过程中，磋商小组可以根据磋商文件和磋商情况实质性变动采购需求中的技术、服务要求以及合同草案条款，但不得变动磋商文件中的其他内容。实质性变动的内容，须经采购人代表确认。</w:t>
      </w:r>
    </w:p>
    <w:p w14:paraId="0C3C2399">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5.6.3对磋商文件作出的实质性变动是磋商文件的有效组成部分，磋商小组应当及时以书面形式同时通知所有参加磋商的供应商。</w:t>
      </w:r>
    </w:p>
    <w:p w14:paraId="24889847">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94A128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5.6.5磋商文件能够详细列明采购标的的技术、服务要求的，磋商结束后，磋商小组应当要求所有实质性响应的供应商在规定时间内提交最后报价，提交最后报价的供应商不得少于2家。</w:t>
      </w:r>
    </w:p>
    <w:p w14:paraId="3E21B5A7">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FC962F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5.6.7已提交响应文件的供应商，在提交最后报价之前，可以根据磋商情况退出磋商。其磋商保证金将予以退还。</w:t>
      </w:r>
    </w:p>
    <w:p w14:paraId="015C99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5.6.8最后报价是供应商响应文件的有效组成部分。符合本办法第三条第四项情形的，提交最后报价的供应商可以为2家。</w:t>
      </w:r>
    </w:p>
    <w:p w14:paraId="7D1EBF92">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5.6.9经磋商确定最终采购需求和提交最后报价的供应商后，由磋商小组采用综合评分法对提交最后报价的供应商的响应文件和最后报价进行综合评分。</w:t>
      </w:r>
    </w:p>
    <w:p w14:paraId="480F0340">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5.6.10采购结果确认</w:t>
      </w:r>
    </w:p>
    <w:p w14:paraId="5E8B3E07">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1BD85172">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5.7.公示或公告</w:t>
      </w:r>
    </w:p>
    <w:p w14:paraId="49FE8A8D">
      <w:pPr>
        <w:keepNext w:val="0"/>
        <w:keepLines w:val="0"/>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5.7.1成交供应商确定后，采购代理机构将在政府采购监管部门指定的媒体上发布成交公告，同时向成交供应商发出《成交通知书》。《成交通知书》是合同的组成部分,对成交供应商和采购人具有同等法律效力。</w:t>
      </w:r>
    </w:p>
    <w:p w14:paraId="7BC09BC3">
      <w:pPr>
        <w:pStyle w:val="4"/>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bookmarkStart w:id="36" w:name="_Toc293736058"/>
      <w:bookmarkStart w:id="37" w:name="_Toc446599315"/>
      <w:bookmarkStart w:id="38" w:name="_Toc8053"/>
      <w:bookmarkStart w:id="39" w:name="_Toc10373"/>
      <w:bookmarkStart w:id="40" w:name="_Toc293738996"/>
      <w:bookmarkStart w:id="41" w:name="_Toc293736015"/>
      <w:r>
        <w:rPr>
          <w:rFonts w:hint="eastAsia" w:asciiTheme="minorEastAsia" w:hAnsiTheme="minorEastAsia" w:eastAsiaTheme="minorEastAsia" w:cstheme="minorEastAsia"/>
          <w:color w:val="auto"/>
          <w:spacing w:val="0"/>
          <w:position w:val="0"/>
          <w:highlight w:val="none"/>
        </w:rPr>
        <w:t>六、 授予合同</w:t>
      </w:r>
      <w:bookmarkEnd w:id="36"/>
      <w:bookmarkEnd w:id="37"/>
      <w:bookmarkEnd w:id="38"/>
      <w:bookmarkEnd w:id="39"/>
      <w:bookmarkEnd w:id="40"/>
      <w:bookmarkEnd w:id="41"/>
    </w:p>
    <w:p w14:paraId="2260076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 签订合同</w:t>
      </w:r>
    </w:p>
    <w:p w14:paraId="795B0C9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6.1.1采购人应在成交通知书发出后30日内，根据成交结果和磋商文件、响应文件及有关补遗文件和确认谈判备忘录拟定的合同文本与成采购人签订合同。</w:t>
      </w:r>
    </w:p>
    <w:p w14:paraId="0DD1CD9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6.1.2采购人应按磋商文件要求和中标人的响应文件承诺订立书面合同，不得超出磋商文件和中标人响应文件的范围，也不得再另行订立背离合同实质性内容的其他协议。</w:t>
      </w:r>
    </w:p>
    <w:p w14:paraId="262AEDD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6.1.3采购人应在《成交通知书》发出之日起30天内与中标人签订政府采购合同。签订政府采购合同后7个工作日内，采购人应将政府采购合同副本报政府采购监管部门和政府采购代理机构备案。</w:t>
      </w:r>
    </w:p>
    <w:p w14:paraId="3BBAC812">
      <w:pPr>
        <w:pStyle w:val="4"/>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pPr>
      <w:bookmarkStart w:id="42" w:name="_Toc293736016"/>
      <w:bookmarkStart w:id="43" w:name="_Toc293736059"/>
      <w:bookmarkStart w:id="44" w:name="_Toc293738997"/>
      <w:bookmarkStart w:id="45" w:name="_Toc446599316"/>
      <w:bookmarkStart w:id="46" w:name="_Toc14775"/>
      <w:bookmarkStart w:id="47" w:name="_Toc7141"/>
      <w:r>
        <w:rPr>
          <w:rFonts w:hint="eastAsia" w:asciiTheme="minorEastAsia" w:hAnsiTheme="minorEastAsia" w:eastAsiaTheme="minorEastAsia" w:cstheme="minorEastAsia"/>
          <w:color w:val="auto"/>
          <w:spacing w:val="0"/>
          <w:position w:val="0"/>
          <w:highlight w:val="none"/>
        </w:rPr>
        <w:t>七、质疑</w:t>
      </w:r>
      <w:bookmarkEnd w:id="42"/>
      <w:bookmarkEnd w:id="43"/>
      <w:bookmarkEnd w:id="44"/>
      <w:bookmarkEnd w:id="45"/>
      <w:r>
        <w:rPr>
          <w:rFonts w:hint="eastAsia" w:asciiTheme="minorEastAsia" w:hAnsiTheme="minorEastAsia" w:eastAsiaTheme="minorEastAsia" w:cstheme="minorEastAsia"/>
          <w:color w:val="auto"/>
          <w:spacing w:val="0"/>
          <w:position w:val="0"/>
          <w:highlight w:val="none"/>
        </w:rPr>
        <w:t>和投诉</w:t>
      </w:r>
      <w:bookmarkEnd w:id="46"/>
      <w:bookmarkEnd w:id="47"/>
    </w:p>
    <w:p w14:paraId="4492958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48" w:name="_Toc446599317"/>
      <w:bookmarkStart w:id="49" w:name="_Toc293736017"/>
      <w:bookmarkStart w:id="50" w:name="_Toc294515577"/>
      <w:bookmarkStart w:id="51" w:name="_Toc293738998"/>
      <w:bookmarkStart w:id="52" w:name="_Toc293736060"/>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7.1质疑</w:t>
      </w:r>
    </w:p>
    <w:p w14:paraId="4FE0D68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7.1.1供应商提出质疑应当符合以下条件：</w:t>
      </w:r>
    </w:p>
    <w:p w14:paraId="5022791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如果供应商对此次采购活动有疑问，可依据《政府采购法》等相关规定，在规定的时间内以书面形式向采购人或代理机构提出质疑。质疑书应当包括下列主要内容：</w:t>
      </w:r>
    </w:p>
    <w:p w14:paraId="3162A9A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（1）质疑人的名称、地址、电话等；</w:t>
      </w:r>
    </w:p>
    <w:p w14:paraId="6AFD5D0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（2）质疑人法人签章和单位公章；</w:t>
      </w:r>
    </w:p>
    <w:p w14:paraId="34D125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（3）具体的质疑事项及事实依据；</w:t>
      </w:r>
    </w:p>
    <w:p w14:paraId="6B6D0C3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（4）明确的请求和必要（合法来源）的证明材料；</w:t>
      </w:r>
    </w:p>
    <w:p w14:paraId="24B2CB0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（5）以联合体形式参与资格预审的，则必须联合体各方共同签署、盖章；</w:t>
      </w:r>
    </w:p>
    <w:p w14:paraId="777A9FC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（6）提起质疑的日期。</w:t>
      </w:r>
    </w:p>
    <w:p w14:paraId="0BC5827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特注：未按上述程序规定的必备内容进行质疑的，采购人或代理机构将不予以受理。</w:t>
      </w:r>
    </w:p>
    <w:p w14:paraId="608EAA8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248D5DD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3DB2239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7.1.4被质疑人应当在受理质疑后7个工作日内作出答复，并以书面形式通知质疑人和其他有关供应商，答复内容仅限于供应商所质疑的内容，不得涉及国家秘密和商业秘密。</w:t>
      </w:r>
    </w:p>
    <w:p w14:paraId="45ED6DD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53" w:name="_Toc456336161"/>
      <w:bookmarkStart w:id="54" w:name="_Toc450546725"/>
      <w:bookmarkStart w:id="55" w:name="_Toc483174929"/>
      <w:bookmarkStart w:id="56" w:name="_Toc9365"/>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7.2投诉</w:t>
      </w:r>
      <w:bookmarkEnd w:id="53"/>
      <w:bookmarkEnd w:id="54"/>
      <w:bookmarkEnd w:id="55"/>
      <w:bookmarkEnd w:id="56"/>
    </w:p>
    <w:p w14:paraId="54272DA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058F9F2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7.2.2投诉人提起投诉应符合以下条件：</w:t>
      </w:r>
    </w:p>
    <w:p w14:paraId="2061DA1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(1)投诉人应是参与项目的供应商；</w:t>
      </w:r>
    </w:p>
    <w:p w14:paraId="1BC9944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(2)投诉前已依法进行质疑；</w:t>
      </w:r>
    </w:p>
    <w:p w14:paraId="33E0215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(3)投诉书内容符合中华人民共和国财政部94号令《政府采购质疑和投诉办法》的规定；</w:t>
      </w:r>
    </w:p>
    <w:p w14:paraId="373B4AC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(4)在投诉有效期内；</w:t>
      </w:r>
    </w:p>
    <w:p w14:paraId="3BDFEEC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(5)同一投诉事项未经处理的；</w:t>
      </w:r>
    </w:p>
    <w:p w14:paraId="73E445C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GB" w:eastAsia="zh-CN" w:bidi="ar-SA"/>
        </w:rPr>
        <w:t>(6)</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相关法律、法规和省级以上人民政府财政部门规定的其他条件。</w:t>
      </w:r>
    </w:p>
    <w:p w14:paraId="3189772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7.2.3供应商投诉时，应当当面提交投诉书，投诉书应当包括下列主要内容：</w:t>
      </w:r>
    </w:p>
    <w:p w14:paraId="28B49EF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(1)投诉人的姓名或者名称、住所、联系方式及相关证明；</w:t>
      </w:r>
    </w:p>
    <w:p w14:paraId="2E1E367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(2)被投诉人的名称、住所、联系方式；</w:t>
      </w:r>
    </w:p>
    <w:p w14:paraId="1A55604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(3)具体的投诉事项、事实根据和法律依据；</w:t>
      </w:r>
    </w:p>
    <w:p w14:paraId="4A3F078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(4)质疑和质疑答复情况及相关证明材料；</w:t>
      </w:r>
    </w:p>
    <w:p w14:paraId="2F6B5A6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(5)提起投诉的日期。</w:t>
      </w:r>
    </w:p>
    <w:p w14:paraId="2E64B92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投诉人为自然人的，应当由本人签字。投诉人为法人的，应当由其法定代表人签字并加盖单位公章。投诉人为其他组织的，应当由其主要负责人签字盖章并加盖单位公章。</w:t>
      </w:r>
    </w:p>
    <w:p w14:paraId="0B0518E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5CB20E7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7.2.5投诉人不符合上述规定提起的投诉，政府采购监督部门不予受理。</w:t>
      </w:r>
    </w:p>
    <w:p w14:paraId="6E30FDAD">
      <w:pPr>
        <w:pStyle w:val="4"/>
        <w:pageBreakBefore w:val="0"/>
        <w:kinsoku/>
        <w:overflowPunct/>
        <w:topLinePunct w:val="0"/>
        <w:bidi w:val="0"/>
        <w:rPr>
          <w:rFonts w:hint="eastAsia" w:asciiTheme="minorEastAsia" w:hAnsiTheme="minorEastAsia" w:eastAsiaTheme="minorEastAsia" w:cstheme="minorEastAsia"/>
          <w:color w:val="auto"/>
          <w:spacing w:val="0"/>
          <w:kern w:val="0"/>
          <w:position w:val="0"/>
          <w:highlight w:val="none"/>
        </w:rPr>
      </w:pPr>
      <w:bookmarkStart w:id="57" w:name="_Toc3182"/>
      <w:bookmarkStart w:id="58" w:name="_Toc6957"/>
      <w:r>
        <w:rPr>
          <w:rFonts w:hint="eastAsia" w:asciiTheme="minorEastAsia" w:hAnsiTheme="minorEastAsia" w:eastAsiaTheme="minorEastAsia" w:cstheme="minorEastAsia"/>
          <w:color w:val="auto"/>
          <w:spacing w:val="0"/>
          <w:position w:val="0"/>
          <w:highlight w:val="none"/>
        </w:rPr>
        <w:t>八、项目验收</w:t>
      </w:r>
      <w:bookmarkEnd w:id="48"/>
      <w:bookmarkEnd w:id="49"/>
      <w:bookmarkEnd w:id="50"/>
      <w:bookmarkEnd w:id="51"/>
      <w:bookmarkEnd w:id="52"/>
      <w:bookmarkEnd w:id="57"/>
      <w:bookmarkEnd w:id="58"/>
    </w:p>
    <w:p w14:paraId="2919D33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2BE712D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8.2验收标准:磋商文件、响应文件、政府采购合同规定的标准。</w:t>
      </w:r>
    </w:p>
    <w:p w14:paraId="19371BA1">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59" w:name="_Toc6671"/>
      <w:bookmarkStart w:id="60" w:name="_Toc293736018"/>
      <w:bookmarkStart w:id="61" w:name="_Toc446599318"/>
      <w:bookmarkStart w:id="62" w:name="_Toc293736061"/>
      <w:bookmarkStart w:id="63" w:name="_Toc293738999"/>
      <w:bookmarkStart w:id="64" w:name="_Toc12093"/>
      <w:r>
        <w:rPr>
          <w:rFonts w:hint="eastAsia" w:asciiTheme="minorEastAsia" w:hAnsiTheme="minorEastAsia" w:eastAsiaTheme="minorEastAsia" w:cstheme="minorEastAsia"/>
          <w:color w:val="auto"/>
          <w:spacing w:val="0"/>
          <w:position w:val="0"/>
          <w:highlight w:val="none"/>
        </w:rPr>
        <w:t>九、适用法律</w:t>
      </w:r>
      <w:bookmarkEnd w:id="59"/>
      <w:bookmarkEnd w:id="60"/>
      <w:bookmarkEnd w:id="61"/>
      <w:bookmarkEnd w:id="62"/>
      <w:bookmarkEnd w:id="63"/>
      <w:bookmarkEnd w:id="64"/>
    </w:p>
    <w:p w14:paraId="2C84DEA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9.1招标采购单位和供应商的一切招标投标活动均适用于《政府采购法》、《政府采购实施条例》、《政府采购竞争性磋商采购方式管理办法》等相关规定。</w:t>
      </w:r>
    </w:p>
    <w:p w14:paraId="13E83B02">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5" w:name="_Toc278891599"/>
      <w:bookmarkStart w:id="66" w:name="_Toc446599319"/>
      <w:bookmarkStart w:id="67" w:name="_Toc272247702"/>
      <w:bookmarkStart w:id="68" w:name="_Toc21968"/>
      <w:bookmarkStart w:id="69" w:name="_Toc437611460"/>
      <w:bookmarkStart w:id="70" w:name="_Toc11847"/>
      <w:r>
        <w:rPr>
          <w:rFonts w:hint="eastAsia" w:asciiTheme="minorEastAsia" w:hAnsiTheme="minorEastAsia" w:eastAsiaTheme="minorEastAsia" w:cstheme="minorEastAsia"/>
          <w:color w:val="auto"/>
          <w:spacing w:val="0"/>
          <w:position w:val="0"/>
          <w:highlight w:val="none"/>
        </w:rPr>
        <w:t>十、磋商文件的解释权</w:t>
      </w:r>
      <w:bookmarkEnd w:id="65"/>
      <w:bookmarkEnd w:id="66"/>
      <w:bookmarkEnd w:id="67"/>
      <w:bookmarkEnd w:id="68"/>
      <w:bookmarkEnd w:id="69"/>
      <w:bookmarkEnd w:id="70"/>
    </w:p>
    <w:p w14:paraId="0CF270D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10.1本项目磋商文件的最终解释权为采购单位所有。</w:t>
      </w:r>
    </w:p>
    <w:p w14:paraId="18A88470">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71" w:name="_Toc446599320"/>
      <w:bookmarkStart w:id="72" w:name="_Toc437611461"/>
      <w:bookmarkStart w:id="73" w:name="_Toc21207"/>
      <w:bookmarkStart w:id="74" w:name="_Toc27818"/>
      <w:r>
        <w:rPr>
          <w:rFonts w:hint="eastAsia" w:asciiTheme="minorEastAsia" w:hAnsiTheme="minorEastAsia" w:eastAsiaTheme="minorEastAsia" w:cstheme="minorEastAsia"/>
          <w:color w:val="auto"/>
          <w:spacing w:val="0"/>
          <w:position w:val="0"/>
          <w:highlight w:val="none"/>
        </w:rPr>
        <w:t>十一、其他注意事项</w:t>
      </w:r>
      <w:bookmarkEnd w:id="71"/>
      <w:bookmarkEnd w:id="72"/>
      <w:bookmarkEnd w:id="73"/>
      <w:bookmarkEnd w:id="74"/>
    </w:p>
    <w:p w14:paraId="75D7121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11.1单位负责人为同一人或者存在直接控股、管理关系的不同供应商，不得参加同一合同项下的政府采购活动。</w:t>
      </w:r>
    </w:p>
    <w:p w14:paraId="4231330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11.2供应商为采购项目提供整体设计、规范编制或者项目管理、监理、检测等服务的供应商，不得再参加该采购项目的其他采购活动。</w:t>
      </w:r>
    </w:p>
    <w:p w14:paraId="2B661E9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11.3政府采购法第二十二条第一款第五项所称重大违法记录，是指供应商因违法经营受到刑事处罚或者责令停产停业、吊销许可证或者执照、较大数额罚款等行政处罚。</w:t>
      </w:r>
    </w:p>
    <w:p w14:paraId="5E53ED6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07E4756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11.5供应商在参加政府采购活动前3年内因违法经营被禁止在一定期限内参加政府采购活动，期限届满的，可以参加政府采购活动。</w:t>
      </w:r>
    </w:p>
    <w:p w14:paraId="49CEF6B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sectPr>
          <w:pgSz w:w="11906" w:h="16838"/>
          <w:pgMar w:top="1440" w:right="1797" w:bottom="1440" w:left="1797" w:header="851" w:footer="992" w:gutter="0"/>
          <w:pgNumType w:fmt="decimal"/>
          <w:cols w:space="425" w:num="1"/>
          <w:docGrid w:linePitch="312" w:charSpace="0"/>
        </w:sectPr>
      </w:pPr>
    </w:p>
    <w:p w14:paraId="4D438922">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75" w:name="_Toc293736062"/>
      <w:bookmarkStart w:id="76" w:name="_Toc293736019"/>
      <w:bookmarkStart w:id="77" w:name="_Toc293739000"/>
      <w:bookmarkStart w:id="78" w:name="_Toc30568"/>
      <w:bookmarkStart w:id="79" w:name="_Toc28752"/>
      <w:bookmarkStart w:id="80" w:name="_Toc446599321"/>
      <w:bookmarkStart w:id="81" w:name="_Toc446599322"/>
      <w:bookmarkStart w:id="82" w:name="_Toc293736063"/>
      <w:bookmarkStart w:id="83" w:name="_Toc293736020"/>
      <w:bookmarkStart w:id="84" w:name="_Toc293739001"/>
      <w:r>
        <w:rPr>
          <w:rFonts w:hint="eastAsia" w:asciiTheme="minorEastAsia" w:hAnsiTheme="minorEastAsia" w:eastAsiaTheme="minorEastAsia" w:cstheme="minorEastAsia"/>
          <w:color w:val="auto"/>
          <w:spacing w:val="0"/>
          <w:position w:val="0"/>
          <w:highlight w:val="none"/>
        </w:rPr>
        <w:t>采购</w:t>
      </w:r>
      <w:bookmarkEnd w:id="75"/>
      <w:bookmarkEnd w:id="76"/>
      <w:bookmarkEnd w:id="77"/>
      <w:bookmarkStart w:id="85" w:name="_Toc294515580"/>
      <w:r>
        <w:rPr>
          <w:rFonts w:hint="eastAsia" w:asciiTheme="minorEastAsia" w:hAnsiTheme="minorEastAsia" w:eastAsiaTheme="minorEastAsia" w:cstheme="minorEastAsia"/>
          <w:color w:val="auto"/>
          <w:spacing w:val="0"/>
          <w:position w:val="0"/>
          <w:highlight w:val="none"/>
        </w:rPr>
        <w:t>需求</w:t>
      </w:r>
      <w:bookmarkEnd w:id="78"/>
      <w:bookmarkEnd w:id="79"/>
      <w:bookmarkEnd w:id="80"/>
    </w:p>
    <w:bookmarkEnd w:id="85"/>
    <w:p w14:paraId="6F540074">
      <w:pPr>
        <w:keepNext w:val="0"/>
        <w:keepLines w:val="0"/>
        <w:pageBreakBefore w:val="0"/>
        <w:widowControl w:val="0"/>
        <w:numPr>
          <w:ilvl w:val="0"/>
          <w:numId w:val="0"/>
        </w:numPr>
        <w:kinsoku/>
        <w:wordWrap/>
        <w:overflowPunct/>
        <w:topLinePunct w:val="0"/>
        <w:bidi w:val="0"/>
        <w:adjustRightInd/>
        <w:snapToGrid/>
        <w:spacing w:line="360" w:lineRule="auto"/>
        <w:ind w:firstLine="723" w:firstLineChars="300"/>
        <w:jc w:val="left"/>
        <w:textAlignment w:val="auto"/>
        <w:rPr>
          <w:rFonts w:hint="default" w:ascii="宋体" w:hAnsi="宋体" w:cs="宋体"/>
          <w:b/>
          <w:bCs/>
          <w:color w:val="auto"/>
          <w:sz w:val="24"/>
          <w:szCs w:val="24"/>
          <w:highlight w:val="none"/>
          <w:lang w:val="en-US" w:eastAsia="zh-CN"/>
        </w:rPr>
      </w:pPr>
      <w:bookmarkStart w:id="86" w:name="_Toc10724"/>
      <w:r>
        <w:rPr>
          <w:rFonts w:hint="eastAsia" w:ascii="宋体" w:hAnsi="宋体" w:cs="宋体"/>
          <w:b/>
          <w:bCs/>
          <w:color w:val="auto"/>
          <w:sz w:val="24"/>
          <w:szCs w:val="24"/>
          <w:highlight w:val="none"/>
          <w:lang w:val="en-US" w:eastAsia="zh-CN"/>
        </w:rPr>
        <w:t>一、项目概况</w:t>
      </w:r>
    </w:p>
    <w:p w14:paraId="3DB20AD1">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val="en-US" w:eastAsia="zh-CN"/>
        </w:rPr>
        <w:t>项目名称：新疆维吾尔自治区建设职工教育培训中心编制新疆住房和城乡建设系统基层干部培训教材项目</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预算金额：312000.00元</w:t>
      </w:r>
    </w:p>
    <w:p w14:paraId="34E24251">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（二）标项名称：</w:t>
      </w:r>
    </w:p>
    <w:p w14:paraId="3D2572AC">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标项一：新疆维吾尔自治区建设职工教育培训中心编制住房和城乡建设系统基层干部培训教材《城市体检与城市更新--推动新疆城市高质量发展的路径》  </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3C3E3964">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标项二：新疆维吾尔自治区建设职工教育培训中心编制住房和城乡建设系统基层干部培训教材《新疆城乡建设绿色低碳发展 --“双碳”目标实现》</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3DD0E33B">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标项三：新疆维吾尔自治区建设职工教育培训中心编制新疆住房和城乡建设系统基层干部培训教材《新疆绿色建筑》</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076ABE07">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标项四：新疆维吾尔自治区建设职工教育培训中心编制住房和城乡建设系统基层干部培训教材《新疆历史文化遗产--名城名镇名村的保护》</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78DB6738">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标项五：新疆维吾尔自治区建设职工教育培训中心编制住房和城乡建设系统基层干部培训教材《工程建设标准化管理》</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38462B6F">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标项六：新疆维吾尔自治区建设职工教育培训中心编制住房和城乡建设系统基层干部培训教材《建筑施工安全生产管理》</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56CC5328">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en-US" w:eastAsia="zh-CN"/>
        </w:rPr>
        <w:t>服务期限</w:t>
      </w:r>
      <w:r>
        <w:rPr>
          <w:rFonts w:hint="eastAsia" w:ascii="宋体" w:hAnsi="宋体" w:cs="宋体"/>
          <w:b w:val="0"/>
          <w:bCs w:val="0"/>
          <w:color w:val="auto"/>
          <w:sz w:val="24"/>
          <w:szCs w:val="24"/>
          <w:highlight w:val="none"/>
          <w:lang w:val="en-US" w:eastAsia="zh-CN"/>
        </w:rPr>
        <w:t>：合同签订之日起至项目成果文件审核交付为止。</w:t>
      </w:r>
    </w:p>
    <w:p w14:paraId="5F743648">
      <w:pPr>
        <w:spacing w:line="360" w:lineRule="auto"/>
        <w:ind w:firstLine="723" w:firstLineChars="3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服务内容：</w:t>
      </w:r>
    </w:p>
    <w:p w14:paraId="1897381A">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为贯彻党中央关于碳达峰碳中和的重大决策，落实《国务院办公厅关于促进建筑业持续健康发展的意见》(国办发(2017)19 号)、《国务院办公厅转发住房城乡建设部关于完善质量保障体系提升建筑工程品质指导意见的通知》(国办函(2019〕92号)等文件要求，推动我区建筑业高质量发展，我厅以住建部发布的“致力于绿色发展的城乡建设”系列教材为依托，组织行业。专家结合我区实际，编写适用于培训我区住房和城乡建设系统基层干部培训教材。</w:t>
      </w:r>
    </w:p>
    <w:p w14:paraId="3F6E6DD8">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 xml:space="preserve">总体要求    </w:t>
      </w:r>
    </w:p>
    <w:p w14:paraId="2DDA1756">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坚持以习近平新时代中国特色社会主义思想为指导，深入贯彻党的二十大精神，认真贯彻落实习近平总书记关于新时代人才工作的新理念新战略新举措和全国人才工作会议精神，深入贯彻落实自治区党委、人民政府决策部署，认真落实自治区人才工作会议精神，推进自治区住建行业治理体系和治理能力现代化，培养高素质专业化住建行业人才队伍，促进新疆住房城乡建设事业高质量发展。</w:t>
      </w:r>
    </w:p>
    <w:p w14:paraId="3470D1FB">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主要任务</w:t>
      </w:r>
    </w:p>
    <w:p w14:paraId="53C78951">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bookmarkStart w:id="87" w:name="OLE_LINK1"/>
      <w:r>
        <w:rPr>
          <w:rFonts w:hint="eastAsia" w:ascii="宋体" w:hAnsi="宋体" w:eastAsia="宋体" w:cs="宋体"/>
          <w:b w:val="0"/>
          <w:bCs w:val="0"/>
          <w:color w:val="auto"/>
          <w:kern w:val="2"/>
          <w:sz w:val="24"/>
          <w:szCs w:val="24"/>
          <w:highlight w:val="none"/>
          <w:lang w:val="en-US" w:eastAsia="zh-CN" w:bidi="ar-SA"/>
        </w:rPr>
        <w:t>按照厅党组工作安排，根据住建部《致力于绿色发展的城乡建设》系列教材，结合我区实际，编写我区住房和城乡建设系统基层干部培训教材。根据考察调研、征求意见，培训教材分6个专题：《城市体检与城市更新：推动新疆城市高质量发展的路径》、《工程建设标准化管理读本》、《新疆绿色建筑》、《新疆城乡建设绿色低碳发展---“双碳”目标实现》、《建筑施工安全生产管理读本》、《新疆历史文化遗产---名城名镇名村的保护》。</w:t>
      </w:r>
    </w:p>
    <w:bookmarkEnd w:id="87"/>
    <w:p w14:paraId="3BBD9635">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进度安排</w:t>
      </w:r>
    </w:p>
    <w:p w14:paraId="5C9C399B">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）工作准备和部署阶段（4月）</w:t>
      </w:r>
    </w:p>
    <w:p w14:paraId="1FEC4EAE">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bookmarkStart w:id="88" w:name="OLE_LINK4"/>
      <w:r>
        <w:rPr>
          <w:rFonts w:hint="eastAsia" w:ascii="宋体" w:hAnsi="宋体" w:eastAsia="宋体" w:cs="宋体"/>
          <w:b w:val="0"/>
          <w:bCs w:val="0"/>
          <w:color w:val="auto"/>
          <w:kern w:val="2"/>
          <w:sz w:val="24"/>
          <w:szCs w:val="24"/>
          <w:highlight w:val="none"/>
          <w:lang w:val="en-US" w:eastAsia="zh-CN" w:bidi="ar-SA"/>
        </w:rPr>
        <w:t>制定新疆住房和城乡系统基层干部培训教材编制工作方案，宣传动员，对编写工作进行分工安排。</w:t>
      </w:r>
    </w:p>
    <w:bookmarkEnd w:id="88"/>
    <w:p w14:paraId="3D6D2017">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）技术咨询和调研阶段（5月）</w:t>
      </w:r>
    </w:p>
    <w:p w14:paraId="447FEC7C">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拟定提纲，形成教材大纲、按目录收集整理资料，明确具体内容，邀请专家进行座谈，技术咨询、开展调研。</w:t>
      </w:r>
    </w:p>
    <w:p w14:paraId="25C20072">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编制和报审印发阶段（6-7月）</w:t>
      </w:r>
    </w:p>
    <w:p w14:paraId="126FFF99">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完成初稿，校对审核，提交清稿、编写委员会审阅，编写组根据反馈意见和建议，修改完善，形成试用教材，交付印刷、印发各地。</w:t>
      </w:r>
    </w:p>
    <w:p w14:paraId="53C196E1">
      <w:pPr>
        <w:pStyle w:val="33"/>
        <w:spacing w:line="360" w:lineRule="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二、技术要求</w:t>
      </w:r>
    </w:p>
    <w:p w14:paraId="1A5DA13F">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标项一：编制住房和城乡建设系统基层干部培训教材《城市体检与城市更新--推动新疆城市高质量发展的路径》</w:t>
      </w:r>
    </w:p>
    <w:p w14:paraId="0294872C">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城市体检与城市更新：推动新疆城市高质量发展的路径》。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2025年6月前完成初稿、校对审核、编写委员会审阅，编写组根据反馈意见和建议，修改完善，形成试用教材，于2025年7月交付印刷。</w:t>
      </w:r>
    </w:p>
    <w:p w14:paraId="2CCE5DF3">
      <w:pPr>
        <w:pStyle w:val="33"/>
        <w:spacing w:line="360" w:lineRule="auto"/>
        <w:rPr>
          <w:rFonts w:hint="eastAsia" w:ascii="宋体" w:hAnsi="宋体" w:eastAsia="宋体" w:cs="宋体"/>
          <w:b/>
          <w:bCs/>
          <w:color w:val="auto"/>
          <w:kern w:val="2"/>
          <w:sz w:val="24"/>
          <w:szCs w:val="24"/>
          <w:highlight w:val="none"/>
          <w:lang w:val="en-US" w:eastAsia="zh-CN" w:bidi="ar-SA"/>
        </w:rPr>
      </w:pPr>
    </w:p>
    <w:p w14:paraId="13EFDAEB">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标项二：编制住房和城乡建设系统基层干部培训教材《新疆城乡建设绿色低碳发展 --“双碳”目标实现》</w:t>
      </w:r>
    </w:p>
    <w:p w14:paraId="5DD7DBE7">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新疆城乡建设绿色低碳发展---“双碳”目标实现》,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2025年6月前完成初稿、校对审核、编写委员会审阅，编写组根据反馈意见和建议，修改完善，形成试用教材，于2025年7月交付印刷。</w:t>
      </w:r>
    </w:p>
    <w:p w14:paraId="5F4E8A92">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42307D67">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标项三：编制新疆住房和城乡建设系统基层干部培训教材《新疆绿色建筑》</w:t>
      </w:r>
    </w:p>
    <w:p w14:paraId="397D6488">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新疆绿色建筑》。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2025年6月前完成初稿、校对审核、编写委员会审阅，编写组根据反馈意见和建议，修改完善，形成试用教材，于2025年7月交付印刷。</w:t>
      </w:r>
    </w:p>
    <w:p w14:paraId="55BD2CC9">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69AF0E07">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标项四：编制住房和城乡建设系统基层干部培训教材《新疆历史文化遗产--名城名镇名村的保护》</w:t>
      </w:r>
    </w:p>
    <w:p w14:paraId="56A64A86">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新疆历史文化遗产---名城名镇名村的保护》。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w:t>
      </w:r>
    </w:p>
    <w:p w14:paraId="0C887552">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530C9C21">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标项五：编制住房和城乡建设系统基层干部培训教材《工程建设标准化管理》</w:t>
      </w:r>
    </w:p>
    <w:p w14:paraId="45324487">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工程建设标准化管理读本》,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2025年6月前完成初稿、校对审核、编写委员会审阅，编写组根据反馈意见和建议，修改完善，形成试用教材，于2025年7月交付印刷。</w:t>
      </w:r>
    </w:p>
    <w:p w14:paraId="39A55E60">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78014AF9">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标项六：编制住房和城乡建设系统基层干部培训教材《建筑施工安全生产管理》</w:t>
      </w:r>
    </w:p>
    <w:p w14:paraId="1AFAD5B5">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spacing w:val="0"/>
          <w:position w:val="0"/>
          <w:highlight w:val="none"/>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建筑施工安全生产管理读本》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2025年6月前完成初稿、校对审核、编写委员会审阅，编写组根据反馈意见和建议，修改完善，形成试用教材，于2025年7月交付印刷。</w:t>
      </w:r>
      <w:r>
        <w:rPr>
          <w:rFonts w:hint="eastAsia" w:ascii="宋体" w:hAnsi="宋体" w:eastAsia="宋体" w:cs="宋体"/>
          <w:color w:val="auto"/>
          <w:spacing w:val="0"/>
          <w:position w:val="0"/>
          <w:sz w:val="24"/>
          <w:szCs w:val="24"/>
          <w:highlight w:val="none"/>
        </w:rPr>
        <w:br w:type="page"/>
      </w:r>
      <w:bookmarkStart w:id="89" w:name="_Toc23596"/>
    </w:p>
    <w:p w14:paraId="6C8BC191">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评审方法</w:t>
      </w:r>
      <w:bookmarkEnd w:id="81"/>
      <w:bookmarkEnd w:id="82"/>
      <w:bookmarkEnd w:id="83"/>
      <w:bookmarkEnd w:id="84"/>
      <w:bookmarkEnd w:id="86"/>
      <w:bookmarkEnd w:id="89"/>
    </w:p>
    <w:p w14:paraId="1827422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pacing w:val="0"/>
          <w:position w:val="0"/>
          <w:sz w:val="24"/>
          <w:szCs w:val="24"/>
          <w:highlight w:val="none"/>
        </w:rPr>
      </w:pPr>
      <w:bookmarkStart w:id="90" w:name="_Toc446599330"/>
      <w:bookmarkStart w:id="91" w:name="_Toc293736067"/>
      <w:bookmarkStart w:id="92" w:name="_Toc293736024"/>
      <w:bookmarkStart w:id="93" w:name="_Toc293739005"/>
      <w:r>
        <w:rPr>
          <w:rFonts w:hint="eastAsia" w:asciiTheme="minorEastAsia" w:hAnsiTheme="minorEastAsia" w:eastAsiaTheme="minorEastAsia" w:cstheme="minorEastAsia"/>
          <w:b/>
          <w:color w:val="auto"/>
          <w:spacing w:val="0"/>
          <w:position w:val="0"/>
          <w:sz w:val="24"/>
          <w:szCs w:val="24"/>
          <w:highlight w:val="none"/>
          <w:lang w:val="en-US" w:eastAsia="zh-CN"/>
        </w:rPr>
        <w:t>一、</w:t>
      </w:r>
      <w:r>
        <w:rPr>
          <w:rFonts w:hint="eastAsia" w:asciiTheme="minorEastAsia" w:hAnsiTheme="minorEastAsia" w:eastAsiaTheme="minorEastAsia" w:cstheme="minorEastAsia"/>
          <w:b/>
          <w:color w:val="auto"/>
          <w:spacing w:val="0"/>
          <w:position w:val="0"/>
          <w:sz w:val="24"/>
          <w:szCs w:val="24"/>
          <w:highlight w:val="none"/>
        </w:rPr>
        <w:t>综合评分</w:t>
      </w:r>
    </w:p>
    <w:p w14:paraId="07899F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经磋商确定最终采购需求和提交最后报价的供应商后，由磋商小组采用综合评分法对提交最后报价的供应商的响应文件和最后报价进行综合评分。</w:t>
      </w:r>
    </w:p>
    <w:p w14:paraId="0E9173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综合评分法，是指响应文件满足磋商文件全部实质性要求且按评审因素的量化指标评审得分最高的供应商为成交候选供应商的评审方法。</w:t>
      </w:r>
    </w:p>
    <w:p w14:paraId="227EB2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评审时，磋商小组各成员应当独立对每个有效响应的文件进行评价、打分，然后汇总每个供应商每项评分因素的得分。</w:t>
      </w:r>
    </w:p>
    <w:p w14:paraId="69D928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4981C7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二</w:t>
      </w:r>
      <w:r>
        <w:rPr>
          <w:rFonts w:hint="eastAsia" w:asciiTheme="minorEastAsia" w:hAnsiTheme="minorEastAsia" w:eastAsiaTheme="minorEastAsia" w:cstheme="minorEastAsia"/>
          <w:b/>
          <w:bCs/>
          <w:color w:val="auto"/>
          <w:spacing w:val="0"/>
          <w:position w:val="0"/>
          <w:sz w:val="24"/>
          <w:szCs w:val="24"/>
          <w:highlight w:val="none"/>
          <w:lang w:eastAsia="zh-CN"/>
        </w:rPr>
        <w:t>.</w:t>
      </w:r>
      <w:r>
        <w:rPr>
          <w:rFonts w:hint="eastAsia" w:asciiTheme="minorEastAsia" w:hAnsiTheme="minorEastAsia" w:eastAsiaTheme="minorEastAsia" w:cstheme="minorEastAsia"/>
          <w:b/>
          <w:bCs/>
          <w:color w:val="auto"/>
          <w:spacing w:val="0"/>
          <w:position w:val="0"/>
          <w:sz w:val="24"/>
          <w:szCs w:val="24"/>
          <w:highlight w:val="none"/>
        </w:rPr>
        <w:t>综合评分</w:t>
      </w:r>
      <w:r>
        <w:rPr>
          <w:rFonts w:hint="eastAsia" w:asciiTheme="minorEastAsia" w:hAnsiTheme="minorEastAsia" w:eastAsiaTheme="minorEastAsia" w:cstheme="minorEastAsia"/>
          <w:b/>
          <w:bCs/>
          <w:color w:val="auto"/>
          <w:spacing w:val="0"/>
          <w:position w:val="0"/>
          <w:sz w:val="24"/>
          <w:szCs w:val="24"/>
          <w:highlight w:val="none"/>
          <w:lang w:val="en-US" w:eastAsia="zh-CN"/>
        </w:rPr>
        <w:t>细则</w:t>
      </w:r>
      <w:r>
        <w:rPr>
          <w:rFonts w:hint="eastAsia" w:asciiTheme="minorEastAsia" w:hAnsiTheme="minorEastAsia" w:eastAsiaTheme="minorEastAsia" w:cstheme="minorEastAsia"/>
          <w:b/>
          <w:bCs/>
          <w:color w:val="auto"/>
          <w:spacing w:val="0"/>
          <w:position w:val="0"/>
          <w:sz w:val="24"/>
          <w:szCs w:val="24"/>
          <w:highlight w:val="none"/>
        </w:rPr>
        <w:t>表</w:t>
      </w:r>
    </w:p>
    <w:tbl>
      <w:tblPr>
        <w:tblStyle w:val="34"/>
        <w:tblpPr w:leftFromText="180" w:rightFromText="180" w:vertAnchor="text" w:horzAnchor="page" w:tblpX="867" w:tblpY="454"/>
        <w:tblOverlap w:val="never"/>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935"/>
        <w:gridCol w:w="587"/>
      </w:tblGrid>
      <w:tr w14:paraId="2392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trPr>
        <w:tc>
          <w:tcPr>
            <w:tcW w:w="1790" w:type="dxa"/>
            <w:gridSpan w:val="2"/>
            <w:vMerge w:val="restart"/>
            <w:vAlign w:val="center"/>
          </w:tcPr>
          <w:p w14:paraId="0EFACC4C">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tc>
        <w:tc>
          <w:tcPr>
            <w:tcW w:w="1400" w:type="dxa"/>
            <w:vMerge w:val="restart"/>
            <w:vAlign w:val="center"/>
          </w:tcPr>
          <w:p w14:paraId="463A8E8F">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评分点</w:t>
            </w:r>
          </w:p>
        </w:tc>
        <w:tc>
          <w:tcPr>
            <w:tcW w:w="5429" w:type="dxa"/>
            <w:vMerge w:val="restart"/>
            <w:vAlign w:val="center"/>
          </w:tcPr>
          <w:p w14:paraId="312966F2">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1522" w:type="dxa"/>
            <w:gridSpan w:val="2"/>
          </w:tcPr>
          <w:p w14:paraId="4A92DBBB">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评审意见</w:t>
            </w:r>
          </w:p>
        </w:tc>
      </w:tr>
      <w:tr w14:paraId="0EA0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trPr>
        <w:tc>
          <w:tcPr>
            <w:tcW w:w="1790" w:type="dxa"/>
            <w:gridSpan w:val="2"/>
            <w:vMerge w:val="continue"/>
          </w:tcPr>
          <w:p w14:paraId="585FF2CC">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1400" w:type="dxa"/>
            <w:vMerge w:val="continue"/>
            <w:vAlign w:val="center"/>
          </w:tcPr>
          <w:p w14:paraId="4E15E447">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5429" w:type="dxa"/>
            <w:vMerge w:val="continue"/>
            <w:vAlign w:val="center"/>
          </w:tcPr>
          <w:p w14:paraId="13EFC2EA">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935" w:type="dxa"/>
          </w:tcPr>
          <w:p w14:paraId="4828EEB9">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是</w:t>
            </w:r>
          </w:p>
        </w:tc>
        <w:tc>
          <w:tcPr>
            <w:tcW w:w="587" w:type="dxa"/>
          </w:tcPr>
          <w:p w14:paraId="086D5C13">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否</w:t>
            </w:r>
          </w:p>
        </w:tc>
      </w:tr>
      <w:tr w14:paraId="73A2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vAlign w:val="center"/>
          </w:tcPr>
          <w:p w14:paraId="1AD10A2E">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初步评审</w:t>
            </w:r>
          </w:p>
        </w:tc>
        <w:tc>
          <w:tcPr>
            <w:tcW w:w="898" w:type="dxa"/>
            <w:vMerge w:val="restart"/>
            <w:vAlign w:val="center"/>
          </w:tcPr>
          <w:p w14:paraId="779556E9">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符合性检查</w:t>
            </w:r>
          </w:p>
        </w:tc>
        <w:tc>
          <w:tcPr>
            <w:tcW w:w="1400" w:type="dxa"/>
            <w:vAlign w:val="center"/>
          </w:tcPr>
          <w:p w14:paraId="751A32E6">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供应商名称</w:t>
            </w:r>
          </w:p>
        </w:tc>
        <w:tc>
          <w:tcPr>
            <w:tcW w:w="5429" w:type="dxa"/>
            <w:vAlign w:val="center"/>
          </w:tcPr>
          <w:p w14:paraId="22894883">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供应商名称是否与营业执照一致</w:t>
            </w:r>
          </w:p>
        </w:tc>
        <w:tc>
          <w:tcPr>
            <w:tcW w:w="935" w:type="dxa"/>
          </w:tcPr>
          <w:p w14:paraId="06BB713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4A43426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7E26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ECA18F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082C33E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9A4EE87">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响应文件签章</w:t>
            </w:r>
          </w:p>
        </w:tc>
        <w:tc>
          <w:tcPr>
            <w:tcW w:w="5429" w:type="dxa"/>
            <w:vAlign w:val="center"/>
          </w:tcPr>
          <w:p w14:paraId="7CA84AF2">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响应文件是否按照规定在应由企业法人或法人授权代表在所有规定签字处逐一签章及加盖单位公章</w:t>
            </w:r>
          </w:p>
        </w:tc>
        <w:tc>
          <w:tcPr>
            <w:tcW w:w="935" w:type="dxa"/>
          </w:tcPr>
          <w:p w14:paraId="0A243C9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08A1157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051D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780B9328">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52002D12">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265A6095">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投标报价</w:t>
            </w:r>
          </w:p>
        </w:tc>
        <w:tc>
          <w:tcPr>
            <w:tcW w:w="5429" w:type="dxa"/>
            <w:vAlign w:val="center"/>
          </w:tcPr>
          <w:p w14:paraId="34334760">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响应文件针对同一种货物或服务出现了两个或两个以上的报价；报价超过项目/包预算或最高限价或经评标委员会认定低于成本的</w:t>
            </w:r>
          </w:p>
        </w:tc>
        <w:tc>
          <w:tcPr>
            <w:tcW w:w="935" w:type="dxa"/>
          </w:tcPr>
          <w:p w14:paraId="00EC484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05C281C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30D5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084FF65D">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C965ED1">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7D12912E">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响应文件内容</w:t>
            </w:r>
          </w:p>
        </w:tc>
        <w:tc>
          <w:tcPr>
            <w:tcW w:w="5429" w:type="dxa"/>
            <w:vAlign w:val="center"/>
          </w:tcPr>
          <w:p w14:paraId="181414CC">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响应文件按照磋商文件规定的内容填写</w:t>
            </w:r>
          </w:p>
        </w:tc>
        <w:tc>
          <w:tcPr>
            <w:tcW w:w="935" w:type="dxa"/>
          </w:tcPr>
          <w:p w14:paraId="3F4A261F">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547AF70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1C09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AAA73CA">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38AE071C">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5B15D59A">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投标有效期</w:t>
            </w:r>
          </w:p>
        </w:tc>
        <w:tc>
          <w:tcPr>
            <w:tcW w:w="5429" w:type="dxa"/>
            <w:vAlign w:val="center"/>
          </w:tcPr>
          <w:p w14:paraId="17995BF3">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投标有效期满足磋商文件要求</w:t>
            </w:r>
          </w:p>
        </w:tc>
        <w:tc>
          <w:tcPr>
            <w:tcW w:w="935" w:type="dxa"/>
          </w:tcPr>
          <w:p w14:paraId="24485997">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17C69B0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0BF2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continue"/>
          </w:tcPr>
          <w:p w14:paraId="5EDFEFD3">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0BE0DDD5">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674FBB5E">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服务期限</w:t>
            </w:r>
          </w:p>
        </w:tc>
        <w:tc>
          <w:tcPr>
            <w:tcW w:w="5429" w:type="dxa"/>
            <w:vAlign w:val="center"/>
          </w:tcPr>
          <w:p w14:paraId="548728E0">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服务期限是否满足磋商文件要求</w:t>
            </w:r>
          </w:p>
        </w:tc>
        <w:tc>
          <w:tcPr>
            <w:tcW w:w="935" w:type="dxa"/>
          </w:tcPr>
          <w:p w14:paraId="5D186DF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3DD79B99">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6F14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1F56FA52">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5D8446C9">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7E35BC54">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其他</w:t>
            </w:r>
          </w:p>
        </w:tc>
        <w:tc>
          <w:tcPr>
            <w:tcW w:w="5429" w:type="dxa"/>
            <w:vAlign w:val="center"/>
          </w:tcPr>
          <w:p w14:paraId="327D1A3C">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违反国家法律、法规和磋商文件规定的其他无效情形</w:t>
            </w:r>
          </w:p>
        </w:tc>
        <w:tc>
          <w:tcPr>
            <w:tcW w:w="935" w:type="dxa"/>
          </w:tcPr>
          <w:p w14:paraId="79D4C6C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2CF5664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2B54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trPr>
        <w:tc>
          <w:tcPr>
            <w:tcW w:w="1790" w:type="dxa"/>
            <w:gridSpan w:val="2"/>
          </w:tcPr>
          <w:p w14:paraId="0EB24FD7">
            <w:pPr>
              <w:adjustRightInd w:val="0"/>
              <w:snapToGrid w:val="0"/>
              <w:spacing w:line="440" w:lineRule="exact"/>
              <w:ind w:firstLine="590" w:firstLineChars="24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tc>
        <w:tc>
          <w:tcPr>
            <w:tcW w:w="1400" w:type="dxa"/>
            <w:vAlign w:val="center"/>
          </w:tcPr>
          <w:p w14:paraId="6FCF7D7E">
            <w:pPr>
              <w:adjustRightInd w:val="0"/>
              <w:snapToGrid w:val="0"/>
              <w:spacing w:line="440" w:lineRule="exact"/>
              <w:ind w:firstLine="602"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评分点</w:t>
            </w:r>
          </w:p>
        </w:tc>
        <w:tc>
          <w:tcPr>
            <w:tcW w:w="5429" w:type="dxa"/>
            <w:vAlign w:val="center"/>
          </w:tcPr>
          <w:p w14:paraId="1F0C9D5C">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1522" w:type="dxa"/>
            <w:gridSpan w:val="2"/>
          </w:tcPr>
          <w:p w14:paraId="0BC3A4EF">
            <w:pPr>
              <w:adjustRightInd w:val="0"/>
              <w:snapToGrid w:val="0"/>
              <w:spacing w:line="440" w:lineRule="exact"/>
              <w:ind w:firstLine="354" w:firstLineChars="14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r>
      <w:tr w14:paraId="3CB9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restart"/>
          </w:tcPr>
          <w:p w14:paraId="28D3D22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6D31699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063840B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544118C0">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5CB7457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18AE8BD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696BC0FF">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详细评审</w:t>
            </w:r>
          </w:p>
        </w:tc>
        <w:tc>
          <w:tcPr>
            <w:tcW w:w="898" w:type="dxa"/>
            <w:vAlign w:val="center"/>
          </w:tcPr>
          <w:p w14:paraId="62BC03F8">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价格评审</w:t>
            </w:r>
          </w:p>
        </w:tc>
        <w:tc>
          <w:tcPr>
            <w:tcW w:w="1400" w:type="dxa"/>
            <w:vAlign w:val="center"/>
          </w:tcPr>
          <w:p w14:paraId="2491DF7D">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tc>
        <w:tc>
          <w:tcPr>
            <w:tcW w:w="6364" w:type="dxa"/>
            <w:gridSpan w:val="2"/>
            <w:vAlign w:val="center"/>
          </w:tcPr>
          <w:p w14:paraId="7D2BD3D5">
            <w:pPr>
              <w:adjustRightInd w:val="0"/>
              <w:snapToGrid w:val="0"/>
              <w:spacing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磋商小组只对符合性检查合格的响应文件进行价格评议，报价分采用低价优先法计算，即满足磋商文件要求且最终报价最低为评审基准价，其价格分为满分。其他供应商的价格分按照下列公式计算：磋商报价得分=(磋商基准价／最后磋商报价)×</w:t>
            </w:r>
            <w:r>
              <w:rPr>
                <w:rFonts w:hint="eastAsia" w:asciiTheme="minorEastAsia" w:hAnsiTheme="minorEastAsia" w:eastAsiaTheme="minorEastAsia" w:cstheme="minorEastAsia"/>
                <w:bCs/>
                <w:color w:val="auto"/>
                <w:sz w:val="24"/>
                <w:szCs w:val="24"/>
                <w:highlight w:val="none"/>
                <w:lang w:val="en-US" w:eastAsia="zh-CN"/>
              </w:rPr>
              <w:t>20</w:t>
            </w:r>
            <w:r>
              <w:rPr>
                <w:rFonts w:hint="eastAsia" w:asciiTheme="minorEastAsia" w:hAnsiTheme="minorEastAsia" w:eastAsiaTheme="minorEastAsia" w:cstheme="minorEastAsia"/>
                <w:bCs/>
                <w:color w:val="auto"/>
                <w:sz w:val="24"/>
                <w:szCs w:val="24"/>
                <w:highlight w:val="none"/>
              </w:rPr>
              <w:t>。</w:t>
            </w:r>
          </w:p>
        </w:tc>
        <w:tc>
          <w:tcPr>
            <w:tcW w:w="587" w:type="dxa"/>
            <w:vAlign w:val="center"/>
          </w:tcPr>
          <w:p w14:paraId="13174C51">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r>
      <w:tr w14:paraId="1E25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3" w:hRule="atLeast"/>
        </w:trPr>
        <w:tc>
          <w:tcPr>
            <w:tcW w:w="892" w:type="dxa"/>
            <w:vMerge w:val="continue"/>
          </w:tcPr>
          <w:p w14:paraId="6F26864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restart"/>
            <w:vAlign w:val="center"/>
          </w:tcPr>
          <w:p w14:paraId="7483501E">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商务标评审</w:t>
            </w:r>
          </w:p>
        </w:tc>
        <w:tc>
          <w:tcPr>
            <w:tcW w:w="1400" w:type="dxa"/>
            <w:vAlign w:val="center"/>
          </w:tcPr>
          <w:p w14:paraId="7E3CA289">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近年单位承揽的业绩情况</w:t>
            </w:r>
          </w:p>
        </w:tc>
        <w:tc>
          <w:tcPr>
            <w:tcW w:w="6364" w:type="dxa"/>
            <w:gridSpan w:val="2"/>
            <w:vAlign w:val="center"/>
          </w:tcPr>
          <w:p w14:paraId="476FDBF8">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提供投标人近三年来（2022年1月至今）完成的类似项目</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文化性研究课题</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业绩，须提供证明材料，每</w:t>
            </w:r>
            <w:r>
              <w:rPr>
                <w:rFonts w:hint="eastAsia" w:asciiTheme="minorEastAsia" w:hAnsiTheme="minorEastAsia" w:eastAsiaTheme="minorEastAsia" w:cstheme="minorEastAsia"/>
                <w:bCs/>
                <w:color w:val="auto"/>
                <w:sz w:val="24"/>
                <w:szCs w:val="24"/>
                <w:highlight w:val="none"/>
                <w:lang w:val="en-US" w:eastAsia="zh-CN"/>
              </w:rPr>
              <w:t>多</w:t>
            </w:r>
            <w:r>
              <w:rPr>
                <w:rFonts w:hint="eastAsia" w:asciiTheme="minorEastAsia" w:hAnsiTheme="minorEastAsia" w:eastAsiaTheme="minorEastAsia" w:cstheme="minorEastAsia"/>
                <w:bCs/>
                <w:color w:val="auto"/>
                <w:sz w:val="24"/>
                <w:szCs w:val="24"/>
                <w:highlight w:val="none"/>
              </w:rPr>
              <w:t>提供 1 项得 2分，最多得 1</w:t>
            </w:r>
            <w:r>
              <w:rPr>
                <w:rFonts w:hint="eastAsia" w:asciiTheme="minorEastAsia" w:hAnsiTheme="minorEastAsia" w:eastAsiaTheme="minorEastAsia" w:cstheme="minorEastAsia"/>
                <w:bCs/>
                <w:color w:val="auto"/>
                <w:sz w:val="24"/>
                <w:szCs w:val="24"/>
                <w:highlight w:val="none"/>
                <w:lang w:val="en-US" w:eastAsia="zh-CN"/>
              </w:rPr>
              <w:t>0</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b/>
                <w:color w:val="auto"/>
                <w:sz w:val="24"/>
                <w:szCs w:val="24"/>
                <w:highlight w:val="none"/>
              </w:rPr>
              <w:t>注：须提供中标成交通知书或合同扫描件（合同需提供封面页和盖章页）</w:t>
            </w:r>
          </w:p>
        </w:tc>
        <w:tc>
          <w:tcPr>
            <w:tcW w:w="587" w:type="dxa"/>
            <w:vAlign w:val="center"/>
          </w:tcPr>
          <w:p w14:paraId="6296F08E">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r>
      <w:tr w14:paraId="12BA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02F51975">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2165DEA7">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0B6F333">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tc>
        <w:tc>
          <w:tcPr>
            <w:tcW w:w="6364" w:type="dxa"/>
            <w:gridSpan w:val="2"/>
            <w:vAlign w:val="center"/>
          </w:tcPr>
          <w:p w14:paraId="58FB3FA3">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拟派</w:t>
            </w:r>
            <w:r>
              <w:rPr>
                <w:rFonts w:hint="eastAsia" w:asciiTheme="minorEastAsia" w:hAnsiTheme="minorEastAsia" w:eastAsiaTheme="minorEastAsia" w:cstheme="minorEastAsia"/>
                <w:bCs/>
                <w:color w:val="auto"/>
                <w:sz w:val="24"/>
                <w:szCs w:val="24"/>
                <w:highlight w:val="none"/>
              </w:rPr>
              <w:t>项目负责人具</w:t>
            </w:r>
            <w:r>
              <w:rPr>
                <w:rFonts w:hint="eastAsia" w:asciiTheme="minorEastAsia" w:hAnsiTheme="minorEastAsia" w:eastAsiaTheme="minorEastAsia" w:cstheme="minorEastAsia"/>
                <w:color w:val="auto"/>
                <w:sz w:val="24"/>
                <w:szCs w:val="24"/>
                <w:highlight w:val="none"/>
              </w:rPr>
              <w:t>有</w:t>
            </w:r>
            <w:r>
              <w:rPr>
                <w:rFonts w:hint="eastAsia" w:asciiTheme="minorEastAsia" w:hAnsiTheme="minorEastAsia" w:eastAsiaTheme="minorEastAsia" w:cstheme="minorEastAsia"/>
                <w:color w:val="auto"/>
                <w:sz w:val="24"/>
                <w:szCs w:val="24"/>
                <w:highlight w:val="none"/>
                <w:lang w:val="en-US" w:eastAsia="zh-CN"/>
              </w:rPr>
              <w:t>副</w:t>
            </w:r>
            <w:r>
              <w:rPr>
                <w:rFonts w:hint="eastAsia" w:asciiTheme="minorEastAsia" w:hAnsiTheme="minorEastAsia" w:eastAsiaTheme="minorEastAsia" w:cstheme="minorEastAsia"/>
                <w:bCs/>
                <w:color w:val="auto"/>
                <w:sz w:val="24"/>
                <w:szCs w:val="24"/>
                <w:highlight w:val="none"/>
              </w:rPr>
              <w:t>高级职称的得2分，具有正高级职称的得</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p>
        </w:tc>
        <w:tc>
          <w:tcPr>
            <w:tcW w:w="587" w:type="dxa"/>
            <w:vAlign w:val="center"/>
          </w:tcPr>
          <w:p w14:paraId="52FACFA0">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r>
      <w:tr w14:paraId="56F9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20D9F5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6B39936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1CA31A71">
            <w:pPr>
              <w:adjustRightInd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拟投入本</w:t>
            </w:r>
          </w:p>
          <w:p w14:paraId="0F7D68C5">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项目的人员情况1</w:t>
            </w:r>
          </w:p>
        </w:tc>
        <w:tc>
          <w:tcPr>
            <w:tcW w:w="6364" w:type="dxa"/>
            <w:gridSpan w:val="2"/>
            <w:vAlign w:val="center"/>
          </w:tcPr>
          <w:p w14:paraId="04DFD7AE">
            <w:pPr>
              <w:numPr>
                <w:ilvl w:val="0"/>
                <w:numId w:val="3"/>
              </w:numPr>
              <w:adjustRightInd w:val="0"/>
              <w:snapToGrid w:val="0"/>
              <w:spacing w:line="312"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拟投入人员中有</w:t>
            </w:r>
            <w:r>
              <w:rPr>
                <w:rFonts w:hint="eastAsia" w:asciiTheme="minorEastAsia" w:hAnsiTheme="minorEastAsia" w:eastAsiaTheme="minorEastAsia" w:cstheme="minorEastAsia"/>
                <w:color w:val="auto"/>
                <w:sz w:val="24"/>
                <w:szCs w:val="24"/>
                <w:highlight w:val="none"/>
                <w:lang w:val="en-US" w:eastAsia="zh-CN"/>
              </w:rPr>
              <w:t>副</w:t>
            </w:r>
            <w:r>
              <w:rPr>
                <w:rFonts w:hint="eastAsia" w:asciiTheme="minorEastAsia" w:hAnsiTheme="minorEastAsia" w:eastAsiaTheme="minorEastAsia" w:cstheme="minorEastAsia"/>
                <w:bCs/>
                <w:color w:val="auto"/>
                <w:sz w:val="24"/>
                <w:szCs w:val="24"/>
                <w:highlight w:val="none"/>
              </w:rPr>
              <w:t>高级职称及以上的</w:t>
            </w:r>
            <w:r>
              <w:rPr>
                <w:rFonts w:asciiTheme="minorEastAsia" w:hAnsiTheme="minorEastAsia" w:eastAsiaTheme="minorEastAsia" w:cstheme="minorEastAsia"/>
                <w:bCs/>
                <w:color w:val="auto"/>
                <w:sz w:val="24"/>
                <w:szCs w:val="24"/>
                <w:highlight w:val="none"/>
              </w:rPr>
              <w:t>，每具有一名得</w:t>
            </w:r>
            <w:r>
              <w:rPr>
                <w:rFonts w:hint="eastAsia" w:asciiTheme="minorEastAsia" w:hAnsiTheme="minorEastAsia" w:eastAsiaTheme="minorEastAsia" w:cstheme="minorEastAsia"/>
                <w:bCs/>
                <w:color w:val="auto"/>
                <w:sz w:val="24"/>
                <w:szCs w:val="24"/>
                <w:highlight w:val="none"/>
              </w:rPr>
              <w:t>2</w:t>
            </w:r>
            <w:r>
              <w:rPr>
                <w:rFonts w:asciiTheme="minorEastAsia" w:hAnsiTheme="minorEastAsia" w:eastAsiaTheme="minorEastAsia" w:cstheme="minorEastAsia"/>
                <w:bCs/>
                <w:color w:val="auto"/>
                <w:sz w:val="24"/>
                <w:szCs w:val="24"/>
                <w:highlight w:val="none"/>
              </w:rPr>
              <w:t xml:space="preserve"> 分，满分</w:t>
            </w:r>
            <w:r>
              <w:rPr>
                <w:rFonts w:hint="eastAsia" w:asciiTheme="minorEastAsia" w:hAnsiTheme="minorEastAsia" w:eastAsiaTheme="minorEastAsia" w:cstheme="minorEastAsia"/>
                <w:bCs/>
                <w:color w:val="auto"/>
                <w:sz w:val="24"/>
                <w:szCs w:val="24"/>
                <w:highlight w:val="none"/>
              </w:rPr>
              <w:t>4</w:t>
            </w:r>
            <w:r>
              <w:rPr>
                <w:rFonts w:asciiTheme="minorEastAsia" w:hAnsiTheme="minorEastAsia" w:eastAsiaTheme="minorEastAsia" w:cstheme="minorEastAsia"/>
                <w:bCs/>
                <w:color w:val="auto"/>
                <w:sz w:val="24"/>
                <w:szCs w:val="24"/>
                <w:highlight w:val="none"/>
              </w:rPr>
              <w:t>分；</w:t>
            </w:r>
          </w:p>
          <w:p w14:paraId="0E635EBF">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p>
        </w:tc>
        <w:tc>
          <w:tcPr>
            <w:tcW w:w="587" w:type="dxa"/>
            <w:vAlign w:val="center"/>
          </w:tcPr>
          <w:p w14:paraId="2EE80386">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4分</w:t>
            </w:r>
          </w:p>
        </w:tc>
      </w:tr>
      <w:tr w14:paraId="18C6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5" w:hRule="atLeast"/>
        </w:trPr>
        <w:tc>
          <w:tcPr>
            <w:tcW w:w="892" w:type="dxa"/>
            <w:vMerge w:val="continue"/>
          </w:tcPr>
          <w:p w14:paraId="2542549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403F07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527FC01">
            <w:pPr>
              <w:adjustRightInd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拟投入本</w:t>
            </w:r>
          </w:p>
          <w:p w14:paraId="54093EC3">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项目的人员情况2</w:t>
            </w:r>
          </w:p>
        </w:tc>
        <w:tc>
          <w:tcPr>
            <w:tcW w:w="6364" w:type="dxa"/>
            <w:gridSpan w:val="2"/>
            <w:vAlign w:val="top"/>
          </w:tcPr>
          <w:p w14:paraId="22A82CFD">
            <w:pPr>
              <w:adjustRightInd w:val="0"/>
              <w:snapToGrid w:val="0"/>
              <w:spacing w:line="312"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color w:val="auto"/>
                <w:sz w:val="24"/>
                <w:szCs w:val="24"/>
                <w:highlight w:val="none"/>
              </w:rPr>
              <w:t>拟投入人员需</w:t>
            </w:r>
            <w:r>
              <w:rPr>
                <w:rFonts w:asciiTheme="minorEastAsia" w:hAnsiTheme="minorEastAsia" w:eastAsiaTheme="minorEastAsia" w:cstheme="minorEastAsia"/>
                <w:bCs/>
                <w:color w:val="auto"/>
                <w:sz w:val="24"/>
                <w:szCs w:val="24"/>
                <w:highlight w:val="none"/>
              </w:rPr>
              <w:t>具有相关</w:t>
            </w:r>
            <w:r>
              <w:rPr>
                <w:rFonts w:hint="eastAsia" w:asciiTheme="minorEastAsia" w:hAnsiTheme="minorEastAsia" w:eastAsiaTheme="minorEastAsia" w:cstheme="minorEastAsia"/>
                <w:bCs/>
                <w:color w:val="auto"/>
                <w:sz w:val="24"/>
                <w:szCs w:val="24"/>
                <w:highlight w:val="none"/>
              </w:rPr>
              <w:t>工作经验</w:t>
            </w:r>
            <w:r>
              <w:rPr>
                <w:rFonts w:asciiTheme="minorEastAsia" w:hAnsiTheme="minorEastAsia" w:eastAsiaTheme="minorEastAsia" w:cstheme="minorEastAsia"/>
                <w:bCs/>
                <w:color w:val="auto"/>
                <w:sz w:val="24"/>
                <w:szCs w:val="24"/>
                <w:highlight w:val="none"/>
              </w:rPr>
              <w:t>，每</w:t>
            </w:r>
            <w:r>
              <w:rPr>
                <w:rFonts w:hint="eastAsia" w:asciiTheme="minorEastAsia" w:hAnsiTheme="minorEastAsia" w:eastAsiaTheme="minorEastAsia" w:cstheme="minorEastAsia"/>
                <w:bCs/>
                <w:color w:val="auto"/>
                <w:sz w:val="24"/>
                <w:szCs w:val="24"/>
                <w:highlight w:val="none"/>
              </w:rPr>
              <w:t>提供</w:t>
            </w:r>
            <w:r>
              <w:rPr>
                <w:rFonts w:asciiTheme="minorEastAsia" w:hAnsiTheme="minorEastAsia" w:eastAsiaTheme="minorEastAsia" w:cstheme="minorEastAsia"/>
                <w:bCs/>
                <w:color w:val="auto"/>
                <w:sz w:val="24"/>
                <w:szCs w:val="24"/>
                <w:highlight w:val="none"/>
              </w:rPr>
              <w:t>一名得</w:t>
            </w:r>
            <w:r>
              <w:rPr>
                <w:rFonts w:hint="eastAsia" w:asciiTheme="minorEastAsia" w:hAnsiTheme="minorEastAsia" w:eastAsiaTheme="minorEastAsia" w:cstheme="minorEastAsia"/>
                <w:bCs/>
                <w:color w:val="auto"/>
                <w:sz w:val="24"/>
                <w:szCs w:val="24"/>
                <w:highlight w:val="none"/>
                <w:lang w:val="en-US" w:eastAsia="zh-CN"/>
              </w:rPr>
              <w:t>2</w:t>
            </w:r>
            <w:r>
              <w:rPr>
                <w:rFonts w:asciiTheme="minorEastAsia" w:hAnsiTheme="minorEastAsia" w:eastAsiaTheme="minorEastAsia" w:cstheme="minorEastAsia"/>
                <w:bCs/>
                <w:color w:val="auto"/>
                <w:sz w:val="24"/>
                <w:szCs w:val="24"/>
                <w:highlight w:val="none"/>
              </w:rPr>
              <w:t>分，满分</w:t>
            </w:r>
            <w:r>
              <w:rPr>
                <w:rFonts w:hint="eastAsia" w:asciiTheme="minorEastAsia" w:hAnsiTheme="minorEastAsia" w:eastAsiaTheme="minorEastAsia" w:cstheme="minorEastAsia"/>
                <w:bCs/>
                <w:color w:val="auto"/>
                <w:sz w:val="24"/>
                <w:szCs w:val="24"/>
                <w:highlight w:val="none"/>
                <w:lang w:val="en-US" w:eastAsia="zh-CN"/>
              </w:rPr>
              <w:t>10</w:t>
            </w:r>
            <w:r>
              <w:rPr>
                <w:rFonts w:asciiTheme="minorEastAsia" w:hAnsiTheme="minorEastAsia" w:eastAsiaTheme="minorEastAsia" w:cstheme="minorEastAsia"/>
                <w:bCs/>
                <w:color w:val="auto"/>
                <w:sz w:val="24"/>
                <w:szCs w:val="24"/>
                <w:highlight w:val="none"/>
              </w:rPr>
              <w:t>分。</w:t>
            </w:r>
          </w:p>
          <w:p w14:paraId="489D0740">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同一人员不重复计分</w:t>
            </w:r>
            <w:r>
              <w:rPr>
                <w:rFonts w:hint="eastAsia" w:asciiTheme="minorEastAsia" w:hAnsiTheme="minorEastAsia" w:eastAsiaTheme="minorEastAsia" w:cstheme="minorEastAsia"/>
                <w:b/>
                <w:color w:val="auto"/>
                <w:sz w:val="24"/>
                <w:szCs w:val="24"/>
                <w:highlight w:val="none"/>
                <w:lang w:eastAsia="zh-CN"/>
              </w:rPr>
              <w:t>）</w:t>
            </w:r>
            <w:r>
              <w:rPr>
                <w:rFonts w:asciiTheme="minorEastAsia" w:hAnsiTheme="minorEastAsia" w:eastAsiaTheme="minorEastAsia" w:cstheme="minorEastAsia"/>
                <w:b/>
                <w:color w:val="auto"/>
                <w:sz w:val="24"/>
                <w:szCs w:val="24"/>
                <w:highlight w:val="none"/>
              </w:rPr>
              <w:t>。</w:t>
            </w:r>
          </w:p>
        </w:tc>
        <w:tc>
          <w:tcPr>
            <w:tcW w:w="587" w:type="dxa"/>
            <w:vAlign w:val="center"/>
          </w:tcPr>
          <w:p w14:paraId="0C1123E9">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r>
      <w:tr w14:paraId="6972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8" w:hRule="atLeast"/>
        </w:trPr>
        <w:tc>
          <w:tcPr>
            <w:tcW w:w="892" w:type="dxa"/>
            <w:vMerge w:val="continue"/>
          </w:tcPr>
          <w:p w14:paraId="5D9167FA">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restart"/>
            <w:vAlign w:val="center"/>
          </w:tcPr>
          <w:p w14:paraId="332A0BA5">
            <w:pPr>
              <w:adjustRightInd w:val="0"/>
              <w:snapToGrid w:val="0"/>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技术标评审</w:t>
            </w:r>
          </w:p>
        </w:tc>
        <w:tc>
          <w:tcPr>
            <w:tcW w:w="1400" w:type="dxa"/>
            <w:vAlign w:val="center"/>
          </w:tcPr>
          <w:p w14:paraId="526CD205">
            <w:pPr>
              <w:adjustRightInd w:val="0"/>
              <w:snapToGrid w:val="0"/>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服务方案</w:t>
            </w:r>
          </w:p>
        </w:tc>
        <w:tc>
          <w:tcPr>
            <w:tcW w:w="6364" w:type="dxa"/>
            <w:gridSpan w:val="2"/>
            <w:vAlign w:val="center"/>
          </w:tcPr>
          <w:p w14:paraId="1F4F421A">
            <w:pPr>
              <w:widowControl/>
              <w:adjustRightInd w:val="0"/>
              <w:snapToGri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供应商提供整体服务方案，方案应包含但不限于：</w:t>
            </w:r>
          </w:p>
          <w:p w14:paraId="6C0B4E09">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项目总则（包括</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背景、适用范围、工作目标、工作原则等）；</w:t>
            </w:r>
          </w:p>
          <w:p w14:paraId="00254B41">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工作思路；</w:t>
            </w:r>
          </w:p>
          <w:p w14:paraId="6D0C83DB">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工作开展</w:t>
            </w:r>
            <w:r>
              <w:rPr>
                <w:rFonts w:hint="eastAsia" w:asciiTheme="minorEastAsia" w:hAnsiTheme="minorEastAsia" w:eastAsiaTheme="minorEastAsia" w:cstheme="minorEastAsia"/>
                <w:color w:val="auto"/>
                <w:sz w:val="24"/>
                <w:szCs w:val="24"/>
                <w:highlight w:val="none"/>
              </w:rPr>
              <w:t>方法</w:t>
            </w:r>
            <w:r>
              <w:rPr>
                <w:rFonts w:hint="eastAsia" w:asciiTheme="minorEastAsia" w:hAnsiTheme="minorEastAsia" w:eastAsiaTheme="minorEastAsia" w:cstheme="minorEastAsia"/>
                <w:color w:val="auto"/>
                <w:sz w:val="24"/>
                <w:szCs w:val="24"/>
                <w:highlight w:val="none"/>
                <w:lang w:eastAsia="zh-CN"/>
              </w:rPr>
              <w:t>；</w:t>
            </w:r>
          </w:p>
          <w:p w14:paraId="74EA3EB1">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构建指标体系</w:t>
            </w:r>
            <w:r>
              <w:rPr>
                <w:rFonts w:hint="eastAsia" w:asciiTheme="minorEastAsia" w:hAnsiTheme="minorEastAsia" w:eastAsiaTheme="minorEastAsia" w:cstheme="minorEastAsia"/>
                <w:color w:val="auto"/>
                <w:sz w:val="24"/>
                <w:szCs w:val="24"/>
                <w:highlight w:val="none"/>
                <w:lang w:eastAsia="zh-CN"/>
              </w:rPr>
              <w:t>；</w:t>
            </w:r>
          </w:p>
          <w:p w14:paraId="2BE6406C">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特征问题分析</w:t>
            </w:r>
            <w:r>
              <w:rPr>
                <w:rFonts w:hint="eastAsia" w:asciiTheme="minorEastAsia" w:hAnsiTheme="minorEastAsia" w:eastAsiaTheme="minorEastAsia" w:cstheme="minorEastAsia"/>
                <w:color w:val="auto"/>
                <w:sz w:val="24"/>
                <w:szCs w:val="24"/>
                <w:highlight w:val="none"/>
                <w:lang w:eastAsia="zh-CN"/>
              </w:rPr>
              <w:t>；</w:t>
            </w:r>
          </w:p>
          <w:p w14:paraId="1673C7A0">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绩效评价</w:t>
            </w:r>
            <w:r>
              <w:rPr>
                <w:rFonts w:hint="eastAsia" w:asciiTheme="minorEastAsia" w:hAnsiTheme="minorEastAsia" w:eastAsiaTheme="minorEastAsia" w:cstheme="minorEastAsia"/>
                <w:color w:val="auto"/>
                <w:sz w:val="24"/>
                <w:szCs w:val="24"/>
                <w:highlight w:val="none"/>
                <w:lang w:val="en-US" w:eastAsia="zh-CN"/>
              </w:rPr>
              <w:t>思路；</w:t>
            </w:r>
          </w:p>
          <w:p w14:paraId="24AE7545">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对策建议思路</w:t>
            </w:r>
            <w:r>
              <w:rPr>
                <w:rFonts w:hint="eastAsia" w:asciiTheme="minorEastAsia" w:hAnsiTheme="minorEastAsia" w:eastAsiaTheme="minorEastAsia" w:cstheme="minorEastAsia"/>
                <w:color w:val="auto"/>
                <w:sz w:val="24"/>
                <w:szCs w:val="24"/>
                <w:highlight w:val="none"/>
              </w:rPr>
              <w:t>；</w:t>
            </w:r>
          </w:p>
          <w:p w14:paraId="4A33FFCD">
            <w:pPr>
              <w:widowControl/>
              <w:numPr>
                <w:ilvl w:val="0"/>
                <w:numId w:val="4"/>
              </w:numPr>
              <w:adjustRightInd w:val="0"/>
              <w:snapToGrid w:val="0"/>
              <w:spacing w:line="312"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工作安排（包括时间计划、进度安排等）。</w:t>
            </w:r>
          </w:p>
          <w:p w14:paraId="75FE3AF6">
            <w:pPr>
              <w:widowControl/>
              <w:numPr>
                <w:ilvl w:val="0"/>
                <w:numId w:val="0"/>
              </w:numPr>
              <w:adjustRightInd w:val="0"/>
              <w:snapToGrid w:val="0"/>
              <w:spacing w:line="312" w:lineRule="auto"/>
              <w:ind w:left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0"/>
                <w:position w:val="0"/>
                <w:sz w:val="24"/>
                <w:szCs w:val="24"/>
                <w:highlight w:val="none"/>
                <w:lang w:val="en-US" w:eastAsia="zh-CN"/>
              </w:rPr>
              <w:t>每提供一项内容得4分，每小项内容存在一处缺陷的扣1分，扣完为止，未提供不得分。（缺陷是指：①</w:t>
            </w:r>
            <w:r>
              <w:rPr>
                <w:rFonts w:hint="eastAsia" w:asciiTheme="minorEastAsia" w:hAnsiTheme="minorEastAsia" w:eastAsiaTheme="minorEastAsia" w:cstheme="minorEastAsia"/>
                <w:color w:val="auto"/>
                <w:sz w:val="24"/>
                <w:szCs w:val="24"/>
                <w:highlight w:val="none"/>
                <w:lang w:val="en-US" w:eastAsia="zh-CN"/>
              </w:rPr>
              <w:t>内容不完善、②思路不清晰、③不符合实际、④缺乏应用价值、⑤与本项目采购标的无关</w:t>
            </w:r>
            <w:r>
              <w:rPr>
                <w:rFonts w:hint="eastAsia" w:asciiTheme="minorEastAsia" w:hAnsiTheme="minorEastAsia" w:eastAsiaTheme="minorEastAsia" w:cstheme="minorEastAsia"/>
                <w:color w:val="auto"/>
                <w:spacing w:val="0"/>
                <w:position w:val="0"/>
                <w:sz w:val="24"/>
                <w:szCs w:val="24"/>
                <w:highlight w:val="none"/>
                <w:lang w:val="en-US" w:eastAsia="zh-CN"/>
              </w:rPr>
              <w:t>。）</w:t>
            </w:r>
          </w:p>
        </w:tc>
        <w:tc>
          <w:tcPr>
            <w:tcW w:w="587" w:type="dxa"/>
            <w:vAlign w:val="center"/>
          </w:tcPr>
          <w:p w14:paraId="47D4B1A1">
            <w:pPr>
              <w:jc w:val="center"/>
              <w:rPr>
                <w:rFonts w:asciiTheme="minorEastAsia" w:hAnsiTheme="minorEastAsia" w:eastAsiaTheme="minorEastAsia" w:cstheme="minorEastAsia"/>
                <w:color w:val="auto"/>
                <w:sz w:val="24"/>
                <w:szCs w:val="24"/>
                <w:highlight w:val="none"/>
              </w:rPr>
            </w:pPr>
            <w:r>
              <w:rPr>
                <w:rFonts w:hint="eastAsia" w:ascii="宋体" w:hAnsi="宋体" w:cs="宋体"/>
                <w:bCs/>
                <w:color w:val="auto"/>
                <w:sz w:val="24"/>
                <w:szCs w:val="24"/>
                <w:highlight w:val="none"/>
                <w:lang w:val="en-US" w:eastAsia="zh-CN"/>
              </w:rPr>
              <w:t>32</w:t>
            </w:r>
            <w:r>
              <w:rPr>
                <w:rFonts w:hint="eastAsia" w:ascii="宋体" w:hAnsi="宋体" w:cs="宋体"/>
                <w:bCs/>
                <w:color w:val="auto"/>
                <w:sz w:val="24"/>
                <w:szCs w:val="24"/>
                <w:highlight w:val="none"/>
              </w:rPr>
              <w:t>分</w:t>
            </w:r>
          </w:p>
        </w:tc>
      </w:tr>
      <w:tr w14:paraId="401F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892" w:type="dxa"/>
            <w:vMerge w:val="continue"/>
          </w:tcPr>
          <w:p w14:paraId="30EC9EF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23CABB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61C0AAFA">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工作制度</w:t>
            </w:r>
          </w:p>
        </w:tc>
        <w:tc>
          <w:tcPr>
            <w:tcW w:w="6364" w:type="dxa"/>
            <w:gridSpan w:val="2"/>
            <w:vAlign w:val="top"/>
          </w:tcPr>
          <w:p w14:paraId="330EDFD6">
            <w:pPr>
              <w:widowControl/>
              <w:adjustRightInd w:val="0"/>
              <w:snapToGrid w:val="0"/>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投标供应商提供的工作制度内容，内容包括不限于：①团队岗位责任； ②内部监督考核制度；③文件管理制度。</w:t>
            </w:r>
          </w:p>
          <w:p w14:paraId="77B20F77">
            <w:pPr>
              <w:widowControl/>
              <w:adjustRightInd w:val="0"/>
              <w:snapToGrid w:val="0"/>
              <w:spacing w:line="312" w:lineRule="auto"/>
              <w:jc w:val="left"/>
              <w:rPr>
                <w:rFonts w:cs="宋体"/>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每提供一项内容得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分，每小项内容存在一处缺陷的扣1分，扣完为止，未提供不得分。（缺陷是指：①内容不完善、②思路不清晰、③不符合实际、④缺乏应用价值、⑤与本项目采购标的无关。）</w:t>
            </w:r>
          </w:p>
        </w:tc>
        <w:tc>
          <w:tcPr>
            <w:tcW w:w="587" w:type="dxa"/>
            <w:vAlign w:val="center"/>
          </w:tcPr>
          <w:p w14:paraId="2E98C43F">
            <w:pPr>
              <w:adjustRightInd w:val="0"/>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w:t>
            </w:r>
          </w:p>
        </w:tc>
      </w:tr>
      <w:tr w14:paraId="06ED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7A459A3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0478339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92C5BF4">
            <w:pPr>
              <w:widowControl/>
              <w:adjustRightInd w:val="0"/>
              <w:snapToGri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服务承诺</w:t>
            </w:r>
          </w:p>
        </w:tc>
        <w:tc>
          <w:tcPr>
            <w:tcW w:w="6364" w:type="dxa"/>
            <w:gridSpan w:val="2"/>
            <w:vAlign w:val="top"/>
          </w:tcPr>
          <w:p w14:paraId="048C50AD">
            <w:pPr>
              <w:widowControl/>
              <w:adjustRightInd w:val="0"/>
              <w:snapToGrid w:val="0"/>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根据供应商针对本项目需求提供承诺，内容包含但不限于：①</w:t>
            </w:r>
            <w:r>
              <w:rPr>
                <w:rFonts w:asciiTheme="minorEastAsia" w:hAnsiTheme="minorEastAsia" w:eastAsiaTheme="minorEastAsia" w:cstheme="minorEastAsia"/>
                <w:color w:val="auto"/>
                <w:sz w:val="24"/>
                <w:szCs w:val="24"/>
                <w:highlight w:val="none"/>
              </w:rPr>
              <w:t>质量承诺</w:t>
            </w:r>
            <w:r>
              <w:rPr>
                <w:rFonts w:hint="eastAsia" w:asciiTheme="minorEastAsia" w:hAnsiTheme="minorEastAsia" w:eastAsiaTheme="minorEastAsia" w:cstheme="minorEastAsia"/>
                <w:color w:val="auto"/>
                <w:sz w:val="24"/>
                <w:szCs w:val="24"/>
                <w:highlight w:val="none"/>
              </w:rPr>
              <w:t>、②工作时效承诺、③成果保障承诺、④廉洁自律承诺、⑤后续服务承诺。</w:t>
            </w:r>
          </w:p>
          <w:p w14:paraId="44678C44">
            <w:pPr>
              <w:widowControl/>
              <w:adjustRightInd w:val="0"/>
              <w:snapToGri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每提供一项内容得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分，每小项内容存在一处缺陷的扣1分，扣完为止，未提供不得分。（缺陷是指：①内容不完善、②思路不清晰、③不符合实际、④缺乏应用价值、⑤与本项目采购标的无关。）</w:t>
            </w:r>
          </w:p>
        </w:tc>
        <w:tc>
          <w:tcPr>
            <w:tcW w:w="587" w:type="dxa"/>
            <w:vAlign w:val="center"/>
          </w:tcPr>
          <w:p w14:paraId="1E74569F">
            <w:pPr>
              <w:adjustRightInd w:val="0"/>
              <w:snapToGrid w:val="0"/>
              <w:spacing w:line="440" w:lineRule="exact"/>
              <w:jc w:val="center"/>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10分</w:t>
            </w:r>
          </w:p>
        </w:tc>
      </w:tr>
      <w:tr w14:paraId="3C3E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tcPr>
          <w:p w14:paraId="41F441E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898" w:type="dxa"/>
            <w:vAlign w:val="center"/>
          </w:tcPr>
          <w:p w14:paraId="555496BC">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8351" w:type="dxa"/>
            <w:gridSpan w:val="4"/>
            <w:vAlign w:val="center"/>
          </w:tcPr>
          <w:p w14:paraId="56F54876">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100分</w:t>
            </w:r>
          </w:p>
        </w:tc>
      </w:tr>
      <w:tr w14:paraId="615E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1345493">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9249" w:type="dxa"/>
            <w:gridSpan w:val="5"/>
          </w:tcPr>
          <w:p w14:paraId="32C53CA0">
            <w:pPr>
              <w:adjustRightInd w:val="0"/>
              <w:snapToGrid w:val="0"/>
              <w:spacing w:line="44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 1、计算过程中，算术平均值保留2位小数（百分比亦取2位小数），第三位小数四舍五入。</w:t>
            </w:r>
          </w:p>
          <w:p w14:paraId="6AADD27F">
            <w:pPr>
              <w:adjustRightInd w:val="0"/>
              <w:snapToGrid w:val="0"/>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2、供应商的最终得分为：所有评委对其评分的算术平均值。</w:t>
            </w:r>
          </w:p>
        </w:tc>
      </w:tr>
    </w:tbl>
    <w:p w14:paraId="6D183C5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p>
    <w:p w14:paraId="5E86B05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三</w:t>
      </w:r>
      <w:r>
        <w:rPr>
          <w:rFonts w:hint="eastAsia" w:asciiTheme="minorEastAsia" w:hAnsiTheme="minorEastAsia" w:eastAsiaTheme="minorEastAsia" w:cstheme="minorEastAsia"/>
          <w:b/>
          <w:bCs/>
          <w:color w:val="auto"/>
          <w:spacing w:val="0"/>
          <w:position w:val="0"/>
          <w:sz w:val="24"/>
          <w:szCs w:val="24"/>
          <w:highlight w:val="none"/>
        </w:rPr>
        <w:t>.推荐成交供应商</w:t>
      </w:r>
    </w:p>
    <w:p w14:paraId="4BD1D7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7BFD746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评分计算方法解释</w:t>
      </w:r>
    </w:p>
    <w:p w14:paraId="0439BEC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（1）供应商的评审得分是指所有磋商小组成员对其评分的算术平均值。</w:t>
      </w:r>
    </w:p>
    <w:p w14:paraId="75F505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（2）计算过程中，算术平均值保留2位小数（百分比亦取2位小数），第三位小数四舍五入。</w:t>
      </w:r>
    </w:p>
    <w:p w14:paraId="1810078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四</w:t>
      </w:r>
      <w:r>
        <w:rPr>
          <w:rFonts w:hint="eastAsia" w:asciiTheme="minorEastAsia" w:hAnsiTheme="minorEastAsia" w:eastAsiaTheme="minorEastAsia" w:cstheme="minorEastAsia"/>
          <w:b/>
          <w:bCs/>
          <w:color w:val="auto"/>
          <w:spacing w:val="0"/>
          <w:position w:val="0"/>
          <w:sz w:val="24"/>
          <w:szCs w:val="24"/>
          <w:highlight w:val="none"/>
        </w:rPr>
        <w:t>.确定成交供应商</w:t>
      </w:r>
    </w:p>
    <w:p w14:paraId="4EDA509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采购代理机构应当在评审结束后2个工作日内将评审报告送采购人确认。</w:t>
      </w:r>
    </w:p>
    <w:p w14:paraId="046C22D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492708">
      <w:pPr>
        <w:pageBreakBefore w:val="0"/>
        <w:kinsoku/>
        <w:overflowPunct/>
        <w:topLinePunct w:val="0"/>
        <w:bidi w:val="0"/>
        <w:rPr>
          <w:rFonts w:hint="eastAsia" w:asciiTheme="minorEastAsia" w:hAnsiTheme="minorEastAsia" w:eastAsiaTheme="minorEastAsia" w:cstheme="minorEastAsia"/>
          <w:color w:val="auto"/>
          <w:spacing w:val="0"/>
          <w:position w:val="0"/>
          <w:sz w:val="28"/>
          <w:highlight w:val="none"/>
        </w:rPr>
      </w:pPr>
      <w:r>
        <w:rPr>
          <w:rFonts w:hint="eastAsia" w:asciiTheme="minorEastAsia" w:hAnsiTheme="minorEastAsia" w:eastAsiaTheme="minorEastAsia" w:cstheme="minorEastAsia"/>
          <w:color w:val="auto"/>
          <w:spacing w:val="0"/>
          <w:position w:val="0"/>
          <w:sz w:val="28"/>
          <w:highlight w:val="none"/>
        </w:rPr>
        <w:br w:type="page"/>
      </w:r>
    </w:p>
    <w:p w14:paraId="39062B53">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94" w:name="_Toc6170"/>
      <w:bookmarkStart w:id="95" w:name="_Toc23255"/>
      <w:r>
        <w:rPr>
          <w:rFonts w:hint="eastAsia" w:asciiTheme="minorEastAsia" w:hAnsiTheme="minorEastAsia" w:eastAsiaTheme="minorEastAsia" w:cstheme="minorEastAsia"/>
          <w:color w:val="auto"/>
          <w:spacing w:val="0"/>
          <w:position w:val="0"/>
          <w:highlight w:val="none"/>
        </w:rPr>
        <w:t>合同格式及合同条款</w:t>
      </w:r>
      <w:bookmarkEnd w:id="90"/>
      <w:bookmarkEnd w:id="91"/>
      <w:bookmarkEnd w:id="92"/>
      <w:bookmarkEnd w:id="93"/>
      <w:bookmarkEnd w:id="94"/>
      <w:bookmarkEnd w:id="95"/>
    </w:p>
    <w:p w14:paraId="7F1F4253">
      <w:pPr>
        <w:keepNext w:val="0"/>
        <w:keepLines w:val="0"/>
        <w:widowControl/>
        <w:suppressLineNumbers w:val="0"/>
        <w:jc w:val="both"/>
        <w:rPr>
          <w:rFonts w:hint="eastAsia" w:ascii="宋体" w:hAnsi="宋体" w:eastAsia="宋体" w:cs="宋体"/>
          <w:color w:val="auto"/>
          <w:kern w:val="0"/>
          <w:sz w:val="22"/>
          <w:szCs w:val="22"/>
          <w:highlight w:val="none"/>
          <w:lang w:val="en-US" w:eastAsia="zh-CN" w:bidi="ar"/>
        </w:rPr>
      </w:pPr>
      <w:bookmarkStart w:id="96" w:name="_Toc18901"/>
      <w:bookmarkStart w:id="97" w:name="_Toc257633148"/>
    </w:p>
    <w:p w14:paraId="27064A8F">
      <w:pPr>
        <w:keepNext w:val="0"/>
        <w:keepLines w:val="0"/>
        <w:widowControl/>
        <w:suppressLineNumbers w:val="0"/>
        <w:jc w:val="both"/>
        <w:rPr>
          <w:rFonts w:hint="eastAsia" w:ascii="宋体" w:hAnsi="宋体" w:eastAsia="宋体" w:cs="宋体"/>
          <w:color w:val="auto"/>
          <w:kern w:val="0"/>
          <w:sz w:val="22"/>
          <w:szCs w:val="22"/>
          <w:highlight w:val="none"/>
          <w:lang w:val="en-US" w:eastAsia="zh-CN" w:bidi="ar"/>
        </w:rPr>
      </w:pPr>
    </w:p>
    <w:p w14:paraId="253D33F7">
      <w:pPr>
        <w:keepNext w:val="0"/>
        <w:keepLines w:val="0"/>
        <w:widowControl/>
        <w:suppressLineNumbers w:val="0"/>
        <w:ind w:firstLine="1100" w:firstLineChars="500"/>
        <w:jc w:val="both"/>
        <w:rPr>
          <w:color w:val="auto"/>
          <w:sz w:val="24"/>
          <w:szCs w:val="28"/>
          <w:highlight w:val="none"/>
        </w:rPr>
      </w:pPr>
      <w:r>
        <w:rPr>
          <w:rFonts w:hint="eastAsia" w:ascii="宋体" w:hAnsi="宋体" w:eastAsia="宋体" w:cs="宋体"/>
          <w:color w:val="auto"/>
          <w:kern w:val="0"/>
          <w:sz w:val="22"/>
          <w:szCs w:val="22"/>
          <w:highlight w:val="none"/>
          <w:lang w:val="en-US" w:eastAsia="zh-CN" w:bidi="ar"/>
        </w:rPr>
        <w:t>（本合同只做参考，最终签订合同以与甲方签订合同为准）</w:t>
      </w:r>
    </w:p>
    <w:p w14:paraId="2A0DF271">
      <w:pPr>
        <w:spacing w:line="480" w:lineRule="auto"/>
        <w:jc w:val="center"/>
        <w:rPr>
          <w:rFonts w:hint="eastAsia" w:asciiTheme="minorEastAsia" w:hAnsiTheme="minorEastAsia" w:eastAsiaTheme="minorEastAsia" w:cstheme="minorEastAsia"/>
          <w:b/>
          <w:color w:val="auto"/>
          <w:sz w:val="28"/>
          <w:szCs w:val="28"/>
          <w:highlight w:val="none"/>
        </w:rPr>
      </w:pPr>
    </w:p>
    <w:p w14:paraId="0B62432D">
      <w:pPr>
        <w:spacing w:line="48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政府采购合同参考范本</w:t>
      </w:r>
    </w:p>
    <w:p w14:paraId="56F9FF3E">
      <w:pPr>
        <w:spacing w:line="48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（服务类）</w:t>
      </w:r>
    </w:p>
    <w:p w14:paraId="57C501C0">
      <w:pPr>
        <w:pStyle w:val="106"/>
        <w:ind w:firstLine="0"/>
        <w:rPr>
          <w:rFonts w:hint="eastAsia" w:asciiTheme="minorEastAsia" w:hAnsiTheme="minorEastAsia" w:eastAsiaTheme="minorEastAsia" w:cstheme="minorEastAsia"/>
          <w:color w:val="auto"/>
          <w:szCs w:val="24"/>
          <w:highlight w:val="none"/>
        </w:rPr>
      </w:pPr>
    </w:p>
    <w:p w14:paraId="4E58AF64">
      <w:pPr>
        <w:pStyle w:val="106"/>
        <w:ind w:firstLine="0"/>
        <w:rPr>
          <w:rFonts w:hint="eastAsia" w:asciiTheme="minorEastAsia" w:hAnsiTheme="minorEastAsia" w:eastAsiaTheme="minorEastAsia" w:cstheme="minorEastAsia"/>
          <w:color w:val="auto"/>
          <w:szCs w:val="24"/>
          <w:highlight w:val="none"/>
        </w:rPr>
      </w:pPr>
    </w:p>
    <w:p w14:paraId="36497EB8">
      <w:pPr>
        <w:pStyle w:val="106"/>
        <w:ind w:firstLine="0"/>
        <w:rPr>
          <w:rFonts w:hint="eastAsia" w:asciiTheme="minorEastAsia" w:hAnsiTheme="minorEastAsia" w:eastAsiaTheme="minorEastAsia" w:cstheme="minorEastAsia"/>
          <w:color w:val="auto"/>
          <w:szCs w:val="24"/>
          <w:highlight w:val="none"/>
        </w:rPr>
      </w:pPr>
    </w:p>
    <w:p w14:paraId="2366D5F1">
      <w:pPr>
        <w:pStyle w:val="106"/>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4C58761A">
      <w:pPr>
        <w:pStyle w:val="106"/>
        <w:ind w:firstLine="0"/>
        <w:rPr>
          <w:rFonts w:hint="eastAsia" w:asciiTheme="minorEastAsia" w:hAnsiTheme="minorEastAsia" w:eastAsiaTheme="minorEastAsia" w:cstheme="minorEastAsia"/>
          <w:color w:val="auto"/>
          <w:szCs w:val="24"/>
          <w:highlight w:val="none"/>
        </w:rPr>
      </w:pPr>
    </w:p>
    <w:p w14:paraId="14AF4165">
      <w:pPr>
        <w:pStyle w:val="106"/>
        <w:ind w:firstLine="0"/>
        <w:rPr>
          <w:rFonts w:hint="eastAsia" w:asciiTheme="minorEastAsia" w:hAnsiTheme="minorEastAsia" w:eastAsiaTheme="minorEastAsia" w:cstheme="minorEastAsia"/>
          <w:color w:val="auto"/>
          <w:szCs w:val="24"/>
          <w:highlight w:val="none"/>
        </w:rPr>
      </w:pPr>
    </w:p>
    <w:p w14:paraId="46B07FB1">
      <w:pPr>
        <w:spacing w:before="120" w:line="22" w:lineRule="atLeast"/>
        <w:rPr>
          <w:rFonts w:hint="eastAsia" w:asciiTheme="minorEastAsia" w:hAnsiTheme="minorEastAsia" w:eastAsiaTheme="minorEastAsia" w:cstheme="minorEastAsia"/>
          <w:color w:val="auto"/>
          <w:sz w:val="24"/>
          <w:highlight w:val="none"/>
        </w:rPr>
      </w:pPr>
    </w:p>
    <w:p w14:paraId="155CEB4B">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EAA5B03">
      <w:pPr>
        <w:pStyle w:val="107"/>
        <w:spacing w:before="120" w:line="22" w:lineRule="atLeast"/>
        <w:rPr>
          <w:rFonts w:hint="eastAsia" w:asciiTheme="minorEastAsia" w:hAnsiTheme="minorEastAsia" w:eastAsiaTheme="minorEastAsia" w:cstheme="minorEastAsia"/>
          <w:color w:val="auto"/>
          <w:szCs w:val="24"/>
          <w:highlight w:val="none"/>
        </w:rPr>
      </w:pPr>
    </w:p>
    <w:p w14:paraId="1DD59354">
      <w:pPr>
        <w:pStyle w:val="107"/>
        <w:spacing w:before="120" w:line="22" w:lineRule="atLeast"/>
        <w:rPr>
          <w:rFonts w:hint="eastAsia" w:asciiTheme="minorEastAsia" w:hAnsiTheme="minorEastAsia" w:eastAsiaTheme="minorEastAsia" w:cstheme="minorEastAsia"/>
          <w:color w:val="auto"/>
          <w:szCs w:val="24"/>
          <w:highlight w:val="none"/>
        </w:rPr>
      </w:pPr>
    </w:p>
    <w:p w14:paraId="6BC3D043">
      <w:pPr>
        <w:rPr>
          <w:rFonts w:hint="eastAsia" w:asciiTheme="minorEastAsia" w:hAnsiTheme="minorEastAsia" w:eastAsiaTheme="minorEastAsia" w:cstheme="minorEastAsia"/>
          <w:color w:val="auto"/>
          <w:highlight w:val="none"/>
        </w:rPr>
      </w:pPr>
    </w:p>
    <w:p w14:paraId="4C63C2A4">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04D7E842">
      <w:pPr>
        <w:spacing w:before="120" w:line="22" w:lineRule="atLeast"/>
        <w:rPr>
          <w:rFonts w:hint="eastAsia" w:asciiTheme="minorEastAsia" w:hAnsiTheme="minorEastAsia" w:eastAsiaTheme="minorEastAsia" w:cstheme="minorEastAsia"/>
          <w:color w:val="auto"/>
          <w:sz w:val="24"/>
          <w:highlight w:val="none"/>
        </w:rPr>
      </w:pPr>
    </w:p>
    <w:p w14:paraId="64DD1D48">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63B0B86D">
      <w:pPr>
        <w:spacing w:before="120" w:line="22" w:lineRule="atLeast"/>
        <w:rPr>
          <w:rFonts w:hint="eastAsia" w:asciiTheme="minorEastAsia" w:hAnsiTheme="minorEastAsia" w:eastAsiaTheme="minorEastAsia" w:cstheme="minorEastAsia"/>
          <w:color w:val="auto"/>
          <w:sz w:val="24"/>
          <w:highlight w:val="none"/>
        </w:rPr>
      </w:pPr>
    </w:p>
    <w:p w14:paraId="1CF69FE4">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0890DBA5">
      <w:pPr>
        <w:spacing w:before="120" w:line="22" w:lineRule="atLeast"/>
        <w:rPr>
          <w:rFonts w:hint="eastAsia" w:asciiTheme="minorEastAsia" w:hAnsiTheme="minorEastAsia" w:eastAsiaTheme="minorEastAsia" w:cstheme="minorEastAsia"/>
          <w:color w:val="auto"/>
          <w:sz w:val="24"/>
          <w:highlight w:val="none"/>
        </w:rPr>
      </w:pPr>
    </w:p>
    <w:p w14:paraId="485D505E">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24361FE">
      <w:pPr>
        <w:autoSpaceDE w:val="0"/>
        <w:autoSpaceDN w:val="0"/>
        <w:adjustRightInd w:val="0"/>
        <w:spacing w:line="600" w:lineRule="exact"/>
        <w:ind w:firstLine="640"/>
        <w:jc w:val="center"/>
        <w:rPr>
          <w:rFonts w:hint="eastAsia" w:asciiTheme="minorEastAsia" w:hAnsiTheme="minorEastAsia" w:eastAsiaTheme="minorEastAsia" w:cstheme="minorEastAsia"/>
          <w:color w:val="auto"/>
          <w:sz w:val="24"/>
          <w:highlight w:val="none"/>
        </w:rPr>
        <w:sectPr>
          <w:headerReference r:id="rId4" w:type="default"/>
          <w:footerReference r:id="rId5" w:type="default"/>
          <w:pgSz w:w="11907" w:h="16840"/>
          <w:pgMar w:top="1474" w:right="1814" w:bottom="1474" w:left="1814" w:header="851" w:footer="851" w:gutter="0"/>
          <w:cols w:space="720" w:num="1"/>
          <w:docGrid w:linePitch="462" w:charSpace="0"/>
        </w:sectPr>
      </w:pPr>
    </w:p>
    <w:p w14:paraId="3311B35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（同前页项目名称）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为该项目中标供应商。现于中标通知书发出之日起三十日内，按照采购文件确定的事项签订本合同。</w:t>
      </w:r>
    </w:p>
    <w:p w14:paraId="3309D83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4ED7B86D">
      <w:pPr>
        <w:spacing w:line="560" w:lineRule="exact"/>
        <w:ind w:firstLine="482" w:firstLineChars="200"/>
        <w:outlineLvl w:val="0"/>
        <w:rPr>
          <w:rFonts w:hint="eastAsia" w:asciiTheme="minorEastAsia" w:hAnsiTheme="minorEastAsia" w:eastAsiaTheme="minorEastAsia" w:cstheme="minorEastAsia"/>
          <w:color w:val="auto"/>
          <w:sz w:val="24"/>
          <w:highlight w:val="none"/>
        </w:rPr>
      </w:pPr>
      <w:bookmarkStart w:id="98" w:name="_Toc15367"/>
      <w:bookmarkStart w:id="99" w:name="_Toc20421"/>
      <w:bookmarkStart w:id="100" w:name="_Toc28855"/>
      <w:bookmarkStart w:id="101" w:name="_Toc25637"/>
      <w:bookmarkStart w:id="102" w:name="_Toc22967"/>
      <w:bookmarkStart w:id="103" w:name="_Toc19273"/>
      <w:r>
        <w:rPr>
          <w:rFonts w:hint="eastAsia" w:asciiTheme="minorEastAsia" w:hAnsiTheme="minorEastAsia" w:eastAsiaTheme="minorEastAsia" w:cstheme="minorEastAsia"/>
          <w:b/>
          <w:color w:val="auto"/>
          <w:sz w:val="24"/>
          <w:highlight w:val="none"/>
        </w:rPr>
        <w:t>1.1 合同组成部分</w:t>
      </w:r>
      <w:bookmarkEnd w:id="98"/>
      <w:bookmarkEnd w:id="99"/>
      <w:bookmarkEnd w:id="100"/>
      <w:bookmarkEnd w:id="101"/>
      <w:bookmarkEnd w:id="102"/>
      <w:bookmarkEnd w:id="103"/>
    </w:p>
    <w:p w14:paraId="3687501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B1664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1A6A720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14:paraId="7ED08B6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1.1.3 </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（含澄清或者说明文件）；</w:t>
      </w:r>
    </w:p>
    <w:p w14:paraId="51191F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1.1.4 </w:t>
      </w:r>
      <w:r>
        <w:rPr>
          <w:rFonts w:hint="eastAsia" w:asciiTheme="minorEastAsia" w:hAnsiTheme="minorEastAsia" w:eastAsiaTheme="minorEastAsia" w:cstheme="minorEastAsia"/>
          <w:color w:val="auto"/>
          <w:sz w:val="24"/>
          <w:highlight w:val="none"/>
          <w:lang w:eastAsia="zh-CN"/>
        </w:rPr>
        <w:t>竞争性磋商文件</w:t>
      </w:r>
      <w:r>
        <w:rPr>
          <w:rFonts w:hint="eastAsia" w:asciiTheme="minorEastAsia" w:hAnsiTheme="minorEastAsia" w:eastAsiaTheme="minorEastAsia" w:cstheme="minorEastAsia"/>
          <w:color w:val="auto"/>
          <w:sz w:val="24"/>
          <w:highlight w:val="none"/>
        </w:rPr>
        <w:t>（含澄清或者修改文件）；</w:t>
      </w:r>
    </w:p>
    <w:p w14:paraId="748F9EB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641B452D">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04" w:name="_Toc2918"/>
      <w:bookmarkStart w:id="105" w:name="_Toc6311"/>
      <w:bookmarkStart w:id="106" w:name="_Toc6773"/>
      <w:bookmarkStart w:id="107" w:name="_Toc21435"/>
      <w:bookmarkStart w:id="108" w:name="_Toc22185"/>
      <w:bookmarkStart w:id="109" w:name="_Toc18585"/>
      <w:r>
        <w:rPr>
          <w:rFonts w:hint="eastAsia" w:asciiTheme="minorEastAsia" w:hAnsiTheme="minorEastAsia" w:eastAsiaTheme="minorEastAsia" w:cstheme="minorEastAsia"/>
          <w:b/>
          <w:color w:val="auto"/>
          <w:sz w:val="24"/>
          <w:highlight w:val="none"/>
        </w:rPr>
        <w:t>1.2 标的</w:t>
      </w:r>
      <w:bookmarkEnd w:id="104"/>
      <w:bookmarkEnd w:id="105"/>
      <w:bookmarkEnd w:id="106"/>
      <w:bookmarkEnd w:id="107"/>
      <w:bookmarkEnd w:id="108"/>
      <w:bookmarkEnd w:id="109"/>
    </w:p>
    <w:p w14:paraId="0FFDD1E7">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E8595F6">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259E86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0EA5FC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10" w:name="_Toc1386"/>
      <w:bookmarkStart w:id="111" w:name="_Toc21124"/>
      <w:bookmarkStart w:id="112" w:name="_Toc20520"/>
      <w:bookmarkStart w:id="113" w:name="_Toc4929"/>
      <w:bookmarkStart w:id="114" w:name="_Toc5635"/>
      <w:bookmarkStart w:id="115" w:name="_Toc13918"/>
      <w:r>
        <w:rPr>
          <w:rFonts w:hint="eastAsia" w:asciiTheme="minorEastAsia" w:hAnsiTheme="minorEastAsia" w:eastAsiaTheme="minorEastAsia" w:cstheme="minorEastAsia"/>
          <w:b/>
          <w:color w:val="auto"/>
          <w:sz w:val="24"/>
          <w:highlight w:val="none"/>
        </w:rPr>
        <w:t>1.3 价款</w:t>
      </w:r>
      <w:bookmarkEnd w:id="110"/>
      <w:bookmarkEnd w:id="111"/>
      <w:bookmarkEnd w:id="112"/>
      <w:bookmarkEnd w:id="113"/>
      <w:bookmarkEnd w:id="114"/>
      <w:bookmarkEnd w:id="115"/>
    </w:p>
    <w:p w14:paraId="4B4D1D5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0E3F8CD4">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3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B9E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DAAB868">
            <w:pPr>
              <w:pStyle w:val="108"/>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3402" w:type="dxa"/>
            <w:noWrap w:val="0"/>
            <w:vAlign w:val="center"/>
          </w:tcPr>
          <w:p w14:paraId="079A4736">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分项名称</w:t>
            </w:r>
          </w:p>
        </w:tc>
        <w:tc>
          <w:tcPr>
            <w:tcW w:w="2552" w:type="dxa"/>
            <w:noWrap w:val="0"/>
            <w:vAlign w:val="center"/>
          </w:tcPr>
          <w:p w14:paraId="12EAE1A5">
            <w:pPr>
              <w:pStyle w:val="108"/>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分项价格</w:t>
            </w:r>
          </w:p>
        </w:tc>
      </w:tr>
      <w:tr w14:paraId="3704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0CE45C4">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5E7789B8">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1CE29001">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55B9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278578">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014E1B0C">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6D169AE6">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63FD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B7EBEBE">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205CCD5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41A3F74E">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4A7E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43C3DCA">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2B7EB27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29E26FC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4E54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DA4145C">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总价</w:t>
            </w:r>
          </w:p>
        </w:tc>
        <w:tc>
          <w:tcPr>
            <w:tcW w:w="2552" w:type="dxa"/>
            <w:noWrap w:val="0"/>
            <w:vAlign w:val="center"/>
          </w:tcPr>
          <w:p w14:paraId="48F2874A">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bl>
    <w:p w14:paraId="6D107AD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16" w:name="_Toc26916"/>
      <w:bookmarkStart w:id="117" w:name="_Toc30506"/>
      <w:bookmarkStart w:id="118" w:name="_Toc14993"/>
      <w:bookmarkStart w:id="119" w:name="_Toc30158"/>
      <w:bookmarkStart w:id="120" w:name="_Toc3654"/>
      <w:bookmarkStart w:id="121" w:name="_Toc28735"/>
      <w:r>
        <w:rPr>
          <w:rFonts w:hint="eastAsia" w:asciiTheme="minorEastAsia" w:hAnsiTheme="minorEastAsia" w:eastAsiaTheme="minorEastAsia" w:cstheme="minorEastAsia"/>
          <w:b/>
          <w:color w:val="auto"/>
          <w:sz w:val="24"/>
          <w:highlight w:val="none"/>
        </w:rPr>
        <w:t>1.4 付款方式和发票开具方式</w:t>
      </w:r>
      <w:bookmarkEnd w:id="116"/>
      <w:bookmarkEnd w:id="117"/>
      <w:bookmarkEnd w:id="118"/>
      <w:bookmarkEnd w:id="119"/>
      <w:bookmarkEnd w:id="120"/>
      <w:bookmarkEnd w:id="121"/>
    </w:p>
    <w:p w14:paraId="7DB2740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1.4.1付款方式：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C6F3B0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8178C7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22" w:name="_Toc4760"/>
      <w:bookmarkStart w:id="123" w:name="_Toc11108"/>
      <w:bookmarkStart w:id="124" w:name="_Toc8772"/>
      <w:bookmarkStart w:id="125" w:name="_Toc31421"/>
      <w:bookmarkStart w:id="126" w:name="_Toc3625"/>
      <w:bookmarkStart w:id="127" w:name="_Toc11027"/>
      <w:r>
        <w:rPr>
          <w:rFonts w:hint="eastAsia" w:asciiTheme="minorEastAsia" w:hAnsiTheme="minorEastAsia" w:eastAsiaTheme="minorEastAsia" w:cstheme="minorEastAsia"/>
          <w:b/>
          <w:color w:val="auto"/>
          <w:sz w:val="24"/>
          <w:highlight w:val="none"/>
        </w:rPr>
        <w:t>1.5 履行期限、地点和方式</w:t>
      </w:r>
      <w:bookmarkEnd w:id="122"/>
      <w:bookmarkEnd w:id="123"/>
      <w:bookmarkEnd w:id="124"/>
      <w:bookmarkEnd w:id="125"/>
      <w:bookmarkEnd w:id="126"/>
      <w:bookmarkEnd w:id="127"/>
    </w:p>
    <w:p w14:paraId="76C38733">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履行期限：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7314B6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履行地点：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22EA71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履行方式：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21A6F9B">
      <w:pPr>
        <w:spacing w:line="560" w:lineRule="exact"/>
        <w:ind w:firstLine="482" w:firstLineChars="200"/>
        <w:outlineLvl w:val="0"/>
        <w:rPr>
          <w:rFonts w:hint="eastAsia" w:asciiTheme="minorEastAsia" w:hAnsiTheme="minorEastAsia" w:eastAsiaTheme="minorEastAsia" w:cstheme="minorEastAsia"/>
          <w:color w:val="auto"/>
          <w:sz w:val="24"/>
          <w:highlight w:val="none"/>
          <w:u w:val="single"/>
        </w:rPr>
      </w:pPr>
      <w:bookmarkStart w:id="128" w:name="_Toc5698"/>
      <w:bookmarkStart w:id="129" w:name="_Toc22460"/>
      <w:bookmarkStart w:id="130" w:name="_Toc2375"/>
      <w:bookmarkStart w:id="131" w:name="_Toc24662"/>
      <w:bookmarkStart w:id="132" w:name="_Toc8586"/>
      <w:bookmarkStart w:id="133" w:name="_Toc3079"/>
      <w:r>
        <w:rPr>
          <w:rFonts w:hint="eastAsia" w:asciiTheme="minorEastAsia" w:hAnsiTheme="minorEastAsia" w:eastAsiaTheme="minorEastAsia" w:cstheme="minorEastAsia"/>
          <w:b/>
          <w:color w:val="auto"/>
          <w:sz w:val="24"/>
          <w:highlight w:val="none"/>
        </w:rPr>
        <w:t>1.6 违约责任</w:t>
      </w:r>
      <w:bookmarkEnd w:id="128"/>
      <w:bookmarkEnd w:id="129"/>
      <w:bookmarkEnd w:id="130"/>
      <w:bookmarkEnd w:id="131"/>
      <w:bookmarkEnd w:id="132"/>
      <w:bookmarkEnd w:id="133"/>
    </w:p>
    <w:p w14:paraId="26AAE5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3AAEABB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7EC56BE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C49FCB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4A8281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EBE2D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43FC15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34" w:name="_Toc32454"/>
      <w:bookmarkStart w:id="135" w:name="_Toc9497"/>
      <w:bookmarkStart w:id="136" w:name="_Toc18683"/>
      <w:bookmarkStart w:id="137" w:name="_Toc30329"/>
      <w:bookmarkStart w:id="138" w:name="_Toc28418"/>
      <w:bookmarkStart w:id="139" w:name="_Toc26807"/>
      <w:r>
        <w:rPr>
          <w:rFonts w:hint="eastAsia" w:asciiTheme="minorEastAsia" w:hAnsiTheme="minorEastAsia" w:eastAsiaTheme="minorEastAsia" w:cstheme="minorEastAsia"/>
          <w:b/>
          <w:color w:val="auto"/>
          <w:sz w:val="24"/>
          <w:highlight w:val="none"/>
        </w:rPr>
        <w:t>1.7 合同争议的解决</w:t>
      </w:r>
      <w:bookmarkEnd w:id="134"/>
      <w:bookmarkEnd w:id="135"/>
      <w:bookmarkEnd w:id="136"/>
      <w:bookmarkEnd w:id="137"/>
      <w:bookmarkEnd w:id="138"/>
      <w:bookmarkEnd w:id="139"/>
    </w:p>
    <w:p w14:paraId="42B8D1B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种方式解决：</w:t>
      </w:r>
    </w:p>
    <w:p w14:paraId="637C32B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25C60A2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z w:val="24"/>
          <w:highlight w:val="none"/>
        </w:rPr>
        <w:t>人民法院起诉。</w:t>
      </w:r>
    </w:p>
    <w:p w14:paraId="60CE4BC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40" w:name="_Toc16417"/>
      <w:bookmarkStart w:id="141" w:name="_Toc12273"/>
      <w:bookmarkStart w:id="142" w:name="_Toc15827"/>
      <w:bookmarkStart w:id="143" w:name="_Toc26227"/>
      <w:bookmarkStart w:id="144" w:name="_Toc29536"/>
      <w:r>
        <w:rPr>
          <w:rFonts w:hint="eastAsia" w:asciiTheme="minorEastAsia" w:hAnsiTheme="minorEastAsia" w:eastAsiaTheme="minorEastAsia" w:cstheme="minorEastAsia"/>
          <w:b/>
          <w:color w:val="auto"/>
          <w:sz w:val="24"/>
          <w:highlight w:val="none"/>
        </w:rPr>
        <w:t>1.8 合同生效</w:t>
      </w:r>
      <w:bookmarkEnd w:id="140"/>
      <w:bookmarkEnd w:id="141"/>
      <w:bookmarkEnd w:id="142"/>
      <w:bookmarkEnd w:id="143"/>
      <w:bookmarkEnd w:id="144"/>
    </w:p>
    <w:p w14:paraId="27CA649B">
      <w:pPr>
        <w:spacing w:line="5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本合同自双方当事人盖章或者签字时生效。</w:t>
      </w:r>
    </w:p>
    <w:p w14:paraId="1F6F8EF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17CC3323">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410C7CB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13796DA6">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6019207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6529E7F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144CC284">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51E3028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329FFDBA">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1BBA17A5">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0A024EEB">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0FA3D1C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55FCF225">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575AC5F6">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2A070C9E">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577481BE">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6A571323">
      <w:pPr>
        <w:widowControl/>
        <w:spacing w:line="560" w:lineRule="exact"/>
        <w:jc w:val="left"/>
        <w:rPr>
          <w:rFonts w:hint="eastAsia" w:asciiTheme="minorEastAsia" w:hAnsiTheme="minorEastAsia" w:eastAsiaTheme="minorEastAsia" w:cstheme="minorEastAsia"/>
          <w:b/>
          <w:color w:val="auto"/>
          <w:highlight w:val="none"/>
        </w:rPr>
      </w:pPr>
      <w:bookmarkStart w:id="145" w:name="_Toc331685783"/>
    </w:p>
    <w:p w14:paraId="4E12108F">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4CB41D2A">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1E6E89D0">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6530AF5F">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5EFF9AF8">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31707585">
      <w:pPr>
        <w:pStyle w:val="106"/>
        <w:spacing w:line="560" w:lineRule="exact"/>
        <w:ind w:firstLine="20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bookmarkEnd w:id="145"/>
    </w:p>
    <w:p w14:paraId="4BF5620F">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46" w:name="_Toc279701240"/>
      <w:bookmarkStart w:id="147" w:name="_Toc25079"/>
      <w:bookmarkStart w:id="148" w:name="_Ref467379214"/>
      <w:bookmarkStart w:id="149" w:name="_Toc14021"/>
      <w:bookmarkStart w:id="150" w:name="_Ref467379195"/>
      <w:bookmarkStart w:id="151" w:name="_Toc5228"/>
      <w:bookmarkStart w:id="152" w:name="_Toc31297"/>
      <w:bookmarkStart w:id="153" w:name="_Ref467379101"/>
      <w:bookmarkStart w:id="154" w:name="_Ref467379205"/>
      <w:bookmarkStart w:id="155" w:name="_Toc487900349"/>
      <w:bookmarkStart w:id="156" w:name="_Ref467378404"/>
      <w:bookmarkStart w:id="157" w:name="_Ref467378499"/>
      <w:bookmarkStart w:id="158" w:name="_Ref467379225"/>
      <w:bookmarkStart w:id="159" w:name="_Toc259093669"/>
      <w:bookmarkStart w:id="160" w:name="_Ref467378463"/>
      <w:bookmarkStart w:id="161" w:name="_Toc25060"/>
      <w:bookmarkStart w:id="162" w:name="_Toc19680"/>
      <w:bookmarkStart w:id="163" w:name="_Ref467379109"/>
      <w:bookmarkStart w:id="164" w:name="_Ref467379094"/>
      <w:r>
        <w:rPr>
          <w:rFonts w:hint="eastAsia" w:asciiTheme="minorEastAsia" w:hAnsiTheme="minorEastAsia" w:eastAsiaTheme="minorEastAsia" w:cstheme="minorEastAsia"/>
          <w:b/>
          <w:color w:val="auto"/>
          <w:sz w:val="24"/>
          <w:highlight w:val="none"/>
        </w:rPr>
        <w:t>2.1 定义</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4A624A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2893A68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14:paraId="21AB57B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14:paraId="2F76F88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14:paraId="483B6BE3">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5" w:name="_Ref467378840"/>
      <w:r>
        <w:rPr>
          <w:rFonts w:hint="eastAsia" w:asciiTheme="minorEastAsia" w:hAnsiTheme="minorEastAsia" w:eastAsiaTheme="minorEastAsia" w:cstheme="minorEastAsia"/>
          <w:color w:val="auto"/>
          <w:sz w:val="24"/>
          <w:highlight w:val="none"/>
        </w:rPr>
        <w:t>2.1.4 “甲方”系指与中标供应商签署合同的采购人</w:t>
      </w:r>
      <w:bookmarkEnd w:id="165"/>
      <w:r>
        <w:rPr>
          <w:rFonts w:hint="eastAsia" w:asciiTheme="minorEastAsia" w:hAnsiTheme="minorEastAsia" w:eastAsiaTheme="minorEastAsia" w:cstheme="minorEastAsia"/>
          <w:color w:val="auto"/>
          <w:sz w:val="24"/>
          <w:highlight w:val="none"/>
        </w:rPr>
        <w:t>；采购人委托采购代理机构代表其与乙方签订合同的，采购人的授权委托书作为合同附件。</w:t>
      </w:r>
    </w:p>
    <w:p w14:paraId="77BE0AFE">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6" w:name="_Ref467379400"/>
      <w:r>
        <w:rPr>
          <w:rFonts w:hint="eastAsia" w:asciiTheme="minorEastAsia" w:hAnsiTheme="minorEastAsia" w:eastAsiaTheme="minorEastAsia" w:cstheme="minorEastAsia"/>
          <w:color w:val="auto"/>
          <w:sz w:val="24"/>
          <w:highlight w:val="none"/>
        </w:rPr>
        <w:t>2.1.5 “乙方”系指根据合同约定提供服务的中标供应商</w:t>
      </w:r>
      <w:bookmarkEnd w:id="166"/>
      <w:r>
        <w:rPr>
          <w:rFonts w:hint="eastAsia" w:asciiTheme="minorEastAsia" w:hAnsiTheme="minorEastAsia" w:eastAsiaTheme="minorEastAsia" w:cs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AD8B16">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7" w:name="_Ref467379436"/>
      <w:r>
        <w:rPr>
          <w:rFonts w:hint="eastAsia" w:asciiTheme="minorEastAsia" w:hAnsiTheme="minorEastAsia" w:eastAsiaTheme="minorEastAsia" w:cstheme="minorEastAsia"/>
          <w:color w:val="auto"/>
          <w:sz w:val="24"/>
          <w:highlight w:val="none"/>
        </w:rPr>
        <w:t>2.1.6 “现场”系指合同约定提供服务的地点。</w:t>
      </w:r>
      <w:bookmarkEnd w:id="167"/>
    </w:p>
    <w:p w14:paraId="2684B1F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68" w:name="_Toc279701241"/>
      <w:bookmarkStart w:id="169" w:name="_Toc31402"/>
      <w:bookmarkStart w:id="170" w:name="_Toc16752"/>
      <w:bookmarkStart w:id="171" w:name="_Toc21742"/>
      <w:bookmarkStart w:id="172" w:name="_Toc3769"/>
      <w:bookmarkStart w:id="173" w:name="_Toc19539"/>
      <w:bookmarkStart w:id="174" w:name="_Toc487900350"/>
      <w:bookmarkStart w:id="175" w:name="_Toc259093670"/>
      <w:bookmarkStart w:id="176" w:name="_Toc23289"/>
      <w:r>
        <w:rPr>
          <w:rFonts w:hint="eastAsia" w:asciiTheme="minorEastAsia" w:hAnsiTheme="minorEastAsia" w:eastAsiaTheme="minorEastAsia" w:cstheme="minorEastAsia"/>
          <w:b/>
          <w:color w:val="auto"/>
          <w:sz w:val="24"/>
          <w:highlight w:val="none"/>
        </w:rPr>
        <w:t>2.2 技术规范</w:t>
      </w:r>
      <w:bookmarkEnd w:id="168"/>
      <w:bookmarkEnd w:id="169"/>
      <w:bookmarkEnd w:id="170"/>
      <w:bookmarkEnd w:id="171"/>
      <w:bookmarkEnd w:id="172"/>
      <w:bookmarkEnd w:id="173"/>
      <w:bookmarkEnd w:id="174"/>
      <w:bookmarkEnd w:id="175"/>
      <w:bookmarkEnd w:id="176"/>
    </w:p>
    <w:p w14:paraId="443D524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E3806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77" w:name="_Toc279701242"/>
      <w:bookmarkStart w:id="178" w:name="_Toc259093671"/>
      <w:bookmarkStart w:id="179" w:name="_Toc4133"/>
      <w:bookmarkStart w:id="180" w:name="_Toc13673"/>
      <w:bookmarkStart w:id="181" w:name="_Toc27945"/>
      <w:bookmarkStart w:id="182" w:name="_Toc9161"/>
      <w:bookmarkStart w:id="183" w:name="_Toc487900351"/>
      <w:bookmarkStart w:id="184" w:name="_Toc27580"/>
      <w:bookmarkStart w:id="185" w:name="_Toc12412"/>
      <w:r>
        <w:rPr>
          <w:rFonts w:hint="eastAsia" w:asciiTheme="minorEastAsia" w:hAnsiTheme="minorEastAsia" w:eastAsiaTheme="minorEastAsia" w:cstheme="minorEastAsia"/>
          <w:b/>
          <w:color w:val="auto"/>
          <w:sz w:val="24"/>
          <w:highlight w:val="none"/>
        </w:rPr>
        <w:t>2.3 知识产权</w:t>
      </w:r>
      <w:bookmarkEnd w:id="177"/>
      <w:bookmarkEnd w:id="178"/>
      <w:bookmarkEnd w:id="179"/>
      <w:bookmarkEnd w:id="180"/>
      <w:bookmarkEnd w:id="181"/>
      <w:bookmarkEnd w:id="182"/>
      <w:bookmarkEnd w:id="183"/>
      <w:bookmarkEnd w:id="184"/>
      <w:bookmarkEnd w:id="185"/>
    </w:p>
    <w:p w14:paraId="57C0B8A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3DA39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600217FA">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7908B930">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86" w:name="_Ref467379657"/>
      <w:r>
        <w:rPr>
          <w:rFonts w:hint="eastAsia" w:asciiTheme="minorEastAsia" w:hAnsiTheme="minorEastAsia" w:eastAsiaTheme="minorEastAsia" w:cstheme="minorEastAsia"/>
          <w:color w:val="auto"/>
          <w:sz w:val="24"/>
          <w:highlight w:val="none"/>
        </w:rPr>
        <w:t>2.4.1</w:t>
      </w:r>
      <w:bookmarkEnd w:id="186"/>
      <w:bookmarkStart w:id="187" w:name="_Toc186431854"/>
      <w:bookmarkStart w:id="188" w:name="_Toc259093676"/>
      <w:bookmarkStart w:id="189" w:name="_Toc279701247"/>
      <w:bookmarkStart w:id="190" w:name="_Ref467379807"/>
      <w:bookmarkStart w:id="191" w:name="_Ref467379793"/>
      <w:bookmarkStart w:id="192" w:name="_Toc487900357"/>
      <w:r>
        <w:rPr>
          <w:rFonts w:hint="eastAsia" w:asciiTheme="minorEastAsia" w:hAnsiTheme="minorEastAsia" w:eastAsiaTheme="minorEastAsia" w:cstheme="minorEastAsia"/>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3A3C2E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bookmarkEnd w:id="187"/>
      <w:bookmarkStart w:id="193" w:name="_Toc186431855"/>
      <w:r>
        <w:rPr>
          <w:rFonts w:hint="eastAsia" w:asciiTheme="minorEastAsia" w:hAnsiTheme="minorEastAsia" w:eastAsiaTheme="minorEastAsia" w:cstheme="minorEastAsia"/>
          <w:color w:val="auto"/>
          <w:sz w:val="24"/>
          <w:highlight w:val="none"/>
        </w:rPr>
        <w:t>。</w:t>
      </w:r>
    </w:p>
    <w:bookmarkEnd w:id="193"/>
    <w:p w14:paraId="5B3A2BE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94" w:name="_Toc22011"/>
      <w:bookmarkStart w:id="195" w:name="_Toc32670"/>
      <w:bookmarkStart w:id="196" w:name="_Toc5251"/>
      <w:bookmarkStart w:id="197" w:name="_Toc15447"/>
      <w:bookmarkStart w:id="198" w:name="_Toc26555"/>
      <w:bookmarkStart w:id="199" w:name="_Toc31233"/>
      <w:r>
        <w:rPr>
          <w:rFonts w:hint="eastAsia" w:asciiTheme="minorEastAsia" w:hAnsiTheme="minorEastAsia" w:eastAsiaTheme="minorEastAsia" w:cstheme="minorEastAsia"/>
          <w:b/>
          <w:color w:val="auto"/>
          <w:sz w:val="24"/>
          <w:highlight w:val="none"/>
        </w:rPr>
        <w:t>2.5 结算方式和付款条件</w:t>
      </w:r>
      <w:bookmarkEnd w:id="188"/>
      <w:bookmarkEnd w:id="189"/>
      <w:bookmarkEnd w:id="190"/>
      <w:bookmarkEnd w:id="191"/>
      <w:bookmarkEnd w:id="192"/>
      <w:bookmarkEnd w:id="194"/>
      <w:bookmarkEnd w:id="195"/>
      <w:bookmarkEnd w:id="196"/>
      <w:bookmarkEnd w:id="197"/>
      <w:bookmarkEnd w:id="198"/>
      <w:bookmarkEnd w:id="199"/>
    </w:p>
    <w:p w14:paraId="76CB177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3783008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00" w:name="_Ref467379852"/>
      <w:bookmarkStart w:id="201" w:name="_Ref467379923"/>
      <w:bookmarkStart w:id="202" w:name="_Toc279701248"/>
      <w:bookmarkStart w:id="203" w:name="_Toc487900358"/>
      <w:bookmarkStart w:id="204" w:name="_Ref467379863"/>
      <w:bookmarkStart w:id="205" w:name="_Toc259093677"/>
      <w:bookmarkStart w:id="206" w:name="_Toc13154"/>
      <w:bookmarkStart w:id="207" w:name="_Toc23499"/>
      <w:bookmarkStart w:id="208" w:name="_Toc13467"/>
      <w:bookmarkStart w:id="209" w:name="_Toc30507"/>
      <w:bookmarkStart w:id="210" w:name="_Toc16163"/>
      <w:bookmarkStart w:id="211" w:name="_Toc18990"/>
      <w:r>
        <w:rPr>
          <w:rFonts w:hint="eastAsia" w:asciiTheme="minorEastAsia" w:hAnsiTheme="minorEastAsia" w:eastAsiaTheme="minorEastAsia" w:cstheme="minorEastAsia"/>
          <w:b/>
          <w:color w:val="auto"/>
          <w:sz w:val="24"/>
          <w:highlight w:val="none"/>
        </w:rPr>
        <w:t>2.6 技术资料</w:t>
      </w:r>
      <w:bookmarkEnd w:id="200"/>
      <w:bookmarkEnd w:id="201"/>
      <w:bookmarkEnd w:id="202"/>
      <w:bookmarkEnd w:id="203"/>
      <w:bookmarkEnd w:id="204"/>
      <w:bookmarkEnd w:id="205"/>
      <w:r>
        <w:rPr>
          <w:rFonts w:hint="eastAsia" w:asciiTheme="minorEastAsia" w:hAnsiTheme="minorEastAsia" w:eastAsiaTheme="minorEastAsia" w:cstheme="minorEastAsia"/>
          <w:b/>
          <w:color w:val="auto"/>
          <w:sz w:val="24"/>
          <w:highlight w:val="none"/>
        </w:rPr>
        <w:t>和保密义务</w:t>
      </w:r>
      <w:bookmarkEnd w:id="206"/>
      <w:bookmarkEnd w:id="207"/>
      <w:bookmarkEnd w:id="208"/>
      <w:bookmarkEnd w:id="209"/>
      <w:bookmarkEnd w:id="210"/>
      <w:bookmarkEnd w:id="211"/>
    </w:p>
    <w:p w14:paraId="690EA91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57FE096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450CA23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D0F28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2" w:name="_Toc19069"/>
      <w:bookmarkStart w:id="213" w:name="_Toc25994"/>
      <w:bookmarkStart w:id="214" w:name="_Toc259093681"/>
      <w:bookmarkStart w:id="215" w:name="_Toc487900362"/>
      <w:bookmarkStart w:id="216" w:name="_Toc279701252"/>
      <w:r>
        <w:rPr>
          <w:rFonts w:hint="eastAsia" w:asciiTheme="minorEastAsia" w:hAnsiTheme="minorEastAsia" w:eastAsiaTheme="minorEastAsia" w:cstheme="minorEastAsia"/>
          <w:b/>
          <w:color w:val="auto"/>
          <w:sz w:val="24"/>
          <w:highlight w:val="none"/>
        </w:rPr>
        <w:t>2.7 质量保证</w:t>
      </w:r>
      <w:bookmarkEnd w:id="212"/>
      <w:bookmarkEnd w:id="213"/>
    </w:p>
    <w:p w14:paraId="378F7F6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41E4081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2CC95A0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7" w:name="_Toc31805"/>
      <w:bookmarkStart w:id="218" w:name="_Toc22267"/>
      <w:r>
        <w:rPr>
          <w:rFonts w:hint="eastAsia" w:asciiTheme="minorEastAsia" w:hAnsiTheme="minorEastAsia" w:eastAsiaTheme="minorEastAsia" w:cstheme="minorEastAsia"/>
          <w:b/>
          <w:color w:val="auto"/>
          <w:sz w:val="24"/>
          <w:highlight w:val="none"/>
        </w:rPr>
        <w:t>2.8 延迟</w:t>
      </w:r>
      <w:bookmarkEnd w:id="214"/>
      <w:bookmarkEnd w:id="215"/>
      <w:bookmarkEnd w:id="216"/>
      <w:r>
        <w:rPr>
          <w:rFonts w:hint="eastAsia" w:asciiTheme="minorEastAsia" w:hAnsiTheme="minorEastAsia" w:eastAsiaTheme="minorEastAsia" w:cstheme="minorEastAsia"/>
          <w:b/>
          <w:color w:val="auto"/>
          <w:sz w:val="24"/>
          <w:highlight w:val="none"/>
        </w:rPr>
        <w:t>履行</w:t>
      </w:r>
      <w:bookmarkEnd w:id="217"/>
      <w:bookmarkEnd w:id="218"/>
    </w:p>
    <w:p w14:paraId="14CB1CB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84E6EE9">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9" w:name="_Toc25664"/>
      <w:bookmarkStart w:id="220" w:name="_Toc10611"/>
      <w:bookmarkStart w:id="221" w:name="_Toc487900364"/>
      <w:bookmarkStart w:id="222" w:name="_Toc259093683"/>
      <w:bookmarkStart w:id="223" w:name="_Toc279701254"/>
      <w:bookmarkStart w:id="224" w:name="_Ref467378121"/>
      <w:r>
        <w:rPr>
          <w:rFonts w:hint="eastAsia" w:asciiTheme="minorEastAsia" w:hAnsiTheme="minorEastAsia" w:eastAsiaTheme="minorEastAsia" w:cstheme="minorEastAsia"/>
          <w:b/>
          <w:color w:val="auto"/>
          <w:sz w:val="24"/>
          <w:highlight w:val="none"/>
        </w:rPr>
        <w:t>2.9 合同变更</w:t>
      </w:r>
      <w:bookmarkEnd w:id="219"/>
      <w:bookmarkEnd w:id="220"/>
    </w:p>
    <w:p w14:paraId="5A3765C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3C1839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225" w:name="_Toc279701259"/>
      <w:bookmarkStart w:id="226" w:name="_Toc487900369"/>
      <w:bookmarkStart w:id="227" w:name="_Toc259093688"/>
    </w:p>
    <w:p w14:paraId="18444FB2">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28" w:name="_Toc4113"/>
      <w:bookmarkStart w:id="229" w:name="_Toc42"/>
      <w:bookmarkStart w:id="230" w:name="_Toc21830"/>
      <w:bookmarkStart w:id="231" w:name="_Toc10663"/>
      <w:bookmarkStart w:id="232" w:name="_Toc23368"/>
      <w:bookmarkStart w:id="233" w:name="_Toc26689"/>
      <w:r>
        <w:rPr>
          <w:rFonts w:hint="eastAsia" w:asciiTheme="minorEastAsia" w:hAnsiTheme="minorEastAsia" w:eastAsiaTheme="minorEastAsia" w:cstheme="minorEastAsia"/>
          <w:b/>
          <w:color w:val="auto"/>
          <w:sz w:val="24"/>
          <w:highlight w:val="none"/>
        </w:rPr>
        <w:t>2.10 合同转让</w:t>
      </w:r>
      <w:bookmarkEnd w:id="225"/>
      <w:bookmarkEnd w:id="226"/>
      <w:bookmarkEnd w:id="227"/>
      <w:r>
        <w:rPr>
          <w:rFonts w:hint="eastAsia" w:asciiTheme="minorEastAsia" w:hAnsiTheme="minorEastAsia" w:eastAsiaTheme="minorEastAsia" w:cstheme="minorEastAsia"/>
          <w:b/>
          <w:color w:val="auto"/>
          <w:sz w:val="24"/>
          <w:highlight w:val="none"/>
        </w:rPr>
        <w:t>和分包</w:t>
      </w:r>
      <w:bookmarkEnd w:id="228"/>
      <w:bookmarkEnd w:id="229"/>
      <w:bookmarkEnd w:id="230"/>
      <w:bookmarkEnd w:id="231"/>
      <w:bookmarkEnd w:id="232"/>
      <w:bookmarkEnd w:id="233"/>
    </w:p>
    <w:p w14:paraId="64CD01A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2AD0EF">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34" w:name="_Toc26633"/>
      <w:bookmarkStart w:id="235" w:name="_Toc4720"/>
      <w:bookmarkStart w:id="236" w:name="_Toc25571"/>
      <w:bookmarkStart w:id="237" w:name="_Toc26751"/>
      <w:bookmarkStart w:id="238" w:name="_Toc14371"/>
      <w:bookmarkStart w:id="239" w:name="_Toc32494"/>
      <w:r>
        <w:rPr>
          <w:rFonts w:hint="eastAsia" w:asciiTheme="minorEastAsia" w:hAnsiTheme="minorEastAsia" w:eastAsiaTheme="minorEastAsia" w:cstheme="minorEastAsia"/>
          <w:b/>
          <w:color w:val="auto"/>
          <w:sz w:val="24"/>
          <w:highlight w:val="none"/>
        </w:rPr>
        <w:t>2.11 不可抗力</w:t>
      </w:r>
      <w:bookmarkEnd w:id="234"/>
      <w:bookmarkEnd w:id="235"/>
      <w:bookmarkEnd w:id="236"/>
      <w:bookmarkEnd w:id="237"/>
      <w:bookmarkEnd w:id="238"/>
      <w:bookmarkEnd w:id="239"/>
    </w:p>
    <w:p w14:paraId="4DC1CF2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50D04CC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5772D6C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1E5CDE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定时间内以书面形式通知对方当事人，并在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011ACD5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40" w:name="_Toc259093684"/>
      <w:bookmarkStart w:id="241" w:name="_Toc23854"/>
      <w:bookmarkStart w:id="242" w:name="_Toc487900365"/>
      <w:bookmarkStart w:id="243" w:name="_Toc30024"/>
      <w:bookmarkStart w:id="244" w:name="_Toc3638"/>
      <w:bookmarkStart w:id="245" w:name="_Toc279701255"/>
      <w:bookmarkStart w:id="246" w:name="_Toc24465"/>
      <w:bookmarkStart w:id="247" w:name="_Toc25783"/>
      <w:bookmarkStart w:id="248" w:name="_Toc14115"/>
      <w:r>
        <w:rPr>
          <w:rFonts w:hint="eastAsia" w:asciiTheme="minorEastAsia" w:hAnsiTheme="minorEastAsia" w:eastAsiaTheme="minorEastAsia" w:cstheme="minorEastAsia"/>
          <w:b/>
          <w:color w:val="auto"/>
          <w:sz w:val="24"/>
          <w:highlight w:val="none"/>
        </w:rPr>
        <w:t>2.12 税费</w:t>
      </w:r>
      <w:bookmarkEnd w:id="240"/>
      <w:bookmarkEnd w:id="241"/>
      <w:bookmarkEnd w:id="242"/>
      <w:bookmarkEnd w:id="243"/>
      <w:bookmarkEnd w:id="244"/>
      <w:bookmarkEnd w:id="245"/>
      <w:bookmarkEnd w:id="246"/>
      <w:bookmarkEnd w:id="247"/>
      <w:bookmarkEnd w:id="248"/>
    </w:p>
    <w:p w14:paraId="4640626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42B3F6A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49" w:name="_Toc259093687"/>
      <w:bookmarkStart w:id="250" w:name="_Toc279701258"/>
      <w:bookmarkStart w:id="251" w:name="_Toc20384"/>
      <w:bookmarkStart w:id="252" w:name="_Toc7315"/>
      <w:bookmarkStart w:id="253" w:name="_Toc26883"/>
      <w:bookmarkStart w:id="254" w:name="_Toc25525"/>
      <w:bookmarkStart w:id="255" w:name="_Toc487900368"/>
      <w:bookmarkStart w:id="256" w:name="_Toc14814"/>
      <w:bookmarkStart w:id="257" w:name="_Toc30105"/>
      <w:r>
        <w:rPr>
          <w:rFonts w:hint="eastAsia" w:asciiTheme="minorEastAsia" w:hAnsiTheme="minorEastAsia" w:eastAsiaTheme="minorEastAsia" w:cstheme="minorEastAsia"/>
          <w:b/>
          <w:color w:val="auto"/>
          <w:sz w:val="24"/>
          <w:highlight w:val="none"/>
        </w:rPr>
        <w:t>2.13 乙方破产</w:t>
      </w:r>
      <w:bookmarkEnd w:id="249"/>
      <w:bookmarkEnd w:id="250"/>
      <w:bookmarkEnd w:id="251"/>
      <w:bookmarkEnd w:id="252"/>
      <w:bookmarkEnd w:id="253"/>
      <w:bookmarkEnd w:id="254"/>
      <w:bookmarkEnd w:id="255"/>
      <w:bookmarkEnd w:id="256"/>
      <w:bookmarkEnd w:id="257"/>
    </w:p>
    <w:p w14:paraId="61D2487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A0032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58" w:name="_Toc2016"/>
      <w:bookmarkStart w:id="259" w:name="_Toc13742"/>
      <w:bookmarkStart w:id="260" w:name="_Toc23323"/>
      <w:bookmarkStart w:id="261" w:name="_Toc1123"/>
      <w:r>
        <w:rPr>
          <w:rFonts w:hint="eastAsia" w:asciiTheme="minorEastAsia" w:hAnsiTheme="minorEastAsia" w:eastAsiaTheme="minorEastAsia" w:cstheme="minorEastAsia"/>
          <w:b/>
          <w:color w:val="auto"/>
          <w:sz w:val="24"/>
          <w:highlight w:val="none"/>
        </w:rPr>
        <w:t>2.14 合同中止、终止</w:t>
      </w:r>
      <w:bookmarkEnd w:id="258"/>
      <w:bookmarkEnd w:id="259"/>
      <w:bookmarkEnd w:id="260"/>
      <w:bookmarkEnd w:id="261"/>
    </w:p>
    <w:p w14:paraId="3218ABF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2576ED0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DDE4440">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62" w:name="_Toc32439"/>
      <w:bookmarkStart w:id="263" w:name="_Toc1969"/>
      <w:bookmarkStart w:id="264" w:name="_Toc14525"/>
      <w:bookmarkStart w:id="265" w:name="_Toc17363"/>
      <w:r>
        <w:rPr>
          <w:rFonts w:hint="eastAsia" w:asciiTheme="minorEastAsia" w:hAnsiTheme="minorEastAsia" w:eastAsiaTheme="minorEastAsia" w:cstheme="minorEastAsia"/>
          <w:b/>
          <w:color w:val="auto"/>
          <w:sz w:val="24"/>
          <w:highlight w:val="none"/>
        </w:rPr>
        <w:t>2.15 检验和验收</w:t>
      </w:r>
      <w:bookmarkEnd w:id="262"/>
      <w:bookmarkEnd w:id="263"/>
      <w:bookmarkEnd w:id="264"/>
      <w:bookmarkEnd w:id="265"/>
    </w:p>
    <w:p w14:paraId="1FEBF71A">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的</w:t>
      </w:r>
      <w:r>
        <w:rPr>
          <w:rFonts w:hint="eastAsia" w:asciiTheme="minorEastAsia" w:hAnsiTheme="minorEastAsia" w:eastAsiaTheme="minorEastAsia" w:cstheme="minorEastAsia"/>
          <w:color w:val="auto"/>
          <w:sz w:val="24"/>
          <w:highlight w:val="none"/>
        </w:rPr>
        <w:t>约定进行定期验收；</w:t>
      </w:r>
    </w:p>
    <w:p w14:paraId="50DFCAC9">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A50FF0">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i w:val="0"/>
          <w:iCs/>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bookmarkEnd w:id="221"/>
    <w:bookmarkEnd w:id="222"/>
    <w:bookmarkEnd w:id="223"/>
    <w:bookmarkEnd w:id="224"/>
    <w:p w14:paraId="2963901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66" w:name="_Toc487900371"/>
      <w:bookmarkStart w:id="267" w:name="_Toc279701261"/>
      <w:bookmarkStart w:id="268" w:name="_Toc259093690"/>
      <w:bookmarkStart w:id="269" w:name="_Toc2308"/>
      <w:bookmarkStart w:id="270" w:name="_Toc9808"/>
      <w:bookmarkStart w:id="271" w:name="_Toc12666"/>
      <w:bookmarkStart w:id="272" w:name="_Toc25198"/>
      <w:bookmarkStart w:id="273" w:name="_Toc25263"/>
      <w:bookmarkStart w:id="274" w:name="_Toc31892"/>
      <w:r>
        <w:rPr>
          <w:rFonts w:hint="eastAsia" w:asciiTheme="minorEastAsia" w:hAnsiTheme="minorEastAsia" w:eastAsiaTheme="minorEastAsia" w:cstheme="minorEastAsia"/>
          <w:b/>
          <w:color w:val="auto"/>
          <w:sz w:val="24"/>
          <w:highlight w:val="none"/>
        </w:rPr>
        <w:t>2.16 通知</w:t>
      </w:r>
      <w:bookmarkEnd w:id="266"/>
      <w:bookmarkEnd w:id="267"/>
      <w:bookmarkEnd w:id="268"/>
      <w:r>
        <w:rPr>
          <w:rFonts w:hint="eastAsia" w:asciiTheme="minorEastAsia" w:hAnsiTheme="minorEastAsia" w:eastAsiaTheme="minorEastAsia" w:cstheme="minorEastAsia"/>
          <w:b/>
          <w:color w:val="auto"/>
          <w:sz w:val="24"/>
          <w:highlight w:val="none"/>
        </w:rPr>
        <w:t>和送达</w:t>
      </w:r>
      <w:bookmarkEnd w:id="269"/>
      <w:bookmarkEnd w:id="270"/>
      <w:bookmarkEnd w:id="271"/>
      <w:bookmarkEnd w:id="272"/>
      <w:bookmarkEnd w:id="273"/>
      <w:bookmarkEnd w:id="274"/>
    </w:p>
    <w:p w14:paraId="230F4926">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75" w:name="_Toc7073"/>
      <w:bookmarkStart w:id="276" w:name="_Toc29220"/>
      <w:bookmarkStart w:id="277" w:name="_Toc487900372"/>
      <w:bookmarkStart w:id="278" w:name="_Toc279701262"/>
      <w:bookmarkStart w:id="279" w:name="_Toc259093691"/>
      <w:r>
        <w:rPr>
          <w:rFonts w:hint="eastAsia" w:asciiTheme="minorEastAsia" w:hAnsiTheme="minorEastAsia" w:eastAsiaTheme="minorEastAsia" w:cstheme="minorEastAsia"/>
          <w:color w:val="auto"/>
          <w:sz w:val="24"/>
          <w:highlight w:val="none"/>
        </w:rPr>
        <w:t>2.16.1 任何一方因履行合同而以合同第一部分尾部所列明的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275"/>
      <w:bookmarkEnd w:id="276"/>
    </w:p>
    <w:p w14:paraId="316D2B4A">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80" w:name="_Toc27674"/>
      <w:bookmarkStart w:id="281" w:name="_Toc18401"/>
      <w:r>
        <w:rPr>
          <w:rFonts w:hint="eastAsia" w:asciiTheme="minorEastAsia" w:hAnsiTheme="minorEastAsia" w:eastAsiaTheme="minorEastAsia" w:cstheme="minorEastAsia"/>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0"/>
      <w:bookmarkEnd w:id="281"/>
    </w:p>
    <w:bookmarkEnd w:id="277"/>
    <w:bookmarkEnd w:id="278"/>
    <w:bookmarkEnd w:id="279"/>
    <w:p w14:paraId="5942E7A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82" w:name="_Toc259093692"/>
      <w:bookmarkStart w:id="283" w:name="_Toc28906"/>
      <w:bookmarkStart w:id="284" w:name="_Toc27644"/>
      <w:bookmarkStart w:id="285" w:name="_Toc20808"/>
      <w:bookmarkStart w:id="286" w:name="_Toc12254"/>
      <w:bookmarkStart w:id="287" w:name="_Toc279701263"/>
      <w:bookmarkStart w:id="288" w:name="_Toc10110"/>
      <w:bookmarkStart w:id="289" w:name="_Toc487900373"/>
      <w:bookmarkStart w:id="290" w:name="_Toc5063"/>
      <w:r>
        <w:rPr>
          <w:rFonts w:hint="eastAsia" w:asciiTheme="minorEastAsia" w:hAnsiTheme="minorEastAsia" w:eastAsiaTheme="minorEastAsia" w:cstheme="minorEastAsia"/>
          <w:b/>
          <w:color w:val="auto"/>
          <w:sz w:val="24"/>
          <w:highlight w:val="none"/>
        </w:rPr>
        <w:t>2.17 合同使用的文字和适用的法律</w:t>
      </w:r>
      <w:bookmarkEnd w:id="282"/>
      <w:bookmarkEnd w:id="283"/>
      <w:bookmarkEnd w:id="284"/>
      <w:bookmarkEnd w:id="285"/>
      <w:bookmarkEnd w:id="286"/>
      <w:bookmarkEnd w:id="287"/>
      <w:bookmarkEnd w:id="288"/>
      <w:bookmarkEnd w:id="289"/>
      <w:bookmarkEnd w:id="290"/>
    </w:p>
    <w:p w14:paraId="1D38599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6667E5C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13EA92B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91" w:name="_Toc27403"/>
      <w:bookmarkStart w:id="292" w:name="_Toc22266"/>
      <w:bookmarkStart w:id="293" w:name="_Toc1492"/>
      <w:bookmarkStart w:id="294" w:name="_Toc15642"/>
      <w:bookmarkStart w:id="295" w:name="_Toc279701264"/>
      <w:bookmarkStart w:id="296" w:name="_Toc27127"/>
      <w:bookmarkStart w:id="297" w:name="_Toc30096"/>
      <w:bookmarkStart w:id="298" w:name="_Toc259093693"/>
      <w:bookmarkStart w:id="299" w:name="_Toc487900374"/>
      <w:r>
        <w:rPr>
          <w:rFonts w:hint="eastAsia" w:asciiTheme="minorEastAsia" w:hAnsiTheme="minorEastAsia" w:eastAsiaTheme="minorEastAsia" w:cstheme="minorEastAsia"/>
          <w:b/>
          <w:color w:val="auto"/>
          <w:sz w:val="24"/>
          <w:highlight w:val="none"/>
        </w:rPr>
        <w:t>2.18 履约保证金</w:t>
      </w:r>
      <w:bookmarkEnd w:id="291"/>
      <w:bookmarkEnd w:id="292"/>
      <w:bookmarkEnd w:id="293"/>
      <w:bookmarkEnd w:id="294"/>
      <w:bookmarkEnd w:id="295"/>
      <w:bookmarkEnd w:id="296"/>
      <w:bookmarkEnd w:id="297"/>
      <w:bookmarkEnd w:id="298"/>
    </w:p>
    <w:p w14:paraId="067DECD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2.18.1 采购文件要求乙方提交履约保证金的，乙方应按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定的方式，以支票、汇票、本票或者金融机构、担保机构出具的保函等非现金形式，提交不超过合同价10%的履约保证金；</w:t>
      </w:r>
    </w:p>
    <w:p w14:paraId="195F5C6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2.18.2 履约保证金在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约定期间内不予退还或者应完全有效，前述约定期间届满之日起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个工作日内，甲方应将履约保证金退还乙方；</w:t>
      </w:r>
    </w:p>
    <w:p w14:paraId="4B33682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14:paraId="007C88E1">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 合同份数</w:t>
      </w:r>
    </w:p>
    <w:p w14:paraId="5FDA30C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05E7D478">
      <w:pPr>
        <w:pStyle w:val="106"/>
        <w:spacing w:line="560" w:lineRule="exact"/>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br w:type="page"/>
      </w:r>
      <w:bookmarkStart w:id="300" w:name="_Toc331685784"/>
      <w:r>
        <w:rPr>
          <w:rFonts w:hint="eastAsia" w:asciiTheme="minorEastAsia" w:hAnsiTheme="minorEastAsia" w:eastAsiaTheme="minorEastAsia" w:cstheme="minorEastAsia"/>
          <w:b/>
          <w:color w:val="auto"/>
          <w:szCs w:val="24"/>
          <w:highlight w:val="none"/>
        </w:rPr>
        <w:t>第三部分  合同专用条款</w:t>
      </w:r>
      <w:bookmarkEnd w:id="300"/>
    </w:p>
    <w:p w14:paraId="0CC6FEE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1DC5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0FBCA7C9">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7633" w:type="dxa"/>
            <w:noWrap w:val="0"/>
            <w:vAlign w:val="center"/>
          </w:tcPr>
          <w:p w14:paraId="1E7675E7">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4FA66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0B63DD20">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2E65776A">
            <w:pPr>
              <w:spacing w:line="560" w:lineRule="exact"/>
              <w:rPr>
                <w:rFonts w:hint="eastAsia" w:asciiTheme="minorEastAsia" w:hAnsiTheme="minorEastAsia" w:eastAsiaTheme="minorEastAsia" w:cstheme="minorEastAsia"/>
                <w:color w:val="auto"/>
                <w:sz w:val="24"/>
                <w:highlight w:val="none"/>
              </w:rPr>
            </w:pPr>
          </w:p>
        </w:tc>
      </w:tr>
      <w:tr w14:paraId="20DA9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5ACB781">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4F3A610D">
            <w:pPr>
              <w:spacing w:line="560" w:lineRule="exact"/>
              <w:rPr>
                <w:rFonts w:hint="eastAsia" w:asciiTheme="minorEastAsia" w:hAnsiTheme="minorEastAsia" w:eastAsiaTheme="minorEastAsia" w:cstheme="minorEastAsia"/>
                <w:color w:val="auto"/>
                <w:sz w:val="24"/>
                <w:highlight w:val="none"/>
              </w:rPr>
            </w:pPr>
          </w:p>
        </w:tc>
      </w:tr>
      <w:tr w14:paraId="0AB56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DB5009C">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7C2D38F4">
            <w:pPr>
              <w:spacing w:line="560" w:lineRule="exact"/>
              <w:rPr>
                <w:rFonts w:hint="eastAsia" w:asciiTheme="minorEastAsia" w:hAnsiTheme="minorEastAsia" w:eastAsiaTheme="minorEastAsia" w:cstheme="minorEastAsia"/>
                <w:color w:val="auto"/>
                <w:sz w:val="24"/>
                <w:highlight w:val="none"/>
              </w:rPr>
            </w:pPr>
          </w:p>
        </w:tc>
      </w:tr>
      <w:tr w14:paraId="2767F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A402B77">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0DAB2879">
            <w:pPr>
              <w:spacing w:line="560" w:lineRule="exact"/>
              <w:rPr>
                <w:rFonts w:hint="eastAsia" w:asciiTheme="minorEastAsia" w:hAnsiTheme="minorEastAsia" w:eastAsiaTheme="minorEastAsia" w:cstheme="minorEastAsia"/>
                <w:color w:val="auto"/>
                <w:sz w:val="24"/>
                <w:highlight w:val="none"/>
              </w:rPr>
            </w:pPr>
          </w:p>
        </w:tc>
      </w:tr>
      <w:tr w14:paraId="23037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07FAF75">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56894A03">
            <w:pPr>
              <w:spacing w:line="560" w:lineRule="exact"/>
              <w:rPr>
                <w:rFonts w:hint="eastAsia" w:asciiTheme="minorEastAsia" w:hAnsiTheme="minorEastAsia" w:eastAsiaTheme="minorEastAsia" w:cstheme="minorEastAsia"/>
                <w:color w:val="auto"/>
                <w:sz w:val="24"/>
                <w:highlight w:val="none"/>
                <w:u w:val="single"/>
              </w:rPr>
            </w:pPr>
          </w:p>
        </w:tc>
      </w:tr>
      <w:tr w14:paraId="0A73D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4025261">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6D09187A">
            <w:pPr>
              <w:spacing w:line="560" w:lineRule="exact"/>
              <w:rPr>
                <w:rFonts w:hint="eastAsia" w:asciiTheme="minorEastAsia" w:hAnsiTheme="minorEastAsia" w:eastAsiaTheme="minorEastAsia" w:cstheme="minorEastAsia"/>
                <w:color w:val="auto"/>
                <w:sz w:val="24"/>
                <w:highlight w:val="none"/>
              </w:rPr>
            </w:pPr>
          </w:p>
        </w:tc>
      </w:tr>
      <w:tr w14:paraId="020D5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0DB47A9">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3565879">
            <w:pPr>
              <w:spacing w:line="560" w:lineRule="exact"/>
              <w:rPr>
                <w:rFonts w:hint="eastAsia" w:asciiTheme="minorEastAsia" w:hAnsiTheme="minorEastAsia" w:eastAsiaTheme="minorEastAsia" w:cstheme="minorEastAsia"/>
                <w:color w:val="auto"/>
                <w:sz w:val="24"/>
                <w:highlight w:val="none"/>
                <w:u w:val="single"/>
              </w:rPr>
            </w:pPr>
          </w:p>
        </w:tc>
      </w:tr>
      <w:tr w14:paraId="1CDC4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3CEB605">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2936BF6">
            <w:pPr>
              <w:spacing w:line="560" w:lineRule="exact"/>
              <w:rPr>
                <w:rFonts w:hint="eastAsia" w:asciiTheme="minorEastAsia" w:hAnsiTheme="minorEastAsia" w:eastAsiaTheme="minorEastAsia" w:cstheme="minorEastAsia"/>
                <w:color w:val="auto"/>
                <w:sz w:val="24"/>
                <w:highlight w:val="none"/>
              </w:rPr>
            </w:pPr>
          </w:p>
        </w:tc>
      </w:tr>
      <w:tr w14:paraId="0390A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A0010B">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1218F5B7">
            <w:pPr>
              <w:spacing w:line="560" w:lineRule="exact"/>
              <w:rPr>
                <w:rFonts w:hint="eastAsia" w:asciiTheme="minorEastAsia" w:hAnsiTheme="minorEastAsia" w:eastAsiaTheme="minorEastAsia" w:cstheme="minorEastAsia"/>
                <w:color w:val="auto"/>
                <w:sz w:val="24"/>
                <w:highlight w:val="none"/>
              </w:rPr>
            </w:pPr>
          </w:p>
        </w:tc>
      </w:tr>
      <w:tr w14:paraId="787CB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D25EB18">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7EA4A784">
            <w:pPr>
              <w:spacing w:line="560" w:lineRule="exact"/>
              <w:rPr>
                <w:rFonts w:hint="eastAsia" w:asciiTheme="minorEastAsia" w:hAnsiTheme="minorEastAsia" w:eastAsiaTheme="minorEastAsia" w:cstheme="minorEastAsia"/>
                <w:color w:val="auto"/>
                <w:sz w:val="24"/>
                <w:highlight w:val="none"/>
              </w:rPr>
            </w:pPr>
          </w:p>
        </w:tc>
      </w:tr>
      <w:tr w14:paraId="33B80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387F3C5">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43DAD617">
            <w:pPr>
              <w:spacing w:line="560" w:lineRule="exact"/>
              <w:rPr>
                <w:rFonts w:hint="eastAsia" w:asciiTheme="minorEastAsia" w:hAnsiTheme="minorEastAsia" w:eastAsiaTheme="minorEastAsia" w:cstheme="minorEastAsia"/>
                <w:color w:val="auto"/>
                <w:sz w:val="24"/>
                <w:highlight w:val="none"/>
              </w:rPr>
            </w:pPr>
          </w:p>
        </w:tc>
      </w:tr>
      <w:tr w14:paraId="0E9BF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7F07508">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D0F2ECB">
            <w:pPr>
              <w:spacing w:line="560" w:lineRule="exact"/>
              <w:rPr>
                <w:rFonts w:hint="eastAsia" w:asciiTheme="minorEastAsia" w:hAnsiTheme="minorEastAsia" w:eastAsiaTheme="minorEastAsia" w:cstheme="minorEastAsia"/>
                <w:color w:val="auto"/>
                <w:sz w:val="24"/>
                <w:highlight w:val="none"/>
              </w:rPr>
            </w:pPr>
          </w:p>
        </w:tc>
      </w:tr>
    </w:tbl>
    <w:p w14:paraId="5D97A647">
      <w:pPr>
        <w:pStyle w:val="12"/>
        <w:spacing w:line="360" w:lineRule="auto"/>
        <w:ind w:left="540" w:leftChars="257" w:hanging="540"/>
        <w:rPr>
          <w:rFonts w:hint="eastAsia" w:asciiTheme="minorEastAsia" w:hAnsiTheme="minorEastAsia" w:eastAsiaTheme="minorEastAsia" w:cstheme="minorEastAsia"/>
          <w:color w:val="auto"/>
          <w:sz w:val="28"/>
          <w:highlight w:val="none"/>
          <w:lang w:val="en-US" w:eastAsia="zh-CN"/>
        </w:rPr>
      </w:pPr>
    </w:p>
    <w:p w14:paraId="1EEE7937">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06B06235">
      <w:pPr>
        <w:pStyle w:val="16"/>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062C55E4">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1C0898E3">
      <w:pPr>
        <w:tabs>
          <w:tab w:val="left" w:pos="6300"/>
        </w:tabs>
        <w:snapToGrid w:val="0"/>
        <w:spacing w:line="312" w:lineRule="auto"/>
        <w:ind w:right="480"/>
        <w:jc w:val="both"/>
        <w:rPr>
          <w:rFonts w:ascii="黑体" w:hAnsi="黑体" w:eastAsia="黑体"/>
          <w:color w:val="auto"/>
          <w:highlight w:val="none"/>
        </w:rPr>
      </w:pPr>
      <w:r>
        <w:rPr>
          <w:rFonts w:hint="eastAsia" w:ascii="宋体" w:hAnsi="宋体" w:eastAsia="宋体" w:cs="宋体"/>
          <w:b/>
          <w:color w:val="auto"/>
          <w:sz w:val="32"/>
          <w:szCs w:val="32"/>
          <w:highlight w:val="none"/>
          <w:u w:val="single"/>
        </w:rPr>
        <w:br w:type="page"/>
      </w:r>
    </w:p>
    <w:p w14:paraId="5BD786DC">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301" w:name="_Toc28060"/>
      <w:r>
        <w:rPr>
          <w:rFonts w:hint="eastAsia" w:asciiTheme="minorEastAsia" w:hAnsiTheme="minorEastAsia" w:eastAsiaTheme="minorEastAsia" w:cstheme="minorEastAsia"/>
          <w:color w:val="auto"/>
          <w:spacing w:val="0"/>
          <w:position w:val="0"/>
          <w:highlight w:val="none"/>
        </w:rPr>
        <w:t>竞争性磋商响应文件格式</w:t>
      </w:r>
      <w:bookmarkEnd w:id="96"/>
      <w:bookmarkEnd w:id="301"/>
    </w:p>
    <w:p w14:paraId="0E3EFC4D">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2E15745">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一、封面</w:t>
      </w:r>
    </w:p>
    <w:p w14:paraId="6BFEACF7">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w:t>
      </w:r>
      <w:r>
        <w:rPr>
          <w:rFonts w:hint="eastAsia" w:asciiTheme="minorEastAsia" w:hAnsiTheme="minorEastAsia" w:eastAsiaTheme="minorEastAsia" w:cstheme="minorEastAsia"/>
          <w:b/>
          <w:color w:val="auto"/>
          <w:spacing w:val="0"/>
          <w:position w:val="0"/>
          <w:sz w:val="28"/>
          <w:highlight w:val="none"/>
          <w:lang w:eastAsia="zh-CN"/>
        </w:rPr>
        <w:t>响应文件</w:t>
      </w:r>
      <w:r>
        <w:rPr>
          <w:rFonts w:hint="eastAsia" w:asciiTheme="minorEastAsia" w:hAnsiTheme="minorEastAsia" w:eastAsiaTheme="minorEastAsia" w:cstheme="minorEastAsia"/>
          <w:b/>
          <w:color w:val="auto"/>
          <w:spacing w:val="0"/>
          <w:position w:val="0"/>
          <w:sz w:val="28"/>
          <w:highlight w:val="none"/>
        </w:rPr>
        <w:t>封面</w:t>
      </w:r>
    </w:p>
    <w:p w14:paraId="76F2E8FC">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p>
    <w:p w14:paraId="7EFD9A9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6004E4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w:t>
      </w:r>
    </w:p>
    <w:p w14:paraId="6D90899D">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（项目编号）</w:t>
      </w:r>
    </w:p>
    <w:p w14:paraId="456A110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non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val="en-US" w:eastAsia="zh-CN"/>
        </w:rPr>
        <w:t>标项</w:t>
      </w:r>
      <w:r>
        <w:rPr>
          <w:rFonts w:hint="eastAsia" w:asciiTheme="minorEastAsia" w:hAnsiTheme="minorEastAsia" w:eastAsiaTheme="minorEastAsia" w:cstheme="minorEastAsia"/>
          <w:color w:val="auto"/>
          <w:spacing w:val="0"/>
          <w:position w:val="0"/>
          <w:sz w:val="28"/>
          <w:szCs w:val="28"/>
          <w:highlight w:val="none"/>
        </w:rPr>
        <w:t>名称）</w:t>
      </w:r>
    </w:p>
    <w:p w14:paraId="5DC01576">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17F88C38">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2C02E4BB">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lang w:val="en-US" w:eastAsia="zh-CN"/>
        </w:rPr>
        <w:t>响应</w:t>
      </w:r>
      <w:r>
        <w:rPr>
          <w:rFonts w:hint="eastAsia" w:asciiTheme="minorEastAsia" w:hAnsiTheme="minorEastAsia" w:eastAsiaTheme="minorEastAsia" w:cstheme="minorEastAsia"/>
          <w:b/>
          <w:color w:val="auto"/>
          <w:spacing w:val="0"/>
          <w:position w:val="0"/>
          <w:sz w:val="72"/>
          <w:szCs w:val="72"/>
          <w:highlight w:val="none"/>
        </w:rPr>
        <w:t>文件</w:t>
      </w:r>
    </w:p>
    <w:p w14:paraId="2BB26AA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8AD745D">
      <w:pPr>
        <w:pageBreakBefore w:val="0"/>
        <w:kinsoku/>
        <w:overflowPunct/>
        <w:topLinePunct w:val="0"/>
        <w:bidi w:val="0"/>
        <w:spacing w:line="360" w:lineRule="auto"/>
        <w:jc w:val="both"/>
        <w:rPr>
          <w:rFonts w:hint="eastAsia" w:asciiTheme="minorEastAsia" w:hAnsiTheme="minorEastAsia" w:eastAsiaTheme="minorEastAsia" w:cstheme="minorEastAsia"/>
          <w:b/>
          <w:color w:val="auto"/>
          <w:spacing w:val="0"/>
          <w:position w:val="0"/>
          <w:sz w:val="28"/>
          <w:highlight w:val="none"/>
        </w:rPr>
      </w:pPr>
    </w:p>
    <w:p w14:paraId="4C9F681E">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41B90FF4">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4B10772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1843BC86">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（电子签章）</w:t>
      </w:r>
    </w:p>
    <w:p w14:paraId="13C0F9B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（年/月/日）</w:t>
      </w:r>
    </w:p>
    <w:p w14:paraId="0BC695CE">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92CDE0A">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02" w:name="_Toc6145"/>
      <w:bookmarkStart w:id="303" w:name="_Toc28612"/>
      <w:r>
        <w:rPr>
          <w:rFonts w:hint="eastAsia" w:asciiTheme="minorEastAsia" w:hAnsiTheme="minorEastAsia" w:eastAsiaTheme="minorEastAsia" w:cstheme="minorEastAsia"/>
          <w:color w:val="auto"/>
          <w:spacing w:val="0"/>
          <w:position w:val="0"/>
          <w:highlight w:val="none"/>
        </w:rPr>
        <w:t>一、</w:t>
      </w:r>
      <w:r>
        <w:rPr>
          <w:rFonts w:hint="eastAsia" w:asciiTheme="minorEastAsia" w:hAnsiTheme="minorEastAsia" w:eastAsiaTheme="minorEastAsia" w:cstheme="minorEastAsia"/>
          <w:color w:val="auto"/>
          <w:spacing w:val="0"/>
          <w:position w:val="0"/>
          <w:highlight w:val="none"/>
          <w:lang w:val="en-US" w:eastAsia="zh-CN"/>
        </w:rPr>
        <w:t>资格审查材料</w:t>
      </w:r>
      <w:bookmarkEnd w:id="302"/>
      <w:bookmarkEnd w:id="303"/>
    </w:p>
    <w:p w14:paraId="35CCAABC">
      <w:pPr>
        <w:pStyle w:val="90"/>
        <w:pageBreakBefore w:val="0"/>
        <w:widowControl/>
        <w:kinsoku/>
        <w:wordWrap/>
        <w:overflowPunct/>
        <w:topLinePunct w:val="0"/>
        <w:bidi w:val="0"/>
        <w:snapToGrid/>
        <w:spacing w:before="0" w:beforeAutospacing="0" w:after="0" w:afterAutospacing="0" w:line="240" w:lineRule="auto"/>
        <w:jc w:val="both"/>
        <w:textAlignment w:val="baseline"/>
        <w:rPr>
          <w:rStyle w:val="7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7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1、</w:t>
      </w:r>
      <w:r>
        <w:rPr>
          <w:rStyle w:val="77"/>
          <w:rFonts w:hint="eastAsia" w:asciiTheme="minorEastAsia" w:hAnsiTheme="minorEastAsia" w:eastAsiaTheme="minorEastAsia" w:cstheme="minorEastAsia"/>
          <w:b/>
          <w:i w:val="0"/>
          <w:caps w:val="0"/>
          <w:color w:val="auto"/>
          <w:spacing w:val="0"/>
          <w:w w:val="100"/>
          <w:position w:val="0"/>
          <w:sz w:val="32"/>
          <w:szCs w:val="24"/>
          <w:highlight w:val="none"/>
          <w:lang w:bidi="ar-SA"/>
        </w:rPr>
        <w:t>《中华人民共和国政府采购法》第二十二条应当具备的条件；</w:t>
      </w:r>
    </w:p>
    <w:p w14:paraId="215B34A8">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388AEBDB">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316FAB9B">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5E46C5E9">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1FC15EAE">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2C50345A">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279F28B6">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088BE6A6">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6FE8BCD4">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32C862A3">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7099698F">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13E04456">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5EF59DD1">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7751A015">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422A08A3">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556F74AE">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5A86CDD2">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0BDF9B1A">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1E524A0D">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44772345">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63A0EF47">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7C4DB2FC">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7E06C472">
      <w:pPr>
        <w:pStyle w:val="96"/>
        <w:pageBreakBefore w:val="0"/>
        <w:kinsoku/>
        <w:wordWrap/>
        <w:overflowPunct/>
        <w:topLinePunct w:val="0"/>
        <w:bidi w:val="0"/>
        <w:snapToGrid/>
        <w:spacing w:before="0" w:beforeAutospacing="0" w:after="0" w:afterAutospacing="0" w:line="24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74870D95">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7C874F28">
      <w:pPr>
        <w:pStyle w:val="93"/>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250072A9">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1F98BDE1">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4FA361F">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3C8D79B0">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7838D38D">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6CFC5E09">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681D8231">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686057F5">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9B60312">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08FF5472">
      <w:pPr>
        <w:pStyle w:val="94"/>
        <w:pageBreakBefore w:val="0"/>
        <w:widowControl/>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2ADC74C5">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4813D9E">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3E847048">
      <w:pPr>
        <w:pStyle w:val="95"/>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3C4DC18D">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3533DE20">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787B4DE">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70263F23">
      <w:pPr>
        <w:pStyle w:val="97"/>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37C32024">
      <w:pPr>
        <w:pStyle w:val="2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440" w:lineRule="exact"/>
        <w:ind w:leftChars="0"/>
        <w:textAlignment w:val="auto"/>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本项目的特定资格要求：</w:t>
      </w:r>
      <w:r>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t>/</w:t>
      </w:r>
    </w:p>
    <w:p w14:paraId="710D8B2A">
      <w:pPr>
        <w:pStyle w:val="41"/>
        <w:numPr>
          <w:ilvl w:val="0"/>
          <w:numId w:val="0"/>
        </w:numPr>
        <w:wordWrap w:val="0"/>
        <w:jc w:val="both"/>
        <w:rPr>
          <w:rFonts w:hint="eastAsia"/>
          <w:color w:val="auto"/>
          <w:highlight w:val="none"/>
          <w:lang w:val="en-US" w:eastAsia="zh-CN"/>
        </w:rPr>
      </w:pPr>
    </w:p>
    <w:p w14:paraId="5221A6CE">
      <w:pPr>
        <w:rPr>
          <w:rFonts w:hint="eastAsia"/>
          <w:color w:val="auto"/>
          <w:highlight w:val="none"/>
          <w:lang w:val="en-US" w:eastAsia="zh-CN"/>
        </w:rPr>
      </w:pPr>
    </w:p>
    <w:p w14:paraId="7D8F0F7B">
      <w:pPr>
        <w:rPr>
          <w:rFonts w:hint="eastAsia"/>
          <w:color w:val="auto"/>
          <w:highlight w:val="none"/>
          <w:lang w:val="en-US" w:eastAsia="zh-CN"/>
        </w:rPr>
      </w:pPr>
    </w:p>
    <w:p w14:paraId="6ABA1299">
      <w:pPr>
        <w:pStyle w:val="75"/>
        <w:pageBreakBefore w:val="0"/>
        <w:kinsoku/>
        <w:overflowPunct/>
        <w:topLinePunct w:val="0"/>
        <w:bidi w:val="0"/>
        <w:ind w:firstLine="482" w:firstLineChars="200"/>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i w:val="0"/>
          <w:caps w:val="0"/>
          <w:color w:val="auto"/>
          <w:spacing w:val="0"/>
          <w:w w:val="100"/>
          <w:position w:val="0"/>
          <w:sz w:val="24"/>
          <w:szCs w:val="21"/>
          <w:highlight w:val="none"/>
          <w:lang w:bidi="ar-SA"/>
        </w:rPr>
        <w:t>上述供应商须提供的资格证明文件均应为有效文件并加盖本单位公章且给定内容及格式的，不得更改格式及内容，否则视为不响应。上述文件为供应商必须达到的资格要求，如有任意一条未明确响应将按无效投标处理。</w:t>
      </w:r>
    </w:p>
    <w:p w14:paraId="40088259">
      <w:pPr>
        <w:pStyle w:val="75"/>
        <w:pageBreakBefore w:val="0"/>
        <w:kinsoku/>
        <w:overflowPunct/>
        <w:topLinePunct w:val="0"/>
        <w:bidi w:val="0"/>
        <w:ind w:firstLine="480" w:firstLineChars="200"/>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4F523F2">
      <w:pPr>
        <w:pStyle w:val="17"/>
        <w:pageBreakBefore w:val="0"/>
        <w:tabs>
          <w:tab w:val="left" w:pos="8786"/>
        </w:tabs>
        <w:kinsoku/>
        <w:overflowPunct/>
        <w:topLinePunct w:val="0"/>
        <w:bidi w:val="0"/>
        <w:spacing w:after="0" w:line="360" w:lineRule="auto"/>
        <w:outlineLvl w:val="9"/>
        <w:rPr>
          <w:rFonts w:hint="eastAsia" w:asciiTheme="minorEastAsia" w:hAnsiTheme="minorEastAsia" w:eastAsiaTheme="minorEastAsia" w:cstheme="minorEastAsia"/>
          <w:b/>
          <w:color w:val="auto"/>
          <w:spacing w:val="0"/>
          <w:kern w:val="0"/>
          <w:position w:val="0"/>
          <w:sz w:val="24"/>
          <w:highlight w:val="none"/>
          <w:lang w:val="en-US" w:eastAsia="zh-CN"/>
        </w:rPr>
      </w:pPr>
    </w:p>
    <w:p w14:paraId="0B23CDBC">
      <w:pPr>
        <w:pStyle w:val="17"/>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1CF910CF">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3.中小企业声明函</w:t>
      </w:r>
    </w:p>
    <w:p w14:paraId="1C265388">
      <w:pPr>
        <w:pageBreakBefore w:val="0"/>
        <w:shd w:val="clear" w:color="auto" w:fill="FFFFFF"/>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中小企业声明函（工程、服务）</w:t>
      </w:r>
    </w:p>
    <w:p w14:paraId="4B345443">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1"/>
          <w:szCs w:val="21"/>
          <w:highlight w:val="none"/>
        </w:rPr>
      </w:pPr>
    </w:p>
    <w:p w14:paraId="5ECA75F7">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67D0EB9D">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1、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b/>
          <w:bCs/>
          <w:color w:val="auto"/>
          <w:spacing w:val="0"/>
          <w:kern w:val="2"/>
          <w:positio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38E9326B">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38EF88AE">
      <w:pPr>
        <w:pStyle w:val="82"/>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21D9B232">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7B56E815">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01DFA3C0">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43335079">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79515B49">
      <w:pPr>
        <w:pStyle w:val="86"/>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700B3CA8">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0DB13BEE">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1A3DE27E">
      <w:pPr>
        <w:pStyle w:val="82"/>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54E907E6">
      <w:pPr>
        <w:pStyle w:val="82"/>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774A2399">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2A7AFB69">
      <w:pPr>
        <w:pStyle w:val="82"/>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35A2C8F0">
      <w:pPr>
        <w:pStyle w:val="88"/>
        <w:pageBreakBefore w:val="0"/>
        <w:tabs>
          <w:tab w:val="left" w:pos="8786"/>
        </w:tabs>
        <w:kinsoku/>
        <w:overflowPunct/>
        <w:topLinePunct w:val="0"/>
        <w:bidi w:val="0"/>
        <w:spacing w:after="0" w:line="440" w:lineRule="exact"/>
        <w:rPr>
          <w:rStyle w:val="77"/>
          <w:rFonts w:hint="eastAsia" w:asciiTheme="minorEastAsia" w:hAnsiTheme="minorEastAsia" w:eastAsiaTheme="minorEastAsia" w:cstheme="minorEastAsia"/>
          <w:b/>
          <w:color w:val="auto"/>
          <w:spacing w:val="0"/>
          <w:position w:val="0"/>
          <w:sz w:val="21"/>
          <w:szCs w:val="21"/>
          <w:highlight w:val="none"/>
        </w:rPr>
      </w:pPr>
    </w:p>
    <w:p w14:paraId="6E4FE2C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A883024">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04" w:name="_Toc446599332"/>
      <w:bookmarkStart w:id="305" w:name="_Toc485895990"/>
      <w:bookmarkStart w:id="306" w:name="_Toc293736071"/>
      <w:bookmarkStart w:id="307" w:name="_Toc29905"/>
      <w:bookmarkStart w:id="308" w:name="_Toc293736028"/>
      <w:bookmarkStart w:id="309" w:name="_Toc293739009"/>
      <w:bookmarkStart w:id="310" w:name="_Toc14131"/>
      <w:r>
        <w:rPr>
          <w:rFonts w:hint="eastAsia" w:asciiTheme="minorEastAsia" w:hAnsiTheme="minorEastAsia" w:eastAsiaTheme="minorEastAsia" w:cstheme="minorEastAsia"/>
          <w:color w:val="auto"/>
          <w:spacing w:val="0"/>
          <w:position w:val="0"/>
          <w:highlight w:val="none"/>
          <w:lang w:val="en-US" w:eastAsia="zh-CN"/>
        </w:rPr>
        <w:t>二</w:t>
      </w:r>
      <w:r>
        <w:rPr>
          <w:rFonts w:hint="eastAsia" w:asciiTheme="minorEastAsia" w:hAnsiTheme="minorEastAsia" w:eastAsiaTheme="minorEastAsia" w:cstheme="minorEastAsia"/>
          <w:color w:val="auto"/>
          <w:spacing w:val="0"/>
          <w:position w:val="0"/>
          <w:highlight w:val="none"/>
        </w:rPr>
        <w:t>、商务文件组成</w:t>
      </w:r>
      <w:bookmarkEnd w:id="97"/>
      <w:bookmarkEnd w:id="304"/>
      <w:bookmarkEnd w:id="305"/>
      <w:bookmarkEnd w:id="306"/>
      <w:bookmarkEnd w:id="307"/>
      <w:bookmarkEnd w:id="308"/>
      <w:bookmarkEnd w:id="309"/>
      <w:bookmarkEnd w:id="310"/>
    </w:p>
    <w:p w14:paraId="4AA3336D">
      <w:pPr>
        <w:pageBreakBefore w:val="0"/>
        <w:kinsoku/>
        <w:overflowPunct/>
        <w:topLinePunct w:val="0"/>
        <w:autoSpaceDE w:val="0"/>
        <w:autoSpaceDN w:val="0"/>
        <w:bidi w:val="0"/>
        <w:adjustRightInd w:val="0"/>
        <w:spacing w:line="500" w:lineRule="exact"/>
        <w:ind w:firstLine="140"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商务文件目录</w:t>
      </w:r>
    </w:p>
    <w:p w14:paraId="651CD970">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1、竞争性磋商响应函；</w:t>
      </w:r>
    </w:p>
    <w:p w14:paraId="3F6468D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2、法定授权人委托书。</w:t>
      </w:r>
    </w:p>
    <w:p w14:paraId="13BD4293">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3、开标一览表；</w:t>
      </w:r>
    </w:p>
    <w:p w14:paraId="75743285">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4、竞争性磋商报价明细表</w:t>
      </w:r>
    </w:p>
    <w:p w14:paraId="732520A7">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5、项目管理机构配备情况</w:t>
      </w:r>
      <w:r>
        <w:rPr>
          <w:rFonts w:hint="eastAsia" w:asciiTheme="minorEastAsia" w:hAnsiTheme="minorEastAsia" w:eastAsiaTheme="minorEastAsia" w:cstheme="minorEastAsia"/>
          <w:color w:val="auto"/>
          <w:spacing w:val="0"/>
          <w:kern w:val="0"/>
          <w:position w:val="0"/>
          <w:sz w:val="28"/>
          <w:szCs w:val="28"/>
          <w:highlight w:val="none"/>
        </w:rPr>
        <w:t>；</w:t>
      </w:r>
    </w:p>
    <w:p w14:paraId="461716C1">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6</w:t>
      </w:r>
      <w:r>
        <w:rPr>
          <w:rFonts w:hint="eastAsia" w:asciiTheme="minorEastAsia" w:hAnsiTheme="minorEastAsia" w:eastAsiaTheme="minorEastAsia" w:cstheme="minorEastAsia"/>
          <w:color w:val="auto"/>
          <w:spacing w:val="0"/>
          <w:kern w:val="0"/>
          <w:position w:val="0"/>
          <w:sz w:val="28"/>
          <w:szCs w:val="28"/>
          <w:highlight w:val="none"/>
        </w:rPr>
        <w:t>、供应商类似项目业绩表；</w:t>
      </w:r>
    </w:p>
    <w:p w14:paraId="446351B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7</w:t>
      </w:r>
      <w:r>
        <w:rPr>
          <w:rFonts w:hint="eastAsia" w:asciiTheme="minorEastAsia" w:hAnsiTheme="minorEastAsia" w:eastAsiaTheme="minorEastAsia" w:cstheme="minorEastAsia"/>
          <w:color w:val="auto"/>
          <w:spacing w:val="0"/>
          <w:kern w:val="0"/>
          <w:position w:val="0"/>
          <w:sz w:val="28"/>
          <w:szCs w:val="28"/>
          <w:highlight w:val="none"/>
        </w:rPr>
        <w:t>、磋商文件要求提供或供应商认为需提供的其它资料；</w:t>
      </w:r>
    </w:p>
    <w:p w14:paraId="57426EF5">
      <w:pPr>
        <w:pageBreakBefore w:val="0"/>
        <w:kinsoku/>
        <w:overflowPunct/>
        <w:topLinePunct w:val="0"/>
        <w:autoSpaceDE w:val="0"/>
        <w:autoSpaceDN w:val="0"/>
        <w:bidi w:val="0"/>
        <w:adjustRightInd w:val="0"/>
        <w:spacing w:line="500" w:lineRule="exact"/>
        <w:ind w:firstLine="141"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b/>
          <w:color w:val="auto"/>
          <w:spacing w:val="0"/>
          <w:kern w:val="0"/>
          <w:position w:val="0"/>
          <w:sz w:val="28"/>
          <w:szCs w:val="28"/>
          <w:highlight w:val="none"/>
        </w:rPr>
        <w:br w:type="page"/>
      </w:r>
    </w:p>
    <w:p w14:paraId="0AE05623">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11" w:name="_Toc485895991"/>
      <w:bookmarkStart w:id="312" w:name="_Toc13369"/>
      <w:bookmarkStart w:id="313" w:name="_Toc7265"/>
      <w:r>
        <w:rPr>
          <w:rFonts w:hint="eastAsia" w:asciiTheme="minorEastAsia" w:hAnsiTheme="minorEastAsia" w:eastAsiaTheme="minorEastAsia" w:cstheme="minorEastAsia"/>
          <w:color w:val="auto"/>
          <w:spacing w:val="0"/>
          <w:position w:val="0"/>
          <w:highlight w:val="none"/>
          <w:lang w:val="en-US" w:eastAsia="zh-CN"/>
        </w:rPr>
        <w:t>1、</w:t>
      </w:r>
      <w:r>
        <w:rPr>
          <w:rFonts w:hint="eastAsia" w:asciiTheme="minorEastAsia" w:hAnsiTheme="minorEastAsia" w:eastAsiaTheme="minorEastAsia" w:cstheme="minorEastAsia"/>
          <w:color w:val="auto"/>
          <w:spacing w:val="0"/>
          <w:position w:val="0"/>
          <w:highlight w:val="none"/>
        </w:rPr>
        <w:t>竞争性磋商函</w:t>
      </w:r>
      <w:bookmarkEnd w:id="311"/>
      <w:bookmarkEnd w:id="312"/>
      <w:bookmarkEnd w:id="313"/>
    </w:p>
    <w:p w14:paraId="2CAFA28E">
      <w:pPr>
        <w:pageBreakBefore w:val="0"/>
        <w:kinsoku/>
        <w:overflowPunct/>
        <w:topLinePunct w:val="0"/>
        <w:bidi w:val="0"/>
        <w:adjustRightInd w:val="0"/>
        <w:snapToGrid w:val="0"/>
        <w:spacing w:line="400" w:lineRule="exact"/>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single"/>
        </w:rPr>
        <w:t>（代理机构名称）</w:t>
      </w:r>
      <w:r>
        <w:rPr>
          <w:rFonts w:hint="eastAsia" w:asciiTheme="minorEastAsia" w:hAnsiTheme="minorEastAsia" w:eastAsiaTheme="minorEastAsia" w:cstheme="minorEastAsia"/>
          <w:color w:val="auto"/>
          <w:spacing w:val="0"/>
          <w:position w:val="0"/>
          <w:sz w:val="28"/>
          <w:szCs w:val="28"/>
          <w:highlight w:val="none"/>
        </w:rPr>
        <w:t>：</w:t>
      </w:r>
    </w:p>
    <w:p w14:paraId="4932AE12">
      <w:pPr>
        <w:pageBreakBefore w:val="0"/>
        <w:kinsoku/>
        <w:overflowPunct/>
        <w:topLinePunct w:val="0"/>
        <w:autoSpaceDE w:val="0"/>
        <w:autoSpaceDN w:val="0"/>
        <w:bidi w:val="0"/>
        <w:adjustRightInd w:val="0"/>
        <w:spacing w:line="400" w:lineRule="exact"/>
        <w:ind w:right="26" w:firstLine="560" w:firstLineChars="200"/>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8"/>
          <w:szCs w:val="28"/>
          <w:highlight w:val="none"/>
        </w:rPr>
        <w:t>依据贵方</w:t>
      </w:r>
      <w:r>
        <w:rPr>
          <w:rFonts w:hint="eastAsia" w:asciiTheme="minorEastAsia" w:hAnsiTheme="minorEastAsia" w:eastAsiaTheme="minorEastAsia" w:cstheme="minorEastAsia"/>
          <w:color w:val="auto"/>
          <w:spacing w:val="0"/>
          <w:position w:val="0"/>
          <w:sz w:val="28"/>
          <w:szCs w:val="28"/>
          <w:highlight w:val="none"/>
          <w:u w:val="single"/>
        </w:rPr>
        <w:t xml:space="preserve"> (采购项目名称/采购项目编号) </w:t>
      </w:r>
      <w:r>
        <w:rPr>
          <w:rFonts w:hint="eastAsia" w:asciiTheme="minorEastAsia" w:hAnsiTheme="minorEastAsia" w:eastAsiaTheme="minorEastAsia" w:cstheme="minorEastAsia"/>
          <w:color w:val="auto"/>
          <w:spacing w:val="0"/>
          <w:kern w:val="0"/>
          <w:position w:val="0"/>
          <w:sz w:val="28"/>
          <w:szCs w:val="28"/>
          <w:highlight w:val="none"/>
        </w:rPr>
        <w:t>项目招标采购服务的磋商邀请，我方代表</w:t>
      </w:r>
      <w:r>
        <w:rPr>
          <w:rFonts w:hint="eastAsia" w:asciiTheme="minorEastAsia" w:hAnsiTheme="minorEastAsia" w:eastAsiaTheme="minorEastAsia" w:cstheme="minorEastAsia"/>
          <w:color w:val="auto"/>
          <w:spacing w:val="0"/>
          <w:position w:val="0"/>
          <w:sz w:val="28"/>
          <w:szCs w:val="28"/>
          <w:highlight w:val="none"/>
          <w:u w:val="single"/>
        </w:rPr>
        <w:t>（姓名、职务）</w:t>
      </w:r>
      <w:r>
        <w:rPr>
          <w:rFonts w:hint="eastAsia" w:asciiTheme="minorEastAsia" w:hAnsiTheme="minorEastAsia" w:eastAsiaTheme="minorEastAsia" w:cstheme="minorEastAsia"/>
          <w:color w:val="auto"/>
          <w:spacing w:val="0"/>
          <w:kern w:val="0"/>
          <w:position w:val="0"/>
          <w:sz w:val="28"/>
          <w:szCs w:val="28"/>
          <w:highlight w:val="none"/>
        </w:rPr>
        <w:t>经正式授权并代表供应商</w:t>
      </w:r>
      <w:r>
        <w:rPr>
          <w:rFonts w:hint="eastAsia" w:asciiTheme="minorEastAsia" w:hAnsiTheme="minorEastAsia" w:eastAsiaTheme="minorEastAsia" w:cstheme="minorEastAsia"/>
          <w:color w:val="auto"/>
          <w:spacing w:val="0"/>
          <w:position w:val="0"/>
          <w:sz w:val="28"/>
          <w:szCs w:val="28"/>
          <w:highlight w:val="none"/>
          <w:u w:val="single"/>
        </w:rPr>
        <w:t>（供应商名称、地址）</w:t>
      </w:r>
      <w:r>
        <w:rPr>
          <w:rFonts w:hint="eastAsia" w:asciiTheme="minorEastAsia" w:hAnsiTheme="minorEastAsia" w:eastAsiaTheme="minorEastAsia" w:cstheme="minorEastAsia"/>
          <w:color w:val="auto"/>
          <w:spacing w:val="0"/>
          <w:kern w:val="0"/>
          <w:position w:val="0"/>
          <w:sz w:val="28"/>
          <w:szCs w:val="28"/>
          <w:highlight w:val="none"/>
        </w:rPr>
        <w:t>提交在项目所属电子交易平台上传电子响应文件。</w:t>
      </w:r>
      <w:r>
        <w:rPr>
          <w:rFonts w:hint="eastAsia" w:asciiTheme="minorEastAsia" w:hAnsiTheme="minorEastAsia" w:eastAsiaTheme="minorEastAsia" w:cstheme="minorEastAsia"/>
          <w:color w:val="auto"/>
          <w:spacing w:val="0"/>
          <w:kern w:val="0"/>
          <w:position w:val="0"/>
          <w:sz w:val="28"/>
          <w:szCs w:val="28"/>
          <w:highlight w:val="none"/>
          <w:lang w:eastAsia="zh-CN"/>
        </w:rPr>
        <w:t>包含内容如下：</w:t>
      </w:r>
    </w:p>
    <w:p w14:paraId="6371F70A">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1．磋商报价表；</w:t>
      </w:r>
    </w:p>
    <w:p w14:paraId="7CBDC61B">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2．磋商报价明细表；</w:t>
      </w:r>
    </w:p>
    <w:p w14:paraId="2EDEE8B7">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3．所投服务清单；</w:t>
      </w:r>
    </w:p>
    <w:p w14:paraId="3190DA06">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4．按磋商文件供应商须知和技术规格要求提供的有关文件；</w:t>
      </w:r>
    </w:p>
    <w:p w14:paraId="5A0555C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5．资格证明文件；</w:t>
      </w:r>
    </w:p>
    <w:p w14:paraId="121F91D3">
      <w:pPr>
        <w:pageBreakBefore w:val="0"/>
        <w:kinsoku/>
        <w:overflowPunct/>
        <w:topLinePunct w:val="0"/>
        <w:autoSpaceDE w:val="0"/>
        <w:autoSpaceDN w:val="0"/>
        <w:bidi w:val="0"/>
        <w:adjustRightInd w:val="0"/>
        <w:spacing w:line="288" w:lineRule="auto"/>
        <w:ind w:right="32"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6．按磋商文件的规定递交的磋商保证金。</w:t>
      </w:r>
    </w:p>
    <w:p w14:paraId="4436170C">
      <w:pPr>
        <w:pageBreakBefore w:val="0"/>
        <w:kinsoku/>
        <w:overflowPunct/>
        <w:topLinePunct w:val="0"/>
        <w:autoSpaceDE w:val="0"/>
        <w:autoSpaceDN w:val="0"/>
        <w:bidi w:val="0"/>
        <w:adjustRightInd w:val="0"/>
        <w:spacing w:line="288" w:lineRule="auto"/>
        <w:ind w:right="246"/>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在此，我方宣布同意如下：</w:t>
      </w:r>
    </w:p>
    <w:p w14:paraId="78F9DDE4">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1．所附《磋商报价表》中规定的应提交和交付的</w:t>
      </w:r>
      <w:r>
        <w:rPr>
          <w:rFonts w:hint="eastAsia" w:asciiTheme="minorEastAsia" w:hAnsiTheme="minorEastAsia" w:eastAsiaTheme="minorEastAsia" w:cstheme="minorEastAsia"/>
          <w:color w:val="auto"/>
          <w:spacing w:val="0"/>
          <w:kern w:val="0"/>
          <w:position w:val="0"/>
          <w:sz w:val="28"/>
          <w:szCs w:val="28"/>
          <w:highlight w:val="none"/>
          <w:u w:val="single"/>
        </w:rPr>
        <w:t xml:space="preserve">  （包号） </w:t>
      </w:r>
      <w:r>
        <w:rPr>
          <w:rFonts w:hint="eastAsia" w:asciiTheme="minorEastAsia" w:hAnsiTheme="minorEastAsia" w:eastAsiaTheme="minorEastAsia" w:cstheme="minorEastAsia"/>
          <w:color w:val="auto"/>
          <w:spacing w:val="0"/>
          <w:kern w:val="0"/>
          <w:position w:val="0"/>
          <w:sz w:val="28"/>
          <w:szCs w:val="28"/>
          <w:highlight w:val="none"/>
        </w:rPr>
        <w:t>货物投标总价为</w:t>
      </w:r>
      <w:r>
        <w:rPr>
          <w:rFonts w:hint="eastAsia" w:asciiTheme="minorEastAsia" w:hAnsiTheme="minorEastAsia" w:eastAsiaTheme="minorEastAsia" w:cstheme="minorEastAsia"/>
          <w:color w:val="auto"/>
          <w:spacing w:val="0"/>
          <w:kern w:val="0"/>
          <w:position w:val="0"/>
          <w:sz w:val="28"/>
          <w:szCs w:val="28"/>
          <w:highlight w:val="none"/>
          <w:u w:val="single"/>
        </w:rPr>
        <w:t>（注明币种，并用文字和数字表示的投标总价）</w:t>
      </w:r>
      <w:r>
        <w:rPr>
          <w:rFonts w:hint="eastAsia" w:asciiTheme="minorEastAsia" w:hAnsiTheme="minorEastAsia" w:eastAsiaTheme="minorEastAsia" w:cstheme="minorEastAsia"/>
          <w:color w:val="auto"/>
          <w:spacing w:val="0"/>
          <w:kern w:val="0"/>
          <w:position w:val="0"/>
          <w:sz w:val="28"/>
          <w:szCs w:val="28"/>
          <w:highlight w:val="none"/>
        </w:rPr>
        <w:t>。</w:t>
      </w:r>
    </w:p>
    <w:p w14:paraId="0A9672C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2．将按磋商文件的约定履行合同责任和义务。</w:t>
      </w:r>
    </w:p>
    <w:p w14:paraId="7C228C04">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3．已详细审查全部磋商文件，包括</w:t>
      </w:r>
      <w:r>
        <w:rPr>
          <w:rFonts w:hint="eastAsia" w:asciiTheme="minorEastAsia" w:hAnsiTheme="minorEastAsia" w:eastAsiaTheme="minorEastAsia" w:cstheme="minorEastAsia"/>
          <w:color w:val="auto"/>
          <w:spacing w:val="0"/>
          <w:kern w:val="0"/>
          <w:position w:val="0"/>
          <w:sz w:val="28"/>
          <w:szCs w:val="28"/>
          <w:highlight w:val="none"/>
          <w:u w:val="single"/>
        </w:rPr>
        <w:t>（修正或补充文件）</w:t>
      </w:r>
      <w:r>
        <w:rPr>
          <w:rFonts w:hint="eastAsia" w:asciiTheme="minorEastAsia" w:hAnsiTheme="minorEastAsia" w:eastAsiaTheme="minorEastAsia" w:cstheme="minorEastAsia"/>
          <w:color w:val="auto"/>
          <w:spacing w:val="0"/>
          <w:kern w:val="0"/>
          <w:position w:val="0"/>
          <w:sz w:val="28"/>
          <w:szCs w:val="28"/>
          <w:highlight w:val="none"/>
        </w:rPr>
        <w:t>（如有），对此无异议。</w:t>
      </w:r>
    </w:p>
    <w:p w14:paraId="533C9D4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4．本投标有效期为自开标日起，共</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个日历日。</w:t>
      </w:r>
    </w:p>
    <w:p w14:paraId="6AABC48E">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5．接受磋商文件所列须知中关于没收</w:t>
      </w:r>
      <w:r>
        <w:rPr>
          <w:rFonts w:hint="eastAsia" w:asciiTheme="minorEastAsia" w:hAnsiTheme="minorEastAsia" w:eastAsiaTheme="minorEastAsia" w:cstheme="minorEastAsia"/>
          <w:color w:val="auto"/>
          <w:spacing w:val="0"/>
          <w:kern w:val="0"/>
          <w:position w:val="0"/>
          <w:sz w:val="28"/>
          <w:szCs w:val="28"/>
          <w:highlight w:val="none"/>
          <w:lang w:eastAsia="zh-CN"/>
        </w:rPr>
        <w:t>磋商保证金</w:t>
      </w:r>
      <w:r>
        <w:rPr>
          <w:rFonts w:hint="eastAsia" w:asciiTheme="minorEastAsia" w:hAnsiTheme="minorEastAsia" w:eastAsiaTheme="minorEastAsia" w:cstheme="minorEastAsia"/>
          <w:color w:val="auto"/>
          <w:spacing w:val="0"/>
          <w:kern w:val="0"/>
          <w:position w:val="0"/>
          <w:sz w:val="28"/>
          <w:szCs w:val="28"/>
          <w:highlight w:val="none"/>
        </w:rPr>
        <w:t>的约定。</w:t>
      </w:r>
    </w:p>
    <w:p w14:paraId="57DD4CCB">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6．同意提供按照贵方可能要求的与其投标有关的一切数据或资料。</w:t>
      </w:r>
    </w:p>
    <w:p w14:paraId="3E88900D">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7.与本投标有关的一切正式往来信函请寄：</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w:t>
      </w:r>
    </w:p>
    <w:p w14:paraId="0F20D599">
      <w:pPr>
        <w:pageBreakBefore w:val="0"/>
        <w:kinsoku/>
        <w:overflowPunct/>
        <w:topLinePunct w:val="0"/>
        <w:bidi w:val="0"/>
        <w:adjustRightInd w:val="0"/>
        <w:snapToGrid w:val="0"/>
        <w:spacing w:line="400" w:lineRule="exact"/>
        <w:ind w:firstLine="560" w:firstLineChars="20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8.其他：</w:t>
      </w:r>
    </w:p>
    <w:p w14:paraId="70570875">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 xml:space="preserve">供应商名称(公章)： </w:t>
      </w:r>
    </w:p>
    <w:p w14:paraId="6DE20951">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法定代表人签章：</w:t>
      </w:r>
    </w:p>
    <w:p w14:paraId="6A09FF0E">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地    址：</w:t>
      </w:r>
    </w:p>
    <w:p w14:paraId="5501501A">
      <w:pPr>
        <w:pageBreakBefore w:val="0"/>
        <w:kinsoku/>
        <w:overflowPunct/>
        <w:topLinePunct w:val="0"/>
        <w:autoSpaceDE w:val="0"/>
        <w:autoSpaceDN w:val="0"/>
        <w:bidi w:val="0"/>
        <w:adjustRightInd w:val="0"/>
        <w:spacing w:line="400" w:lineRule="exact"/>
        <w:ind w:right="33"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    话：</w:t>
      </w:r>
    </w:p>
    <w:p w14:paraId="0DD09D3B">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电子函件：</w:t>
      </w:r>
    </w:p>
    <w:p w14:paraId="37C314F9">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w:t>
      </w:r>
      <w:r>
        <w:rPr>
          <w:rFonts w:hint="eastAsia" w:asciiTheme="minorEastAsia" w:hAnsiTheme="minorEastAsia" w:eastAsiaTheme="minorEastAsia" w:cstheme="minorEastAsia"/>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rPr>
        <w:t>期：</w:t>
      </w:r>
    </w:p>
    <w:p w14:paraId="5AC8A315">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br w:type="page"/>
      </w:r>
    </w:p>
    <w:p w14:paraId="6448C327">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14" w:name="_Toc2779"/>
      <w:bookmarkStart w:id="315" w:name="_Toc485895992"/>
      <w:bookmarkStart w:id="316" w:name="_Toc13846"/>
      <w:r>
        <w:rPr>
          <w:rFonts w:hint="eastAsia" w:asciiTheme="minorEastAsia" w:hAnsiTheme="minorEastAsia" w:eastAsiaTheme="minorEastAsia" w:cstheme="minorEastAsia"/>
          <w:color w:val="auto"/>
          <w:spacing w:val="0"/>
          <w:position w:val="0"/>
          <w:highlight w:val="none"/>
          <w:lang w:val="en-US" w:eastAsia="zh-CN"/>
        </w:rPr>
        <w:t>2、法定授权人委托书</w:t>
      </w:r>
      <w:bookmarkEnd w:id="314"/>
    </w:p>
    <w:p w14:paraId="60809824">
      <w:pPr>
        <w:pageBreakBefore w:val="0"/>
        <w:kinsoku/>
        <w:overflowPunct/>
        <w:topLinePunct w:val="0"/>
        <w:bidi w:val="0"/>
        <w:adjustRightInd w:val="0"/>
        <w:snapToGrid w:val="0"/>
        <w:spacing w:line="360" w:lineRule="auto"/>
        <w:ind w:left="562" w:hanging="560" w:hangingChars="200"/>
        <w:rPr>
          <w:rFonts w:hint="eastAsia" w:asciiTheme="minorEastAsia" w:hAnsiTheme="minorEastAsia" w:eastAsiaTheme="minorEastAsia" w:cstheme="minorEastAsia"/>
          <w:color w:val="auto"/>
          <w:spacing w:val="0"/>
          <w:position w:val="0"/>
          <w:sz w:val="28"/>
          <w:szCs w:val="28"/>
          <w:highlight w:val="none"/>
          <w:lang w:val="en-US" w:eastAsia="zh-CN"/>
        </w:rPr>
      </w:pPr>
    </w:p>
    <w:p w14:paraId="786869EB">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32"/>
          <w:highlight w:val="none"/>
        </w:rPr>
      </w:pPr>
      <w:r>
        <w:rPr>
          <w:rFonts w:hint="eastAsia" w:asciiTheme="minorEastAsia" w:hAnsiTheme="minorEastAsia" w:eastAsiaTheme="minorEastAsia" w:cstheme="minorEastAsia"/>
          <w:color w:val="auto"/>
          <w:spacing w:val="0"/>
          <w:position w:val="0"/>
          <w:sz w:val="28"/>
          <w:szCs w:val="28"/>
          <w:highlight w:val="none"/>
        </w:rPr>
        <w:t xml:space="preserve">本授权书声明：注册于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住址）的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名称）的在下面电子签章的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（法定代表人姓名、职务）代表本公司授权</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（授权代理人的姓名、职务）为本公司的合法代理人，就贵方组织</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（项目名称）项目（项目编号、包号：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），以本公司名义处理一切与之有关的事宜。</w:t>
      </w: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授权代理人在投标过程中所签署的一切文件和处理与之有关的一切事务，本公司均予以认可并对此承担责任。</w:t>
      </w:r>
    </w:p>
    <w:p w14:paraId="32478A95">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授权代理人无转委托权。特此授权。</w:t>
      </w:r>
      <w:r>
        <w:rPr>
          <w:rFonts w:hint="eastAsia" w:asciiTheme="minorEastAsia" w:hAnsiTheme="minorEastAsia" w:eastAsiaTheme="minorEastAsia" w:cstheme="minorEastAsia"/>
          <w:color w:val="auto"/>
          <w:spacing w:val="0"/>
          <w:position w:val="0"/>
          <w:sz w:val="28"/>
          <w:szCs w:val="28"/>
          <w:highlight w:val="none"/>
        </w:rPr>
        <w:cr/>
      </w:r>
      <w:r>
        <w:rPr>
          <w:rFonts w:hint="eastAsia" w:asciiTheme="minorEastAsia" w:hAnsiTheme="minorEastAsia" w:eastAsiaTheme="minorEastAsia" w:cstheme="minorEastAsia"/>
          <w:color w:val="auto"/>
          <w:spacing w:val="0"/>
          <w:position w:val="0"/>
          <w:sz w:val="28"/>
          <w:szCs w:val="28"/>
          <w:highlight w:val="none"/>
        </w:rPr>
        <w:t>　　</w:t>
      </w:r>
    </w:p>
    <w:p w14:paraId="3112D90C">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本授权书于__________年_____月______日生效，特此声明。</w:t>
      </w:r>
      <w:r>
        <w:rPr>
          <w:rFonts w:hint="eastAsia" w:asciiTheme="minorEastAsia" w:hAnsiTheme="minorEastAsia" w:eastAsiaTheme="minorEastAsia" w:cstheme="minorEastAsia"/>
          <w:color w:val="auto"/>
          <w:spacing w:val="0"/>
          <w:position w:val="0"/>
          <w:sz w:val="28"/>
          <w:szCs w:val="28"/>
          <w:highlight w:val="none"/>
        </w:rPr>
        <w:cr/>
      </w:r>
    </w:p>
    <w:p w14:paraId="2E9102B3">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5FD69C1">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DC9E27D">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7EBB199">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t xml:space="preserve">                         （附授权代理人身份证正反两面扫描件）</w:t>
      </w:r>
    </w:p>
    <w:p w14:paraId="3FAC829B">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1B3647E5">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9099AC3">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法定代表人电子签章：</w:t>
      </w:r>
    </w:p>
    <w:p w14:paraId="2EF54369">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5A0E7F73">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电子公章：</w:t>
      </w:r>
    </w:p>
    <w:p w14:paraId="4B9FB1D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1F47A2D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rPr>
        <w:t>日   期：</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年</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月</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日</w:t>
      </w:r>
    </w:p>
    <w:p w14:paraId="7B321CCE">
      <w:pPr>
        <w:pStyle w:val="21"/>
        <w:pageBreakBefore w:val="0"/>
        <w:kinsoku/>
        <w:overflowPunct/>
        <w:topLinePunct w:val="0"/>
        <w:bidi w:val="0"/>
        <w:snapToGrid w:val="0"/>
        <w:spacing w:line="360" w:lineRule="auto"/>
        <w:jc w:val="left"/>
        <w:rPr>
          <w:rFonts w:hint="eastAsia" w:asciiTheme="minorEastAsia" w:hAnsiTheme="minorEastAsia" w:eastAsiaTheme="minorEastAsia" w:cstheme="minorEastAsia"/>
          <w:b/>
          <w:color w:val="auto"/>
          <w:spacing w:val="0"/>
          <w:position w:val="0"/>
          <w:sz w:val="24"/>
          <w:szCs w:val="24"/>
          <w:highlight w:val="none"/>
        </w:rPr>
      </w:pPr>
    </w:p>
    <w:p w14:paraId="6AC3D437">
      <w:pPr>
        <w:pStyle w:val="22"/>
        <w:pageBreakBefore w:val="0"/>
        <w:widowControl/>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4"/>
          <w:highlight w:val="none"/>
        </w:rPr>
        <w:br w:type="page"/>
      </w:r>
      <w:r>
        <w:rPr>
          <w:rFonts w:hint="eastAsia" w:asciiTheme="minorEastAsia" w:hAnsiTheme="minorEastAsia" w:eastAsiaTheme="minorEastAsia" w:cstheme="minorEastAsia"/>
          <w:b/>
          <w:color w:val="auto"/>
          <w:spacing w:val="0"/>
          <w:position w:val="0"/>
          <w:sz w:val="28"/>
          <w:szCs w:val="28"/>
          <w:highlight w:val="none"/>
        </w:rPr>
        <w:t>附：法定代表人身份证明书</w:t>
      </w:r>
    </w:p>
    <w:p w14:paraId="27BDD59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012A8DC">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单位名称：</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58ADB8D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单位类型：</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6ED4FDF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住    所：</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61925A8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成立日期：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7DAAA495">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营业期限：</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219B5820">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rPr>
      </w:pPr>
    </w:p>
    <w:p w14:paraId="197D699F">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姓    名：</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性别：</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70064CA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系</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u w:val="singl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名称）   </w:t>
      </w:r>
      <w:r>
        <w:rPr>
          <w:rFonts w:hint="eastAsia" w:asciiTheme="minorEastAsia" w:hAnsiTheme="minorEastAsia" w:eastAsiaTheme="minorEastAsia" w:cstheme="minorEastAsia"/>
          <w:color w:val="auto"/>
          <w:spacing w:val="0"/>
          <w:position w:val="0"/>
          <w:sz w:val="28"/>
          <w:szCs w:val="28"/>
          <w:highlight w:val="none"/>
        </w:rPr>
        <w:t>的法定代表人。</w:t>
      </w:r>
    </w:p>
    <w:p w14:paraId="522DFA7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36313C00">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特此证明。</w:t>
      </w:r>
    </w:p>
    <w:p w14:paraId="1D29A30A">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0DE9FC0A">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（附法定代表人身份证正反两面扫描件）</w:t>
      </w:r>
    </w:p>
    <w:p w14:paraId="4F22EA45">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49BF61AA">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A03C5BA">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10ED4E9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6FC8918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D955080">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67DD4C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lang w:val="en-US" w:eastAsia="zh-CN"/>
        </w:rPr>
        <w:sectPr>
          <w:headerReference r:id="rId6" w:type="default"/>
          <w:footerReference r:id="rId7" w:type="default"/>
          <w:pgSz w:w="11906" w:h="16838"/>
          <w:pgMar w:top="1440" w:right="1797" w:bottom="1440" w:left="1797" w:header="851" w:footer="992" w:gutter="0"/>
          <w:pgNumType w:fmt="decimal"/>
          <w:cols w:space="425" w:num="1"/>
          <w:docGrid w:linePitch="312" w:charSpace="0"/>
        </w:sectPr>
      </w:pPr>
      <w:r>
        <w:rPr>
          <w:rFonts w:hint="eastAsia" w:asciiTheme="minorEastAsia" w:hAnsiTheme="minorEastAsia" w:eastAsiaTheme="minorEastAsia" w:cstheme="minorEastAsia"/>
          <w:color w:val="auto"/>
          <w:spacing w:val="0"/>
          <w:position w:val="0"/>
          <w:sz w:val="28"/>
          <w:szCs w:val="28"/>
          <w:highlight w:val="none"/>
        </w:rPr>
        <w:t>注：1、本项目只允许有唯一的</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授权代理人，且必须为</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在职员工。2、</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法定代表人参加投标的，可以不提供法定代表人授权委托书，但必须提供上述法定代表人身份证明书，否则将按无效投标处理。</w:t>
      </w:r>
    </w:p>
    <w:p w14:paraId="1339248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82ABAC2">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17" w:name="_Toc13329"/>
      <w:r>
        <w:rPr>
          <w:rFonts w:hint="eastAsia" w:asciiTheme="minorEastAsia" w:hAnsiTheme="minorEastAsia" w:eastAsiaTheme="minorEastAsia" w:cstheme="minorEastAsia"/>
          <w:color w:val="auto"/>
          <w:spacing w:val="0"/>
          <w:position w:val="0"/>
          <w:highlight w:val="none"/>
          <w:lang w:val="en-US" w:eastAsia="zh-CN"/>
        </w:rPr>
        <w:t>3、开标一览</w:t>
      </w:r>
      <w:r>
        <w:rPr>
          <w:rFonts w:hint="eastAsia" w:asciiTheme="minorEastAsia" w:hAnsiTheme="minorEastAsia" w:eastAsiaTheme="minorEastAsia" w:cstheme="minorEastAsia"/>
          <w:color w:val="auto"/>
          <w:spacing w:val="0"/>
          <w:position w:val="0"/>
          <w:highlight w:val="none"/>
        </w:rPr>
        <w:t>表</w:t>
      </w:r>
      <w:bookmarkEnd w:id="315"/>
      <w:bookmarkEnd w:id="316"/>
      <w:bookmarkEnd w:id="317"/>
    </w:p>
    <w:p w14:paraId="5A59522F">
      <w:pPr>
        <w:pStyle w:val="18"/>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8"/>
          <w:szCs w:val="28"/>
          <w:highlight w:val="none"/>
        </w:rPr>
      </w:pPr>
      <w:bookmarkStart w:id="318" w:name="_Toc485895993"/>
      <w:r>
        <w:rPr>
          <w:rFonts w:hint="eastAsia" w:asciiTheme="minorEastAsia" w:hAnsiTheme="minorEastAsia" w:eastAsiaTheme="minorEastAsia" w:cstheme="minorEastAsia"/>
          <w:color w:val="auto"/>
          <w:spacing w:val="0"/>
          <w:position w:val="0"/>
          <w:sz w:val="28"/>
          <w:szCs w:val="28"/>
          <w:highlight w:val="none"/>
        </w:rPr>
        <w:t>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p>
    <w:tbl>
      <w:tblPr>
        <w:tblStyle w:val="3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389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10" w:type="dxa"/>
            <w:tcBorders>
              <w:bottom w:val="single" w:color="auto" w:sz="4" w:space="0"/>
            </w:tcBorders>
            <w:vAlign w:val="center"/>
          </w:tcPr>
          <w:p w14:paraId="559619EF">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项目名称</w:t>
            </w:r>
          </w:p>
        </w:tc>
        <w:tc>
          <w:tcPr>
            <w:tcW w:w="6770" w:type="dxa"/>
            <w:tcBorders>
              <w:bottom w:val="single" w:color="auto" w:sz="4" w:space="0"/>
            </w:tcBorders>
            <w:vAlign w:val="center"/>
          </w:tcPr>
          <w:p w14:paraId="67239305">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bCs/>
                <w:color w:val="auto"/>
                <w:spacing w:val="0"/>
                <w:position w:val="0"/>
                <w:sz w:val="28"/>
                <w:szCs w:val="28"/>
                <w:highlight w:val="none"/>
              </w:rPr>
            </w:pPr>
          </w:p>
        </w:tc>
      </w:tr>
      <w:tr w14:paraId="727B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2410" w:type="dxa"/>
            <w:vAlign w:val="center"/>
          </w:tcPr>
          <w:p w14:paraId="5D719507">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投 标 报 价</w:t>
            </w:r>
          </w:p>
        </w:tc>
        <w:tc>
          <w:tcPr>
            <w:tcW w:w="6770" w:type="dxa"/>
            <w:vAlign w:val="top"/>
          </w:tcPr>
          <w:p w14:paraId="71377438">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1FA06662">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小写：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p w14:paraId="41D36494">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21F7B55F">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大写：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tc>
      </w:tr>
      <w:tr w14:paraId="7B05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410" w:type="dxa"/>
            <w:vAlign w:val="center"/>
          </w:tcPr>
          <w:p w14:paraId="32E33626">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bCs/>
                <w:color w:val="auto"/>
                <w:spacing w:val="0"/>
                <w:position w:val="0"/>
                <w:sz w:val="28"/>
                <w:szCs w:val="28"/>
                <w:highlight w:val="none"/>
                <w:lang w:eastAsia="zh-CN"/>
              </w:rPr>
              <w:t>服务期限</w:t>
            </w:r>
          </w:p>
        </w:tc>
        <w:tc>
          <w:tcPr>
            <w:tcW w:w="6770" w:type="dxa"/>
            <w:vAlign w:val="center"/>
          </w:tcPr>
          <w:p w14:paraId="1A82B558">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E74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9180" w:type="dxa"/>
            <w:gridSpan w:val="2"/>
            <w:vAlign w:val="top"/>
          </w:tcPr>
          <w:p w14:paraId="089A1D21">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备注：</w:t>
            </w:r>
          </w:p>
        </w:tc>
      </w:tr>
    </w:tbl>
    <w:p w14:paraId="22A01675">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严格按照规定的格式填写。投标报价为优惠后报价，并作为评审及定标的依据。</w:t>
      </w:r>
    </w:p>
    <w:p w14:paraId="0D8DF31E">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2、任何有选择或有条件的投标报价或表中某一包填写多个报价，均将导致投标被拒绝。</w:t>
      </w:r>
    </w:p>
    <w:p w14:paraId="0909EED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4B5AC48A">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p>
    <w:p w14:paraId="6B1E323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4071DAA8">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0DBB5456">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774663D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4175B96">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b w:val="0"/>
          <w:color w:val="auto"/>
          <w:spacing w:val="0"/>
          <w:position w:val="0"/>
          <w:sz w:val="28"/>
          <w:highlight w:val="none"/>
        </w:rPr>
        <w:br w:type="page"/>
      </w:r>
      <w:bookmarkStart w:id="319" w:name="_Toc11120"/>
      <w:bookmarkStart w:id="320" w:name="_Toc11890"/>
      <w:r>
        <w:rPr>
          <w:rFonts w:hint="eastAsia" w:asciiTheme="minorEastAsia" w:hAnsiTheme="minorEastAsia" w:eastAsiaTheme="minorEastAsia" w:cstheme="minorEastAsia"/>
          <w:color w:val="auto"/>
          <w:spacing w:val="0"/>
          <w:position w:val="0"/>
          <w:highlight w:val="none"/>
          <w:lang w:val="en-US" w:eastAsia="zh-CN"/>
        </w:rPr>
        <w:t>4、</w:t>
      </w:r>
      <w:r>
        <w:rPr>
          <w:rFonts w:hint="eastAsia" w:asciiTheme="minorEastAsia" w:hAnsiTheme="minorEastAsia" w:eastAsiaTheme="minorEastAsia" w:cstheme="minorEastAsia"/>
          <w:color w:val="auto"/>
          <w:spacing w:val="0"/>
          <w:position w:val="0"/>
          <w:highlight w:val="none"/>
        </w:rPr>
        <w:t>竞争性磋商报价明细表</w:t>
      </w:r>
      <w:bookmarkEnd w:id="318"/>
      <w:bookmarkEnd w:id="319"/>
      <w:bookmarkEnd w:id="320"/>
    </w:p>
    <w:p w14:paraId="448ECEAD">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7BE7425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tbl>
      <w:tblPr>
        <w:tblStyle w:val="34"/>
        <w:tblW w:w="89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573"/>
        <w:gridCol w:w="2699"/>
        <w:gridCol w:w="1881"/>
        <w:gridCol w:w="1057"/>
        <w:gridCol w:w="1060"/>
      </w:tblGrid>
      <w:tr w14:paraId="2B8033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727" w:type="dxa"/>
            <w:tcBorders>
              <w:top w:val="single" w:color="auto" w:sz="4" w:space="0"/>
              <w:left w:val="single" w:color="auto" w:sz="4" w:space="0"/>
              <w:bottom w:val="single" w:color="auto" w:sz="6" w:space="0"/>
              <w:right w:val="single" w:color="auto" w:sz="6" w:space="0"/>
            </w:tcBorders>
            <w:vAlign w:val="center"/>
          </w:tcPr>
          <w:p w14:paraId="443E9E8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序号</w:t>
            </w:r>
          </w:p>
        </w:tc>
        <w:tc>
          <w:tcPr>
            <w:tcW w:w="1573" w:type="dxa"/>
            <w:tcBorders>
              <w:top w:val="single" w:color="auto" w:sz="4" w:space="0"/>
              <w:left w:val="single" w:color="auto" w:sz="6" w:space="0"/>
              <w:bottom w:val="single" w:color="auto" w:sz="6" w:space="0"/>
              <w:right w:val="single" w:color="auto" w:sz="6" w:space="0"/>
            </w:tcBorders>
            <w:vAlign w:val="center"/>
          </w:tcPr>
          <w:p w14:paraId="0329170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明细</w:t>
            </w:r>
            <w:r>
              <w:rPr>
                <w:rFonts w:hint="eastAsia" w:asciiTheme="minorEastAsia" w:hAnsiTheme="minorEastAsia" w:eastAsiaTheme="minorEastAsia" w:cstheme="minorEastAsia"/>
                <w:color w:val="auto"/>
                <w:spacing w:val="0"/>
                <w:position w:val="0"/>
                <w:sz w:val="28"/>
                <w:szCs w:val="28"/>
                <w:highlight w:val="none"/>
              </w:rPr>
              <w:t>名称</w:t>
            </w:r>
          </w:p>
        </w:tc>
        <w:tc>
          <w:tcPr>
            <w:tcW w:w="2699" w:type="dxa"/>
            <w:tcBorders>
              <w:top w:val="single" w:color="auto" w:sz="4" w:space="0"/>
              <w:left w:val="single" w:color="auto" w:sz="6" w:space="0"/>
              <w:bottom w:val="single" w:color="auto" w:sz="6" w:space="0"/>
              <w:right w:val="single" w:color="auto" w:sz="4" w:space="0"/>
            </w:tcBorders>
            <w:vAlign w:val="center"/>
          </w:tcPr>
          <w:p w14:paraId="28B3750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内容</w:t>
            </w:r>
          </w:p>
        </w:tc>
        <w:tc>
          <w:tcPr>
            <w:tcW w:w="1881" w:type="dxa"/>
            <w:tcBorders>
              <w:top w:val="single" w:color="auto" w:sz="4" w:space="0"/>
              <w:left w:val="single" w:color="auto" w:sz="4" w:space="0"/>
              <w:bottom w:val="single" w:color="auto" w:sz="6" w:space="0"/>
              <w:right w:val="single" w:color="auto" w:sz="4" w:space="0"/>
            </w:tcBorders>
            <w:vAlign w:val="center"/>
          </w:tcPr>
          <w:p w14:paraId="7AC507F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数量</w:t>
            </w:r>
          </w:p>
        </w:tc>
        <w:tc>
          <w:tcPr>
            <w:tcW w:w="1057" w:type="dxa"/>
            <w:tcBorders>
              <w:top w:val="single" w:color="auto" w:sz="4" w:space="0"/>
              <w:left w:val="single" w:color="auto" w:sz="4" w:space="0"/>
              <w:bottom w:val="single" w:color="auto" w:sz="6" w:space="0"/>
              <w:right w:val="single" w:color="auto" w:sz="4" w:space="0"/>
            </w:tcBorders>
            <w:vAlign w:val="center"/>
          </w:tcPr>
          <w:p w14:paraId="1F40FF5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单价</w:t>
            </w:r>
          </w:p>
        </w:tc>
        <w:tc>
          <w:tcPr>
            <w:tcW w:w="1060" w:type="dxa"/>
            <w:tcBorders>
              <w:top w:val="single" w:color="auto" w:sz="4" w:space="0"/>
              <w:left w:val="single" w:color="auto" w:sz="4" w:space="0"/>
              <w:bottom w:val="single" w:color="auto" w:sz="6" w:space="0"/>
              <w:right w:val="single" w:color="auto" w:sz="4" w:space="0"/>
            </w:tcBorders>
            <w:vAlign w:val="center"/>
          </w:tcPr>
          <w:p w14:paraId="6691398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总价</w:t>
            </w:r>
          </w:p>
        </w:tc>
      </w:tr>
      <w:tr w14:paraId="2D3B5D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4ABEB831">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1</w:t>
            </w:r>
          </w:p>
        </w:tc>
        <w:tc>
          <w:tcPr>
            <w:tcW w:w="1573" w:type="dxa"/>
            <w:tcBorders>
              <w:top w:val="single" w:color="auto" w:sz="6" w:space="0"/>
              <w:left w:val="single" w:color="auto" w:sz="6" w:space="0"/>
              <w:bottom w:val="single" w:color="auto" w:sz="6" w:space="0"/>
              <w:right w:val="single" w:color="auto" w:sz="6" w:space="0"/>
            </w:tcBorders>
            <w:vAlign w:val="center"/>
          </w:tcPr>
          <w:p w14:paraId="636515AE">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E40660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764C8B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F754FE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A99A96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8FD7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24A4DCF">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w:t>
            </w:r>
          </w:p>
        </w:tc>
        <w:tc>
          <w:tcPr>
            <w:tcW w:w="1573" w:type="dxa"/>
            <w:tcBorders>
              <w:top w:val="single" w:color="auto" w:sz="6" w:space="0"/>
              <w:left w:val="single" w:color="auto" w:sz="6" w:space="0"/>
              <w:bottom w:val="single" w:color="auto" w:sz="6" w:space="0"/>
              <w:right w:val="single" w:color="auto" w:sz="6" w:space="0"/>
            </w:tcBorders>
            <w:vAlign w:val="center"/>
          </w:tcPr>
          <w:p w14:paraId="79EDB59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6CB3AA7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07F37B5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52017B1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4C3BD26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2B42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73A26D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w:t>
            </w:r>
          </w:p>
        </w:tc>
        <w:tc>
          <w:tcPr>
            <w:tcW w:w="1573" w:type="dxa"/>
            <w:tcBorders>
              <w:top w:val="single" w:color="auto" w:sz="6" w:space="0"/>
              <w:left w:val="single" w:color="auto" w:sz="6" w:space="0"/>
              <w:bottom w:val="single" w:color="auto" w:sz="6" w:space="0"/>
              <w:right w:val="single" w:color="auto" w:sz="6" w:space="0"/>
            </w:tcBorders>
            <w:vAlign w:val="center"/>
          </w:tcPr>
          <w:p w14:paraId="1D277642">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E4E2C0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28E53B7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CD4896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121CBF1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A2E7E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741C87F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4</w:t>
            </w:r>
          </w:p>
        </w:tc>
        <w:tc>
          <w:tcPr>
            <w:tcW w:w="1573" w:type="dxa"/>
            <w:tcBorders>
              <w:top w:val="single" w:color="auto" w:sz="6" w:space="0"/>
              <w:left w:val="single" w:color="auto" w:sz="6" w:space="0"/>
              <w:bottom w:val="single" w:color="auto" w:sz="6" w:space="0"/>
              <w:right w:val="single" w:color="auto" w:sz="6" w:space="0"/>
            </w:tcBorders>
            <w:vAlign w:val="center"/>
          </w:tcPr>
          <w:p w14:paraId="09CB5DB9">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3DAE08D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21C53D4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0F11BA9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19ADCE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D964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2F65EC9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5</w:t>
            </w:r>
          </w:p>
        </w:tc>
        <w:tc>
          <w:tcPr>
            <w:tcW w:w="1573" w:type="dxa"/>
            <w:tcBorders>
              <w:top w:val="single" w:color="auto" w:sz="6" w:space="0"/>
              <w:left w:val="single" w:color="auto" w:sz="6" w:space="0"/>
              <w:bottom w:val="single" w:color="auto" w:sz="6" w:space="0"/>
              <w:right w:val="single" w:color="auto" w:sz="6" w:space="0"/>
            </w:tcBorders>
            <w:vAlign w:val="center"/>
          </w:tcPr>
          <w:p w14:paraId="424AE29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6A2A488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275C46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7E8DA85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691E62B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BD73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5087CB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6</w:t>
            </w:r>
          </w:p>
        </w:tc>
        <w:tc>
          <w:tcPr>
            <w:tcW w:w="1573" w:type="dxa"/>
            <w:tcBorders>
              <w:top w:val="single" w:color="auto" w:sz="6" w:space="0"/>
              <w:left w:val="single" w:color="auto" w:sz="6" w:space="0"/>
              <w:bottom w:val="single" w:color="auto" w:sz="6" w:space="0"/>
              <w:right w:val="single" w:color="auto" w:sz="6" w:space="0"/>
            </w:tcBorders>
            <w:vAlign w:val="center"/>
          </w:tcPr>
          <w:p w14:paraId="3A132831">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16F58B7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A891C1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A7929B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212A586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C25C9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7D6A86DA">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7</w:t>
            </w:r>
          </w:p>
        </w:tc>
        <w:tc>
          <w:tcPr>
            <w:tcW w:w="1573" w:type="dxa"/>
            <w:tcBorders>
              <w:top w:val="single" w:color="auto" w:sz="6" w:space="0"/>
              <w:left w:val="single" w:color="auto" w:sz="6" w:space="0"/>
              <w:bottom w:val="single" w:color="auto" w:sz="6" w:space="0"/>
              <w:right w:val="single" w:color="auto" w:sz="6" w:space="0"/>
            </w:tcBorders>
            <w:vAlign w:val="center"/>
          </w:tcPr>
          <w:p w14:paraId="1E60D8D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48D70FE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046617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5F0050A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6C2725B2">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48FCBC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0F02C32">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8</w:t>
            </w:r>
          </w:p>
        </w:tc>
        <w:tc>
          <w:tcPr>
            <w:tcW w:w="1573" w:type="dxa"/>
            <w:tcBorders>
              <w:top w:val="single" w:color="auto" w:sz="6" w:space="0"/>
              <w:left w:val="single" w:color="auto" w:sz="6" w:space="0"/>
              <w:bottom w:val="single" w:color="auto" w:sz="6" w:space="0"/>
              <w:right w:val="single" w:color="auto" w:sz="6" w:space="0"/>
            </w:tcBorders>
            <w:vAlign w:val="center"/>
          </w:tcPr>
          <w:p w14:paraId="7C09442A">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D813C5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FFBE9F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7C9C080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5D6863C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2ADFE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A81866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9</w:t>
            </w:r>
          </w:p>
        </w:tc>
        <w:tc>
          <w:tcPr>
            <w:tcW w:w="1573" w:type="dxa"/>
            <w:tcBorders>
              <w:top w:val="single" w:color="auto" w:sz="6" w:space="0"/>
              <w:left w:val="single" w:color="auto" w:sz="6" w:space="0"/>
              <w:bottom w:val="single" w:color="auto" w:sz="6" w:space="0"/>
              <w:right w:val="single" w:color="auto" w:sz="6" w:space="0"/>
            </w:tcBorders>
            <w:vAlign w:val="center"/>
          </w:tcPr>
          <w:p w14:paraId="5519A77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5D5308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48FF0C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BDE591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228A362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95655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033990B4">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1573" w:type="dxa"/>
            <w:tcBorders>
              <w:top w:val="single" w:color="auto" w:sz="6" w:space="0"/>
              <w:left w:val="single" w:color="auto" w:sz="6" w:space="0"/>
              <w:bottom w:val="single" w:color="auto" w:sz="6" w:space="0"/>
              <w:right w:val="single" w:color="auto" w:sz="6" w:space="0"/>
            </w:tcBorders>
            <w:vAlign w:val="center"/>
          </w:tcPr>
          <w:p w14:paraId="19245FB8">
            <w:pPr>
              <w:pageBreakBefore w:val="0"/>
              <w:kinsoku/>
              <w:overflowPunct/>
              <w:topLinePunct w:val="0"/>
              <w:bidi w:val="0"/>
              <w:adjustRightInd w:val="0"/>
              <w:snapToGrid w:val="0"/>
              <w:spacing w:line="240" w:lineRule="auto"/>
              <w:ind w:left="-88" w:leftChars="-42" w:firstLine="700" w:firstLineChars="250"/>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2699" w:type="dxa"/>
            <w:tcBorders>
              <w:top w:val="single" w:color="auto" w:sz="6" w:space="0"/>
              <w:left w:val="single" w:color="auto" w:sz="6" w:space="0"/>
              <w:bottom w:val="single" w:color="auto" w:sz="6" w:space="0"/>
              <w:right w:val="single" w:color="auto" w:sz="4" w:space="0"/>
            </w:tcBorders>
            <w:vAlign w:val="center"/>
          </w:tcPr>
          <w:p w14:paraId="25308CE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08D951E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1C1F11C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3ECABC2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37F4C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880" w:type="dxa"/>
            <w:gridSpan w:val="4"/>
            <w:tcBorders>
              <w:top w:val="single" w:color="auto" w:sz="6" w:space="0"/>
              <w:left w:val="single" w:color="auto" w:sz="4" w:space="0"/>
              <w:bottom w:val="single" w:color="auto" w:sz="4" w:space="0"/>
              <w:right w:val="single" w:color="auto" w:sz="6" w:space="0"/>
            </w:tcBorders>
            <w:vAlign w:val="center"/>
          </w:tcPr>
          <w:p w14:paraId="38E27CE8">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总 计：                                                                                 </w:t>
            </w:r>
          </w:p>
        </w:tc>
        <w:tc>
          <w:tcPr>
            <w:tcW w:w="2117" w:type="dxa"/>
            <w:gridSpan w:val="2"/>
            <w:tcBorders>
              <w:top w:val="single" w:color="auto" w:sz="6" w:space="0"/>
              <w:left w:val="single" w:color="auto" w:sz="6" w:space="0"/>
              <w:bottom w:val="single" w:color="auto" w:sz="4" w:space="0"/>
              <w:right w:val="single" w:color="auto" w:sz="4" w:space="0"/>
            </w:tcBorders>
            <w:vAlign w:val="center"/>
          </w:tcPr>
          <w:p w14:paraId="3FC569AF">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w:t>
            </w:r>
          </w:p>
        </w:tc>
      </w:tr>
    </w:tbl>
    <w:p w14:paraId="259D5F46">
      <w:pPr>
        <w:pageBreakBefore w:val="0"/>
        <w:kinsoku/>
        <w:overflowPunct/>
        <w:topLinePunct w:val="0"/>
        <w:bidi w:val="0"/>
        <w:adjustRightInd w:val="0"/>
        <w:snapToGrid w:val="0"/>
        <w:spacing w:line="500" w:lineRule="exact"/>
        <w:ind w:left="-88" w:leftChars="-42"/>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说明：1．所有价格均用人民币表示，单位为元。</w:t>
      </w:r>
    </w:p>
    <w:p w14:paraId="349CA359">
      <w:pPr>
        <w:pageBreakBefore w:val="0"/>
        <w:kinsoku/>
        <w:overflowPunct/>
        <w:topLinePunct w:val="0"/>
        <w:bidi w:val="0"/>
        <w:adjustRightInd w:val="0"/>
        <w:snapToGrid w:val="0"/>
        <w:spacing w:line="500" w:lineRule="exact"/>
        <w:ind w:left="-88" w:leftChars="-42"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 分项报价总计价格必须与《</w:t>
      </w:r>
      <w:r>
        <w:rPr>
          <w:rFonts w:hint="eastAsia" w:asciiTheme="minorEastAsia" w:hAnsiTheme="minorEastAsia" w:eastAsiaTheme="minorEastAsia" w:cstheme="minorEastAsia"/>
          <w:color w:val="auto"/>
          <w:spacing w:val="0"/>
          <w:position w:val="0"/>
          <w:sz w:val="28"/>
          <w:szCs w:val="28"/>
          <w:highlight w:val="none"/>
          <w:lang w:val="en-US" w:eastAsia="zh-CN"/>
        </w:rPr>
        <w:t>开标一览</w:t>
      </w:r>
      <w:r>
        <w:rPr>
          <w:rFonts w:hint="eastAsia" w:asciiTheme="minorEastAsia" w:hAnsiTheme="minorEastAsia" w:eastAsiaTheme="minorEastAsia" w:cstheme="minorEastAsia"/>
          <w:color w:val="auto"/>
          <w:spacing w:val="0"/>
          <w:position w:val="0"/>
          <w:sz w:val="28"/>
          <w:szCs w:val="28"/>
          <w:highlight w:val="none"/>
        </w:rPr>
        <w:t>表》报价一致。</w:t>
      </w:r>
    </w:p>
    <w:p w14:paraId="743D9249">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 如果不提供详细的投标分项报价表将被视为没有实质性响应磋商文件。</w:t>
      </w:r>
    </w:p>
    <w:p w14:paraId="3D1E2632">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4．供应商必须按此表格式中的对应栏目内容填写，若需增加栏目，请在栏目“其它”中填写，并作详细说明。</w:t>
      </w:r>
    </w:p>
    <w:p w14:paraId="778D12FA">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67AB099B">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49344158">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供应商法定代表人（签章）：</w:t>
      </w:r>
    </w:p>
    <w:p w14:paraId="76454CA3">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供应商名称（签章）：</w:t>
      </w:r>
    </w:p>
    <w:p w14:paraId="110E515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日期：年 月 日</w:t>
      </w:r>
    </w:p>
    <w:p w14:paraId="1E045E12">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69A0598">
      <w:pPr>
        <w:pStyle w:val="5"/>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pacing w:val="0"/>
          <w:position w:val="0"/>
          <w:highlight w:val="none"/>
          <w:lang w:val="en-US" w:eastAsia="zh-CN"/>
        </w:rPr>
      </w:pPr>
      <w:bookmarkStart w:id="321" w:name="_Toc8566"/>
      <w:r>
        <w:rPr>
          <w:rFonts w:hint="eastAsia" w:asciiTheme="minorEastAsia" w:hAnsiTheme="minorEastAsia" w:cstheme="minorEastAsia"/>
          <w:color w:val="auto"/>
          <w:spacing w:val="0"/>
          <w:position w:val="0"/>
          <w:highlight w:val="none"/>
          <w:lang w:val="en-US" w:eastAsia="zh-CN"/>
        </w:rPr>
        <w:t>5</w:t>
      </w:r>
      <w:r>
        <w:rPr>
          <w:rFonts w:hint="eastAsia" w:asciiTheme="minorEastAsia" w:hAnsiTheme="minorEastAsia" w:eastAsiaTheme="minorEastAsia" w:cstheme="minorEastAsia"/>
          <w:color w:val="auto"/>
          <w:spacing w:val="0"/>
          <w:position w:val="0"/>
          <w:highlight w:val="none"/>
          <w:lang w:val="en-US" w:eastAsia="zh-CN"/>
        </w:rPr>
        <w:t>、项目管理机构配备情况</w:t>
      </w:r>
      <w:bookmarkEnd w:id="321"/>
    </w:p>
    <w:p w14:paraId="7ED9E727">
      <w:pPr>
        <w:pageBreakBefore w:val="0"/>
        <w:kinsoku/>
        <w:overflowPunct/>
        <w:topLinePunct w:val="0"/>
        <w:bidi w:val="0"/>
        <w:spacing w:line="364" w:lineRule="exact"/>
        <w:ind w:left="219"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）项目经理简历表</w:t>
      </w:r>
    </w:p>
    <w:p w14:paraId="5D732568">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4"/>
        <w:tblW w:w="9288" w:type="dxa"/>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4F580DB8">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4FC83585">
            <w:pPr>
              <w:pageBreakBefore w:val="0"/>
              <w:kinsoku/>
              <w:overflowPunct/>
              <w:topLinePunct w:val="0"/>
              <w:bidi w:val="0"/>
              <w:spacing w:before="55"/>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7F63269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927C5E7">
            <w:pPr>
              <w:pageBreakBefore w:val="0"/>
              <w:kinsoku/>
              <w:overflowPunct/>
              <w:topLinePunct w:val="0"/>
              <w:bidi w:val="0"/>
              <w:spacing w:before="55"/>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048737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39676E2">
            <w:pPr>
              <w:pageBreakBefore w:val="0"/>
              <w:kinsoku/>
              <w:overflowPunct/>
              <w:topLinePunct w:val="0"/>
              <w:bidi w:val="0"/>
              <w:spacing w:before="55"/>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150131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3C3B89EF">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1EEAE17E">
            <w:pPr>
              <w:pageBreakBefore w:val="0"/>
              <w:kinsoku/>
              <w:overflowPunct/>
              <w:topLinePunct w:val="0"/>
              <w:bidi w:val="0"/>
              <w:spacing w:before="58"/>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DEC317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D97E67F">
            <w:pPr>
              <w:pageBreakBefore w:val="0"/>
              <w:kinsoku/>
              <w:overflowPunct/>
              <w:topLinePunct w:val="0"/>
              <w:bidi w:val="0"/>
              <w:spacing w:before="58"/>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493C77C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56B60DB">
            <w:pPr>
              <w:pageBreakBefore w:val="0"/>
              <w:kinsoku/>
              <w:overflowPunct/>
              <w:topLinePunct w:val="0"/>
              <w:bidi w:val="0"/>
              <w:spacing w:before="58"/>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11CBE93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227923DF">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F092ED3">
            <w:pPr>
              <w:pageBreakBefore w:val="0"/>
              <w:kinsoku/>
              <w:overflowPunct/>
              <w:topLinePunct w:val="0"/>
              <w:bidi w:val="0"/>
              <w:spacing w:before="55"/>
              <w:ind w:left="43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4FB7CF8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CF8B501">
            <w:pPr>
              <w:pageBreakBefore w:val="0"/>
              <w:kinsoku/>
              <w:overflowPunct/>
              <w:topLinePunct w:val="0"/>
              <w:bidi w:val="0"/>
              <w:spacing w:before="55"/>
              <w:ind w:left="19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担任项目经理年限</w:t>
            </w: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76099F7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0BC071CC">
        <w:tblPrEx>
          <w:tblCellMar>
            <w:top w:w="0" w:type="dxa"/>
            <w:left w:w="0" w:type="dxa"/>
            <w:bottom w:w="0" w:type="dxa"/>
            <w:right w:w="0" w:type="dxa"/>
          </w:tblCellMar>
        </w:tblPrEx>
        <w:trPr>
          <w:trHeight w:val="595" w:hRule="exact"/>
          <w:jc w:val="center"/>
        </w:trPr>
        <w:tc>
          <w:tcPr>
            <w:tcW w:w="9288" w:type="dxa"/>
            <w:gridSpan w:val="8"/>
            <w:tcBorders>
              <w:top w:val="single" w:color="000000" w:sz="4" w:space="0"/>
              <w:left w:val="single" w:color="000000" w:sz="4" w:space="0"/>
              <w:bottom w:val="single" w:color="000000" w:sz="4" w:space="0"/>
              <w:right w:val="single" w:color="000000" w:sz="4" w:space="0"/>
            </w:tcBorders>
            <w:noWrap w:val="0"/>
            <w:vAlign w:val="top"/>
          </w:tcPr>
          <w:p w14:paraId="25106119">
            <w:pPr>
              <w:pageBreakBefore w:val="0"/>
              <w:kinsoku/>
              <w:overflowPunct/>
              <w:topLinePunct w:val="0"/>
              <w:bidi w:val="0"/>
              <w:spacing w:before="58"/>
              <w:ind w:left="3878" w:right="386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承担项目情况</w:t>
            </w:r>
          </w:p>
        </w:tc>
      </w:tr>
      <w:tr w14:paraId="3C972B13">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ADDE6EE">
            <w:pPr>
              <w:pageBreakBefore w:val="0"/>
              <w:kinsoku/>
              <w:overflowPunct/>
              <w:topLinePunct w:val="0"/>
              <w:bidi w:val="0"/>
              <w:spacing w:before="55"/>
              <w:ind w:left="67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E9C9BC0">
            <w:pPr>
              <w:pageBreakBefore w:val="0"/>
              <w:kinsoku/>
              <w:overflowPunct/>
              <w:topLinePunct w:val="0"/>
              <w:bidi w:val="0"/>
              <w:spacing w:before="55"/>
              <w:ind w:left="676"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EE7119A">
            <w:pPr>
              <w:pageBreakBefore w:val="0"/>
              <w:kinsoku/>
              <w:overflowPunct/>
              <w:topLinePunct w:val="0"/>
              <w:bidi w:val="0"/>
              <w:spacing w:before="55"/>
              <w:ind w:left="67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建设规模</w:t>
            </w: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2FA8E71D">
            <w:pPr>
              <w:pageBreakBefore w:val="0"/>
              <w:kinsoku/>
              <w:overflowPunct/>
              <w:topLinePunct w:val="0"/>
              <w:bidi w:val="0"/>
              <w:spacing w:before="55"/>
              <w:ind w:left="674"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销售情况</w:t>
            </w:r>
          </w:p>
        </w:tc>
      </w:tr>
      <w:tr w14:paraId="71F925FB">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DE6911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145379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7537B9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67F706C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2BAB1459">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C8265E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65DEB0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4E1B97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5C510CD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bl>
    <w:p w14:paraId="24D6547E">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2D58AC38">
      <w:pPr>
        <w:pageBreakBefore w:val="0"/>
        <w:kinsoku/>
        <w:overflowPunct/>
        <w:topLinePunct w:val="0"/>
        <w:bidi w:val="0"/>
        <w:spacing w:line="364" w:lineRule="exact"/>
        <w:ind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2</w:t>
      </w:r>
      <w:r>
        <w:rPr>
          <w:rFonts w:hint="eastAsia" w:asciiTheme="minorEastAsia" w:hAnsiTheme="minorEastAsia" w:eastAsiaTheme="minorEastAsia" w:cstheme="minorEastAsia"/>
          <w:color w:val="auto"/>
          <w:spacing w:val="0"/>
          <w:position w:val="0"/>
          <w:sz w:val="24"/>
          <w:szCs w:val="24"/>
          <w:highlight w:val="none"/>
        </w:rPr>
        <w:t>） 拟投入项目组成人员简历表</w:t>
      </w:r>
    </w:p>
    <w:p w14:paraId="3ECEA2F8">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4"/>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010C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3" w:type="dxa"/>
            <w:noWrap w:val="0"/>
            <w:vAlign w:val="center"/>
          </w:tcPr>
          <w:p w14:paraId="6EC326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175" w:type="dxa"/>
            <w:noWrap w:val="0"/>
            <w:vAlign w:val="center"/>
          </w:tcPr>
          <w:p w14:paraId="15F560C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1147" w:type="dxa"/>
            <w:noWrap w:val="0"/>
            <w:vAlign w:val="center"/>
          </w:tcPr>
          <w:p w14:paraId="6F1D903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176" w:type="dxa"/>
            <w:noWrap w:val="0"/>
            <w:vAlign w:val="center"/>
          </w:tcPr>
          <w:p w14:paraId="433CE431">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176" w:type="dxa"/>
            <w:noWrap w:val="0"/>
            <w:vAlign w:val="center"/>
          </w:tcPr>
          <w:p w14:paraId="4999EF1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150" w:type="dxa"/>
            <w:noWrap w:val="0"/>
            <w:vAlign w:val="center"/>
          </w:tcPr>
          <w:p w14:paraId="18890E0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1176" w:type="dxa"/>
            <w:noWrap w:val="0"/>
            <w:vAlign w:val="center"/>
          </w:tcPr>
          <w:p w14:paraId="0CECF02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从事工作年限</w:t>
            </w:r>
          </w:p>
        </w:tc>
        <w:tc>
          <w:tcPr>
            <w:tcW w:w="1144" w:type="dxa"/>
            <w:noWrap w:val="0"/>
            <w:vAlign w:val="top"/>
          </w:tcPr>
          <w:p w14:paraId="6EC25842">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06CD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D4700F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6031882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0ED1770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26BB2F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E552D4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5F2CF7C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194502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3ECF67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177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777F5F4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3BA63D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3300BAB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958AA9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4E62C4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7E8F80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45AFDC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D0A0C3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C0B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4DC16B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04766C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49F035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175AE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89505A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BA8A05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5E80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68C2DA6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DBE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154437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3B934F6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C5BF17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54F737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91E14B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0CA7073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9A61B7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1E07469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4EBE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6C76C2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62F229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5A5FA0B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9556C2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9938D9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8A0E36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815A76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0E56D1D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699A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167D850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6C7A00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737914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2D0796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4F1E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AA3AB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F7A277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367EC7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39C8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73" w:type="dxa"/>
            <w:noWrap w:val="0"/>
            <w:vAlign w:val="top"/>
          </w:tcPr>
          <w:p w14:paraId="7102505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DF2F39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EAD3B3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37C496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B0666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844D60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31C50B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5D49924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bl>
    <w:p w14:paraId="4CBE3823">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04D022FF">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3079C124">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50366F82">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p>
    <w:p w14:paraId="7AE5A187">
      <w:pPr>
        <w:pStyle w:val="21"/>
        <w:pageBreakBefore w:val="0"/>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p>
    <w:p w14:paraId="44BECF45">
      <w:pPr>
        <w:pageBreakBefore w:val="0"/>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003292DF">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DA689E2">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22" w:name="_Toc5479"/>
      <w:bookmarkStart w:id="323" w:name="_Toc236473312"/>
      <w:bookmarkStart w:id="324" w:name="_Toc437611485"/>
      <w:bookmarkStart w:id="325" w:name="_Toc485896002"/>
      <w:bookmarkStart w:id="326" w:name="_Toc238276256"/>
      <w:bookmarkStart w:id="327" w:name="_Toc12618"/>
      <w:r>
        <w:rPr>
          <w:rFonts w:hint="eastAsia" w:asciiTheme="minorEastAsia" w:hAnsiTheme="minorEastAsia" w:cstheme="minorEastAsia"/>
          <w:color w:val="auto"/>
          <w:spacing w:val="0"/>
          <w:position w:val="0"/>
          <w:highlight w:val="none"/>
          <w:lang w:val="en-US" w:eastAsia="zh-CN"/>
        </w:rPr>
        <w:t>6</w:t>
      </w:r>
      <w:r>
        <w:rPr>
          <w:rFonts w:hint="eastAsia" w:asciiTheme="minorEastAsia" w:hAnsiTheme="minorEastAsia" w:eastAsiaTheme="minorEastAsia" w:cstheme="minorEastAsia"/>
          <w:color w:val="auto"/>
          <w:spacing w:val="0"/>
          <w:position w:val="0"/>
          <w:highlight w:val="none"/>
          <w:lang w:val="en-US" w:eastAsia="zh-CN"/>
        </w:rPr>
        <w:t>、</w:t>
      </w:r>
      <w:r>
        <w:rPr>
          <w:rFonts w:hint="eastAsia" w:asciiTheme="minorEastAsia" w:hAnsiTheme="minorEastAsia" w:eastAsiaTheme="minorEastAsia" w:cstheme="minorEastAsia"/>
          <w:color w:val="auto"/>
          <w:spacing w:val="0"/>
          <w:position w:val="0"/>
          <w:highlight w:val="none"/>
        </w:rPr>
        <w:t>供应商类似项目业绩表</w:t>
      </w:r>
      <w:bookmarkEnd w:id="322"/>
      <w:bookmarkEnd w:id="323"/>
      <w:bookmarkEnd w:id="324"/>
      <w:bookmarkEnd w:id="325"/>
      <w:bookmarkEnd w:id="326"/>
      <w:bookmarkEnd w:id="327"/>
    </w:p>
    <w:p w14:paraId="38F323B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2B20223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p w14:paraId="480CA287">
      <w:pPr>
        <w:pStyle w:val="12"/>
        <w:pageBreakBefore w:val="0"/>
        <w:kinsoku/>
        <w:overflowPunct/>
        <w:topLinePunct w:val="0"/>
        <w:bidi w:val="0"/>
        <w:ind w:firstLine="560"/>
        <w:rPr>
          <w:rFonts w:hint="eastAsia" w:asciiTheme="minorEastAsia" w:hAnsiTheme="minorEastAsia" w:eastAsiaTheme="minorEastAsia" w:cstheme="minorEastAsia"/>
          <w:color w:val="auto"/>
          <w:spacing w:val="0"/>
          <w:position w:val="0"/>
          <w:sz w:val="28"/>
          <w:szCs w:val="28"/>
          <w:highlight w:val="none"/>
        </w:rPr>
      </w:pPr>
    </w:p>
    <w:tbl>
      <w:tblPr>
        <w:tblStyle w:val="3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212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3FEAFCF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项目名称</w:t>
            </w:r>
          </w:p>
        </w:tc>
        <w:tc>
          <w:tcPr>
            <w:tcW w:w="7200" w:type="dxa"/>
            <w:shd w:val="clear" w:color="auto" w:fill="auto"/>
          </w:tcPr>
          <w:p w14:paraId="00C6D3A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50D9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009661E1">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项目单位名称</w:t>
            </w:r>
          </w:p>
        </w:tc>
        <w:tc>
          <w:tcPr>
            <w:tcW w:w="7200" w:type="dxa"/>
            <w:shd w:val="clear" w:color="auto" w:fill="auto"/>
          </w:tcPr>
          <w:p w14:paraId="18C3862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3DA9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29D507A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项目单位联系人姓名及联系方式</w:t>
            </w:r>
          </w:p>
        </w:tc>
        <w:tc>
          <w:tcPr>
            <w:tcW w:w="7200" w:type="dxa"/>
            <w:shd w:val="clear" w:color="auto" w:fill="auto"/>
          </w:tcPr>
          <w:p w14:paraId="712FD2F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60C2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2107817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合同金额</w:t>
            </w:r>
          </w:p>
        </w:tc>
        <w:tc>
          <w:tcPr>
            <w:tcW w:w="7200" w:type="dxa"/>
            <w:shd w:val="clear" w:color="auto" w:fill="auto"/>
          </w:tcPr>
          <w:p w14:paraId="5E3CF7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734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18E29B0D">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项目负责人</w:t>
            </w:r>
          </w:p>
          <w:p w14:paraId="3E2282D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姓名</w:t>
            </w:r>
          </w:p>
        </w:tc>
        <w:tc>
          <w:tcPr>
            <w:tcW w:w="7200" w:type="dxa"/>
            <w:shd w:val="clear" w:color="auto" w:fill="auto"/>
          </w:tcPr>
          <w:p w14:paraId="132BFD4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B70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67A37B9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项目实施时间</w:t>
            </w:r>
          </w:p>
        </w:tc>
        <w:tc>
          <w:tcPr>
            <w:tcW w:w="7200" w:type="dxa"/>
            <w:shd w:val="clear" w:color="auto" w:fill="auto"/>
          </w:tcPr>
          <w:p w14:paraId="269A5E0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43EE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31A9747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项目内容说明</w:t>
            </w:r>
          </w:p>
        </w:tc>
        <w:tc>
          <w:tcPr>
            <w:tcW w:w="7200" w:type="dxa"/>
            <w:shd w:val="clear" w:color="auto" w:fill="auto"/>
          </w:tcPr>
          <w:p w14:paraId="56BFFA3C">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bl>
    <w:p w14:paraId="7715F2CB">
      <w:pPr>
        <w:pageBreakBefore w:val="0"/>
        <w:kinsoku/>
        <w:overflowPunct/>
        <w:topLinePunct w:val="0"/>
        <w:autoSpaceDE w:val="0"/>
        <w:autoSpaceDN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说明：1．每个合同须单独附表，并附上相关证明材料，否则专家在评审时将不予采信；</w:t>
      </w:r>
    </w:p>
    <w:p w14:paraId="70797A1D">
      <w:pPr>
        <w:pageBreakBefore w:val="0"/>
        <w:kinsoku/>
        <w:overflowPunct/>
        <w:topLinePunct w:val="0"/>
        <w:bidi w:val="0"/>
        <w:spacing w:line="360" w:lineRule="auto"/>
        <w:ind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2．项目内容请详细说明所承担的具体工作内容；</w:t>
      </w:r>
    </w:p>
    <w:p w14:paraId="7CA0C13F">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bookmarkStart w:id="328" w:name="_Toc437611486"/>
    </w:p>
    <w:p w14:paraId="3D13BB33">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29" w:name="_Toc14409"/>
      <w:r>
        <w:rPr>
          <w:rFonts w:hint="eastAsia" w:asciiTheme="minorEastAsia" w:hAnsi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lang w:val="en-US" w:eastAsia="zh-CN"/>
        </w:rPr>
        <w:t>、磋商文件要求提供或供应商认为需提供的其它资料；</w:t>
      </w:r>
      <w:bookmarkEnd w:id="329"/>
    </w:p>
    <w:p w14:paraId="251BEE30">
      <w:pPr>
        <w:pageBreakBefore w:val="0"/>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p>
    <w:p w14:paraId="4D05EBA6">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8F4BDA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540836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0A7883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D4BC762">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C748F8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D8FA0E3">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8A7076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52EBEDD">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4AA492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620B0BD">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594C59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42E86A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52CBE8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7BC4CD1">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9E0E53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3EFF19B">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9447FB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F83E843">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84B8E2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D7782B7">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040BCE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89B5DDF">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5CD22A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0A9710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84568E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2AC287F">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328"/>
    <w:p w14:paraId="20EB5DA0">
      <w:pPr>
        <w:pStyle w:val="4"/>
        <w:pageBreakBefore w:val="0"/>
        <w:kinsoku/>
        <w:overflowPunct/>
        <w:topLinePunct w:val="0"/>
        <w:bidi w:val="0"/>
        <w:ind w:left="0" w:leftChars="0" w:firstLine="0" w:firstLineChars="0"/>
        <w:jc w:val="center"/>
        <w:rPr>
          <w:rFonts w:hint="eastAsia" w:asciiTheme="minorEastAsia" w:hAnsiTheme="minorEastAsia" w:eastAsiaTheme="minorEastAsia" w:cstheme="minorEastAsia"/>
          <w:color w:val="auto"/>
          <w:spacing w:val="0"/>
          <w:position w:val="0"/>
          <w:highlight w:val="none"/>
        </w:rPr>
      </w:pPr>
      <w:bookmarkStart w:id="330" w:name="_Toc293736029"/>
      <w:bookmarkStart w:id="331" w:name="_Toc446599333"/>
      <w:bookmarkStart w:id="332" w:name="_Toc293736072"/>
      <w:bookmarkStart w:id="333" w:name="_Toc25200"/>
      <w:bookmarkStart w:id="334" w:name="_Toc293739010"/>
      <w:bookmarkStart w:id="335" w:name="_Toc20323"/>
      <w:bookmarkStart w:id="336" w:name="_Toc485896007"/>
      <w:r>
        <w:rPr>
          <w:rFonts w:hint="eastAsia" w:asciiTheme="minorEastAsia" w:hAnsiTheme="minorEastAsia" w:eastAsiaTheme="minorEastAsia" w:cstheme="minorEastAsia"/>
          <w:color w:val="auto"/>
          <w:spacing w:val="0"/>
          <w:position w:val="0"/>
          <w:highlight w:val="none"/>
        </w:rPr>
        <w:t>二、</w:t>
      </w:r>
      <w:bookmarkStart w:id="337" w:name="_Toc257633149"/>
      <w:r>
        <w:rPr>
          <w:rFonts w:hint="eastAsia" w:asciiTheme="minorEastAsia" w:hAnsiTheme="minorEastAsia" w:eastAsiaTheme="minorEastAsia" w:cstheme="minorEastAsia"/>
          <w:color w:val="auto"/>
          <w:spacing w:val="0"/>
          <w:position w:val="0"/>
          <w:highlight w:val="none"/>
        </w:rPr>
        <w:t>技术文件组成</w:t>
      </w:r>
      <w:bookmarkEnd w:id="330"/>
      <w:bookmarkEnd w:id="331"/>
      <w:bookmarkEnd w:id="332"/>
      <w:bookmarkEnd w:id="333"/>
      <w:bookmarkEnd w:id="334"/>
      <w:bookmarkEnd w:id="335"/>
      <w:bookmarkEnd w:id="336"/>
      <w:bookmarkEnd w:id="337"/>
    </w:p>
    <w:p w14:paraId="31B2C35E">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由各供应商根据</w:t>
      </w:r>
      <w:r>
        <w:rPr>
          <w:rFonts w:hint="eastAsia" w:asciiTheme="minorEastAsia" w:hAnsiTheme="minorEastAsia" w:eastAsiaTheme="minorEastAsia" w:cstheme="minorEastAsia"/>
          <w:color w:val="auto"/>
          <w:spacing w:val="0"/>
          <w:position w:val="0"/>
          <w:sz w:val="28"/>
          <w:szCs w:val="28"/>
          <w:highlight w:val="none"/>
          <w:lang w:val="en-US" w:eastAsia="zh-CN"/>
        </w:rPr>
        <w:t>招标文件</w:t>
      </w:r>
      <w:r>
        <w:rPr>
          <w:rFonts w:hint="eastAsia" w:asciiTheme="minorEastAsia" w:hAnsiTheme="minorEastAsia" w:eastAsiaTheme="minorEastAsia" w:cstheme="minorEastAsia"/>
          <w:color w:val="auto"/>
          <w:spacing w:val="0"/>
          <w:position w:val="0"/>
          <w:sz w:val="28"/>
          <w:szCs w:val="28"/>
          <w:highlight w:val="none"/>
        </w:rPr>
        <w:t>要求自行编写。目录清晰、内容详尽、易于理解和评审并富有建设性的技术方案将在评审时具有优势。</w:t>
      </w:r>
    </w:p>
    <w:p w14:paraId="40F2337E">
      <w:pPr>
        <w:pageBreakBefore w:val="0"/>
        <w:tabs>
          <w:tab w:val="left" w:pos="1365"/>
        </w:tabs>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响应文件技术服务文件的编制原则，一是按文件要求，提供相应说明、资料、表格以证明所投服务是否响应磋商文件要求；二是对应项目评审标准，充分体现所投服务对于评分标准的响应程度和优势。注明：各供应商根据项目的需要制作响应文件。</w:t>
      </w:r>
    </w:p>
    <w:p w14:paraId="2084FA40">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52845F37">
      <w:pPr>
        <w:pageBreakBefore w:val="0"/>
        <w:kinsoku/>
        <w:overflowPunct/>
        <w:topLinePunct w:val="0"/>
        <w:bidi w:val="0"/>
        <w:jc w:val="center"/>
        <w:rPr>
          <w:rStyle w:val="7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磋商文件补充材料</w:t>
      </w:r>
    </w:p>
    <w:p w14:paraId="14EE1E55">
      <w:pPr>
        <w:keepNext w:val="0"/>
        <w:keepLines w:val="0"/>
        <w:pageBreakBefore w:val="0"/>
        <w:widowControl/>
        <w:suppressLineNumbers w:val="0"/>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1、关于印发中小企业划型标准规定的通知（不属于响应文件格式，仅作为判断中小企业的依据）</w:t>
      </w:r>
    </w:p>
    <w:p w14:paraId="38EFEDC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37"/>
          <w:rFonts w:hint="eastAsia" w:asciiTheme="minorEastAsia" w:hAnsiTheme="minorEastAsia" w:eastAsiaTheme="minorEastAsia" w:cstheme="minorEastAsia"/>
          <w:i w:val="0"/>
          <w:iCs w:val="0"/>
          <w:caps w:val="0"/>
          <w:color w:val="auto"/>
          <w:spacing w:val="0"/>
          <w:position w:val="0"/>
          <w:sz w:val="36"/>
          <w:szCs w:val="36"/>
          <w:highlight w:val="none"/>
          <w:lang w:eastAsia="zh-CN"/>
        </w:rPr>
      </w:pPr>
      <w:r>
        <w:rPr>
          <w:rStyle w:val="37"/>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p>
    <w:p w14:paraId="7E5FE9F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3FDE05C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各省、自治区、直辖市人民政府，国务院各部委、各直属机构及有关单位：</w:t>
      </w:r>
    </w:p>
    <w:p w14:paraId="3727021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F096C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工业和信息化部　国家统计局</w:t>
      </w:r>
    </w:p>
    <w:p w14:paraId="6283336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国家发展和改革委员会　财政部</w:t>
      </w:r>
    </w:p>
    <w:p w14:paraId="2E07D4D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二○一一年六月十八日</w:t>
      </w:r>
    </w:p>
    <w:p w14:paraId="314CEB8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14:paraId="1ABFB5C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7"/>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105C1568">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p>
    <w:p w14:paraId="55A0B82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p>
    <w:p w14:paraId="23B97F63">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E0BD9E1">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四、各行业划型标准为：</w:t>
      </w:r>
    </w:p>
    <w:p w14:paraId="661F75D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011AE1D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30C7A9">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8483B2">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0CB4C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A99DEC">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87E54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79D01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3826C5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ABFC8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BCFA71">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C2D1584">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F4DB0B">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64AEE6">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107CBF">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668B3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238395A6">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五、企业类型的划分以统计部门的统计数据为依据。</w:t>
      </w:r>
    </w:p>
    <w:p w14:paraId="17782D72">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p>
    <w:p w14:paraId="47DADEA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0F557ED3">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p>
    <w:p w14:paraId="5C5C48A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九、本规定由工业和信息化部、国家统计局会同有关部门负责解释。</w:t>
      </w:r>
    </w:p>
    <w:p w14:paraId="08F23004">
      <w:pPr>
        <w:pStyle w:val="33"/>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sectPr>
      <w:headerReference r:id="rId8"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 SimSun">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6F96">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C52BDE">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hcf8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GFx/yQEAAJkDAAAOAAAAAAAAAAEAIAAAAB4BAABkcnMvZTJvRG9j&#10;LnhtbFBLBQYAAAAABgAGAFkBAABZBQAAAAA=&#10;">
              <v:fill on="f" focussize="0,0"/>
              <v:stroke on="f"/>
              <v:imagedata o:title=""/>
              <o:lock v:ext="edit" aspectratio="f"/>
              <v:textbox inset="0mm,0mm,0mm,0mm" style="mso-fit-shape-to-text:t;">
                <w:txbxContent>
                  <w:p w14:paraId="51C52BDE">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CD0E">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75FD6">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27775FD6">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2F523454">
    <w:pPr>
      <w:pStyle w:val="2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1A94">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376F80">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6B376F80">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5C28A028">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9492B">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5C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46DF">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B321F74E"/>
    <w:multiLevelType w:val="singleLevel"/>
    <w:tmpl w:val="B321F74E"/>
    <w:lvl w:ilvl="0" w:tentative="0">
      <w:start w:val="1"/>
      <w:numFmt w:val="chineseCounting"/>
      <w:suff w:val="space"/>
      <w:lvlText w:val="第%1章"/>
      <w:lvlJc w:val="left"/>
      <w:rPr>
        <w:rFonts w:hint="eastAsia"/>
      </w:rPr>
    </w:lvl>
  </w:abstractNum>
  <w:abstractNum w:abstractNumId="2">
    <w:nsid w:val="CF3DCBA3"/>
    <w:multiLevelType w:val="singleLevel"/>
    <w:tmpl w:val="CF3DCBA3"/>
    <w:lvl w:ilvl="0" w:tentative="0">
      <w:start w:val="2"/>
      <w:numFmt w:val="decimal"/>
      <w:suff w:val="nothing"/>
      <w:lvlText w:val="%1、"/>
      <w:lvlJc w:val="left"/>
    </w:lvl>
  </w:abstractNum>
  <w:abstractNum w:abstractNumId="3">
    <w:nsid w:val="D5140BF2"/>
    <w:multiLevelType w:val="singleLevel"/>
    <w:tmpl w:val="D5140BF2"/>
    <w:lvl w:ilvl="0" w:tentative="0">
      <w:start w:val="1"/>
      <w:numFmt w:val="decimal"/>
      <w:suff w:val="nothing"/>
      <w:lvlText w:val="（%1）"/>
      <w:lvlJc w:val="left"/>
    </w:lvl>
  </w:abstractNum>
  <w:abstractNum w:abstractNumId="4">
    <w:nsid w:val="23D14851"/>
    <w:multiLevelType w:val="singleLevel"/>
    <w:tmpl w:val="23D14851"/>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ZhOTBlMThhODA4YWFhZjJjMjdhOTJmZTUwYzc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50B"/>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2B21"/>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371FE"/>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415CD2"/>
    <w:rsid w:val="01676158"/>
    <w:rsid w:val="02201D8C"/>
    <w:rsid w:val="024141DC"/>
    <w:rsid w:val="02832A46"/>
    <w:rsid w:val="02C941D1"/>
    <w:rsid w:val="03064AB8"/>
    <w:rsid w:val="0328539C"/>
    <w:rsid w:val="033C0E47"/>
    <w:rsid w:val="033E4BBF"/>
    <w:rsid w:val="037B0944"/>
    <w:rsid w:val="03972DDE"/>
    <w:rsid w:val="03F93A73"/>
    <w:rsid w:val="042046F5"/>
    <w:rsid w:val="044E7B67"/>
    <w:rsid w:val="04787C5D"/>
    <w:rsid w:val="04C16888"/>
    <w:rsid w:val="04ED41A7"/>
    <w:rsid w:val="056C151E"/>
    <w:rsid w:val="058A7C48"/>
    <w:rsid w:val="05900FD6"/>
    <w:rsid w:val="05E82BC0"/>
    <w:rsid w:val="06087B94"/>
    <w:rsid w:val="0689662B"/>
    <w:rsid w:val="0698114A"/>
    <w:rsid w:val="06F22112"/>
    <w:rsid w:val="06F85085"/>
    <w:rsid w:val="06FE6B3F"/>
    <w:rsid w:val="070F1FD8"/>
    <w:rsid w:val="07E147B8"/>
    <w:rsid w:val="08030185"/>
    <w:rsid w:val="08066F25"/>
    <w:rsid w:val="08712537"/>
    <w:rsid w:val="08DA29A0"/>
    <w:rsid w:val="09D00DB5"/>
    <w:rsid w:val="09D25006"/>
    <w:rsid w:val="09F340E8"/>
    <w:rsid w:val="0A5C592B"/>
    <w:rsid w:val="0A732D15"/>
    <w:rsid w:val="0A757553"/>
    <w:rsid w:val="0AAB0D8C"/>
    <w:rsid w:val="0AAD0049"/>
    <w:rsid w:val="0AEF01C9"/>
    <w:rsid w:val="0B9E6FCA"/>
    <w:rsid w:val="0C060244"/>
    <w:rsid w:val="0CA23AC9"/>
    <w:rsid w:val="0CC779D3"/>
    <w:rsid w:val="0D1C451A"/>
    <w:rsid w:val="0D817CDD"/>
    <w:rsid w:val="0D86163D"/>
    <w:rsid w:val="0D9B07AF"/>
    <w:rsid w:val="0DAE46EF"/>
    <w:rsid w:val="0DCB2EC9"/>
    <w:rsid w:val="0DDB5519"/>
    <w:rsid w:val="0E2F5830"/>
    <w:rsid w:val="0E670F34"/>
    <w:rsid w:val="0E770F85"/>
    <w:rsid w:val="0EA63619"/>
    <w:rsid w:val="0EF90537"/>
    <w:rsid w:val="0F274759"/>
    <w:rsid w:val="0F706100"/>
    <w:rsid w:val="0FC4644C"/>
    <w:rsid w:val="0FC87CEA"/>
    <w:rsid w:val="0FF65C06"/>
    <w:rsid w:val="0FFC7994"/>
    <w:rsid w:val="1008205A"/>
    <w:rsid w:val="10CD3604"/>
    <w:rsid w:val="110342FF"/>
    <w:rsid w:val="11790A7A"/>
    <w:rsid w:val="11793836"/>
    <w:rsid w:val="118A0FD0"/>
    <w:rsid w:val="121D6EB6"/>
    <w:rsid w:val="121E6BD5"/>
    <w:rsid w:val="127D2F5A"/>
    <w:rsid w:val="12843C37"/>
    <w:rsid w:val="128819B3"/>
    <w:rsid w:val="12E666D9"/>
    <w:rsid w:val="13336E3E"/>
    <w:rsid w:val="137D0DEC"/>
    <w:rsid w:val="13AD4614"/>
    <w:rsid w:val="13BA3963"/>
    <w:rsid w:val="13BD35E6"/>
    <w:rsid w:val="13E75FD4"/>
    <w:rsid w:val="141A2ADF"/>
    <w:rsid w:val="14221EEF"/>
    <w:rsid w:val="14CD7B51"/>
    <w:rsid w:val="14D0319D"/>
    <w:rsid w:val="14FC3F92"/>
    <w:rsid w:val="156D6C3E"/>
    <w:rsid w:val="15785BB6"/>
    <w:rsid w:val="158C3568"/>
    <w:rsid w:val="15B8435D"/>
    <w:rsid w:val="1609105D"/>
    <w:rsid w:val="16257519"/>
    <w:rsid w:val="16481B85"/>
    <w:rsid w:val="16565924"/>
    <w:rsid w:val="165C6DCA"/>
    <w:rsid w:val="168E50BE"/>
    <w:rsid w:val="169C5A2D"/>
    <w:rsid w:val="170D692B"/>
    <w:rsid w:val="17771FF6"/>
    <w:rsid w:val="17793FC0"/>
    <w:rsid w:val="177E44BC"/>
    <w:rsid w:val="177F0FF5"/>
    <w:rsid w:val="17920BDE"/>
    <w:rsid w:val="183C1003"/>
    <w:rsid w:val="190A0BD8"/>
    <w:rsid w:val="194523AC"/>
    <w:rsid w:val="19622F5E"/>
    <w:rsid w:val="199B1FCC"/>
    <w:rsid w:val="19AD1CFF"/>
    <w:rsid w:val="19D41982"/>
    <w:rsid w:val="1A085187"/>
    <w:rsid w:val="1A632B36"/>
    <w:rsid w:val="1A766595"/>
    <w:rsid w:val="1A8B0292"/>
    <w:rsid w:val="1AF916A0"/>
    <w:rsid w:val="1B2B711A"/>
    <w:rsid w:val="1B352404"/>
    <w:rsid w:val="1B583A4F"/>
    <w:rsid w:val="1C0F4EF3"/>
    <w:rsid w:val="1C5A2E43"/>
    <w:rsid w:val="1C5E26D8"/>
    <w:rsid w:val="1C6C5EA1"/>
    <w:rsid w:val="1CBF7BEB"/>
    <w:rsid w:val="1CC730D8"/>
    <w:rsid w:val="1CF814E3"/>
    <w:rsid w:val="1D0D3CA0"/>
    <w:rsid w:val="1D3C38E1"/>
    <w:rsid w:val="1D4A5240"/>
    <w:rsid w:val="1D8F1E47"/>
    <w:rsid w:val="1D94745E"/>
    <w:rsid w:val="1DAB47A7"/>
    <w:rsid w:val="1DDC0E05"/>
    <w:rsid w:val="1DFE1EE3"/>
    <w:rsid w:val="1F1D6BE8"/>
    <w:rsid w:val="1F2962CC"/>
    <w:rsid w:val="1F356A1F"/>
    <w:rsid w:val="203931EC"/>
    <w:rsid w:val="208A4B48"/>
    <w:rsid w:val="20A21E92"/>
    <w:rsid w:val="210F67FD"/>
    <w:rsid w:val="213C22E6"/>
    <w:rsid w:val="21FA7BC8"/>
    <w:rsid w:val="224F4AB9"/>
    <w:rsid w:val="22AD2D70"/>
    <w:rsid w:val="22B76683"/>
    <w:rsid w:val="22E12559"/>
    <w:rsid w:val="22F866E1"/>
    <w:rsid w:val="231F1167"/>
    <w:rsid w:val="235C2BD4"/>
    <w:rsid w:val="23C2284B"/>
    <w:rsid w:val="23F52C20"/>
    <w:rsid w:val="23FF4341"/>
    <w:rsid w:val="2449696F"/>
    <w:rsid w:val="24942439"/>
    <w:rsid w:val="2581038F"/>
    <w:rsid w:val="259A3A7F"/>
    <w:rsid w:val="25B11518"/>
    <w:rsid w:val="25B86563"/>
    <w:rsid w:val="25DF018E"/>
    <w:rsid w:val="25EC2F6E"/>
    <w:rsid w:val="26D05957"/>
    <w:rsid w:val="26E52AD8"/>
    <w:rsid w:val="275748D6"/>
    <w:rsid w:val="28832709"/>
    <w:rsid w:val="28C1544E"/>
    <w:rsid w:val="28EF5E90"/>
    <w:rsid w:val="28F03549"/>
    <w:rsid w:val="2938027B"/>
    <w:rsid w:val="29451F54"/>
    <w:rsid w:val="29600B3C"/>
    <w:rsid w:val="296E3259"/>
    <w:rsid w:val="299407E6"/>
    <w:rsid w:val="29F10FDB"/>
    <w:rsid w:val="29F15020"/>
    <w:rsid w:val="2A135BAE"/>
    <w:rsid w:val="2A321930"/>
    <w:rsid w:val="2A392F51"/>
    <w:rsid w:val="2A495030"/>
    <w:rsid w:val="2A676E5E"/>
    <w:rsid w:val="2AAA088C"/>
    <w:rsid w:val="2ACC4185"/>
    <w:rsid w:val="2B45218A"/>
    <w:rsid w:val="2B997798"/>
    <w:rsid w:val="2BEA0B91"/>
    <w:rsid w:val="2C250A37"/>
    <w:rsid w:val="2CA31F00"/>
    <w:rsid w:val="2CB05936"/>
    <w:rsid w:val="2CC47307"/>
    <w:rsid w:val="2CD70E83"/>
    <w:rsid w:val="2CF47464"/>
    <w:rsid w:val="2D23435A"/>
    <w:rsid w:val="2D2D67A1"/>
    <w:rsid w:val="2D71345A"/>
    <w:rsid w:val="2D8C511C"/>
    <w:rsid w:val="2D8D5C78"/>
    <w:rsid w:val="2DCA2DA2"/>
    <w:rsid w:val="2DD12008"/>
    <w:rsid w:val="2E0B376C"/>
    <w:rsid w:val="2E15422C"/>
    <w:rsid w:val="2E871C5E"/>
    <w:rsid w:val="2E877F26"/>
    <w:rsid w:val="2E8B665B"/>
    <w:rsid w:val="2F277698"/>
    <w:rsid w:val="2F2B5748"/>
    <w:rsid w:val="2F805A94"/>
    <w:rsid w:val="2FAA2B11"/>
    <w:rsid w:val="2FBB4416"/>
    <w:rsid w:val="2FDB37C9"/>
    <w:rsid w:val="30347DA4"/>
    <w:rsid w:val="30564A47"/>
    <w:rsid w:val="30582787"/>
    <w:rsid w:val="307A5768"/>
    <w:rsid w:val="30A15F9D"/>
    <w:rsid w:val="30BE3DCE"/>
    <w:rsid w:val="30C44045"/>
    <w:rsid w:val="310C4583"/>
    <w:rsid w:val="31321010"/>
    <w:rsid w:val="313258E8"/>
    <w:rsid w:val="31822DF7"/>
    <w:rsid w:val="31A072B4"/>
    <w:rsid w:val="31A6555A"/>
    <w:rsid w:val="31CF685F"/>
    <w:rsid w:val="3251196A"/>
    <w:rsid w:val="32A25D21"/>
    <w:rsid w:val="32D87995"/>
    <w:rsid w:val="32FA3DAF"/>
    <w:rsid w:val="32FB322A"/>
    <w:rsid w:val="3304078A"/>
    <w:rsid w:val="334540FB"/>
    <w:rsid w:val="33491B5A"/>
    <w:rsid w:val="34142984"/>
    <w:rsid w:val="34E641C2"/>
    <w:rsid w:val="34F856A3"/>
    <w:rsid w:val="35315E89"/>
    <w:rsid w:val="353A77E0"/>
    <w:rsid w:val="358B6F41"/>
    <w:rsid w:val="35B53732"/>
    <w:rsid w:val="35C30488"/>
    <w:rsid w:val="360A60B7"/>
    <w:rsid w:val="36345EE6"/>
    <w:rsid w:val="365B4488"/>
    <w:rsid w:val="366C0B20"/>
    <w:rsid w:val="369B1D40"/>
    <w:rsid w:val="369E4A52"/>
    <w:rsid w:val="37256F21"/>
    <w:rsid w:val="3758200A"/>
    <w:rsid w:val="37BC2078"/>
    <w:rsid w:val="382A0C93"/>
    <w:rsid w:val="386C58FB"/>
    <w:rsid w:val="386D15ED"/>
    <w:rsid w:val="389F7463"/>
    <w:rsid w:val="38FF1191"/>
    <w:rsid w:val="39345A29"/>
    <w:rsid w:val="397523E2"/>
    <w:rsid w:val="39D72754"/>
    <w:rsid w:val="3A804B32"/>
    <w:rsid w:val="3AAA1C17"/>
    <w:rsid w:val="3AF64E5C"/>
    <w:rsid w:val="3B27770B"/>
    <w:rsid w:val="3B567FF1"/>
    <w:rsid w:val="3B6650C4"/>
    <w:rsid w:val="3BD66CA2"/>
    <w:rsid w:val="3BF07AFD"/>
    <w:rsid w:val="3C244D7B"/>
    <w:rsid w:val="3C247E8C"/>
    <w:rsid w:val="3C9C5ED7"/>
    <w:rsid w:val="3C9C7C85"/>
    <w:rsid w:val="3CB45CFB"/>
    <w:rsid w:val="3CED6733"/>
    <w:rsid w:val="3DEE7764"/>
    <w:rsid w:val="3E95498C"/>
    <w:rsid w:val="3EA352FB"/>
    <w:rsid w:val="3EB968CD"/>
    <w:rsid w:val="3EC875D4"/>
    <w:rsid w:val="3EE071AB"/>
    <w:rsid w:val="3EEF22EE"/>
    <w:rsid w:val="3EFB0C93"/>
    <w:rsid w:val="3EFF2568"/>
    <w:rsid w:val="3FAF7CCF"/>
    <w:rsid w:val="3FCC5A47"/>
    <w:rsid w:val="403326AF"/>
    <w:rsid w:val="40624D42"/>
    <w:rsid w:val="40C304AF"/>
    <w:rsid w:val="40CF0629"/>
    <w:rsid w:val="412F10C8"/>
    <w:rsid w:val="41516B51"/>
    <w:rsid w:val="415C4DA1"/>
    <w:rsid w:val="41650F8E"/>
    <w:rsid w:val="418A09F4"/>
    <w:rsid w:val="41A108EA"/>
    <w:rsid w:val="42605CE0"/>
    <w:rsid w:val="43081BD1"/>
    <w:rsid w:val="43342547"/>
    <w:rsid w:val="43544E16"/>
    <w:rsid w:val="43751A61"/>
    <w:rsid w:val="438020AF"/>
    <w:rsid w:val="43AF6AFE"/>
    <w:rsid w:val="44290050"/>
    <w:rsid w:val="442A5B77"/>
    <w:rsid w:val="44366C11"/>
    <w:rsid w:val="44586B88"/>
    <w:rsid w:val="451505D5"/>
    <w:rsid w:val="453E2BF0"/>
    <w:rsid w:val="4571491C"/>
    <w:rsid w:val="45C41F63"/>
    <w:rsid w:val="461D6366"/>
    <w:rsid w:val="463E3999"/>
    <w:rsid w:val="467F70E2"/>
    <w:rsid w:val="468D2996"/>
    <w:rsid w:val="468E03F3"/>
    <w:rsid w:val="46D70238"/>
    <w:rsid w:val="46EE732F"/>
    <w:rsid w:val="47AA661F"/>
    <w:rsid w:val="47E0136E"/>
    <w:rsid w:val="481E1E96"/>
    <w:rsid w:val="48284861"/>
    <w:rsid w:val="48623B31"/>
    <w:rsid w:val="48897310"/>
    <w:rsid w:val="49117278"/>
    <w:rsid w:val="49247038"/>
    <w:rsid w:val="492E65CD"/>
    <w:rsid w:val="49885819"/>
    <w:rsid w:val="49F84FFA"/>
    <w:rsid w:val="4A012E2B"/>
    <w:rsid w:val="4A340100"/>
    <w:rsid w:val="4A437992"/>
    <w:rsid w:val="4A6C513B"/>
    <w:rsid w:val="4A761B16"/>
    <w:rsid w:val="4A8E6E5F"/>
    <w:rsid w:val="4A915202"/>
    <w:rsid w:val="4AC13E53"/>
    <w:rsid w:val="4AE03433"/>
    <w:rsid w:val="4B460B4B"/>
    <w:rsid w:val="4B9319B6"/>
    <w:rsid w:val="4BB3139E"/>
    <w:rsid w:val="4BD56119"/>
    <w:rsid w:val="4C0E061A"/>
    <w:rsid w:val="4C994D97"/>
    <w:rsid w:val="4D963478"/>
    <w:rsid w:val="4D970721"/>
    <w:rsid w:val="4DBA440F"/>
    <w:rsid w:val="4DEC6CD7"/>
    <w:rsid w:val="4E233D83"/>
    <w:rsid w:val="4E9D02D9"/>
    <w:rsid w:val="4F27072E"/>
    <w:rsid w:val="4F271C4B"/>
    <w:rsid w:val="4FBA06F6"/>
    <w:rsid w:val="4FDD44A2"/>
    <w:rsid w:val="509A0C0E"/>
    <w:rsid w:val="50A32F39"/>
    <w:rsid w:val="50EA6DB9"/>
    <w:rsid w:val="50FB45EB"/>
    <w:rsid w:val="51082263"/>
    <w:rsid w:val="513D513B"/>
    <w:rsid w:val="514141DD"/>
    <w:rsid w:val="515661FD"/>
    <w:rsid w:val="5198572E"/>
    <w:rsid w:val="519D5BDA"/>
    <w:rsid w:val="52374280"/>
    <w:rsid w:val="52630BD1"/>
    <w:rsid w:val="528D3EA0"/>
    <w:rsid w:val="52A90634"/>
    <w:rsid w:val="53193986"/>
    <w:rsid w:val="535135FC"/>
    <w:rsid w:val="53574187"/>
    <w:rsid w:val="536410A5"/>
    <w:rsid w:val="53B561C0"/>
    <w:rsid w:val="54651927"/>
    <w:rsid w:val="54AF3253"/>
    <w:rsid w:val="55307659"/>
    <w:rsid w:val="5535543A"/>
    <w:rsid w:val="55383F64"/>
    <w:rsid w:val="55766E6E"/>
    <w:rsid w:val="55913D6C"/>
    <w:rsid w:val="55BC6160"/>
    <w:rsid w:val="55E0339D"/>
    <w:rsid w:val="561F3061"/>
    <w:rsid w:val="56261518"/>
    <w:rsid w:val="568832FC"/>
    <w:rsid w:val="56B62633"/>
    <w:rsid w:val="579655A5"/>
    <w:rsid w:val="57AD28EF"/>
    <w:rsid w:val="57C06AC6"/>
    <w:rsid w:val="58007FCC"/>
    <w:rsid w:val="58424AB5"/>
    <w:rsid w:val="58A15FD0"/>
    <w:rsid w:val="58D04AE7"/>
    <w:rsid w:val="58D05A14"/>
    <w:rsid w:val="594A6647"/>
    <w:rsid w:val="595455B5"/>
    <w:rsid w:val="598B7205"/>
    <w:rsid w:val="59DC7B32"/>
    <w:rsid w:val="59F22154"/>
    <w:rsid w:val="59F6057D"/>
    <w:rsid w:val="5A074490"/>
    <w:rsid w:val="5A2302F0"/>
    <w:rsid w:val="5A364E1D"/>
    <w:rsid w:val="5A7F0116"/>
    <w:rsid w:val="5AAC50E0"/>
    <w:rsid w:val="5AB50333"/>
    <w:rsid w:val="5AB87F28"/>
    <w:rsid w:val="5AC01473"/>
    <w:rsid w:val="5ADE798F"/>
    <w:rsid w:val="5B0E4FB1"/>
    <w:rsid w:val="5B3A093D"/>
    <w:rsid w:val="5B5E7E0F"/>
    <w:rsid w:val="5BC02519"/>
    <w:rsid w:val="5CC0147B"/>
    <w:rsid w:val="5CD56B70"/>
    <w:rsid w:val="5DE15411"/>
    <w:rsid w:val="5DF14806"/>
    <w:rsid w:val="5DF474C9"/>
    <w:rsid w:val="5E0F7E5F"/>
    <w:rsid w:val="5E834211"/>
    <w:rsid w:val="5E9071F2"/>
    <w:rsid w:val="5F2A7A3E"/>
    <w:rsid w:val="5F3E0E69"/>
    <w:rsid w:val="5F700DD2"/>
    <w:rsid w:val="5F9F32CB"/>
    <w:rsid w:val="5FE5531C"/>
    <w:rsid w:val="60B82A30"/>
    <w:rsid w:val="60FB291D"/>
    <w:rsid w:val="6126799A"/>
    <w:rsid w:val="6137073F"/>
    <w:rsid w:val="61565DA5"/>
    <w:rsid w:val="61E7413F"/>
    <w:rsid w:val="62373E29"/>
    <w:rsid w:val="62500A46"/>
    <w:rsid w:val="628A21AA"/>
    <w:rsid w:val="62B07A33"/>
    <w:rsid w:val="635D3BCB"/>
    <w:rsid w:val="63A43996"/>
    <w:rsid w:val="63F8778B"/>
    <w:rsid w:val="63FF3B09"/>
    <w:rsid w:val="64011719"/>
    <w:rsid w:val="64261175"/>
    <w:rsid w:val="644A1BF1"/>
    <w:rsid w:val="648D5F82"/>
    <w:rsid w:val="64CA4AE0"/>
    <w:rsid w:val="64CE04C8"/>
    <w:rsid w:val="653E0CAA"/>
    <w:rsid w:val="654725D5"/>
    <w:rsid w:val="65710418"/>
    <w:rsid w:val="65CD0D2C"/>
    <w:rsid w:val="663A71E2"/>
    <w:rsid w:val="668F5FE1"/>
    <w:rsid w:val="670855E5"/>
    <w:rsid w:val="67201AA0"/>
    <w:rsid w:val="674C3ED2"/>
    <w:rsid w:val="684F761B"/>
    <w:rsid w:val="68E71D71"/>
    <w:rsid w:val="69605A13"/>
    <w:rsid w:val="69C67F6C"/>
    <w:rsid w:val="69CB5582"/>
    <w:rsid w:val="6A5C18FD"/>
    <w:rsid w:val="6A6B167A"/>
    <w:rsid w:val="6A800F11"/>
    <w:rsid w:val="6AE61F48"/>
    <w:rsid w:val="6B056872"/>
    <w:rsid w:val="6C57134F"/>
    <w:rsid w:val="6C895281"/>
    <w:rsid w:val="6CAD71C1"/>
    <w:rsid w:val="6CC60283"/>
    <w:rsid w:val="6CD56718"/>
    <w:rsid w:val="6CE25F96"/>
    <w:rsid w:val="6D745F31"/>
    <w:rsid w:val="6D882473"/>
    <w:rsid w:val="6D8E7684"/>
    <w:rsid w:val="6DB368A9"/>
    <w:rsid w:val="6DF350A8"/>
    <w:rsid w:val="6E302E16"/>
    <w:rsid w:val="6E380D0C"/>
    <w:rsid w:val="6E737F96"/>
    <w:rsid w:val="6E7F2DDF"/>
    <w:rsid w:val="6F3829E8"/>
    <w:rsid w:val="6FA523D2"/>
    <w:rsid w:val="6FC22F83"/>
    <w:rsid w:val="702A28D7"/>
    <w:rsid w:val="70560679"/>
    <w:rsid w:val="708F3534"/>
    <w:rsid w:val="70CC1BE0"/>
    <w:rsid w:val="71436346"/>
    <w:rsid w:val="715C7408"/>
    <w:rsid w:val="72247F25"/>
    <w:rsid w:val="72827F6B"/>
    <w:rsid w:val="72D231ED"/>
    <w:rsid w:val="72D75763"/>
    <w:rsid w:val="72FA2A34"/>
    <w:rsid w:val="730B69EF"/>
    <w:rsid w:val="734D7008"/>
    <w:rsid w:val="735C324C"/>
    <w:rsid w:val="73F456D6"/>
    <w:rsid w:val="74177616"/>
    <w:rsid w:val="741E6BF6"/>
    <w:rsid w:val="74277859"/>
    <w:rsid w:val="742B1FE0"/>
    <w:rsid w:val="74367A9C"/>
    <w:rsid w:val="74583EB6"/>
    <w:rsid w:val="75022BBE"/>
    <w:rsid w:val="750744E5"/>
    <w:rsid w:val="753161AE"/>
    <w:rsid w:val="75330480"/>
    <w:rsid w:val="75680129"/>
    <w:rsid w:val="757545F4"/>
    <w:rsid w:val="757A4300"/>
    <w:rsid w:val="759C6025"/>
    <w:rsid w:val="76217F91"/>
    <w:rsid w:val="763C5D0A"/>
    <w:rsid w:val="7662726E"/>
    <w:rsid w:val="769B26DC"/>
    <w:rsid w:val="76D80CE3"/>
    <w:rsid w:val="773D0465"/>
    <w:rsid w:val="774B1AB0"/>
    <w:rsid w:val="775D17E4"/>
    <w:rsid w:val="77AD276B"/>
    <w:rsid w:val="77CE4490"/>
    <w:rsid w:val="78006D3F"/>
    <w:rsid w:val="786B2585"/>
    <w:rsid w:val="78B90C9C"/>
    <w:rsid w:val="78F2573D"/>
    <w:rsid w:val="795F53B0"/>
    <w:rsid w:val="795F7A95"/>
    <w:rsid w:val="79617E9F"/>
    <w:rsid w:val="79671759"/>
    <w:rsid w:val="797075DA"/>
    <w:rsid w:val="79720700"/>
    <w:rsid w:val="7A1B3C8B"/>
    <w:rsid w:val="7A1C7734"/>
    <w:rsid w:val="7A1D5313"/>
    <w:rsid w:val="7A7632E8"/>
    <w:rsid w:val="7AA03EC1"/>
    <w:rsid w:val="7AA8721A"/>
    <w:rsid w:val="7B183B96"/>
    <w:rsid w:val="7B220D7A"/>
    <w:rsid w:val="7BB41C3D"/>
    <w:rsid w:val="7BBF44BB"/>
    <w:rsid w:val="7BCC3172"/>
    <w:rsid w:val="7BD77DB7"/>
    <w:rsid w:val="7BD863FC"/>
    <w:rsid w:val="7BDC50A2"/>
    <w:rsid w:val="7C7C270C"/>
    <w:rsid w:val="7C8C4B5A"/>
    <w:rsid w:val="7D0B0461"/>
    <w:rsid w:val="7D282903"/>
    <w:rsid w:val="7D401A7F"/>
    <w:rsid w:val="7D4C20DE"/>
    <w:rsid w:val="7DA22646"/>
    <w:rsid w:val="7DAF0BC1"/>
    <w:rsid w:val="7DD047CF"/>
    <w:rsid w:val="7DFF35F5"/>
    <w:rsid w:val="7E015867"/>
    <w:rsid w:val="7E502C4A"/>
    <w:rsid w:val="7E753116"/>
    <w:rsid w:val="7EB97C47"/>
    <w:rsid w:val="7F5E6DA6"/>
    <w:rsid w:val="7F8E48CA"/>
    <w:rsid w:val="7FAB18EF"/>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9"/>
    <w:pPr>
      <w:keepNext/>
      <w:keepLines/>
      <w:spacing w:before="340" w:after="330" w:line="578" w:lineRule="auto"/>
      <w:jc w:val="center"/>
      <w:outlineLvl w:val="0"/>
    </w:pPr>
    <w:rPr>
      <w:bCs/>
      <w:kern w:val="44"/>
      <w:sz w:val="44"/>
      <w:szCs w:val="44"/>
    </w:rPr>
  </w:style>
  <w:style w:type="paragraph" w:styleId="4">
    <w:name w:val="heading 2"/>
    <w:basedOn w:val="5"/>
    <w:next w:val="1"/>
    <w:link w:val="50"/>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48"/>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9"/>
    <w:qFormat/>
    <w:uiPriority w:val="0"/>
    <w:pPr>
      <w:keepNext/>
      <w:keepLines/>
      <w:spacing w:before="280" w:after="290" w:line="376" w:lineRule="auto"/>
      <w:outlineLvl w:val="4"/>
    </w:pPr>
    <w:rPr>
      <w:b/>
      <w:bCs/>
      <w:sz w:val="28"/>
      <w:szCs w:val="28"/>
    </w:rPr>
  </w:style>
  <w:style w:type="paragraph" w:styleId="8">
    <w:name w:val="heading 6"/>
    <w:basedOn w:val="7"/>
    <w:next w:val="1"/>
    <w:link w:val="51"/>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2"/>
    <w:qFormat/>
    <w:uiPriority w:val="0"/>
    <w:pPr>
      <w:tabs>
        <w:tab w:val="left" w:pos="1800"/>
        <w:tab w:val="clear" w:pos="1440"/>
      </w:tabs>
      <w:ind w:left="1276" w:hanging="1276"/>
      <w:outlineLvl w:val="6"/>
    </w:pPr>
  </w:style>
  <w:style w:type="paragraph" w:styleId="10">
    <w:name w:val="heading 8"/>
    <w:basedOn w:val="9"/>
    <w:next w:val="1"/>
    <w:link w:val="53"/>
    <w:qFormat/>
    <w:uiPriority w:val="0"/>
    <w:pPr>
      <w:ind w:left="1418" w:hanging="1418"/>
      <w:outlineLvl w:val="7"/>
    </w:pPr>
  </w:style>
  <w:style w:type="paragraph" w:styleId="11">
    <w:name w:val="heading 9"/>
    <w:basedOn w:val="10"/>
    <w:next w:val="1"/>
    <w:link w:val="54"/>
    <w:qFormat/>
    <w:uiPriority w:val="0"/>
    <w:pPr>
      <w:tabs>
        <w:tab w:val="left" w:pos="2160"/>
        <w:tab w:val="clear" w:pos="1800"/>
      </w:tabs>
      <w:ind w:left="1559" w:hanging="1559"/>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Normal Indent"/>
    <w:basedOn w:val="1"/>
    <w:link w:val="61"/>
    <w:unhideWhenUsed/>
    <w:qFormat/>
    <w:uiPriority w:val="0"/>
    <w:pPr>
      <w:ind w:firstLine="420" w:firstLineChars="200"/>
    </w:pPr>
  </w:style>
  <w:style w:type="paragraph" w:styleId="13">
    <w:name w:val="Document Map"/>
    <w:basedOn w:val="1"/>
    <w:link w:val="66"/>
    <w:qFormat/>
    <w:uiPriority w:val="0"/>
    <w:rPr>
      <w:rFonts w:ascii="宋体"/>
      <w:sz w:val="18"/>
      <w:szCs w:val="18"/>
    </w:rPr>
  </w:style>
  <w:style w:type="paragraph" w:styleId="14">
    <w:name w:val="toa heading"/>
    <w:basedOn w:val="1"/>
    <w:next w:val="1"/>
    <w:qFormat/>
    <w:uiPriority w:val="0"/>
    <w:pPr>
      <w:spacing w:before="120"/>
    </w:pPr>
    <w:rPr>
      <w:rFonts w:ascii="Cambria" w:hAnsi="Cambria" w:cs="Times New Roman"/>
      <w:sz w:val="24"/>
      <w:szCs w:val="24"/>
    </w:rPr>
  </w:style>
  <w:style w:type="paragraph" w:styleId="15">
    <w:name w:val="annotation text"/>
    <w:basedOn w:val="1"/>
    <w:link w:val="64"/>
    <w:qFormat/>
    <w:uiPriority w:val="0"/>
    <w:pPr>
      <w:jc w:val="left"/>
    </w:pPr>
  </w:style>
  <w:style w:type="paragraph" w:styleId="16">
    <w:name w:val="index 6"/>
    <w:basedOn w:val="1"/>
    <w:next w:val="1"/>
    <w:qFormat/>
    <w:uiPriority w:val="99"/>
    <w:pPr>
      <w:ind w:left="2100"/>
    </w:pPr>
  </w:style>
  <w:style w:type="paragraph" w:styleId="17">
    <w:name w:val="Body Text"/>
    <w:basedOn w:val="1"/>
    <w:next w:val="1"/>
    <w:unhideWhenUsed/>
    <w:qFormat/>
    <w:uiPriority w:val="0"/>
    <w:pPr>
      <w:spacing w:after="120"/>
    </w:pPr>
  </w:style>
  <w:style w:type="paragraph" w:styleId="18">
    <w:name w:val="Body Text Indent"/>
    <w:basedOn w:val="1"/>
    <w:qFormat/>
    <w:uiPriority w:val="0"/>
    <w:pPr>
      <w:ind w:firstLine="830" w:firstLineChars="352"/>
    </w:pPr>
    <w:rPr>
      <w:rFonts w:ascii="仿宋_GB2312" w:eastAsia="仿宋_GB2312"/>
      <w:sz w:val="32"/>
      <w:szCs w:val="20"/>
    </w:rPr>
  </w:style>
  <w:style w:type="paragraph" w:styleId="19">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0">
    <w:name w:val="toc 3"/>
    <w:basedOn w:val="1"/>
    <w:next w:val="1"/>
    <w:unhideWhenUsed/>
    <w:qFormat/>
    <w:uiPriority w:val="39"/>
    <w:pPr>
      <w:ind w:left="840" w:leftChars="400"/>
    </w:pPr>
  </w:style>
  <w:style w:type="paragraph" w:styleId="21">
    <w:name w:val="Plain Text"/>
    <w:basedOn w:val="1"/>
    <w:link w:val="58"/>
    <w:qFormat/>
    <w:uiPriority w:val="0"/>
    <w:rPr>
      <w:rFonts w:ascii="宋体" w:hAnsi="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222"/>
      </w:tabs>
      <w:spacing w:line="440" w:lineRule="exact"/>
      <w:ind w:right="231" w:rightChars="110"/>
    </w:pPr>
    <w:rPr>
      <w:sz w:val="28"/>
    </w:rPr>
  </w:style>
  <w:style w:type="paragraph" w:styleId="27">
    <w:name w:val="Body Text Indent 3"/>
    <w:basedOn w:val="1"/>
    <w:link w:val="73"/>
    <w:semiHidden/>
    <w:unhideWhenUsed/>
    <w:qFormat/>
    <w:uiPriority w:val="0"/>
    <w:pPr>
      <w:spacing w:after="120"/>
      <w:ind w:left="420" w:leftChars="200"/>
    </w:pPr>
    <w:rPr>
      <w:sz w:val="16"/>
      <w:szCs w:val="16"/>
    </w:rPr>
  </w:style>
  <w:style w:type="paragraph" w:styleId="28">
    <w:name w:val="toc 2"/>
    <w:basedOn w:val="1"/>
    <w:next w:val="1"/>
    <w:qFormat/>
    <w:uiPriority w:val="39"/>
    <w:pPr>
      <w:tabs>
        <w:tab w:val="right" w:leader="dot" w:pos="8222"/>
      </w:tabs>
      <w:ind w:left="420" w:leftChars="200"/>
      <w:jc w:val="left"/>
    </w:pPr>
    <w:rPr>
      <w:sz w:val="28"/>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Title"/>
    <w:basedOn w:val="1"/>
    <w:next w:val="1"/>
    <w:link w:val="46"/>
    <w:qFormat/>
    <w:uiPriority w:val="0"/>
    <w:pPr>
      <w:jc w:val="both"/>
    </w:pPr>
    <w:rPr>
      <w:rFonts w:ascii="宋体"/>
      <w:sz w:val="44"/>
    </w:rPr>
  </w:style>
  <w:style w:type="paragraph" w:styleId="31">
    <w:name w:val="annotation subject"/>
    <w:basedOn w:val="15"/>
    <w:next w:val="15"/>
    <w:link w:val="63"/>
    <w:qFormat/>
    <w:uiPriority w:val="99"/>
    <w:rPr>
      <w:rFonts w:ascii="Times New Roman" w:hAnsi="Times New Roman"/>
      <w:b/>
      <w:sz w:val="28"/>
      <w:szCs w:val="20"/>
    </w:rPr>
  </w:style>
  <w:style w:type="paragraph" w:styleId="32">
    <w:name w:val="Body Text First Indent"/>
    <w:basedOn w:val="17"/>
    <w:next w:val="17"/>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3">
    <w:name w:val="Body Text First Indent 2"/>
    <w:basedOn w:val="18"/>
    <w:qFormat/>
    <w:uiPriority w:val="0"/>
    <w:pPr>
      <w:spacing w:after="0"/>
      <w:ind w:firstLine="420" w:firstLineChars="200"/>
    </w:pPr>
    <w:rPr>
      <w:rFonts w:ascii="Calibri" w:hAnsi="Calibri" w:eastAsia="宋体"/>
      <w:szCs w:val="21"/>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basedOn w:val="36"/>
    <w:unhideWhenUsed/>
    <w:qFormat/>
    <w:uiPriority w:val="0"/>
    <w:rPr>
      <w:sz w:val="21"/>
      <w:szCs w:val="21"/>
    </w:rPr>
  </w:style>
  <w:style w:type="paragraph" w:customStyle="1" w:styleId="4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42">
    <w:name w:val="标题 4 Char"/>
    <w:link w:val="6"/>
    <w:qFormat/>
    <w:uiPriority w:val="0"/>
    <w:rPr>
      <w:rFonts w:ascii="Arial" w:hAnsi="Arial" w:eastAsia="黑体"/>
      <w:b/>
      <w:bCs/>
      <w:kern w:val="2"/>
      <w:sz w:val="28"/>
      <w:szCs w:val="28"/>
    </w:rPr>
  </w:style>
  <w:style w:type="paragraph" w:customStyle="1" w:styleId="43">
    <w:name w:val="UserStyle_1"/>
    <w:qFormat/>
    <w:uiPriority w:val="0"/>
    <w:pPr>
      <w:suppressAutoHyphens/>
      <w:jc w:val="both"/>
      <w:textAlignment w:val="baseline"/>
    </w:pPr>
    <w:rPr>
      <w:rFonts w:ascii="Times New Roman" w:hAnsi="Times New Roman" w:eastAsia="宋体, SimSun" w:cstheme="minorBidi"/>
      <w:kern w:val="3"/>
      <w:sz w:val="21"/>
      <w:lang w:val="en-US" w:eastAsia="zh-CN" w:bidi="ar-SA"/>
    </w:rPr>
  </w:style>
  <w:style w:type="paragraph" w:customStyle="1" w:styleId="44">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5">
    <w:name w:val="case31"/>
    <w:qFormat/>
    <w:uiPriority w:val="0"/>
    <w:rPr>
      <w:rFonts w:hint="default"/>
      <w:spacing w:val="390"/>
      <w:sz w:val="21"/>
      <w:szCs w:val="21"/>
    </w:rPr>
  </w:style>
  <w:style w:type="character" w:customStyle="1" w:styleId="46">
    <w:name w:val="标题 Char"/>
    <w:link w:val="30"/>
    <w:qFormat/>
    <w:uiPriority w:val="0"/>
    <w:rPr>
      <w:rFonts w:ascii="宋体" w:hAnsiTheme="majorEastAsia" w:eastAsiaTheme="majorEastAsia"/>
      <w:b/>
      <w:kern w:val="2"/>
      <w:sz w:val="44"/>
      <w:szCs w:val="28"/>
    </w:rPr>
  </w:style>
  <w:style w:type="character" w:customStyle="1" w:styleId="47">
    <w:name w:val="标题 1 Char"/>
    <w:link w:val="3"/>
    <w:qFormat/>
    <w:uiPriority w:val="9"/>
    <w:rPr>
      <w:rFonts w:ascii="Calibri" w:hAnsi="Calibri"/>
      <w:b/>
      <w:bCs/>
      <w:kern w:val="44"/>
      <w:sz w:val="44"/>
      <w:szCs w:val="44"/>
    </w:rPr>
  </w:style>
  <w:style w:type="character" w:customStyle="1" w:styleId="48">
    <w:name w:val="标题 3 Char"/>
    <w:link w:val="5"/>
    <w:qFormat/>
    <w:uiPriority w:val="0"/>
    <w:rPr>
      <w:rFonts w:ascii="仿宋_GB2312" w:hAnsi="宋体" w:eastAsiaTheme="minorEastAsia"/>
      <w:b/>
      <w:kern w:val="2"/>
      <w:sz w:val="32"/>
      <w:szCs w:val="32"/>
    </w:rPr>
  </w:style>
  <w:style w:type="character" w:customStyle="1" w:styleId="49">
    <w:name w:val="标题 5 Char"/>
    <w:link w:val="7"/>
    <w:qFormat/>
    <w:uiPriority w:val="0"/>
    <w:rPr>
      <w:rFonts w:ascii="Calibri" w:hAnsi="Calibri"/>
      <w:b/>
      <w:bCs/>
      <w:kern w:val="2"/>
      <w:sz w:val="28"/>
      <w:szCs w:val="28"/>
    </w:rPr>
  </w:style>
  <w:style w:type="character" w:customStyle="1" w:styleId="50">
    <w:name w:val="标题 2 Char"/>
    <w:link w:val="4"/>
    <w:qFormat/>
    <w:uiPriority w:val="0"/>
    <w:rPr>
      <w:rFonts w:asciiTheme="majorEastAsia" w:hAnsiTheme="majorEastAsia" w:eastAsiaTheme="majorEastAsia"/>
      <w:b/>
      <w:kern w:val="2"/>
      <w:sz w:val="32"/>
      <w:szCs w:val="28"/>
    </w:rPr>
  </w:style>
  <w:style w:type="character" w:customStyle="1" w:styleId="51">
    <w:name w:val="标题 6 Char"/>
    <w:link w:val="8"/>
    <w:qFormat/>
    <w:uiPriority w:val="0"/>
    <w:rPr>
      <w:b/>
      <w:bCs/>
      <w:kern w:val="2"/>
      <w:sz w:val="30"/>
      <w:szCs w:val="18"/>
    </w:rPr>
  </w:style>
  <w:style w:type="character" w:customStyle="1" w:styleId="52">
    <w:name w:val="标题 7 Char"/>
    <w:link w:val="9"/>
    <w:qFormat/>
    <w:uiPriority w:val="0"/>
    <w:rPr>
      <w:b/>
      <w:bCs/>
      <w:kern w:val="2"/>
      <w:sz w:val="30"/>
      <w:szCs w:val="18"/>
    </w:rPr>
  </w:style>
  <w:style w:type="character" w:customStyle="1" w:styleId="53">
    <w:name w:val="标题 8 Char"/>
    <w:link w:val="10"/>
    <w:qFormat/>
    <w:uiPriority w:val="0"/>
    <w:rPr>
      <w:b/>
      <w:bCs/>
      <w:kern w:val="2"/>
      <w:sz w:val="30"/>
      <w:szCs w:val="18"/>
    </w:rPr>
  </w:style>
  <w:style w:type="character" w:customStyle="1" w:styleId="54">
    <w:name w:val="标题 9 Char"/>
    <w:link w:val="11"/>
    <w:qFormat/>
    <w:uiPriority w:val="0"/>
    <w:rPr>
      <w:b/>
      <w:bCs/>
      <w:kern w:val="2"/>
      <w:sz w:val="30"/>
      <w:szCs w:val="18"/>
    </w:rPr>
  </w:style>
  <w:style w:type="paragraph" w:customStyle="1" w:styleId="55">
    <w:name w:val="列出段落1"/>
    <w:basedOn w:val="1"/>
    <w:qFormat/>
    <w:uiPriority w:val="34"/>
    <w:pPr>
      <w:ind w:firstLine="420" w:firstLineChars="200"/>
    </w:pPr>
  </w:style>
  <w:style w:type="paragraph" w:customStyle="1" w:styleId="56">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7">
    <w:name w:val="页眉 Char"/>
    <w:link w:val="25"/>
    <w:qFormat/>
    <w:uiPriority w:val="99"/>
    <w:rPr>
      <w:rFonts w:ascii="Calibri" w:hAnsi="Calibri" w:eastAsia="宋体" w:cs="Times New Roman"/>
      <w:kern w:val="2"/>
      <w:sz w:val="18"/>
      <w:szCs w:val="18"/>
    </w:rPr>
  </w:style>
  <w:style w:type="character" w:customStyle="1" w:styleId="58">
    <w:name w:val="纯文本 Char"/>
    <w:link w:val="21"/>
    <w:qFormat/>
    <w:locked/>
    <w:uiPriority w:val="0"/>
    <w:rPr>
      <w:rFonts w:ascii="宋体" w:hAnsi="Courier New" w:eastAsia="宋体" w:cs="Courier New"/>
      <w:kern w:val="2"/>
      <w:sz w:val="21"/>
      <w:szCs w:val="21"/>
    </w:rPr>
  </w:style>
  <w:style w:type="paragraph" w:customStyle="1" w:styleId="59">
    <w:name w:val="需求样式"/>
    <w:basedOn w:val="3"/>
    <w:link w:val="60"/>
    <w:qFormat/>
    <w:uiPriority w:val="0"/>
    <w:pPr>
      <w:spacing w:before="120" w:after="120" w:line="360" w:lineRule="auto"/>
      <w:ind w:left="425" w:hanging="425"/>
    </w:pPr>
    <w:rPr>
      <w:rFonts w:ascii="Times New Roman" w:hAnsi="Times New Roman"/>
      <w:sz w:val="32"/>
      <w:szCs w:val="28"/>
    </w:rPr>
  </w:style>
  <w:style w:type="character" w:customStyle="1" w:styleId="60">
    <w:name w:val="需求样式 Char"/>
    <w:link w:val="59"/>
    <w:qFormat/>
    <w:uiPriority w:val="0"/>
    <w:rPr>
      <w:b/>
      <w:bCs/>
      <w:kern w:val="44"/>
      <w:sz w:val="32"/>
      <w:szCs w:val="28"/>
    </w:rPr>
  </w:style>
  <w:style w:type="character" w:customStyle="1" w:styleId="61">
    <w:name w:val="正文缩进 Char"/>
    <w:link w:val="12"/>
    <w:qFormat/>
    <w:uiPriority w:val="0"/>
    <w:rPr>
      <w:rFonts w:ascii="Calibri" w:hAnsi="Calibri" w:eastAsia="宋体"/>
      <w:kern w:val="2"/>
      <w:sz w:val="21"/>
      <w:szCs w:val="22"/>
      <w:lang w:val="en-US" w:eastAsia="zh-CN" w:bidi="ar-SA"/>
    </w:rPr>
  </w:style>
  <w:style w:type="character" w:customStyle="1" w:styleId="62">
    <w:name w:val="普通文字 Char Char2"/>
    <w:qFormat/>
    <w:uiPriority w:val="0"/>
    <w:rPr>
      <w:rFonts w:ascii="宋体" w:hAnsi="Courier New" w:cs="Courier New"/>
      <w:kern w:val="2"/>
      <w:sz w:val="21"/>
      <w:szCs w:val="21"/>
    </w:rPr>
  </w:style>
  <w:style w:type="character" w:customStyle="1" w:styleId="63">
    <w:name w:val="批注主题 Char"/>
    <w:link w:val="31"/>
    <w:qFormat/>
    <w:uiPriority w:val="99"/>
    <w:rPr>
      <w:b/>
      <w:kern w:val="2"/>
      <w:sz w:val="28"/>
    </w:rPr>
  </w:style>
  <w:style w:type="character" w:customStyle="1" w:styleId="64">
    <w:name w:val="批注文字 Char"/>
    <w:basedOn w:val="36"/>
    <w:link w:val="15"/>
    <w:qFormat/>
    <w:uiPriority w:val="0"/>
    <w:rPr>
      <w:rFonts w:ascii="Calibri" w:hAnsi="Calibri"/>
      <w:kern w:val="2"/>
      <w:sz w:val="21"/>
      <w:szCs w:val="22"/>
    </w:rPr>
  </w:style>
  <w:style w:type="character" w:customStyle="1" w:styleId="65">
    <w:name w:val="批注主题 Char1"/>
    <w:basedOn w:val="64"/>
    <w:qFormat/>
    <w:uiPriority w:val="0"/>
    <w:rPr>
      <w:rFonts w:ascii="Calibri" w:hAnsi="Calibri"/>
      <w:b/>
      <w:bCs/>
      <w:kern w:val="2"/>
      <w:sz w:val="21"/>
      <w:szCs w:val="22"/>
    </w:rPr>
  </w:style>
  <w:style w:type="character" w:customStyle="1" w:styleId="66">
    <w:name w:val="文档结构图 Char"/>
    <w:basedOn w:val="36"/>
    <w:link w:val="13"/>
    <w:qFormat/>
    <w:uiPriority w:val="0"/>
    <w:rPr>
      <w:rFonts w:ascii="宋体" w:hAnsi="Calibri"/>
      <w:kern w:val="2"/>
      <w:sz w:val="18"/>
      <w:szCs w:val="18"/>
    </w:rPr>
  </w:style>
  <w:style w:type="paragraph" w:customStyle="1" w:styleId="67">
    <w:name w:val="修订1"/>
    <w:hidden/>
    <w:semiHidden/>
    <w:qFormat/>
    <w:uiPriority w:val="99"/>
    <w:rPr>
      <w:rFonts w:ascii="Calibri" w:hAnsi="Calibri" w:eastAsia="宋体" w:cs="Times New Roman"/>
      <w:kern w:val="2"/>
      <w:sz w:val="21"/>
      <w:szCs w:val="22"/>
      <w:lang w:val="en-US" w:eastAsia="zh-CN" w:bidi="ar-SA"/>
    </w:rPr>
  </w:style>
  <w:style w:type="paragraph" w:customStyle="1" w:styleId="68">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9">
    <w:name w:val="2册标题2 Char"/>
    <w:link w:val="70"/>
    <w:qFormat/>
    <w:uiPriority w:val="0"/>
    <w:rPr>
      <w:rFonts w:ascii="Arial" w:hAnsi="Arial" w:eastAsia="黑体"/>
      <w:kern w:val="2"/>
      <w:sz w:val="30"/>
    </w:rPr>
  </w:style>
  <w:style w:type="paragraph" w:customStyle="1" w:styleId="70">
    <w:name w:val="2册标题2"/>
    <w:basedOn w:val="1"/>
    <w:next w:val="1"/>
    <w:link w:val="69"/>
    <w:qFormat/>
    <w:uiPriority w:val="0"/>
    <w:pPr>
      <w:spacing w:beforeLines="50" w:afterLines="50" w:line="300" w:lineRule="auto"/>
      <w:outlineLvl w:val="1"/>
    </w:pPr>
    <w:rPr>
      <w:rFonts w:ascii="Arial" w:hAnsi="Arial" w:eastAsia="黑体"/>
      <w:sz w:val="30"/>
      <w:szCs w:val="20"/>
    </w:rPr>
  </w:style>
  <w:style w:type="paragraph" w:styleId="71">
    <w:name w:val="List Paragraph"/>
    <w:basedOn w:val="1"/>
    <w:unhideWhenUsed/>
    <w:qFormat/>
    <w:uiPriority w:val="99"/>
    <w:pPr>
      <w:ind w:firstLine="420" w:firstLineChars="200"/>
    </w:pPr>
  </w:style>
  <w:style w:type="paragraph" w:customStyle="1" w:styleId="7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3">
    <w:name w:val="正文文本缩进 3 Char"/>
    <w:basedOn w:val="36"/>
    <w:link w:val="27"/>
    <w:semiHidden/>
    <w:qFormat/>
    <w:uiPriority w:val="0"/>
    <w:rPr>
      <w:rFonts w:ascii="Calibri" w:hAnsi="Calibri"/>
      <w:kern w:val="2"/>
      <w:sz w:val="16"/>
      <w:szCs w:val="16"/>
    </w:rPr>
  </w:style>
  <w:style w:type="paragraph" w:customStyle="1" w:styleId="7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UserStyle_35"/>
    <w:qFormat/>
    <w:uiPriority w:val="0"/>
    <w:pPr>
      <w:textAlignment w:val="baseline"/>
    </w:pPr>
    <w:rPr>
      <w:rFonts w:ascii="Times New Roman" w:hAnsi="Times New Roman" w:eastAsia="宋体" w:cs="Times New Roman"/>
      <w:color w:val="000000"/>
      <w:szCs w:val="24"/>
      <w:lang w:val="en-US" w:eastAsia="zh-CN" w:bidi="ar-SA"/>
    </w:rPr>
  </w:style>
  <w:style w:type="character" w:customStyle="1" w:styleId="77">
    <w:name w:val="NormalCharacter"/>
    <w:link w:val="78"/>
    <w:semiHidden/>
    <w:qFormat/>
    <w:uiPriority w:val="0"/>
    <w:rPr>
      <w:rFonts w:ascii="仿宋_GB2312" w:hAnsi="Calibri" w:eastAsia="仿宋_GB2312" w:cs="Times New Roman"/>
      <w:b/>
      <w:sz w:val="32"/>
      <w:szCs w:val="32"/>
    </w:rPr>
  </w:style>
  <w:style w:type="paragraph" w:customStyle="1" w:styleId="78">
    <w:name w:val="UserStyle_5"/>
    <w:basedOn w:val="1"/>
    <w:link w:val="77"/>
    <w:qFormat/>
    <w:uiPriority w:val="0"/>
    <w:pPr>
      <w:widowControl/>
      <w:spacing w:after="160" w:line="240" w:lineRule="exact"/>
      <w:jc w:val="left"/>
      <w:textAlignment w:val="baseline"/>
    </w:pPr>
  </w:style>
  <w:style w:type="paragraph" w:customStyle="1" w:styleId="79">
    <w:name w:val="UserStyle_461"/>
    <w:basedOn w:val="1"/>
    <w:link w:val="77"/>
    <w:qFormat/>
    <w:uiPriority w:val="0"/>
    <w:pPr>
      <w:widowControl/>
      <w:textAlignment w:val="baseline"/>
    </w:pPr>
    <w:rPr>
      <w:rFonts w:ascii="仿宋_GB2312" w:hAnsi="Calibri" w:eastAsia="仿宋_GB2312" w:cs="Times New Roman"/>
      <w:b/>
      <w:sz w:val="32"/>
      <w:szCs w:val="32"/>
    </w:rPr>
  </w:style>
  <w:style w:type="paragraph" w:customStyle="1" w:styleId="80">
    <w:name w:val="UserStyle_12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1">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82">
    <w:name w:val="正"/>
    <w:basedOn w:val="83"/>
    <w:qFormat/>
    <w:uiPriority w:val="0"/>
    <w:pPr>
      <w:ind w:firstLine="525"/>
    </w:pPr>
    <w:rPr>
      <w:spacing w:val="20"/>
      <w:szCs w:val="20"/>
    </w:rPr>
  </w:style>
  <w:style w:type="paragraph" w:customStyle="1" w:styleId="83">
    <w:name w:val="正文_1"/>
    <w:basedOn w:val="84"/>
    <w:next w:val="82"/>
    <w:qFormat/>
    <w:uiPriority w:val="0"/>
    <w:rPr>
      <w:rFonts w:ascii="Calibri" w:hAnsi="Calibri" w:cs="Calibri"/>
      <w:szCs w:val="21"/>
    </w:rPr>
  </w:style>
  <w:style w:type="paragraph" w:customStyle="1" w:styleId="84">
    <w:name w:val="正文_2"/>
    <w:basedOn w:val="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3_0"/>
    <w:next w:val="8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文本_2_0"/>
    <w:basedOn w:val="86"/>
    <w:qFormat/>
    <w:uiPriority w:val="0"/>
    <w:pPr>
      <w:spacing w:after="120"/>
    </w:pPr>
  </w:style>
  <w:style w:type="paragraph" w:customStyle="1" w:styleId="88">
    <w:name w:val="UserStyle_56"/>
    <w:basedOn w:val="89"/>
    <w:qFormat/>
    <w:uiPriority w:val="0"/>
    <w:pPr>
      <w:spacing w:after="120"/>
    </w:pPr>
    <w:rPr>
      <w:kern w:val="0"/>
      <w:sz w:val="20"/>
    </w:rPr>
  </w:style>
  <w:style w:type="paragraph" w:customStyle="1" w:styleId="89">
    <w:name w:val="UserStyle_5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0">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91">
    <w:name w:val="UserStyle_66"/>
    <w:basedOn w:val="92"/>
    <w:qFormat/>
    <w:uiPriority w:val="0"/>
    <w:pPr>
      <w:jc w:val="both"/>
      <w:textAlignment w:val="baseline"/>
    </w:pPr>
    <w:rPr>
      <w:rFonts w:ascii="Calibri" w:hAnsi="Calibri" w:eastAsia="宋体"/>
      <w:kern w:val="2"/>
      <w:sz w:val="21"/>
      <w:szCs w:val="22"/>
      <w:lang w:val="en-US" w:eastAsia="zh-CN" w:bidi="ar-SA"/>
    </w:rPr>
  </w:style>
  <w:style w:type="paragraph" w:customStyle="1" w:styleId="92">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3">
    <w:name w:val="UserStyle_122"/>
    <w:basedOn w:val="92"/>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94">
    <w:name w:val="UserStyle_123"/>
    <w:basedOn w:val="92"/>
    <w:next w:val="95"/>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5">
    <w:name w:val="UserStyle_124"/>
    <w:basedOn w:val="94"/>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96">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7">
    <w:name w:val="UserStyle_125"/>
    <w:basedOn w:val="92"/>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8">
    <w:name w:val="UserStyle_74"/>
    <w:qFormat/>
    <w:uiPriority w:val="0"/>
    <w:pPr>
      <w:widowControl/>
      <w:textAlignment w:val="baseline"/>
    </w:pPr>
    <w:rPr>
      <w:rFonts w:ascii="黑体" w:hAnsi="黑体" w:eastAsia="黑体" w:cs="Times New Roman"/>
      <w:b/>
      <w:sz w:val="32"/>
      <w:szCs w:val="24"/>
      <w:lang w:val="en-US" w:bidi="ar-SA"/>
    </w:rPr>
  </w:style>
  <w:style w:type="paragraph" w:customStyle="1" w:styleId="99">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00">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101">
    <w:name w:val="null3"/>
    <w:hidden/>
    <w:qFormat/>
    <w:uiPriority w:val="0"/>
    <w:rPr>
      <w:rFonts w:hint="eastAsia" w:asciiTheme="minorHAnsi" w:hAnsiTheme="minorHAnsi" w:eastAsiaTheme="minorEastAsia" w:cstheme="minorBidi"/>
      <w:lang w:val="en-US" w:eastAsia="zh-Hans"/>
    </w:rPr>
  </w:style>
  <w:style w:type="paragraph" w:customStyle="1" w:styleId="102">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03">
    <w:name w:val="_Style 2"/>
    <w:basedOn w:val="1"/>
    <w:qFormat/>
    <w:uiPriority w:val="99"/>
    <w:pPr>
      <w:ind w:firstLine="420" w:firstLineChars="200"/>
    </w:pPr>
    <w:rPr>
      <w:rFonts w:ascii="Calibri" w:hAnsi="Calibri" w:eastAsia="宋体" w:cs="Times New Roman"/>
    </w:rPr>
  </w:style>
  <w:style w:type="character" w:customStyle="1" w:styleId="104">
    <w:name w:val="font31"/>
    <w:basedOn w:val="36"/>
    <w:qFormat/>
    <w:uiPriority w:val="0"/>
    <w:rPr>
      <w:rFonts w:hint="eastAsia" w:ascii="仿宋" w:hAnsi="仿宋" w:eastAsia="仿宋" w:cs="仿宋"/>
      <w:color w:val="000000"/>
      <w:sz w:val="22"/>
      <w:szCs w:val="22"/>
      <w:u w:val="none"/>
    </w:rPr>
  </w:style>
  <w:style w:type="character" w:customStyle="1" w:styleId="105">
    <w:name w:val="font61"/>
    <w:basedOn w:val="36"/>
    <w:qFormat/>
    <w:uiPriority w:val="0"/>
    <w:rPr>
      <w:rFonts w:hint="eastAsia" w:ascii="微软雅黑" w:hAnsi="微软雅黑" w:eastAsia="微软雅黑" w:cs="微软雅黑"/>
      <w:color w:val="000000"/>
      <w:sz w:val="20"/>
      <w:szCs w:val="20"/>
      <w:u w:val="none"/>
    </w:rPr>
  </w:style>
  <w:style w:type="paragraph" w:customStyle="1" w:styleId="10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07">
    <w:name w:val="索引 11"/>
    <w:basedOn w:val="1"/>
    <w:next w:val="1"/>
    <w:qFormat/>
    <w:uiPriority w:val="0"/>
    <w:pPr>
      <w:spacing w:line="360" w:lineRule="auto"/>
    </w:pPr>
    <w:rPr>
      <w:rFonts w:ascii="仿宋_GB2312" w:eastAsia="仿宋_GB2312"/>
      <w:sz w:val="24"/>
      <w:szCs w:val="20"/>
    </w:rPr>
  </w:style>
  <w:style w:type="paragraph" w:customStyle="1" w:styleId="108">
    <w:name w:val="纯文本1"/>
    <w:basedOn w:val="1"/>
    <w:qFormat/>
    <w:uiPriority w:val="0"/>
    <w:rPr>
      <w:rFonts w:ascii="宋体" w:hAnsi="Courier New"/>
      <w:kern w:val="0"/>
      <w:sz w:val="20"/>
      <w:szCs w:val="20"/>
    </w:rPr>
  </w:style>
  <w:style w:type="paragraph" w:customStyle="1" w:styleId="109">
    <w:name w:val="UserStyle_0"/>
    <w:next w:val="1"/>
    <w:qFormat/>
    <w:uiPriority w:val="0"/>
    <w:pPr>
      <w:textAlignment w:val="baseline"/>
    </w:pPr>
    <w:rPr>
      <w:rFonts w:ascii="宋体" w:hAnsi="宋体" w:eastAsia="宋体" w:cs="Times New Roman"/>
      <w:color w:val="000000"/>
      <w:sz w:val="24"/>
      <w:szCs w:val="24"/>
      <w:lang w:val="en-US" w:eastAsia="zh-CN" w:bidi="ar-SA"/>
    </w:rPr>
  </w:style>
  <w:style w:type="paragraph" w:customStyle="1" w:styleId="110">
    <w:name w:val="正文2"/>
    <w:basedOn w:val="1"/>
    <w:next w:val="1"/>
    <w:qFormat/>
    <w:uiPriority w:val="0"/>
    <w:pPr>
      <w:spacing w:line="520" w:lineRule="exact"/>
      <w:ind w:firstLine="640" w:firstLineChars="200"/>
    </w:pPr>
    <w:rPr>
      <w:rFonts w:eastAsia="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2561</Words>
  <Characters>3002</Characters>
  <Lines>189</Lines>
  <Paragraphs>53</Paragraphs>
  <TotalTime>34</TotalTime>
  <ScaleCrop>false</ScaleCrop>
  <LinksUpToDate>false</LinksUpToDate>
  <CharactersWithSpaces>3072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Administrator</cp:lastModifiedBy>
  <cp:lastPrinted>2018-11-20T03:43:00Z</cp:lastPrinted>
  <dcterms:modified xsi:type="dcterms:W3CDTF">2025-06-19T11:28:17Z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9AD2BA2DE3894F15AB573719AB5E48B8_13</vt:lpwstr>
  </property>
  <property fmtid="{D5CDD505-2E9C-101B-9397-08002B2CF9AE}" pid="4" name="KSOTemplateDocerSaveRecord">
    <vt:lpwstr>eyJoZGlkIjoiOGY3MjZhOTBlMThhODA4YWFhZjJjMjdhOTJmZTUwYzciLCJ1c2VySWQiOiIyNjMzMDkwNTYifQ==</vt:lpwstr>
  </property>
</Properties>
</file>