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s>
        <w:rPr>
          <w:rFonts w:cs="Arial" w:asciiTheme="majorEastAsia" w:hAnsiTheme="majorEastAsia" w:eastAsiaTheme="majorEastAsia"/>
          <w:color w:val="000000" w:themeColor="text1"/>
        </w:rPr>
      </w:pPr>
    </w:p>
    <w:p>
      <w:pPr>
        <w:spacing w:line="900" w:lineRule="exact"/>
        <w:jc w:val="center"/>
        <w:rPr>
          <w:rFonts w:asciiTheme="majorEastAsia" w:hAnsiTheme="majorEastAsia" w:eastAsiaTheme="majorEastAsia"/>
          <w:b/>
          <w:bCs/>
          <w:color w:val="000000" w:themeColor="text1"/>
          <w:sz w:val="72"/>
          <w:szCs w:val="72"/>
        </w:rPr>
      </w:pPr>
    </w:p>
    <w:p>
      <w:pPr>
        <w:autoSpaceDE w:val="0"/>
        <w:autoSpaceDN w:val="0"/>
        <w:adjustRightInd w:val="0"/>
        <w:jc w:val="center"/>
        <w:rPr>
          <w:rFonts w:cs="宋体" w:asciiTheme="majorEastAsia" w:hAnsiTheme="majorEastAsia" w:eastAsiaTheme="majorEastAsia"/>
          <w:b/>
          <w:bCs/>
          <w:color w:val="000000" w:themeColor="text1"/>
          <w:sz w:val="58"/>
          <w:szCs w:val="36"/>
        </w:rPr>
      </w:pPr>
      <w:r>
        <w:rPr>
          <w:rFonts w:hint="eastAsia" w:cs="宋体" w:asciiTheme="majorEastAsia" w:hAnsiTheme="majorEastAsia" w:eastAsiaTheme="majorEastAsia"/>
          <w:b/>
          <w:bCs/>
          <w:color w:val="000000" w:themeColor="text1"/>
          <w:sz w:val="58"/>
          <w:szCs w:val="36"/>
        </w:rPr>
        <w:t>政 府 采 购 招 标 文 件</w:t>
      </w:r>
    </w:p>
    <w:p>
      <w:pPr>
        <w:autoSpaceDE w:val="0"/>
        <w:autoSpaceDN w:val="0"/>
        <w:adjustRightInd w:val="0"/>
        <w:jc w:val="center"/>
        <w:rPr>
          <w:rFonts w:cs="宋体" w:asciiTheme="majorEastAsia" w:hAnsiTheme="majorEastAsia" w:eastAsiaTheme="majorEastAsia"/>
          <w:bCs/>
          <w:color w:val="000000" w:themeColor="text1"/>
          <w:sz w:val="36"/>
          <w:szCs w:val="36"/>
        </w:rPr>
      </w:pPr>
    </w:p>
    <w:p>
      <w:pPr>
        <w:ind w:firstLine="420" w:firstLineChars="150"/>
        <w:rPr>
          <w:rFonts w:cs="宋体" w:asciiTheme="majorEastAsia" w:hAnsiTheme="majorEastAsia" w:eastAsiaTheme="majorEastAsia"/>
          <w:bCs/>
          <w:color w:val="000000" w:themeColor="text1"/>
          <w:sz w:val="28"/>
          <w:szCs w:val="28"/>
          <w:lang w:val="zh-CN"/>
        </w:rPr>
      </w:pPr>
    </w:p>
    <w:p>
      <w:pPr>
        <w:spacing w:line="360" w:lineRule="exact"/>
        <w:rPr>
          <w:rFonts w:cs="宋体" w:asciiTheme="majorEastAsia" w:hAnsiTheme="majorEastAsia" w:eastAsiaTheme="majorEastAsia"/>
          <w:bCs/>
          <w:color w:val="000000" w:themeColor="text1"/>
          <w:sz w:val="24"/>
          <w:lang w:val="zh-CN"/>
        </w:rPr>
      </w:pPr>
    </w:p>
    <w:p>
      <w:pPr>
        <w:spacing w:line="360" w:lineRule="exact"/>
        <w:rPr>
          <w:rFonts w:hint="eastAsia" w:cs="宋体" w:asciiTheme="majorEastAsia" w:hAnsiTheme="majorEastAsia" w:eastAsiaTheme="majorEastAsia"/>
          <w:bCs/>
          <w:color w:val="000000" w:themeColor="text1"/>
          <w:sz w:val="24"/>
          <w:lang w:val="en-US" w:eastAsia="zh-CN"/>
        </w:rPr>
      </w:pPr>
      <w:r>
        <w:rPr>
          <w:rFonts w:hint="eastAsia" w:cs="宋体" w:asciiTheme="majorEastAsia" w:hAnsiTheme="majorEastAsia" w:eastAsiaTheme="majorEastAsia"/>
          <w:bCs/>
          <w:color w:val="000000" w:themeColor="text1"/>
          <w:sz w:val="24"/>
          <w:lang w:val="zh-CN"/>
        </w:rPr>
        <w:t>项目名称：墨玉县妇幼保健院采购临床路径、检验条码系统等信息化项目（包二）</w:t>
      </w:r>
    </w:p>
    <w:p>
      <w:pPr>
        <w:pStyle w:val="49"/>
        <w:rPr>
          <w:rFonts w:asciiTheme="majorEastAsia" w:hAnsiTheme="majorEastAsia" w:eastAsiaTheme="majorEastAsia"/>
          <w:color w:val="000000" w:themeColor="text1"/>
          <w:lang w:val="zh-CN"/>
        </w:rPr>
      </w:pPr>
    </w:p>
    <w:p>
      <w:pPr>
        <w:spacing w:line="360" w:lineRule="exact"/>
        <w:rPr>
          <w:rFonts w:hint="eastAsia" w:cs="宋体" w:asciiTheme="majorEastAsia" w:hAnsiTheme="majorEastAsia" w:eastAsiaTheme="majorEastAsia"/>
          <w:bCs/>
          <w:color w:val="000000" w:themeColor="text1"/>
          <w:sz w:val="24"/>
          <w:highlight w:val="none"/>
          <w:lang w:val="zh-CN" w:eastAsia="zh-CN"/>
        </w:rPr>
      </w:pPr>
      <w:r>
        <w:rPr>
          <w:rFonts w:hint="eastAsia" w:cs="宋体" w:asciiTheme="majorEastAsia" w:hAnsiTheme="majorEastAsia" w:eastAsiaTheme="majorEastAsia"/>
          <w:bCs/>
          <w:color w:val="000000" w:themeColor="text1"/>
          <w:sz w:val="24"/>
          <w:highlight w:val="none"/>
          <w:lang w:val="zh-CN"/>
        </w:rPr>
        <w:t>项目编号：XJRYS-HTCG-2022/004-02</w:t>
      </w:r>
    </w:p>
    <w:p>
      <w:pPr>
        <w:spacing w:line="360" w:lineRule="exact"/>
        <w:rPr>
          <w:rFonts w:cs="宋体" w:asciiTheme="majorEastAsia" w:hAnsiTheme="majorEastAsia" w:eastAsiaTheme="majorEastAsia"/>
          <w:bCs/>
          <w:color w:val="000000" w:themeColor="text1"/>
          <w:sz w:val="24"/>
          <w:lang w:val="zh-CN"/>
        </w:rPr>
      </w:pPr>
    </w:p>
    <w:p>
      <w:pPr>
        <w:spacing w:line="360" w:lineRule="exact"/>
        <w:rPr>
          <w:rFonts w:cs="宋体" w:asciiTheme="majorEastAsia" w:hAnsiTheme="majorEastAsia" w:eastAsiaTheme="majorEastAsia"/>
          <w:bCs/>
          <w:color w:val="000000" w:themeColor="text1"/>
          <w:sz w:val="24"/>
          <w:lang w:val="zh-CN"/>
        </w:rPr>
      </w:pPr>
      <w:r>
        <w:rPr>
          <w:rFonts w:hint="eastAsia" w:cs="宋体" w:asciiTheme="majorEastAsia" w:hAnsiTheme="majorEastAsia" w:eastAsiaTheme="majorEastAsia"/>
          <w:bCs/>
          <w:color w:val="000000" w:themeColor="text1"/>
          <w:sz w:val="24"/>
          <w:lang w:val="zh-CN"/>
        </w:rPr>
        <w:t>招标人（盖章）：</w:t>
      </w:r>
      <w:r>
        <w:rPr>
          <w:rFonts w:hint="eastAsia" w:cs="宋体" w:asciiTheme="majorEastAsia" w:hAnsiTheme="majorEastAsia" w:eastAsiaTheme="majorEastAsia"/>
          <w:bCs/>
          <w:color w:val="000000" w:themeColor="text1"/>
          <w:sz w:val="24"/>
        </w:rPr>
        <w:t>墨玉</w:t>
      </w:r>
      <w:r>
        <w:rPr>
          <w:rFonts w:hint="eastAsia" w:cs="宋体" w:asciiTheme="majorEastAsia" w:hAnsiTheme="majorEastAsia" w:eastAsiaTheme="majorEastAsia"/>
          <w:bCs/>
          <w:color w:val="000000" w:themeColor="text1"/>
          <w:sz w:val="24"/>
          <w:lang w:val="zh-CN"/>
        </w:rPr>
        <w:t>县妇幼保健院</w:t>
      </w:r>
    </w:p>
    <w:p>
      <w:pPr>
        <w:spacing w:line="800" w:lineRule="exact"/>
        <w:rPr>
          <w:rFonts w:hint="eastAsia" w:cs="宋体" w:asciiTheme="majorEastAsia" w:hAnsiTheme="majorEastAsia" w:eastAsiaTheme="majorEastAsia"/>
          <w:bCs/>
          <w:color w:val="000000" w:themeColor="text1"/>
          <w:sz w:val="24"/>
          <w:lang w:val="en-US" w:eastAsia="zh-CN"/>
        </w:rPr>
      </w:pPr>
      <w:r>
        <w:rPr>
          <w:rFonts w:hint="eastAsia" w:cs="宋体" w:asciiTheme="majorEastAsia" w:hAnsiTheme="majorEastAsia" w:eastAsiaTheme="majorEastAsia"/>
          <w:bCs/>
          <w:color w:val="000000" w:themeColor="text1"/>
          <w:sz w:val="24"/>
          <w:lang w:val="en-US" w:eastAsia="zh-CN"/>
        </w:rPr>
        <w:t>联系人：  佘巧琼</w:t>
      </w:r>
    </w:p>
    <w:p>
      <w:pPr>
        <w:spacing w:line="800" w:lineRule="exact"/>
        <w:rPr>
          <w:rFonts w:hint="eastAsia" w:cs="宋体" w:asciiTheme="majorEastAsia" w:hAnsiTheme="majorEastAsia" w:eastAsiaTheme="majorEastAsia"/>
          <w:bCs/>
          <w:color w:val="000000" w:themeColor="text1"/>
          <w:sz w:val="24"/>
          <w:lang w:val="zh-CN" w:eastAsia="zh-CN"/>
        </w:rPr>
      </w:pPr>
      <w:r>
        <w:rPr>
          <w:rFonts w:hint="eastAsia" w:cs="宋体" w:asciiTheme="majorEastAsia" w:hAnsiTheme="majorEastAsia" w:eastAsiaTheme="majorEastAsia"/>
          <w:bCs/>
          <w:color w:val="000000" w:themeColor="text1"/>
          <w:sz w:val="24"/>
          <w:lang w:val="en-US" w:eastAsia="zh-CN"/>
        </w:rPr>
        <w:t xml:space="preserve">联系电话： 15209037187 </w:t>
      </w:r>
    </w:p>
    <w:p>
      <w:pPr>
        <w:spacing w:line="800" w:lineRule="exact"/>
        <w:rPr>
          <w:rFonts w:hint="default" w:cs="宋体" w:asciiTheme="majorEastAsia" w:hAnsiTheme="majorEastAsia" w:eastAsiaTheme="majorEastAsia"/>
          <w:bCs/>
          <w:color w:val="000000" w:themeColor="text1"/>
          <w:sz w:val="24"/>
          <w:lang w:val="en-US" w:eastAsia="zh-CN"/>
        </w:rPr>
      </w:pPr>
      <w:r>
        <w:rPr>
          <w:rFonts w:hint="eastAsia" w:cs="宋体" w:asciiTheme="majorEastAsia" w:hAnsiTheme="majorEastAsia" w:eastAsiaTheme="majorEastAsia"/>
          <w:bCs/>
          <w:color w:val="000000" w:themeColor="text1"/>
          <w:sz w:val="24"/>
          <w:lang w:val="zh-CN"/>
        </w:rPr>
        <w:t>详细地址：</w:t>
      </w:r>
      <w:r>
        <w:rPr>
          <w:rFonts w:hint="eastAsia" w:cs="宋体" w:asciiTheme="majorEastAsia" w:hAnsiTheme="majorEastAsia" w:eastAsiaTheme="majorEastAsia"/>
          <w:bCs/>
          <w:color w:val="000000" w:themeColor="text1"/>
          <w:sz w:val="24"/>
          <w:lang w:val="en-US" w:eastAsia="zh-CN"/>
        </w:rPr>
        <w:t xml:space="preserve">  </w:t>
      </w:r>
    </w:p>
    <w:p>
      <w:pPr>
        <w:autoSpaceDE w:val="0"/>
        <w:autoSpaceDN w:val="0"/>
        <w:adjustRightInd w:val="0"/>
        <w:rPr>
          <w:rFonts w:cs="宋体" w:asciiTheme="majorEastAsia" w:hAnsiTheme="majorEastAsia" w:eastAsiaTheme="majorEastAsia"/>
          <w:bCs/>
          <w:color w:val="000000" w:themeColor="text1"/>
          <w:sz w:val="28"/>
          <w:szCs w:val="28"/>
          <w:lang w:val="zh-CN"/>
        </w:rPr>
      </w:pPr>
    </w:p>
    <w:p>
      <w:pPr>
        <w:autoSpaceDE w:val="0"/>
        <w:autoSpaceDN w:val="0"/>
        <w:adjustRightInd w:val="0"/>
        <w:rPr>
          <w:rFonts w:cs="宋体" w:asciiTheme="majorEastAsia" w:hAnsiTheme="majorEastAsia" w:eastAsiaTheme="majorEastAsia"/>
          <w:bCs/>
          <w:color w:val="000000" w:themeColor="text1"/>
          <w:sz w:val="30"/>
          <w:szCs w:val="30"/>
          <w:u w:val="thick"/>
          <w:lang w:val="zh-CN"/>
        </w:rPr>
      </w:pPr>
      <w:r>
        <w:rPr>
          <w:rFonts w:hint="eastAsia" w:cs="宋体" w:asciiTheme="majorEastAsia" w:hAnsiTheme="majorEastAsia" w:eastAsiaTheme="majorEastAsia"/>
          <w:bCs/>
          <w:color w:val="000000" w:themeColor="text1"/>
          <w:sz w:val="30"/>
          <w:szCs w:val="30"/>
          <w:u w:val="thick"/>
        </w:rPr>
        <w:t>-------------------------------------------------------</w:t>
      </w:r>
    </w:p>
    <w:p>
      <w:pPr>
        <w:autoSpaceDE w:val="0"/>
        <w:autoSpaceDN w:val="0"/>
        <w:adjustRightInd w:val="0"/>
        <w:rPr>
          <w:rFonts w:cs="宋体" w:asciiTheme="majorEastAsia" w:hAnsiTheme="majorEastAsia" w:eastAsiaTheme="majorEastAsia"/>
          <w:bCs/>
          <w:color w:val="000000" w:themeColor="text1"/>
          <w:sz w:val="28"/>
          <w:szCs w:val="28"/>
        </w:rPr>
      </w:pPr>
    </w:p>
    <w:p>
      <w:pPr>
        <w:autoSpaceDE w:val="0"/>
        <w:autoSpaceDN w:val="0"/>
        <w:adjustRightInd w:val="0"/>
        <w:rPr>
          <w:rFonts w:hint="eastAsia" w:cs="宋体" w:asciiTheme="majorEastAsia" w:hAnsiTheme="majorEastAsia" w:eastAsiaTheme="majorEastAsia"/>
          <w:bCs/>
          <w:color w:val="000000" w:themeColor="text1"/>
          <w:sz w:val="24"/>
          <w:lang w:val="zh-CN"/>
        </w:rPr>
      </w:pPr>
      <w:r>
        <w:rPr>
          <w:rFonts w:hint="eastAsia" w:cs="宋体" w:asciiTheme="majorEastAsia" w:hAnsiTheme="majorEastAsia" w:eastAsiaTheme="majorEastAsia"/>
          <w:bCs/>
          <w:color w:val="000000" w:themeColor="text1"/>
          <w:sz w:val="24"/>
          <w:lang w:val="zh-CN"/>
        </w:rPr>
        <w:t>招标代理机构（盖章）：新疆如意树信息咨询有限公司 </w:t>
      </w:r>
    </w:p>
    <w:p>
      <w:pPr>
        <w:autoSpaceDE w:val="0"/>
        <w:autoSpaceDN w:val="0"/>
        <w:adjustRightInd w:val="0"/>
        <w:rPr>
          <w:rFonts w:hint="eastAsia" w:cs="宋体" w:asciiTheme="majorEastAsia" w:hAnsiTheme="majorEastAsia" w:eastAsiaTheme="majorEastAsia"/>
          <w:bCs/>
          <w:color w:val="000000" w:themeColor="text1"/>
          <w:sz w:val="24"/>
          <w:lang w:val="en-US" w:eastAsia="zh-CN"/>
        </w:rPr>
      </w:pPr>
      <w:r>
        <w:rPr>
          <w:rFonts w:hint="eastAsia" w:cs="宋体" w:asciiTheme="majorEastAsia" w:hAnsiTheme="majorEastAsia" w:eastAsiaTheme="majorEastAsia"/>
          <w:bCs/>
          <w:color w:val="000000" w:themeColor="text1"/>
          <w:sz w:val="24"/>
          <w:lang w:val="en-US" w:eastAsia="zh-CN"/>
        </w:rPr>
        <w:tab/>
      </w:r>
    </w:p>
    <w:p>
      <w:pPr>
        <w:autoSpaceDE w:val="0"/>
        <w:autoSpaceDN w:val="0"/>
        <w:adjustRightInd w:val="0"/>
        <w:spacing w:line="600" w:lineRule="auto"/>
        <w:rPr>
          <w:rFonts w:cs="宋体" w:asciiTheme="majorEastAsia" w:hAnsiTheme="majorEastAsia" w:eastAsiaTheme="majorEastAsia"/>
          <w:bCs/>
          <w:color w:val="000000" w:themeColor="text1"/>
          <w:sz w:val="24"/>
        </w:rPr>
      </w:pPr>
      <w:r>
        <w:rPr>
          <w:rFonts w:hint="eastAsia" w:cs="宋体" w:asciiTheme="majorEastAsia" w:hAnsiTheme="majorEastAsia" w:eastAsiaTheme="majorEastAsia"/>
          <w:bCs/>
          <w:color w:val="000000" w:themeColor="text1"/>
          <w:sz w:val="24"/>
          <w:lang w:val="zh-CN"/>
        </w:rPr>
        <w:t>联 系 人：</w:t>
      </w:r>
      <w:r>
        <w:rPr>
          <w:rFonts w:hint="eastAsia" w:cs="宋体" w:asciiTheme="majorEastAsia" w:hAnsiTheme="majorEastAsia" w:eastAsiaTheme="majorEastAsia"/>
          <w:bCs/>
          <w:color w:val="000000" w:themeColor="text1"/>
          <w:sz w:val="24"/>
          <w:lang w:val="en-US" w:eastAsia="zh-CN"/>
        </w:rPr>
        <w:t>樊晓田</w:t>
      </w:r>
      <w:r>
        <w:rPr>
          <w:rFonts w:hint="eastAsia" w:cs="宋体" w:asciiTheme="majorEastAsia" w:hAnsiTheme="majorEastAsia" w:eastAsiaTheme="majorEastAsia"/>
          <w:bCs/>
          <w:color w:val="000000" w:themeColor="text1"/>
          <w:sz w:val="24"/>
        </w:rPr>
        <w:t xml:space="preserve">  </w:t>
      </w:r>
    </w:p>
    <w:p>
      <w:pPr>
        <w:autoSpaceDE w:val="0"/>
        <w:autoSpaceDN w:val="0"/>
        <w:adjustRightInd w:val="0"/>
        <w:spacing w:line="600" w:lineRule="auto"/>
        <w:rPr>
          <w:rFonts w:hint="default" w:cs="宋体" w:asciiTheme="majorEastAsia" w:hAnsiTheme="majorEastAsia" w:eastAsiaTheme="majorEastAsia"/>
          <w:bCs/>
          <w:color w:val="000000" w:themeColor="text1"/>
          <w:sz w:val="24"/>
          <w:lang w:val="en-US" w:eastAsia="zh-CN"/>
        </w:rPr>
      </w:pPr>
      <w:r>
        <w:rPr>
          <w:rFonts w:hint="eastAsia" w:cs="宋体" w:asciiTheme="majorEastAsia" w:hAnsiTheme="majorEastAsia" w:eastAsiaTheme="majorEastAsia"/>
          <w:bCs/>
          <w:color w:val="000000" w:themeColor="text1"/>
          <w:sz w:val="24"/>
          <w:lang w:val="zh-CN"/>
        </w:rPr>
        <w:t>电    话：</w:t>
      </w:r>
      <w:r>
        <w:rPr>
          <w:rFonts w:hint="eastAsia" w:cs="宋体" w:asciiTheme="majorEastAsia" w:hAnsiTheme="majorEastAsia" w:eastAsiaTheme="majorEastAsia"/>
          <w:bCs/>
          <w:color w:val="000000" w:themeColor="text1"/>
          <w:sz w:val="24"/>
          <w:lang w:val="en-US" w:eastAsia="zh-CN"/>
        </w:rPr>
        <w:t>13079924303</w:t>
      </w:r>
    </w:p>
    <w:p>
      <w:pPr>
        <w:autoSpaceDE w:val="0"/>
        <w:autoSpaceDN w:val="0"/>
        <w:adjustRightInd w:val="0"/>
        <w:spacing w:line="6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Cs/>
          <w:color w:val="000000" w:themeColor="text1"/>
          <w:sz w:val="24"/>
          <w:lang w:val="zh-CN"/>
        </w:rPr>
        <w:t>详细地址：和田市友谊路</w:t>
      </w:r>
    </w:p>
    <w:p>
      <w:pPr>
        <w:spacing w:line="360" w:lineRule="auto"/>
        <w:ind w:firstLine="551" w:firstLineChars="196"/>
        <w:rPr>
          <w:rFonts w:cs="宋体" w:asciiTheme="majorEastAsia" w:hAnsiTheme="majorEastAsia" w:eastAsiaTheme="majorEastAsia"/>
          <w:b/>
          <w:color w:val="000000" w:themeColor="text1"/>
          <w:sz w:val="28"/>
          <w:szCs w:val="28"/>
        </w:rPr>
      </w:pPr>
    </w:p>
    <w:p>
      <w:pPr>
        <w:pStyle w:val="49"/>
      </w:pPr>
    </w:p>
    <w:p>
      <w:pPr>
        <w:spacing w:line="360" w:lineRule="auto"/>
        <w:ind w:firstLine="551" w:firstLineChars="196"/>
        <w:rPr>
          <w:rFonts w:hint="eastAsia" w:cs="宋体" w:asciiTheme="majorEastAsia" w:hAnsiTheme="majorEastAsia" w:eastAsiaTheme="majorEastAsia"/>
          <w:b/>
          <w:color w:val="000000" w:themeColor="text1"/>
          <w:sz w:val="28"/>
          <w:szCs w:val="28"/>
        </w:rPr>
      </w:pPr>
    </w:p>
    <w:p>
      <w:pPr>
        <w:spacing w:line="360" w:lineRule="auto"/>
        <w:ind w:firstLine="551" w:firstLineChars="196"/>
        <w:rPr>
          <w:rFonts w:cs="宋体" w:asciiTheme="majorEastAsia" w:hAnsiTheme="majorEastAsia" w:eastAsiaTheme="majorEastAsia"/>
          <w:b/>
          <w:color w:val="000000" w:themeColor="text1"/>
          <w:sz w:val="28"/>
          <w:szCs w:val="28"/>
        </w:rPr>
      </w:pPr>
      <w:r>
        <w:rPr>
          <w:rFonts w:hint="eastAsia" w:cs="宋体" w:asciiTheme="majorEastAsia" w:hAnsiTheme="majorEastAsia" w:eastAsiaTheme="majorEastAsia"/>
          <w:b/>
          <w:color w:val="000000" w:themeColor="text1"/>
          <w:sz w:val="28"/>
          <w:szCs w:val="28"/>
        </w:rPr>
        <w:t>政府采购管理机构备案登记栏：</w:t>
      </w:r>
    </w:p>
    <w:p>
      <w:pPr>
        <w:spacing w:line="360" w:lineRule="auto"/>
        <w:rPr>
          <w:rFonts w:cs="宋体" w:asciiTheme="majorEastAsia" w:hAnsiTheme="majorEastAsia" w:eastAsiaTheme="majorEastAsia"/>
          <w:b/>
          <w:color w:val="000000" w:themeColor="text1"/>
          <w:sz w:val="28"/>
          <w:szCs w:val="28"/>
        </w:rPr>
      </w:pPr>
    </w:p>
    <w:tbl>
      <w:tblPr>
        <w:tblStyle w:val="40"/>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2" w:hRule="atLeast"/>
          <w:jc w:val="center"/>
        </w:trPr>
        <w:tc>
          <w:tcPr>
            <w:tcW w:w="8360" w:type="dxa"/>
          </w:tcPr>
          <w:p>
            <w:pPr>
              <w:spacing w:line="360" w:lineRule="auto"/>
              <w:rPr>
                <w:rFonts w:cs="宋体" w:asciiTheme="majorEastAsia" w:hAnsiTheme="majorEastAsia" w:eastAsiaTheme="majorEastAsia"/>
                <w:color w:val="000000" w:themeColor="text1"/>
                <w:sz w:val="28"/>
                <w:szCs w:val="28"/>
              </w:rPr>
            </w:pPr>
          </w:p>
          <w:p>
            <w:pPr>
              <w:spacing w:line="360" w:lineRule="auto"/>
              <w:rPr>
                <w:rFonts w:cs="宋体" w:asciiTheme="majorEastAsia" w:hAnsiTheme="majorEastAsia" w:eastAsiaTheme="majorEastAsia"/>
                <w:color w:val="000000" w:themeColor="text1"/>
                <w:sz w:val="28"/>
                <w:szCs w:val="28"/>
              </w:rPr>
            </w:pPr>
          </w:p>
          <w:p>
            <w:pPr>
              <w:spacing w:line="360" w:lineRule="auto"/>
              <w:rPr>
                <w:rFonts w:cs="宋体" w:asciiTheme="majorEastAsia" w:hAnsiTheme="majorEastAsia" w:eastAsiaTheme="majorEastAsia"/>
                <w:color w:val="000000" w:themeColor="text1"/>
                <w:sz w:val="28"/>
                <w:szCs w:val="28"/>
              </w:rPr>
            </w:pPr>
          </w:p>
          <w:p>
            <w:pPr>
              <w:spacing w:line="360" w:lineRule="auto"/>
              <w:rPr>
                <w:rFonts w:cs="宋体" w:asciiTheme="majorEastAsia" w:hAnsiTheme="majorEastAsia" w:eastAsiaTheme="majorEastAsia"/>
                <w:color w:val="000000" w:themeColor="text1"/>
                <w:sz w:val="28"/>
                <w:szCs w:val="28"/>
              </w:rPr>
            </w:pPr>
          </w:p>
          <w:p>
            <w:pPr>
              <w:spacing w:line="360" w:lineRule="auto"/>
              <w:rPr>
                <w:rFonts w:cs="宋体" w:asciiTheme="majorEastAsia" w:hAnsiTheme="majorEastAsia" w:eastAsiaTheme="majorEastAsia"/>
                <w:color w:val="000000" w:themeColor="text1"/>
                <w:sz w:val="28"/>
                <w:szCs w:val="28"/>
              </w:rPr>
            </w:pPr>
          </w:p>
          <w:p>
            <w:pPr>
              <w:spacing w:line="360" w:lineRule="auto"/>
              <w:rPr>
                <w:rFonts w:cs="宋体" w:asciiTheme="majorEastAsia" w:hAnsiTheme="majorEastAsia" w:eastAsiaTheme="majorEastAsia"/>
                <w:color w:val="000000" w:themeColor="text1"/>
                <w:sz w:val="28"/>
                <w:szCs w:val="28"/>
              </w:rPr>
            </w:pPr>
          </w:p>
          <w:p>
            <w:pPr>
              <w:spacing w:line="360" w:lineRule="auto"/>
              <w:jc w:val="center"/>
              <w:rPr>
                <w:rFonts w:cs="宋体" w:asciiTheme="majorEastAsia" w:hAnsiTheme="majorEastAsia" w:eastAsiaTheme="majorEastAsia"/>
                <w:color w:val="000000" w:themeColor="text1"/>
                <w:sz w:val="28"/>
                <w:szCs w:val="28"/>
              </w:rPr>
            </w:pPr>
            <w:r>
              <w:rPr>
                <w:rFonts w:hint="eastAsia" w:cs="宋体" w:asciiTheme="majorEastAsia" w:hAnsiTheme="majorEastAsia" w:eastAsiaTheme="majorEastAsia"/>
                <w:color w:val="000000" w:themeColor="text1"/>
                <w:sz w:val="28"/>
                <w:szCs w:val="28"/>
              </w:rPr>
              <w:t>本文件已报备</w:t>
            </w:r>
          </w:p>
          <w:p>
            <w:pPr>
              <w:spacing w:line="360" w:lineRule="auto"/>
              <w:jc w:val="center"/>
              <w:rPr>
                <w:rFonts w:cs="宋体" w:asciiTheme="majorEastAsia" w:hAnsiTheme="majorEastAsia" w:eastAsiaTheme="majorEastAsia"/>
                <w:color w:val="000000" w:themeColor="text1"/>
                <w:sz w:val="28"/>
                <w:szCs w:val="28"/>
              </w:rPr>
            </w:pPr>
          </w:p>
          <w:p>
            <w:pPr>
              <w:spacing w:line="360" w:lineRule="auto"/>
              <w:jc w:val="center"/>
              <w:rPr>
                <w:rFonts w:cs="宋体" w:asciiTheme="majorEastAsia" w:hAnsiTheme="majorEastAsia" w:eastAsiaTheme="majorEastAsia"/>
                <w:color w:val="000000" w:themeColor="text1"/>
                <w:sz w:val="28"/>
                <w:szCs w:val="28"/>
              </w:rPr>
            </w:pPr>
          </w:p>
          <w:p>
            <w:pPr>
              <w:spacing w:line="360" w:lineRule="auto"/>
              <w:jc w:val="center"/>
              <w:rPr>
                <w:rFonts w:cs="宋体" w:asciiTheme="majorEastAsia" w:hAnsiTheme="majorEastAsia" w:eastAsiaTheme="majorEastAsia"/>
                <w:color w:val="000000" w:themeColor="text1"/>
                <w:sz w:val="28"/>
                <w:szCs w:val="28"/>
              </w:rPr>
            </w:pPr>
          </w:p>
          <w:p>
            <w:pPr>
              <w:spacing w:line="360" w:lineRule="auto"/>
              <w:jc w:val="center"/>
              <w:rPr>
                <w:rFonts w:cs="宋体" w:asciiTheme="majorEastAsia" w:hAnsiTheme="majorEastAsia" w:eastAsiaTheme="majorEastAsia"/>
                <w:color w:val="000000" w:themeColor="text1"/>
                <w:sz w:val="28"/>
                <w:szCs w:val="28"/>
              </w:rPr>
            </w:pPr>
          </w:p>
          <w:p>
            <w:pPr>
              <w:spacing w:line="360" w:lineRule="auto"/>
              <w:jc w:val="center"/>
              <w:rPr>
                <w:rFonts w:cs="宋体" w:asciiTheme="majorEastAsia" w:hAnsiTheme="majorEastAsia" w:eastAsiaTheme="majorEastAsia"/>
                <w:color w:val="000000" w:themeColor="text1"/>
                <w:sz w:val="28"/>
                <w:szCs w:val="28"/>
              </w:rPr>
            </w:pPr>
          </w:p>
          <w:p>
            <w:pPr>
              <w:spacing w:line="360" w:lineRule="auto"/>
              <w:rPr>
                <w:rFonts w:cs="宋体" w:asciiTheme="majorEastAsia" w:hAnsiTheme="majorEastAsia" w:eastAsiaTheme="majorEastAsia"/>
                <w:color w:val="000000" w:themeColor="text1"/>
                <w:sz w:val="28"/>
                <w:szCs w:val="28"/>
              </w:rPr>
            </w:pPr>
          </w:p>
          <w:p>
            <w:pPr>
              <w:spacing w:line="360" w:lineRule="auto"/>
              <w:rPr>
                <w:rFonts w:cs="宋体" w:asciiTheme="majorEastAsia" w:hAnsiTheme="majorEastAsia" w:eastAsiaTheme="majorEastAsia"/>
                <w:color w:val="000000" w:themeColor="text1"/>
                <w:sz w:val="28"/>
                <w:szCs w:val="28"/>
              </w:rPr>
            </w:pPr>
          </w:p>
          <w:p>
            <w:pPr>
              <w:rPr>
                <w:rFonts w:cs="宋体" w:asciiTheme="majorEastAsia" w:hAnsiTheme="majorEastAsia" w:eastAsiaTheme="majorEastAsia"/>
                <w:color w:val="000000" w:themeColor="text1"/>
                <w:sz w:val="28"/>
                <w:szCs w:val="28"/>
              </w:rPr>
            </w:pPr>
            <w:r>
              <w:rPr>
                <w:rFonts w:hint="eastAsia" w:cs="宋体" w:asciiTheme="majorEastAsia" w:hAnsiTheme="majorEastAsia" w:eastAsiaTheme="majorEastAsia"/>
                <w:color w:val="000000" w:themeColor="text1"/>
                <w:sz w:val="28"/>
                <w:szCs w:val="28"/>
              </w:rPr>
              <w:t>项目名称：</w:t>
            </w:r>
            <w:r>
              <w:rPr>
                <w:rFonts w:hint="eastAsia" w:cs="宋体" w:asciiTheme="majorEastAsia" w:hAnsiTheme="majorEastAsia" w:eastAsiaTheme="majorEastAsia"/>
                <w:bCs/>
                <w:color w:val="000000" w:themeColor="text1"/>
                <w:sz w:val="24"/>
                <w:lang w:val="zh-CN"/>
              </w:rPr>
              <w:t xml:space="preserve">墨玉县妇幼保健院采购临床路径、检验条码系统等信息化项目（包二） </w:t>
            </w:r>
          </w:p>
          <w:p>
            <w:pPr>
              <w:rPr>
                <w:rFonts w:cs="宋体" w:asciiTheme="majorEastAsia" w:hAnsiTheme="majorEastAsia" w:eastAsiaTheme="majorEastAsia"/>
                <w:bCs/>
                <w:color w:val="000000" w:themeColor="text1"/>
                <w:sz w:val="28"/>
                <w:szCs w:val="28"/>
              </w:rPr>
            </w:pPr>
          </w:p>
          <w:p>
            <w:pPr>
              <w:rPr>
                <w:rFonts w:cs="宋体" w:asciiTheme="majorEastAsia" w:hAnsiTheme="majorEastAsia" w:eastAsiaTheme="majorEastAsia"/>
                <w:color w:val="000000" w:themeColor="text1"/>
                <w:sz w:val="28"/>
                <w:szCs w:val="28"/>
              </w:rPr>
            </w:pPr>
            <w:r>
              <w:rPr>
                <w:rFonts w:hint="eastAsia" w:cs="宋体" w:asciiTheme="majorEastAsia" w:hAnsiTheme="majorEastAsia" w:eastAsiaTheme="majorEastAsia"/>
                <w:color w:val="000000" w:themeColor="text1"/>
                <w:sz w:val="28"/>
                <w:szCs w:val="28"/>
              </w:rPr>
              <w:t>备案日期：</w:t>
            </w:r>
          </w:p>
        </w:tc>
      </w:tr>
    </w:tbl>
    <w:p>
      <w:pPr>
        <w:spacing w:line="360" w:lineRule="auto"/>
        <w:ind w:right="560" w:firstLine="4340" w:firstLineChars="1550"/>
        <w:rPr>
          <w:rFonts w:cs="宋体" w:asciiTheme="majorEastAsia" w:hAnsiTheme="majorEastAsia" w:eastAsiaTheme="majorEastAsia"/>
          <w:color w:val="000000" w:themeColor="text1"/>
          <w:sz w:val="28"/>
          <w:szCs w:val="28"/>
        </w:rPr>
      </w:pPr>
    </w:p>
    <w:p>
      <w:pPr>
        <w:pStyle w:val="49"/>
        <w:rPr>
          <w:rFonts w:asciiTheme="majorEastAsia" w:hAnsiTheme="majorEastAsia" w:eastAsiaTheme="majorEastAsia"/>
          <w:color w:val="000000" w:themeColor="text1"/>
        </w:rPr>
      </w:pPr>
    </w:p>
    <w:p>
      <w:pPr>
        <w:spacing w:line="360" w:lineRule="auto"/>
        <w:jc w:val="center"/>
        <w:rPr>
          <w:rFonts w:hint="eastAsia" w:asciiTheme="majorEastAsia" w:hAnsiTheme="majorEastAsia" w:eastAsiaTheme="majorEastAsia"/>
          <w:color w:val="000000" w:themeColor="text1"/>
          <w:sz w:val="36"/>
          <w:szCs w:val="36"/>
        </w:rPr>
      </w:pPr>
    </w:p>
    <w:p>
      <w:pPr>
        <w:spacing w:line="360" w:lineRule="auto"/>
        <w:jc w:val="center"/>
        <w:rPr>
          <w:rFonts w:asciiTheme="majorEastAsia" w:hAnsiTheme="majorEastAsia" w:eastAsiaTheme="majorEastAsia"/>
          <w:color w:val="000000" w:themeColor="text1"/>
          <w:sz w:val="36"/>
          <w:szCs w:val="36"/>
        </w:rPr>
      </w:pPr>
      <w:r>
        <w:rPr>
          <w:rFonts w:hint="eastAsia" w:asciiTheme="majorEastAsia" w:hAnsiTheme="majorEastAsia" w:eastAsiaTheme="majorEastAsia"/>
          <w:color w:val="000000" w:themeColor="text1"/>
          <w:sz w:val="36"/>
          <w:szCs w:val="36"/>
        </w:rPr>
        <w:t>目    录</w:t>
      </w: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sz w:val="28"/>
          <w:szCs w:val="28"/>
        </w:rPr>
      </w:pPr>
      <w:r>
        <w:rPr>
          <w:rFonts w:hint="eastAsia" w:asciiTheme="majorEastAsia" w:hAnsiTheme="majorEastAsia" w:eastAsiaTheme="majorEastAsia"/>
          <w:color w:val="000000" w:themeColor="text1"/>
          <w:sz w:val="28"/>
          <w:szCs w:val="28"/>
        </w:rPr>
        <w:t>第一章 招标公告·························</w:t>
      </w:r>
    </w:p>
    <w:p>
      <w:pPr>
        <w:spacing w:line="360" w:lineRule="auto"/>
        <w:rPr>
          <w:rFonts w:asciiTheme="majorEastAsia" w:hAnsiTheme="majorEastAsia" w:eastAsiaTheme="majorEastAsia"/>
          <w:color w:val="000000" w:themeColor="text1"/>
          <w:sz w:val="28"/>
          <w:szCs w:val="28"/>
        </w:rPr>
      </w:pPr>
      <w:r>
        <w:rPr>
          <w:rFonts w:hint="eastAsia" w:asciiTheme="majorEastAsia" w:hAnsiTheme="majorEastAsia" w:eastAsiaTheme="majorEastAsia"/>
          <w:color w:val="000000" w:themeColor="text1"/>
          <w:sz w:val="28"/>
          <w:szCs w:val="28"/>
        </w:rPr>
        <w:t>第二章 投标人须知</w:t>
      </w:r>
      <w:r>
        <w:rPr>
          <w:rFonts w:hint="eastAsia" w:asciiTheme="majorEastAsia" w:hAnsiTheme="majorEastAsia" w:eastAsiaTheme="majorEastAsia"/>
          <w:color w:val="000000" w:themeColor="text1"/>
          <w:sz w:val="28"/>
          <w:szCs w:val="28"/>
        </w:rPr>
        <w:tab/>
      </w:r>
      <w:r>
        <w:rPr>
          <w:rFonts w:hint="eastAsia" w:asciiTheme="majorEastAsia" w:hAnsiTheme="majorEastAsia" w:eastAsiaTheme="majorEastAsia"/>
          <w:color w:val="000000" w:themeColor="text1"/>
          <w:sz w:val="28"/>
          <w:szCs w:val="28"/>
        </w:rPr>
        <w:t>························</w:t>
      </w:r>
    </w:p>
    <w:p>
      <w:pPr>
        <w:spacing w:line="360" w:lineRule="auto"/>
        <w:rPr>
          <w:rFonts w:asciiTheme="majorEastAsia" w:hAnsiTheme="majorEastAsia" w:eastAsiaTheme="majorEastAsia"/>
          <w:color w:val="000000" w:themeColor="text1"/>
          <w:sz w:val="28"/>
          <w:szCs w:val="28"/>
        </w:rPr>
      </w:pPr>
      <w:r>
        <w:rPr>
          <w:rFonts w:hint="eastAsia" w:asciiTheme="majorEastAsia" w:hAnsiTheme="majorEastAsia" w:eastAsiaTheme="majorEastAsia"/>
          <w:color w:val="000000" w:themeColor="text1"/>
          <w:sz w:val="28"/>
          <w:szCs w:val="28"/>
        </w:rPr>
        <w:t>投标人须知前附表</w:t>
      </w:r>
      <w:r>
        <w:rPr>
          <w:rFonts w:hint="eastAsia" w:asciiTheme="majorEastAsia" w:hAnsiTheme="majorEastAsia" w:eastAsiaTheme="majorEastAsia"/>
          <w:color w:val="000000" w:themeColor="text1"/>
          <w:sz w:val="28"/>
          <w:szCs w:val="28"/>
        </w:rPr>
        <w:tab/>
      </w:r>
      <w:r>
        <w:rPr>
          <w:rFonts w:hint="eastAsia" w:asciiTheme="majorEastAsia" w:hAnsiTheme="majorEastAsia" w:eastAsiaTheme="majorEastAsia"/>
          <w:color w:val="000000" w:themeColor="text1"/>
          <w:sz w:val="28"/>
          <w:szCs w:val="28"/>
        </w:rPr>
        <w:t>························</w:t>
      </w:r>
    </w:p>
    <w:p>
      <w:pPr>
        <w:spacing w:line="360" w:lineRule="auto"/>
        <w:rPr>
          <w:rFonts w:asciiTheme="majorEastAsia" w:hAnsiTheme="majorEastAsia" w:eastAsiaTheme="majorEastAsia"/>
          <w:color w:val="000000" w:themeColor="text1"/>
          <w:sz w:val="28"/>
          <w:szCs w:val="28"/>
        </w:rPr>
      </w:pPr>
      <w:r>
        <w:rPr>
          <w:rFonts w:hint="eastAsia" w:asciiTheme="majorEastAsia" w:hAnsiTheme="majorEastAsia" w:eastAsiaTheme="majorEastAsia"/>
          <w:color w:val="000000" w:themeColor="text1"/>
          <w:sz w:val="28"/>
          <w:szCs w:val="28"/>
        </w:rPr>
        <w:t>第三章  评标办法</w:t>
      </w:r>
      <w:r>
        <w:rPr>
          <w:rFonts w:hint="eastAsia" w:asciiTheme="majorEastAsia" w:hAnsiTheme="majorEastAsia" w:eastAsiaTheme="majorEastAsia"/>
          <w:color w:val="000000" w:themeColor="text1"/>
          <w:sz w:val="28"/>
          <w:szCs w:val="28"/>
        </w:rPr>
        <w:tab/>
      </w:r>
      <w:r>
        <w:rPr>
          <w:rFonts w:hint="eastAsia" w:asciiTheme="majorEastAsia" w:hAnsiTheme="majorEastAsia" w:eastAsiaTheme="majorEastAsia"/>
          <w:color w:val="000000" w:themeColor="text1"/>
          <w:sz w:val="28"/>
          <w:szCs w:val="28"/>
        </w:rPr>
        <w:t>························</w:t>
      </w:r>
    </w:p>
    <w:p>
      <w:pPr>
        <w:spacing w:line="360" w:lineRule="auto"/>
        <w:rPr>
          <w:rFonts w:asciiTheme="majorEastAsia" w:hAnsiTheme="majorEastAsia" w:eastAsiaTheme="majorEastAsia"/>
          <w:color w:val="000000" w:themeColor="text1"/>
          <w:sz w:val="28"/>
          <w:szCs w:val="28"/>
        </w:rPr>
      </w:pPr>
      <w:r>
        <w:rPr>
          <w:rFonts w:hint="eastAsia" w:asciiTheme="majorEastAsia" w:hAnsiTheme="majorEastAsia" w:eastAsiaTheme="majorEastAsia"/>
          <w:color w:val="000000" w:themeColor="text1"/>
          <w:sz w:val="28"/>
          <w:szCs w:val="28"/>
        </w:rPr>
        <w:t>第四章  合同条款及格式</w:t>
      </w:r>
      <w:r>
        <w:rPr>
          <w:rFonts w:hint="eastAsia" w:asciiTheme="majorEastAsia" w:hAnsiTheme="majorEastAsia" w:eastAsiaTheme="majorEastAsia"/>
          <w:color w:val="000000" w:themeColor="text1"/>
          <w:sz w:val="28"/>
          <w:szCs w:val="28"/>
        </w:rPr>
        <w:tab/>
      </w:r>
      <w:r>
        <w:rPr>
          <w:rFonts w:hint="eastAsia" w:asciiTheme="majorEastAsia" w:hAnsiTheme="majorEastAsia" w:eastAsiaTheme="majorEastAsia"/>
          <w:color w:val="000000" w:themeColor="text1"/>
          <w:sz w:val="28"/>
          <w:szCs w:val="28"/>
        </w:rPr>
        <w:t>·····················</w:t>
      </w:r>
    </w:p>
    <w:p>
      <w:pPr>
        <w:spacing w:line="360" w:lineRule="auto"/>
        <w:rPr>
          <w:rFonts w:asciiTheme="majorEastAsia" w:hAnsiTheme="majorEastAsia" w:eastAsiaTheme="majorEastAsia"/>
          <w:color w:val="000000" w:themeColor="text1"/>
          <w:sz w:val="28"/>
          <w:szCs w:val="28"/>
        </w:rPr>
      </w:pPr>
      <w:r>
        <w:rPr>
          <w:rFonts w:hint="eastAsia" w:asciiTheme="majorEastAsia" w:hAnsiTheme="majorEastAsia" w:eastAsiaTheme="majorEastAsia"/>
          <w:color w:val="000000" w:themeColor="text1"/>
          <w:sz w:val="28"/>
          <w:szCs w:val="28"/>
        </w:rPr>
        <w:t>第五章 项目内容、服务标准和要求</w:t>
      </w:r>
      <w:r>
        <w:rPr>
          <w:rFonts w:hint="eastAsia" w:asciiTheme="majorEastAsia" w:hAnsiTheme="majorEastAsia" w:eastAsiaTheme="majorEastAsia"/>
          <w:color w:val="000000" w:themeColor="text1"/>
          <w:sz w:val="28"/>
          <w:szCs w:val="28"/>
        </w:rPr>
        <w:tab/>
      </w:r>
      <w:r>
        <w:rPr>
          <w:rFonts w:hint="eastAsia" w:asciiTheme="majorEastAsia" w:hAnsiTheme="majorEastAsia" w:eastAsiaTheme="majorEastAsia"/>
          <w:color w:val="000000" w:themeColor="text1"/>
          <w:sz w:val="28"/>
          <w:szCs w:val="28"/>
        </w:rPr>
        <w:t>················</w:t>
      </w:r>
    </w:p>
    <w:p>
      <w:pPr>
        <w:spacing w:line="360" w:lineRule="auto"/>
        <w:rPr>
          <w:rFonts w:cs="Arial" w:asciiTheme="majorEastAsia" w:hAnsiTheme="majorEastAsia" w:eastAsiaTheme="majorEastAsia"/>
          <w:color w:val="000000" w:themeColor="text1"/>
          <w:sz w:val="28"/>
          <w:szCs w:val="28"/>
        </w:rPr>
        <w:sectPr>
          <w:headerReference r:id="rId3" w:type="default"/>
          <w:footerReference r:id="rId4" w:type="default"/>
          <w:pgSz w:w="11906" w:h="16838"/>
          <w:pgMar w:top="1418" w:right="1134" w:bottom="1276" w:left="1843" w:header="851" w:footer="992" w:gutter="0"/>
          <w:pgNumType w:start="1"/>
          <w:cols w:space="720" w:num="1"/>
          <w:titlePg/>
          <w:docGrid w:type="lines" w:linePitch="312" w:charSpace="0"/>
        </w:sectPr>
      </w:pPr>
      <w:r>
        <w:rPr>
          <w:rFonts w:hint="eastAsia" w:asciiTheme="majorEastAsia" w:hAnsiTheme="majorEastAsia" w:eastAsiaTheme="majorEastAsia"/>
          <w:color w:val="000000" w:themeColor="text1"/>
          <w:sz w:val="28"/>
          <w:szCs w:val="28"/>
        </w:rPr>
        <w:t>第六章 投标文件格式</w:t>
      </w:r>
      <w:r>
        <w:rPr>
          <w:rFonts w:hint="eastAsia" w:asciiTheme="majorEastAsia" w:hAnsiTheme="majorEastAsia" w:eastAsiaTheme="majorEastAsia"/>
          <w:color w:val="000000" w:themeColor="text1"/>
          <w:sz w:val="28"/>
          <w:szCs w:val="28"/>
        </w:rPr>
        <w:tab/>
      </w:r>
      <w:r>
        <w:rPr>
          <w:rFonts w:hint="eastAsia" w:asciiTheme="majorEastAsia" w:hAnsiTheme="majorEastAsia" w:eastAsiaTheme="majorEastAsia"/>
          <w:color w:val="000000" w:themeColor="text1"/>
          <w:sz w:val="28"/>
          <w:szCs w:val="28"/>
        </w:rPr>
        <w:t>······················</w:t>
      </w:r>
    </w:p>
    <w:p>
      <w:pPr>
        <w:tabs>
          <w:tab w:val="left" w:pos="4230"/>
        </w:tabs>
        <w:ind w:left="411"/>
        <w:jc w:val="center"/>
        <w:outlineLvl w:val="0"/>
        <w:rPr>
          <w:rFonts w:cs="仿宋_GB2312" w:asciiTheme="majorEastAsia" w:hAnsiTheme="majorEastAsia" w:eastAsiaTheme="majorEastAsia"/>
          <w:color w:val="000000" w:themeColor="text1"/>
          <w:sz w:val="44"/>
          <w:szCs w:val="44"/>
        </w:rPr>
      </w:pPr>
      <w:bookmarkStart w:id="0" w:name="_Toc4451"/>
      <w:r>
        <w:rPr>
          <w:rFonts w:cs="仿宋_GB2312" w:asciiTheme="majorEastAsia" w:hAnsiTheme="majorEastAsia" w:eastAsiaTheme="majorEastAsia"/>
          <w:color w:val="000000" w:themeColor="text1"/>
          <w:sz w:val="40"/>
          <w:szCs w:val="40"/>
        </w:rPr>
        <w:t>第一章 招标公告</w:t>
      </w:r>
      <w:bookmarkEnd w:id="0"/>
    </w:p>
    <w:p>
      <w:pPr>
        <w:pBdr>
          <w:top w:val="single" w:color="auto" w:sz="4" w:space="1"/>
          <w:left w:val="single" w:color="auto" w:sz="4" w:space="4"/>
          <w:bottom w:val="single" w:color="auto" w:sz="4" w:space="1"/>
          <w:right w:val="single" w:color="auto" w:sz="4" w:space="4"/>
        </w:pBdr>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lang w:eastAsia="zh-CN"/>
        </w:rPr>
        <w:t xml:space="preserve">墨玉县妇幼保健院采购临床路径、检验条码系统等信息化项目（包二） </w:t>
      </w:r>
      <w:r>
        <w:rPr>
          <w:rFonts w:hint="eastAsia" w:asciiTheme="majorEastAsia" w:hAnsiTheme="majorEastAsia" w:eastAsiaTheme="majorEastAsia"/>
          <w:color w:val="000000" w:themeColor="text1"/>
          <w:sz w:val="24"/>
        </w:rPr>
        <w:t>的潜在投标人应在新疆政府采购网(www.ccgp-xinjiang.gov.cn/)获取招标文件，并于</w:t>
      </w:r>
      <w:r>
        <w:rPr>
          <w:rFonts w:hint="eastAsia" w:asciiTheme="majorEastAsia" w:hAnsiTheme="majorEastAsia" w:eastAsiaTheme="majorEastAsia"/>
          <w:b/>
          <w:bCs/>
          <w:color w:val="000000" w:themeColor="text1"/>
          <w:sz w:val="24"/>
        </w:rPr>
        <w:t>202</w:t>
      </w:r>
      <w:r>
        <w:rPr>
          <w:rFonts w:hint="eastAsia" w:asciiTheme="majorEastAsia" w:hAnsiTheme="majorEastAsia" w:eastAsiaTheme="majorEastAsia"/>
          <w:b/>
          <w:bCs/>
          <w:color w:val="000000" w:themeColor="text1"/>
          <w:sz w:val="24"/>
          <w:lang w:val="en-US" w:eastAsia="zh-CN"/>
        </w:rPr>
        <w:t>2</w:t>
      </w:r>
      <w:r>
        <w:rPr>
          <w:rFonts w:hint="eastAsia" w:asciiTheme="majorEastAsia" w:hAnsiTheme="majorEastAsia" w:eastAsiaTheme="majorEastAsia"/>
          <w:b/>
          <w:bCs/>
          <w:color w:val="000000" w:themeColor="text1"/>
          <w:sz w:val="24"/>
        </w:rPr>
        <w:t>年</w:t>
      </w:r>
      <w:r>
        <w:rPr>
          <w:rFonts w:hint="eastAsia" w:asciiTheme="majorEastAsia" w:hAnsiTheme="majorEastAsia" w:eastAsiaTheme="majorEastAsia"/>
          <w:b/>
          <w:bCs/>
          <w:color w:val="000000" w:themeColor="text1"/>
          <w:sz w:val="24"/>
          <w:lang w:val="en-US" w:eastAsia="zh-CN"/>
        </w:rPr>
        <w:t>08</w:t>
      </w:r>
      <w:r>
        <w:rPr>
          <w:rFonts w:hint="eastAsia" w:asciiTheme="majorEastAsia" w:hAnsiTheme="majorEastAsia" w:eastAsiaTheme="majorEastAsia"/>
          <w:b/>
          <w:bCs/>
          <w:color w:val="000000" w:themeColor="text1"/>
          <w:sz w:val="24"/>
        </w:rPr>
        <w:t>月</w:t>
      </w:r>
      <w:r>
        <w:rPr>
          <w:rFonts w:hint="eastAsia" w:asciiTheme="majorEastAsia" w:hAnsiTheme="majorEastAsia" w:eastAsiaTheme="majorEastAsia"/>
          <w:b/>
          <w:bCs/>
          <w:color w:val="000000" w:themeColor="text1"/>
          <w:sz w:val="24"/>
          <w:lang w:val="en-US" w:eastAsia="zh-CN"/>
        </w:rPr>
        <w:t>16</w:t>
      </w:r>
      <w:r>
        <w:rPr>
          <w:rFonts w:hint="eastAsia" w:asciiTheme="majorEastAsia" w:hAnsiTheme="majorEastAsia" w:eastAsiaTheme="majorEastAsia"/>
          <w:b/>
          <w:bCs/>
          <w:color w:val="000000" w:themeColor="text1"/>
          <w:sz w:val="24"/>
        </w:rPr>
        <w:t xml:space="preserve">日 </w:t>
      </w:r>
      <w:r>
        <w:rPr>
          <w:rFonts w:hint="eastAsia" w:asciiTheme="majorEastAsia" w:hAnsiTheme="majorEastAsia" w:eastAsiaTheme="majorEastAsia"/>
          <w:color w:val="000000" w:themeColor="text1"/>
          <w:sz w:val="24"/>
        </w:rPr>
        <w:t>11:00（北京时间）前递交投标文件。</w:t>
      </w:r>
    </w:p>
    <w:p>
      <w:pPr>
        <w:pStyle w:val="36"/>
        <w:spacing w:beforeAutospacing="0" w:afterAutospacing="0" w:line="380" w:lineRule="exact"/>
        <w:jc w:val="both"/>
        <w:rPr>
          <w:rFonts w:asciiTheme="majorEastAsia" w:hAnsiTheme="majorEastAsia" w:eastAsiaTheme="majorEastAsia"/>
          <w:color w:val="000000" w:themeColor="text1"/>
        </w:rPr>
      </w:pPr>
      <w:r>
        <w:rPr>
          <w:rStyle w:val="43"/>
          <w:rFonts w:hint="eastAsia" w:asciiTheme="majorEastAsia" w:hAnsiTheme="majorEastAsia" w:eastAsiaTheme="majorEastAsia"/>
          <w:color w:val="000000" w:themeColor="text1"/>
        </w:rPr>
        <w:t>一、项目基本情况</w:t>
      </w:r>
    </w:p>
    <w:p>
      <w:pPr>
        <w:pStyle w:val="36"/>
        <w:spacing w:beforeAutospacing="0" w:afterAutospacing="0" w:line="380" w:lineRule="exact"/>
        <w:ind w:firstLine="420"/>
        <w:rPr>
          <w:rFonts w:hint="eastAsia" w:asciiTheme="majorEastAsia" w:hAnsiTheme="majorEastAsia" w:eastAsiaTheme="majorEastAsia"/>
          <w:color w:val="000000" w:themeColor="text1"/>
          <w:highlight w:val="none"/>
          <w:lang w:eastAsia="zh-CN"/>
        </w:rPr>
      </w:pPr>
      <w:r>
        <w:rPr>
          <w:rFonts w:hint="eastAsia" w:asciiTheme="majorEastAsia" w:hAnsiTheme="majorEastAsia" w:eastAsiaTheme="majorEastAsia"/>
          <w:color w:val="000000" w:themeColor="text1"/>
          <w:highlight w:val="none"/>
        </w:rPr>
        <w:t>项目编号：</w:t>
      </w:r>
      <w:r>
        <w:rPr>
          <w:rFonts w:hint="eastAsia" w:cs="宋体" w:asciiTheme="majorEastAsia" w:hAnsiTheme="majorEastAsia" w:eastAsiaTheme="majorEastAsia"/>
          <w:bCs/>
          <w:color w:val="000000" w:themeColor="text1"/>
          <w:sz w:val="24"/>
          <w:highlight w:val="none"/>
          <w:lang w:val="zh-CN"/>
        </w:rPr>
        <w:t>XJRYS-HTCG-2022/004-02</w:t>
      </w:r>
    </w:p>
    <w:p>
      <w:pPr>
        <w:pStyle w:val="36"/>
        <w:spacing w:beforeAutospacing="0" w:afterAutospacing="0" w:line="380" w:lineRule="exact"/>
        <w:ind w:firstLine="420"/>
        <w:rPr>
          <w:rFonts w:hint="eastAsia" w:asciiTheme="majorEastAsia" w:hAnsiTheme="majorEastAsia" w:eastAsiaTheme="majorEastAsia"/>
          <w:color w:val="000000" w:themeColor="text1"/>
          <w:lang w:eastAsia="zh-CN"/>
        </w:rPr>
      </w:pPr>
      <w:r>
        <w:rPr>
          <w:rFonts w:hint="eastAsia" w:asciiTheme="majorEastAsia" w:hAnsiTheme="majorEastAsia" w:eastAsiaTheme="majorEastAsia"/>
          <w:color w:val="000000" w:themeColor="text1"/>
        </w:rPr>
        <w:t>项目名称：</w:t>
      </w:r>
      <w:r>
        <w:rPr>
          <w:rFonts w:hint="eastAsia" w:asciiTheme="majorEastAsia" w:hAnsiTheme="majorEastAsia" w:eastAsiaTheme="majorEastAsia"/>
          <w:color w:val="000000" w:themeColor="text1"/>
          <w:lang w:eastAsia="zh-CN"/>
        </w:rPr>
        <w:t xml:space="preserve">墨玉县妇幼保健院采购临床路径、检验条码系统等信息化项目（包二） </w:t>
      </w:r>
    </w:p>
    <w:p>
      <w:pPr>
        <w:pStyle w:val="36"/>
        <w:spacing w:beforeAutospacing="0" w:afterAutospacing="0" w:line="38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采购方式：公开招标</w:t>
      </w:r>
    </w:p>
    <w:p>
      <w:pPr>
        <w:pStyle w:val="36"/>
        <w:spacing w:beforeAutospacing="0" w:afterAutospacing="0" w:line="380" w:lineRule="exact"/>
        <w:ind w:firstLine="420"/>
        <w:rPr>
          <w:rFonts w:hint="default" w:asciiTheme="majorEastAsia" w:hAnsiTheme="majorEastAsia" w:eastAsiaTheme="majorEastAsia"/>
          <w:color w:val="000000" w:themeColor="text1"/>
          <w:highlight w:val="none"/>
          <w:lang w:val="en-US" w:eastAsia="zh-CN"/>
        </w:rPr>
      </w:pPr>
      <w:r>
        <w:rPr>
          <w:rFonts w:hint="eastAsia" w:asciiTheme="majorEastAsia" w:hAnsiTheme="majorEastAsia" w:eastAsiaTheme="majorEastAsia"/>
          <w:color w:val="000000" w:themeColor="text1"/>
          <w:highlight w:val="none"/>
        </w:rPr>
        <w:t>预算金额（万元）：</w:t>
      </w:r>
      <w:r>
        <w:rPr>
          <w:rFonts w:hint="eastAsia" w:asciiTheme="majorEastAsia" w:hAnsiTheme="majorEastAsia" w:eastAsiaTheme="majorEastAsia"/>
          <w:color w:val="000000" w:themeColor="text1"/>
          <w:highlight w:val="none"/>
          <w:lang w:val="en-US" w:eastAsia="zh-CN"/>
        </w:rPr>
        <w:t>74</w:t>
      </w:r>
    </w:p>
    <w:p>
      <w:pPr>
        <w:pStyle w:val="36"/>
        <w:spacing w:beforeAutospacing="0" w:afterAutospacing="0" w:line="380" w:lineRule="exact"/>
        <w:ind w:firstLine="420"/>
        <w:rPr>
          <w:rFonts w:hint="default" w:asciiTheme="majorEastAsia" w:hAnsiTheme="majorEastAsia" w:eastAsiaTheme="majorEastAsia"/>
          <w:color w:val="000000" w:themeColor="text1"/>
          <w:highlight w:val="none"/>
          <w:lang w:val="en-US"/>
        </w:rPr>
      </w:pPr>
      <w:r>
        <w:rPr>
          <w:rFonts w:hint="eastAsia" w:asciiTheme="majorEastAsia" w:hAnsiTheme="majorEastAsia" w:eastAsiaTheme="majorEastAsia"/>
          <w:color w:val="000000" w:themeColor="text1"/>
          <w:highlight w:val="none"/>
        </w:rPr>
        <w:t>最高限价（万元）：</w:t>
      </w:r>
      <w:r>
        <w:rPr>
          <w:rFonts w:hint="eastAsia" w:asciiTheme="majorEastAsia" w:hAnsiTheme="majorEastAsia" w:eastAsiaTheme="majorEastAsia"/>
          <w:color w:val="000000" w:themeColor="text1"/>
          <w:highlight w:val="none"/>
          <w:lang w:val="en-US" w:eastAsia="zh-CN"/>
        </w:rPr>
        <w:t>74</w:t>
      </w:r>
    </w:p>
    <w:p>
      <w:pPr>
        <w:pStyle w:val="36"/>
        <w:spacing w:beforeAutospacing="0" w:afterAutospacing="0" w:line="38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采购需求：</w:t>
      </w:r>
    </w:p>
    <w:tbl>
      <w:tblPr>
        <w:tblStyle w:val="40"/>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7"/>
        <w:gridCol w:w="1660"/>
        <w:gridCol w:w="2549"/>
        <w:gridCol w:w="795"/>
        <w:gridCol w:w="851"/>
        <w:gridCol w:w="155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jc w:val="center"/>
        </w:trPr>
        <w:tc>
          <w:tcPr>
            <w:tcW w:w="807"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kern w:val="0"/>
                <w:sz w:val="24"/>
              </w:rPr>
              <w:t>标项序号</w:t>
            </w:r>
          </w:p>
        </w:tc>
        <w:tc>
          <w:tcPr>
            <w:tcW w:w="1660"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kern w:val="0"/>
                <w:sz w:val="24"/>
              </w:rPr>
              <w:t>标项名称</w:t>
            </w:r>
          </w:p>
        </w:tc>
        <w:tc>
          <w:tcPr>
            <w:tcW w:w="2549"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kern w:val="0"/>
                <w:sz w:val="24"/>
              </w:rPr>
              <w:t>简要规格描述</w:t>
            </w:r>
          </w:p>
        </w:tc>
        <w:tc>
          <w:tcPr>
            <w:tcW w:w="795"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kern w:val="0"/>
                <w:sz w:val="24"/>
              </w:rPr>
              <w:t>数量</w:t>
            </w:r>
          </w:p>
        </w:tc>
        <w:tc>
          <w:tcPr>
            <w:tcW w:w="851"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kern w:val="0"/>
                <w:sz w:val="24"/>
                <w:highlight w:val="none"/>
              </w:rPr>
              <w:t>单位</w:t>
            </w:r>
          </w:p>
        </w:tc>
        <w:tc>
          <w:tcPr>
            <w:tcW w:w="1559" w:type="dxa"/>
            <w:vAlign w:val="center"/>
          </w:tcPr>
          <w:p>
            <w:pPr>
              <w:widowControl/>
              <w:jc w:val="center"/>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预算金额总价（万元）</w:t>
            </w:r>
          </w:p>
        </w:tc>
        <w:tc>
          <w:tcPr>
            <w:tcW w:w="1982"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kern w:val="0"/>
                <w:sz w:val="24"/>
                <w:highlight w:val="none"/>
              </w:rPr>
            </w:pPr>
            <w:r>
              <w:rPr>
                <w:rFonts w:hint="eastAsia" w:cs="宋体" w:asciiTheme="majorEastAsia" w:hAnsiTheme="majorEastAsia" w:eastAsiaTheme="majorEastAsia"/>
                <w:color w:val="000000" w:themeColor="text1"/>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jc w:val="center"/>
        </w:trPr>
        <w:tc>
          <w:tcPr>
            <w:tcW w:w="807" w:type="dxa"/>
            <w:tcMar>
              <w:top w:w="75" w:type="dxa"/>
              <w:left w:w="150" w:type="dxa"/>
              <w:bottom w:w="75" w:type="dxa"/>
              <w:right w:w="150" w:type="dxa"/>
            </w:tcMar>
            <w:vAlign w:val="center"/>
          </w:tcPr>
          <w:p>
            <w:pPr>
              <w:widowControl/>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kern w:val="0"/>
                <w:sz w:val="24"/>
              </w:rPr>
              <w:t>1</w:t>
            </w:r>
          </w:p>
        </w:tc>
        <w:tc>
          <w:tcPr>
            <w:tcW w:w="1660" w:type="dxa"/>
            <w:tcMar>
              <w:top w:w="75" w:type="dxa"/>
              <w:left w:w="150" w:type="dxa"/>
              <w:bottom w:w="75" w:type="dxa"/>
              <w:right w:w="150" w:type="dxa"/>
            </w:tcMar>
            <w:vAlign w:val="center"/>
          </w:tcPr>
          <w:p>
            <w:pPr>
              <w:pStyle w:val="36"/>
              <w:spacing w:beforeAutospacing="0" w:afterAutospacing="0" w:line="380" w:lineRule="exact"/>
              <w:jc w:val="center"/>
              <w:rPr>
                <w:rFonts w:hint="eastAsia" w:asciiTheme="majorEastAsia" w:hAnsiTheme="majorEastAsia" w:eastAsiaTheme="majorEastAsia"/>
                <w:color w:val="000000" w:themeColor="text1"/>
                <w:lang w:eastAsia="zh-CN"/>
              </w:rPr>
            </w:pPr>
            <w:r>
              <w:rPr>
                <w:rFonts w:hint="eastAsia" w:asciiTheme="majorEastAsia" w:hAnsiTheme="majorEastAsia" w:eastAsiaTheme="majorEastAsia"/>
                <w:color w:val="000000" w:themeColor="text1"/>
                <w:lang w:eastAsia="zh-CN"/>
              </w:rPr>
              <w:t xml:space="preserve">墨玉县妇幼保健院采购临床路径、检验条码系统等信息化项目（包二） </w:t>
            </w:r>
          </w:p>
          <w:p>
            <w:pPr>
              <w:widowControl/>
              <w:jc w:val="center"/>
              <w:rPr>
                <w:rFonts w:cs="宋体" w:asciiTheme="majorEastAsia" w:hAnsiTheme="majorEastAsia" w:eastAsiaTheme="majorEastAsia"/>
                <w:color w:val="000000" w:themeColor="text1"/>
                <w:sz w:val="24"/>
              </w:rPr>
            </w:pPr>
          </w:p>
        </w:tc>
        <w:tc>
          <w:tcPr>
            <w:tcW w:w="2549" w:type="dxa"/>
            <w:tcMar>
              <w:top w:w="75" w:type="dxa"/>
              <w:left w:w="150" w:type="dxa"/>
              <w:bottom w:w="75" w:type="dxa"/>
              <w:right w:w="150" w:type="dxa"/>
            </w:tcMar>
            <w:vAlign w:val="center"/>
          </w:tcPr>
          <w:p>
            <w:pPr>
              <w:pStyle w:val="36"/>
              <w:spacing w:beforeAutospacing="0" w:afterAutospacing="0" w:line="380" w:lineRule="exact"/>
              <w:jc w:val="center"/>
              <w:rPr>
                <w:rFonts w:hint="eastAsia" w:asciiTheme="majorEastAsia" w:hAnsiTheme="majorEastAsia" w:eastAsiaTheme="majorEastAsia"/>
                <w:color w:val="000000" w:themeColor="text1"/>
                <w:lang w:eastAsia="zh-CN"/>
              </w:rPr>
            </w:pPr>
            <w:r>
              <w:rPr>
                <w:rFonts w:hint="eastAsia" w:asciiTheme="majorEastAsia" w:hAnsiTheme="majorEastAsia" w:eastAsiaTheme="majorEastAsia"/>
                <w:color w:val="000000" w:themeColor="text1"/>
                <w:lang w:eastAsia="zh-CN"/>
              </w:rPr>
              <w:t>详见招标文件</w:t>
            </w:r>
          </w:p>
        </w:tc>
        <w:tc>
          <w:tcPr>
            <w:tcW w:w="795" w:type="dxa"/>
            <w:tcMar>
              <w:top w:w="75" w:type="dxa"/>
              <w:left w:w="150" w:type="dxa"/>
              <w:bottom w:w="75" w:type="dxa"/>
              <w:right w:w="150" w:type="dxa"/>
            </w:tcMar>
            <w:vAlign w:val="center"/>
          </w:tcPr>
          <w:p>
            <w:pPr>
              <w:pStyle w:val="36"/>
              <w:spacing w:beforeAutospacing="0" w:afterAutospacing="0" w:line="380" w:lineRule="exact"/>
              <w:ind w:firstLine="120" w:firstLineChars="50"/>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1</w:t>
            </w:r>
          </w:p>
        </w:tc>
        <w:tc>
          <w:tcPr>
            <w:tcW w:w="851" w:type="dxa"/>
            <w:tcMar>
              <w:top w:w="75" w:type="dxa"/>
              <w:left w:w="150" w:type="dxa"/>
              <w:bottom w:w="75" w:type="dxa"/>
              <w:right w:w="150" w:type="dxa"/>
            </w:tcMar>
            <w:vAlign w:val="center"/>
          </w:tcPr>
          <w:p>
            <w:pPr>
              <w:pStyle w:val="36"/>
              <w:spacing w:beforeAutospacing="0" w:afterAutospacing="0" w:line="38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批</w:t>
            </w:r>
          </w:p>
        </w:tc>
        <w:tc>
          <w:tcPr>
            <w:tcW w:w="1559" w:type="dxa"/>
            <w:vAlign w:val="center"/>
          </w:tcPr>
          <w:p>
            <w:pPr>
              <w:pStyle w:val="36"/>
              <w:spacing w:beforeAutospacing="0" w:afterAutospacing="0" w:line="380" w:lineRule="exact"/>
              <w:jc w:val="center"/>
              <w:rPr>
                <w:rFonts w:hint="default" w:asciiTheme="majorEastAsia" w:hAnsiTheme="majorEastAsia" w:eastAsiaTheme="majorEastAsia"/>
                <w:color w:val="000000" w:themeColor="text1"/>
                <w:highlight w:val="yellow"/>
                <w:lang w:val="en-US" w:eastAsia="zh-CN"/>
              </w:rPr>
            </w:pPr>
            <w:r>
              <w:rPr>
                <w:rFonts w:hint="eastAsia" w:asciiTheme="majorEastAsia" w:hAnsiTheme="majorEastAsia" w:eastAsiaTheme="majorEastAsia"/>
                <w:color w:val="000000" w:themeColor="text1"/>
                <w:highlight w:val="none"/>
                <w:lang w:val="en-US" w:eastAsia="zh-CN"/>
              </w:rPr>
              <w:t>74</w:t>
            </w:r>
          </w:p>
        </w:tc>
        <w:tc>
          <w:tcPr>
            <w:tcW w:w="1982" w:type="dxa"/>
            <w:tcMar>
              <w:top w:w="75" w:type="dxa"/>
              <w:left w:w="150" w:type="dxa"/>
              <w:bottom w:w="75" w:type="dxa"/>
              <w:right w:w="150" w:type="dxa"/>
            </w:tcMar>
            <w:vAlign w:val="center"/>
          </w:tcPr>
          <w:p>
            <w:pPr>
              <w:pStyle w:val="36"/>
              <w:spacing w:beforeAutospacing="0" w:afterAutospacing="0" w:line="38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具体数量、规格、技术参数详见招标文件</w:t>
            </w:r>
          </w:p>
        </w:tc>
      </w:tr>
    </w:tbl>
    <w:p>
      <w:pPr>
        <w:pStyle w:val="36"/>
        <w:spacing w:beforeAutospacing="0" w:afterAutospacing="0" w:line="380" w:lineRule="exact"/>
        <w:ind w:firstLine="48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合同履约期限：</w:t>
      </w:r>
      <w:r>
        <w:rPr>
          <w:rFonts w:hint="eastAsia" w:asciiTheme="majorEastAsia" w:hAnsiTheme="majorEastAsia" w:eastAsiaTheme="majorEastAsia"/>
          <w:color w:val="000000" w:themeColor="text1"/>
          <w:lang w:val="en-US" w:eastAsia="zh-CN"/>
        </w:rPr>
        <w:t>30</w:t>
      </w:r>
      <w:r>
        <w:rPr>
          <w:rFonts w:hint="eastAsia" w:asciiTheme="majorEastAsia" w:hAnsiTheme="majorEastAsia" w:eastAsiaTheme="majorEastAsia"/>
          <w:color w:val="000000" w:themeColor="text1"/>
        </w:rPr>
        <w:t>天</w:t>
      </w:r>
    </w:p>
    <w:p>
      <w:pPr>
        <w:pStyle w:val="36"/>
        <w:spacing w:beforeAutospacing="0" w:afterAutospacing="0" w:line="380" w:lineRule="exact"/>
        <w:ind w:firstLine="48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本项目(否)接受联合体投标。</w:t>
      </w:r>
    </w:p>
    <w:p>
      <w:pPr>
        <w:pStyle w:val="36"/>
        <w:spacing w:beforeAutospacing="0" w:afterAutospacing="0" w:line="380" w:lineRule="exact"/>
        <w:rPr>
          <w:rFonts w:asciiTheme="majorEastAsia" w:hAnsiTheme="majorEastAsia" w:eastAsiaTheme="majorEastAsia"/>
          <w:color w:val="000000" w:themeColor="text1"/>
        </w:rPr>
      </w:pPr>
      <w:r>
        <w:rPr>
          <w:rStyle w:val="43"/>
          <w:rFonts w:hint="eastAsia" w:asciiTheme="majorEastAsia" w:hAnsiTheme="majorEastAsia" w:eastAsiaTheme="majorEastAsia"/>
          <w:color w:val="000000" w:themeColor="text1"/>
        </w:rPr>
        <w:t>二、申请人的资格要求：</w:t>
      </w:r>
    </w:p>
    <w:p>
      <w:pPr>
        <w:rPr>
          <w:rFonts w:hint="eastAsia" w:ascii="宋体" w:hAnsi="宋体" w:eastAsia="宋体" w:cs="宋体"/>
          <w:sz w:val="24"/>
          <w:szCs w:val="24"/>
        </w:rPr>
      </w:pPr>
      <w:r>
        <w:rPr>
          <w:rFonts w:hint="eastAsia" w:ascii="宋体" w:hAnsi="宋体" w:eastAsia="宋体" w:cs="宋体"/>
          <w:sz w:val="24"/>
          <w:szCs w:val="24"/>
        </w:rPr>
        <w:t>须满足《中华人民共和国政府采购法》第二十二条规定。</w:t>
      </w:r>
    </w:p>
    <w:p>
      <w:pPr>
        <w:rPr>
          <w:rFonts w:hint="eastAsia" w:ascii="宋体" w:hAnsi="宋体" w:eastAsia="宋体" w:cs="宋体"/>
          <w:sz w:val="24"/>
          <w:szCs w:val="24"/>
        </w:rPr>
      </w:pPr>
      <w:r>
        <w:rPr>
          <w:rFonts w:hint="eastAsia" w:ascii="宋体" w:hAnsi="宋体" w:eastAsia="宋体" w:cs="宋体"/>
          <w:sz w:val="24"/>
          <w:szCs w:val="24"/>
        </w:rPr>
        <w:t>1、具有有效的营业执照</w:t>
      </w:r>
      <w:r>
        <w:rPr>
          <w:rFonts w:hint="eastAsia" w:ascii="宋体" w:hAnsi="宋体" w:cs="宋体"/>
          <w:sz w:val="24"/>
          <w:szCs w:val="24"/>
          <w:lang w:eastAsia="zh-CN"/>
        </w:rPr>
        <w:t>、</w:t>
      </w:r>
      <w:r>
        <w:rPr>
          <w:rFonts w:hint="eastAsia" w:ascii="宋体" w:hAnsi="宋体" w:cs="宋体"/>
          <w:sz w:val="24"/>
          <w:szCs w:val="24"/>
          <w:lang w:val="en-US" w:eastAsia="zh-CN"/>
        </w:rPr>
        <w:t>开户许可证或基本存款账户信息</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法人到场参与投标的需提供身份证明书（原件）及身份证原件；委托代理人到场参与投标的需提供授权委托书（附授权人及委托人身份证复印件正反面）及身份证原件，需提供委托代理人近六个月由本单位社保缴费凭证及个人明细。（新成立时间少于六个月的公司，按实际发生提供）</w:t>
      </w:r>
    </w:p>
    <w:p>
      <w:pPr>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3、具有良好的商业信誉和健全的财务会计制度及完税证明（需提供会计事务所出具202</w:t>
      </w:r>
      <w:r>
        <w:rPr>
          <w:rFonts w:hint="eastAsia" w:ascii="宋体" w:hAnsi="宋体" w:cs="宋体"/>
          <w:sz w:val="24"/>
          <w:szCs w:val="24"/>
          <w:lang w:val="en-US" w:eastAsia="zh-CN"/>
        </w:rPr>
        <w:t>1</w:t>
      </w:r>
      <w:r>
        <w:rPr>
          <w:rFonts w:hint="eastAsia" w:ascii="宋体" w:hAnsi="宋体" w:eastAsia="宋体" w:cs="宋体"/>
          <w:sz w:val="24"/>
          <w:szCs w:val="24"/>
        </w:rPr>
        <w:t>年度财务审计报告及税务部门出具的近</w:t>
      </w:r>
      <w:r>
        <w:rPr>
          <w:rFonts w:hint="eastAsia" w:ascii="宋体" w:hAnsi="宋体" w:cs="宋体"/>
          <w:sz w:val="24"/>
          <w:szCs w:val="24"/>
          <w:lang w:eastAsia="zh-CN"/>
        </w:rPr>
        <w:t>半年</w:t>
      </w:r>
      <w:r>
        <w:rPr>
          <w:rFonts w:hint="eastAsia" w:ascii="宋体" w:hAnsi="宋体" w:eastAsia="宋体" w:cs="宋体"/>
          <w:sz w:val="24"/>
          <w:szCs w:val="24"/>
        </w:rPr>
        <w:t>的完税证明，202</w:t>
      </w:r>
      <w:r>
        <w:rPr>
          <w:rFonts w:hint="eastAsia" w:ascii="宋体" w:hAnsi="宋体" w:cs="宋体"/>
          <w:sz w:val="24"/>
          <w:szCs w:val="24"/>
          <w:lang w:val="en-US" w:eastAsia="zh-CN"/>
        </w:rPr>
        <w:t>2</w:t>
      </w:r>
      <w:r>
        <w:rPr>
          <w:rFonts w:hint="eastAsia" w:ascii="宋体" w:hAnsi="宋体" w:eastAsia="宋体" w:cs="宋体"/>
          <w:sz w:val="24"/>
          <w:szCs w:val="24"/>
        </w:rPr>
        <w:t>年新成立的公司可不提供）；</w:t>
      </w:r>
    </w:p>
    <w:p>
      <w:pPr>
        <w:rPr>
          <w:rFonts w:hint="eastAsia" w:ascii="宋体" w:hAnsi="宋体" w:eastAsia="宋体" w:cs="宋体"/>
          <w:sz w:val="24"/>
          <w:szCs w:val="24"/>
        </w:rPr>
      </w:pPr>
      <w:r>
        <w:rPr>
          <w:rFonts w:hint="eastAsia" w:ascii="宋体" w:hAnsi="宋体" w:eastAsia="宋体" w:cs="宋体"/>
          <w:sz w:val="24"/>
          <w:szCs w:val="24"/>
        </w:rPr>
        <w:t>4、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查询截止时点：本公告发布之日报名材料递交截止时间之间任意时刻的查询，加盖单位鲜公章）。</w:t>
      </w:r>
    </w:p>
    <w:p>
      <w:pPr>
        <w:rPr>
          <w:rFonts w:hint="eastAsia"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w:t>
      </w:r>
    </w:p>
    <w:p>
      <w:pPr>
        <w:rPr>
          <w:rFonts w:hint="eastAsia" w:ascii="宋体" w:hAnsi="宋体" w:eastAsia="宋体" w:cs="宋体"/>
          <w:sz w:val="24"/>
          <w:szCs w:val="24"/>
        </w:rPr>
      </w:pPr>
      <w:r>
        <w:rPr>
          <w:rFonts w:hint="eastAsia" w:ascii="宋体" w:hAnsi="宋体" w:eastAsia="宋体" w:cs="宋体"/>
          <w:sz w:val="24"/>
          <w:szCs w:val="24"/>
        </w:rPr>
        <w:t>6、落实政府采购政策需满足的资格要求：</w:t>
      </w:r>
    </w:p>
    <w:p>
      <w:pPr>
        <w:spacing w:line="38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本项目不接受联合体投标；</w:t>
      </w:r>
    </w:p>
    <w:p>
      <w:pPr>
        <w:spacing w:line="380" w:lineRule="exact"/>
        <w:jc w:val="left"/>
        <w:rPr>
          <w:rStyle w:val="43"/>
          <w:rFonts w:cs="宋体" w:asciiTheme="majorEastAsia" w:hAnsiTheme="majorEastAsia" w:eastAsiaTheme="majorEastAsia"/>
          <w:color w:val="000000" w:themeColor="text1"/>
          <w:kern w:val="0"/>
          <w:sz w:val="24"/>
        </w:rPr>
      </w:pPr>
      <w:r>
        <w:rPr>
          <w:rStyle w:val="43"/>
          <w:rFonts w:hint="eastAsia" w:cs="宋体" w:asciiTheme="majorEastAsia" w:hAnsiTheme="majorEastAsia" w:eastAsiaTheme="majorEastAsia"/>
          <w:color w:val="000000" w:themeColor="text1"/>
          <w:kern w:val="0"/>
          <w:sz w:val="24"/>
        </w:rPr>
        <w:t>三、获取招标文件</w:t>
      </w:r>
    </w:p>
    <w:p>
      <w:pPr>
        <w:spacing w:line="380" w:lineRule="exact"/>
        <w:ind w:firstLine="420" w:firstLineChars="175"/>
        <w:jc w:val="left"/>
        <w:rPr>
          <w:rFonts w:cs="宋体" w:asciiTheme="majorEastAsia" w:hAnsiTheme="majorEastAsia" w:eastAsiaTheme="majorEastAsia"/>
          <w:b/>
          <w:color w:val="000000" w:themeColor="text1"/>
          <w:kern w:val="0"/>
          <w:sz w:val="24"/>
        </w:rPr>
      </w:pPr>
      <w:r>
        <w:rPr>
          <w:rFonts w:hint="eastAsia" w:cs="宋体" w:asciiTheme="majorEastAsia" w:hAnsiTheme="majorEastAsia" w:eastAsiaTheme="majorEastAsia"/>
          <w:color w:val="000000" w:themeColor="text1"/>
          <w:kern w:val="0"/>
          <w:sz w:val="24"/>
        </w:rPr>
        <w:t>时间：</w:t>
      </w:r>
      <w:r>
        <w:rPr>
          <w:rFonts w:hint="eastAsia" w:cs="宋体" w:asciiTheme="majorEastAsia" w:hAnsiTheme="majorEastAsia" w:eastAsiaTheme="majorEastAsia"/>
          <w:b/>
          <w:color w:val="000000" w:themeColor="text1"/>
          <w:kern w:val="0"/>
          <w:sz w:val="24"/>
        </w:rPr>
        <w:t>202</w:t>
      </w:r>
      <w:r>
        <w:rPr>
          <w:rFonts w:hint="eastAsia" w:cs="宋体" w:asciiTheme="majorEastAsia" w:hAnsiTheme="majorEastAsia" w:eastAsiaTheme="majorEastAsia"/>
          <w:b/>
          <w:color w:val="000000" w:themeColor="text1"/>
          <w:kern w:val="0"/>
          <w:sz w:val="24"/>
          <w:lang w:val="en-US" w:eastAsia="zh-CN"/>
        </w:rPr>
        <w:t>2</w:t>
      </w:r>
      <w:r>
        <w:rPr>
          <w:rFonts w:hint="eastAsia" w:cs="宋体" w:asciiTheme="majorEastAsia" w:hAnsiTheme="majorEastAsia" w:eastAsiaTheme="majorEastAsia"/>
          <w:b/>
          <w:color w:val="000000" w:themeColor="text1"/>
          <w:kern w:val="0"/>
          <w:sz w:val="24"/>
        </w:rPr>
        <w:t>年</w:t>
      </w:r>
      <w:r>
        <w:rPr>
          <w:rFonts w:hint="eastAsia" w:cs="宋体" w:asciiTheme="majorEastAsia" w:hAnsiTheme="majorEastAsia" w:eastAsiaTheme="majorEastAsia"/>
          <w:b/>
          <w:color w:val="000000" w:themeColor="text1"/>
          <w:kern w:val="0"/>
          <w:sz w:val="24"/>
          <w:lang w:val="en-US" w:eastAsia="zh-CN"/>
        </w:rPr>
        <w:t>7</w:t>
      </w:r>
      <w:r>
        <w:rPr>
          <w:rFonts w:hint="eastAsia" w:cs="宋体" w:asciiTheme="majorEastAsia" w:hAnsiTheme="majorEastAsia" w:eastAsiaTheme="majorEastAsia"/>
          <w:b/>
          <w:color w:val="000000" w:themeColor="text1"/>
          <w:kern w:val="0"/>
          <w:sz w:val="24"/>
        </w:rPr>
        <w:t>月</w:t>
      </w:r>
      <w:r>
        <w:rPr>
          <w:rFonts w:hint="eastAsia" w:cs="宋体" w:asciiTheme="majorEastAsia" w:hAnsiTheme="majorEastAsia" w:eastAsiaTheme="majorEastAsia"/>
          <w:b/>
          <w:color w:val="000000" w:themeColor="text1"/>
          <w:kern w:val="0"/>
          <w:sz w:val="24"/>
          <w:lang w:val="en-US" w:eastAsia="zh-CN"/>
        </w:rPr>
        <w:t>26</w:t>
      </w:r>
      <w:r>
        <w:rPr>
          <w:rFonts w:hint="eastAsia" w:cs="宋体" w:asciiTheme="majorEastAsia" w:hAnsiTheme="majorEastAsia" w:eastAsiaTheme="majorEastAsia"/>
          <w:b/>
          <w:color w:val="000000" w:themeColor="text1"/>
          <w:kern w:val="0"/>
          <w:sz w:val="24"/>
        </w:rPr>
        <w:t>日至202</w:t>
      </w:r>
      <w:r>
        <w:rPr>
          <w:rFonts w:hint="eastAsia" w:cs="宋体" w:asciiTheme="majorEastAsia" w:hAnsiTheme="majorEastAsia" w:eastAsiaTheme="majorEastAsia"/>
          <w:b/>
          <w:color w:val="000000" w:themeColor="text1"/>
          <w:kern w:val="0"/>
          <w:sz w:val="24"/>
          <w:lang w:val="en-US" w:eastAsia="zh-CN"/>
        </w:rPr>
        <w:t>2</w:t>
      </w:r>
      <w:r>
        <w:rPr>
          <w:rFonts w:hint="eastAsia" w:cs="宋体" w:asciiTheme="majorEastAsia" w:hAnsiTheme="majorEastAsia" w:eastAsiaTheme="majorEastAsia"/>
          <w:b/>
          <w:color w:val="000000" w:themeColor="text1"/>
          <w:kern w:val="0"/>
          <w:sz w:val="24"/>
        </w:rPr>
        <w:t>年</w:t>
      </w:r>
      <w:r>
        <w:rPr>
          <w:rFonts w:hint="eastAsia" w:cs="宋体" w:asciiTheme="majorEastAsia" w:hAnsiTheme="majorEastAsia" w:eastAsiaTheme="majorEastAsia"/>
          <w:b/>
          <w:color w:val="000000" w:themeColor="text1"/>
          <w:kern w:val="0"/>
          <w:sz w:val="24"/>
          <w:lang w:val="en-US" w:eastAsia="zh-CN"/>
        </w:rPr>
        <w:t>8</w:t>
      </w:r>
      <w:r>
        <w:rPr>
          <w:rFonts w:hint="eastAsia" w:cs="宋体" w:asciiTheme="majorEastAsia" w:hAnsiTheme="majorEastAsia" w:eastAsiaTheme="majorEastAsia"/>
          <w:b/>
          <w:color w:val="000000" w:themeColor="text1"/>
          <w:kern w:val="0"/>
          <w:sz w:val="24"/>
        </w:rPr>
        <w:t>月</w:t>
      </w:r>
      <w:r>
        <w:rPr>
          <w:rFonts w:hint="eastAsia" w:cs="宋体" w:asciiTheme="majorEastAsia" w:hAnsiTheme="majorEastAsia" w:eastAsiaTheme="majorEastAsia"/>
          <w:b/>
          <w:color w:val="000000" w:themeColor="text1"/>
          <w:kern w:val="0"/>
          <w:sz w:val="24"/>
          <w:lang w:val="en-US" w:eastAsia="zh-CN"/>
        </w:rPr>
        <w:t>30</w:t>
      </w:r>
      <w:r>
        <w:rPr>
          <w:rFonts w:hint="eastAsia" w:cs="宋体" w:asciiTheme="majorEastAsia" w:hAnsiTheme="majorEastAsia" w:eastAsiaTheme="majorEastAsia"/>
          <w:b/>
          <w:color w:val="000000" w:themeColor="text1"/>
          <w:kern w:val="0"/>
          <w:sz w:val="24"/>
        </w:rPr>
        <w:t>日，每天上午00:00至12:00，下午12:00至23:59（北京时间，法定节假日除外）</w:t>
      </w:r>
    </w:p>
    <w:p>
      <w:pPr>
        <w:spacing w:line="380" w:lineRule="exact"/>
        <w:ind w:firstLine="420" w:firstLineChars="175"/>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地点：在新疆政府采购网（http://www.ccgp-xinjiang.gov.cn/）自行下载招标文件;</w:t>
      </w:r>
    </w:p>
    <w:p>
      <w:pPr>
        <w:spacing w:line="380" w:lineRule="exact"/>
        <w:ind w:firstLine="420" w:firstLineChars="175"/>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方式：</w:t>
      </w:r>
      <w:r>
        <w:rPr>
          <w:rFonts w:hint="eastAsia" w:asciiTheme="majorEastAsia" w:hAnsiTheme="majorEastAsia" w:eastAsiaTheme="majorEastAsia"/>
          <w:color w:val="000000" w:themeColor="text1"/>
          <w:sz w:val="24"/>
        </w:rPr>
        <w:t>在符合该公告报名条件的前提下，可在该公告附件中自行下载文件并参与投标，不再需要报名，在开标时带原件进行资格审查。</w:t>
      </w:r>
    </w:p>
    <w:p>
      <w:pPr>
        <w:pStyle w:val="49"/>
        <w:spacing w:line="380" w:lineRule="exact"/>
        <w:ind w:firstLine="480" w:firstLineChars="200"/>
        <w:rPr>
          <w:rFonts w:cs="宋体" w:asciiTheme="majorEastAsia" w:hAnsiTheme="majorEastAsia" w:eastAsiaTheme="majorEastAsia"/>
          <w:color w:val="000000" w:themeColor="text1"/>
          <w:kern w:val="0"/>
          <w:sz w:val="24"/>
          <w:szCs w:val="24"/>
        </w:rPr>
      </w:pPr>
      <w:r>
        <w:rPr>
          <w:rFonts w:hint="eastAsia" w:cs="宋体" w:asciiTheme="majorEastAsia" w:hAnsiTheme="majorEastAsia" w:eastAsiaTheme="majorEastAsia"/>
          <w:color w:val="000000" w:themeColor="text1"/>
          <w:kern w:val="0"/>
          <w:sz w:val="24"/>
          <w:szCs w:val="24"/>
        </w:rPr>
        <w:t>售价（元）：</w:t>
      </w:r>
      <w:r>
        <w:rPr>
          <w:rFonts w:hint="eastAsia" w:cs="宋体" w:asciiTheme="majorEastAsia" w:hAnsiTheme="majorEastAsia" w:eastAsiaTheme="majorEastAsia"/>
          <w:color w:val="000000" w:themeColor="text1"/>
          <w:kern w:val="0"/>
          <w:sz w:val="24"/>
          <w:szCs w:val="24"/>
          <w:lang w:val="en-US" w:eastAsia="zh-CN"/>
        </w:rPr>
        <w:t>0</w:t>
      </w:r>
      <w:r>
        <w:rPr>
          <w:rFonts w:hint="eastAsia" w:cs="宋体" w:asciiTheme="majorEastAsia" w:hAnsiTheme="majorEastAsia" w:eastAsiaTheme="majorEastAsia"/>
          <w:color w:val="000000" w:themeColor="text1"/>
          <w:kern w:val="0"/>
          <w:sz w:val="24"/>
          <w:szCs w:val="24"/>
        </w:rPr>
        <w:t>。(开标现场收取)</w:t>
      </w:r>
    </w:p>
    <w:p>
      <w:pPr>
        <w:pStyle w:val="36"/>
        <w:spacing w:beforeAutospacing="0" w:afterAutospacing="0" w:line="380" w:lineRule="exact"/>
        <w:jc w:val="both"/>
        <w:rPr>
          <w:rFonts w:asciiTheme="majorEastAsia" w:hAnsiTheme="majorEastAsia" w:eastAsiaTheme="majorEastAsia"/>
          <w:color w:val="000000" w:themeColor="text1"/>
        </w:rPr>
      </w:pPr>
      <w:r>
        <w:rPr>
          <w:rStyle w:val="43"/>
          <w:rFonts w:hint="eastAsia" w:asciiTheme="majorEastAsia" w:hAnsiTheme="majorEastAsia" w:eastAsiaTheme="majorEastAsia"/>
          <w:color w:val="000000" w:themeColor="text1"/>
        </w:rPr>
        <w:t>四、提交投标文件截止时间、开标时间和地点</w:t>
      </w:r>
    </w:p>
    <w:p>
      <w:pPr>
        <w:spacing w:line="380" w:lineRule="exact"/>
        <w:ind w:left="420" w:leftChars="200"/>
        <w:jc w:val="left"/>
        <w:rPr>
          <w:rFonts w:cs="宋体" w:asciiTheme="majorEastAsia" w:hAnsiTheme="majorEastAsia" w:eastAsiaTheme="majorEastAsia"/>
          <w:b/>
          <w:color w:val="000000" w:themeColor="text1"/>
          <w:kern w:val="0"/>
          <w:sz w:val="24"/>
        </w:rPr>
      </w:pPr>
      <w:r>
        <w:rPr>
          <w:rFonts w:hint="eastAsia" w:cs="宋体" w:asciiTheme="majorEastAsia" w:hAnsiTheme="majorEastAsia" w:eastAsiaTheme="majorEastAsia"/>
          <w:b/>
          <w:color w:val="000000" w:themeColor="text1"/>
          <w:kern w:val="0"/>
          <w:sz w:val="24"/>
        </w:rPr>
        <w:t>提交投标文件截止时间：202</w:t>
      </w:r>
      <w:r>
        <w:rPr>
          <w:rFonts w:hint="eastAsia" w:cs="宋体" w:asciiTheme="majorEastAsia" w:hAnsiTheme="majorEastAsia" w:eastAsiaTheme="majorEastAsia"/>
          <w:b/>
          <w:color w:val="000000" w:themeColor="text1"/>
          <w:kern w:val="0"/>
          <w:sz w:val="24"/>
          <w:lang w:val="en-US" w:eastAsia="zh-CN"/>
        </w:rPr>
        <w:t>2</w:t>
      </w:r>
      <w:r>
        <w:rPr>
          <w:rFonts w:hint="eastAsia" w:cs="宋体" w:asciiTheme="majorEastAsia" w:hAnsiTheme="majorEastAsia" w:eastAsiaTheme="majorEastAsia"/>
          <w:b/>
          <w:color w:val="000000" w:themeColor="text1"/>
          <w:kern w:val="0"/>
          <w:sz w:val="24"/>
        </w:rPr>
        <w:t>年</w:t>
      </w:r>
      <w:r>
        <w:rPr>
          <w:rFonts w:hint="eastAsia" w:cs="宋体" w:asciiTheme="majorEastAsia" w:hAnsiTheme="majorEastAsia" w:eastAsiaTheme="majorEastAsia"/>
          <w:b/>
          <w:color w:val="000000" w:themeColor="text1"/>
          <w:kern w:val="0"/>
          <w:sz w:val="24"/>
          <w:lang w:val="en-US" w:eastAsia="zh-CN"/>
        </w:rPr>
        <w:t>8</w:t>
      </w:r>
      <w:r>
        <w:rPr>
          <w:rFonts w:hint="eastAsia" w:cs="宋体" w:asciiTheme="majorEastAsia" w:hAnsiTheme="majorEastAsia" w:eastAsiaTheme="majorEastAsia"/>
          <w:b/>
          <w:color w:val="000000" w:themeColor="text1"/>
          <w:kern w:val="0"/>
          <w:sz w:val="24"/>
        </w:rPr>
        <w:t>月</w:t>
      </w:r>
      <w:r>
        <w:rPr>
          <w:rFonts w:hint="eastAsia" w:cs="宋体" w:asciiTheme="majorEastAsia" w:hAnsiTheme="majorEastAsia" w:eastAsiaTheme="majorEastAsia"/>
          <w:b/>
          <w:color w:val="000000" w:themeColor="text1"/>
          <w:kern w:val="0"/>
          <w:sz w:val="24"/>
          <w:lang w:val="en-US" w:eastAsia="zh-CN"/>
        </w:rPr>
        <w:t>31</w:t>
      </w:r>
      <w:r>
        <w:rPr>
          <w:rFonts w:hint="eastAsia" w:cs="宋体" w:asciiTheme="majorEastAsia" w:hAnsiTheme="majorEastAsia" w:eastAsiaTheme="majorEastAsia"/>
          <w:b/>
          <w:color w:val="000000" w:themeColor="text1"/>
          <w:kern w:val="0"/>
          <w:sz w:val="24"/>
        </w:rPr>
        <w:t>日11:00（北京时间）</w:t>
      </w:r>
    </w:p>
    <w:p>
      <w:pPr>
        <w:spacing w:line="380" w:lineRule="exact"/>
        <w:ind w:left="420" w:leftChars="200"/>
        <w:jc w:val="left"/>
        <w:rPr>
          <w:rFonts w:cs="宋体" w:asciiTheme="majorEastAsia" w:hAnsiTheme="majorEastAsia" w:eastAsiaTheme="majorEastAsia"/>
          <w:b/>
          <w:color w:val="000000" w:themeColor="text1"/>
          <w:kern w:val="0"/>
          <w:sz w:val="24"/>
        </w:rPr>
      </w:pPr>
      <w:r>
        <w:rPr>
          <w:rFonts w:hint="eastAsia" w:cs="宋体" w:asciiTheme="majorEastAsia" w:hAnsiTheme="majorEastAsia" w:eastAsiaTheme="majorEastAsia"/>
          <w:b/>
          <w:color w:val="000000" w:themeColor="text1"/>
          <w:kern w:val="0"/>
          <w:sz w:val="24"/>
        </w:rPr>
        <w:t>投标地点：墨玉县公共资源交易平台中心（墨玉县玉华社区院内）</w:t>
      </w:r>
    </w:p>
    <w:p>
      <w:pPr>
        <w:spacing w:line="380" w:lineRule="exact"/>
        <w:ind w:left="420" w:leftChars="200"/>
        <w:jc w:val="left"/>
        <w:rPr>
          <w:rFonts w:cs="宋体" w:asciiTheme="majorEastAsia" w:hAnsiTheme="majorEastAsia" w:eastAsiaTheme="majorEastAsia"/>
          <w:b/>
          <w:color w:val="000000" w:themeColor="text1"/>
          <w:kern w:val="0"/>
          <w:sz w:val="24"/>
        </w:rPr>
      </w:pPr>
      <w:r>
        <w:rPr>
          <w:rFonts w:hint="eastAsia" w:cs="宋体" w:asciiTheme="majorEastAsia" w:hAnsiTheme="majorEastAsia" w:eastAsiaTheme="majorEastAsia"/>
          <w:b/>
          <w:color w:val="000000" w:themeColor="text1"/>
          <w:kern w:val="0"/>
          <w:sz w:val="24"/>
        </w:rPr>
        <w:t>开标时间：202</w:t>
      </w:r>
      <w:r>
        <w:rPr>
          <w:rFonts w:hint="eastAsia" w:cs="宋体" w:asciiTheme="majorEastAsia" w:hAnsiTheme="majorEastAsia" w:eastAsiaTheme="majorEastAsia"/>
          <w:b/>
          <w:color w:val="000000" w:themeColor="text1"/>
          <w:kern w:val="0"/>
          <w:sz w:val="24"/>
          <w:lang w:val="en-US" w:eastAsia="zh-CN"/>
        </w:rPr>
        <w:t>2</w:t>
      </w:r>
      <w:r>
        <w:rPr>
          <w:rFonts w:hint="eastAsia" w:cs="宋体" w:asciiTheme="majorEastAsia" w:hAnsiTheme="majorEastAsia" w:eastAsiaTheme="majorEastAsia"/>
          <w:b/>
          <w:color w:val="000000" w:themeColor="text1"/>
          <w:kern w:val="0"/>
          <w:sz w:val="24"/>
        </w:rPr>
        <w:t xml:space="preserve">年 </w:t>
      </w:r>
      <w:r>
        <w:rPr>
          <w:rFonts w:hint="eastAsia" w:cs="宋体" w:asciiTheme="majorEastAsia" w:hAnsiTheme="majorEastAsia" w:eastAsiaTheme="majorEastAsia"/>
          <w:b/>
          <w:color w:val="000000" w:themeColor="text1"/>
          <w:kern w:val="0"/>
          <w:sz w:val="24"/>
          <w:lang w:val="en-US" w:eastAsia="zh-CN"/>
        </w:rPr>
        <w:t>8</w:t>
      </w:r>
      <w:r>
        <w:rPr>
          <w:rFonts w:hint="eastAsia" w:cs="宋体" w:asciiTheme="majorEastAsia" w:hAnsiTheme="majorEastAsia" w:eastAsiaTheme="majorEastAsia"/>
          <w:b/>
          <w:color w:val="000000" w:themeColor="text1"/>
          <w:kern w:val="0"/>
          <w:sz w:val="24"/>
        </w:rPr>
        <w:t>月</w:t>
      </w:r>
      <w:r>
        <w:rPr>
          <w:rFonts w:hint="eastAsia" w:cs="宋体" w:asciiTheme="majorEastAsia" w:hAnsiTheme="majorEastAsia" w:eastAsiaTheme="majorEastAsia"/>
          <w:b/>
          <w:color w:val="000000" w:themeColor="text1"/>
          <w:kern w:val="0"/>
          <w:sz w:val="24"/>
          <w:lang w:val="en-US" w:eastAsia="zh-CN"/>
        </w:rPr>
        <w:t>31</w:t>
      </w:r>
      <w:r>
        <w:rPr>
          <w:rFonts w:hint="eastAsia" w:cs="宋体" w:asciiTheme="majorEastAsia" w:hAnsiTheme="majorEastAsia" w:eastAsiaTheme="majorEastAsia"/>
          <w:b/>
          <w:color w:val="000000" w:themeColor="text1"/>
          <w:kern w:val="0"/>
          <w:sz w:val="24"/>
        </w:rPr>
        <w:t>日11:00（北京时间）</w:t>
      </w:r>
    </w:p>
    <w:p>
      <w:pPr>
        <w:pStyle w:val="36"/>
        <w:spacing w:beforeAutospacing="0" w:afterAutospacing="0" w:line="380" w:lineRule="exact"/>
        <w:ind w:left="416" w:leftChars="198" w:firstLine="4"/>
        <w:jc w:val="both"/>
        <w:rPr>
          <w:rFonts w:asciiTheme="majorEastAsia" w:hAnsiTheme="majorEastAsia" w:eastAsiaTheme="majorEastAsia"/>
          <w:b/>
          <w:color w:val="000000" w:themeColor="text1"/>
        </w:rPr>
      </w:pPr>
      <w:r>
        <w:rPr>
          <w:rFonts w:hint="eastAsia" w:asciiTheme="majorEastAsia" w:hAnsiTheme="majorEastAsia" w:eastAsiaTheme="majorEastAsia"/>
          <w:b/>
          <w:color w:val="000000" w:themeColor="text1"/>
        </w:rPr>
        <w:t>开标地点：墨玉县公共资源交易平台中心（墨玉县玉华社区院内）</w:t>
      </w:r>
    </w:p>
    <w:p>
      <w:pPr>
        <w:pStyle w:val="36"/>
        <w:spacing w:beforeAutospacing="0" w:afterAutospacing="0" w:line="380" w:lineRule="exact"/>
        <w:jc w:val="both"/>
        <w:rPr>
          <w:rFonts w:asciiTheme="majorEastAsia" w:hAnsiTheme="majorEastAsia" w:eastAsiaTheme="majorEastAsia"/>
          <w:color w:val="000000" w:themeColor="text1"/>
        </w:rPr>
      </w:pPr>
      <w:r>
        <w:rPr>
          <w:rStyle w:val="43"/>
          <w:rFonts w:hint="eastAsia" w:asciiTheme="majorEastAsia" w:hAnsiTheme="majorEastAsia" w:eastAsiaTheme="majorEastAsia"/>
          <w:color w:val="000000" w:themeColor="text1"/>
        </w:rPr>
        <w:t>五、公告期限</w:t>
      </w:r>
    </w:p>
    <w:p>
      <w:pPr>
        <w:pStyle w:val="36"/>
        <w:spacing w:beforeAutospacing="0" w:afterAutospacing="0" w:line="38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自本公告发布之日起5个工作日。</w:t>
      </w:r>
    </w:p>
    <w:p>
      <w:pPr>
        <w:pStyle w:val="36"/>
        <w:spacing w:beforeAutospacing="0" w:afterAutospacing="0" w:line="380" w:lineRule="exact"/>
        <w:jc w:val="both"/>
        <w:rPr>
          <w:rFonts w:asciiTheme="majorEastAsia" w:hAnsiTheme="majorEastAsia" w:eastAsiaTheme="majorEastAsia"/>
          <w:color w:val="000000" w:themeColor="text1"/>
        </w:rPr>
      </w:pPr>
      <w:r>
        <w:rPr>
          <w:rStyle w:val="43"/>
          <w:rFonts w:hint="eastAsia" w:asciiTheme="majorEastAsia" w:hAnsiTheme="majorEastAsia" w:eastAsiaTheme="majorEastAsia"/>
          <w:color w:val="000000" w:themeColor="text1"/>
        </w:rPr>
        <w:t>六、其他补充事宜</w:t>
      </w:r>
    </w:p>
    <w:p>
      <w:pPr>
        <w:pStyle w:val="36"/>
        <w:spacing w:beforeAutospacing="0" w:afterAutospacing="0" w:line="380" w:lineRule="exact"/>
        <w:ind w:firstLine="480" w:firstLineChars="200"/>
        <w:jc w:val="both"/>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36"/>
        <w:spacing w:beforeAutospacing="0" w:afterAutospacing="0" w:line="380" w:lineRule="exact"/>
        <w:jc w:val="both"/>
        <w:rPr>
          <w:rFonts w:asciiTheme="majorEastAsia" w:hAnsiTheme="majorEastAsia" w:eastAsiaTheme="majorEastAsia"/>
          <w:color w:val="000000" w:themeColor="text1"/>
        </w:rPr>
      </w:pPr>
      <w:r>
        <w:rPr>
          <w:rStyle w:val="43"/>
          <w:rFonts w:hint="eastAsia" w:asciiTheme="majorEastAsia" w:hAnsiTheme="majorEastAsia" w:eastAsiaTheme="majorEastAsia"/>
          <w:color w:val="000000" w:themeColor="text1"/>
        </w:rPr>
        <w:t>七、对本次采购提出询问，请按以下方式联系</w:t>
      </w:r>
    </w:p>
    <w:p>
      <w:pPr>
        <w:pStyle w:val="36"/>
        <w:spacing w:beforeAutospacing="0" w:afterAutospacing="0" w:line="38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1.采购人信息</w:t>
      </w:r>
    </w:p>
    <w:p>
      <w:pPr>
        <w:pStyle w:val="36"/>
        <w:spacing w:beforeAutospacing="0" w:afterAutospacing="0" w:line="380" w:lineRule="exact"/>
        <w:ind w:firstLine="420"/>
        <w:rPr>
          <w:rFonts w:hint="eastAsia" w:asciiTheme="majorEastAsia" w:hAnsiTheme="majorEastAsia" w:eastAsiaTheme="majorEastAsia"/>
          <w:color w:val="000000" w:themeColor="text1"/>
          <w:lang w:eastAsia="zh-CN"/>
        </w:rPr>
      </w:pPr>
      <w:r>
        <w:rPr>
          <w:rFonts w:hint="eastAsia" w:asciiTheme="majorEastAsia" w:hAnsiTheme="majorEastAsia" w:eastAsiaTheme="majorEastAsia"/>
          <w:color w:val="000000" w:themeColor="text1"/>
        </w:rPr>
        <w:t>名 称：墨玉县</w:t>
      </w:r>
      <w:r>
        <w:rPr>
          <w:rFonts w:hint="eastAsia" w:asciiTheme="majorEastAsia" w:hAnsiTheme="majorEastAsia" w:eastAsiaTheme="majorEastAsia"/>
          <w:color w:val="000000" w:themeColor="text1"/>
          <w:lang w:eastAsia="zh-CN"/>
        </w:rPr>
        <w:t>妇幼保健院</w:t>
      </w:r>
    </w:p>
    <w:p>
      <w:pPr>
        <w:pStyle w:val="36"/>
        <w:spacing w:beforeAutospacing="0" w:afterAutospacing="0" w:line="38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lang w:val="en-US" w:eastAsia="zh-CN"/>
        </w:rPr>
        <w:t xml:space="preserve">联系电话： 15209037187 </w:t>
      </w:r>
      <w:r>
        <w:rPr>
          <w:rFonts w:hint="eastAsia" w:asciiTheme="majorEastAsia" w:hAnsiTheme="majorEastAsia" w:eastAsiaTheme="majorEastAsia"/>
          <w:color w:val="000000" w:themeColor="text1"/>
          <w:kern w:val="2"/>
          <w:lang w:val="zh-CN"/>
        </w:rPr>
        <w:t> </w:t>
      </w:r>
    </w:p>
    <w:p>
      <w:pPr>
        <w:pStyle w:val="36"/>
        <w:spacing w:beforeAutospacing="0" w:afterAutospacing="0" w:line="38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2.采购代理机构信息</w:t>
      </w:r>
    </w:p>
    <w:p>
      <w:pPr>
        <w:pStyle w:val="36"/>
        <w:spacing w:beforeAutospacing="0" w:afterAutospacing="0" w:line="380" w:lineRule="exact"/>
        <w:ind w:firstLine="420"/>
        <w:rPr>
          <w:rFonts w:hint="eastAsia" w:asciiTheme="majorEastAsia" w:hAnsiTheme="majorEastAsia" w:eastAsiaTheme="majorEastAsia"/>
          <w:color w:val="000000" w:themeColor="text1"/>
          <w:lang w:eastAsia="zh-CN"/>
        </w:rPr>
      </w:pPr>
      <w:r>
        <w:rPr>
          <w:rFonts w:hint="eastAsia" w:asciiTheme="majorEastAsia" w:hAnsiTheme="majorEastAsia" w:eastAsiaTheme="majorEastAsia"/>
          <w:color w:val="000000" w:themeColor="text1"/>
        </w:rPr>
        <w:t>名 称：</w:t>
      </w:r>
      <w:r>
        <w:rPr>
          <w:rFonts w:hint="eastAsia" w:asciiTheme="majorEastAsia" w:hAnsiTheme="majorEastAsia" w:eastAsiaTheme="majorEastAsia"/>
          <w:color w:val="000000" w:themeColor="text1"/>
          <w:lang w:eastAsia="zh-CN"/>
        </w:rPr>
        <w:t>新疆如意树信息咨询有限公司 </w:t>
      </w:r>
    </w:p>
    <w:p>
      <w:pPr>
        <w:pStyle w:val="36"/>
        <w:spacing w:beforeAutospacing="0" w:afterAutospacing="0" w:line="380" w:lineRule="exact"/>
        <w:ind w:firstLine="420"/>
        <w:rPr>
          <w:rFonts w:hint="eastAsia" w:asciiTheme="majorEastAsia" w:hAnsiTheme="majorEastAsia" w:eastAsiaTheme="majorEastAsia"/>
          <w:color w:val="000000" w:themeColor="text1"/>
          <w:lang w:eastAsia="zh-CN"/>
        </w:rPr>
      </w:pPr>
      <w:r>
        <w:rPr>
          <w:rFonts w:hint="eastAsia" w:asciiTheme="majorEastAsia" w:hAnsiTheme="majorEastAsia" w:eastAsiaTheme="majorEastAsia"/>
          <w:color w:val="000000" w:themeColor="text1"/>
        </w:rPr>
        <w:t>地 址：和田市</w:t>
      </w:r>
      <w:r>
        <w:rPr>
          <w:rFonts w:hint="eastAsia" w:asciiTheme="majorEastAsia" w:hAnsiTheme="majorEastAsia" w:eastAsiaTheme="majorEastAsia"/>
          <w:color w:val="000000" w:themeColor="text1"/>
          <w:lang w:eastAsia="zh-CN"/>
        </w:rPr>
        <w:t>友谊路</w:t>
      </w:r>
    </w:p>
    <w:p>
      <w:pPr>
        <w:pStyle w:val="36"/>
        <w:spacing w:beforeAutospacing="0" w:afterAutospacing="0" w:line="380" w:lineRule="exact"/>
        <w:ind w:firstLine="420"/>
        <w:rPr>
          <w:rFonts w:hint="default" w:asciiTheme="majorEastAsia" w:hAnsiTheme="majorEastAsia" w:eastAsiaTheme="majorEastAsia"/>
          <w:color w:val="000000" w:themeColor="text1"/>
          <w:lang w:val="en-US" w:eastAsia="zh-CN"/>
        </w:rPr>
      </w:pPr>
      <w:r>
        <w:rPr>
          <w:rFonts w:hint="eastAsia" w:asciiTheme="majorEastAsia" w:hAnsiTheme="majorEastAsia" w:eastAsiaTheme="majorEastAsia"/>
          <w:color w:val="000000" w:themeColor="text1"/>
        </w:rPr>
        <w:t>联系方式：</w:t>
      </w:r>
      <w:r>
        <w:rPr>
          <w:rFonts w:hint="eastAsia" w:asciiTheme="majorEastAsia" w:hAnsiTheme="majorEastAsia" w:eastAsiaTheme="majorEastAsia"/>
          <w:color w:val="000000" w:themeColor="text1"/>
          <w:lang w:val="en-US" w:eastAsia="zh-CN"/>
        </w:rPr>
        <w:t>13079924303</w:t>
      </w:r>
    </w:p>
    <w:p>
      <w:pPr>
        <w:spacing w:line="380" w:lineRule="exact"/>
        <w:ind w:firstLine="480" w:firstLineChars="200"/>
        <w:rPr>
          <w:rFonts w:cs="宋体" w:asciiTheme="majorEastAsia" w:hAnsiTheme="majorEastAsia" w:eastAsiaTheme="majorEastAsia"/>
          <w:color w:val="000000" w:themeColor="text1"/>
          <w:kern w:val="0"/>
          <w:sz w:val="24"/>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202</w:t>
      </w:r>
      <w:r>
        <w:rPr>
          <w:rFonts w:hint="eastAsia" w:cs="仿宋" w:asciiTheme="majorEastAsia" w:hAnsiTheme="majorEastAsia" w:eastAsiaTheme="majorEastAsia"/>
          <w:color w:val="000000" w:themeColor="text1"/>
          <w:lang w:val="en-US" w:eastAsia="zh-CN"/>
        </w:rPr>
        <w:t>2</w:t>
      </w:r>
      <w:r>
        <w:rPr>
          <w:rFonts w:hint="eastAsia" w:cs="仿宋" w:asciiTheme="majorEastAsia" w:hAnsiTheme="majorEastAsia" w:eastAsiaTheme="majorEastAsia"/>
          <w:color w:val="000000" w:themeColor="text1"/>
        </w:rPr>
        <w:t>年</w:t>
      </w:r>
      <w:r>
        <w:rPr>
          <w:rFonts w:hint="eastAsia" w:cs="仿宋" w:asciiTheme="majorEastAsia" w:hAnsiTheme="majorEastAsia" w:eastAsiaTheme="majorEastAsia"/>
          <w:color w:val="000000" w:themeColor="text1"/>
          <w:lang w:val="en-US" w:eastAsia="zh-CN"/>
        </w:rPr>
        <w:t>7</w:t>
      </w:r>
      <w:r>
        <w:rPr>
          <w:rFonts w:hint="eastAsia" w:cs="仿宋" w:asciiTheme="majorEastAsia" w:hAnsiTheme="majorEastAsia" w:eastAsiaTheme="majorEastAsia"/>
          <w:color w:val="000000" w:themeColor="text1"/>
        </w:rPr>
        <w:t>月</w:t>
      </w:r>
      <w:r>
        <w:rPr>
          <w:rFonts w:hint="eastAsia" w:cs="仿宋" w:asciiTheme="majorEastAsia" w:hAnsiTheme="majorEastAsia" w:eastAsiaTheme="majorEastAsia"/>
          <w:color w:val="000000" w:themeColor="text1"/>
          <w:lang w:val="en-US" w:eastAsia="zh-CN"/>
        </w:rPr>
        <w:t>26</w:t>
      </w:r>
      <w:r>
        <w:rPr>
          <w:rFonts w:hint="eastAsia" w:cs="仿宋" w:asciiTheme="majorEastAsia" w:hAnsiTheme="majorEastAsia" w:eastAsiaTheme="majorEastAsia"/>
          <w:color w:val="000000" w:themeColor="text1"/>
        </w:rPr>
        <w:t>日</w:t>
      </w: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right"/>
        <w:rPr>
          <w:rFonts w:cs="仿宋" w:asciiTheme="majorEastAsia" w:hAnsiTheme="majorEastAsia" w:eastAsiaTheme="majorEastAsia"/>
          <w:color w:val="000000" w:themeColor="text1"/>
        </w:rPr>
      </w:pPr>
    </w:p>
    <w:p>
      <w:pPr>
        <w:pStyle w:val="36"/>
        <w:spacing w:before="0" w:beforeAutospacing="0" w:after="0" w:afterAutospacing="0" w:line="420" w:lineRule="exact"/>
        <w:jc w:val="both"/>
        <w:rPr>
          <w:rFonts w:cs="仿宋" w:asciiTheme="majorEastAsia" w:hAnsiTheme="majorEastAsia" w:eastAsiaTheme="majorEastAsia"/>
          <w:color w:val="000000" w:themeColor="text1"/>
        </w:rPr>
      </w:pPr>
    </w:p>
    <w:p>
      <w:pPr>
        <w:pStyle w:val="4"/>
        <w:numPr>
          <w:ilvl w:val="0"/>
          <w:numId w:val="2"/>
        </w:numPr>
        <w:jc w:val="center"/>
        <w:rPr>
          <w:rFonts w:cs="Arial" w:asciiTheme="majorEastAsia" w:hAnsiTheme="majorEastAsia" w:eastAsiaTheme="majorEastAsia"/>
          <w:b w:val="0"/>
          <w:color w:val="000000" w:themeColor="text1"/>
          <w:sz w:val="36"/>
          <w:szCs w:val="36"/>
        </w:rPr>
      </w:pPr>
      <w:bookmarkStart w:id="1" w:name="_Toc30006"/>
      <w:bookmarkStart w:id="2" w:name="_Toc25203"/>
      <w:r>
        <w:rPr>
          <w:rFonts w:cs="Arial" w:asciiTheme="majorEastAsia" w:hAnsiTheme="majorEastAsia" w:eastAsiaTheme="majorEastAsia"/>
          <w:b w:val="0"/>
          <w:color w:val="000000" w:themeColor="text1"/>
          <w:sz w:val="36"/>
          <w:szCs w:val="36"/>
        </w:rPr>
        <w:t>投标人须知</w:t>
      </w:r>
      <w:bookmarkEnd w:id="1"/>
      <w:bookmarkEnd w:id="2"/>
    </w:p>
    <w:p>
      <w:pPr>
        <w:pStyle w:val="4"/>
        <w:jc w:val="center"/>
        <w:rPr>
          <w:rFonts w:cs="Arial" w:asciiTheme="majorEastAsia" w:hAnsiTheme="majorEastAsia" w:eastAsiaTheme="majorEastAsia"/>
          <w:b w:val="0"/>
          <w:color w:val="000000" w:themeColor="text1"/>
          <w:sz w:val="28"/>
          <w:szCs w:val="28"/>
        </w:rPr>
      </w:pPr>
      <w:r>
        <w:rPr>
          <w:rFonts w:hint="eastAsia" w:cs="仿宋" w:asciiTheme="majorEastAsia" w:hAnsiTheme="majorEastAsia" w:eastAsiaTheme="majorEastAsia"/>
          <w:b w:val="0"/>
          <w:color w:val="000000" w:themeColor="text1"/>
          <w:sz w:val="28"/>
          <w:szCs w:val="28"/>
        </w:rPr>
        <w:t>投标人须知前附表</w:t>
      </w:r>
    </w:p>
    <w:tbl>
      <w:tblPr>
        <w:tblStyle w:val="40"/>
        <w:tblpPr w:leftFromText="180" w:rightFromText="180" w:vertAnchor="text" w:horzAnchor="margin" w:tblpY="636"/>
        <w:tblOverlap w:val="never"/>
        <w:tblW w:w="93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939"/>
        <w:gridCol w:w="1765"/>
        <w:gridCol w:w="5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866" w:type="dxa"/>
            <w:tcBorders>
              <w:top w:val="single" w:color="auto" w:sz="4" w:space="0"/>
              <w:left w:val="single" w:color="auto" w:sz="4" w:space="0"/>
              <w:bottom w:val="single" w:color="auto" w:sz="4" w:space="0"/>
              <w:right w:val="single" w:color="auto" w:sz="4" w:space="0"/>
            </w:tcBorders>
            <w:vAlign w:val="center"/>
          </w:tcPr>
          <w:p>
            <w:pPr>
              <w:ind w:right="-358"/>
              <w:rPr>
                <w:rFonts w:cs="仿宋" w:asciiTheme="majorEastAsia" w:hAnsiTheme="majorEastAsia" w:eastAsiaTheme="majorEastAsia"/>
                <w:color w:val="000000" w:themeColor="text1"/>
                <w:szCs w:val="21"/>
              </w:rPr>
            </w:pPr>
            <w:bookmarkStart w:id="3" w:name="_Toc15098"/>
            <w:bookmarkStart w:id="4" w:name="_Toc18884"/>
            <w:bookmarkStart w:id="5" w:name="_Toc440183407"/>
            <w:r>
              <w:rPr>
                <w:rFonts w:hint="eastAsia" w:cs="仿宋" w:asciiTheme="majorEastAsia" w:hAnsiTheme="majorEastAsia" w:eastAsiaTheme="majorEastAsia"/>
                <w:color w:val="000000" w:themeColor="text1"/>
                <w:szCs w:val="21"/>
              </w:rPr>
              <w:t>项号</w:t>
            </w:r>
          </w:p>
        </w:tc>
        <w:tc>
          <w:tcPr>
            <w:tcW w:w="939"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条款号</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内    容</w:t>
            </w:r>
          </w:p>
        </w:tc>
        <w:tc>
          <w:tcPr>
            <w:tcW w:w="5813"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项目名称</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hint="eastAsia" w:cs="仿宋" w:asciiTheme="majorEastAsia" w:hAnsiTheme="majorEastAsia" w:eastAsiaTheme="majorEastAsia"/>
                <w:color w:val="000000" w:themeColor="text1"/>
                <w:szCs w:val="21"/>
                <w:lang w:eastAsia="zh-CN"/>
              </w:rPr>
            </w:pPr>
            <w:r>
              <w:rPr>
                <w:rFonts w:hint="eastAsia" w:cs="仿宋" w:asciiTheme="majorEastAsia" w:hAnsiTheme="majorEastAsia" w:eastAsiaTheme="majorEastAsia"/>
                <w:color w:val="000000" w:themeColor="text1"/>
                <w:szCs w:val="21"/>
                <w:lang w:eastAsia="zh-CN"/>
              </w:rPr>
              <w:t xml:space="preserve">墨玉县妇幼保健院采购临床路径、检验条码系统等信息化项目（包二）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交货地点</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业主指定地点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资金来源及总投资额</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资金来源：墨玉县财政资金</w:t>
            </w:r>
          </w:p>
          <w:p>
            <w:pPr>
              <w:jc w:val="left"/>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总投资额：</w:t>
            </w:r>
            <w:r>
              <w:rPr>
                <w:rFonts w:hint="eastAsia" w:cs="仿宋" w:asciiTheme="majorEastAsia" w:hAnsiTheme="majorEastAsia" w:eastAsiaTheme="majorEastAsia"/>
                <w:color w:val="000000" w:themeColor="text1"/>
                <w:szCs w:val="21"/>
                <w:highlight w:val="none"/>
                <w:lang w:val="en-US" w:eastAsia="zh-CN"/>
              </w:rPr>
              <w:t>74</w:t>
            </w:r>
            <w:r>
              <w:rPr>
                <w:rFonts w:hint="eastAsia" w:cs="仿宋" w:asciiTheme="majorEastAsia" w:hAnsiTheme="majorEastAsia" w:eastAsiaTheme="majorEastAsia"/>
                <w:color w:val="000000" w:themeColor="text1"/>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rPr>
            </w:pPr>
            <w:r>
              <w:rPr>
                <w:rFonts w:hint="eastAsia" w:cs="仿宋" w:asciiTheme="majorEastAsia" w:hAnsiTheme="majorEastAsia" w:eastAsiaTheme="majorEastAsia"/>
                <w:bCs/>
                <w:color w:val="000000" w:themeColor="text1"/>
                <w:kern w:val="0"/>
                <w:szCs w:val="21"/>
              </w:rPr>
              <w:t>4</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Cs/>
                <w:color w:val="000000" w:themeColor="text1"/>
                <w:szCs w:val="21"/>
              </w:rPr>
            </w:pPr>
            <w:r>
              <w:rPr>
                <w:rFonts w:hint="eastAsia" w:cs="仿宋" w:asciiTheme="majorEastAsia" w:hAnsiTheme="majorEastAsia" w:eastAsiaTheme="majorEastAsia"/>
                <w:color w:val="000000" w:themeColor="text1"/>
                <w:szCs w:val="21"/>
              </w:rPr>
              <w:t>采购内容</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bCs/>
                <w:color w:val="000000" w:themeColor="text1"/>
                <w:szCs w:val="21"/>
              </w:rPr>
            </w:pPr>
            <w:r>
              <w:rPr>
                <w:rFonts w:hint="eastAsia" w:asciiTheme="majorEastAsia" w:hAnsiTheme="majorEastAsia" w:eastAsiaTheme="majorEastAsia"/>
                <w:bCs/>
                <w:color w:val="000000" w:themeColor="text1"/>
                <w:szCs w:val="21"/>
                <w:lang w:eastAsia="zh-CN"/>
              </w:rPr>
              <w:t xml:space="preserve">墨玉县妇幼保健院采购临床路径、检验条码系统等信息化项目（包二） </w:t>
            </w:r>
            <w:r>
              <w:rPr>
                <w:rFonts w:hint="eastAsia" w:asciiTheme="majorEastAsia" w:hAnsiTheme="majorEastAsia" w:eastAsiaTheme="majorEastAsia"/>
                <w:bCs/>
                <w:color w:val="000000" w:themeColor="text1"/>
                <w:szCs w:val="21"/>
              </w:rPr>
              <w:t>所需设备</w:t>
            </w:r>
            <w:r>
              <w:rPr>
                <w:rFonts w:hint="eastAsia" w:asciiTheme="majorEastAsia" w:hAnsiTheme="majorEastAsia" w:eastAsiaTheme="majorEastAsia"/>
                <w:bCs/>
                <w:color w:val="000000" w:themeColor="text1"/>
                <w:szCs w:val="21"/>
                <w:lang w:eastAsia="zh-CN"/>
              </w:rPr>
              <w:t>的</w:t>
            </w:r>
            <w:r>
              <w:rPr>
                <w:rFonts w:hint="eastAsia" w:asciiTheme="majorEastAsia" w:hAnsiTheme="majorEastAsia" w:eastAsiaTheme="majorEastAsia"/>
                <w:bCs/>
                <w:color w:val="000000" w:themeColor="text1"/>
                <w:szCs w:val="21"/>
              </w:rPr>
              <w:t>采购或</w:t>
            </w:r>
            <w:r>
              <w:rPr>
                <w:rFonts w:asciiTheme="majorEastAsia" w:hAnsiTheme="majorEastAsia" w:eastAsiaTheme="majorEastAsia"/>
                <w:bCs/>
                <w:color w:val="000000" w:themeColor="text1"/>
                <w:szCs w:val="21"/>
              </w:rPr>
              <w:t>制造、交运、安装、调试、试运行、验收合格、移交前维护、交付使用以及技术支持和售后服务</w:t>
            </w:r>
            <w:r>
              <w:rPr>
                <w:rFonts w:hint="eastAsia" w:asciiTheme="majorEastAsia" w:hAnsiTheme="majorEastAsia" w:eastAsiaTheme="majorEastAsia"/>
                <w:bCs/>
                <w:color w:val="000000" w:themeColor="text1"/>
                <w:szCs w:val="21"/>
              </w:rPr>
              <w:t>（具体参数详见本招标文件第三章参数表）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5</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highlight w:val="none"/>
              </w:rPr>
            </w:pPr>
            <w:r>
              <w:rPr>
                <w:rFonts w:hint="eastAsia" w:cs="仿宋" w:asciiTheme="majorEastAsia" w:hAnsiTheme="majorEastAsia" w:eastAsiaTheme="majorEastAsia"/>
                <w:bCs/>
                <w:color w:val="000000" w:themeColor="text1"/>
                <w:kern w:val="0"/>
                <w:szCs w:val="21"/>
                <w:highlight w:val="none"/>
              </w:rPr>
              <w:t>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服务期限及地点</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交货时间：</w:t>
            </w:r>
            <w:r>
              <w:rPr>
                <w:rFonts w:hint="eastAsia" w:cs="仿宋" w:asciiTheme="majorEastAsia" w:hAnsiTheme="majorEastAsia" w:eastAsiaTheme="majorEastAsia"/>
                <w:color w:val="000000" w:themeColor="text1"/>
                <w:highlight w:val="none"/>
                <w:lang w:val="en-US" w:eastAsia="zh-CN"/>
              </w:rPr>
              <w:t>本项目服务期</w:t>
            </w:r>
            <w:r>
              <w:rPr>
                <w:rFonts w:hint="eastAsia" w:cs="仿宋" w:asciiTheme="majorEastAsia" w:hAnsiTheme="majorEastAsia" w:eastAsiaTheme="majorEastAsia"/>
                <w:color w:val="000000" w:themeColor="text1"/>
                <w:highlight w:val="none"/>
              </w:rPr>
              <w:t>为合同签订后</w:t>
            </w:r>
            <w:r>
              <w:rPr>
                <w:rFonts w:hint="eastAsia" w:cs="仿宋" w:asciiTheme="majorEastAsia" w:hAnsiTheme="majorEastAsia" w:eastAsiaTheme="majorEastAsia"/>
                <w:b/>
                <w:bCs/>
                <w:color w:val="000000" w:themeColor="text1"/>
                <w:highlight w:val="none"/>
                <w:lang w:val="en-US" w:eastAsia="zh-CN"/>
              </w:rPr>
              <w:t>30天内</w:t>
            </w:r>
            <w:r>
              <w:rPr>
                <w:rFonts w:hint="eastAsia" w:cs="仿宋" w:asciiTheme="majorEastAsia" w:hAnsiTheme="majorEastAsia" w:eastAsiaTheme="majorEastAsia"/>
                <w:color w:val="000000" w:themeColor="text1"/>
                <w:highlight w:val="none"/>
              </w:rPr>
              <w:t>内完成安装、调试、验收并交付使用</w:t>
            </w:r>
          </w:p>
          <w:p>
            <w:pPr>
              <w:jc w:val="left"/>
              <w:rPr>
                <w:rFonts w:cs="仿宋" w:asciiTheme="majorEastAsia" w:hAnsiTheme="majorEastAsia" w:eastAsiaTheme="majorEastAsia"/>
                <w:color w:val="000000" w:themeColor="text1"/>
                <w:szCs w:val="21"/>
                <w:highlight w:val="none"/>
              </w:rPr>
            </w:pPr>
            <w:r>
              <w:rPr>
                <w:rFonts w:hint="eastAsia" w:cs="仿宋" w:asciiTheme="majorEastAsia" w:hAnsiTheme="majorEastAsia" w:eastAsiaTheme="majorEastAsia"/>
                <w:color w:val="000000" w:themeColor="text1"/>
                <w:szCs w:val="21"/>
                <w:highlight w:val="none"/>
              </w:rPr>
              <w:t>交货地点：业主指定地点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6</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招标范围</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ajorEastAsia" w:hAnsiTheme="majorEastAsia" w:eastAsiaTheme="majorEastAsia"/>
                <w:color w:val="000000" w:themeColor="text1"/>
                <w:szCs w:val="21"/>
              </w:rPr>
            </w:pPr>
            <w:r>
              <w:rPr>
                <w:rFonts w:hint="eastAsia" w:asciiTheme="majorEastAsia" w:hAnsiTheme="majorEastAsia" w:eastAsiaTheme="majorEastAsia"/>
                <w:bCs/>
                <w:color w:val="000000" w:themeColor="text1"/>
                <w:szCs w:val="21"/>
              </w:rPr>
              <w:t>设备</w:t>
            </w:r>
            <w:r>
              <w:rPr>
                <w:rFonts w:hint="eastAsia" w:asciiTheme="majorEastAsia" w:hAnsiTheme="majorEastAsia" w:eastAsiaTheme="majorEastAsia"/>
                <w:bCs/>
                <w:color w:val="000000" w:themeColor="text1"/>
                <w:szCs w:val="21"/>
                <w:lang w:eastAsia="zh-CN"/>
              </w:rPr>
              <w:t>的</w:t>
            </w:r>
            <w:r>
              <w:rPr>
                <w:rFonts w:hint="eastAsia" w:asciiTheme="majorEastAsia" w:hAnsiTheme="majorEastAsia" w:eastAsiaTheme="majorEastAsia"/>
                <w:bCs/>
                <w:color w:val="000000" w:themeColor="text1"/>
                <w:szCs w:val="21"/>
              </w:rPr>
              <w:t>采购或制造、交运、安装、调试、试运行、验收合格、移交前维护、交付使用以及技术支持和售后服务。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7</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1.2</w:t>
            </w:r>
          </w:p>
        </w:tc>
        <w:tc>
          <w:tcPr>
            <w:tcW w:w="1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质量要求</w:t>
            </w:r>
          </w:p>
        </w:tc>
        <w:tc>
          <w:tcPr>
            <w:tcW w:w="58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合格，必须达到国家和行业规定标准及招标文件中规定的标准。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8</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1.3</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联系方式</w:t>
            </w:r>
          </w:p>
        </w:tc>
        <w:tc>
          <w:tcPr>
            <w:tcW w:w="5813" w:type="dxa"/>
            <w:tcBorders>
              <w:top w:val="single" w:color="auto" w:sz="4" w:space="0"/>
              <w:left w:val="single" w:color="auto" w:sz="4" w:space="0"/>
              <w:bottom w:val="single" w:color="auto" w:sz="4" w:space="0"/>
              <w:right w:val="single" w:color="auto" w:sz="4" w:space="0"/>
            </w:tcBorders>
            <w:vAlign w:val="center"/>
          </w:tcPr>
          <w:p>
            <w:pPr>
              <w:rPr>
                <w:rFonts w:hint="eastAsia" w:cs="仿宋" w:asciiTheme="majorEastAsia" w:hAnsiTheme="majorEastAsia" w:eastAsiaTheme="majorEastAsia"/>
                <w:bCs/>
                <w:color w:val="000000" w:themeColor="text1"/>
                <w:kern w:val="0"/>
                <w:szCs w:val="21"/>
                <w:lang w:eastAsia="zh-CN"/>
              </w:rPr>
            </w:pPr>
            <w:r>
              <w:rPr>
                <w:rFonts w:hint="eastAsia" w:cs="仿宋" w:asciiTheme="majorEastAsia" w:hAnsiTheme="majorEastAsia" w:eastAsiaTheme="majorEastAsia"/>
                <w:bCs/>
                <w:color w:val="000000" w:themeColor="text1"/>
                <w:kern w:val="0"/>
                <w:szCs w:val="21"/>
              </w:rPr>
              <w:t>招标人名称：墨玉县</w:t>
            </w:r>
            <w:r>
              <w:rPr>
                <w:rFonts w:hint="eastAsia" w:cs="仿宋" w:asciiTheme="majorEastAsia" w:hAnsiTheme="majorEastAsia" w:eastAsiaTheme="majorEastAsia"/>
                <w:bCs/>
                <w:color w:val="000000" w:themeColor="text1"/>
                <w:kern w:val="0"/>
                <w:szCs w:val="21"/>
                <w:lang w:eastAsia="zh-CN"/>
              </w:rPr>
              <w:t>妇幼保健院</w:t>
            </w:r>
          </w:p>
          <w:p>
            <w:pPr>
              <w:rPr>
                <w:rFonts w:hint="eastAsia" w:cs="仿宋" w:asciiTheme="majorEastAsia" w:hAnsiTheme="majorEastAsia" w:eastAsiaTheme="majorEastAsia"/>
                <w:bCs/>
                <w:color w:val="000000" w:themeColor="text1"/>
                <w:kern w:val="0"/>
                <w:szCs w:val="21"/>
                <w:lang w:eastAsia="zh-CN"/>
              </w:rPr>
            </w:pPr>
            <w:r>
              <w:rPr>
                <w:rFonts w:hint="eastAsia" w:cs="仿宋" w:asciiTheme="majorEastAsia" w:hAnsiTheme="majorEastAsia" w:eastAsiaTheme="majorEastAsia"/>
                <w:bCs/>
                <w:color w:val="000000" w:themeColor="text1"/>
                <w:kern w:val="0"/>
                <w:szCs w:val="21"/>
              </w:rPr>
              <w:t>地址：</w:t>
            </w:r>
            <w:r>
              <w:rPr>
                <w:rFonts w:hint="eastAsia" w:cs="仿宋" w:asciiTheme="majorEastAsia" w:hAnsiTheme="majorEastAsia" w:eastAsiaTheme="majorEastAsia"/>
                <w:bCs/>
                <w:color w:val="000000" w:themeColor="text1"/>
                <w:kern w:val="0"/>
                <w:szCs w:val="21"/>
                <w:lang w:val="en-US" w:eastAsia="zh-CN"/>
              </w:rPr>
              <w:t xml:space="preserve"> </w:t>
            </w:r>
          </w:p>
          <w:p>
            <w:pPr>
              <w:pStyle w:val="49"/>
              <w:rPr>
                <w:rFonts w:hint="eastAsia" w:asciiTheme="majorEastAsia" w:hAnsiTheme="majorEastAsia" w:eastAsiaTheme="majorEastAsia"/>
                <w:bCs/>
                <w:color w:val="000000" w:themeColor="text1"/>
              </w:rPr>
            </w:pPr>
            <w:r>
              <w:rPr>
                <w:rFonts w:hint="eastAsia" w:asciiTheme="majorEastAsia" w:hAnsiTheme="majorEastAsia" w:eastAsiaTheme="majorEastAsia"/>
                <w:bCs/>
                <w:color w:val="000000" w:themeColor="text1"/>
              </w:rPr>
              <w:t>联系人：  佘巧琼</w:t>
            </w:r>
          </w:p>
          <w:p>
            <w:pPr>
              <w:pStyle w:val="49"/>
              <w:rPr>
                <w:rFonts w:hint="eastAsia" w:asciiTheme="majorEastAsia" w:hAnsiTheme="majorEastAsia" w:eastAsiaTheme="majorEastAsia"/>
                <w:bCs/>
                <w:color w:val="000000" w:themeColor="text1"/>
              </w:rPr>
            </w:pPr>
            <w:r>
              <w:rPr>
                <w:rFonts w:hint="eastAsia" w:asciiTheme="majorEastAsia" w:hAnsiTheme="majorEastAsia" w:eastAsiaTheme="majorEastAsia"/>
                <w:bCs/>
                <w:color w:val="000000" w:themeColor="text1"/>
              </w:rPr>
              <w:t>联系电话： 15209037187</w:t>
            </w:r>
          </w:p>
          <w:p>
            <w:pPr>
              <w:pStyle w:val="49"/>
              <w:rPr>
                <w:rFonts w:hint="eastAsia" w:asciiTheme="majorEastAsia" w:hAnsiTheme="majorEastAsia" w:eastAsiaTheme="majorEastAsia"/>
                <w:bCs/>
                <w:color w:val="000000" w:themeColor="text1"/>
                <w:lang w:eastAsia="zh-CN"/>
              </w:rPr>
            </w:pPr>
            <w:r>
              <w:rPr>
                <w:rFonts w:hint="eastAsia" w:asciiTheme="majorEastAsia" w:hAnsiTheme="majorEastAsia" w:eastAsiaTheme="majorEastAsia"/>
                <w:bCs/>
                <w:color w:val="000000" w:themeColor="text1"/>
              </w:rPr>
              <w:t>招标代理名称：</w:t>
            </w:r>
            <w:r>
              <w:rPr>
                <w:rFonts w:hint="eastAsia" w:asciiTheme="majorEastAsia" w:hAnsiTheme="majorEastAsia" w:eastAsiaTheme="majorEastAsia"/>
                <w:bCs/>
                <w:color w:val="000000" w:themeColor="text1"/>
                <w:lang w:eastAsia="zh-CN"/>
              </w:rPr>
              <w:t>新疆如意树信息咨询有限公司 </w:t>
            </w:r>
          </w:p>
          <w:p>
            <w:pPr>
              <w:pStyle w:val="49"/>
              <w:rPr>
                <w:rFonts w:hint="eastAsia" w:asciiTheme="majorEastAsia" w:hAnsiTheme="majorEastAsia" w:eastAsiaTheme="majorEastAsia"/>
                <w:bCs/>
                <w:color w:val="000000" w:themeColor="text1"/>
                <w:lang w:eastAsia="zh-CN"/>
              </w:rPr>
            </w:pPr>
            <w:r>
              <w:rPr>
                <w:rFonts w:hint="eastAsia" w:asciiTheme="majorEastAsia" w:hAnsiTheme="majorEastAsia" w:eastAsiaTheme="majorEastAsia"/>
                <w:bCs/>
                <w:color w:val="000000" w:themeColor="text1"/>
              </w:rPr>
              <w:t>地址：和田市</w:t>
            </w:r>
            <w:r>
              <w:rPr>
                <w:rFonts w:hint="eastAsia" w:asciiTheme="majorEastAsia" w:hAnsiTheme="majorEastAsia" w:eastAsiaTheme="majorEastAsia"/>
                <w:bCs/>
                <w:color w:val="000000" w:themeColor="text1"/>
                <w:lang w:eastAsia="zh-CN"/>
              </w:rPr>
              <w:t>友谊路</w:t>
            </w:r>
          </w:p>
          <w:p>
            <w:pPr>
              <w:pStyle w:val="49"/>
              <w:rPr>
                <w:rFonts w:hint="eastAsia" w:asciiTheme="majorEastAsia" w:hAnsiTheme="majorEastAsia" w:eastAsiaTheme="majorEastAsia"/>
                <w:bCs/>
                <w:color w:val="000000" w:themeColor="text1"/>
                <w:lang w:eastAsia="zh-CN"/>
              </w:rPr>
            </w:pPr>
            <w:r>
              <w:rPr>
                <w:rFonts w:hint="eastAsia" w:asciiTheme="majorEastAsia" w:hAnsiTheme="majorEastAsia" w:eastAsiaTheme="majorEastAsia"/>
                <w:bCs/>
                <w:color w:val="000000" w:themeColor="text1"/>
              </w:rPr>
              <w:t>联系人：</w:t>
            </w:r>
            <w:r>
              <w:rPr>
                <w:rFonts w:hint="eastAsia" w:asciiTheme="majorEastAsia" w:hAnsiTheme="majorEastAsia" w:eastAsiaTheme="majorEastAsia"/>
                <w:bCs/>
                <w:color w:val="000000" w:themeColor="text1"/>
                <w:lang w:val="en-US" w:eastAsia="zh-CN"/>
              </w:rPr>
              <w:t>樊晓田</w:t>
            </w:r>
          </w:p>
          <w:p>
            <w:pPr>
              <w:pStyle w:val="49"/>
              <w:rPr>
                <w:rFonts w:hint="default" w:asciiTheme="majorEastAsia" w:hAnsiTheme="majorEastAsia" w:eastAsiaTheme="majorEastAsia"/>
                <w:color w:val="000000" w:themeColor="text1"/>
                <w:lang w:val="en-US" w:eastAsia="zh-CN"/>
              </w:rPr>
            </w:pPr>
            <w:r>
              <w:rPr>
                <w:rFonts w:hint="eastAsia" w:asciiTheme="majorEastAsia" w:hAnsiTheme="majorEastAsia" w:eastAsiaTheme="majorEastAsia"/>
                <w:bCs/>
                <w:color w:val="000000" w:themeColor="text1"/>
              </w:rPr>
              <w:t>电话：</w:t>
            </w:r>
            <w:r>
              <w:rPr>
                <w:rFonts w:hint="eastAsia" w:asciiTheme="majorEastAsia" w:hAnsiTheme="majorEastAsia" w:eastAsiaTheme="majorEastAsia"/>
                <w:bCs/>
                <w:color w:val="000000" w:themeColor="text1"/>
                <w:lang w:val="en-US" w:eastAsia="zh-CN"/>
              </w:rPr>
              <w:t>13079924303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9</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投标人资格条件、能力和信誉</w:t>
            </w:r>
          </w:p>
        </w:tc>
        <w:tc>
          <w:tcPr>
            <w:tcW w:w="5813" w:type="dxa"/>
            <w:tcBorders>
              <w:top w:val="single" w:color="auto" w:sz="4" w:space="0"/>
              <w:left w:val="single" w:color="auto" w:sz="4" w:space="0"/>
              <w:bottom w:val="single" w:color="auto" w:sz="4" w:space="0"/>
              <w:right w:val="single" w:color="auto" w:sz="4" w:space="0"/>
            </w:tcBorders>
            <w:vAlign w:val="center"/>
          </w:tcPr>
          <w:p>
            <w:pPr>
              <w:rPr>
                <w:rFonts w:hint="eastAsia" w:cs="仿宋" w:asciiTheme="majorEastAsia" w:hAnsiTheme="majorEastAsia" w:eastAsiaTheme="majorEastAsia"/>
                <w:bCs/>
                <w:color w:val="000000" w:themeColor="text1"/>
                <w:kern w:val="0"/>
                <w:szCs w:val="21"/>
                <w:lang w:val="zh-CN"/>
              </w:rPr>
            </w:pPr>
            <w:r>
              <w:rPr>
                <w:rFonts w:hint="eastAsia" w:cs="仿宋" w:asciiTheme="majorEastAsia" w:hAnsiTheme="majorEastAsia" w:eastAsiaTheme="majorEastAsia"/>
                <w:bCs/>
                <w:color w:val="000000" w:themeColor="text1"/>
                <w:kern w:val="0"/>
                <w:szCs w:val="21"/>
                <w:lang w:val="zh-CN"/>
              </w:rPr>
              <w:t>资格条件：</w:t>
            </w:r>
          </w:p>
          <w:p>
            <w:pPr>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须满足《中华人民共和国政府采购法》第二十二条规定。</w:t>
            </w:r>
          </w:p>
          <w:p>
            <w:pPr>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1、具有有效的营业执照</w:t>
            </w:r>
            <w:r>
              <w:rPr>
                <w:rFonts w:hint="eastAsia" w:asciiTheme="majorEastAsia" w:hAnsiTheme="majorEastAsia" w:eastAsiaTheme="majorEastAsia"/>
                <w:color w:val="000000" w:themeColor="text1"/>
                <w:lang w:eastAsia="zh-CN"/>
              </w:rPr>
              <w:t>、</w:t>
            </w:r>
            <w:r>
              <w:rPr>
                <w:rFonts w:hint="eastAsia" w:asciiTheme="majorEastAsia" w:hAnsiTheme="majorEastAsia" w:eastAsiaTheme="majorEastAsia"/>
                <w:color w:val="000000" w:themeColor="text1"/>
                <w:lang w:val="en-US" w:eastAsia="zh-CN"/>
              </w:rPr>
              <w:t>开户许可证或基本存款账户信息</w:t>
            </w:r>
            <w:r>
              <w:rPr>
                <w:rFonts w:hint="eastAsia" w:asciiTheme="majorEastAsia" w:hAnsiTheme="majorEastAsia" w:eastAsiaTheme="majorEastAsia"/>
                <w:color w:val="000000" w:themeColor="text1"/>
              </w:rPr>
              <w:t>；</w:t>
            </w:r>
          </w:p>
          <w:p>
            <w:pPr>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2、法人到场参与投标的需提供身份证明书（原件）及身份证原件；委托代理人到场参与投标的需提供授权委托书（附授权人及委托人身份证复印件正反面）及身份证原件，需提供委托代理人近六个月由本单位社保缴费凭证及个人明细。（新成立时间少于六个月的公司，按实际发生提供）</w:t>
            </w:r>
          </w:p>
          <w:p>
            <w:pPr>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3、具有良好的商业信誉和健全的财务会计制度及完税证明（需提供会计事务所出具202</w:t>
            </w:r>
            <w:r>
              <w:rPr>
                <w:rFonts w:hint="eastAsia" w:asciiTheme="majorEastAsia" w:hAnsiTheme="majorEastAsia" w:eastAsiaTheme="majorEastAsia"/>
                <w:color w:val="000000" w:themeColor="text1"/>
                <w:lang w:val="en-US" w:eastAsia="zh-CN"/>
              </w:rPr>
              <w:t>1</w:t>
            </w:r>
            <w:r>
              <w:rPr>
                <w:rFonts w:hint="eastAsia" w:asciiTheme="majorEastAsia" w:hAnsiTheme="majorEastAsia" w:eastAsiaTheme="majorEastAsia"/>
                <w:color w:val="000000" w:themeColor="text1"/>
              </w:rPr>
              <w:t>年度财务审计报告及税务部门出具的近</w:t>
            </w:r>
            <w:r>
              <w:rPr>
                <w:rFonts w:hint="eastAsia" w:asciiTheme="majorEastAsia" w:hAnsiTheme="majorEastAsia" w:eastAsiaTheme="majorEastAsia"/>
                <w:color w:val="000000" w:themeColor="text1"/>
                <w:lang w:eastAsia="zh-CN"/>
              </w:rPr>
              <w:t>半年</w:t>
            </w:r>
            <w:r>
              <w:rPr>
                <w:rFonts w:hint="eastAsia" w:asciiTheme="majorEastAsia" w:hAnsiTheme="majorEastAsia" w:eastAsiaTheme="majorEastAsia"/>
                <w:color w:val="000000" w:themeColor="text1"/>
              </w:rPr>
              <w:t>的完税证明，202</w:t>
            </w:r>
            <w:r>
              <w:rPr>
                <w:rFonts w:hint="eastAsia" w:asciiTheme="majorEastAsia" w:hAnsiTheme="majorEastAsia" w:eastAsiaTheme="majorEastAsia"/>
                <w:color w:val="000000" w:themeColor="text1"/>
                <w:lang w:val="en-US" w:eastAsia="zh-CN"/>
              </w:rPr>
              <w:t>2</w:t>
            </w:r>
            <w:r>
              <w:rPr>
                <w:rFonts w:hint="eastAsia" w:asciiTheme="majorEastAsia" w:hAnsiTheme="majorEastAsia" w:eastAsiaTheme="majorEastAsia"/>
                <w:color w:val="000000" w:themeColor="text1"/>
              </w:rPr>
              <w:t>年新成立的公司可不提供）；</w:t>
            </w:r>
          </w:p>
          <w:p>
            <w:pPr>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4、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查询截止时点：本公告发布之日报名材料递交截止时间之间任意时刻的查询，加盖单位鲜公章）。</w:t>
            </w:r>
          </w:p>
          <w:p>
            <w:pPr>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5、单位负责人为同一人或者存在直接控股、管理关系的不同供应商，不得参加同一合同项下的政府采购活动。</w:t>
            </w:r>
          </w:p>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6、本项目不接受联合体投标；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10</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信用情况</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cs="仿宋" w:asciiTheme="majorEastAsia" w:hAnsiTheme="majorEastAsia" w:eastAsiaTheme="majorEastAsia"/>
                <w:bCs/>
                <w:color w:val="000000" w:themeColor="text1"/>
                <w:kern w:val="0"/>
                <w:szCs w:val="21"/>
              </w:rPr>
              <w:t>1</w:t>
            </w:r>
            <w:r>
              <w:rPr>
                <w:rFonts w:hint="eastAsia" w:cs="仿宋" w:asciiTheme="majorEastAsia" w:hAnsiTheme="majorEastAsia" w:eastAsiaTheme="majorEastAsia"/>
                <w:bCs/>
                <w:color w:val="000000" w:themeColor="text1"/>
                <w:kern w:val="0"/>
                <w:szCs w:val="21"/>
              </w:rPr>
              <w:t>、信用记录查询时间及方式：</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w:t>
            </w:r>
            <w:r>
              <w:rPr>
                <w:rFonts w:cs="仿宋" w:asciiTheme="majorEastAsia" w:hAnsiTheme="majorEastAsia" w:eastAsiaTheme="majorEastAsia"/>
                <w:bCs/>
                <w:color w:val="000000" w:themeColor="text1"/>
                <w:kern w:val="0"/>
                <w:szCs w:val="21"/>
              </w:rPr>
              <w:t>1</w:t>
            </w:r>
            <w:r>
              <w:rPr>
                <w:rFonts w:hint="eastAsia" w:cs="仿宋" w:asciiTheme="majorEastAsia" w:hAnsiTheme="majorEastAsia" w:eastAsiaTheme="majorEastAsia"/>
                <w:bCs/>
                <w:color w:val="000000" w:themeColor="text1"/>
                <w:kern w:val="0"/>
                <w:szCs w:val="21"/>
              </w:rPr>
              <w:t>）查询时间：自招标公告发布日期起至开标日期止，超出此时间范围将被视为无效投标。</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w:t>
            </w:r>
            <w:r>
              <w:rPr>
                <w:rFonts w:cs="仿宋" w:asciiTheme="majorEastAsia" w:hAnsiTheme="majorEastAsia" w:eastAsiaTheme="majorEastAsia"/>
                <w:bCs/>
                <w:color w:val="000000" w:themeColor="text1"/>
                <w:kern w:val="0"/>
                <w:szCs w:val="21"/>
              </w:rPr>
              <w:t>2</w:t>
            </w:r>
            <w:r>
              <w:rPr>
                <w:rFonts w:hint="eastAsia" w:cs="仿宋" w:asciiTheme="majorEastAsia" w:hAnsiTheme="majorEastAsia" w:eastAsiaTheme="majorEastAsia"/>
                <w:bCs/>
                <w:color w:val="000000" w:themeColor="text1"/>
                <w:kern w:val="0"/>
                <w:szCs w:val="21"/>
              </w:rPr>
              <w:t>）查询方式：投标人自行通过“信用中国”</w:t>
            </w:r>
            <w:r>
              <w:rPr>
                <w:rFonts w:hint="eastAsia" w:cs="仿宋" w:asciiTheme="majorEastAsia" w:hAnsiTheme="majorEastAsia" w:eastAsiaTheme="majorEastAsia"/>
                <w:bCs/>
                <w:color w:val="000000" w:themeColor="text1"/>
                <w:kern w:val="0"/>
                <w:szCs w:val="21"/>
                <w:lang w:eastAsia="zh-CN"/>
              </w:rPr>
              <w:t>、“</w:t>
            </w:r>
            <w:r>
              <w:rPr>
                <w:rFonts w:hint="eastAsia" w:cs="仿宋" w:asciiTheme="majorEastAsia" w:hAnsiTheme="majorEastAsia" w:eastAsiaTheme="majorEastAsia"/>
                <w:bCs/>
                <w:color w:val="000000" w:themeColor="text1"/>
                <w:kern w:val="0"/>
                <w:szCs w:val="21"/>
                <w:lang w:val="zh-CN"/>
              </w:rPr>
              <w:t>中国政府采购网</w:t>
            </w:r>
            <w:r>
              <w:rPr>
                <w:rFonts w:hint="eastAsia" w:cs="仿宋" w:asciiTheme="majorEastAsia" w:hAnsiTheme="majorEastAsia" w:eastAsiaTheme="majorEastAsia"/>
                <w:bCs/>
                <w:color w:val="000000" w:themeColor="text1"/>
                <w:kern w:val="0"/>
                <w:szCs w:val="21"/>
                <w:lang w:eastAsia="zh-CN"/>
              </w:rPr>
              <w:t>”、“</w:t>
            </w:r>
            <w:r>
              <w:rPr>
                <w:rFonts w:hint="eastAsia" w:cs="仿宋" w:asciiTheme="majorEastAsia" w:hAnsiTheme="majorEastAsia" w:eastAsiaTheme="majorEastAsia"/>
                <w:bCs/>
                <w:color w:val="000000" w:themeColor="text1"/>
                <w:kern w:val="0"/>
                <w:szCs w:val="21"/>
                <w:lang w:val="zh-CN"/>
              </w:rPr>
              <w:t>国家企业信用信息公示系统</w:t>
            </w:r>
            <w:r>
              <w:rPr>
                <w:rFonts w:hint="eastAsia" w:cs="仿宋" w:asciiTheme="majorEastAsia" w:hAnsiTheme="majorEastAsia" w:eastAsiaTheme="majorEastAsia"/>
                <w:bCs/>
                <w:color w:val="000000" w:themeColor="text1"/>
                <w:kern w:val="0"/>
                <w:szCs w:val="21"/>
                <w:lang w:eastAsia="zh-CN"/>
              </w:rPr>
              <w:t>”</w:t>
            </w:r>
            <w:r>
              <w:rPr>
                <w:rFonts w:hint="eastAsia" w:cs="仿宋" w:asciiTheme="majorEastAsia" w:hAnsiTheme="majorEastAsia" w:eastAsiaTheme="majorEastAsia"/>
                <w:bCs/>
                <w:color w:val="000000" w:themeColor="text1"/>
                <w:kern w:val="0"/>
                <w:szCs w:val="21"/>
              </w:rPr>
              <w:t>及“</w:t>
            </w:r>
            <w:r>
              <w:rPr>
                <w:rFonts w:hint="eastAsia" w:cs="仿宋" w:asciiTheme="majorEastAsia" w:hAnsiTheme="majorEastAsia" w:eastAsiaTheme="majorEastAsia"/>
                <w:bCs/>
                <w:color w:val="000000" w:themeColor="text1"/>
                <w:kern w:val="0"/>
                <w:szCs w:val="21"/>
                <w:lang w:val="zh-CN"/>
              </w:rPr>
              <w:t>中国裁判文书网</w:t>
            </w:r>
            <w:r>
              <w:rPr>
                <w:rFonts w:hint="eastAsia" w:cs="仿宋" w:asciiTheme="majorEastAsia" w:hAnsiTheme="majorEastAsia" w:eastAsiaTheme="majorEastAsia"/>
                <w:bCs/>
                <w:color w:val="000000" w:themeColor="text1"/>
                <w:kern w:val="0"/>
                <w:szCs w:val="21"/>
              </w:rPr>
              <w:t>”查询，并按招标文件要求提供网页材料。被列入失信被执行人、政府采购严重违法失信行为记录名单,其他不符合《中华人民共和国政府采购法》第二十二条规定条件的供应商，其投标文件将被视为无效投标。未提供证明材料的视为不响应招标文件。</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w:t>
            </w:r>
            <w:r>
              <w:rPr>
                <w:rFonts w:cs="仿宋" w:asciiTheme="majorEastAsia" w:hAnsiTheme="majorEastAsia" w:eastAsiaTheme="majorEastAsia"/>
                <w:bCs/>
                <w:color w:val="000000" w:themeColor="text1"/>
                <w:kern w:val="0"/>
                <w:szCs w:val="21"/>
              </w:rPr>
              <w:t>3</w:t>
            </w:r>
            <w:r>
              <w:rPr>
                <w:rFonts w:hint="eastAsia" w:cs="仿宋" w:asciiTheme="majorEastAsia" w:hAnsiTheme="majorEastAsia" w:eastAsiaTheme="majorEastAsia"/>
                <w:bCs/>
                <w:color w:val="000000" w:themeColor="text1"/>
                <w:kern w:val="0"/>
                <w:szCs w:val="21"/>
              </w:rPr>
              <w:t>）供应商参加政府采购活动时，应当就自己的诚信情况在响应性文件中进行承诺。</w:t>
            </w:r>
          </w:p>
          <w:p>
            <w:pPr>
              <w:rPr>
                <w:rFonts w:cs="宋体" w:asciiTheme="majorEastAsia" w:hAnsiTheme="majorEastAsia" w:eastAsiaTheme="majorEastAsia"/>
                <w:b/>
                <w:color w:val="000000" w:themeColor="text1"/>
                <w:sz w:val="24"/>
              </w:rPr>
            </w:pPr>
            <w:r>
              <w:rPr>
                <w:rFonts w:hint="eastAsia" w:cs="仿宋" w:asciiTheme="majorEastAsia" w:hAnsiTheme="majorEastAsia" w:eastAsiaTheme="majorEastAsia"/>
                <w:b/>
                <w:bCs/>
                <w:color w:val="000000" w:themeColor="text1"/>
                <w:kern w:val="0"/>
                <w:szCs w:val="21"/>
              </w:rPr>
              <w:t>本项目不接受失信企业投标。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11</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审查方式</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12</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2.4</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是否接受联合体投标</w:t>
            </w:r>
          </w:p>
        </w:tc>
        <w:tc>
          <w:tcPr>
            <w:tcW w:w="5813" w:type="dxa"/>
            <w:tcBorders>
              <w:top w:val="single" w:color="auto" w:sz="4" w:space="0"/>
              <w:left w:val="single" w:color="auto" w:sz="4" w:space="0"/>
              <w:bottom w:val="single" w:color="auto" w:sz="4" w:space="0"/>
              <w:right w:val="single" w:color="auto" w:sz="4" w:space="0"/>
            </w:tcBorders>
            <w:vAlign w:val="center"/>
          </w:tcPr>
          <w:p>
            <w:pPr>
              <w:snapToGrid w:val="0"/>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13</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投标预备会议</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14</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 xml:space="preserve">5.1   </w:t>
            </w:r>
          </w:p>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6.2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投标人疑问及</w:t>
            </w:r>
          </w:p>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澄清</w:t>
            </w:r>
          </w:p>
        </w:tc>
        <w:tc>
          <w:tcPr>
            <w:tcW w:w="5813" w:type="dxa"/>
            <w:tcBorders>
              <w:top w:val="single" w:color="auto" w:sz="4" w:space="0"/>
              <w:left w:val="single" w:color="auto" w:sz="4" w:space="0"/>
              <w:bottom w:val="single" w:color="auto" w:sz="4" w:space="0"/>
              <w:right w:val="single" w:color="auto" w:sz="4" w:space="0"/>
            </w:tcBorders>
            <w:vAlign w:val="center"/>
          </w:tcPr>
          <w:p>
            <w:pPr>
              <w:tabs>
                <w:tab w:val="left" w:pos="1180"/>
              </w:tabs>
              <w:jc w:val="left"/>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投标截止时间10日前。</w:t>
            </w:r>
          </w:p>
          <w:p>
            <w:pPr>
              <w:tabs>
                <w:tab w:val="left" w:pos="1180"/>
              </w:tabs>
              <w:jc w:val="left"/>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招标人或招标代理机构在收到投标人提出的疑问或澄清文件后3日内进行答复。</w:t>
            </w:r>
          </w:p>
          <w:p>
            <w:pPr>
              <w:pStyle w:val="49"/>
              <w:rPr>
                <w:rFonts w:asciiTheme="majorEastAsia" w:hAnsiTheme="majorEastAsia" w:eastAsiaTheme="majorEastAsia"/>
                <w:color w:val="000000" w:themeColor="text1"/>
              </w:rPr>
            </w:pPr>
            <w:r>
              <w:rPr>
                <w:rFonts w:hint="eastAsia" w:cs="仿宋" w:asciiTheme="majorEastAsia" w:hAnsiTheme="majorEastAsia" w:eastAsiaTheme="majorEastAsia"/>
                <w:bCs/>
                <w:color w:val="000000" w:themeColor="text1"/>
                <w:kern w:val="0"/>
                <w:szCs w:val="21"/>
              </w:rPr>
              <w:t>投标人收到答复后应在24小时内加盖单位公章回传确认。</w:t>
            </w:r>
          </w:p>
          <w:p>
            <w:pPr>
              <w:pStyle w:val="49"/>
              <w:rPr>
                <w:rFonts w:hint="eastAsia" w:asciiTheme="majorEastAsia" w:hAnsiTheme="majorEastAsia" w:eastAsiaTheme="majorEastAsia"/>
                <w:color w:val="000000" w:themeColor="text1"/>
                <w:lang w:eastAsia="zh-CN"/>
              </w:rPr>
            </w:pPr>
            <w:r>
              <w:rPr>
                <w:rFonts w:hint="eastAsia" w:asciiTheme="majorEastAsia" w:hAnsiTheme="majorEastAsia" w:eastAsiaTheme="majorEastAsia"/>
                <w:color w:val="000000" w:themeColor="text1"/>
              </w:rPr>
              <w:t>接受质疑的单位：</w:t>
            </w:r>
            <w:r>
              <w:rPr>
                <w:rFonts w:hint="eastAsia" w:asciiTheme="majorEastAsia" w:hAnsiTheme="majorEastAsia" w:eastAsiaTheme="majorEastAsia"/>
                <w:color w:val="000000" w:themeColor="text1"/>
                <w:lang w:eastAsia="zh-CN"/>
              </w:rPr>
              <w:t>新疆如意树信息咨询有限公司 </w:t>
            </w:r>
          </w:p>
          <w:p>
            <w:pPr>
              <w:pStyle w:val="49"/>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联系电话：</w:t>
            </w:r>
            <w:r>
              <w:rPr>
                <w:rFonts w:hint="eastAsia" w:asciiTheme="majorEastAsia" w:hAnsiTheme="majorEastAsia" w:eastAsiaTheme="majorEastAsia"/>
                <w:color w:val="000000" w:themeColor="text1"/>
                <w:lang w:val="en-US" w:eastAsia="zh-CN"/>
              </w:rPr>
              <w:t>13079924303</w:t>
            </w:r>
            <w:r>
              <w:rPr>
                <w:rFonts w:hint="eastAsia" w:asciiTheme="majorEastAsia" w:hAnsiTheme="majorEastAsia" w:eastAsiaTheme="majorEastAsia"/>
                <w:color w:val="000000" w:themeColor="text1"/>
              </w:rPr>
              <w:t xml:space="preserve">   </w:t>
            </w:r>
          </w:p>
          <w:p>
            <w:pPr>
              <w:pStyle w:val="49"/>
              <w:rPr>
                <w:rFonts w:hint="eastAsia" w:asciiTheme="majorEastAsia" w:hAnsiTheme="majorEastAsia" w:eastAsiaTheme="majorEastAsia"/>
                <w:color w:val="000000" w:themeColor="text1"/>
                <w:lang w:eastAsia="zh-CN"/>
              </w:rPr>
            </w:pPr>
            <w:r>
              <w:rPr>
                <w:rFonts w:hint="eastAsia" w:asciiTheme="majorEastAsia" w:hAnsiTheme="majorEastAsia" w:eastAsiaTheme="majorEastAsia"/>
                <w:color w:val="000000" w:themeColor="text1"/>
              </w:rPr>
              <w:t>地址：新疆和田市</w:t>
            </w:r>
            <w:r>
              <w:rPr>
                <w:rFonts w:hint="eastAsia" w:asciiTheme="majorEastAsia" w:hAnsiTheme="majorEastAsia" w:eastAsiaTheme="majorEastAsia"/>
                <w:color w:val="000000" w:themeColor="text1"/>
                <w:lang w:eastAsia="zh-CN"/>
              </w:rPr>
              <w:t>友谊路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15</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投标报价</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（1）投标报价（不接受多个报价）。</w:t>
            </w:r>
            <w:r>
              <w:rPr>
                <w:rFonts w:hint="eastAsia" w:cs="仿宋" w:asciiTheme="majorEastAsia" w:hAnsiTheme="majorEastAsia" w:eastAsiaTheme="majorEastAsia"/>
                <w:b/>
                <w:bCs/>
                <w:color w:val="000000" w:themeColor="text1"/>
                <w:kern w:val="0"/>
                <w:szCs w:val="21"/>
              </w:rPr>
              <w:t>投标报价</w:t>
            </w:r>
            <w:r>
              <w:rPr>
                <w:rFonts w:hint="eastAsia" w:cs="仿宋" w:asciiTheme="majorEastAsia" w:hAnsiTheme="majorEastAsia" w:eastAsiaTheme="majorEastAsia"/>
                <w:bCs/>
                <w:color w:val="000000" w:themeColor="text1"/>
                <w:kern w:val="0"/>
                <w:szCs w:val="21"/>
              </w:rPr>
              <w:t>为本次招标的设备，从采购、运输、卸货至指定地点、安装、验收合格、交付</w:t>
            </w:r>
            <w:r>
              <w:rPr>
                <w:rFonts w:hint="eastAsia" w:cs="仿宋" w:asciiTheme="majorEastAsia" w:hAnsiTheme="majorEastAsia" w:eastAsiaTheme="majorEastAsia"/>
                <w:bCs/>
                <w:color w:val="000000" w:themeColor="text1"/>
                <w:kern w:val="0"/>
                <w:szCs w:val="21"/>
                <w:highlight w:val="none"/>
              </w:rPr>
              <w:t>使用及1年</w:t>
            </w:r>
            <w:r>
              <w:rPr>
                <w:rFonts w:hint="eastAsia" w:cs="仿宋" w:asciiTheme="majorEastAsia" w:hAnsiTheme="majorEastAsia" w:eastAsiaTheme="majorEastAsia"/>
                <w:bCs/>
                <w:color w:val="000000" w:themeColor="text1"/>
                <w:kern w:val="0"/>
                <w:szCs w:val="21"/>
                <w:highlight w:val="none"/>
                <w:lang w:eastAsia="zh-CN"/>
              </w:rPr>
              <w:t>质保</w:t>
            </w:r>
            <w:r>
              <w:rPr>
                <w:rFonts w:hint="eastAsia" w:cs="仿宋" w:asciiTheme="majorEastAsia" w:hAnsiTheme="majorEastAsia" w:eastAsiaTheme="majorEastAsia"/>
                <w:bCs/>
                <w:color w:val="000000" w:themeColor="text1"/>
                <w:kern w:val="0"/>
                <w:szCs w:val="21"/>
                <w:highlight w:val="none"/>
              </w:rPr>
              <w:t>期</w:t>
            </w:r>
            <w:r>
              <w:rPr>
                <w:rFonts w:cs="仿宋" w:asciiTheme="majorEastAsia" w:hAnsiTheme="majorEastAsia" w:eastAsiaTheme="majorEastAsia"/>
                <w:bCs/>
                <w:color w:val="000000" w:themeColor="text1"/>
                <w:kern w:val="0"/>
                <w:szCs w:val="21"/>
                <w:highlight w:val="none"/>
              </w:rPr>
              <w:t>(</w:t>
            </w:r>
            <w:r>
              <w:rPr>
                <w:rFonts w:hint="eastAsia" w:cs="仿宋" w:asciiTheme="majorEastAsia" w:hAnsiTheme="majorEastAsia" w:eastAsiaTheme="majorEastAsia"/>
                <w:bCs/>
                <w:color w:val="000000" w:themeColor="text1"/>
                <w:kern w:val="0"/>
                <w:szCs w:val="21"/>
                <w:highlight w:val="none"/>
              </w:rPr>
              <w:t>售后服务等</w:t>
            </w:r>
            <w:r>
              <w:rPr>
                <w:rFonts w:cs="仿宋" w:asciiTheme="majorEastAsia" w:hAnsiTheme="majorEastAsia" w:eastAsiaTheme="majorEastAsia"/>
                <w:bCs/>
                <w:color w:val="000000" w:themeColor="text1"/>
                <w:kern w:val="0"/>
                <w:szCs w:val="21"/>
                <w:highlight w:val="none"/>
              </w:rPr>
              <w:t>)</w:t>
            </w:r>
            <w:r>
              <w:rPr>
                <w:rFonts w:hint="eastAsia" w:cs="仿宋" w:asciiTheme="majorEastAsia" w:hAnsiTheme="majorEastAsia" w:eastAsiaTheme="majorEastAsia"/>
                <w:bCs/>
                <w:color w:val="000000" w:themeColor="text1"/>
                <w:kern w:val="0"/>
                <w:szCs w:val="21"/>
                <w:highlight w:val="none"/>
              </w:rPr>
              <w:t>的人民币报价。</w:t>
            </w:r>
            <w:r>
              <w:rPr>
                <w:rFonts w:hint="eastAsia" w:cs="仿宋" w:asciiTheme="majorEastAsia" w:hAnsiTheme="majorEastAsia" w:eastAsiaTheme="majorEastAsia"/>
                <w:bCs/>
                <w:color w:val="000000" w:themeColor="text1"/>
                <w:kern w:val="0"/>
                <w:szCs w:val="21"/>
              </w:rPr>
              <w:t>综合单价包括了设备采购、安装，包括常规配件、易损件的采购、运输、现场施工、检验试验，因质量问题引起的维修和更换、技术指导和培训、成品保护、投标人的利润、税金、政策性文件的规定以及包括原材料涨价等合同明示或暗示的所有一切风险、责任和义务的费用。以及根据所提供图纸、资料结合现场踏勘情况，投标人认为施工现场现有预留、预埋需要增加工作内容的，本次报价必须考虑。投标人按照服务内容作完整唯一的报价，投标报价必须包含项目所有的费用（包含但不限于工作人员差旅费、税金及其他所有成本费用的总和）。</w:t>
            </w:r>
          </w:p>
          <w:p>
            <w:pPr>
              <w:spacing w:line="360" w:lineRule="exact"/>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（2）投标人应充分考虑本项目可能出现的任何报价风险，并承担由此造成的报价风险后果。</w:t>
            </w:r>
          </w:p>
          <w:p>
            <w:pPr>
              <w:spacing w:line="360" w:lineRule="exact"/>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highlight w:val="none"/>
              </w:rPr>
              <w:t>（3）本项目最高限价：</w:t>
            </w:r>
            <w:r>
              <w:rPr>
                <w:rFonts w:hint="eastAsia" w:cs="仿宋" w:asciiTheme="majorEastAsia" w:hAnsiTheme="majorEastAsia" w:eastAsiaTheme="majorEastAsia"/>
                <w:bCs/>
                <w:color w:val="000000" w:themeColor="text1"/>
                <w:kern w:val="0"/>
                <w:szCs w:val="21"/>
                <w:highlight w:val="none"/>
                <w:lang w:val="en-US" w:eastAsia="zh-CN"/>
              </w:rPr>
              <w:t>74</w:t>
            </w:r>
            <w:r>
              <w:rPr>
                <w:rFonts w:hint="eastAsia" w:cs="仿宋" w:asciiTheme="majorEastAsia" w:hAnsiTheme="majorEastAsia" w:eastAsiaTheme="majorEastAsia"/>
                <w:bCs/>
                <w:color w:val="000000" w:themeColor="text1"/>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16</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12.1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报价采用的币种</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17</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13.1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投标有效期</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从投标截止之日起45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18</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14.1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投标保证金</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投标保证金金额：</w:t>
            </w:r>
            <w:r>
              <w:rPr>
                <w:rFonts w:hint="eastAsia" w:cs="仿宋" w:asciiTheme="majorEastAsia" w:hAnsiTheme="majorEastAsia" w:eastAsiaTheme="majorEastAsia"/>
                <w:bCs/>
                <w:color w:val="000000" w:themeColor="text1"/>
                <w:kern w:val="0"/>
                <w:szCs w:val="21"/>
                <w:lang w:val="en-US" w:eastAsia="zh-CN"/>
              </w:rPr>
              <w:t>14000</w:t>
            </w:r>
            <w:r>
              <w:rPr>
                <w:rFonts w:hint="eastAsia" w:cs="仿宋" w:asciiTheme="majorEastAsia" w:hAnsiTheme="majorEastAsia" w:eastAsiaTheme="majorEastAsia"/>
                <w:bCs/>
                <w:color w:val="000000" w:themeColor="text1"/>
                <w:kern w:val="0"/>
                <w:szCs w:val="21"/>
              </w:rPr>
              <w:t>元（大写：</w:t>
            </w:r>
            <w:r>
              <w:rPr>
                <w:rFonts w:hint="eastAsia" w:cs="仿宋" w:asciiTheme="majorEastAsia" w:hAnsiTheme="majorEastAsia" w:eastAsiaTheme="majorEastAsia"/>
                <w:bCs/>
                <w:color w:val="000000" w:themeColor="text1"/>
                <w:kern w:val="0"/>
                <w:szCs w:val="21"/>
                <w:lang w:val="en-US" w:eastAsia="zh-CN"/>
              </w:rPr>
              <w:t>壹万肆仟</w:t>
            </w:r>
            <w:r>
              <w:rPr>
                <w:rFonts w:hint="eastAsia" w:cs="仿宋" w:asciiTheme="majorEastAsia" w:hAnsiTheme="majorEastAsia" w:eastAsiaTheme="majorEastAsia"/>
                <w:bCs/>
                <w:color w:val="000000" w:themeColor="text1"/>
                <w:kern w:val="0"/>
                <w:szCs w:val="21"/>
                <w:lang w:eastAsia="zh-CN"/>
              </w:rPr>
              <w:t>元整</w:t>
            </w:r>
            <w:r>
              <w:rPr>
                <w:rFonts w:hint="eastAsia" w:cs="仿宋" w:asciiTheme="majorEastAsia" w:hAnsiTheme="majorEastAsia" w:eastAsiaTheme="majorEastAsia"/>
                <w:bCs/>
                <w:color w:val="000000" w:themeColor="text1"/>
                <w:kern w:val="0"/>
                <w:szCs w:val="21"/>
              </w:rPr>
              <w:t>）；</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投标保证金缴纳账户：</w:t>
            </w:r>
          </w:p>
          <w:p>
            <w:pPr>
              <w:rPr>
                <w:rFonts w:hint="eastAsia" w:cs="仿宋" w:asciiTheme="majorEastAsia" w:hAnsiTheme="majorEastAsia" w:eastAsiaTheme="majorEastAsia"/>
                <w:bCs/>
                <w:color w:val="000000" w:themeColor="text1"/>
                <w:kern w:val="0"/>
                <w:szCs w:val="21"/>
                <w:lang w:val="en-US" w:eastAsia="zh-CN"/>
              </w:rPr>
            </w:pPr>
            <w:r>
              <w:rPr>
                <w:rFonts w:hint="eastAsia" w:cs="仿宋" w:asciiTheme="majorEastAsia" w:hAnsiTheme="majorEastAsia" w:eastAsiaTheme="majorEastAsia"/>
                <w:bCs/>
                <w:color w:val="000000" w:themeColor="text1"/>
                <w:kern w:val="0"/>
                <w:szCs w:val="21"/>
                <w:lang w:val="en-US" w:eastAsia="zh-CN"/>
              </w:rPr>
              <w:t>账户名称：墨玉县公共资源交易平台中心</w:t>
            </w:r>
          </w:p>
          <w:p>
            <w:pPr>
              <w:rPr>
                <w:rFonts w:hint="eastAsia" w:cs="仿宋" w:asciiTheme="majorEastAsia" w:hAnsiTheme="majorEastAsia" w:eastAsiaTheme="majorEastAsia"/>
                <w:bCs/>
                <w:color w:val="000000" w:themeColor="text1"/>
                <w:kern w:val="0"/>
                <w:szCs w:val="21"/>
                <w:lang w:val="en-US" w:eastAsia="zh-CN"/>
              </w:rPr>
            </w:pPr>
            <w:r>
              <w:rPr>
                <w:rFonts w:hint="eastAsia" w:cs="仿宋" w:asciiTheme="majorEastAsia" w:hAnsiTheme="majorEastAsia" w:eastAsiaTheme="majorEastAsia"/>
                <w:bCs/>
                <w:color w:val="000000" w:themeColor="text1"/>
                <w:kern w:val="0"/>
                <w:szCs w:val="21"/>
                <w:lang w:val="en-US" w:eastAsia="zh-CN"/>
              </w:rPr>
              <w:t>开户行:墨玉县农村信用合作联社</w:t>
            </w:r>
          </w:p>
          <w:p>
            <w:pPr>
              <w:rPr>
                <w:rFonts w:hint="eastAsia" w:cs="仿宋" w:asciiTheme="majorEastAsia" w:hAnsiTheme="majorEastAsia" w:eastAsiaTheme="majorEastAsia"/>
                <w:bCs/>
                <w:color w:val="000000" w:themeColor="text1"/>
                <w:kern w:val="0"/>
                <w:szCs w:val="21"/>
                <w:lang w:val="en-US" w:eastAsia="zh-CN"/>
              </w:rPr>
            </w:pPr>
            <w:r>
              <w:rPr>
                <w:rFonts w:hint="eastAsia" w:cs="仿宋" w:asciiTheme="majorEastAsia" w:hAnsiTheme="majorEastAsia" w:eastAsiaTheme="majorEastAsia"/>
                <w:bCs/>
                <w:color w:val="000000" w:themeColor="text1"/>
                <w:kern w:val="0"/>
                <w:szCs w:val="21"/>
                <w:lang w:val="en-US" w:eastAsia="zh-CN"/>
              </w:rPr>
              <w:t xml:space="preserve">账  号：879010012010178915451 </w:t>
            </w:r>
          </w:p>
          <w:p>
            <w:pPr>
              <w:rPr>
                <w:rFonts w:hint="eastAsia" w:cs="仿宋" w:asciiTheme="majorEastAsia" w:hAnsiTheme="majorEastAsia" w:eastAsiaTheme="majorEastAsia"/>
                <w:bCs/>
                <w:color w:val="000000" w:themeColor="text1"/>
                <w:kern w:val="0"/>
                <w:szCs w:val="21"/>
                <w:lang w:val="en-US" w:eastAsia="zh-CN"/>
              </w:rPr>
            </w:pPr>
            <w:r>
              <w:rPr>
                <w:rFonts w:hint="eastAsia" w:cs="仿宋" w:asciiTheme="majorEastAsia" w:hAnsiTheme="majorEastAsia" w:eastAsiaTheme="majorEastAsia"/>
                <w:bCs/>
                <w:color w:val="000000" w:themeColor="text1"/>
                <w:kern w:val="0"/>
                <w:szCs w:val="21"/>
                <w:lang w:val="en-US" w:eastAsia="zh-CN"/>
              </w:rPr>
              <w:t xml:space="preserve">行  号：402896300016 </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注：投标保证金请于202</w:t>
            </w:r>
            <w:r>
              <w:rPr>
                <w:rFonts w:hint="eastAsia" w:cs="仿宋" w:asciiTheme="majorEastAsia" w:hAnsiTheme="majorEastAsia" w:eastAsiaTheme="majorEastAsia"/>
                <w:bCs/>
                <w:color w:val="000000" w:themeColor="text1"/>
                <w:kern w:val="0"/>
                <w:szCs w:val="21"/>
                <w:lang w:val="en-US" w:eastAsia="zh-CN"/>
              </w:rPr>
              <w:t>2</w:t>
            </w:r>
            <w:r>
              <w:rPr>
                <w:rFonts w:hint="eastAsia" w:cs="仿宋" w:asciiTheme="majorEastAsia" w:hAnsiTheme="majorEastAsia" w:eastAsiaTheme="majorEastAsia"/>
                <w:bCs/>
                <w:color w:val="000000" w:themeColor="text1"/>
                <w:kern w:val="0"/>
                <w:szCs w:val="21"/>
              </w:rPr>
              <w:t>年</w:t>
            </w:r>
            <w:r>
              <w:rPr>
                <w:rFonts w:hint="eastAsia" w:cs="仿宋" w:asciiTheme="majorEastAsia" w:hAnsiTheme="majorEastAsia" w:eastAsiaTheme="majorEastAsia"/>
                <w:bCs/>
                <w:color w:val="000000" w:themeColor="text1"/>
                <w:kern w:val="0"/>
                <w:szCs w:val="21"/>
                <w:lang w:val="en-US" w:eastAsia="zh-CN"/>
              </w:rPr>
              <w:t>8</w:t>
            </w:r>
            <w:r>
              <w:rPr>
                <w:rFonts w:hint="eastAsia" w:cs="仿宋" w:asciiTheme="majorEastAsia" w:hAnsiTheme="majorEastAsia" w:eastAsiaTheme="majorEastAsia"/>
                <w:bCs/>
                <w:color w:val="000000" w:themeColor="text1"/>
                <w:kern w:val="0"/>
                <w:szCs w:val="21"/>
              </w:rPr>
              <w:t>月</w:t>
            </w:r>
            <w:r>
              <w:rPr>
                <w:rFonts w:hint="eastAsia" w:cs="仿宋" w:asciiTheme="majorEastAsia" w:hAnsiTheme="majorEastAsia" w:eastAsiaTheme="majorEastAsia"/>
                <w:bCs/>
                <w:color w:val="000000" w:themeColor="text1"/>
                <w:kern w:val="0"/>
                <w:szCs w:val="21"/>
                <w:lang w:val="en-US" w:eastAsia="zh-CN"/>
              </w:rPr>
              <w:t>30</w:t>
            </w:r>
            <w:r>
              <w:rPr>
                <w:rFonts w:hint="eastAsia" w:cs="仿宋" w:asciiTheme="majorEastAsia" w:hAnsiTheme="majorEastAsia" w:eastAsiaTheme="majorEastAsia"/>
                <w:bCs/>
                <w:color w:val="000000" w:themeColor="text1"/>
                <w:kern w:val="0"/>
                <w:szCs w:val="21"/>
              </w:rPr>
              <w:t>日1</w:t>
            </w:r>
            <w:r>
              <w:rPr>
                <w:rFonts w:hint="eastAsia" w:cs="仿宋" w:asciiTheme="majorEastAsia" w:hAnsiTheme="majorEastAsia" w:eastAsiaTheme="majorEastAsia"/>
                <w:bCs/>
                <w:color w:val="000000" w:themeColor="text1"/>
                <w:kern w:val="0"/>
                <w:szCs w:val="21"/>
                <w:lang w:val="en-US" w:eastAsia="zh-CN"/>
              </w:rPr>
              <w:t>1</w:t>
            </w:r>
            <w:r>
              <w:rPr>
                <w:rFonts w:hint="eastAsia" w:cs="仿宋" w:asciiTheme="majorEastAsia" w:hAnsiTheme="majorEastAsia" w:eastAsiaTheme="majorEastAsia"/>
                <w:bCs/>
                <w:color w:val="000000" w:themeColor="text1"/>
                <w:kern w:val="0"/>
                <w:szCs w:val="21"/>
              </w:rPr>
              <w:t xml:space="preserve">:00之前（北京时间）缴入指定账户，投标人必须以投标单位名义交纳投标保证金，由投标单位基本户存入下述指定专用账户，金额以到账为准，不得以分公司、办事处或其他机构名义缴纳，投标人在缴纳投标保证金时，需在进帐凭证上明确资金用途、投标项目名称或标项编号；投标人须考虑投标保证金到帐的时间，未按以上规定转入投标保证金的按废标处理；投标保证金需在规定时间内到账，到墨玉县公共资源平台交易中心换取投标保证金收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19</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15.1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是否允许提交备选方案</w:t>
            </w:r>
          </w:p>
        </w:tc>
        <w:tc>
          <w:tcPr>
            <w:tcW w:w="581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20</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16.1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投标文件份数</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color w:val="000000" w:themeColor="text1"/>
                <w:szCs w:val="21"/>
              </w:rPr>
              <w:t>投标文件由商务部分、技术部分和开标一览表三部分组成</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正本1套，副本4套，开标一览表1份。</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投标文件电子版：1份。  提供形式：U盘。</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投标文件电子版必须与纸质投标文件一致，内容必须包括：</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①投标文件所有页面的扫描件（含所有签字及盖章部分）电子版，为保证电子版不可编辑，格式必须为PDF或JPEG（电子版可以将签字盖章部分扫描后插入投标文件电子文档后以PDF或JPEG格式输出生成）。</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②投标报价明细表电子版，格式为Word或Excel。</w:t>
            </w:r>
          </w:p>
          <w:p>
            <w:pPr>
              <w:pStyle w:val="49"/>
              <w:rPr>
                <w:rFonts w:asciiTheme="majorEastAsia" w:hAnsiTheme="majorEastAsia" w:eastAsiaTheme="majorEastAsia"/>
                <w:color w:val="000000" w:themeColor="text1"/>
              </w:rPr>
            </w:pPr>
            <w:r>
              <w:rPr>
                <w:rFonts w:cs="仿宋" w:asciiTheme="majorEastAsia" w:hAnsiTheme="majorEastAsia" w:eastAsiaTheme="majorEastAsia"/>
                <w:bCs/>
                <w:color w:val="000000" w:themeColor="text1"/>
                <w:kern w:val="0"/>
                <w:szCs w:val="21"/>
              </w:rPr>
              <w:t>③</w:t>
            </w:r>
            <w:r>
              <w:rPr>
                <w:rFonts w:hint="eastAsia" w:asciiTheme="majorEastAsia" w:hAnsiTheme="majorEastAsia" w:eastAsiaTheme="majorEastAsia"/>
                <w:color w:val="000000" w:themeColor="text1"/>
              </w:rPr>
              <w:t>凡进入开标、唱标程序的投标文件概不退还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21</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17.1</w:t>
            </w:r>
          </w:p>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17.2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装订及密封要求</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投标文件可分为三册：技术部分、商务部分和开标一览表。</w:t>
            </w:r>
          </w:p>
          <w:p>
            <w:pPr>
              <w:pStyle w:val="14"/>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除明确要求单独提交的材料外，投标文件需在封面上清楚地标明“正本”或“副本”；</w:t>
            </w:r>
            <w:r>
              <w:rPr>
                <w:rFonts w:hint="eastAsia" w:cs="仿宋" w:asciiTheme="majorEastAsia" w:hAnsiTheme="majorEastAsia" w:eastAsiaTheme="majorEastAsia"/>
                <w:color w:val="000000" w:themeColor="text1"/>
                <w:szCs w:val="21"/>
              </w:rPr>
              <w:t>投标文件每册装订应牢固、不易拆散和换页，不得采用活页装订。</w:t>
            </w:r>
            <w:r>
              <w:rPr>
                <w:rFonts w:hint="eastAsia" w:cs="仿宋" w:asciiTheme="majorEastAsia" w:hAnsiTheme="majorEastAsia" w:eastAsiaTheme="majorEastAsia"/>
                <w:bCs/>
                <w:color w:val="000000" w:themeColor="text1"/>
                <w:kern w:val="0"/>
                <w:szCs w:val="21"/>
              </w:rPr>
              <w:t>投标文件中大于A3的彩图应需要另外裱装。</w:t>
            </w:r>
          </w:p>
          <w:p>
            <w:pPr>
              <w:pStyle w:val="14"/>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文件的技术和商务部分应分别独立包封（正、副本放在一个包内），并在包封上标注“技术”或“商务”字样，投标人应将所有的独立包封的部分、电子文档一起密封在同一个外层封套中，加贴“密封”字样封条，并在封套的封口处骑缝盖章。</w:t>
            </w:r>
          </w:p>
          <w:p>
            <w:pPr>
              <w:pStyle w:val="14"/>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为方便开标唱标，投标人应将开标一览表单独密封提交，并在信封上标明“开标一览表”字样，加贴“密封”字样封条，并在封套的封口处骑缝盖章。并且按照投标人须知前附表的要求在封套上写明标记。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22</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17.7</w:t>
            </w:r>
          </w:p>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17.8</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技术部分编制要求及其他要求</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投标文件技术部分不采用“暗标”做法。</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所有打印文件应统一装订在投标文件中。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23</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18.1</w:t>
            </w:r>
          </w:p>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18.2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投标文件提交地点及截止时间</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
                <w:bCs/>
                <w:color w:val="000000" w:themeColor="text1"/>
                <w:kern w:val="0"/>
                <w:szCs w:val="21"/>
              </w:rPr>
            </w:pPr>
            <w:r>
              <w:rPr>
                <w:rFonts w:hint="eastAsia" w:cs="仿宋" w:asciiTheme="majorEastAsia" w:hAnsiTheme="majorEastAsia" w:eastAsiaTheme="majorEastAsia"/>
                <w:bCs/>
                <w:color w:val="000000" w:themeColor="text1"/>
                <w:kern w:val="0"/>
                <w:szCs w:val="21"/>
              </w:rPr>
              <w:t>提交地点：</w:t>
            </w:r>
            <w:r>
              <w:rPr>
                <w:rFonts w:hint="eastAsia" w:cs="仿宋" w:asciiTheme="majorEastAsia" w:hAnsiTheme="majorEastAsia" w:eastAsiaTheme="majorEastAsia"/>
                <w:b/>
                <w:bCs/>
                <w:color w:val="000000" w:themeColor="text1"/>
                <w:kern w:val="0"/>
                <w:szCs w:val="21"/>
              </w:rPr>
              <w:t>墨玉县公共资源交易平台中心（墨玉县玉华社区院内）</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投标截</w:t>
            </w:r>
            <w:r>
              <w:rPr>
                <w:rFonts w:hint="eastAsia" w:cs="仿宋" w:asciiTheme="majorEastAsia" w:hAnsiTheme="majorEastAsia" w:eastAsiaTheme="majorEastAsia"/>
                <w:b/>
                <w:bCs/>
                <w:color w:val="000000" w:themeColor="text1"/>
                <w:kern w:val="0"/>
                <w:szCs w:val="21"/>
              </w:rPr>
              <w:t>止时间：202</w:t>
            </w:r>
            <w:r>
              <w:rPr>
                <w:rFonts w:hint="eastAsia" w:cs="仿宋" w:asciiTheme="majorEastAsia" w:hAnsiTheme="majorEastAsia" w:eastAsiaTheme="majorEastAsia"/>
                <w:b/>
                <w:bCs/>
                <w:color w:val="000000" w:themeColor="text1"/>
                <w:kern w:val="0"/>
                <w:szCs w:val="21"/>
                <w:lang w:val="en-US" w:eastAsia="zh-CN"/>
              </w:rPr>
              <w:t>2</w:t>
            </w:r>
            <w:r>
              <w:rPr>
                <w:rFonts w:hint="eastAsia" w:cs="仿宋" w:asciiTheme="majorEastAsia" w:hAnsiTheme="majorEastAsia" w:eastAsiaTheme="majorEastAsia"/>
                <w:b/>
                <w:bCs/>
                <w:color w:val="000000" w:themeColor="text1"/>
                <w:kern w:val="0"/>
                <w:szCs w:val="21"/>
              </w:rPr>
              <w:t>年</w:t>
            </w:r>
            <w:r>
              <w:rPr>
                <w:rFonts w:hint="eastAsia" w:cs="仿宋" w:asciiTheme="majorEastAsia" w:hAnsiTheme="majorEastAsia" w:eastAsiaTheme="majorEastAsia"/>
                <w:b/>
                <w:bCs/>
                <w:color w:val="000000" w:themeColor="text1"/>
                <w:kern w:val="0"/>
                <w:szCs w:val="21"/>
                <w:lang w:val="en-US" w:eastAsia="zh-CN"/>
              </w:rPr>
              <w:t>8</w:t>
            </w:r>
            <w:r>
              <w:rPr>
                <w:rFonts w:hint="eastAsia" w:cs="仿宋" w:asciiTheme="majorEastAsia" w:hAnsiTheme="majorEastAsia" w:eastAsiaTheme="majorEastAsia"/>
                <w:b/>
                <w:bCs/>
                <w:color w:val="000000" w:themeColor="text1"/>
                <w:kern w:val="0"/>
                <w:szCs w:val="21"/>
              </w:rPr>
              <w:t>月</w:t>
            </w:r>
            <w:r>
              <w:rPr>
                <w:rFonts w:hint="eastAsia" w:cs="仿宋" w:asciiTheme="majorEastAsia" w:hAnsiTheme="majorEastAsia" w:eastAsiaTheme="majorEastAsia"/>
                <w:b/>
                <w:bCs/>
                <w:color w:val="000000" w:themeColor="text1"/>
                <w:kern w:val="0"/>
                <w:szCs w:val="21"/>
                <w:lang w:val="en-US" w:eastAsia="zh-CN"/>
              </w:rPr>
              <w:t>31</w:t>
            </w:r>
            <w:bookmarkStart w:id="218" w:name="_GoBack"/>
            <w:bookmarkEnd w:id="218"/>
            <w:r>
              <w:rPr>
                <w:rFonts w:hint="eastAsia" w:cs="仿宋" w:asciiTheme="majorEastAsia" w:hAnsiTheme="majorEastAsia" w:eastAsiaTheme="majorEastAsia"/>
                <w:b/>
                <w:bCs/>
                <w:color w:val="000000" w:themeColor="text1"/>
                <w:kern w:val="0"/>
                <w:szCs w:val="21"/>
              </w:rPr>
              <w:t>日11 时00分（北京时间）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24</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20.1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开   标</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
                <w:bCs w:val="0"/>
                <w:color w:val="000000" w:themeColor="text1"/>
                <w:kern w:val="0"/>
                <w:szCs w:val="21"/>
              </w:rPr>
            </w:pPr>
            <w:r>
              <w:rPr>
                <w:rFonts w:hint="eastAsia" w:cs="仿宋" w:asciiTheme="majorEastAsia" w:hAnsiTheme="majorEastAsia" w:eastAsiaTheme="majorEastAsia"/>
                <w:b/>
                <w:bCs w:val="0"/>
                <w:color w:val="000000" w:themeColor="text1"/>
                <w:kern w:val="0"/>
                <w:szCs w:val="21"/>
              </w:rPr>
              <w:t>开标时间：同投标截止时间</w:t>
            </w:r>
          </w:p>
          <w:p>
            <w:pPr>
              <w:rPr>
                <w:rFonts w:cs="仿宋" w:asciiTheme="majorEastAsia" w:hAnsiTheme="majorEastAsia" w:eastAsiaTheme="majorEastAsia"/>
                <w:b/>
                <w:bCs w:val="0"/>
                <w:color w:val="000000" w:themeColor="text1"/>
                <w:kern w:val="0"/>
                <w:szCs w:val="21"/>
              </w:rPr>
            </w:pPr>
            <w:r>
              <w:rPr>
                <w:rFonts w:hint="eastAsia" w:cs="仿宋" w:asciiTheme="majorEastAsia" w:hAnsiTheme="majorEastAsia" w:eastAsiaTheme="majorEastAsia"/>
                <w:b/>
                <w:bCs w:val="0"/>
                <w:color w:val="000000" w:themeColor="text1"/>
                <w:kern w:val="0"/>
                <w:szCs w:val="21"/>
              </w:rPr>
              <w:t>地    点：同投标文件递交地点</w:t>
            </w:r>
          </w:p>
          <w:p>
            <w:pPr>
              <w:numPr>
                <w:ilvl w:val="0"/>
                <w:numId w:val="3"/>
              </w:numPr>
              <w:rPr>
                <w:rFonts w:cs="仿宋" w:asciiTheme="majorEastAsia" w:hAnsiTheme="majorEastAsia" w:eastAsiaTheme="majorEastAsia"/>
                <w:b/>
                <w:bCs w:val="0"/>
                <w:color w:val="000000" w:themeColor="text1"/>
                <w:kern w:val="0"/>
                <w:szCs w:val="21"/>
              </w:rPr>
            </w:pPr>
            <w:r>
              <w:rPr>
                <w:rFonts w:hint="eastAsia" w:cs="仿宋" w:asciiTheme="majorEastAsia" w:hAnsiTheme="majorEastAsia" w:eastAsiaTheme="majorEastAsia"/>
                <w:b/>
                <w:bCs w:val="0"/>
                <w:color w:val="000000" w:themeColor="text1"/>
                <w:kern w:val="0"/>
                <w:szCs w:val="21"/>
              </w:rPr>
              <w:t>开标后首先由招标人代表和监标人员一同查验参加开标会各投标人的到会情况，检查的资料如下：</w:t>
            </w:r>
          </w:p>
          <w:p>
            <w:pPr>
              <w:rPr>
                <w:rFonts w:cs="仿宋" w:asciiTheme="majorEastAsia" w:hAnsiTheme="majorEastAsia" w:eastAsiaTheme="majorEastAsia"/>
                <w:b/>
                <w:bCs w:val="0"/>
                <w:color w:val="000000" w:themeColor="text1"/>
                <w:kern w:val="0"/>
                <w:szCs w:val="21"/>
              </w:rPr>
            </w:pPr>
            <w:r>
              <w:rPr>
                <w:rFonts w:hint="eastAsia" w:cs="仿宋" w:asciiTheme="majorEastAsia" w:hAnsiTheme="majorEastAsia" w:eastAsiaTheme="majorEastAsia"/>
                <w:b/>
                <w:bCs w:val="0"/>
                <w:color w:val="000000" w:themeColor="text1"/>
                <w:kern w:val="0"/>
                <w:szCs w:val="21"/>
              </w:rPr>
              <w:t>（1）法人到场参与投标的需提供身份证明书（原件）及身份证原件；委托代理人到场参与投标的需提供授权委托书（附授权人及委托人身份证复印件正反面）及身份证原件，需提供委托代理人近六个月由本单位社保缴费凭证及个人明细。（新成立时间少于六个月的公司，按实际发生提供）；</w:t>
            </w:r>
          </w:p>
          <w:p>
            <w:pPr>
              <w:rPr>
                <w:rFonts w:cs="仿宋" w:asciiTheme="majorEastAsia" w:hAnsiTheme="majorEastAsia" w:eastAsiaTheme="majorEastAsia"/>
                <w:b/>
                <w:bCs w:val="0"/>
                <w:color w:val="000000" w:themeColor="text1"/>
                <w:kern w:val="0"/>
                <w:szCs w:val="21"/>
              </w:rPr>
            </w:pPr>
            <w:r>
              <w:rPr>
                <w:rFonts w:hint="eastAsia" w:cs="仿宋" w:asciiTheme="majorEastAsia" w:hAnsiTheme="majorEastAsia" w:eastAsiaTheme="majorEastAsia"/>
                <w:b/>
                <w:bCs w:val="0"/>
                <w:color w:val="000000" w:themeColor="text1"/>
                <w:kern w:val="0"/>
                <w:szCs w:val="21"/>
              </w:rPr>
              <w:t>（</w:t>
            </w:r>
            <w:r>
              <w:rPr>
                <w:rFonts w:hint="eastAsia" w:cs="仿宋" w:asciiTheme="majorEastAsia" w:hAnsiTheme="majorEastAsia" w:eastAsiaTheme="majorEastAsia"/>
                <w:b/>
                <w:bCs w:val="0"/>
                <w:color w:val="000000" w:themeColor="text1"/>
                <w:kern w:val="0"/>
                <w:szCs w:val="21"/>
                <w:lang w:val="en-US" w:eastAsia="zh-CN"/>
              </w:rPr>
              <w:t>2</w:t>
            </w:r>
            <w:r>
              <w:rPr>
                <w:rFonts w:hint="eastAsia" w:cs="仿宋" w:asciiTheme="majorEastAsia" w:hAnsiTheme="majorEastAsia" w:eastAsiaTheme="majorEastAsia"/>
                <w:b/>
                <w:bCs w:val="0"/>
                <w:color w:val="000000" w:themeColor="text1"/>
                <w:kern w:val="0"/>
                <w:szCs w:val="21"/>
              </w:rPr>
              <w:t>）有效的“三证合一”的营业执照</w:t>
            </w:r>
            <w:r>
              <w:rPr>
                <w:rFonts w:hint="eastAsia" w:cs="仿宋" w:asciiTheme="majorEastAsia" w:hAnsiTheme="majorEastAsia" w:eastAsiaTheme="majorEastAsia"/>
                <w:b/>
                <w:bCs w:val="0"/>
                <w:color w:val="000000" w:themeColor="text1"/>
                <w:kern w:val="0"/>
                <w:szCs w:val="21"/>
                <w:lang w:eastAsia="zh-CN"/>
              </w:rPr>
              <w:t>（</w:t>
            </w:r>
            <w:r>
              <w:rPr>
                <w:rFonts w:hint="eastAsia" w:cs="仿宋" w:asciiTheme="majorEastAsia" w:hAnsiTheme="majorEastAsia" w:eastAsiaTheme="majorEastAsia"/>
                <w:b/>
                <w:bCs w:val="0"/>
                <w:color w:val="000000" w:themeColor="text1"/>
                <w:kern w:val="0"/>
                <w:szCs w:val="21"/>
                <w:lang w:val="en-US" w:eastAsia="zh-CN"/>
              </w:rPr>
              <w:t>提供原件</w:t>
            </w:r>
            <w:r>
              <w:rPr>
                <w:rFonts w:hint="eastAsia" w:cs="仿宋" w:asciiTheme="majorEastAsia" w:hAnsiTheme="majorEastAsia" w:eastAsiaTheme="majorEastAsia"/>
                <w:b/>
                <w:bCs w:val="0"/>
                <w:color w:val="000000" w:themeColor="text1"/>
                <w:kern w:val="0"/>
                <w:szCs w:val="21"/>
                <w:lang w:eastAsia="zh-CN"/>
              </w:rPr>
              <w:t>）、开户许可证</w:t>
            </w:r>
            <w:r>
              <w:rPr>
                <w:rFonts w:hint="eastAsia" w:cs="仿宋" w:asciiTheme="majorEastAsia" w:hAnsiTheme="majorEastAsia" w:eastAsiaTheme="majorEastAsia"/>
                <w:b/>
                <w:bCs w:val="0"/>
                <w:color w:val="000000" w:themeColor="text1"/>
                <w:kern w:val="0"/>
                <w:szCs w:val="21"/>
              </w:rPr>
              <w:t>；</w:t>
            </w:r>
          </w:p>
          <w:p>
            <w:pPr>
              <w:rPr>
                <w:rFonts w:cs="仿宋" w:asciiTheme="majorEastAsia" w:hAnsiTheme="majorEastAsia" w:eastAsiaTheme="majorEastAsia"/>
                <w:b/>
                <w:bCs w:val="0"/>
                <w:color w:val="000000" w:themeColor="text1"/>
                <w:kern w:val="0"/>
                <w:szCs w:val="21"/>
              </w:rPr>
            </w:pPr>
            <w:r>
              <w:rPr>
                <w:rFonts w:hint="eastAsia" w:cs="仿宋" w:asciiTheme="majorEastAsia" w:hAnsiTheme="majorEastAsia" w:eastAsiaTheme="majorEastAsia"/>
                <w:b/>
                <w:bCs w:val="0"/>
                <w:color w:val="000000" w:themeColor="text1"/>
                <w:kern w:val="0"/>
                <w:szCs w:val="21"/>
              </w:rPr>
              <w:t>（</w:t>
            </w:r>
            <w:r>
              <w:rPr>
                <w:rFonts w:hint="eastAsia" w:cs="仿宋" w:asciiTheme="majorEastAsia" w:hAnsiTheme="majorEastAsia" w:eastAsiaTheme="majorEastAsia"/>
                <w:b/>
                <w:bCs w:val="0"/>
                <w:color w:val="000000" w:themeColor="text1"/>
                <w:kern w:val="0"/>
                <w:szCs w:val="21"/>
                <w:lang w:val="en-US" w:eastAsia="zh-CN"/>
              </w:rPr>
              <w:t>3</w:t>
            </w:r>
            <w:r>
              <w:rPr>
                <w:rFonts w:hint="eastAsia" w:cs="仿宋" w:asciiTheme="majorEastAsia" w:hAnsiTheme="majorEastAsia" w:eastAsiaTheme="majorEastAsia"/>
                <w:b/>
                <w:bCs w:val="0"/>
                <w:color w:val="000000" w:themeColor="text1"/>
                <w:kern w:val="0"/>
                <w:szCs w:val="21"/>
              </w:rPr>
              <w:t>）投标单位应</w:t>
            </w:r>
            <w:r>
              <w:rPr>
                <w:rFonts w:hint="eastAsia" w:cs="仿宋" w:asciiTheme="majorEastAsia" w:hAnsiTheme="majorEastAsia" w:eastAsiaTheme="majorEastAsia"/>
                <w:b/>
                <w:bCs w:val="0"/>
                <w:color w:val="000000" w:themeColor="text1"/>
                <w:kern w:val="0"/>
                <w:szCs w:val="21"/>
                <w:lang w:val="en-US" w:eastAsia="zh-CN"/>
              </w:rPr>
              <w:t>具有良好的商业信誉和健全的财务会计制度及完税证明（需提供会计事务所出具2020年度财务审计报告（原件）及税务部门出具的近半年的完税证明，2021年新成立的公司可不提供）</w:t>
            </w:r>
            <w:r>
              <w:rPr>
                <w:rFonts w:hint="eastAsia" w:cs="仿宋" w:asciiTheme="majorEastAsia" w:hAnsiTheme="majorEastAsia" w:eastAsiaTheme="majorEastAsia"/>
                <w:b/>
                <w:bCs w:val="0"/>
                <w:color w:val="000000" w:themeColor="text1"/>
                <w:kern w:val="0"/>
                <w:szCs w:val="21"/>
              </w:rPr>
              <w:t>；</w:t>
            </w:r>
          </w:p>
          <w:p>
            <w:pPr>
              <w:rPr>
                <w:rFonts w:cs="仿宋" w:asciiTheme="majorEastAsia" w:hAnsiTheme="majorEastAsia" w:eastAsiaTheme="majorEastAsia"/>
                <w:b/>
                <w:bCs w:val="0"/>
                <w:color w:val="000000" w:themeColor="text1"/>
                <w:kern w:val="0"/>
                <w:szCs w:val="21"/>
              </w:rPr>
            </w:pPr>
            <w:r>
              <w:rPr>
                <w:rFonts w:hint="eastAsia" w:cs="仿宋" w:asciiTheme="majorEastAsia" w:hAnsiTheme="majorEastAsia" w:eastAsiaTheme="majorEastAsia"/>
                <w:b/>
                <w:bCs w:val="0"/>
                <w:color w:val="000000" w:themeColor="text1"/>
                <w:kern w:val="0"/>
                <w:szCs w:val="21"/>
              </w:rPr>
              <w:t>（</w:t>
            </w:r>
            <w:r>
              <w:rPr>
                <w:rFonts w:hint="eastAsia" w:cs="仿宋" w:asciiTheme="majorEastAsia" w:hAnsiTheme="majorEastAsia" w:eastAsiaTheme="majorEastAsia"/>
                <w:b/>
                <w:bCs w:val="0"/>
                <w:color w:val="000000" w:themeColor="text1"/>
                <w:kern w:val="0"/>
                <w:szCs w:val="21"/>
                <w:lang w:val="en-US" w:eastAsia="zh-CN"/>
              </w:rPr>
              <w:t>4</w:t>
            </w:r>
            <w:r>
              <w:rPr>
                <w:rFonts w:hint="eastAsia" w:cs="仿宋" w:asciiTheme="majorEastAsia" w:hAnsiTheme="majorEastAsia" w:eastAsiaTheme="majorEastAsia"/>
                <w:b/>
                <w:bCs w:val="0"/>
                <w:color w:val="000000" w:themeColor="text1"/>
                <w:kern w:val="0"/>
                <w:szCs w:val="21"/>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w:t>
            </w:r>
            <w:r>
              <w:rPr>
                <w:rFonts w:hint="eastAsia" w:cs="仿宋" w:asciiTheme="majorEastAsia" w:hAnsiTheme="majorEastAsia" w:eastAsiaTheme="majorEastAsia"/>
                <w:b/>
                <w:bCs w:val="0"/>
                <w:color w:val="000000" w:themeColor="text1"/>
                <w:kern w:val="0"/>
                <w:szCs w:val="21"/>
                <w:lang w:eastAsia="zh-CN"/>
              </w:rPr>
              <w:t>须</w:t>
            </w:r>
            <w:r>
              <w:rPr>
                <w:rFonts w:hint="eastAsia" w:cs="仿宋" w:asciiTheme="majorEastAsia" w:hAnsiTheme="majorEastAsia" w:eastAsiaTheme="majorEastAsia"/>
                <w:b/>
                <w:bCs w:val="0"/>
                <w:color w:val="000000" w:themeColor="text1"/>
                <w:kern w:val="0"/>
                <w:szCs w:val="21"/>
              </w:rPr>
              <w:t>加盖单位鲜公章）；；</w:t>
            </w:r>
          </w:p>
          <w:p>
            <w:pPr>
              <w:rPr>
                <w:rFonts w:cs="仿宋" w:asciiTheme="majorEastAsia" w:hAnsiTheme="majorEastAsia" w:eastAsiaTheme="majorEastAsia"/>
                <w:b/>
                <w:bCs w:val="0"/>
                <w:color w:val="000000" w:themeColor="text1"/>
                <w:kern w:val="0"/>
                <w:szCs w:val="21"/>
              </w:rPr>
            </w:pPr>
            <w:r>
              <w:rPr>
                <w:rFonts w:hint="eastAsia" w:cs="仿宋" w:asciiTheme="majorEastAsia" w:hAnsiTheme="majorEastAsia" w:eastAsiaTheme="majorEastAsia"/>
                <w:b/>
                <w:bCs w:val="0"/>
                <w:color w:val="000000" w:themeColor="text1"/>
                <w:kern w:val="0"/>
                <w:szCs w:val="21"/>
              </w:rPr>
              <w:t>（</w:t>
            </w:r>
            <w:r>
              <w:rPr>
                <w:rFonts w:hint="eastAsia" w:cs="仿宋" w:asciiTheme="majorEastAsia" w:hAnsiTheme="majorEastAsia" w:eastAsiaTheme="majorEastAsia"/>
                <w:b/>
                <w:bCs w:val="0"/>
                <w:color w:val="000000" w:themeColor="text1"/>
                <w:kern w:val="0"/>
                <w:szCs w:val="21"/>
                <w:lang w:val="en-US" w:eastAsia="zh-CN"/>
              </w:rPr>
              <w:t>5</w:t>
            </w:r>
            <w:r>
              <w:rPr>
                <w:rFonts w:hint="eastAsia" w:cs="仿宋" w:asciiTheme="majorEastAsia" w:hAnsiTheme="majorEastAsia" w:eastAsiaTheme="majorEastAsia"/>
                <w:b/>
                <w:bCs w:val="0"/>
                <w:color w:val="000000" w:themeColor="text1"/>
                <w:kern w:val="0"/>
                <w:szCs w:val="21"/>
              </w:rPr>
              <w:t>）保证金缴纳票据（墨玉县公共资源平台交易中心开具的投标保证金收据）</w:t>
            </w:r>
            <w:r>
              <w:rPr>
                <w:rFonts w:hint="eastAsia" w:cs="仿宋" w:asciiTheme="majorEastAsia" w:hAnsiTheme="majorEastAsia" w:eastAsiaTheme="majorEastAsia"/>
                <w:b/>
                <w:bCs w:val="0"/>
                <w:color w:val="000000" w:themeColor="text1"/>
                <w:kern w:val="0"/>
                <w:szCs w:val="21"/>
                <w:lang w:val="en-US" w:eastAsia="zh-CN"/>
              </w:rPr>
              <w:t>及电子汇款单（汇款截图）</w:t>
            </w:r>
            <w:r>
              <w:rPr>
                <w:rFonts w:hint="eastAsia" w:cs="仿宋" w:asciiTheme="majorEastAsia" w:hAnsiTheme="majorEastAsia" w:eastAsiaTheme="majorEastAsia"/>
                <w:b/>
                <w:bCs w:val="0"/>
                <w:color w:val="000000" w:themeColor="text1"/>
                <w:kern w:val="0"/>
                <w:szCs w:val="21"/>
              </w:rPr>
              <w:t>；</w:t>
            </w:r>
          </w:p>
          <w:p>
            <w:pPr>
              <w:rPr>
                <w:rFonts w:cs="仿宋" w:asciiTheme="majorEastAsia" w:hAnsiTheme="majorEastAsia" w:eastAsiaTheme="majorEastAsia"/>
                <w:b/>
                <w:bCs w:val="0"/>
                <w:color w:val="000000" w:themeColor="text1"/>
                <w:kern w:val="0"/>
                <w:szCs w:val="21"/>
              </w:rPr>
            </w:pPr>
            <w:r>
              <w:rPr>
                <w:rFonts w:hint="eastAsia" w:cs="仿宋" w:asciiTheme="majorEastAsia" w:hAnsiTheme="majorEastAsia" w:eastAsiaTheme="majorEastAsia"/>
                <w:b/>
                <w:bCs w:val="0"/>
                <w:color w:val="000000" w:themeColor="text1"/>
                <w:kern w:val="0"/>
                <w:szCs w:val="21"/>
              </w:rPr>
              <w:t>3、由投标人代表</w:t>
            </w:r>
            <w:r>
              <w:rPr>
                <w:rFonts w:hint="eastAsia" w:cs="仿宋" w:asciiTheme="majorEastAsia" w:hAnsiTheme="majorEastAsia" w:eastAsiaTheme="majorEastAsia"/>
                <w:b/>
                <w:bCs w:val="0"/>
                <w:color w:val="000000" w:themeColor="text1"/>
                <w:szCs w:val="21"/>
              </w:rPr>
              <w:t>（有效投标人自行推荐）</w:t>
            </w:r>
            <w:r>
              <w:rPr>
                <w:rFonts w:hint="eastAsia" w:cs="仿宋" w:asciiTheme="majorEastAsia" w:hAnsiTheme="majorEastAsia" w:eastAsiaTheme="majorEastAsia"/>
                <w:b/>
                <w:bCs w:val="0"/>
                <w:color w:val="000000" w:themeColor="text1"/>
                <w:kern w:val="0"/>
                <w:szCs w:val="21"/>
              </w:rPr>
              <w:t>检查投标文件密封性。</w:t>
            </w:r>
          </w:p>
          <w:p>
            <w:pPr>
              <w:rPr>
                <w:rFonts w:cs="仿宋" w:asciiTheme="majorEastAsia" w:hAnsiTheme="majorEastAsia" w:eastAsiaTheme="majorEastAsia"/>
                <w:b/>
                <w:bCs w:val="0"/>
                <w:color w:val="000000" w:themeColor="text1"/>
                <w:kern w:val="0"/>
                <w:szCs w:val="21"/>
              </w:rPr>
            </w:pPr>
            <w:r>
              <w:rPr>
                <w:rFonts w:hint="eastAsia" w:cs="仿宋" w:asciiTheme="majorEastAsia" w:hAnsiTheme="majorEastAsia" w:eastAsiaTheme="majorEastAsia"/>
                <w:b/>
                <w:bCs w:val="0"/>
                <w:color w:val="000000" w:themeColor="text1"/>
                <w:kern w:val="0"/>
                <w:szCs w:val="21"/>
              </w:rPr>
              <w:t>4、开标顺序按签到时间先后的逆顺序进行唱标。</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
                <w:bCs w:val="0"/>
                <w:color w:val="000000" w:themeColor="text1"/>
                <w:kern w:val="0"/>
                <w:szCs w:val="21"/>
              </w:rPr>
              <w:t>5、投标人对开标记录及唱标结果签字确认。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25</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评标委员会</w:t>
            </w:r>
          </w:p>
        </w:tc>
        <w:tc>
          <w:tcPr>
            <w:tcW w:w="581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cs="仿宋" w:asciiTheme="majorEastAsia" w:hAnsiTheme="majorEastAsia" w:eastAsiaTheme="majorEastAsia"/>
                <w:bCs/>
                <w:color w:val="000000" w:themeColor="text1"/>
                <w:kern w:val="0"/>
                <w:szCs w:val="21"/>
                <w:highlight w:val="none"/>
                <w:lang w:val="en-US" w:eastAsia="zh-CN"/>
              </w:rPr>
            </w:pPr>
            <w:r>
              <w:rPr>
                <w:rFonts w:hint="eastAsia" w:cs="仿宋" w:asciiTheme="majorEastAsia" w:hAnsiTheme="majorEastAsia" w:eastAsiaTheme="majorEastAsia"/>
                <w:bCs/>
                <w:color w:val="000000" w:themeColor="text1"/>
                <w:kern w:val="0"/>
                <w:szCs w:val="21"/>
                <w:highlight w:val="none"/>
              </w:rPr>
              <w:t>评标委员会构成：</w:t>
            </w:r>
            <w:r>
              <w:rPr>
                <w:rFonts w:hint="eastAsia" w:cs="仿宋" w:asciiTheme="majorEastAsia" w:hAnsiTheme="majorEastAsia" w:eastAsiaTheme="majorEastAsia"/>
                <w:bCs/>
                <w:color w:val="000000" w:themeColor="text1"/>
                <w:kern w:val="0"/>
                <w:szCs w:val="21"/>
                <w:highlight w:val="none"/>
                <w:lang w:val="en-US" w:eastAsia="zh-CN"/>
              </w:rPr>
              <w:t>5</w:t>
            </w:r>
            <w:r>
              <w:rPr>
                <w:rFonts w:hint="eastAsia" w:cs="仿宋" w:asciiTheme="majorEastAsia" w:hAnsiTheme="majorEastAsia" w:eastAsiaTheme="majorEastAsia"/>
                <w:bCs/>
                <w:color w:val="000000" w:themeColor="text1"/>
                <w:kern w:val="0"/>
                <w:szCs w:val="21"/>
                <w:highlight w:val="none"/>
              </w:rPr>
              <w:t>人</w:t>
            </w:r>
            <w:r>
              <w:rPr>
                <w:rFonts w:hint="eastAsia" w:cs="仿宋" w:asciiTheme="majorEastAsia" w:hAnsiTheme="majorEastAsia" w:eastAsiaTheme="majorEastAsia"/>
                <w:bCs/>
                <w:color w:val="000000" w:themeColor="text1"/>
                <w:kern w:val="0"/>
                <w:szCs w:val="21"/>
                <w:highlight w:val="none"/>
                <w:lang w:eastAsia="zh-CN"/>
              </w:rPr>
              <w:t>，</w:t>
            </w:r>
            <w:r>
              <w:rPr>
                <w:rFonts w:hint="eastAsia" w:cs="仿宋" w:asciiTheme="majorEastAsia" w:hAnsiTheme="majorEastAsia" w:eastAsiaTheme="majorEastAsia"/>
                <w:bCs/>
                <w:color w:val="000000" w:themeColor="text1"/>
                <w:kern w:val="0"/>
                <w:szCs w:val="21"/>
                <w:highlight w:val="none"/>
                <w:lang w:val="en-US" w:eastAsia="zh-CN"/>
              </w:rPr>
              <w:t>其中招标人代表1人，专家4人。</w:t>
            </w:r>
          </w:p>
          <w:p>
            <w:pPr>
              <w:adjustRightInd w:val="0"/>
              <w:snapToGrid w:val="0"/>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highlight w:val="none"/>
              </w:rPr>
              <w:t>评标专家确定方式：随机抽取。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26</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26.3</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是否授权评标委员会确定中标人</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27</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29.1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中标公示和通知</w:t>
            </w:r>
          </w:p>
        </w:tc>
        <w:tc>
          <w:tcPr>
            <w:tcW w:w="58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在依法确定中标人后，招标代理机构将在发布招标公告的媒体公示评标结果，公示期为1个工作日。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28</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31.1</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是否退还投标文件</w:t>
            </w:r>
          </w:p>
        </w:tc>
        <w:tc>
          <w:tcPr>
            <w:tcW w:w="5813"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 xml:space="preserve">否，所有响应招标文件要求合格投标人的投标文件包括随文件同时递交的图纸、U盘等附件均不予退回。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29</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32</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asciiTheme="majorEastAsia" w:hAnsiTheme="majorEastAsia" w:eastAsiaTheme="majorEastAsia"/>
                <w:bCs/>
                <w:color w:val="000000" w:themeColor="text1"/>
                <w:szCs w:val="21"/>
              </w:rPr>
              <w:t>投标人不得存在的其他情形</w:t>
            </w:r>
          </w:p>
        </w:tc>
        <w:tc>
          <w:tcPr>
            <w:tcW w:w="581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一、不得存串通投标。有下列情形之一的，视为投标人串通投标，其投标无效：</w:t>
            </w:r>
          </w:p>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（一）不同投标人的投标文件由同一单位或者个人编制；</w:t>
            </w:r>
          </w:p>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（二）不同投标人委托同一单位或者个人办理投标事宜；</w:t>
            </w:r>
          </w:p>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（三）不同投标人的投标文件载明的项目管理成员或者联系人员为同一人；</w:t>
            </w:r>
          </w:p>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（四）不同投标人的投标文件异常一致或者投标报价呈规律性差异；</w:t>
            </w:r>
          </w:p>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（五）不同投标人的投标文件相互混装；</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（六）不同投标人的投标保证金从同一单位或者个人的账户转出；</w:t>
            </w:r>
          </w:p>
          <w:p>
            <w:pPr>
              <w:pStyle w:val="49"/>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（七）其他法律法规规定的情形。</w:t>
            </w:r>
          </w:p>
          <w:p>
            <w:pP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二、投标人与投标人之间不得存在任何关联关系，关联关系的认定依据国家税务总局发布《关于完善关联申报和同期资料管理有关事项的公告》第二条，有下列情形之一的，视为有关联关系，其投标无效：</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（一）一方直接或者间接持有另一方的股份总和达到25%以上；双方直接或者间接同为第三方所持有的股份达到25%以上。</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如果一方通过中间方对另一方间接持有股份，只要其对中间方持股比例达到25%以上，则其对另一方的持股比例按照中间方对另一方的持股比例计算。</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两个以上具有夫妻、直系血亲、兄弟姐妹以及其他抚养、赡养关系的自然人共同持股同一企业，在判定关联关系时持股比例合并计算。</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二）双方存在持股关系或者同为第三方持股，虽持股比例未达到本条第（一）项规定，但双方之间借贷资金总额占任一方实收资本比例达到50%以上，或者一方全部借贷资金总额的10%以上由另一方担保（与独立金融机构之间的借贷或者担保除外）。</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借贷资金总额占实收资本比例=年度加权平均借贷资金/年度加权平均实收资本，其中：</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年度加权平均借贷资金= i笔借入或者贷出资金账面金额×i笔借入或者贷出资金年度实际占用天数/365。</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年度加权平均实收资本= i笔实收资本账面金额×i笔实收资本年度实际占用天数/365</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（三）双方存在持股关系或者同为第三方持股，虽持股比例未达到本条第（一）项规定，但一方的生产经营活动必须由另一方提供专利权、非专利技术、商标权、著作权等特许权才能正常进行。</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（四）双方存在持股关系或者同为第三方持股，虽持股比例未达到本条第（一）项规定，但一方的购买、销售、接受劳务、提供劳务等经营活动由另一方控制。</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上述控制是指一方有权决定另一方的财务和经营政策，并能据以从另一方的经营活动中获取利益。</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五）一方半数以上董事或者半数以上高级管理人员（包括上市公司董事会秘书、经理、副经理、财务负责人和公司章程规定的其他人员）由另一方任命或者委派，或者同时担任另一方的董事或者高级管理人员；或者双方各自半数以上董事或者半数以上高级管理人员同为第三方任命或者委派。</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（六）具有夫妻、直系血亲、兄弟姐妹以及其他抚养、赡养关系的两个自然人分别与双方具有本条第（一）至（五）项关系之一。</w:t>
            </w:r>
          </w:p>
          <w:p>
            <w:pPr>
              <w:ind w:firstLine="315" w:firstLineChars="150"/>
              <w:rPr>
                <w:rFonts w:cs="仿宋" w:asciiTheme="majorEastAsia" w:hAnsiTheme="majorEastAsia" w:eastAsiaTheme="majorEastAsia"/>
                <w:bCs/>
                <w:color w:val="000000" w:themeColor="text1"/>
                <w:kern w:val="0"/>
                <w:szCs w:val="21"/>
              </w:rPr>
            </w:pPr>
            <w:r>
              <w:rPr>
                <w:rFonts w:hint="eastAsia" w:asciiTheme="majorEastAsia" w:hAnsiTheme="majorEastAsia" w:eastAsiaTheme="majorEastAsia"/>
                <w:color w:val="000000" w:themeColor="text1"/>
              </w:rPr>
              <w:t>（七）双方在实质上具有其他共同利益。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30</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p>
        </w:tc>
        <w:tc>
          <w:tcPr>
            <w:tcW w:w="1765" w:type="dxa"/>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b/>
                <w:bCs/>
                <w:color w:val="000000" w:themeColor="text1"/>
                <w:sz w:val="24"/>
              </w:rPr>
            </w:pPr>
            <w:r>
              <w:rPr>
                <w:rFonts w:hint="eastAsia" w:asciiTheme="majorEastAsia" w:hAnsiTheme="majorEastAsia" w:eastAsiaTheme="majorEastAsia"/>
                <w:color w:val="000000" w:themeColor="text1"/>
              </w:rPr>
              <w:t>低于成本价不正当竞争预防措施</w:t>
            </w:r>
          </w:p>
        </w:tc>
        <w:tc>
          <w:tcPr>
            <w:tcW w:w="5813" w:type="dxa"/>
            <w:tcBorders>
              <w:top w:val="single" w:color="auto" w:sz="4" w:space="0"/>
              <w:left w:val="single" w:color="auto" w:sz="4" w:space="0"/>
              <w:bottom w:val="single" w:color="auto" w:sz="4" w:space="0"/>
              <w:right w:val="single" w:color="auto" w:sz="4" w:space="0"/>
            </w:tcBorders>
            <w:vAlign w:val="center"/>
          </w:tcPr>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在评标过程中，投标人报价低于市场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ind w:firstLine="405"/>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9383" w:type="dxa"/>
            <w:gridSpan w:val="4"/>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31</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33</w:t>
            </w: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color w:val="000000" w:themeColor="text1"/>
              </w:rPr>
              <w:t>付款方式：签订合同时双方协商确定。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32</w:t>
            </w: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履约保证</w:t>
            </w:r>
            <w:r>
              <w:rPr>
                <w:rFonts w:hint="eastAsia" w:cs="仿宋" w:asciiTheme="majorEastAsia" w:hAnsiTheme="majorEastAsia" w:eastAsiaTheme="majorEastAsia"/>
                <w:bCs/>
                <w:color w:val="000000" w:themeColor="text1"/>
                <w:kern w:val="0"/>
                <w:szCs w:val="21"/>
                <w:highlight w:val="none"/>
              </w:rPr>
              <w:t>金的金额：</w:t>
            </w:r>
            <w:r>
              <w:rPr>
                <w:rFonts w:hint="eastAsia" w:cs="仿宋" w:asciiTheme="majorEastAsia" w:hAnsiTheme="majorEastAsia" w:eastAsiaTheme="majorEastAsia"/>
                <w:bCs/>
                <w:color w:val="000000" w:themeColor="text1"/>
                <w:szCs w:val="21"/>
                <w:highlight w:val="none"/>
                <w:u w:val="single"/>
              </w:rPr>
              <w:t>中标价的3%（具体事宜由双方签订合同时约定）</w:t>
            </w:r>
            <w:r>
              <w:rPr>
                <w:rFonts w:hint="eastAsia" w:cs="仿宋" w:asciiTheme="majorEastAsia" w:hAnsiTheme="majorEastAsia" w:eastAsiaTheme="majorEastAsia"/>
                <w:bCs/>
                <w:color w:val="000000" w:themeColor="text1"/>
                <w:kern w:val="0"/>
                <w:szCs w:val="21"/>
              </w:rPr>
              <w:t>。</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履约保证金的形式：转账</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保证金的缴纳方式：在收到中标通知书后，中标人须在 10 个工作日内以转账的方式向招标人提交履约保证金，否则招标人将取消其中标资格。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33</w:t>
            </w: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招标代理服务费的计算与收取：</w:t>
            </w:r>
            <w:r>
              <w:rPr>
                <w:rFonts w:hint="eastAsia" w:asciiTheme="majorEastAsia" w:hAnsiTheme="majorEastAsia" w:eastAsiaTheme="majorEastAsia"/>
                <w:bCs/>
                <w:color w:val="000000" w:themeColor="text1"/>
                <w:szCs w:val="21"/>
              </w:rPr>
              <w:t>经与</w:t>
            </w:r>
            <w:r>
              <w:rPr>
                <w:rFonts w:hint="eastAsia" w:asciiTheme="majorEastAsia" w:hAnsiTheme="majorEastAsia" w:eastAsiaTheme="majorEastAsia"/>
                <w:bCs/>
                <w:color w:val="000000" w:themeColor="text1"/>
                <w:szCs w:val="21"/>
                <w:lang w:val="en-US" w:eastAsia="zh-CN"/>
              </w:rPr>
              <w:t>招标人</w:t>
            </w:r>
            <w:r>
              <w:rPr>
                <w:rFonts w:hint="eastAsia" w:asciiTheme="majorEastAsia" w:hAnsiTheme="majorEastAsia" w:eastAsiaTheme="majorEastAsia"/>
                <w:bCs/>
                <w:color w:val="000000" w:themeColor="text1"/>
                <w:szCs w:val="21"/>
              </w:rPr>
              <w:t>位约定，本项目招标代理费由中标单位支付，取费标准参考国家发展改革委下发的《关于降低部分建设项目收费标准规范收费行为等有关问题的通知》[2015]299号文件执行。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34</w:t>
            </w: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本前附表与《投标人须知》中对应的条款内容如有矛盾，应以本前附表为准。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35</w:t>
            </w: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color w:val="000000" w:themeColor="text1"/>
              </w:rPr>
            </w:pPr>
            <w:r>
              <w:rPr>
                <w:rFonts w:hint="eastAsia" w:cs="仿宋" w:asciiTheme="majorEastAsia" w:hAnsiTheme="majorEastAsia" w:eastAsiaTheme="majorEastAsia"/>
                <w:b/>
                <w:bCs/>
                <w:color w:val="000000" w:themeColor="text1"/>
                <w:kern w:val="0"/>
                <w:szCs w:val="21"/>
              </w:rPr>
              <w:t>开标现场除携带相关原件外，还须单独手持法人授权委托书、身份证明备查，否则作否决投标处理；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36</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政府采购政策支持</w:t>
            </w: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hint="eastAsia" w:cs="仿宋" w:asciiTheme="majorEastAsia" w:hAnsiTheme="majorEastAsia" w:eastAsiaTheme="majorEastAsia"/>
                <w:b/>
                <w:bCs/>
                <w:color w:val="000000" w:themeColor="text1"/>
                <w:kern w:val="0"/>
                <w:szCs w:val="21"/>
              </w:rPr>
            </w:pPr>
            <w:r>
              <w:rPr>
                <w:rFonts w:hint="eastAsia" w:cs="仿宋" w:asciiTheme="majorEastAsia" w:hAnsiTheme="majorEastAsia" w:eastAsiaTheme="majorEastAsia"/>
                <w:b/>
                <w:bCs/>
                <w:color w:val="000000" w:themeColor="text1"/>
                <w:kern w:val="0"/>
                <w:szCs w:val="21"/>
              </w:rPr>
              <w:t>(1)根据财政部、工信部关于印发《政府采购促进中小企业发展管理办法》的通知(财库[2020]46号)。</w:t>
            </w:r>
          </w:p>
          <w:p>
            <w:pPr>
              <w:rPr>
                <w:rFonts w:hint="eastAsia" w:cs="仿宋" w:asciiTheme="majorEastAsia" w:hAnsiTheme="majorEastAsia" w:eastAsiaTheme="majorEastAsia"/>
                <w:b/>
                <w:bCs/>
                <w:color w:val="000000" w:themeColor="text1"/>
                <w:kern w:val="0"/>
                <w:szCs w:val="21"/>
              </w:rPr>
            </w:pPr>
            <w:r>
              <w:rPr>
                <w:rFonts w:hint="eastAsia" w:cs="仿宋" w:asciiTheme="majorEastAsia" w:hAnsiTheme="majorEastAsia" w:eastAsiaTheme="majorEastAsia"/>
                <w:b/>
                <w:bCs/>
                <w:color w:val="000000" w:themeColor="text1"/>
                <w:kern w:val="0"/>
                <w:szCs w:val="21"/>
              </w:rPr>
              <w:t>(2)投标人及其所投产品的制造商均属于《工业和信息化部、国家统计局、国家发展和改革委员会、财政部关于印发中小企业划型标准规定的通知》(工信部联企业[2020]108号、工信部联企业[2011]300号)中规定的小型、微型企业标准的，按招标文件格式提供《中小企业声明函》等政府采购政策。</w:t>
            </w:r>
          </w:p>
          <w:p>
            <w:pPr>
              <w:rPr>
                <w:rFonts w:hint="eastAsia" w:cs="仿宋" w:asciiTheme="majorEastAsia" w:hAnsiTheme="majorEastAsia" w:eastAsiaTheme="majorEastAsia"/>
                <w:b/>
                <w:bCs/>
                <w:color w:val="000000" w:themeColor="text1"/>
                <w:kern w:val="0"/>
                <w:szCs w:val="21"/>
              </w:rPr>
            </w:pPr>
            <w:r>
              <w:rPr>
                <w:rFonts w:hint="eastAsia" w:cs="仿宋" w:asciiTheme="majorEastAsia" w:hAnsiTheme="majorEastAsia" w:eastAsiaTheme="majorEastAsia"/>
                <w:b/>
                <w:bCs/>
                <w:color w:val="000000" w:themeColor="text1"/>
                <w:kern w:val="0"/>
                <w:szCs w:val="21"/>
              </w:rPr>
              <w:t xml:space="preserve">(3)《财政部、发展改革委、生态环境部市场监管总局关于调整优化节能产品、环境标志产品政府采购执行机制的通知》 (财库(2019)9号)。 </w:t>
            </w:r>
          </w:p>
          <w:p>
            <w:pPr>
              <w:rPr>
                <w:rFonts w:hint="eastAsia" w:cs="仿宋" w:asciiTheme="majorEastAsia" w:hAnsiTheme="majorEastAsia" w:eastAsiaTheme="majorEastAsia"/>
                <w:b/>
                <w:bCs/>
                <w:color w:val="000000" w:themeColor="text1"/>
                <w:kern w:val="0"/>
                <w:szCs w:val="21"/>
              </w:rPr>
            </w:pPr>
            <w:r>
              <w:rPr>
                <w:rFonts w:hint="eastAsia" w:cs="仿宋" w:asciiTheme="majorEastAsia" w:hAnsiTheme="majorEastAsia" w:eastAsiaTheme="majorEastAsia"/>
                <w:b/>
                <w:bCs/>
                <w:color w:val="000000" w:themeColor="text1"/>
                <w:kern w:val="0"/>
                <w:szCs w:val="21"/>
              </w:rPr>
              <w:t xml:space="preserve"> (4)《财政部中国残疾人联合会关于促进残疾人就业政府采 </w:t>
            </w:r>
          </w:p>
          <w:p>
            <w:pPr>
              <w:rPr>
                <w:rFonts w:hint="eastAsia" w:cs="仿宋" w:asciiTheme="majorEastAsia" w:hAnsiTheme="majorEastAsia" w:eastAsiaTheme="majorEastAsia"/>
                <w:b/>
                <w:bCs/>
                <w:color w:val="000000" w:themeColor="text1"/>
                <w:kern w:val="0"/>
                <w:szCs w:val="21"/>
              </w:rPr>
            </w:pPr>
            <w:r>
              <w:rPr>
                <w:rFonts w:hint="eastAsia" w:cs="仿宋" w:asciiTheme="majorEastAsia" w:hAnsiTheme="majorEastAsia" w:eastAsiaTheme="majorEastAsia"/>
                <w:b/>
                <w:bCs/>
                <w:color w:val="000000" w:themeColor="text1"/>
                <w:kern w:val="0"/>
                <w:szCs w:val="21"/>
              </w:rPr>
              <w:t>购政策的通知》(财库[2017]141号)。</w:t>
            </w:r>
          </w:p>
          <w:p>
            <w:pPr>
              <w:rPr>
                <w:rFonts w:hint="eastAsia" w:cs="仿宋" w:asciiTheme="majorEastAsia" w:hAnsiTheme="majorEastAsia" w:eastAsiaTheme="majorEastAsia"/>
                <w:b/>
                <w:bCs/>
                <w:color w:val="000000" w:themeColor="text1"/>
                <w:kern w:val="0"/>
                <w:szCs w:val="21"/>
              </w:rPr>
            </w:pPr>
            <w:r>
              <w:rPr>
                <w:rFonts w:hint="eastAsia" w:cs="仿宋" w:asciiTheme="majorEastAsia" w:hAnsiTheme="majorEastAsia" w:eastAsiaTheme="majorEastAsia"/>
                <w:b/>
                <w:bCs/>
                <w:color w:val="000000" w:themeColor="text1"/>
                <w:kern w:val="0"/>
                <w:szCs w:val="21"/>
              </w:rPr>
              <w:t>(5)财政部、司法部《关于政府采购支持监狱企业发展有关的通知》(财库[2014]68号文)。</w:t>
            </w:r>
          </w:p>
          <w:p>
            <w:pPr>
              <w:rPr>
                <w:rFonts w:hint="eastAsia" w:cs="仿宋" w:asciiTheme="majorEastAsia" w:hAnsiTheme="majorEastAsia" w:eastAsiaTheme="majorEastAsia"/>
                <w:b/>
                <w:bCs/>
                <w:color w:val="000000" w:themeColor="text1"/>
                <w:kern w:val="0"/>
                <w:szCs w:val="21"/>
              </w:rPr>
            </w:pPr>
            <w:r>
              <w:rPr>
                <w:rFonts w:hint="eastAsia" w:cs="仿宋" w:asciiTheme="majorEastAsia" w:hAnsiTheme="majorEastAsia" w:eastAsiaTheme="majorEastAsia"/>
                <w:b/>
                <w:bCs/>
                <w:color w:val="000000" w:themeColor="text1"/>
                <w:kern w:val="0"/>
                <w:szCs w:val="21"/>
              </w:rPr>
              <w:t>(6)提供由省级以上监狱管理局、戒毒管理局(含新疆生产建设兵团)出具的属干监狱企业证明文件的，视同为小型和微型企业。</w:t>
            </w:r>
          </w:p>
          <w:p>
            <w:pPr>
              <w:rPr>
                <w:rFonts w:hint="eastAsia" w:cs="仿宋" w:asciiTheme="majorEastAsia" w:hAnsiTheme="majorEastAsia" w:eastAsiaTheme="majorEastAsia"/>
                <w:b/>
                <w:bCs/>
                <w:color w:val="000000" w:themeColor="text1"/>
                <w:kern w:val="0"/>
                <w:szCs w:val="21"/>
              </w:rPr>
            </w:pPr>
            <w:r>
              <w:rPr>
                <w:rFonts w:hint="eastAsia" w:cs="仿宋" w:asciiTheme="majorEastAsia" w:hAnsiTheme="majorEastAsia" w:eastAsiaTheme="majorEastAsia"/>
                <w:b/>
                <w:bCs/>
                <w:color w:val="000000" w:themeColor="text1"/>
                <w:kern w:val="0"/>
                <w:szCs w:val="21"/>
              </w:rPr>
              <w:t>(7)。符合享受政府才否支持政策的残疾人福利性单位条件且提供《残疾人福利性单位声明函》的，视同为小型和微型企业。</w:t>
            </w:r>
          </w:p>
          <w:p>
            <w:pPr>
              <w:rPr>
                <w:rFonts w:cs="仿宋" w:asciiTheme="majorEastAsia" w:hAnsiTheme="majorEastAsia" w:eastAsiaTheme="majorEastAsia"/>
                <w:b/>
                <w:bCs/>
                <w:color w:val="000000" w:themeColor="text1"/>
                <w:kern w:val="0"/>
                <w:szCs w:val="21"/>
              </w:rPr>
            </w:pPr>
            <w:r>
              <w:rPr>
                <w:rFonts w:hint="eastAsia" w:cs="仿宋" w:asciiTheme="majorEastAsia" w:hAnsiTheme="majorEastAsia" w:eastAsiaTheme="majorEastAsia"/>
                <w:b/>
                <w:bCs/>
                <w:color w:val="000000" w:themeColor="text1"/>
                <w:kern w:val="0"/>
                <w:szCs w:val="21"/>
              </w:rPr>
              <w:t>(8)供应商应当对《中小企业声明函》、监狱企业证明文件、《残疾人福利性单位声明函》的真实性负责，上述材料与事实不符的，依照《政府采购法》第七十七条第一款的规定，处以采购金额千分之五以上千分 之十以下的罚款，列入不良行为记录名单，在一至三年内禁止参加政府采购活动，有违法所得的，并处没收违法所得，情节严重的，由工商行政管理机关吊销营业执照:构成犯罪的，依法追究刑事责任。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37</w:t>
            </w:r>
          </w:p>
        </w:tc>
        <w:tc>
          <w:tcPr>
            <w:tcW w:w="939"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Theme="majorEastAsia" w:hAnsiTheme="majorEastAsia" w:eastAsiaTheme="majorEastAsia"/>
                <w:color w:val="000000" w:themeColor="text1"/>
                <w:sz w:val="24"/>
                <w:szCs w:val="22"/>
              </w:rPr>
            </w:pPr>
            <w:r>
              <w:rPr>
                <w:rFonts w:hint="eastAsia" w:asciiTheme="majorEastAsia" w:hAnsiTheme="majorEastAsia" w:eastAsiaTheme="majorEastAsia"/>
                <w:b/>
                <w:color w:val="000000" w:themeColor="text1"/>
                <w:sz w:val="24"/>
              </w:rPr>
              <w:t>特别注意</w:t>
            </w:r>
          </w:p>
        </w:tc>
        <w:tc>
          <w:tcPr>
            <w:tcW w:w="7578" w:type="dxa"/>
            <w:gridSpan w:val="2"/>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3、所有投标人的报价高于采购预算额度视为无效报价（即作否决投标处理）。</w:t>
            </w:r>
          </w:p>
          <w:p>
            <w:pPr>
              <w:rPr>
                <w:rFonts w:cs="仿宋" w:asciiTheme="majorEastAsia" w:hAnsiTheme="majorEastAsia" w:eastAsiaTheme="majorEastAsia"/>
                <w:bCs/>
                <w:color w:val="000000" w:themeColor="text1"/>
                <w:kern w:val="0"/>
                <w:szCs w:val="21"/>
              </w:rPr>
            </w:pPr>
            <w:r>
              <w:rPr>
                <w:rFonts w:hint="eastAsia" w:cs="仿宋" w:asciiTheme="majorEastAsia" w:hAnsiTheme="majorEastAsia" w:eastAsiaTheme="majorEastAsia"/>
                <w:bCs/>
                <w:color w:val="000000" w:themeColor="text1"/>
                <w:kern w:val="0"/>
                <w:szCs w:val="21"/>
              </w:rPr>
              <w:t>4、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pPr>
              <w:rPr>
                <w:rFonts w:asciiTheme="majorEastAsia" w:hAnsiTheme="majorEastAsia" w:eastAsiaTheme="majorEastAsia"/>
                <w:b/>
                <w:color w:val="000000" w:themeColor="text1"/>
                <w:szCs w:val="21"/>
              </w:rPr>
            </w:pPr>
            <w:r>
              <w:rPr>
                <w:rFonts w:hint="eastAsia" w:cs="仿宋" w:asciiTheme="majorEastAsia" w:hAnsiTheme="majorEastAsia" w:eastAsiaTheme="majorEastAsia"/>
                <w:bCs/>
                <w:color w:val="000000" w:themeColor="text1"/>
                <w:kern w:val="0"/>
                <w:szCs w:val="21"/>
              </w:rPr>
              <w:t>5、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9383" w:type="dxa"/>
            <w:gridSpan w:val="4"/>
            <w:tcBorders>
              <w:top w:val="single" w:color="auto" w:sz="4" w:space="0"/>
              <w:left w:val="single" w:color="auto" w:sz="4" w:space="0"/>
              <w:bottom w:val="single" w:color="auto" w:sz="4" w:space="0"/>
              <w:right w:val="single" w:color="auto" w:sz="4" w:space="0"/>
            </w:tcBorders>
            <w:vAlign w:val="center"/>
          </w:tcPr>
          <w:p>
            <w:pPr>
              <w:pStyle w:val="128"/>
              <w:tabs>
                <w:tab w:val="left" w:pos="3750"/>
              </w:tabs>
              <w:spacing w:line="440" w:lineRule="exact"/>
              <w:jc w:val="both"/>
              <w:rPr>
                <w:rFonts w:cs="Times New Roman" w:asciiTheme="majorEastAsia" w:hAnsiTheme="majorEastAsia" w:eastAsiaTheme="majorEastAsia"/>
                <w:color w:val="000000" w:themeColor="text1"/>
                <w:kern w:val="2"/>
                <w:sz w:val="21"/>
                <w:szCs w:val="21"/>
              </w:rPr>
            </w:pPr>
            <w:r>
              <w:rPr>
                <w:rFonts w:hint="eastAsia" w:cs="Times New Roman" w:asciiTheme="majorEastAsia" w:hAnsiTheme="majorEastAsia" w:eastAsiaTheme="majorEastAsia"/>
                <w:color w:val="000000" w:themeColor="text1"/>
                <w:kern w:val="2"/>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383" w:type="dxa"/>
            <w:gridSpan w:val="4"/>
            <w:tcBorders>
              <w:top w:val="single" w:color="auto" w:sz="4" w:space="0"/>
              <w:left w:val="single" w:color="auto" w:sz="4" w:space="0"/>
              <w:bottom w:val="single" w:color="auto" w:sz="4" w:space="0"/>
              <w:right w:val="single" w:color="auto" w:sz="4" w:space="0"/>
            </w:tcBorders>
            <w:vAlign w:val="center"/>
          </w:tcPr>
          <w:p>
            <w:pPr>
              <w:pStyle w:val="128"/>
              <w:tabs>
                <w:tab w:val="left" w:pos="3750"/>
              </w:tabs>
              <w:spacing w:line="440" w:lineRule="exact"/>
              <w:jc w:val="both"/>
              <w:rPr>
                <w:rFonts w:cs="Times New Roman" w:asciiTheme="majorEastAsia" w:hAnsiTheme="majorEastAsia" w:eastAsiaTheme="majorEastAsia"/>
                <w:color w:val="000000" w:themeColor="text1"/>
                <w:kern w:val="2"/>
                <w:sz w:val="21"/>
                <w:szCs w:val="21"/>
              </w:rPr>
            </w:pPr>
            <w:r>
              <w:rPr>
                <w:rFonts w:hint="eastAsia" w:cs="Times New Roman" w:asciiTheme="majorEastAsia" w:hAnsiTheme="majorEastAsia" w:eastAsiaTheme="majorEastAsia"/>
                <w:color w:val="000000" w:themeColor="text1"/>
                <w:kern w:val="2"/>
                <w:sz w:val="21"/>
                <w:szCs w:val="21"/>
              </w:rPr>
              <w:t>提示：（1）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对未按上述方式获取招标文件的供应商对该文件提出的质疑，采购人或采购代理机构将不予处理。</w:t>
            </w:r>
          </w:p>
          <w:p>
            <w:pPr>
              <w:pStyle w:val="128"/>
              <w:tabs>
                <w:tab w:val="left" w:pos="3750"/>
              </w:tabs>
              <w:spacing w:line="440" w:lineRule="exact"/>
              <w:jc w:val="both"/>
              <w:rPr>
                <w:rFonts w:cs="Times New Roman" w:asciiTheme="majorEastAsia" w:hAnsiTheme="majorEastAsia" w:eastAsiaTheme="majorEastAsia"/>
                <w:color w:val="000000" w:themeColor="text1"/>
                <w:kern w:val="2"/>
                <w:sz w:val="21"/>
                <w:szCs w:val="21"/>
              </w:rPr>
            </w:pPr>
            <w:r>
              <w:rPr>
                <w:rFonts w:hint="eastAsia" w:cs="Times New Roman" w:asciiTheme="majorEastAsia" w:hAnsiTheme="majorEastAsia" w:eastAsiaTheme="majorEastAsia"/>
                <w:color w:val="000000" w:themeColor="text1"/>
                <w:kern w:val="2"/>
                <w:sz w:val="21"/>
                <w:szCs w:val="21"/>
              </w:rPr>
              <w:t>（2）更正补充公告请自行登录新疆政府采购网查看下载。</w:t>
            </w:r>
          </w:p>
        </w:tc>
      </w:tr>
      <w:bookmarkEnd w:id="3"/>
      <w:bookmarkEnd w:id="4"/>
      <w:bookmarkEnd w:id="5"/>
    </w:tbl>
    <w:p>
      <w:pPr>
        <w:pStyle w:val="5"/>
        <w:rPr>
          <w:rFonts w:cs="仿宋" w:asciiTheme="majorEastAsia" w:hAnsiTheme="majorEastAsia" w:eastAsiaTheme="majorEastAsia"/>
          <w:b w:val="0"/>
          <w:color w:val="000000" w:themeColor="text1"/>
          <w:sz w:val="21"/>
          <w:szCs w:val="21"/>
        </w:rPr>
      </w:pPr>
      <w:bookmarkStart w:id="6" w:name="_Toc440183408"/>
      <w:r>
        <w:rPr>
          <w:rFonts w:hint="eastAsia" w:cs="仿宋" w:asciiTheme="majorEastAsia" w:hAnsiTheme="majorEastAsia" w:eastAsiaTheme="majorEastAsia"/>
          <w:b w:val="0"/>
          <w:color w:val="000000" w:themeColor="text1"/>
          <w:sz w:val="21"/>
          <w:szCs w:val="21"/>
        </w:rPr>
        <w:t>（一） 总则</w:t>
      </w:r>
      <w:bookmarkEnd w:id="6"/>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1．项目概况及招标范围</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1.1 项目概况</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根据《中华人民共和国政府采购法》等有关法律、法规和规章的规定，本招标项目已具备招标条件，现对本项目设备采购进行招标。</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1.2 招标范围</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本次招标的范围见投标人须知前附表第6项。</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1.3 联系方式</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本次招标的招标人或招标代理机构联系方式见投标人须知前附表第8项。</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2．合格的投标人</w:t>
      </w:r>
    </w:p>
    <w:p>
      <w:pPr>
        <w:pStyle w:val="39"/>
        <w:rPr>
          <w:rFonts w:hint="eastAsia"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须满足《中华人民共和国政府采购法》第二十二条规定。</w:t>
      </w:r>
    </w:p>
    <w:p>
      <w:pPr>
        <w:pStyle w:val="39"/>
        <w:rPr>
          <w:rFonts w:hint="eastAsia"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lang w:val="en-US" w:eastAsia="zh-CN"/>
        </w:rPr>
        <w:t>2.</w:t>
      </w:r>
      <w:r>
        <w:rPr>
          <w:rFonts w:hint="eastAsia" w:cs="仿宋" w:asciiTheme="majorEastAsia" w:hAnsiTheme="majorEastAsia" w:eastAsiaTheme="majorEastAsia"/>
          <w:color w:val="000000" w:themeColor="text1"/>
          <w:szCs w:val="21"/>
        </w:rPr>
        <w:t>1、具有有效的营业执照；</w:t>
      </w:r>
    </w:p>
    <w:p>
      <w:pPr>
        <w:pStyle w:val="39"/>
        <w:rPr>
          <w:rFonts w:hint="eastAsia"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lang w:val="en-US" w:eastAsia="zh-CN"/>
        </w:rPr>
        <w:t>2.</w:t>
      </w:r>
      <w:r>
        <w:rPr>
          <w:rFonts w:hint="eastAsia" w:cs="仿宋" w:asciiTheme="majorEastAsia" w:hAnsiTheme="majorEastAsia" w:eastAsiaTheme="majorEastAsia"/>
          <w:color w:val="000000" w:themeColor="text1"/>
          <w:szCs w:val="21"/>
        </w:rPr>
        <w:t>2、法人到场参与投标的需提供身份证明书（原件）及身份证原件，提供近六个月由本单位社保缴费凭证及个人明细；委托代理人到场参与投标的需提供授权委托书（附授权人及委托人身份证复印件正反面）及身份证原件，需提供委托代理人近六个月由本单位社保缴费凭证及个人明细。（新成立时间少于六个月的公司，按实际发生提供）</w:t>
      </w:r>
    </w:p>
    <w:p>
      <w:pPr>
        <w:pStyle w:val="39"/>
        <w:rPr>
          <w:rFonts w:hint="eastAsia"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lang w:val="en-US" w:eastAsia="zh-CN"/>
        </w:rPr>
        <w:t>2.</w:t>
      </w:r>
      <w:r>
        <w:rPr>
          <w:rFonts w:hint="eastAsia" w:cs="仿宋" w:asciiTheme="majorEastAsia" w:hAnsiTheme="majorEastAsia" w:eastAsiaTheme="majorEastAsia"/>
          <w:color w:val="000000" w:themeColor="text1"/>
          <w:szCs w:val="21"/>
        </w:rPr>
        <w:t>3、具有良好的商业信誉和健全的财务会计制度及完税证明（需提供会计事务所出具2020年度财务审计报告及税务申报资料或税务部门出具的近</w:t>
      </w:r>
      <w:r>
        <w:rPr>
          <w:rFonts w:hint="eastAsia" w:cs="仿宋" w:asciiTheme="majorEastAsia" w:hAnsiTheme="majorEastAsia" w:eastAsiaTheme="majorEastAsia"/>
          <w:color w:val="000000" w:themeColor="text1"/>
          <w:szCs w:val="21"/>
          <w:lang w:eastAsia="zh-CN"/>
        </w:rPr>
        <w:t>半年</w:t>
      </w:r>
      <w:r>
        <w:rPr>
          <w:rFonts w:hint="eastAsia" w:cs="仿宋" w:asciiTheme="majorEastAsia" w:hAnsiTheme="majorEastAsia" w:eastAsiaTheme="majorEastAsia"/>
          <w:color w:val="000000" w:themeColor="text1"/>
          <w:szCs w:val="21"/>
        </w:rPr>
        <w:t>的完税证明，2021年新成立的公司可不提供）；</w:t>
      </w:r>
    </w:p>
    <w:p>
      <w:pPr>
        <w:pStyle w:val="39"/>
        <w:rPr>
          <w:rFonts w:hint="eastAsia"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lang w:val="en-US" w:eastAsia="zh-CN"/>
        </w:rPr>
        <w:t>2.</w:t>
      </w:r>
      <w:r>
        <w:rPr>
          <w:rFonts w:hint="eastAsia" w:cs="仿宋" w:asciiTheme="majorEastAsia" w:hAnsiTheme="majorEastAsia" w:eastAsiaTheme="majorEastAsia"/>
          <w:color w:val="000000" w:themeColor="text1"/>
          <w:szCs w:val="21"/>
        </w:rPr>
        <w:t>4、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查询截止时点：本公告发布之日报名材料递交截止时间之间任意时刻的查询，加盖单位鲜公章）。</w:t>
      </w:r>
    </w:p>
    <w:p>
      <w:pPr>
        <w:pStyle w:val="39"/>
        <w:rPr>
          <w:rFonts w:hint="eastAsia"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lang w:val="en-US" w:eastAsia="zh-CN"/>
        </w:rPr>
        <w:t>2.</w:t>
      </w:r>
      <w:r>
        <w:rPr>
          <w:rFonts w:hint="eastAsia" w:cs="仿宋" w:asciiTheme="majorEastAsia" w:hAnsiTheme="majorEastAsia" w:eastAsiaTheme="majorEastAsia"/>
          <w:color w:val="000000" w:themeColor="text1"/>
          <w:szCs w:val="21"/>
        </w:rPr>
        <w:t>5、单位负责人为同一人或者存在直接控股、管理关系的不同供应商，不得参加同一合同项下的政府采购活动。</w:t>
      </w:r>
    </w:p>
    <w:p>
      <w:pPr>
        <w:pStyle w:val="39"/>
        <w:rPr>
          <w:rFonts w:hint="eastAsia" w:cs="仿宋" w:asciiTheme="majorEastAsia" w:hAnsiTheme="majorEastAsia" w:eastAsiaTheme="majorEastAsia"/>
          <w:color w:val="000000" w:themeColor="text1"/>
          <w:kern w:val="2"/>
          <w:sz w:val="21"/>
          <w:szCs w:val="21"/>
          <w:lang w:val="en-US" w:eastAsia="zh-CN" w:bidi="ar-SA"/>
        </w:rPr>
      </w:pPr>
      <w:r>
        <w:rPr>
          <w:rFonts w:hint="eastAsia" w:cs="仿宋" w:asciiTheme="majorEastAsia" w:hAnsiTheme="majorEastAsia" w:eastAsiaTheme="majorEastAsia"/>
          <w:color w:val="000000" w:themeColor="text1"/>
          <w:szCs w:val="21"/>
          <w:lang w:val="en-US" w:eastAsia="zh-CN"/>
        </w:rPr>
        <w:t>2.</w:t>
      </w:r>
      <w:r>
        <w:rPr>
          <w:rFonts w:hint="eastAsia" w:cs="仿宋" w:asciiTheme="majorEastAsia" w:hAnsiTheme="majorEastAsia" w:eastAsiaTheme="majorEastAsia"/>
          <w:color w:val="000000" w:themeColor="text1"/>
          <w:szCs w:val="21"/>
        </w:rPr>
        <w:t>6、</w:t>
      </w:r>
      <w:r>
        <w:rPr>
          <w:rFonts w:hint="eastAsia" w:cs="仿宋" w:asciiTheme="majorEastAsia" w:hAnsiTheme="majorEastAsia" w:eastAsiaTheme="majorEastAsia"/>
          <w:color w:val="000000" w:themeColor="text1"/>
          <w:kern w:val="2"/>
          <w:sz w:val="21"/>
          <w:szCs w:val="21"/>
          <w:lang w:val="en-US" w:eastAsia="zh-CN" w:bidi="ar-SA"/>
        </w:rPr>
        <w:t>本项目不接受联合体投标；</w:t>
      </w:r>
    </w:p>
    <w:p>
      <w:pPr>
        <w:pStyle w:val="39"/>
        <w:spacing w:line="360" w:lineRule="auto"/>
        <w:rPr>
          <w:rFonts w:hint="eastAsia" w:cs="仿宋" w:asciiTheme="majorEastAsia" w:hAnsiTheme="majorEastAsia" w:eastAsiaTheme="majorEastAsia"/>
          <w:color w:val="000000" w:themeColor="text1"/>
          <w:kern w:val="2"/>
          <w:sz w:val="21"/>
          <w:szCs w:val="21"/>
          <w:lang w:val="en-US" w:eastAsia="zh-CN" w:bidi="ar-SA"/>
        </w:rPr>
      </w:pPr>
      <w:r>
        <w:rPr>
          <w:rFonts w:hint="eastAsia" w:cs="仿宋" w:asciiTheme="majorEastAsia" w:hAnsiTheme="majorEastAsia" w:eastAsiaTheme="majorEastAsia"/>
          <w:color w:val="000000" w:themeColor="text1"/>
          <w:kern w:val="2"/>
          <w:sz w:val="21"/>
          <w:szCs w:val="21"/>
          <w:lang w:val="en-US" w:eastAsia="zh-CN" w:bidi="ar-SA"/>
        </w:rPr>
        <w:t>2.7资格审查方式见投标人须知前附表第11项。</w:t>
      </w:r>
    </w:p>
    <w:p>
      <w:pPr>
        <w:spacing w:line="360" w:lineRule="auto"/>
        <w:ind w:firstLine="420" w:firstLineChars="200"/>
        <w:rPr>
          <w:rFonts w:hint="eastAsia" w:cs="仿宋" w:asciiTheme="majorEastAsia" w:hAnsiTheme="majorEastAsia" w:eastAsiaTheme="majorEastAsia"/>
          <w:color w:val="000000" w:themeColor="text1"/>
          <w:kern w:val="2"/>
          <w:sz w:val="21"/>
          <w:szCs w:val="21"/>
          <w:lang w:val="en-US" w:eastAsia="zh-CN" w:bidi="ar-SA"/>
        </w:rPr>
      </w:pPr>
      <w:r>
        <w:rPr>
          <w:rFonts w:hint="eastAsia" w:cs="仿宋" w:asciiTheme="majorEastAsia" w:hAnsiTheme="majorEastAsia" w:eastAsiaTheme="majorEastAsia"/>
          <w:color w:val="000000" w:themeColor="text1"/>
          <w:kern w:val="2"/>
          <w:sz w:val="21"/>
          <w:szCs w:val="21"/>
          <w:lang w:val="en-US" w:eastAsia="zh-CN" w:bidi="ar-SA"/>
        </w:rPr>
        <w:t>2.8当采用资格后审方式时，投标人在提交的投标文件中须包括资格审查资料。只有最终通过资格审查的投标人才有可能成为本项目的中标人。</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3．投标预备会议</w:t>
      </w:r>
    </w:p>
    <w:p>
      <w:pPr>
        <w:spacing w:line="360" w:lineRule="auto"/>
        <w:ind w:firstLine="420" w:firstLineChars="200"/>
        <w:rPr>
          <w:rFonts w:cs="仿宋" w:asciiTheme="majorEastAsia" w:hAnsiTheme="majorEastAsia" w:eastAsiaTheme="majorEastAsia"/>
          <w:color w:val="000000" w:themeColor="text1"/>
          <w:szCs w:val="21"/>
        </w:rPr>
      </w:pPr>
      <w:bookmarkStart w:id="7" w:name="_Toc440183409"/>
      <w:r>
        <w:rPr>
          <w:rFonts w:hint="eastAsia" w:cs="仿宋" w:asciiTheme="majorEastAsia" w:hAnsiTheme="majorEastAsia" w:eastAsiaTheme="majorEastAsia"/>
          <w:color w:val="000000" w:themeColor="text1"/>
          <w:szCs w:val="21"/>
        </w:rPr>
        <w:t>3.1 招标代理机构将按照投标人须知前附表第13项规定的时间、地点组织投标预备会议。会议的目的是澄清疑问，解答投标人提出的与本次招标有关的问题。投标人应派代表准时参加。会议提出并解答的问题，招标代理机构应以书面的形式提供给所有投标人，并为招标文件组成的一部分。</w:t>
      </w:r>
    </w:p>
    <w:p>
      <w:pPr>
        <w:pStyle w:val="49"/>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（二）招标文件说明</w:t>
      </w:r>
    </w:p>
    <w:bookmarkEnd w:id="7"/>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4．招标文件的组成</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4.1 本招标文件包括以下内容：</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第一章  招标公告</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第二章  投标人须知</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第三章  评标办法</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第四章  合同条款及格式</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第五章  技术要求</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第六章  投标文件格式</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4.2  除4.1内容外，招标人在投标截止时间15天前，以书面形式发出的对招标文件的澄清或修改内容，均为招标文件的组成部分，对招标人和投标人起约束作用。</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4.3  投标人获取招标文件后，应仔细检查招标文件的所有内容，如有残缺等问题应及时向招标代理机构提出，否则，由此引起的损失由投标人自己承担。投标人同时应认真审阅招标文件中所有的事项、格式、条款和规范要求等，若投标人的投标文件没有按招标文件的要求提交全部资料，或投标文件没有对招标文件做出实质性响应，其风险由投标人自行承担，并根据有关条款规定，该投标有可能被拒绝。</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5．招标文件的澄清</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5.1 投标人若对招标文件有任何疑问，应按照投标人须知前附表第14项规定的截止时间前以书面形式向招标代理机构提出澄清要求。无论是招标人或招标代理机构根据需要主动对招标文件进行必要的澄清，或是根据投标人的要求对招标文件做出澄清，招标代理机构都将于投标截止时间15日前以书面形式予以澄清，同时将书面澄清文件向所有投标人发送。投标人在收到该澄清文件后应于投标人须知前附表第11项规定的时间内，以书面形式给予确认，该澄清作为招标文件的组成部分，具有约束作用。</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6．招标文件的修改</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6.1 招标文件发出后，在提交投标文件截止时间15日前，招标人或招标代理机构可对招标文件进行必要的澄清或修改。</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6.2 招标文件的修改将以书面形式发送给所有投标人，投标人应于收到该修改文件后按投标人须知前附表第14项规定的时间内，以书面形式给予确认。招标文件的修改内容作为招标文件的组成部分，具有约束作用。</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6.3 招标文件的澄清、修改、补充等内容均以书面形式明确的内容为准。当招标文件、招标文件的澄清、修改、补充等在同一内容的表述上不一致时，以最后发出的书面文件为准。</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6.4 为使投标人在编制投标文件时有充分的时间对招标文件的澄清、修改、补充等内容进行研究，招标人或招标代理机构将酌情延长提交投标文件的截止时间，具体时间将在招标文件的修改、补充通知中予以明确。</w:t>
      </w:r>
    </w:p>
    <w:p>
      <w:pPr>
        <w:pStyle w:val="5"/>
        <w:rPr>
          <w:rFonts w:cs="仿宋" w:asciiTheme="majorEastAsia" w:hAnsiTheme="majorEastAsia" w:eastAsiaTheme="majorEastAsia"/>
          <w:b w:val="0"/>
          <w:color w:val="000000" w:themeColor="text1"/>
          <w:sz w:val="21"/>
          <w:szCs w:val="21"/>
        </w:rPr>
      </w:pPr>
      <w:bookmarkStart w:id="8" w:name="_Toc440183410"/>
      <w:r>
        <w:rPr>
          <w:rFonts w:hint="eastAsia" w:cs="仿宋" w:asciiTheme="majorEastAsia" w:hAnsiTheme="majorEastAsia" w:eastAsiaTheme="majorEastAsia"/>
          <w:b w:val="0"/>
          <w:color w:val="000000" w:themeColor="text1"/>
          <w:sz w:val="21"/>
          <w:szCs w:val="21"/>
        </w:rPr>
        <w:t>（三） 投标文件的编写</w:t>
      </w:r>
      <w:bookmarkEnd w:id="8"/>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7．投标语言</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投标文件、与投标有关的一切文件和往来信件应以中文书写。</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8．计量单位</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除工程规范中另有规定外，投标文件使用的度量衡单位，均应使用中华人民共和国法定计量单位。</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9．投标文件的组成</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9.1 投标文件由商务部分、技术部分和开标一览表三部分组成。</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9.2 各组成部分包括内容详见投标人须知前附表及招标文件第六章“投标文件格式”。</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10．投标文件格式</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10.1投标文件包括本须知第9条中的全部内容。投标人提交的投标文件应当使用招标文件第六章“投标文件格式”所提供的投标文件全部格式（表格可以按同样格式扩展）。</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11．投标报价</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11.1本项目的投标报价采用投标人须知前附表第15项所规定的方式进行报价。</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11.1.1供应商应在投标的投价表上标明单价和总价。（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供应商应在投标报价表中标明其提供的所有货物及其相关工作范围内所在费用的总价。</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11.2 投标人的投标报价，应是完成招标文件及附件中的要求和合同条款上所列招标范围的全部，不得以任何理由予以重复，作为投标人计算单价或总价的依据。除非招标人对招标文件予以修改，投标人应按本招标文件及招标人提供的技术资料进行报价。任何有选择的报价将不予接受。</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11.3 投标报价应包括所有流程再造及多项目组合综合咨询服务费用，不仅限流程再造及多项目组合综合咨询服务的劳务、管理、咨询联络、交通、维护、保险、利润、税金、政策性文件规定及合同包含的所有风险、责任等各项所有费用。</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12．投标货币</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12.1本工程投标报价采用的币种见投标人须知前附表第16项规定。</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13．投标有效期</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13.1 投标有效期见投标人须知前附表第17项所规定的期限，在此期限内，凡符合本招标文件要求的投标文件均保持有效。</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13.2 在特殊情况下，招标人或招标代理机构在原定投标有效期内，可以根据需要以书面形式向投标人提出延长投标有效期的要求，对此要求投标人须以书面形式予以答复。投标人可以拒绝这种要求，而不被没收投标保证金。同意延长投标有效期的投标人既不能要求也不允许修改其投标文件，但需要相应的延长投标担保的有效期，在延长的投标有效期内，本须知第14条关于投标保证金的退还与没收的规定仍然适用。</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14．投标保证金</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14.1投标人在递交投标文件的同时，应按投标人须知前附表第18项规定的金额、形式的规定递交投标保证金，并作为其投标文件的组成部分。联合体投标的，其投标保证金由牵头人递交，并应符合投标人须知前附表第18项的规定。</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14.2 投标人不按本章第14.1 项要求提交投标保证金的，其投标文件作废标处理。</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14.3 有下列情形之一的，投标保证金将不予退还：</w:t>
      </w:r>
    </w:p>
    <w:p>
      <w:pPr>
        <w:spacing w:line="360" w:lineRule="auto"/>
        <w:ind w:firstLine="630" w:firstLineChars="3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 中标人因自身原因未能在规定期限内与招标人签订服务合同；</w:t>
      </w:r>
    </w:p>
    <w:p>
      <w:pPr>
        <w:spacing w:line="360" w:lineRule="auto"/>
        <w:ind w:firstLine="630" w:firstLineChars="3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 中标人应提交责任保险而未能提交；</w:t>
      </w:r>
    </w:p>
    <w:p>
      <w:pPr>
        <w:spacing w:line="360" w:lineRule="auto"/>
        <w:ind w:firstLine="630" w:firstLineChars="3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(3) 投标人在投标有效期满前撤回投标。</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14.4招标人与中标人签订合同后5个工作日内，由公共资源交易中心向未中标的投标人和中标人退还投标保证金。详见投标人须知前附表第18项规定。</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15．投标人的备选方案</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15.1 投标人所提交的投标文件应满足招标文件的要求，除非投标人须知前附表第19项中不允许投标人提交备选方案，否则备选方案将不予考虑。如果允许投标人提交备选方案，则执行本须知第15.2款的规定。</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15.2 如果投标人须知前附表第18项中允许投标人提交备选方案，则投标人除提交正式投标文件外，还应按照招标文件要求提交备选方案。备选方案应包括服务方案、图纸、投资估算表、备选方案报价书等满足评标需要的全部资料。</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16．投标文件的份数和签署</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16.1 投标人应按投标人须知前附表第20项要求提供投标文件的份数。</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16.2 投标文件的正本和副本均需打印或使用不褪色的蓝、黑墨水笔书写，字迹应清晰易于辨认，并应在投标文件封面的右上角清楚地注明“正本”或“副本”。正本和副本如有不一致之处，以正本为准。</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16.3 投标文件封面、投标函均应加盖投标人印章并经法定代表人或其授权代表签字或盖章。由授权代表签字或盖章的在投标文件中须同时提交投标文件签署授权委托书。投标文件签署授权委托书格式、签字、盖章及内容均应符合要求，否则投标文件签署授权委托书无效。</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16.4 投标人如对投标文件有修改，修改处应由投标人加盖投标人的印章或由法定代表人或其授权代表签字或盖章。</w:t>
      </w:r>
    </w:p>
    <w:p>
      <w:pPr>
        <w:pStyle w:val="5"/>
        <w:rPr>
          <w:rFonts w:cs="仿宋" w:asciiTheme="majorEastAsia" w:hAnsiTheme="majorEastAsia" w:eastAsiaTheme="majorEastAsia"/>
          <w:b w:val="0"/>
          <w:color w:val="000000" w:themeColor="text1"/>
          <w:sz w:val="21"/>
          <w:szCs w:val="21"/>
        </w:rPr>
      </w:pPr>
      <w:bookmarkStart w:id="9" w:name="_Toc440183411"/>
      <w:r>
        <w:rPr>
          <w:rFonts w:hint="eastAsia" w:cs="仿宋" w:asciiTheme="majorEastAsia" w:hAnsiTheme="majorEastAsia" w:eastAsiaTheme="majorEastAsia"/>
          <w:b w:val="0"/>
          <w:color w:val="000000" w:themeColor="text1"/>
          <w:sz w:val="21"/>
          <w:szCs w:val="21"/>
        </w:rPr>
        <w:t>（四） 投标文件的提交</w:t>
      </w:r>
      <w:bookmarkEnd w:id="9"/>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17．投标文件的装订、密封和标记</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17.1 投标文件的装订要求按投标人须知前附表第21项规定执行。</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17.2 投标文件的密封要求按投标人须知前附表第21项规定执行。</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17.3 在内层和外层投标文件密封袋上均应：</w:t>
      </w:r>
    </w:p>
    <w:p>
      <w:pPr>
        <w:spacing w:line="360" w:lineRule="auto"/>
        <w:ind w:firstLine="630" w:firstLineChars="3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17.3.1 写明招标人的名称和地址；</w:t>
      </w:r>
    </w:p>
    <w:p>
      <w:pPr>
        <w:spacing w:line="360" w:lineRule="auto"/>
        <w:ind w:firstLine="630" w:firstLineChars="3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17.3.2 注明下列识别标记：</w:t>
      </w:r>
    </w:p>
    <w:p>
      <w:pPr>
        <w:spacing w:line="360" w:lineRule="auto"/>
        <w:ind w:firstLine="840" w:firstLineChars="4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 项目编号；</w:t>
      </w:r>
    </w:p>
    <w:p>
      <w:pPr>
        <w:spacing w:line="360" w:lineRule="auto"/>
        <w:ind w:firstLine="840" w:firstLineChars="4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 项目名称；</w:t>
      </w:r>
    </w:p>
    <w:p>
      <w:pPr>
        <w:spacing w:line="360" w:lineRule="auto"/>
        <w:ind w:firstLine="840" w:firstLineChars="4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（3）年月日时分开标，此时间以前不得开封。</w:t>
      </w:r>
    </w:p>
    <w:p>
      <w:pPr>
        <w:spacing w:line="360" w:lineRule="auto"/>
        <w:ind w:firstLine="420" w:firstLineChars="200"/>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szCs w:val="21"/>
        </w:rPr>
        <w:t>17.4 除了按本须知第17.2款和第17.3款所要求的识别字样外，在内层投标文件密封袋上还应写明投标人的名称与地址、邮政编码，以便本须知第18.2条规定情况发生时，招标代理机构可按内层密封袋上标明的投标人地址将投标文件原封退回。</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17.5 如果投标文件没有按本投标须知第17.1款、第17.2款和第17.3款的规定装订和注明标记及密封，招标代理机构将不承担投标文件提前开封的责任。对由此造成提前开封的投标文件将予以拒绝，并退还给投标人。</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17.6所有投标文件的内层密封袋的封口处应加盖投标人印章，所有投标文件的外层密封袋的封口处应加盖投标人印章或密封章。</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17.7投标文件的技术部分编制应按投标人须知前附表第19项所规定的有关格式及要求填报，否则按无效标处理。</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17.8 对招标文件的打印格式、制作要求按招标人或招标代理机构在投标人须知前附表第22项中规定。</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18．投标文件的提交</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18.1 投标人应按投标人须知前附表第23项所规定的地点，于投标截止时间前提交投标文件。</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18.2 投标文件的截止时间见投标人须知前附表第23项规定，招标代理机构在投标截止时间以后收到的投标文件，将拒绝并退回给投标人。</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18.3 招标代理机构可按本须知第6条规定以修改补充通知的方式，酌情延长提交投标文件的截止时间。在此情况下，投标人的所有权利和义务以及投标人受制约的截止时间，均以延长后新的投标截止时间为准。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18.4 到投标截止时间止，招标人收到的投标文件少于3个的，招标人将依法重新组织招标。</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19．投标文件的补充、修改与撤回</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19.1 投标人在提交投标文件以后，在规定的投标截止时间之前，可以书面形式补充修改或撤回已提交的投标文件，并以书面形式通知招标代理机构。补充、修改的内容为投标文件的组成部分。</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19.2 投标人对投标文件的补充、修改，应按本须知第17条有关规定密封、标记和提交，并在内外层投标文件密封袋上清楚标明“补充、修改”或“撤回”字样。</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19.3 在投标截止时间之后，投标人不得补充、修改投标文件。</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19.4 在投标截止时间至投标有效期满之前，投标人不得撤回其投标文件，否则其投标保证金将被没收。</w:t>
      </w:r>
    </w:p>
    <w:p>
      <w:pPr>
        <w:pStyle w:val="5"/>
        <w:rPr>
          <w:rFonts w:cs="仿宋" w:asciiTheme="majorEastAsia" w:hAnsiTheme="majorEastAsia" w:eastAsiaTheme="majorEastAsia"/>
          <w:b w:val="0"/>
          <w:color w:val="000000" w:themeColor="text1"/>
          <w:sz w:val="21"/>
          <w:szCs w:val="21"/>
        </w:rPr>
      </w:pPr>
      <w:bookmarkStart w:id="10" w:name="_Toc440183412"/>
      <w:r>
        <w:rPr>
          <w:rFonts w:hint="eastAsia" w:cs="仿宋" w:asciiTheme="majorEastAsia" w:hAnsiTheme="majorEastAsia" w:eastAsiaTheme="majorEastAsia"/>
          <w:b w:val="0"/>
          <w:color w:val="000000" w:themeColor="text1"/>
          <w:sz w:val="21"/>
          <w:szCs w:val="21"/>
        </w:rPr>
        <w:t>（五） 开标</w:t>
      </w:r>
      <w:bookmarkEnd w:id="10"/>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20．开标</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20.1 招标代理机构按投标人须知前附表第24项所规定的时间和地点公开开标，并邀请所有投标人参加。投标人不参加开标的，不得对开标结果提出异议。</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20.2 按规定提交合格的撤回通知的投标文件不予开封，并退回给投标人。</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投标文件有下列情况之一的投标将不予接受：</w:t>
      </w:r>
    </w:p>
    <w:p>
      <w:pPr>
        <w:spacing w:line="360" w:lineRule="auto"/>
        <w:ind w:firstLine="850" w:firstLineChars="405"/>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a)</w:t>
      </w:r>
      <w:r>
        <w:rPr>
          <w:rFonts w:hint="eastAsia" w:cs="仿宋" w:asciiTheme="majorEastAsia" w:hAnsiTheme="majorEastAsia" w:eastAsiaTheme="majorEastAsia"/>
          <w:color w:val="000000" w:themeColor="text1"/>
          <w:szCs w:val="21"/>
        </w:rPr>
        <w:tab/>
      </w:r>
      <w:r>
        <w:rPr>
          <w:rFonts w:hint="eastAsia" w:cs="仿宋" w:asciiTheme="majorEastAsia" w:hAnsiTheme="majorEastAsia" w:eastAsiaTheme="majorEastAsia"/>
          <w:color w:val="000000" w:themeColor="text1"/>
          <w:szCs w:val="21"/>
        </w:rPr>
        <w:t>逾期送达的；</w:t>
      </w:r>
    </w:p>
    <w:p>
      <w:pPr>
        <w:spacing w:line="360" w:lineRule="auto"/>
        <w:ind w:firstLine="850" w:firstLineChars="405"/>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b)</w:t>
      </w:r>
      <w:r>
        <w:rPr>
          <w:rFonts w:hint="eastAsia" w:cs="仿宋" w:asciiTheme="majorEastAsia" w:hAnsiTheme="majorEastAsia" w:eastAsiaTheme="majorEastAsia"/>
          <w:color w:val="000000" w:themeColor="text1"/>
          <w:szCs w:val="21"/>
        </w:rPr>
        <w:tab/>
      </w:r>
      <w:r>
        <w:rPr>
          <w:rFonts w:hint="eastAsia" w:cs="仿宋" w:asciiTheme="majorEastAsia" w:hAnsiTheme="majorEastAsia" w:eastAsiaTheme="majorEastAsia"/>
          <w:color w:val="000000" w:themeColor="text1"/>
          <w:szCs w:val="21"/>
        </w:rPr>
        <w:t>未按招标文件要求密封的。</w:t>
      </w:r>
    </w:p>
    <w:p>
      <w:pPr>
        <w:spacing w:line="360" w:lineRule="auto"/>
        <w:ind w:firstLine="850" w:firstLineChars="405"/>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c)</w:t>
      </w:r>
      <w:r>
        <w:rPr>
          <w:rFonts w:hint="eastAsia" w:cs="仿宋" w:asciiTheme="majorEastAsia" w:hAnsiTheme="majorEastAsia" w:eastAsiaTheme="majorEastAsia"/>
          <w:color w:val="000000" w:themeColor="text1"/>
          <w:szCs w:val="21"/>
        </w:rPr>
        <w:tab/>
      </w:r>
      <w:r>
        <w:rPr>
          <w:rFonts w:hint="eastAsia" w:cs="仿宋" w:asciiTheme="majorEastAsia" w:hAnsiTheme="majorEastAsia" w:eastAsiaTheme="majorEastAsia"/>
          <w:color w:val="000000" w:themeColor="text1"/>
          <w:szCs w:val="21"/>
        </w:rPr>
        <w:t>违反有关规定的其他形式。</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20.3 开标程序</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主持人按以下程序进行开标</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（1）宣布开标纪律</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（2）公布在投标截止时间前递交投标文件的投标人名称，点名确认投标人是否派人到场，并核验投标人相关合法有效证件，并制作记录；</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（3）宣布开标人、唱标人、记录人、监标人等有关人员姓名；</w:t>
      </w:r>
    </w:p>
    <w:p>
      <w:pPr>
        <w:spacing w:line="360" w:lineRule="auto"/>
        <w:ind w:firstLine="422" w:firstLineChars="200"/>
        <w:rPr>
          <w:rFonts w:hint="eastAsia" w:cs="仿宋" w:asciiTheme="majorEastAsia" w:hAnsiTheme="majorEastAsia" w:eastAsiaTheme="majorEastAsia"/>
          <w:b/>
          <w:bCs/>
          <w:color w:val="000000" w:themeColor="text1"/>
          <w:szCs w:val="21"/>
        </w:rPr>
      </w:pPr>
      <w:r>
        <w:rPr>
          <w:rFonts w:hint="eastAsia" w:cs="仿宋" w:asciiTheme="majorEastAsia" w:hAnsiTheme="majorEastAsia" w:eastAsiaTheme="majorEastAsia"/>
          <w:b/>
          <w:bCs/>
          <w:color w:val="000000" w:themeColor="text1"/>
          <w:szCs w:val="21"/>
        </w:rPr>
        <w:t>（4）监督人检验投标人如下材料：</w:t>
      </w:r>
    </w:p>
    <w:p>
      <w:pPr>
        <w:spacing w:line="360" w:lineRule="auto"/>
        <w:ind w:firstLine="422" w:firstLineChars="200"/>
        <w:rPr>
          <w:rFonts w:hint="eastAsia" w:cs="仿宋" w:asciiTheme="majorEastAsia" w:hAnsiTheme="majorEastAsia" w:eastAsiaTheme="majorEastAsia"/>
          <w:b/>
          <w:bCs/>
          <w:color w:val="000000" w:themeColor="text1"/>
          <w:szCs w:val="21"/>
        </w:rPr>
      </w:pPr>
      <w:r>
        <w:rPr>
          <w:rFonts w:hint="eastAsia" w:cs="仿宋" w:asciiTheme="majorEastAsia" w:hAnsiTheme="majorEastAsia" w:eastAsiaTheme="majorEastAsia"/>
          <w:b/>
          <w:bCs/>
          <w:color w:val="000000" w:themeColor="text1"/>
          <w:szCs w:val="21"/>
          <w:lang w:eastAsia="zh-CN"/>
        </w:rPr>
        <w:t>①</w:t>
      </w:r>
      <w:r>
        <w:rPr>
          <w:rFonts w:hint="eastAsia" w:cs="仿宋" w:asciiTheme="majorEastAsia" w:hAnsiTheme="majorEastAsia" w:eastAsiaTheme="majorEastAsia"/>
          <w:b/>
          <w:bCs/>
          <w:color w:val="000000" w:themeColor="text1"/>
          <w:szCs w:val="21"/>
        </w:rPr>
        <w:t>法人到场参与投标的需提供身份证明书（原件）及身份证原件，提供近六个月由本单位社保缴费凭证及个人明细；委托代理人到场参与投标的需提供授权委托书（附授权人及委托人身份证复印件正反面）及身份证原件，需提供委托代理人近六个月由本单位社保缴费凭证及个人明细。（新成立时间少于六个月的公司，按实际发生提供）；</w:t>
      </w:r>
    </w:p>
    <w:p>
      <w:pPr>
        <w:spacing w:line="360" w:lineRule="auto"/>
        <w:ind w:firstLine="422" w:firstLineChars="200"/>
        <w:rPr>
          <w:rFonts w:hint="eastAsia" w:cs="仿宋" w:asciiTheme="majorEastAsia" w:hAnsiTheme="majorEastAsia" w:eastAsiaTheme="majorEastAsia"/>
          <w:b/>
          <w:bCs/>
          <w:color w:val="000000" w:themeColor="text1"/>
          <w:szCs w:val="21"/>
        </w:rPr>
      </w:pPr>
      <w:r>
        <w:rPr>
          <w:rFonts w:hint="eastAsia" w:cs="仿宋" w:asciiTheme="majorEastAsia" w:hAnsiTheme="majorEastAsia" w:eastAsiaTheme="majorEastAsia"/>
          <w:b/>
          <w:bCs/>
          <w:color w:val="000000" w:themeColor="text1"/>
          <w:szCs w:val="21"/>
          <w:lang w:eastAsia="zh-CN"/>
        </w:rPr>
        <w:t>②</w:t>
      </w:r>
      <w:r>
        <w:rPr>
          <w:rFonts w:hint="eastAsia" w:cs="仿宋" w:asciiTheme="majorEastAsia" w:hAnsiTheme="majorEastAsia" w:eastAsiaTheme="majorEastAsia"/>
          <w:b/>
          <w:bCs/>
          <w:color w:val="000000" w:themeColor="text1"/>
          <w:szCs w:val="21"/>
        </w:rPr>
        <w:t>有效的“三证合一”的营业执照</w:t>
      </w:r>
      <w:r>
        <w:rPr>
          <w:rFonts w:hint="eastAsia" w:cs="仿宋" w:asciiTheme="majorEastAsia" w:hAnsiTheme="majorEastAsia" w:eastAsiaTheme="majorEastAsia"/>
          <w:b/>
          <w:bCs/>
          <w:color w:val="000000" w:themeColor="text1"/>
          <w:szCs w:val="21"/>
          <w:lang w:eastAsia="zh-CN"/>
        </w:rPr>
        <w:t>（提供原件）</w:t>
      </w:r>
      <w:r>
        <w:rPr>
          <w:rFonts w:hint="eastAsia" w:cs="仿宋" w:asciiTheme="majorEastAsia" w:hAnsiTheme="majorEastAsia" w:eastAsiaTheme="majorEastAsia"/>
          <w:b/>
          <w:bCs/>
          <w:color w:val="000000" w:themeColor="text1"/>
          <w:szCs w:val="21"/>
        </w:rPr>
        <w:t>；</w:t>
      </w:r>
    </w:p>
    <w:p>
      <w:pPr>
        <w:spacing w:line="360" w:lineRule="auto"/>
        <w:ind w:firstLine="422" w:firstLineChars="200"/>
        <w:rPr>
          <w:rFonts w:hint="eastAsia" w:cs="仿宋" w:asciiTheme="majorEastAsia" w:hAnsiTheme="majorEastAsia" w:eastAsiaTheme="majorEastAsia"/>
          <w:b/>
          <w:bCs/>
          <w:color w:val="000000" w:themeColor="text1"/>
          <w:szCs w:val="21"/>
        </w:rPr>
      </w:pPr>
      <w:r>
        <w:rPr>
          <w:rFonts w:hint="eastAsia" w:cs="仿宋" w:asciiTheme="majorEastAsia" w:hAnsiTheme="majorEastAsia" w:eastAsiaTheme="majorEastAsia"/>
          <w:b/>
          <w:bCs/>
          <w:color w:val="000000" w:themeColor="text1"/>
          <w:szCs w:val="21"/>
          <w:lang w:eastAsia="zh-CN"/>
        </w:rPr>
        <w:t>③</w:t>
      </w:r>
      <w:r>
        <w:rPr>
          <w:rFonts w:hint="eastAsia" w:cs="仿宋" w:asciiTheme="majorEastAsia" w:hAnsiTheme="majorEastAsia" w:eastAsiaTheme="majorEastAsia"/>
          <w:b/>
          <w:bCs/>
          <w:color w:val="000000" w:themeColor="text1"/>
          <w:szCs w:val="21"/>
        </w:rPr>
        <w:t>投标单位应具有良好的商业信誉和健全的财务会计制度及完税证明（需提供会计事务所出具2020年度财务审计报告</w:t>
      </w:r>
      <w:r>
        <w:rPr>
          <w:rFonts w:hint="eastAsia" w:cs="仿宋" w:asciiTheme="majorEastAsia" w:hAnsiTheme="majorEastAsia" w:eastAsiaTheme="majorEastAsia"/>
          <w:b/>
          <w:bCs/>
          <w:color w:val="000000" w:themeColor="text1"/>
          <w:szCs w:val="21"/>
          <w:lang w:eastAsia="zh-CN"/>
        </w:rPr>
        <w:t>（原件）</w:t>
      </w:r>
      <w:r>
        <w:rPr>
          <w:rFonts w:hint="eastAsia" w:cs="仿宋" w:asciiTheme="majorEastAsia" w:hAnsiTheme="majorEastAsia" w:eastAsiaTheme="majorEastAsia"/>
          <w:b/>
          <w:bCs/>
          <w:color w:val="000000" w:themeColor="text1"/>
          <w:szCs w:val="21"/>
        </w:rPr>
        <w:t>及税务申报资料或税务部门出具的近</w:t>
      </w:r>
      <w:r>
        <w:rPr>
          <w:rFonts w:hint="eastAsia" w:cs="仿宋" w:asciiTheme="majorEastAsia" w:hAnsiTheme="majorEastAsia" w:eastAsiaTheme="majorEastAsia"/>
          <w:b/>
          <w:bCs/>
          <w:color w:val="000000" w:themeColor="text1"/>
          <w:szCs w:val="21"/>
          <w:lang w:eastAsia="zh-CN"/>
        </w:rPr>
        <w:t>半年</w:t>
      </w:r>
      <w:r>
        <w:rPr>
          <w:rFonts w:hint="eastAsia" w:cs="仿宋" w:asciiTheme="majorEastAsia" w:hAnsiTheme="majorEastAsia" w:eastAsiaTheme="majorEastAsia"/>
          <w:b/>
          <w:bCs/>
          <w:color w:val="000000" w:themeColor="text1"/>
          <w:szCs w:val="21"/>
        </w:rPr>
        <w:t>的完税证明，2021年新成立的公司可不提供）；</w:t>
      </w:r>
    </w:p>
    <w:p>
      <w:pPr>
        <w:spacing w:line="360" w:lineRule="auto"/>
        <w:ind w:firstLine="422" w:firstLineChars="200"/>
        <w:rPr>
          <w:rFonts w:hint="eastAsia" w:cs="仿宋" w:asciiTheme="majorEastAsia" w:hAnsiTheme="majorEastAsia" w:eastAsiaTheme="majorEastAsia"/>
          <w:b/>
          <w:bCs/>
          <w:color w:val="000000" w:themeColor="text1"/>
          <w:szCs w:val="21"/>
        </w:rPr>
      </w:pPr>
      <w:r>
        <w:rPr>
          <w:rFonts w:hint="eastAsia" w:cs="仿宋" w:asciiTheme="majorEastAsia" w:hAnsiTheme="majorEastAsia" w:eastAsiaTheme="majorEastAsia"/>
          <w:b/>
          <w:bCs/>
          <w:color w:val="000000" w:themeColor="text1"/>
          <w:szCs w:val="21"/>
          <w:lang w:eastAsia="zh-CN"/>
        </w:rPr>
        <w:t>④</w:t>
      </w:r>
      <w:r>
        <w:rPr>
          <w:rFonts w:hint="eastAsia" w:cs="仿宋" w:asciiTheme="majorEastAsia" w:hAnsiTheme="majorEastAsia" w:eastAsiaTheme="majorEastAsia"/>
          <w:b/>
          <w:bCs/>
          <w:color w:val="000000" w:themeColor="text1"/>
          <w:szCs w:val="21"/>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将拒绝其参加本次政府采购活动，并提供投标单位中国裁判文书网（http://wenshu.court.gov.cn/）的查询记录,如三年内有不良记录的，将拒绝其参加本次政府采购活动（须加盖单位鲜公章）；；</w:t>
      </w:r>
    </w:p>
    <w:p>
      <w:pPr>
        <w:spacing w:line="360" w:lineRule="auto"/>
        <w:ind w:firstLine="422" w:firstLineChars="200"/>
        <w:rPr>
          <w:rFonts w:hint="eastAsia" w:cs="仿宋" w:asciiTheme="majorEastAsia" w:hAnsiTheme="majorEastAsia" w:eastAsiaTheme="majorEastAsia"/>
          <w:b/>
          <w:bCs/>
          <w:color w:val="000000" w:themeColor="text1"/>
          <w:szCs w:val="21"/>
        </w:rPr>
      </w:pPr>
      <w:r>
        <w:rPr>
          <w:rFonts w:hint="eastAsia" w:cs="仿宋" w:asciiTheme="majorEastAsia" w:hAnsiTheme="majorEastAsia" w:eastAsiaTheme="majorEastAsia"/>
          <w:b/>
          <w:bCs/>
          <w:color w:val="000000" w:themeColor="text1"/>
          <w:szCs w:val="21"/>
          <w:lang w:eastAsia="zh-CN"/>
        </w:rPr>
        <w:t>⑤</w:t>
      </w:r>
      <w:r>
        <w:rPr>
          <w:rFonts w:hint="eastAsia" w:cs="仿宋" w:asciiTheme="majorEastAsia" w:hAnsiTheme="majorEastAsia" w:eastAsiaTheme="majorEastAsia"/>
          <w:b/>
          <w:bCs/>
          <w:color w:val="000000" w:themeColor="text1"/>
          <w:szCs w:val="21"/>
        </w:rPr>
        <w:t>保证金缴纳票据（墨玉县公共资源平台交易中心开具的投标保证金收据）；</w:t>
      </w:r>
    </w:p>
    <w:p>
      <w:pPr>
        <w:spacing w:line="360" w:lineRule="auto"/>
        <w:ind w:firstLine="422" w:firstLineChars="200"/>
        <w:rPr>
          <w:rFonts w:cs="仿宋" w:asciiTheme="majorEastAsia" w:hAnsiTheme="majorEastAsia" w:eastAsiaTheme="majorEastAsia"/>
          <w:b/>
          <w:bCs/>
          <w:color w:val="000000" w:themeColor="text1"/>
          <w:szCs w:val="21"/>
        </w:rPr>
      </w:pPr>
      <w:r>
        <w:rPr>
          <w:rFonts w:hint="eastAsia" w:cs="仿宋" w:asciiTheme="majorEastAsia" w:hAnsiTheme="majorEastAsia" w:eastAsiaTheme="majorEastAsia"/>
          <w:b/>
          <w:bCs/>
          <w:color w:val="000000" w:themeColor="text1"/>
          <w:szCs w:val="21"/>
        </w:rPr>
        <w:t>（以上材料须在开启投标文件前提供，不能提供以上有效材料的其投标文件被招标人拒绝）</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（5）投标人代表（有效投标人自行推荐）检查投标文件的完整性及密封性；</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（6）按照宣布的开标顺序对资格证齐全、密封完好并已缴纳投标保证金的投标人的投标文件进行启封，公布投标人名称、投标报价、服务期限及其他内容，并记录在案；</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（7）投标人代表、招标人代表、记录人等有关人员在开标记录上签字确认；</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（8）开标结束，投标人代表退场。</w:t>
      </w:r>
    </w:p>
    <w:p>
      <w:pPr>
        <w:pStyle w:val="5"/>
        <w:rPr>
          <w:rFonts w:cs="仿宋" w:asciiTheme="majorEastAsia" w:hAnsiTheme="majorEastAsia" w:eastAsiaTheme="majorEastAsia"/>
          <w:b w:val="0"/>
          <w:color w:val="000000" w:themeColor="text1"/>
          <w:sz w:val="21"/>
          <w:szCs w:val="21"/>
        </w:rPr>
      </w:pPr>
      <w:bookmarkStart w:id="11" w:name="_Toc440183413"/>
      <w:r>
        <w:rPr>
          <w:rFonts w:hint="eastAsia" w:cs="仿宋" w:asciiTheme="majorEastAsia" w:hAnsiTheme="majorEastAsia" w:eastAsiaTheme="majorEastAsia"/>
          <w:b w:val="0"/>
          <w:color w:val="000000" w:themeColor="text1"/>
          <w:sz w:val="21"/>
          <w:szCs w:val="21"/>
        </w:rPr>
        <w:t>（六） 评标</w:t>
      </w:r>
      <w:bookmarkEnd w:id="11"/>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21．评标委员会与评标</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21.1招标人依法组建评标委员会。评标委员会由招标人和有关技术、经济专家组成，成员人数</w:t>
      </w:r>
      <w:r>
        <w:rPr>
          <w:rFonts w:hint="eastAsia" w:cs="仿宋" w:asciiTheme="majorEastAsia" w:hAnsiTheme="majorEastAsia" w:eastAsiaTheme="majorEastAsia"/>
          <w:b/>
          <w:color w:val="000000" w:themeColor="text1"/>
          <w:szCs w:val="21"/>
        </w:rPr>
        <w:t>为</w:t>
      </w:r>
      <w:r>
        <w:rPr>
          <w:rFonts w:hint="eastAsia" w:cs="仿宋" w:asciiTheme="majorEastAsia" w:hAnsiTheme="majorEastAsia" w:eastAsiaTheme="majorEastAsia"/>
          <w:b/>
          <w:color w:val="000000" w:themeColor="text1"/>
          <w:szCs w:val="21"/>
          <w:lang w:val="en-US" w:eastAsia="zh-CN"/>
        </w:rPr>
        <w:t>5</w:t>
      </w:r>
      <w:r>
        <w:rPr>
          <w:rFonts w:hint="eastAsia" w:cs="仿宋" w:asciiTheme="majorEastAsia" w:hAnsiTheme="majorEastAsia" w:eastAsiaTheme="majorEastAsia"/>
          <w:b/>
          <w:color w:val="000000" w:themeColor="text1"/>
          <w:szCs w:val="21"/>
        </w:rPr>
        <w:t>人,</w:t>
      </w:r>
      <w:r>
        <w:rPr>
          <w:rFonts w:hint="eastAsia" w:cs="仿宋" w:asciiTheme="majorEastAsia" w:hAnsiTheme="majorEastAsia" w:eastAsiaTheme="majorEastAsia"/>
          <w:color w:val="000000" w:themeColor="text1"/>
          <w:szCs w:val="21"/>
        </w:rPr>
        <w:t>其中随机抽取专家人数不少于评标专家总人数的2/3。具体规定见投标人须知前附表第22项。</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21.2评标委员会负责对投标文件进行审查、质疑、评估和比较。</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22．评标的内容与程序</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22.1 评标的内容包括对资格审查部分、技术部分和商务部分的评审和比较。</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22.2 评标程序按评标程序按资格评审——符合性评审——详细评审的步骤进行，具体详见招标文件第三章“评标办法”。</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23．投标及投标文件的有效性</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23.1 评标过程中，投标文件出现下列情形之一的，将作为无效投标文件（废标），不再进入详细评标：</w:t>
      </w:r>
    </w:p>
    <w:p>
      <w:pPr>
        <w:spacing w:line="360" w:lineRule="auto"/>
        <w:ind w:firstLine="630" w:firstLineChars="3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23.1.1 投标文件未按照本须知第17条的要求装订、密封和标记的；</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23.1.2 投标文件有关内容未按规定加盖投标人印章或未经法定代表人或其授权代表签字或盖章的，或有授权代表签字或盖章的，但未随投标文件一起提交有效的“授权委托书”原件的；</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23.1.3未响应招标文件的实质性要求和条件；</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23.1.4 投标文件的关键内容字迹模糊、无法辨认的；</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23.1.5 投标报价不符合国家颁布的咨询服务收费标准，或超过</w:t>
      </w:r>
      <w:r>
        <w:rPr>
          <w:rFonts w:hint="eastAsia" w:cs="仿宋" w:asciiTheme="majorEastAsia" w:hAnsiTheme="majorEastAsia" w:eastAsiaTheme="majorEastAsia"/>
          <w:bCs/>
          <w:color w:val="000000" w:themeColor="text1"/>
          <w:kern w:val="0"/>
          <w:szCs w:val="21"/>
        </w:rPr>
        <w:t>项目招标控制价，</w:t>
      </w:r>
      <w:r>
        <w:rPr>
          <w:rFonts w:hint="eastAsia" w:cs="仿宋" w:asciiTheme="majorEastAsia" w:hAnsiTheme="majorEastAsia" w:eastAsiaTheme="majorEastAsia"/>
          <w:color w:val="000000" w:themeColor="text1"/>
          <w:szCs w:val="21"/>
        </w:rPr>
        <w:t>或低于成本恶性竞争的；</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23.1.6组成联合体投标的，投标文件未附联合体各方联合投标协议的；</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23.2 投标人有下列情况之一的，其投标将作废标处理或被否决：</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23.2.1投标人未按照招标文件的要求提供投标保证金或者投标保函的；</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23.2.2 与其他投标人相互串通报价，或者与招标人串通投标的；</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23.2.3 以向招标人或评标委员会成员行贿的手段谋取中标的；</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23.2.4 以他人名义投标，或者以其他方式弄虚作假；</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23.2.5 联合体通过资格预审后在组成上发生变化，含有未经过资格预审或者资格预审不合格的法人或者其他组织；</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23.2.6投标文件中标明的投标人与资格预审的申请人在名称和组织结构上存在实质性差别的；</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23.2.7 投标文件规格不符合规定，或规定“暗标”的部分不符合“暗标”要求，出现了投标人的名称或其他可识别投标人身份的字符、图案、照片、徽标等；</w:t>
      </w:r>
    </w:p>
    <w:p>
      <w:pPr>
        <w:spacing w:line="360" w:lineRule="auto"/>
        <w:ind w:left="210" w:leftChars="100"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23.2.8资格后审时投标人未能通过资格审查的。</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24．对投标文件的审查和响应性的确定</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24.1 评标委员会将组织审查投标文件是否完整，规定的服务方案是否提交，要求的投标保证金是否已有效提供，文件是否恰当地签署。</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24.2 评标委员会将确定每一投标人是否对招标文件的要求做出了实质性的响应，而没有重大偏离。实质性响应的投标是指投标符合招标文件的所有条款、条件和规定且没有重大偏离或保留。或影响到招标文件规定的服务范围、服务周期和要求，或限制了招标人的权利和投标人的义务的规定，而纠正这些偏离将影响到提交实质性响应投标的投标人的公平竞争地位。</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24.3 评标委员会判断投标文件的响应性仅基于投标文件本身而不靠外部证据。</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24.4评标委员会有权拒绝被确定为非实质性响应的投标，投标人不能通过修正或撤回不符合之处而使其投标成为实质性响应的投标。</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25．投标文件的澄清</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25.1 如投标人须知前附表第14项规定采用方案陈述，评标委员会可以要求投标人分别对其技术方案等技术文件的技术方案思想、理念进行介绍和说明，投标人介绍时间和评标委员会成员提问时间按表中规定的时间执行。如招标文件规定以“暗标”方式投标，投标人在对其技术方案等技术文件介绍时，不得介绍企业名称、技术人员的项目等内容。评标委员会成员提问时，不得提出带有暗示性或诱导性的问题，也不得明确指出其投标文件中的遗漏和错误。</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25.2 如评标委员会对投标文件有疑问，可以向投标人发出澄清函。投标人应对澄清函中的问题进行逐一书面解答，并由投标人授权代表签字，按照评标委员会要求的时间提交。如投标人不提交对澄清函的书面解答或其书面解答不为评标委员会接受，其投标有可能被拒绝。</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26．投标文件的评估和比较</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26.1对所有实质性响应招标文件要求的投标文件，评标委员会将采用相同的程序和标准，遵循公平、公正、科学和择优的原则，按综合评估法进行评审，确定投标人的排名。</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26.2 评标标准和方法详见本招标文件第三章“评标办法”。评标委员会根据其中的规定，对投标文件进行评审和比较，向招标人提出书面评标报告。</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26.3 除投标人须知前附表第26项规定评标委员会直接确定中标人外，招标人依据评标委员会推荐的中标候选人确定中标人，评标委员会推荐中标候选人的人数见投标人须知前附表第26项。</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26.4评标委员会经评审，认为所有投标都不符合招标文件要求的，可以否决所有投标。所有投标被否决后，招标人将依法重新招标。</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27．评标过程的保密</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27.1开标后直至授予中标人合同为止，评标委员会成员和与评标工作有关的工作人员不得透露对投标文件的评审和比较、中标候选人的推荐情况以及与评标有关的其他情况。</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27.2 在投标文件的评审和比较、中标候选人推荐以及授予合同的过程中，投标人向招标人和评标委员会施加影响的任何行为，都将会导致其投标被拒绝。</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27.3中标人确定后，招标人与招标代理机构不对未中标人就评标过程以及未能中标原因做出任何解释。未中标人不得向评标委员会组成人员或其他有关人员索问评标过程的情况和材料。</w:t>
      </w:r>
    </w:p>
    <w:p>
      <w:pPr>
        <w:pStyle w:val="5"/>
        <w:rPr>
          <w:rFonts w:cs="仿宋" w:asciiTheme="majorEastAsia" w:hAnsiTheme="majorEastAsia" w:eastAsiaTheme="majorEastAsia"/>
          <w:b w:val="0"/>
          <w:color w:val="000000" w:themeColor="text1"/>
          <w:sz w:val="21"/>
          <w:szCs w:val="21"/>
        </w:rPr>
      </w:pPr>
      <w:bookmarkStart w:id="12" w:name="_Toc440183414"/>
      <w:r>
        <w:rPr>
          <w:rFonts w:hint="eastAsia" w:cs="仿宋" w:asciiTheme="majorEastAsia" w:hAnsiTheme="majorEastAsia" w:eastAsiaTheme="majorEastAsia"/>
          <w:b w:val="0"/>
          <w:color w:val="000000" w:themeColor="text1"/>
          <w:sz w:val="21"/>
          <w:szCs w:val="21"/>
        </w:rPr>
        <w:t>（七） 授予合同</w:t>
      </w:r>
      <w:bookmarkEnd w:id="12"/>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28．招标人拒绝投标的权力</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28.1招标人不承诺将合同授予报价最低的投标人。招标人在发出中标通知书前，有权依据评标委员会的评标报告拒绝不合格的投标。</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29．中标公示和通知</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29.1 中标人确定后，招标人或招标代理机构将投标人须知前附表第27项规定公示评标结果。</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29.2 公示期没有投标人提出疑议的，招标人或招标代理机构可向中标人发出中标通知书，同时发布中标公告。对未中标的投标人不再另行发放未中标通知。</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30．合同的签订</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30.1 招标人与中标人将于中标通知书发出之日起30日内，按照招标文件和中标人的投标文件订立书面合同。</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30.2 中标人如因自身原因不按本投标须知第30.1款的规定与招标人订立合同，则招标人将取消其中标资格，投标保证金不予退还，给招标人造成的损失超过投标保证金数额的，还应当对超过部分予以赔偿，同时依法承担相应法律责任。</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30.3 中标人应当按照合同约定履行义务，完成中标项目的服务任务，不得将中标项目全部或部分非法转让（转包）给他人。</w:t>
      </w:r>
    </w:p>
    <w:p>
      <w:pPr>
        <w:pStyle w:val="5"/>
        <w:rPr>
          <w:rFonts w:cs="仿宋" w:asciiTheme="majorEastAsia" w:hAnsiTheme="majorEastAsia" w:eastAsiaTheme="majorEastAsia"/>
          <w:b w:val="0"/>
          <w:color w:val="000000" w:themeColor="text1"/>
          <w:sz w:val="21"/>
          <w:szCs w:val="21"/>
        </w:rPr>
      </w:pPr>
      <w:bookmarkStart w:id="13" w:name="_Toc440183415"/>
      <w:r>
        <w:rPr>
          <w:rFonts w:hint="eastAsia" w:cs="仿宋" w:asciiTheme="majorEastAsia" w:hAnsiTheme="majorEastAsia" w:eastAsiaTheme="majorEastAsia"/>
          <w:b w:val="0"/>
          <w:color w:val="000000" w:themeColor="text1"/>
          <w:sz w:val="21"/>
          <w:szCs w:val="21"/>
        </w:rPr>
        <w:t>（八） 其他</w:t>
      </w:r>
      <w:bookmarkEnd w:id="13"/>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31．未中标投标文件的返还</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投标文件的退还方式见投标人须知前附表第28项规定。</w:t>
      </w:r>
    </w:p>
    <w:p>
      <w:pPr>
        <w:spacing w:line="360" w:lineRule="auto"/>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32.投标人不得存在的其他情形</w:t>
      </w:r>
    </w:p>
    <w:p>
      <w:pPr>
        <w:spacing w:line="360" w:lineRule="auto"/>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32.1、不得存串通投标。有下列情形之一的，视为投标人串通投标，其投标无效：</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　　（一）不同投标人的投标文件由同一单位或者个人编制；</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　　（二）不同投标人委托同一单位或者个人办理投标事宜；</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　　（三）不同投标人的投标文件载明的项目管理成员或者联系人员为同一人；</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　　（四）不同投标人的投标文件异常一致或者投标报价呈规律性差异；</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　　（五）不同投标人的投标文件相互混装；</w:t>
      </w:r>
    </w:p>
    <w:p>
      <w:pPr>
        <w:spacing w:line="360" w:lineRule="auto"/>
        <w:ind w:firstLine="840" w:firstLineChars="4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（六）不同投标人的投标保证金从同一单位或者个人的账户转出；</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 xml:space="preserve">    （七）其他法律法规规定的情形。</w:t>
      </w:r>
    </w:p>
    <w:p>
      <w:pPr>
        <w:pStyle w:val="6"/>
        <w:rPr>
          <w:rFonts w:cs="仿宋" w:asciiTheme="majorEastAsia" w:hAnsiTheme="majorEastAsia" w:eastAsiaTheme="majorEastAsia"/>
          <w:b w:val="0"/>
          <w:color w:val="000000" w:themeColor="text1"/>
          <w:sz w:val="21"/>
          <w:szCs w:val="21"/>
        </w:rPr>
      </w:pPr>
      <w:r>
        <w:rPr>
          <w:rFonts w:hint="eastAsia" w:cs="仿宋" w:asciiTheme="majorEastAsia" w:hAnsiTheme="majorEastAsia" w:eastAsiaTheme="majorEastAsia"/>
          <w:b w:val="0"/>
          <w:color w:val="000000" w:themeColor="text1"/>
          <w:sz w:val="21"/>
          <w:szCs w:val="21"/>
        </w:rPr>
        <w:t>33.  需要补充的其他内容</w:t>
      </w:r>
    </w:p>
    <w:p>
      <w:pPr>
        <w:spacing w:line="360" w:lineRule="auto"/>
        <w:ind w:firstLine="420" w:firstLineChars="200"/>
        <w:rPr>
          <w:rFonts w:cs="仿宋"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详见投标人须知前附表。</w:t>
      </w:r>
    </w:p>
    <w:p>
      <w:pPr>
        <w:spacing w:line="360" w:lineRule="auto"/>
        <w:ind w:firstLine="420" w:firstLineChars="200"/>
        <w:rPr>
          <w:rFonts w:cs="Arial" w:asciiTheme="majorEastAsia" w:hAnsiTheme="majorEastAsia" w:eastAsiaTheme="majorEastAsia"/>
          <w:color w:val="000000" w:themeColor="text1"/>
        </w:rPr>
      </w:pPr>
    </w:p>
    <w:p>
      <w:pPr>
        <w:spacing w:line="360" w:lineRule="auto"/>
        <w:ind w:firstLine="420" w:firstLineChars="200"/>
        <w:rPr>
          <w:rFonts w:cs="Arial" w:asciiTheme="majorEastAsia" w:hAnsiTheme="majorEastAsia" w:eastAsiaTheme="majorEastAsia"/>
          <w:color w:val="000000" w:themeColor="text1"/>
          <w:szCs w:val="21"/>
        </w:rPr>
        <w:sectPr>
          <w:headerReference r:id="rId5" w:type="default"/>
          <w:footerReference r:id="rId6" w:type="default"/>
          <w:pgSz w:w="11906" w:h="16838"/>
          <w:pgMar w:top="1418" w:right="1134" w:bottom="1418" w:left="1701" w:header="851" w:footer="992" w:gutter="0"/>
          <w:pgNumType w:start="1"/>
          <w:cols w:space="720" w:num="1"/>
          <w:docGrid w:type="lines" w:linePitch="312" w:charSpace="0"/>
        </w:sectPr>
      </w:pPr>
    </w:p>
    <w:p>
      <w:pPr>
        <w:pStyle w:val="5"/>
        <w:spacing w:line="300" w:lineRule="auto"/>
        <w:jc w:val="center"/>
        <w:rPr>
          <w:rFonts w:cs="宋体" w:asciiTheme="majorEastAsia" w:hAnsiTheme="majorEastAsia" w:eastAsiaTheme="majorEastAsia"/>
          <w:color w:val="000000" w:themeColor="text1"/>
        </w:rPr>
      </w:pPr>
      <w:bookmarkStart w:id="14" w:name="_Toc176257397"/>
      <w:bookmarkStart w:id="15" w:name="_Toc182891057"/>
      <w:bookmarkStart w:id="16" w:name="_Toc13805"/>
      <w:bookmarkStart w:id="17" w:name="_Toc247815569"/>
      <w:bookmarkStart w:id="18" w:name="_Toc7151"/>
      <w:bookmarkStart w:id="19" w:name="_Toc225356383"/>
      <w:bookmarkStart w:id="20" w:name="_Toc247815566"/>
      <w:bookmarkStart w:id="21" w:name="_Toc176257387"/>
      <w:r>
        <w:rPr>
          <w:rFonts w:hint="eastAsia" w:cs="仿宋" w:asciiTheme="majorEastAsia" w:hAnsiTheme="majorEastAsia" w:eastAsiaTheme="majorEastAsia"/>
          <w:b w:val="0"/>
          <w:color w:val="000000" w:themeColor="text1"/>
          <w:sz w:val="36"/>
          <w:szCs w:val="36"/>
        </w:rPr>
        <w:t xml:space="preserve">第三章  </w:t>
      </w:r>
      <w:bookmarkEnd w:id="14"/>
      <w:bookmarkEnd w:id="15"/>
      <w:bookmarkEnd w:id="16"/>
      <w:bookmarkEnd w:id="17"/>
      <w:bookmarkEnd w:id="18"/>
      <w:r>
        <w:rPr>
          <w:rFonts w:hint="eastAsia" w:cs="宋体" w:asciiTheme="majorEastAsia" w:hAnsiTheme="majorEastAsia" w:eastAsiaTheme="majorEastAsia"/>
          <w:color w:val="000000" w:themeColor="text1"/>
        </w:rPr>
        <w:t>评标办法（综合评分法）</w:t>
      </w:r>
    </w:p>
    <w:p>
      <w:pPr>
        <w:pStyle w:val="6"/>
        <w:spacing w:line="300" w:lineRule="auto"/>
        <w:rPr>
          <w:rFonts w:cs="宋体" w:asciiTheme="majorEastAsia" w:hAnsiTheme="majorEastAsia" w:eastAsiaTheme="majorEastAsia"/>
          <w:color w:val="000000" w:themeColor="text1"/>
        </w:rPr>
      </w:pPr>
      <w:bookmarkStart w:id="22" w:name="_Toc26365"/>
      <w:bookmarkStart w:id="23" w:name="_Toc6327"/>
      <w:bookmarkStart w:id="24" w:name="_Toc725"/>
      <w:bookmarkStart w:id="25" w:name="_Toc17604"/>
      <w:r>
        <w:rPr>
          <w:rFonts w:hint="eastAsia" w:cs="宋体" w:asciiTheme="majorEastAsia" w:hAnsiTheme="majorEastAsia" w:eastAsiaTheme="majorEastAsia"/>
          <w:color w:val="000000" w:themeColor="text1"/>
        </w:rPr>
        <w:t>评标办法前附表</w:t>
      </w:r>
      <w:bookmarkEnd w:id="22"/>
      <w:bookmarkEnd w:id="23"/>
      <w:bookmarkEnd w:id="24"/>
      <w:bookmarkEnd w:id="25"/>
    </w:p>
    <w:p>
      <w:pPr>
        <w:spacing w:line="300" w:lineRule="auto"/>
        <w:jc w:val="center"/>
        <w:rPr>
          <w:rFonts w:cs="宋体" w:asciiTheme="majorEastAsia" w:hAnsiTheme="majorEastAsia" w:eastAsiaTheme="majorEastAsia"/>
          <w:color w:val="000000" w:themeColor="text1"/>
          <w:sz w:val="28"/>
          <w:szCs w:val="32"/>
        </w:rPr>
      </w:pPr>
      <w:bookmarkStart w:id="26" w:name="_Toc25664"/>
      <w:bookmarkStart w:id="27" w:name="_Toc27324"/>
      <w:r>
        <w:rPr>
          <w:rFonts w:hint="eastAsia" w:cs="宋体" w:asciiTheme="majorEastAsia" w:hAnsiTheme="majorEastAsia" w:eastAsiaTheme="majorEastAsia"/>
          <w:color w:val="000000" w:themeColor="text1"/>
          <w:sz w:val="28"/>
          <w:szCs w:val="32"/>
        </w:rPr>
        <w:t>初步评审—资格性审查表</w:t>
      </w:r>
    </w:p>
    <w:tbl>
      <w:tblPr>
        <w:tblStyle w:val="40"/>
        <w:tblpPr w:leftFromText="180" w:rightFromText="180" w:vertAnchor="text" w:horzAnchor="page" w:tblpXSpec="center" w:tblpY="116"/>
        <w:tblOverlap w:val="never"/>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159"/>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序号</w:t>
            </w:r>
          </w:p>
        </w:tc>
        <w:tc>
          <w:tcPr>
            <w:tcW w:w="6159"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评审内容</w:t>
            </w:r>
          </w:p>
        </w:tc>
        <w:tc>
          <w:tcPr>
            <w:tcW w:w="2519"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1</w:t>
            </w:r>
          </w:p>
        </w:tc>
        <w:tc>
          <w:tcPr>
            <w:tcW w:w="6159" w:type="dxa"/>
            <w:vAlign w:val="center"/>
          </w:tcPr>
          <w:p>
            <w:pPr>
              <w:spacing w:line="300" w:lineRule="auto"/>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投标人具备招标文件所列的资格要求，或未提交相应的资格证明资料（提供营业执照、授权委托书、社保证明等）；</w:t>
            </w:r>
          </w:p>
        </w:tc>
        <w:tc>
          <w:tcPr>
            <w:tcW w:w="2519" w:type="dxa"/>
          </w:tcPr>
          <w:p>
            <w:pPr>
              <w:spacing w:line="300" w:lineRule="auto"/>
              <w:rPr>
                <w:rFonts w:cs="宋体"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2</w:t>
            </w:r>
          </w:p>
        </w:tc>
        <w:tc>
          <w:tcPr>
            <w:tcW w:w="6159" w:type="dxa"/>
            <w:vAlign w:val="center"/>
          </w:tcPr>
          <w:p>
            <w:pPr>
              <w:spacing w:line="300" w:lineRule="auto"/>
              <w:rPr>
                <w:rFonts w:cs="宋体" w:asciiTheme="majorEastAsia" w:hAnsiTheme="majorEastAsia" w:eastAsiaTheme="majorEastAsia"/>
                <w:bCs/>
                <w:color w:val="000000" w:themeColor="text1"/>
                <w:kern w:val="0"/>
                <w:szCs w:val="21"/>
                <w:shd w:val="clear" w:color="auto" w:fill="FFFFFF"/>
              </w:rPr>
            </w:pPr>
            <w:r>
              <w:rPr>
                <w:rFonts w:hint="eastAsia" w:cs="宋体" w:asciiTheme="majorEastAsia" w:hAnsiTheme="majorEastAsia" w:eastAsiaTheme="majorEastAsia"/>
                <w:bCs/>
                <w:color w:val="000000" w:themeColor="text1"/>
                <w:kern w:val="0"/>
                <w:szCs w:val="21"/>
                <w:shd w:val="clear" w:color="auto" w:fill="FFFFFF"/>
              </w:rPr>
              <w:t>无行贿犯罪记录（在中国裁判文书网（http://wenshu.court.gov.cn/）查询截图，并加盖公章）</w:t>
            </w:r>
          </w:p>
        </w:tc>
        <w:tc>
          <w:tcPr>
            <w:tcW w:w="2519" w:type="dxa"/>
          </w:tcPr>
          <w:p>
            <w:pPr>
              <w:spacing w:line="300" w:lineRule="auto"/>
              <w:rPr>
                <w:rFonts w:cs="宋体"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3</w:t>
            </w:r>
          </w:p>
        </w:tc>
        <w:tc>
          <w:tcPr>
            <w:tcW w:w="6159" w:type="dxa"/>
            <w:vAlign w:val="center"/>
          </w:tcPr>
          <w:p>
            <w:pPr>
              <w:spacing w:line="300" w:lineRule="auto"/>
              <w:rPr>
                <w:rFonts w:cs="宋体" w:asciiTheme="majorEastAsia" w:hAnsiTheme="majorEastAsia" w:eastAsiaTheme="majorEastAsia"/>
                <w:bCs/>
                <w:color w:val="000000" w:themeColor="text1"/>
                <w:kern w:val="0"/>
                <w:szCs w:val="21"/>
                <w:shd w:val="clear" w:color="auto" w:fill="FFFFFF"/>
              </w:rPr>
            </w:pPr>
            <w:r>
              <w:rPr>
                <w:rFonts w:hint="eastAsia" w:cs="宋体" w:asciiTheme="majorEastAsia" w:hAnsiTheme="majorEastAsia" w:eastAsiaTheme="majorEastAsia"/>
                <w:bCs/>
                <w:color w:val="000000" w:themeColor="text1"/>
                <w:kern w:val="0"/>
                <w:szCs w:val="21"/>
                <w:shd w:val="clear" w:color="auto" w:fill="FFFFFF"/>
              </w:rPr>
              <w:t>在“信用中国”（www.creditchina.gov.cn）</w:t>
            </w:r>
            <w:r>
              <w:rPr>
                <w:rFonts w:hint="eastAsia" w:cs="宋体" w:asciiTheme="majorEastAsia" w:hAnsiTheme="majorEastAsia" w:eastAsiaTheme="majorEastAsia"/>
                <w:bCs/>
                <w:color w:val="000000" w:themeColor="text1"/>
                <w:kern w:val="0"/>
                <w:szCs w:val="21"/>
                <w:shd w:val="clear" w:color="auto" w:fill="FFFFFF"/>
                <w:lang w:eastAsia="zh-CN"/>
              </w:rPr>
              <w:t>、</w:t>
            </w:r>
            <w:r>
              <w:rPr>
                <w:rFonts w:hint="eastAsia" w:cs="宋体" w:asciiTheme="majorEastAsia" w:hAnsiTheme="majorEastAsia" w:eastAsiaTheme="majorEastAsia"/>
                <w:bCs/>
                <w:color w:val="000000" w:themeColor="text1"/>
                <w:kern w:val="0"/>
                <w:szCs w:val="21"/>
                <w:shd w:val="clear" w:color="auto" w:fill="FFFFFF"/>
              </w:rPr>
              <w:t>中国政府采购网（www.ccgp.gov.cn）</w:t>
            </w:r>
            <w:r>
              <w:rPr>
                <w:rFonts w:hint="eastAsia" w:cs="宋体" w:asciiTheme="majorEastAsia" w:hAnsiTheme="majorEastAsia" w:eastAsiaTheme="majorEastAsia"/>
                <w:bCs/>
                <w:color w:val="000000" w:themeColor="text1"/>
                <w:kern w:val="0"/>
                <w:szCs w:val="21"/>
                <w:shd w:val="clear" w:color="auto" w:fill="FFFFFF"/>
                <w:lang w:eastAsia="zh-CN"/>
              </w:rPr>
              <w:t>和国家企业信用信息公示系统（http://www.gsxt.gov.cn）</w:t>
            </w:r>
            <w:r>
              <w:rPr>
                <w:rFonts w:hint="eastAsia" w:cs="宋体" w:asciiTheme="majorEastAsia" w:hAnsiTheme="majorEastAsia" w:eastAsiaTheme="majorEastAsia"/>
                <w:bCs/>
                <w:color w:val="000000" w:themeColor="text1"/>
                <w:kern w:val="0"/>
                <w:szCs w:val="21"/>
                <w:shd w:val="clear" w:color="auto" w:fill="FFFFFF"/>
              </w:rPr>
              <w:t>网站上未被列入失信被执行人、重大税收违法案件当事人名单以及政府采购严重违法失信行为记录名单（查询截图，并加盖公章）</w:t>
            </w:r>
          </w:p>
        </w:tc>
        <w:tc>
          <w:tcPr>
            <w:tcW w:w="2519" w:type="dxa"/>
          </w:tcPr>
          <w:p>
            <w:pPr>
              <w:spacing w:line="300" w:lineRule="auto"/>
              <w:rPr>
                <w:rFonts w:cs="宋体"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4</w:t>
            </w:r>
          </w:p>
        </w:tc>
        <w:tc>
          <w:tcPr>
            <w:tcW w:w="6159" w:type="dxa"/>
            <w:vAlign w:val="center"/>
          </w:tcPr>
          <w:p>
            <w:pPr>
              <w:spacing w:line="300" w:lineRule="auto"/>
              <w:rPr>
                <w:rFonts w:cs="宋体" w:asciiTheme="majorEastAsia" w:hAnsiTheme="majorEastAsia" w:eastAsiaTheme="majorEastAsia"/>
                <w:bCs/>
                <w:color w:val="000000" w:themeColor="text1"/>
                <w:kern w:val="0"/>
                <w:szCs w:val="21"/>
                <w:shd w:val="clear" w:color="auto" w:fill="FFFFFF"/>
              </w:rPr>
            </w:pPr>
            <w:r>
              <w:rPr>
                <w:rFonts w:hint="eastAsia" w:cs="宋体" w:asciiTheme="majorEastAsia" w:hAnsiTheme="majorEastAsia" w:eastAsiaTheme="majorEastAsia"/>
                <w:bCs/>
                <w:color w:val="000000" w:themeColor="text1"/>
                <w:kern w:val="0"/>
                <w:szCs w:val="21"/>
                <w:shd w:val="clear" w:color="auto" w:fill="FFFFFF"/>
              </w:rPr>
              <w:t>应具有良好的商业信誉和健全的财务会计制度及完税证明（需提供会计事务所出具202</w:t>
            </w:r>
            <w:r>
              <w:rPr>
                <w:rFonts w:hint="eastAsia" w:cs="宋体" w:asciiTheme="majorEastAsia" w:hAnsiTheme="majorEastAsia" w:eastAsiaTheme="majorEastAsia"/>
                <w:bCs/>
                <w:color w:val="000000" w:themeColor="text1"/>
                <w:kern w:val="0"/>
                <w:szCs w:val="21"/>
                <w:shd w:val="clear" w:color="auto" w:fill="FFFFFF"/>
                <w:lang w:val="en-US" w:eastAsia="zh-CN"/>
              </w:rPr>
              <w:t>1</w:t>
            </w:r>
            <w:r>
              <w:rPr>
                <w:rFonts w:hint="eastAsia" w:cs="宋体" w:asciiTheme="majorEastAsia" w:hAnsiTheme="majorEastAsia" w:eastAsiaTheme="majorEastAsia"/>
                <w:bCs/>
                <w:color w:val="000000" w:themeColor="text1"/>
                <w:kern w:val="0"/>
                <w:szCs w:val="21"/>
                <w:shd w:val="clear" w:color="auto" w:fill="FFFFFF"/>
              </w:rPr>
              <w:t>年度财务审计报告及税务申报资料或税务部门出具的</w:t>
            </w:r>
            <w:r>
              <w:rPr>
                <w:rFonts w:hint="eastAsia" w:cs="宋体" w:asciiTheme="majorEastAsia" w:hAnsiTheme="majorEastAsia" w:eastAsiaTheme="majorEastAsia"/>
                <w:bCs/>
                <w:color w:val="000000" w:themeColor="text1"/>
                <w:kern w:val="0"/>
                <w:szCs w:val="21"/>
                <w:shd w:val="clear" w:color="auto" w:fill="FFFFFF"/>
                <w:lang w:eastAsia="zh-CN"/>
              </w:rPr>
              <w:t>近半年</w:t>
            </w:r>
            <w:r>
              <w:rPr>
                <w:rFonts w:hint="eastAsia" w:cs="宋体" w:asciiTheme="majorEastAsia" w:hAnsiTheme="majorEastAsia" w:eastAsiaTheme="majorEastAsia"/>
                <w:bCs/>
                <w:color w:val="000000" w:themeColor="text1"/>
                <w:kern w:val="0"/>
                <w:szCs w:val="21"/>
                <w:shd w:val="clear" w:color="auto" w:fill="FFFFFF"/>
              </w:rPr>
              <w:t>的完税证明，202</w:t>
            </w:r>
            <w:r>
              <w:rPr>
                <w:rFonts w:hint="eastAsia" w:cs="宋体" w:asciiTheme="majorEastAsia" w:hAnsiTheme="majorEastAsia" w:eastAsiaTheme="majorEastAsia"/>
                <w:bCs/>
                <w:color w:val="000000" w:themeColor="text1"/>
                <w:kern w:val="0"/>
                <w:szCs w:val="21"/>
                <w:shd w:val="clear" w:color="auto" w:fill="FFFFFF"/>
                <w:lang w:val="en-US" w:eastAsia="zh-CN"/>
              </w:rPr>
              <w:t>2</w:t>
            </w:r>
            <w:r>
              <w:rPr>
                <w:rFonts w:hint="eastAsia" w:cs="宋体" w:asciiTheme="majorEastAsia" w:hAnsiTheme="majorEastAsia" w:eastAsiaTheme="majorEastAsia"/>
                <w:bCs/>
                <w:color w:val="000000" w:themeColor="text1"/>
                <w:kern w:val="0"/>
                <w:szCs w:val="21"/>
                <w:shd w:val="clear" w:color="auto" w:fill="FFFFFF"/>
              </w:rPr>
              <w:t>年新成立的公司可不提供）。</w:t>
            </w:r>
          </w:p>
        </w:tc>
        <w:tc>
          <w:tcPr>
            <w:tcW w:w="2519" w:type="dxa"/>
          </w:tcPr>
          <w:p>
            <w:pPr>
              <w:spacing w:line="300" w:lineRule="auto"/>
              <w:rPr>
                <w:rFonts w:cs="宋体"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5</w:t>
            </w:r>
          </w:p>
        </w:tc>
        <w:tc>
          <w:tcPr>
            <w:tcW w:w="6159" w:type="dxa"/>
            <w:vAlign w:val="center"/>
          </w:tcPr>
          <w:p>
            <w:pPr>
              <w:spacing w:line="300" w:lineRule="auto"/>
              <w:rPr>
                <w:rFonts w:cs="宋体" w:asciiTheme="majorEastAsia" w:hAnsiTheme="majorEastAsia" w:eastAsiaTheme="majorEastAsia"/>
                <w:bCs/>
                <w:color w:val="000000" w:themeColor="text1"/>
                <w:kern w:val="0"/>
                <w:szCs w:val="21"/>
                <w:shd w:val="clear" w:color="auto" w:fill="FFFFFF"/>
              </w:rPr>
            </w:pPr>
            <w:r>
              <w:rPr>
                <w:rFonts w:hint="eastAsia" w:cs="宋体" w:asciiTheme="majorEastAsia" w:hAnsiTheme="majorEastAsia" w:eastAsiaTheme="majorEastAsia"/>
                <w:bCs/>
                <w:color w:val="000000" w:themeColor="text1"/>
                <w:kern w:val="0"/>
                <w:szCs w:val="21"/>
                <w:shd w:val="clear" w:color="auto" w:fill="FFFFFF"/>
              </w:rPr>
              <w:t>投标保证金的缴纳主体与投标人是否一致，是否按照招标文件要求提供投标担保，或者所提供的投标担保有瑕疵的；</w:t>
            </w:r>
          </w:p>
        </w:tc>
        <w:tc>
          <w:tcPr>
            <w:tcW w:w="2519" w:type="dxa"/>
          </w:tcPr>
          <w:p>
            <w:pPr>
              <w:spacing w:line="300" w:lineRule="auto"/>
              <w:rPr>
                <w:rFonts w:cs="宋体"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6</w:t>
            </w:r>
          </w:p>
        </w:tc>
        <w:tc>
          <w:tcPr>
            <w:tcW w:w="6159" w:type="dxa"/>
            <w:vAlign w:val="center"/>
          </w:tcPr>
          <w:p>
            <w:pPr>
              <w:spacing w:line="300" w:lineRule="auto"/>
              <w:rPr>
                <w:rFonts w:cs="宋体" w:asciiTheme="majorEastAsia" w:hAnsiTheme="majorEastAsia" w:eastAsiaTheme="majorEastAsia"/>
                <w:bCs/>
                <w:color w:val="000000" w:themeColor="text1"/>
                <w:kern w:val="0"/>
                <w:szCs w:val="21"/>
                <w:shd w:val="clear" w:color="auto" w:fill="FFFFFF"/>
              </w:rPr>
            </w:pPr>
            <w:r>
              <w:rPr>
                <w:rFonts w:hint="eastAsia" w:cs="仿宋" w:asciiTheme="majorEastAsia" w:hAnsiTheme="majorEastAsia" w:eastAsiaTheme="majorEastAsia"/>
                <w:color w:val="000000" w:themeColor="text1"/>
                <w:szCs w:val="21"/>
              </w:rPr>
              <w:t>以他人名义投标，或者以其他方式弄虚作假</w:t>
            </w:r>
          </w:p>
        </w:tc>
        <w:tc>
          <w:tcPr>
            <w:tcW w:w="2519" w:type="dxa"/>
          </w:tcPr>
          <w:p>
            <w:pPr>
              <w:spacing w:line="300" w:lineRule="auto"/>
              <w:rPr>
                <w:rFonts w:cs="宋体"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7</w:t>
            </w:r>
          </w:p>
        </w:tc>
        <w:tc>
          <w:tcPr>
            <w:tcW w:w="6159" w:type="dxa"/>
            <w:vAlign w:val="center"/>
          </w:tcPr>
          <w:p>
            <w:pPr>
              <w:spacing w:line="300" w:lineRule="auto"/>
              <w:rPr>
                <w:rFonts w:cs="宋体" w:asciiTheme="majorEastAsia" w:hAnsiTheme="majorEastAsia" w:eastAsiaTheme="majorEastAsia"/>
                <w:color w:val="000000" w:themeColor="text1"/>
                <w:szCs w:val="21"/>
              </w:rPr>
            </w:pPr>
            <w:r>
              <w:rPr>
                <w:rFonts w:hint="eastAsia" w:cs="仿宋" w:asciiTheme="majorEastAsia" w:hAnsiTheme="majorEastAsia" w:eastAsiaTheme="majorEastAsia"/>
                <w:bCs/>
                <w:color w:val="000000" w:themeColor="text1"/>
                <w:szCs w:val="21"/>
              </w:rPr>
              <w:t>不存在禁止投标和串标围标的情形</w:t>
            </w:r>
          </w:p>
        </w:tc>
        <w:tc>
          <w:tcPr>
            <w:tcW w:w="2519" w:type="dxa"/>
          </w:tcPr>
          <w:p>
            <w:pPr>
              <w:spacing w:line="300" w:lineRule="auto"/>
              <w:rPr>
                <w:rFonts w:cs="宋体"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12" w:type="dxa"/>
            <w:vAlign w:val="center"/>
          </w:tcPr>
          <w:p>
            <w:pPr>
              <w:spacing w:line="300" w:lineRule="auto"/>
              <w:jc w:val="center"/>
              <w:rPr>
                <w:rFonts w:cs="宋体" w:asciiTheme="majorEastAsia" w:hAnsiTheme="majorEastAsia" w:eastAsiaTheme="majorEastAsia"/>
                <w:color w:val="000000" w:themeColor="text1"/>
                <w:szCs w:val="21"/>
              </w:rPr>
            </w:pPr>
          </w:p>
        </w:tc>
        <w:tc>
          <w:tcPr>
            <w:tcW w:w="6159"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结论</w:t>
            </w:r>
          </w:p>
        </w:tc>
        <w:tc>
          <w:tcPr>
            <w:tcW w:w="2519" w:type="dxa"/>
          </w:tcPr>
          <w:p>
            <w:pPr>
              <w:spacing w:line="300" w:lineRule="auto"/>
              <w:rPr>
                <w:rFonts w:cs="宋体" w:asciiTheme="majorEastAsia" w:hAnsiTheme="majorEastAsia" w:eastAsiaTheme="majorEastAsia"/>
                <w:color w:val="000000" w:themeColor="text1"/>
                <w:szCs w:val="21"/>
              </w:rPr>
            </w:pPr>
          </w:p>
        </w:tc>
      </w:tr>
    </w:tbl>
    <w:p>
      <w:pPr>
        <w:spacing w:line="300" w:lineRule="auto"/>
        <w:ind w:left="60"/>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说明：（1）上述各项中用“√”表示通过，“×”表示不通过；</w:t>
      </w:r>
    </w:p>
    <w:p>
      <w:pPr>
        <w:spacing w:line="300" w:lineRule="auto"/>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（2）上述各项中如有一项为“×”，则结论为“×”，表示该投标文件中存在重大偏差，不能通过初步评审；评委对某一分项评审认为不合格时，必须要写明原因。</w:t>
      </w:r>
    </w:p>
    <w:p>
      <w:pPr>
        <w:spacing w:line="300" w:lineRule="auto"/>
        <w:ind w:left="60"/>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（3）投标文件最终合格与否，以所有评委的评审意见中少数服从多数为原则定论。</w:t>
      </w:r>
    </w:p>
    <w:p>
      <w:pPr>
        <w:spacing w:line="300" w:lineRule="auto"/>
        <w:jc w:val="center"/>
        <w:rPr>
          <w:rFonts w:cs="宋体" w:asciiTheme="majorEastAsia" w:hAnsiTheme="majorEastAsia" w:eastAsiaTheme="majorEastAsia"/>
          <w:b/>
          <w:bCs/>
          <w:color w:val="000000" w:themeColor="text1"/>
          <w:sz w:val="24"/>
        </w:rPr>
      </w:pPr>
    </w:p>
    <w:p>
      <w:pPr>
        <w:spacing w:line="300" w:lineRule="auto"/>
        <w:jc w:val="center"/>
        <w:rPr>
          <w:rFonts w:cs="宋体" w:asciiTheme="majorEastAsia" w:hAnsiTheme="majorEastAsia" w:eastAsiaTheme="majorEastAsia"/>
          <w:b/>
          <w:bCs/>
          <w:color w:val="000000" w:themeColor="text1"/>
          <w:sz w:val="24"/>
        </w:rPr>
      </w:pPr>
    </w:p>
    <w:p>
      <w:pPr>
        <w:pStyle w:val="9"/>
        <w:spacing w:line="300" w:lineRule="auto"/>
        <w:ind w:firstLine="482"/>
        <w:rPr>
          <w:rFonts w:cs="宋体" w:asciiTheme="majorEastAsia" w:hAnsiTheme="majorEastAsia" w:eastAsiaTheme="majorEastAsia"/>
          <w:b/>
          <w:bCs/>
          <w:color w:val="000000" w:themeColor="text1"/>
          <w:sz w:val="24"/>
        </w:rPr>
      </w:pPr>
    </w:p>
    <w:p>
      <w:pPr>
        <w:spacing w:line="300" w:lineRule="auto"/>
        <w:ind w:left="60"/>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w:t>
      </w:r>
    </w:p>
    <w:p>
      <w:pPr>
        <w:spacing w:line="300" w:lineRule="auto"/>
        <w:jc w:val="center"/>
        <w:rPr>
          <w:rFonts w:cs="宋体" w:asciiTheme="majorEastAsia" w:hAnsiTheme="majorEastAsia" w:eastAsiaTheme="majorEastAsia"/>
          <w:b/>
          <w:bCs/>
          <w:color w:val="000000" w:themeColor="text1"/>
          <w:sz w:val="24"/>
        </w:rPr>
      </w:pPr>
    </w:p>
    <w:p>
      <w:pPr>
        <w:spacing w:line="300" w:lineRule="auto"/>
        <w:jc w:val="center"/>
        <w:rPr>
          <w:rFonts w:cs="宋体" w:asciiTheme="majorEastAsia" w:hAnsiTheme="majorEastAsia" w:eastAsiaTheme="majorEastAsia"/>
          <w:b/>
          <w:bCs/>
          <w:color w:val="000000" w:themeColor="text1"/>
          <w:sz w:val="24"/>
        </w:rPr>
      </w:pPr>
    </w:p>
    <w:p>
      <w:pPr>
        <w:pStyle w:val="9"/>
        <w:spacing w:line="300" w:lineRule="auto"/>
        <w:ind w:firstLine="482"/>
        <w:rPr>
          <w:rFonts w:cs="宋体" w:asciiTheme="majorEastAsia" w:hAnsiTheme="majorEastAsia" w:eastAsiaTheme="majorEastAsia"/>
          <w:b/>
          <w:bCs/>
          <w:color w:val="000000" w:themeColor="text1"/>
          <w:sz w:val="24"/>
        </w:rPr>
      </w:pPr>
    </w:p>
    <w:p>
      <w:pPr>
        <w:pStyle w:val="9"/>
        <w:spacing w:line="300" w:lineRule="auto"/>
        <w:ind w:firstLine="0"/>
        <w:jc w:val="center"/>
        <w:rPr>
          <w:rFonts w:cs="宋体" w:asciiTheme="majorEastAsia" w:hAnsiTheme="majorEastAsia" w:eastAsiaTheme="majorEastAsia"/>
          <w:b/>
          <w:bCs/>
          <w:color w:val="000000" w:themeColor="text1"/>
          <w:sz w:val="24"/>
        </w:rPr>
      </w:pPr>
      <w:r>
        <w:rPr>
          <w:rFonts w:hint="eastAsia" w:cs="宋体" w:asciiTheme="majorEastAsia" w:hAnsiTheme="majorEastAsia" w:eastAsiaTheme="majorEastAsia"/>
          <w:b/>
          <w:bCs/>
          <w:color w:val="000000" w:themeColor="text1"/>
          <w:sz w:val="24"/>
        </w:rPr>
        <w:t>初步评审—符合性审查表</w:t>
      </w:r>
    </w:p>
    <w:tbl>
      <w:tblPr>
        <w:tblStyle w:val="40"/>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7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000" w:type="dxa"/>
            <w:gridSpan w:val="2"/>
            <w:vAlign w:val="center"/>
          </w:tcPr>
          <w:p>
            <w:pPr>
              <w:spacing w:line="300" w:lineRule="auto"/>
              <w:jc w:val="center"/>
              <w:rPr>
                <w:rFonts w:cs="宋体" w:asciiTheme="majorEastAsia" w:hAnsiTheme="majorEastAsia" w:eastAsiaTheme="majorEastAsia"/>
                <w:color w:val="000000" w:themeColor="text1"/>
                <w:spacing w:val="-2"/>
                <w:szCs w:val="21"/>
              </w:rPr>
            </w:pPr>
            <w:r>
              <w:rPr>
                <w:rFonts w:hint="eastAsia" w:cs="宋体" w:asciiTheme="majorEastAsia" w:hAnsiTheme="majorEastAsia" w:eastAsiaTheme="majorEastAsia"/>
                <w:color w:val="000000" w:themeColor="text1"/>
                <w:spacing w:val="-2"/>
                <w:szCs w:val="21"/>
              </w:rPr>
              <w:t>评审内容</w:t>
            </w:r>
          </w:p>
        </w:tc>
        <w:tc>
          <w:tcPr>
            <w:tcW w:w="2020" w:type="dxa"/>
            <w:vAlign w:val="center"/>
          </w:tcPr>
          <w:p>
            <w:pPr>
              <w:spacing w:line="300" w:lineRule="auto"/>
              <w:jc w:val="center"/>
              <w:rPr>
                <w:rFonts w:cs="宋体" w:asciiTheme="majorEastAsia" w:hAnsiTheme="majorEastAsia" w:eastAsiaTheme="majorEastAsia"/>
                <w:color w:val="000000" w:themeColor="text1"/>
                <w:spacing w:val="-2"/>
                <w:szCs w:val="21"/>
              </w:rPr>
            </w:pPr>
            <w:r>
              <w:rPr>
                <w:rFonts w:hint="eastAsia" w:cs="宋体" w:asciiTheme="majorEastAsia" w:hAnsiTheme="majorEastAsia" w:eastAsiaTheme="majorEastAsia"/>
                <w:b/>
                <w:color w:val="000000" w:themeColor="text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序号</w:t>
            </w:r>
          </w:p>
        </w:tc>
        <w:tc>
          <w:tcPr>
            <w:tcW w:w="6172" w:type="dxa"/>
            <w:vAlign w:val="center"/>
          </w:tcPr>
          <w:p>
            <w:pPr>
              <w:spacing w:line="300" w:lineRule="auto"/>
              <w:rPr>
                <w:rFonts w:cs="宋体" w:asciiTheme="majorEastAsia" w:hAnsiTheme="majorEastAsia" w:eastAsiaTheme="majorEastAsia"/>
                <w:color w:val="000000" w:themeColor="text1"/>
                <w:spacing w:val="-2"/>
                <w:szCs w:val="21"/>
              </w:rPr>
            </w:pPr>
          </w:p>
        </w:tc>
        <w:tc>
          <w:tcPr>
            <w:tcW w:w="2020" w:type="dxa"/>
            <w:vAlign w:val="center"/>
          </w:tcPr>
          <w:p>
            <w:pPr>
              <w:spacing w:line="300" w:lineRule="auto"/>
              <w:jc w:val="center"/>
              <w:rPr>
                <w:rFonts w:cs="宋体" w:asciiTheme="majorEastAsia" w:hAnsiTheme="majorEastAsia" w:eastAsiaTheme="majorEastAsia"/>
                <w:color w:val="000000" w:themeColor="text1"/>
                <w:spacing w:val="-2"/>
                <w:szCs w:val="21"/>
              </w:rPr>
            </w:pPr>
            <w:r>
              <w:rPr>
                <w:rFonts w:hint="eastAsia" w:cs="宋体" w:asciiTheme="majorEastAsia" w:hAnsiTheme="majorEastAsia" w:eastAsiaTheme="majorEastAsia"/>
                <w:color w:val="000000" w:themeColor="text1"/>
                <w:spacing w:val="-2"/>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1</w:t>
            </w:r>
          </w:p>
        </w:tc>
        <w:tc>
          <w:tcPr>
            <w:tcW w:w="6172" w:type="dxa"/>
          </w:tcPr>
          <w:p>
            <w:pPr>
              <w:rPr>
                <w:rFonts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投标文件未按照要求装订、密封和标记的</w:t>
            </w:r>
          </w:p>
        </w:tc>
        <w:tc>
          <w:tcPr>
            <w:tcW w:w="2020" w:type="dxa"/>
            <w:vAlign w:val="center"/>
          </w:tcPr>
          <w:p>
            <w:pPr>
              <w:spacing w:line="300" w:lineRule="auto"/>
              <w:rPr>
                <w:rFonts w:cs="宋体" w:asciiTheme="majorEastAsia" w:hAnsiTheme="majorEastAsia" w:eastAsiaTheme="majorEastAsia"/>
                <w:color w:val="000000" w:themeColor="text1"/>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2</w:t>
            </w:r>
          </w:p>
        </w:tc>
        <w:tc>
          <w:tcPr>
            <w:tcW w:w="6172" w:type="dxa"/>
            <w:vAlign w:val="center"/>
          </w:tcPr>
          <w:p>
            <w:pPr>
              <w:rPr>
                <w:rFonts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投标文件有关内容未按规定加盖投标人印章或未经法定代表人或其授权代表签字或盖章的，或有授权代表签字或盖章的；</w:t>
            </w:r>
          </w:p>
        </w:tc>
        <w:tc>
          <w:tcPr>
            <w:tcW w:w="2020" w:type="dxa"/>
            <w:vAlign w:val="center"/>
          </w:tcPr>
          <w:p>
            <w:pPr>
              <w:spacing w:line="300" w:lineRule="auto"/>
              <w:rPr>
                <w:rFonts w:cs="宋体" w:asciiTheme="majorEastAsia" w:hAnsiTheme="majorEastAsia" w:eastAsiaTheme="majorEastAsia"/>
                <w:color w:val="000000" w:themeColor="text1"/>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3</w:t>
            </w:r>
          </w:p>
        </w:tc>
        <w:tc>
          <w:tcPr>
            <w:tcW w:w="6172" w:type="dxa"/>
          </w:tcPr>
          <w:p>
            <w:pPr>
              <w:rPr>
                <w:rFonts w:asciiTheme="majorEastAsia" w:hAnsiTheme="majorEastAsia" w:eastAsiaTheme="majorEastAsia"/>
                <w:color w:val="000000" w:themeColor="text1"/>
                <w:szCs w:val="21"/>
              </w:rPr>
            </w:pPr>
            <w:r>
              <w:rPr>
                <w:rFonts w:hint="eastAsia" w:cs="仿宋" w:asciiTheme="majorEastAsia" w:hAnsiTheme="majorEastAsia" w:eastAsiaTheme="majorEastAsia"/>
                <w:color w:val="000000" w:themeColor="text1"/>
                <w:szCs w:val="21"/>
              </w:rPr>
              <w:t>投标文件的关键内容字迹模糊、无法辨认的</w:t>
            </w:r>
          </w:p>
        </w:tc>
        <w:tc>
          <w:tcPr>
            <w:tcW w:w="2020" w:type="dxa"/>
            <w:vAlign w:val="center"/>
          </w:tcPr>
          <w:p>
            <w:pPr>
              <w:spacing w:line="300" w:lineRule="auto"/>
              <w:rPr>
                <w:rFonts w:cs="宋体" w:asciiTheme="majorEastAsia" w:hAnsiTheme="majorEastAsia" w:eastAsiaTheme="majorEastAsia"/>
                <w:color w:val="000000" w:themeColor="text1"/>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4</w:t>
            </w:r>
          </w:p>
        </w:tc>
        <w:tc>
          <w:tcPr>
            <w:tcW w:w="6172" w:type="dxa"/>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对同一项目投标时，提供两套以上的投标方案（招标文件另有规定的除外）；</w:t>
            </w:r>
          </w:p>
        </w:tc>
        <w:tc>
          <w:tcPr>
            <w:tcW w:w="2020" w:type="dxa"/>
            <w:vAlign w:val="center"/>
          </w:tcPr>
          <w:p>
            <w:pPr>
              <w:spacing w:line="300" w:lineRule="auto"/>
              <w:rPr>
                <w:rFonts w:cs="宋体" w:asciiTheme="majorEastAsia" w:hAnsiTheme="majorEastAsia" w:eastAsiaTheme="majorEastAsia"/>
                <w:color w:val="000000" w:themeColor="text1"/>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5</w:t>
            </w:r>
          </w:p>
        </w:tc>
        <w:tc>
          <w:tcPr>
            <w:tcW w:w="6172" w:type="dxa"/>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投标报价高于财政预算限额（最高投标限价）的；</w:t>
            </w:r>
          </w:p>
        </w:tc>
        <w:tc>
          <w:tcPr>
            <w:tcW w:w="2020" w:type="dxa"/>
            <w:vAlign w:val="center"/>
          </w:tcPr>
          <w:p>
            <w:pPr>
              <w:spacing w:line="300" w:lineRule="auto"/>
              <w:rPr>
                <w:rFonts w:cs="宋体" w:asciiTheme="majorEastAsia" w:hAnsiTheme="majorEastAsia" w:eastAsiaTheme="majorEastAsia"/>
                <w:color w:val="000000" w:themeColor="text1"/>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6</w:t>
            </w:r>
          </w:p>
        </w:tc>
        <w:tc>
          <w:tcPr>
            <w:tcW w:w="6172" w:type="dxa"/>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同一项目出现两个及以上报价，且按规定无法确定哪个是有效报价；</w:t>
            </w:r>
          </w:p>
        </w:tc>
        <w:tc>
          <w:tcPr>
            <w:tcW w:w="2020" w:type="dxa"/>
            <w:vAlign w:val="center"/>
          </w:tcPr>
          <w:p>
            <w:pPr>
              <w:spacing w:line="300" w:lineRule="auto"/>
              <w:rPr>
                <w:rFonts w:cs="宋体" w:asciiTheme="majorEastAsia" w:hAnsiTheme="majorEastAsia" w:eastAsiaTheme="majorEastAsia"/>
                <w:color w:val="000000" w:themeColor="text1"/>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7</w:t>
            </w:r>
          </w:p>
        </w:tc>
        <w:tc>
          <w:tcPr>
            <w:tcW w:w="6172" w:type="dxa"/>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c>
          <w:tcPr>
            <w:tcW w:w="2020" w:type="dxa"/>
            <w:vAlign w:val="center"/>
          </w:tcPr>
          <w:p>
            <w:pPr>
              <w:spacing w:line="300" w:lineRule="auto"/>
              <w:rPr>
                <w:rFonts w:cs="宋体" w:asciiTheme="majorEastAsia" w:hAnsiTheme="majorEastAsia" w:eastAsiaTheme="majorEastAsia"/>
                <w:color w:val="000000" w:themeColor="text1"/>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8</w:t>
            </w:r>
          </w:p>
        </w:tc>
        <w:tc>
          <w:tcPr>
            <w:tcW w:w="6172" w:type="dxa"/>
            <w:vAlign w:val="center"/>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投标报价有严重缺漏项目</w:t>
            </w:r>
          </w:p>
        </w:tc>
        <w:tc>
          <w:tcPr>
            <w:tcW w:w="2020" w:type="dxa"/>
            <w:vAlign w:val="center"/>
          </w:tcPr>
          <w:p>
            <w:pPr>
              <w:spacing w:line="300" w:lineRule="auto"/>
              <w:rPr>
                <w:rFonts w:cs="宋体" w:asciiTheme="majorEastAsia" w:hAnsiTheme="majorEastAsia" w:eastAsiaTheme="majorEastAsia"/>
                <w:color w:val="000000" w:themeColor="text1"/>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9</w:t>
            </w:r>
          </w:p>
        </w:tc>
        <w:tc>
          <w:tcPr>
            <w:tcW w:w="6172" w:type="dxa"/>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投标文件载明的交货期超过招标文件规定的期限</w:t>
            </w:r>
          </w:p>
        </w:tc>
        <w:tc>
          <w:tcPr>
            <w:tcW w:w="2020" w:type="dxa"/>
            <w:vAlign w:val="center"/>
          </w:tcPr>
          <w:p>
            <w:pPr>
              <w:spacing w:line="300" w:lineRule="auto"/>
              <w:rPr>
                <w:rFonts w:cs="宋体" w:asciiTheme="majorEastAsia" w:hAnsiTheme="majorEastAsia" w:eastAsiaTheme="majorEastAsia"/>
                <w:color w:val="000000" w:themeColor="text1"/>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10</w:t>
            </w:r>
          </w:p>
        </w:tc>
        <w:tc>
          <w:tcPr>
            <w:tcW w:w="6172" w:type="dxa"/>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投标文件载明的免费保修期低于招标文件规定的期限</w:t>
            </w:r>
          </w:p>
        </w:tc>
        <w:tc>
          <w:tcPr>
            <w:tcW w:w="2020" w:type="dxa"/>
            <w:vAlign w:val="center"/>
          </w:tcPr>
          <w:p>
            <w:pPr>
              <w:spacing w:line="300" w:lineRule="auto"/>
              <w:rPr>
                <w:rFonts w:cs="宋体"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11</w:t>
            </w:r>
          </w:p>
        </w:tc>
        <w:tc>
          <w:tcPr>
            <w:tcW w:w="6172" w:type="dxa"/>
          </w:tcPr>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所投产品、工程、服务在商务、技术等方面没有实质性满足招标文件要求的；</w:t>
            </w:r>
          </w:p>
        </w:tc>
        <w:tc>
          <w:tcPr>
            <w:tcW w:w="2020" w:type="dxa"/>
            <w:vAlign w:val="center"/>
          </w:tcPr>
          <w:p>
            <w:pPr>
              <w:spacing w:line="300" w:lineRule="auto"/>
              <w:rPr>
                <w:rFonts w:cs="宋体" w:asciiTheme="majorEastAsia" w:hAnsiTheme="majorEastAsia" w:eastAsiaTheme="maj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8" w:type="dxa"/>
            <w:vAlign w:val="center"/>
          </w:tcPr>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12</w:t>
            </w:r>
          </w:p>
        </w:tc>
        <w:tc>
          <w:tcPr>
            <w:tcW w:w="6172" w:type="dxa"/>
            <w:vAlign w:val="center"/>
          </w:tcPr>
          <w:p>
            <w:pPr>
              <w:widowControl/>
              <w:spacing w:line="300" w:lineRule="auto"/>
              <w:jc w:val="left"/>
              <w:textAlignment w:val="center"/>
              <w:rPr>
                <w:rFonts w:cs="宋体" w:asciiTheme="majorEastAsia" w:hAnsiTheme="majorEastAsia" w:eastAsiaTheme="majorEastAsia"/>
                <w:color w:val="000000" w:themeColor="text1"/>
                <w:spacing w:val="-2"/>
                <w:szCs w:val="21"/>
              </w:rPr>
            </w:pPr>
            <w:r>
              <w:rPr>
                <w:rFonts w:hint="eastAsia" w:cs="宋体" w:asciiTheme="majorEastAsia" w:hAnsiTheme="majorEastAsia" w:eastAsiaTheme="majorEastAsia"/>
                <w:color w:val="000000" w:themeColor="text1"/>
                <w:kern w:val="0"/>
                <w:szCs w:val="21"/>
              </w:rPr>
              <w:t>无不满足招标文件实质性要求的其他情形；</w:t>
            </w:r>
          </w:p>
        </w:tc>
        <w:tc>
          <w:tcPr>
            <w:tcW w:w="2020" w:type="dxa"/>
            <w:vAlign w:val="center"/>
          </w:tcPr>
          <w:p>
            <w:pPr>
              <w:spacing w:line="300" w:lineRule="auto"/>
              <w:rPr>
                <w:rFonts w:cs="宋体" w:asciiTheme="majorEastAsia" w:hAnsiTheme="majorEastAsia" w:eastAsiaTheme="majorEastAsia"/>
                <w:color w:val="000000" w:themeColor="text1"/>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00" w:type="dxa"/>
            <w:gridSpan w:val="2"/>
            <w:vAlign w:val="center"/>
          </w:tcPr>
          <w:p>
            <w:pPr>
              <w:spacing w:line="300" w:lineRule="auto"/>
              <w:ind w:firstLine="370" w:firstLineChars="180"/>
              <w:rPr>
                <w:rFonts w:cs="宋体" w:asciiTheme="majorEastAsia" w:hAnsiTheme="majorEastAsia" w:eastAsiaTheme="majorEastAsia"/>
                <w:color w:val="000000" w:themeColor="text1"/>
                <w:spacing w:val="-2"/>
                <w:szCs w:val="21"/>
              </w:rPr>
            </w:pPr>
            <w:r>
              <w:rPr>
                <w:rFonts w:hint="eastAsia" w:cs="宋体" w:asciiTheme="majorEastAsia" w:hAnsiTheme="majorEastAsia" w:eastAsiaTheme="majorEastAsia"/>
                <w:color w:val="000000" w:themeColor="text1"/>
                <w:spacing w:val="-2"/>
                <w:szCs w:val="21"/>
              </w:rPr>
              <w:t>结论：通过评审打“√”，未通过评审打“×”</w:t>
            </w:r>
          </w:p>
        </w:tc>
        <w:tc>
          <w:tcPr>
            <w:tcW w:w="2020" w:type="dxa"/>
            <w:vAlign w:val="center"/>
          </w:tcPr>
          <w:p>
            <w:pPr>
              <w:spacing w:line="300" w:lineRule="auto"/>
              <w:ind w:firstLine="370" w:firstLineChars="180"/>
              <w:rPr>
                <w:rFonts w:cs="宋体" w:asciiTheme="majorEastAsia" w:hAnsiTheme="majorEastAsia" w:eastAsiaTheme="majorEastAsia"/>
                <w:color w:val="000000" w:themeColor="text1"/>
                <w:spacing w:val="-2"/>
                <w:szCs w:val="21"/>
              </w:rPr>
            </w:pPr>
          </w:p>
        </w:tc>
      </w:tr>
    </w:tbl>
    <w:p>
      <w:pPr>
        <w:spacing w:line="300" w:lineRule="auto"/>
        <w:ind w:left="60"/>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说明：</w:t>
      </w:r>
    </w:p>
    <w:p>
      <w:pPr>
        <w:spacing w:line="300" w:lineRule="auto"/>
        <w:ind w:left="60"/>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（1）上述各项中用“√”表示通过，“×”表示不通过；</w:t>
      </w:r>
    </w:p>
    <w:p>
      <w:pPr>
        <w:spacing w:line="300" w:lineRule="auto"/>
        <w:ind w:left="689" w:leftChars="28" w:hanging="630" w:hangingChars="300"/>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（2）上述各项中如有一项为“×”，则结论为“×”，表示该投标文件中存在重大偏差，不能通过初步评审；评委对某一分项评审认为不合格时，必须要写明原因。</w:t>
      </w:r>
    </w:p>
    <w:p>
      <w:pPr>
        <w:spacing w:line="300" w:lineRule="auto"/>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（3）投标文件最终合格与否，以所有评委的评审意见中少数服从多数为原则定论。</w:t>
      </w:r>
    </w:p>
    <w:p>
      <w:pPr>
        <w:pStyle w:val="9"/>
        <w:spacing w:line="300" w:lineRule="auto"/>
        <w:ind w:firstLine="0"/>
        <w:rPr>
          <w:rFonts w:cs="宋体" w:asciiTheme="majorEastAsia" w:hAnsiTheme="majorEastAsia" w:eastAsiaTheme="majorEastAsia"/>
          <w:color w:val="000000" w:themeColor="text1"/>
          <w:sz w:val="24"/>
        </w:rPr>
        <w:sectPr>
          <w:pgSz w:w="11906" w:h="16838"/>
          <w:pgMar w:top="1418" w:right="946" w:bottom="567" w:left="1500" w:header="851" w:footer="992" w:gutter="0"/>
          <w:cols w:space="720" w:num="1"/>
          <w:docGrid w:type="lines" w:linePitch="312" w:charSpace="0"/>
        </w:sectPr>
      </w:pPr>
    </w:p>
    <w:p>
      <w:pPr>
        <w:pStyle w:val="9"/>
        <w:ind w:firstLine="482"/>
        <w:jc w:val="center"/>
        <w:rPr>
          <w:rFonts w:cs="宋体" w:asciiTheme="majorEastAsia" w:hAnsiTheme="majorEastAsia" w:eastAsiaTheme="majorEastAsia"/>
          <w:b/>
          <w:bCs/>
          <w:color w:val="000000" w:themeColor="text1"/>
          <w:sz w:val="24"/>
        </w:rPr>
      </w:pPr>
      <w:r>
        <w:rPr>
          <w:rFonts w:hint="eastAsia" w:cs="宋体" w:asciiTheme="majorEastAsia" w:hAnsiTheme="majorEastAsia" w:eastAsiaTheme="majorEastAsia"/>
          <w:b/>
          <w:bCs/>
          <w:color w:val="000000" w:themeColor="text1"/>
          <w:sz w:val="24"/>
        </w:rPr>
        <w:t>评分标准表</w:t>
      </w:r>
    </w:p>
    <w:p>
      <w:pPr>
        <w:pStyle w:val="9"/>
        <w:ind w:firstLine="482"/>
        <w:rPr>
          <w:rFonts w:cs="宋体" w:asciiTheme="majorEastAsia" w:hAnsiTheme="majorEastAsia" w:eastAsiaTheme="majorEastAsia"/>
          <w:b/>
          <w:bCs/>
          <w:color w:val="000000" w:themeColor="text1"/>
          <w:sz w:val="24"/>
        </w:rPr>
      </w:pPr>
    </w:p>
    <w:tbl>
      <w:tblPr>
        <w:tblStyle w:val="4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170"/>
        <w:gridCol w:w="28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01" w:type="dxa"/>
            <w:vAlign w:val="center"/>
          </w:tcPr>
          <w:p>
            <w:pPr>
              <w:spacing w:line="300" w:lineRule="auto"/>
              <w:jc w:val="center"/>
              <w:rPr>
                <w:rFonts w:cs="宋体" w:asciiTheme="majorEastAsia" w:hAnsiTheme="majorEastAsia" w:eastAsiaTheme="majorEastAsia"/>
                <w:b/>
                <w:bCs/>
                <w:color w:val="000000" w:themeColor="text1"/>
                <w:sz w:val="24"/>
              </w:rPr>
            </w:pPr>
            <w:r>
              <w:rPr>
                <w:rFonts w:hint="eastAsia" w:cs="宋体" w:asciiTheme="majorEastAsia" w:hAnsiTheme="majorEastAsia" w:eastAsiaTheme="majorEastAsia"/>
                <w:b/>
                <w:bCs/>
                <w:color w:val="000000" w:themeColor="text1"/>
                <w:sz w:val="24"/>
              </w:rPr>
              <w:t>内容</w:t>
            </w:r>
          </w:p>
        </w:tc>
        <w:tc>
          <w:tcPr>
            <w:tcW w:w="1170" w:type="dxa"/>
            <w:vAlign w:val="center"/>
          </w:tcPr>
          <w:p>
            <w:pPr>
              <w:spacing w:line="300" w:lineRule="auto"/>
              <w:rPr>
                <w:rFonts w:cs="宋体" w:asciiTheme="majorEastAsia" w:hAnsiTheme="majorEastAsia" w:eastAsiaTheme="majorEastAsia"/>
                <w:b/>
                <w:bCs/>
                <w:color w:val="000000" w:themeColor="text1"/>
                <w:sz w:val="24"/>
              </w:rPr>
            </w:pPr>
            <w:r>
              <w:rPr>
                <w:rFonts w:hint="eastAsia" w:cs="宋体" w:asciiTheme="majorEastAsia" w:hAnsiTheme="majorEastAsia" w:eastAsiaTheme="majorEastAsia"/>
                <w:b/>
                <w:bCs/>
                <w:color w:val="000000" w:themeColor="text1"/>
                <w:sz w:val="24"/>
              </w:rPr>
              <w:t>分值</w:t>
            </w:r>
          </w:p>
        </w:tc>
        <w:tc>
          <w:tcPr>
            <w:tcW w:w="6951" w:type="dxa"/>
            <w:gridSpan w:val="2"/>
            <w:vAlign w:val="center"/>
          </w:tcPr>
          <w:p>
            <w:pPr>
              <w:spacing w:line="300" w:lineRule="auto"/>
              <w:jc w:val="center"/>
              <w:rPr>
                <w:rFonts w:cs="宋体" w:asciiTheme="majorEastAsia" w:hAnsiTheme="majorEastAsia" w:eastAsiaTheme="majorEastAsia"/>
                <w:b/>
                <w:bCs/>
                <w:color w:val="000000" w:themeColor="text1"/>
                <w:sz w:val="24"/>
              </w:rPr>
            </w:pPr>
            <w:r>
              <w:rPr>
                <w:rFonts w:hint="eastAsia" w:cs="宋体" w:asciiTheme="majorEastAsia" w:hAnsiTheme="majorEastAsia" w:eastAsiaTheme="majorEastAsia"/>
                <w:b/>
                <w:bCs/>
                <w:color w:val="000000" w:themeColor="text1"/>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322" w:type="dxa"/>
            <w:gridSpan w:val="4"/>
            <w:vAlign w:val="center"/>
          </w:tcPr>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
                <w:bCs/>
                <w:color w:val="000000" w:themeColor="text1"/>
                <w:sz w:val="24"/>
              </w:rPr>
              <w:t>一、价格部分（</w:t>
            </w:r>
            <w:r>
              <w:rPr>
                <w:rFonts w:hint="eastAsia" w:cs="宋体" w:asciiTheme="majorEastAsia" w:hAnsiTheme="majorEastAsia" w:eastAsiaTheme="majorEastAsia"/>
                <w:b/>
                <w:bCs/>
                <w:color w:val="000000" w:themeColor="text1"/>
                <w:sz w:val="24"/>
                <w:lang w:val="en-US" w:eastAsia="zh-CN"/>
              </w:rPr>
              <w:t>4</w:t>
            </w:r>
            <w:r>
              <w:rPr>
                <w:rFonts w:hint="eastAsia" w:cs="宋体" w:asciiTheme="majorEastAsia" w:hAnsiTheme="majorEastAsia" w:eastAsiaTheme="majorEastAsia"/>
                <w:b/>
                <w:bCs/>
                <w:color w:val="000000" w:themeColor="text1"/>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371" w:type="dxa"/>
            <w:gridSpan w:val="2"/>
            <w:vAlign w:val="center"/>
          </w:tcPr>
          <w:p>
            <w:pPr>
              <w:spacing w:line="300" w:lineRule="auto"/>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投标报价得分</w:t>
            </w:r>
          </w:p>
          <w:p>
            <w:pPr>
              <w:spacing w:line="300" w:lineRule="auto"/>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w:t>
            </w:r>
            <w:r>
              <w:rPr>
                <w:rFonts w:hint="eastAsia" w:cs="宋体" w:asciiTheme="majorEastAsia" w:hAnsiTheme="majorEastAsia" w:eastAsiaTheme="majorEastAsia"/>
                <w:color w:val="000000" w:themeColor="text1"/>
                <w:sz w:val="24"/>
                <w:lang w:val="en-US" w:eastAsia="zh-CN"/>
              </w:rPr>
              <w:t>4</w:t>
            </w:r>
            <w:r>
              <w:rPr>
                <w:rFonts w:hint="eastAsia" w:cs="宋体" w:asciiTheme="majorEastAsia" w:hAnsiTheme="majorEastAsia" w:eastAsiaTheme="majorEastAsia"/>
                <w:color w:val="000000" w:themeColor="text1"/>
                <w:sz w:val="24"/>
              </w:rPr>
              <w:t>0分）</w:t>
            </w:r>
          </w:p>
        </w:tc>
        <w:tc>
          <w:tcPr>
            <w:tcW w:w="6951" w:type="dxa"/>
            <w:gridSpan w:val="2"/>
            <w:vAlign w:val="center"/>
          </w:tcPr>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Cs w:val="21"/>
              </w:rPr>
              <w:t>评标基准价=有效投标报价的最低值，有效投标报价等于基准值的得满分</w:t>
            </w:r>
            <w:r>
              <w:rPr>
                <w:rFonts w:hint="eastAsia" w:cs="宋体" w:asciiTheme="majorEastAsia" w:hAnsiTheme="majorEastAsia" w:eastAsiaTheme="majorEastAsia"/>
                <w:color w:val="000000" w:themeColor="text1"/>
                <w:szCs w:val="21"/>
                <w:lang w:val="en-US" w:eastAsia="zh-CN"/>
              </w:rPr>
              <w:t>4</w:t>
            </w:r>
            <w:r>
              <w:rPr>
                <w:rFonts w:hint="eastAsia" w:cs="宋体" w:asciiTheme="majorEastAsia" w:hAnsiTheme="majorEastAsia" w:eastAsiaTheme="majorEastAsia"/>
                <w:color w:val="000000" w:themeColor="text1"/>
                <w:szCs w:val="21"/>
              </w:rPr>
              <w:t>0分，投标报价得分=（评标基准价/投标报价）×价格权重×100；</w:t>
            </w:r>
            <w:r>
              <w:rPr>
                <w:rFonts w:hint="eastAsia" w:cs="宋体" w:asciiTheme="majorEastAsia" w:hAnsiTheme="majorEastAsia" w:eastAsiaTheme="majorEastAsia"/>
                <w:b/>
                <w:bCs/>
                <w:color w:val="000000" w:themeColor="text1"/>
                <w:szCs w:val="21"/>
              </w:rPr>
              <w:t>有效投标报价为通过资格性和符合性审查的供应商报价</w:t>
            </w:r>
            <w:r>
              <w:rPr>
                <w:rFonts w:hint="eastAsia" w:cs="宋体" w:asciiTheme="majorEastAsia" w:hAnsiTheme="majorEastAsia" w:eastAsiaTheme="maj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22" w:type="dxa"/>
            <w:gridSpan w:val="4"/>
            <w:vAlign w:val="center"/>
          </w:tcPr>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
                <w:bCs/>
                <w:color w:val="000000" w:themeColor="text1"/>
                <w:sz w:val="24"/>
              </w:rPr>
              <w:t>二、商务</w:t>
            </w:r>
            <w:r>
              <w:rPr>
                <w:rFonts w:hint="eastAsia" w:cs="宋体" w:asciiTheme="majorEastAsia" w:hAnsiTheme="majorEastAsia" w:eastAsiaTheme="majorEastAsia"/>
                <w:b/>
                <w:bCs/>
                <w:color w:val="000000" w:themeColor="text1"/>
                <w:sz w:val="24"/>
                <w:lang w:val="en-US" w:eastAsia="zh-CN"/>
              </w:rPr>
              <w:t>及技术评分细则</w:t>
            </w:r>
            <w:r>
              <w:rPr>
                <w:rFonts w:hint="eastAsia" w:cs="宋体" w:asciiTheme="majorEastAsia" w:hAnsiTheme="majorEastAsia" w:eastAsiaTheme="majorEastAsia"/>
                <w:b/>
                <w:bCs/>
                <w:color w:val="000000" w:themeColor="text1"/>
                <w:sz w:val="24"/>
              </w:rPr>
              <w:t>（</w:t>
            </w:r>
            <w:r>
              <w:rPr>
                <w:rFonts w:hint="eastAsia" w:cs="宋体" w:asciiTheme="majorEastAsia" w:hAnsiTheme="majorEastAsia" w:eastAsiaTheme="majorEastAsia"/>
                <w:b/>
                <w:bCs/>
                <w:color w:val="000000" w:themeColor="text1"/>
                <w:sz w:val="24"/>
                <w:lang w:val="en-US" w:eastAsia="zh-CN"/>
              </w:rPr>
              <w:t>60</w:t>
            </w:r>
            <w:r>
              <w:rPr>
                <w:rFonts w:hint="eastAsia" w:cs="宋体" w:asciiTheme="majorEastAsia" w:hAnsiTheme="majorEastAsia" w:eastAsiaTheme="majorEastAsia"/>
                <w:b/>
                <w:bCs/>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01" w:type="dxa"/>
            <w:vAlign w:val="center"/>
          </w:tcPr>
          <w:p>
            <w:pPr>
              <w:spacing w:line="300" w:lineRule="auto"/>
              <w:jc w:val="center"/>
              <w:rPr>
                <w:rFonts w:cs="宋体" w:asciiTheme="majorEastAsia" w:hAnsiTheme="majorEastAsia" w:eastAsiaTheme="majorEastAsia"/>
                <w:color w:val="000000" w:themeColor="text1"/>
              </w:rPr>
            </w:pPr>
            <w:r>
              <w:rPr>
                <w:rFonts w:hint="eastAsia" w:cs="宋体" w:asciiTheme="majorEastAsia" w:hAnsiTheme="majorEastAsia" w:eastAsiaTheme="majorEastAsia"/>
                <w:color w:val="000000" w:themeColor="text1"/>
              </w:rPr>
              <w:t>企业</w:t>
            </w:r>
          </w:p>
          <w:p>
            <w:pPr>
              <w:spacing w:line="300" w:lineRule="auto"/>
              <w:jc w:val="center"/>
              <w:rPr>
                <w:rFonts w:cs="宋体" w:asciiTheme="majorEastAsia" w:hAnsiTheme="majorEastAsia" w:eastAsiaTheme="majorEastAsia"/>
                <w:color w:val="000000" w:themeColor="text1"/>
              </w:rPr>
            </w:pPr>
            <w:r>
              <w:rPr>
                <w:rFonts w:hint="eastAsia" w:cs="宋体" w:asciiTheme="majorEastAsia" w:hAnsiTheme="majorEastAsia" w:eastAsiaTheme="majorEastAsia"/>
                <w:color w:val="000000" w:themeColor="text1"/>
              </w:rPr>
              <w:t>实力</w:t>
            </w:r>
          </w:p>
          <w:p>
            <w:pPr>
              <w:pStyle w:val="9"/>
              <w:spacing w:line="300" w:lineRule="auto"/>
              <w:ind w:firstLine="0"/>
              <w:jc w:val="center"/>
              <w:rPr>
                <w:rFonts w:cs="宋体" w:asciiTheme="majorEastAsia" w:hAnsiTheme="majorEastAsia" w:eastAsiaTheme="majorEastAsia"/>
                <w:color w:val="000000" w:themeColor="text1"/>
              </w:rPr>
            </w:pPr>
            <w:r>
              <w:rPr>
                <w:rFonts w:hint="eastAsia" w:cs="宋体" w:asciiTheme="majorEastAsia" w:hAnsiTheme="majorEastAsia" w:eastAsiaTheme="majorEastAsia"/>
                <w:color w:val="000000" w:themeColor="text1"/>
                <w:sz w:val="24"/>
              </w:rPr>
              <w:t>（</w:t>
            </w:r>
            <w:r>
              <w:rPr>
                <w:rFonts w:hint="eastAsia" w:cs="宋体" w:asciiTheme="majorEastAsia" w:hAnsiTheme="majorEastAsia" w:eastAsiaTheme="majorEastAsia"/>
                <w:color w:val="000000" w:themeColor="text1"/>
                <w:sz w:val="24"/>
                <w:lang w:val="en-US" w:eastAsia="zh-CN"/>
              </w:rPr>
              <w:t>10</w:t>
            </w:r>
            <w:r>
              <w:rPr>
                <w:rFonts w:hint="eastAsia" w:cs="宋体" w:asciiTheme="majorEastAsia" w:hAnsiTheme="majorEastAsia" w:eastAsiaTheme="majorEastAsia"/>
                <w:color w:val="000000" w:themeColor="text1"/>
                <w:sz w:val="24"/>
              </w:rPr>
              <w:t>分）</w:t>
            </w:r>
          </w:p>
        </w:tc>
        <w:tc>
          <w:tcPr>
            <w:tcW w:w="1459" w:type="dxa"/>
            <w:gridSpan w:val="2"/>
            <w:vAlign w:val="center"/>
          </w:tcPr>
          <w:p>
            <w:pPr>
              <w:spacing w:line="300" w:lineRule="auto"/>
              <w:jc w:val="center"/>
              <w:rPr>
                <w:rFonts w:hint="eastAsia"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类似业绩</w:t>
            </w:r>
          </w:p>
          <w:p>
            <w:pPr>
              <w:spacing w:line="300" w:lineRule="auto"/>
              <w:jc w:val="center"/>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lang w:val="en-US" w:eastAsia="zh-CN"/>
              </w:rPr>
              <w:t>10</w:t>
            </w:r>
            <w:r>
              <w:rPr>
                <w:rFonts w:hint="eastAsia" w:cs="宋体" w:asciiTheme="majorEastAsia" w:hAnsiTheme="majorEastAsia" w:eastAsiaTheme="majorEastAsia"/>
                <w:color w:val="000000" w:themeColor="text1"/>
                <w:szCs w:val="21"/>
              </w:rPr>
              <w:t>分</w:t>
            </w:r>
          </w:p>
        </w:tc>
        <w:tc>
          <w:tcPr>
            <w:tcW w:w="6662" w:type="dxa"/>
            <w:vAlign w:val="center"/>
          </w:tcPr>
          <w:p>
            <w:pPr>
              <w:spacing w:line="300" w:lineRule="auto"/>
              <w:rPr>
                <w:rFonts w:hint="eastAsia" w:cs="宋体" w:asciiTheme="majorEastAsia" w:hAnsiTheme="majorEastAsia" w:eastAsiaTheme="majorEastAsia"/>
                <w:color w:val="000000" w:themeColor="text1"/>
                <w:szCs w:val="21"/>
                <w:lang w:eastAsia="zh-CN"/>
              </w:rPr>
            </w:pPr>
            <w:r>
              <w:rPr>
                <w:rFonts w:hint="eastAsia" w:cs="宋体" w:asciiTheme="majorEastAsia" w:hAnsiTheme="majorEastAsia" w:eastAsiaTheme="majorEastAsia"/>
                <w:color w:val="000000" w:themeColor="text1"/>
                <w:szCs w:val="21"/>
              </w:rPr>
              <w:t>类似业绩每有一个得</w:t>
            </w:r>
            <w:r>
              <w:rPr>
                <w:rFonts w:hint="eastAsia" w:cs="宋体" w:asciiTheme="majorEastAsia" w:hAnsiTheme="majorEastAsia" w:eastAsiaTheme="majorEastAsia"/>
                <w:color w:val="000000" w:themeColor="text1"/>
                <w:szCs w:val="21"/>
                <w:lang w:val="en-US" w:eastAsia="zh-CN"/>
              </w:rPr>
              <w:t>2</w:t>
            </w:r>
            <w:r>
              <w:rPr>
                <w:rFonts w:hint="eastAsia" w:cs="宋体" w:asciiTheme="majorEastAsia" w:hAnsiTheme="majorEastAsia" w:eastAsiaTheme="majorEastAsia"/>
                <w:color w:val="000000" w:themeColor="text1"/>
                <w:szCs w:val="21"/>
              </w:rPr>
              <w:t>分.需提供中标通知书（或）合同协议书复印件，没有不得分。该项满分</w:t>
            </w:r>
            <w:r>
              <w:rPr>
                <w:rFonts w:hint="eastAsia" w:cs="宋体" w:asciiTheme="majorEastAsia" w:hAnsiTheme="majorEastAsia" w:eastAsiaTheme="majorEastAsia"/>
                <w:color w:val="000000" w:themeColor="text1"/>
                <w:szCs w:val="21"/>
                <w:lang w:val="en-US" w:eastAsia="zh-CN"/>
              </w:rPr>
              <w:t>10</w:t>
            </w:r>
            <w:r>
              <w:rPr>
                <w:rFonts w:hint="eastAsia" w:cs="宋体" w:asciiTheme="majorEastAsia" w:hAnsiTheme="majorEastAsia" w:eastAsiaTheme="majorEastAsia"/>
                <w:color w:val="000000" w:themeColor="text1"/>
                <w:szCs w:val="21"/>
              </w:rPr>
              <w:t>分</w:t>
            </w:r>
            <w:r>
              <w:rPr>
                <w:rFonts w:hint="eastAsia" w:cs="宋体" w:asciiTheme="majorEastAsia" w:hAnsiTheme="majorEastAsia" w:eastAsiaTheme="majorEastAsia"/>
                <w:color w:val="000000" w:themeColor="text1"/>
                <w:szCs w:val="21"/>
                <w:lang w:eastAsia="zh-CN"/>
              </w:rPr>
              <w:t>（类似业绩是指</w:t>
            </w:r>
            <w:r>
              <w:rPr>
                <w:rFonts w:hint="eastAsia" w:cs="宋体" w:asciiTheme="majorEastAsia" w:hAnsiTheme="majorEastAsia" w:eastAsiaTheme="majorEastAsia"/>
                <w:color w:val="000000" w:themeColor="text1"/>
                <w:szCs w:val="21"/>
                <w:lang w:val="en-US" w:eastAsia="zh-CN"/>
              </w:rPr>
              <w:t>医疗信息化项目</w:t>
            </w:r>
            <w:r>
              <w:rPr>
                <w:rFonts w:hint="eastAsia" w:cs="宋体" w:asciiTheme="majorEastAsia" w:hAnsiTheme="majorEastAsia" w:eastAsiaTheme="majorEastAsia"/>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01" w:type="dxa"/>
            <w:vMerge w:val="restart"/>
            <w:vAlign w:val="center"/>
          </w:tcPr>
          <w:p>
            <w:pPr>
              <w:autoSpaceDE w:val="0"/>
              <w:autoSpaceDN w:val="0"/>
              <w:adjustRightInd w:val="0"/>
              <w:spacing w:line="300" w:lineRule="auto"/>
              <w:ind w:right="-20"/>
              <w:jc w:val="center"/>
              <w:rPr>
                <w:rFonts w:cs="宋体" w:asciiTheme="majorEastAsia" w:hAnsiTheme="majorEastAsia" w:eastAsiaTheme="majorEastAsia"/>
                <w:color w:val="000000" w:themeColor="text1"/>
                <w:kern w:val="0"/>
                <w:szCs w:val="21"/>
                <w:highlight w:val="none"/>
              </w:rPr>
            </w:pPr>
            <w:r>
              <w:rPr>
                <w:rFonts w:hint="eastAsia" w:cs="宋体" w:asciiTheme="majorEastAsia" w:hAnsiTheme="majorEastAsia" w:eastAsiaTheme="majorEastAsia"/>
                <w:color w:val="000000" w:themeColor="text1"/>
                <w:kern w:val="0"/>
                <w:szCs w:val="21"/>
                <w:highlight w:val="none"/>
              </w:rPr>
              <w:t>交货期、质量及售后服务</w:t>
            </w:r>
          </w:p>
          <w:p>
            <w:pPr>
              <w:autoSpaceDE w:val="0"/>
              <w:autoSpaceDN w:val="0"/>
              <w:adjustRightInd w:val="0"/>
              <w:spacing w:line="300" w:lineRule="auto"/>
              <w:ind w:right="-20"/>
              <w:jc w:val="center"/>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kern w:val="0"/>
                <w:szCs w:val="21"/>
                <w:highlight w:val="none"/>
              </w:rPr>
              <w:t>（25分）</w:t>
            </w:r>
          </w:p>
        </w:tc>
        <w:tc>
          <w:tcPr>
            <w:tcW w:w="1459" w:type="dxa"/>
            <w:gridSpan w:val="2"/>
            <w:vAlign w:val="center"/>
          </w:tcPr>
          <w:p>
            <w:pPr>
              <w:autoSpaceDE w:val="0"/>
              <w:autoSpaceDN w:val="0"/>
              <w:adjustRightInd w:val="0"/>
              <w:spacing w:line="300" w:lineRule="auto"/>
              <w:ind w:right="-20"/>
              <w:jc w:val="center"/>
              <w:rPr>
                <w:rFonts w:cs="宋体" w:asciiTheme="majorEastAsia" w:hAnsiTheme="majorEastAsia" w:eastAsiaTheme="majorEastAsia"/>
                <w:color w:val="000000" w:themeColor="text1"/>
                <w:kern w:val="0"/>
                <w:szCs w:val="21"/>
                <w:highlight w:val="none"/>
              </w:rPr>
            </w:pPr>
            <w:r>
              <w:rPr>
                <w:rFonts w:hint="eastAsia" w:cs="宋体" w:asciiTheme="majorEastAsia" w:hAnsiTheme="majorEastAsia" w:eastAsiaTheme="majorEastAsia"/>
                <w:color w:val="000000" w:themeColor="text1"/>
                <w:kern w:val="0"/>
                <w:szCs w:val="21"/>
                <w:highlight w:val="none"/>
              </w:rPr>
              <w:t>付款方式和交货期5分</w:t>
            </w:r>
          </w:p>
        </w:tc>
        <w:tc>
          <w:tcPr>
            <w:tcW w:w="6662" w:type="dxa"/>
            <w:vAlign w:val="center"/>
          </w:tcPr>
          <w:p>
            <w:pPr>
              <w:spacing w:line="300" w:lineRule="auto"/>
              <w:rPr>
                <w:rFonts w:cs="宋体" w:asciiTheme="majorEastAsia" w:hAnsiTheme="majorEastAsia" w:eastAsiaTheme="majorEastAsia"/>
                <w:color w:val="000000" w:themeColor="text1"/>
                <w:sz w:val="24"/>
                <w:highlight w:val="none"/>
              </w:rPr>
            </w:pPr>
            <w:r>
              <w:rPr>
                <w:rFonts w:hint="eastAsia" w:cs="宋体" w:asciiTheme="majorEastAsia" w:hAnsiTheme="majorEastAsia" w:eastAsiaTheme="majorEastAsia"/>
                <w:color w:val="000000" w:themeColor="text1"/>
                <w:kern w:val="0"/>
                <w:szCs w:val="21"/>
                <w:highlight w:val="none"/>
                <w:lang w:eastAsia="zh-CN"/>
              </w:rPr>
              <w:t>满足且优于</w:t>
            </w:r>
            <w:r>
              <w:rPr>
                <w:rFonts w:hint="eastAsia" w:cs="宋体" w:asciiTheme="majorEastAsia" w:hAnsiTheme="majorEastAsia" w:eastAsiaTheme="majorEastAsia"/>
                <w:color w:val="000000" w:themeColor="text1"/>
                <w:kern w:val="0"/>
                <w:szCs w:val="21"/>
                <w:highlight w:val="none"/>
              </w:rPr>
              <w:t>招标文件要求交货期的,</w:t>
            </w:r>
            <w:r>
              <w:rPr>
                <w:rFonts w:hint="eastAsia" w:cs="宋体" w:asciiTheme="majorEastAsia" w:hAnsiTheme="majorEastAsia" w:eastAsiaTheme="majorEastAsia"/>
                <w:color w:val="000000" w:themeColor="text1"/>
                <w:kern w:val="0"/>
                <w:szCs w:val="21"/>
              </w:rPr>
              <w:t>在0-</w:t>
            </w:r>
            <w:r>
              <w:rPr>
                <w:rFonts w:hint="eastAsia" w:cs="宋体" w:asciiTheme="majorEastAsia" w:hAnsiTheme="majorEastAsia" w:eastAsiaTheme="majorEastAsia"/>
                <w:color w:val="000000" w:themeColor="text1"/>
                <w:kern w:val="0"/>
                <w:szCs w:val="21"/>
                <w:lang w:val="en-US" w:eastAsia="zh-CN"/>
              </w:rPr>
              <w:t>5</w:t>
            </w:r>
            <w:r>
              <w:rPr>
                <w:rFonts w:hint="eastAsia" w:cs="宋体" w:asciiTheme="majorEastAsia" w:hAnsiTheme="majorEastAsia" w:eastAsiaTheme="majorEastAsia"/>
                <w:color w:val="000000" w:themeColor="text1"/>
                <w:kern w:val="0"/>
                <w:szCs w:val="21"/>
              </w:rPr>
              <w:t>分进行评分</w:t>
            </w:r>
            <w:r>
              <w:rPr>
                <w:rFonts w:hint="eastAsia" w:cs="宋体" w:asciiTheme="majorEastAsia" w:hAnsiTheme="majorEastAsia" w:eastAsiaTheme="majorEastAsia"/>
                <w:color w:val="000000" w:themeColor="text1"/>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01" w:type="dxa"/>
            <w:vMerge w:val="continue"/>
            <w:vAlign w:val="center"/>
          </w:tcPr>
          <w:p>
            <w:pPr>
              <w:spacing w:line="300" w:lineRule="auto"/>
              <w:rPr>
                <w:rFonts w:cs="宋体" w:asciiTheme="majorEastAsia" w:hAnsiTheme="majorEastAsia" w:eastAsiaTheme="majorEastAsia"/>
                <w:color w:val="000000" w:themeColor="text1"/>
                <w:sz w:val="24"/>
              </w:rPr>
            </w:pPr>
          </w:p>
        </w:tc>
        <w:tc>
          <w:tcPr>
            <w:tcW w:w="1459" w:type="dxa"/>
            <w:gridSpan w:val="2"/>
            <w:vAlign w:val="center"/>
          </w:tcPr>
          <w:p>
            <w:pPr>
              <w:autoSpaceDE w:val="0"/>
              <w:autoSpaceDN w:val="0"/>
              <w:adjustRightInd w:val="0"/>
              <w:spacing w:line="300" w:lineRule="auto"/>
              <w:ind w:right="-20"/>
              <w:jc w:val="center"/>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质量承诺10分</w:t>
            </w:r>
          </w:p>
        </w:tc>
        <w:tc>
          <w:tcPr>
            <w:tcW w:w="6662" w:type="dxa"/>
            <w:vAlign w:val="center"/>
          </w:tcPr>
          <w:p>
            <w:pPr>
              <w:widowControl/>
              <w:spacing w:line="300" w:lineRule="auto"/>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产品质量保证承诺：根据各投标人的产品质量保证承诺详细情况，描述详细，条理清晰得10分，一般得6分，描述不完全得2分。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201" w:type="dxa"/>
            <w:vMerge w:val="continue"/>
            <w:vAlign w:val="center"/>
          </w:tcPr>
          <w:p>
            <w:pPr>
              <w:spacing w:line="300" w:lineRule="auto"/>
              <w:rPr>
                <w:rFonts w:cs="宋体" w:asciiTheme="majorEastAsia" w:hAnsiTheme="majorEastAsia" w:eastAsiaTheme="majorEastAsia"/>
                <w:color w:val="000000" w:themeColor="text1"/>
                <w:sz w:val="24"/>
              </w:rPr>
            </w:pPr>
          </w:p>
        </w:tc>
        <w:tc>
          <w:tcPr>
            <w:tcW w:w="1459" w:type="dxa"/>
            <w:gridSpan w:val="2"/>
            <w:vAlign w:val="center"/>
          </w:tcPr>
          <w:p>
            <w:pPr>
              <w:autoSpaceDE w:val="0"/>
              <w:autoSpaceDN w:val="0"/>
              <w:adjustRightInd w:val="0"/>
              <w:spacing w:line="300" w:lineRule="auto"/>
              <w:ind w:right="-20"/>
              <w:jc w:val="center"/>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售后服务10分</w:t>
            </w:r>
          </w:p>
        </w:tc>
        <w:tc>
          <w:tcPr>
            <w:tcW w:w="6662" w:type="dxa"/>
            <w:vAlign w:val="center"/>
          </w:tcPr>
          <w:p>
            <w:pPr>
              <w:widowControl/>
              <w:spacing w:line="300" w:lineRule="auto"/>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1.投标文件中有详细的、可操作性的、体现保障能力的售后服务方案和服务承诺，优得6分，一般得4分，差得2分；</w:t>
            </w:r>
          </w:p>
          <w:p>
            <w:pPr>
              <w:widowControl/>
              <w:spacing w:line="300" w:lineRule="auto"/>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2.设有售后服务网点并提供相关证明材料，得2分；不提供不得分。</w:t>
            </w:r>
          </w:p>
          <w:p>
            <w:pPr>
              <w:widowControl/>
              <w:spacing w:line="300" w:lineRule="auto"/>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3.在产品试用期间能够做二次及以上的培训的，得1分；</w:t>
            </w:r>
          </w:p>
          <w:p>
            <w:pPr>
              <w:widowControl/>
              <w:spacing w:line="300" w:lineRule="auto"/>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4.在质保期内或承诺能在质保期外，定期对产品进行维护的，得1分。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01" w:type="dxa"/>
            <w:vMerge w:val="restart"/>
            <w:vAlign w:val="center"/>
          </w:tcPr>
          <w:p>
            <w:pPr>
              <w:autoSpaceDE w:val="0"/>
              <w:autoSpaceDN w:val="0"/>
              <w:adjustRightInd w:val="0"/>
              <w:spacing w:line="300" w:lineRule="auto"/>
              <w:ind w:right="-20"/>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技术规格</w:t>
            </w:r>
          </w:p>
          <w:p>
            <w:pPr>
              <w:autoSpaceDE w:val="0"/>
              <w:autoSpaceDN w:val="0"/>
              <w:adjustRightInd w:val="0"/>
              <w:spacing w:line="300" w:lineRule="auto"/>
              <w:ind w:right="-20"/>
              <w:jc w:val="lef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w:t>
            </w:r>
            <w:r>
              <w:rPr>
                <w:rFonts w:hint="eastAsia" w:cs="宋体" w:asciiTheme="majorEastAsia" w:hAnsiTheme="majorEastAsia" w:eastAsiaTheme="majorEastAsia"/>
                <w:color w:val="000000" w:themeColor="text1"/>
                <w:kern w:val="0"/>
                <w:szCs w:val="21"/>
                <w:lang w:val="en-US" w:eastAsia="zh-CN"/>
              </w:rPr>
              <w:t>25</w:t>
            </w:r>
            <w:r>
              <w:rPr>
                <w:rFonts w:hint="eastAsia" w:cs="宋体" w:asciiTheme="majorEastAsia" w:hAnsiTheme="majorEastAsia" w:eastAsiaTheme="majorEastAsia"/>
                <w:color w:val="000000" w:themeColor="text1"/>
                <w:kern w:val="0"/>
                <w:szCs w:val="21"/>
              </w:rPr>
              <w:t>分）</w:t>
            </w:r>
          </w:p>
          <w:p>
            <w:pPr>
              <w:spacing w:line="300" w:lineRule="auto"/>
              <w:rPr>
                <w:rFonts w:cs="宋体" w:asciiTheme="majorEastAsia" w:hAnsiTheme="majorEastAsia" w:eastAsiaTheme="majorEastAsia"/>
                <w:color w:val="000000" w:themeColor="text1"/>
                <w:sz w:val="24"/>
              </w:rPr>
            </w:pPr>
          </w:p>
        </w:tc>
        <w:tc>
          <w:tcPr>
            <w:tcW w:w="1459" w:type="dxa"/>
            <w:gridSpan w:val="2"/>
            <w:vAlign w:val="center"/>
          </w:tcPr>
          <w:p>
            <w:pPr>
              <w:autoSpaceDE w:val="0"/>
              <w:autoSpaceDN w:val="0"/>
              <w:adjustRightInd w:val="0"/>
              <w:spacing w:line="300" w:lineRule="auto"/>
              <w:ind w:right="-20"/>
              <w:jc w:val="center"/>
              <w:rPr>
                <w:rFonts w:cs="宋体" w:asciiTheme="majorEastAsia" w:hAnsiTheme="majorEastAsia" w:eastAsiaTheme="majorEastAsia"/>
                <w:color w:val="000000" w:themeColor="text1"/>
                <w:kern w:val="0"/>
                <w:szCs w:val="21"/>
                <w:highlight w:val="none"/>
              </w:rPr>
            </w:pPr>
            <w:r>
              <w:rPr>
                <w:rFonts w:hint="eastAsia" w:cs="宋体" w:asciiTheme="majorEastAsia" w:hAnsiTheme="majorEastAsia" w:eastAsiaTheme="majorEastAsia"/>
                <w:color w:val="000000" w:themeColor="text1"/>
                <w:kern w:val="0"/>
                <w:szCs w:val="21"/>
                <w:highlight w:val="none"/>
              </w:rPr>
              <w:t>技术指标</w:t>
            </w:r>
            <w:r>
              <w:rPr>
                <w:rFonts w:hint="eastAsia" w:cs="宋体" w:asciiTheme="majorEastAsia" w:hAnsiTheme="majorEastAsia" w:eastAsiaTheme="majorEastAsia"/>
                <w:color w:val="000000" w:themeColor="text1"/>
                <w:kern w:val="0"/>
                <w:szCs w:val="21"/>
                <w:highlight w:val="none"/>
                <w:lang w:val="en-US" w:eastAsia="zh-CN"/>
              </w:rPr>
              <w:t>5</w:t>
            </w:r>
            <w:r>
              <w:rPr>
                <w:rFonts w:hint="eastAsia" w:cs="宋体" w:asciiTheme="majorEastAsia" w:hAnsiTheme="majorEastAsia" w:eastAsiaTheme="majorEastAsia"/>
                <w:color w:val="000000" w:themeColor="text1"/>
                <w:kern w:val="0"/>
                <w:szCs w:val="21"/>
                <w:highlight w:val="none"/>
              </w:rPr>
              <w:t>分</w:t>
            </w:r>
          </w:p>
        </w:tc>
        <w:tc>
          <w:tcPr>
            <w:tcW w:w="6662" w:type="dxa"/>
            <w:vAlign w:val="center"/>
          </w:tcPr>
          <w:p>
            <w:pPr>
              <w:widowControl/>
              <w:spacing w:line="300" w:lineRule="auto"/>
              <w:rPr>
                <w:rFonts w:hint="eastAsia" w:cs="宋体" w:asciiTheme="majorEastAsia" w:hAnsiTheme="majorEastAsia" w:eastAsiaTheme="majorEastAsia"/>
                <w:color w:val="000000" w:themeColor="text1"/>
                <w:kern w:val="0"/>
                <w:szCs w:val="21"/>
                <w:highlight w:val="none"/>
                <w:lang w:eastAsia="zh-CN"/>
              </w:rPr>
            </w:pPr>
            <w:r>
              <w:rPr>
                <w:rFonts w:hint="eastAsia" w:cs="宋体" w:asciiTheme="majorEastAsia" w:hAnsiTheme="majorEastAsia" w:eastAsiaTheme="majorEastAsia"/>
                <w:color w:val="000000" w:themeColor="text1"/>
                <w:kern w:val="0"/>
                <w:szCs w:val="21"/>
                <w:highlight w:val="none"/>
              </w:rPr>
              <w:t>完全响应招标文件产品的技术和规格要求表中各项指标的得</w:t>
            </w:r>
            <w:r>
              <w:rPr>
                <w:rFonts w:hint="eastAsia" w:cs="宋体" w:asciiTheme="majorEastAsia" w:hAnsiTheme="majorEastAsia" w:eastAsiaTheme="majorEastAsia"/>
                <w:color w:val="000000" w:themeColor="text1"/>
                <w:kern w:val="0"/>
                <w:szCs w:val="21"/>
                <w:highlight w:val="none"/>
                <w:lang w:val="en-US" w:eastAsia="zh-CN"/>
              </w:rPr>
              <w:t>5</w:t>
            </w:r>
            <w:r>
              <w:rPr>
                <w:rFonts w:hint="eastAsia" w:cs="宋体" w:asciiTheme="majorEastAsia" w:hAnsiTheme="majorEastAsia" w:eastAsiaTheme="majorEastAsia"/>
                <w:color w:val="000000" w:themeColor="text1"/>
                <w:kern w:val="0"/>
                <w:szCs w:val="21"/>
                <w:highlight w:val="none"/>
              </w:rPr>
              <w:t>分；</w:t>
            </w:r>
            <w:r>
              <w:rPr>
                <w:rFonts w:hint="eastAsia" w:cs="宋体" w:asciiTheme="majorEastAsia" w:hAnsiTheme="majorEastAsia" w:eastAsiaTheme="majorEastAsia"/>
                <w:color w:val="000000" w:themeColor="text1"/>
                <w:kern w:val="0"/>
                <w:szCs w:val="21"/>
                <w:highlight w:val="none"/>
                <w:lang w:eastAsia="zh-CN"/>
              </w:rPr>
              <w:t>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01" w:type="dxa"/>
            <w:vMerge w:val="continue"/>
            <w:vAlign w:val="center"/>
          </w:tcPr>
          <w:p>
            <w:pPr>
              <w:autoSpaceDE w:val="0"/>
              <w:autoSpaceDN w:val="0"/>
              <w:adjustRightInd w:val="0"/>
              <w:spacing w:line="300" w:lineRule="auto"/>
              <w:ind w:right="-20"/>
              <w:jc w:val="left"/>
              <w:rPr>
                <w:rFonts w:asciiTheme="majorEastAsia" w:hAnsiTheme="majorEastAsia" w:eastAsiaTheme="majorEastAsia"/>
                <w:color w:val="000000" w:themeColor="text1"/>
              </w:rPr>
            </w:pPr>
          </w:p>
        </w:tc>
        <w:tc>
          <w:tcPr>
            <w:tcW w:w="1459" w:type="dxa"/>
            <w:gridSpan w:val="2"/>
            <w:vAlign w:val="center"/>
          </w:tcPr>
          <w:p>
            <w:pPr>
              <w:autoSpaceDE w:val="0"/>
              <w:autoSpaceDN w:val="0"/>
              <w:adjustRightInd w:val="0"/>
              <w:spacing w:line="300" w:lineRule="auto"/>
              <w:ind w:right="-20"/>
              <w:jc w:val="center"/>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产品资料</w:t>
            </w:r>
            <w:r>
              <w:rPr>
                <w:rFonts w:hint="eastAsia" w:cs="宋体" w:asciiTheme="majorEastAsia" w:hAnsiTheme="majorEastAsia" w:eastAsiaTheme="majorEastAsia"/>
                <w:color w:val="000000" w:themeColor="text1"/>
                <w:kern w:val="0"/>
                <w:szCs w:val="21"/>
                <w:lang w:val="en-US" w:eastAsia="zh-CN"/>
              </w:rPr>
              <w:t>10</w:t>
            </w:r>
            <w:r>
              <w:rPr>
                <w:rFonts w:hint="eastAsia" w:cs="宋体" w:asciiTheme="majorEastAsia" w:hAnsiTheme="majorEastAsia" w:eastAsiaTheme="majorEastAsia"/>
                <w:color w:val="000000" w:themeColor="text1"/>
                <w:kern w:val="0"/>
                <w:szCs w:val="21"/>
              </w:rPr>
              <w:t>分</w:t>
            </w:r>
          </w:p>
        </w:tc>
        <w:tc>
          <w:tcPr>
            <w:tcW w:w="6662" w:type="dxa"/>
            <w:vAlign w:val="center"/>
          </w:tcPr>
          <w:p>
            <w:pPr>
              <w:widowControl/>
              <w:spacing w:line="300" w:lineRule="auto"/>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根据投标文件提供的资料完整程度（资料完整，能完全说明设备的技术参数及功能情况；仅提供部分资料仅能部分说明所投标设备的技术参数及功能）及对所投标设备的技术参数及功能的说明情况，在0-</w:t>
            </w:r>
            <w:r>
              <w:rPr>
                <w:rFonts w:hint="eastAsia" w:cs="宋体" w:asciiTheme="majorEastAsia" w:hAnsiTheme="majorEastAsia" w:eastAsiaTheme="majorEastAsia"/>
                <w:color w:val="000000" w:themeColor="text1"/>
                <w:kern w:val="0"/>
                <w:szCs w:val="21"/>
                <w:lang w:val="en-US" w:eastAsia="zh-CN"/>
              </w:rPr>
              <w:t>10</w:t>
            </w:r>
            <w:r>
              <w:rPr>
                <w:rFonts w:hint="eastAsia" w:cs="宋体" w:asciiTheme="majorEastAsia" w:hAnsiTheme="majorEastAsia" w:eastAsiaTheme="majorEastAsia"/>
                <w:color w:val="000000" w:themeColor="text1"/>
                <w:kern w:val="0"/>
                <w:szCs w:val="21"/>
              </w:rPr>
              <w:t>分进行评分；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01" w:type="dxa"/>
            <w:vMerge w:val="continue"/>
            <w:vAlign w:val="center"/>
          </w:tcPr>
          <w:p>
            <w:pPr>
              <w:autoSpaceDE w:val="0"/>
              <w:autoSpaceDN w:val="0"/>
              <w:adjustRightInd w:val="0"/>
              <w:spacing w:line="300" w:lineRule="auto"/>
              <w:ind w:right="-20"/>
              <w:jc w:val="left"/>
              <w:rPr>
                <w:rFonts w:cs="宋体" w:asciiTheme="majorEastAsia" w:hAnsiTheme="majorEastAsia" w:eastAsiaTheme="majorEastAsia"/>
                <w:color w:val="000000" w:themeColor="text1"/>
                <w:sz w:val="24"/>
              </w:rPr>
            </w:pPr>
          </w:p>
        </w:tc>
        <w:tc>
          <w:tcPr>
            <w:tcW w:w="1459" w:type="dxa"/>
            <w:gridSpan w:val="2"/>
            <w:vAlign w:val="center"/>
          </w:tcPr>
          <w:p>
            <w:pPr>
              <w:autoSpaceDE w:val="0"/>
              <w:autoSpaceDN w:val="0"/>
              <w:adjustRightInd w:val="0"/>
              <w:spacing w:line="300" w:lineRule="auto"/>
              <w:ind w:right="-20"/>
              <w:jc w:val="center"/>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产品质量性能10分</w:t>
            </w:r>
          </w:p>
        </w:tc>
        <w:tc>
          <w:tcPr>
            <w:tcW w:w="6662" w:type="dxa"/>
            <w:vAlign w:val="center"/>
          </w:tcPr>
          <w:p>
            <w:pPr>
              <w:widowControl/>
              <w:spacing w:line="300" w:lineRule="auto"/>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产品质量满足设计及招标文件要求，产品性价比高，技术应答无偏离，在0-</w:t>
            </w:r>
            <w:r>
              <w:rPr>
                <w:rFonts w:hint="eastAsia" w:cs="宋体" w:asciiTheme="majorEastAsia" w:hAnsiTheme="majorEastAsia" w:eastAsiaTheme="majorEastAsia"/>
                <w:color w:val="000000" w:themeColor="text1"/>
                <w:kern w:val="0"/>
                <w:szCs w:val="21"/>
                <w:lang w:val="en-US" w:eastAsia="zh-CN"/>
              </w:rPr>
              <w:t>10</w:t>
            </w:r>
            <w:r>
              <w:rPr>
                <w:rFonts w:hint="eastAsia" w:cs="宋体" w:asciiTheme="majorEastAsia" w:hAnsiTheme="majorEastAsia" w:eastAsiaTheme="majorEastAsia"/>
                <w:color w:val="000000" w:themeColor="text1"/>
                <w:kern w:val="0"/>
                <w:szCs w:val="21"/>
              </w:rPr>
              <w:t>分进行评分；</w:t>
            </w:r>
          </w:p>
        </w:tc>
      </w:tr>
    </w:tbl>
    <w:p>
      <w:pPr>
        <w:pStyle w:val="6"/>
        <w:spacing w:line="300" w:lineRule="auto"/>
        <w:rPr>
          <w:rFonts w:cs="宋体" w:asciiTheme="majorEastAsia" w:hAnsiTheme="majorEastAsia" w:eastAsiaTheme="majorEastAsia"/>
          <w:color w:val="000000" w:themeColor="text1"/>
          <w:szCs w:val="24"/>
        </w:rPr>
      </w:pPr>
      <w:bookmarkStart w:id="28" w:name="_Toc3859"/>
      <w:bookmarkStart w:id="29" w:name="_Toc5344"/>
    </w:p>
    <w:p>
      <w:pPr>
        <w:pStyle w:val="6"/>
        <w:spacing w:line="300" w:lineRule="auto"/>
        <w:rPr>
          <w:rFonts w:cs="宋体" w:asciiTheme="majorEastAsia" w:hAnsiTheme="majorEastAsia" w:eastAsiaTheme="majorEastAsia"/>
          <w:color w:val="000000" w:themeColor="text1"/>
          <w:szCs w:val="24"/>
        </w:rPr>
      </w:pPr>
      <w:r>
        <w:rPr>
          <w:rFonts w:hint="eastAsia" w:cs="宋体" w:asciiTheme="majorEastAsia" w:hAnsiTheme="majorEastAsia" w:eastAsiaTheme="majorEastAsia"/>
          <w:color w:val="000000" w:themeColor="text1"/>
          <w:szCs w:val="24"/>
        </w:rPr>
        <w:t>1. 评标方法</w:t>
      </w:r>
      <w:bookmarkEnd w:id="26"/>
      <w:bookmarkEnd w:id="27"/>
      <w:bookmarkEnd w:id="28"/>
      <w:bookmarkEnd w:id="29"/>
    </w:p>
    <w:p>
      <w:pPr>
        <w:spacing w:line="300" w:lineRule="auto"/>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本次评标采用综合评分法。评标委员会对满足招标文件实质性要求的投标文件，按照本章第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6"/>
        <w:spacing w:line="300" w:lineRule="auto"/>
        <w:rPr>
          <w:rFonts w:cs="宋体" w:asciiTheme="majorEastAsia" w:hAnsiTheme="majorEastAsia" w:eastAsiaTheme="majorEastAsia"/>
          <w:color w:val="000000" w:themeColor="text1"/>
          <w:szCs w:val="24"/>
        </w:rPr>
      </w:pPr>
      <w:bookmarkStart w:id="30" w:name="_Toc21374"/>
      <w:bookmarkStart w:id="31" w:name="_Toc14133"/>
      <w:bookmarkStart w:id="32" w:name="_Toc29752"/>
      <w:bookmarkStart w:id="33" w:name="_Toc23656"/>
      <w:r>
        <w:rPr>
          <w:rFonts w:hint="eastAsia" w:cs="宋体" w:asciiTheme="majorEastAsia" w:hAnsiTheme="majorEastAsia" w:eastAsiaTheme="majorEastAsia"/>
          <w:color w:val="000000" w:themeColor="text1"/>
        </w:rPr>
        <w:t>2. 评审标准</w:t>
      </w:r>
      <w:bookmarkEnd w:id="30"/>
      <w:bookmarkEnd w:id="31"/>
      <w:bookmarkEnd w:id="32"/>
      <w:bookmarkEnd w:id="33"/>
    </w:p>
    <w:p>
      <w:pPr>
        <w:spacing w:line="300" w:lineRule="auto"/>
        <w:rPr>
          <w:rFonts w:cs="宋体" w:asciiTheme="majorEastAsia" w:hAnsiTheme="majorEastAsia" w:eastAsiaTheme="majorEastAsia"/>
          <w:b/>
          <w:bCs/>
          <w:color w:val="000000" w:themeColor="text1"/>
          <w:sz w:val="24"/>
        </w:rPr>
      </w:pPr>
      <w:r>
        <w:rPr>
          <w:rFonts w:hint="eastAsia" w:cs="宋体" w:asciiTheme="majorEastAsia" w:hAnsiTheme="majorEastAsia" w:eastAsiaTheme="majorEastAsia"/>
          <w:b/>
          <w:bCs/>
          <w:color w:val="000000" w:themeColor="text1"/>
          <w:sz w:val="24"/>
        </w:rPr>
        <w:t>2.1 初步评审标准</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2.1.2 资格评审标准：见评标办法前附表。</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2.1.3 符合性评审标准：见评标办法前附表。</w:t>
      </w:r>
    </w:p>
    <w:p>
      <w:pPr>
        <w:spacing w:line="300" w:lineRule="auto"/>
        <w:rPr>
          <w:rFonts w:cs="宋体" w:asciiTheme="majorEastAsia" w:hAnsiTheme="majorEastAsia" w:eastAsiaTheme="majorEastAsia"/>
          <w:b/>
          <w:bCs/>
          <w:color w:val="000000" w:themeColor="text1"/>
          <w:sz w:val="24"/>
        </w:rPr>
      </w:pPr>
      <w:r>
        <w:rPr>
          <w:rFonts w:hint="eastAsia" w:cs="宋体" w:asciiTheme="majorEastAsia" w:hAnsiTheme="majorEastAsia" w:eastAsiaTheme="majorEastAsia"/>
          <w:b/>
          <w:bCs/>
          <w:color w:val="000000" w:themeColor="text1"/>
          <w:sz w:val="24"/>
        </w:rPr>
        <w:t>2.2 分值构成与评分标准</w:t>
      </w:r>
    </w:p>
    <w:p>
      <w:pPr>
        <w:autoSpaceDE w:val="0"/>
        <w:autoSpaceDN w:val="0"/>
        <w:adjustRightInd w:val="0"/>
        <w:spacing w:before="48" w:line="300" w:lineRule="auto"/>
        <w:ind w:right="2496"/>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2.2.1 分值构成</w:t>
      </w:r>
    </w:p>
    <w:p>
      <w:pPr>
        <w:autoSpaceDE w:val="0"/>
        <w:autoSpaceDN w:val="0"/>
        <w:adjustRightInd w:val="0"/>
        <w:spacing w:before="48" w:line="300" w:lineRule="auto"/>
        <w:ind w:right="2496"/>
        <w:rPr>
          <w:rFonts w:cs="宋体" w:asciiTheme="majorEastAsia" w:hAnsiTheme="majorEastAsia" w:eastAsiaTheme="majorEastAsia"/>
          <w:b/>
          <w:bCs/>
          <w:color w:val="000000" w:themeColor="text1"/>
          <w:kern w:val="0"/>
          <w:sz w:val="24"/>
        </w:rPr>
      </w:pPr>
      <w:r>
        <w:rPr>
          <w:rFonts w:hint="eastAsia" w:cs="宋体" w:asciiTheme="majorEastAsia" w:hAnsiTheme="majorEastAsia" w:eastAsiaTheme="majorEastAsia"/>
          <w:color w:val="000000" w:themeColor="text1"/>
          <w:sz w:val="24"/>
        </w:rPr>
        <w:t>（1）</w:t>
      </w:r>
      <w:r>
        <w:rPr>
          <w:rFonts w:hint="eastAsia" w:cs="宋体" w:asciiTheme="majorEastAsia" w:hAnsiTheme="majorEastAsia" w:eastAsiaTheme="majorEastAsia"/>
          <w:b/>
          <w:bCs/>
          <w:color w:val="000000" w:themeColor="text1"/>
          <w:kern w:val="0"/>
          <w:sz w:val="24"/>
        </w:rPr>
        <w:t>投标</w:t>
      </w:r>
      <w:r>
        <w:rPr>
          <w:rFonts w:hint="eastAsia" w:cs="宋体" w:asciiTheme="majorEastAsia" w:hAnsiTheme="majorEastAsia" w:eastAsiaTheme="majorEastAsia"/>
          <w:b/>
          <w:bCs/>
          <w:color w:val="000000" w:themeColor="text1"/>
          <w:spacing w:val="-2"/>
          <w:kern w:val="0"/>
          <w:sz w:val="24"/>
        </w:rPr>
        <w:t>报</w:t>
      </w:r>
      <w:r>
        <w:rPr>
          <w:rFonts w:hint="eastAsia" w:cs="宋体" w:asciiTheme="majorEastAsia" w:hAnsiTheme="majorEastAsia" w:eastAsiaTheme="majorEastAsia"/>
          <w:b/>
          <w:bCs/>
          <w:color w:val="000000" w:themeColor="text1"/>
          <w:kern w:val="0"/>
          <w:sz w:val="24"/>
        </w:rPr>
        <w:t>价</w:t>
      </w:r>
      <w:r>
        <w:rPr>
          <w:rFonts w:hint="eastAsia" w:cs="宋体" w:asciiTheme="majorEastAsia" w:hAnsiTheme="majorEastAsia" w:eastAsiaTheme="majorEastAsia"/>
          <w:b/>
          <w:bCs/>
          <w:color w:val="000000" w:themeColor="text1"/>
          <w:spacing w:val="-2"/>
          <w:kern w:val="0"/>
          <w:sz w:val="24"/>
        </w:rPr>
        <w:t>：</w:t>
      </w:r>
      <w:r>
        <w:rPr>
          <w:rFonts w:hint="eastAsia" w:cs="宋体" w:asciiTheme="majorEastAsia" w:hAnsiTheme="majorEastAsia" w:eastAsiaTheme="majorEastAsia"/>
          <w:b/>
          <w:bCs/>
          <w:color w:val="000000" w:themeColor="text1"/>
          <w:kern w:val="0"/>
          <w:sz w:val="24"/>
          <w:u w:val="single"/>
        </w:rPr>
        <w:t xml:space="preserve">  </w:t>
      </w:r>
      <w:r>
        <w:rPr>
          <w:rFonts w:hint="eastAsia" w:cs="宋体" w:asciiTheme="majorEastAsia" w:hAnsiTheme="majorEastAsia" w:eastAsiaTheme="majorEastAsia"/>
          <w:b/>
          <w:bCs/>
          <w:color w:val="000000" w:themeColor="text1"/>
          <w:kern w:val="0"/>
          <w:sz w:val="24"/>
          <w:u w:val="single"/>
          <w:lang w:val="en-US" w:eastAsia="zh-CN"/>
        </w:rPr>
        <w:t>4</w:t>
      </w:r>
      <w:r>
        <w:rPr>
          <w:rFonts w:hint="eastAsia" w:cs="宋体" w:asciiTheme="majorEastAsia" w:hAnsiTheme="majorEastAsia" w:eastAsiaTheme="majorEastAsia"/>
          <w:b/>
          <w:bCs/>
          <w:color w:val="000000" w:themeColor="text1"/>
          <w:kern w:val="0"/>
          <w:sz w:val="24"/>
          <w:u w:val="single"/>
        </w:rPr>
        <w:t>0</w:t>
      </w:r>
      <w:r>
        <w:rPr>
          <w:rFonts w:hint="eastAsia" w:cs="宋体" w:asciiTheme="majorEastAsia" w:hAnsiTheme="majorEastAsia" w:eastAsiaTheme="majorEastAsia"/>
          <w:b/>
          <w:bCs/>
          <w:color w:val="000000" w:themeColor="text1"/>
          <w:kern w:val="0"/>
          <w:sz w:val="24"/>
        </w:rPr>
        <w:t>分</w:t>
      </w:r>
    </w:p>
    <w:p>
      <w:pPr>
        <w:pStyle w:val="9"/>
        <w:spacing w:line="300" w:lineRule="auto"/>
        <w:ind w:firstLine="600" w:firstLineChars="250"/>
        <w:rPr>
          <w:rFonts w:cs="宋体" w:asciiTheme="majorEastAsia" w:hAnsiTheme="majorEastAsia" w:eastAsiaTheme="majorEastAsia"/>
          <w:b/>
          <w:bCs/>
          <w:color w:val="000000" w:themeColor="text1"/>
          <w:kern w:val="0"/>
          <w:sz w:val="24"/>
        </w:rPr>
      </w:pPr>
      <w:r>
        <w:rPr>
          <w:rFonts w:hint="eastAsia" w:cs="宋体" w:asciiTheme="majorEastAsia" w:hAnsiTheme="majorEastAsia" w:eastAsiaTheme="majorEastAsia"/>
          <w:color w:val="000000" w:themeColor="text1"/>
          <w:kern w:val="0"/>
          <w:sz w:val="24"/>
        </w:rPr>
        <w:t>根据《中华人民共和国财政部令第87号--政府采购货物和服务招标投标管理办法》：“价格分应当采用低价优先法计算，即满足招标文件要求且投标价格最低的投标报价为评标基准价，其价格分为满分。其他投标人的价格分统一按照下列公式计算：投标报价得分=(评标基准价／投标报价)×40；货物项目的价格分值占总分值的比重不得低于30%”。</w:t>
      </w:r>
    </w:p>
    <w:p>
      <w:pPr>
        <w:pStyle w:val="9"/>
        <w:spacing w:line="300" w:lineRule="auto"/>
        <w:ind w:firstLine="0"/>
        <w:rPr>
          <w:rFonts w:cs="宋体" w:asciiTheme="majorEastAsia" w:hAnsiTheme="majorEastAsia" w:eastAsiaTheme="majorEastAsia"/>
          <w:b/>
          <w:bCs/>
          <w:color w:val="000000" w:themeColor="text1"/>
          <w:kern w:val="0"/>
          <w:sz w:val="24"/>
        </w:rPr>
      </w:pPr>
      <w:r>
        <w:rPr>
          <w:rFonts w:hint="eastAsia" w:cs="宋体" w:asciiTheme="majorEastAsia" w:hAnsiTheme="majorEastAsia" w:eastAsiaTheme="majorEastAsia"/>
          <w:b/>
          <w:bCs/>
          <w:color w:val="000000" w:themeColor="text1"/>
          <w:kern w:val="0"/>
          <w:sz w:val="24"/>
        </w:rPr>
        <w:t>（2）商务部分：</w:t>
      </w:r>
      <w:r>
        <w:rPr>
          <w:rFonts w:hint="eastAsia" w:cs="宋体" w:asciiTheme="majorEastAsia" w:hAnsiTheme="majorEastAsia" w:eastAsiaTheme="majorEastAsia"/>
          <w:b/>
          <w:bCs/>
          <w:color w:val="000000" w:themeColor="text1"/>
          <w:kern w:val="0"/>
          <w:sz w:val="24"/>
          <w:u w:val="single"/>
        </w:rPr>
        <w:t xml:space="preserve">  1</w:t>
      </w:r>
      <w:r>
        <w:rPr>
          <w:rFonts w:hint="eastAsia" w:cs="宋体" w:asciiTheme="majorEastAsia" w:hAnsiTheme="majorEastAsia" w:eastAsiaTheme="majorEastAsia"/>
          <w:b/>
          <w:bCs/>
          <w:color w:val="000000" w:themeColor="text1"/>
          <w:kern w:val="0"/>
          <w:sz w:val="24"/>
          <w:u w:val="single"/>
          <w:lang w:val="en-US" w:eastAsia="zh-CN"/>
        </w:rPr>
        <w:t>0</w:t>
      </w:r>
      <w:r>
        <w:rPr>
          <w:rFonts w:hint="eastAsia" w:cs="宋体" w:asciiTheme="majorEastAsia" w:hAnsiTheme="majorEastAsia" w:eastAsiaTheme="majorEastAsia"/>
          <w:b/>
          <w:bCs/>
          <w:color w:val="000000" w:themeColor="text1"/>
          <w:kern w:val="0"/>
          <w:sz w:val="24"/>
          <w:u w:val="single"/>
        </w:rPr>
        <w:t xml:space="preserve"> 分 </w:t>
      </w:r>
    </w:p>
    <w:p>
      <w:pPr>
        <w:pStyle w:val="9"/>
        <w:spacing w:line="300" w:lineRule="auto"/>
        <w:ind w:firstLine="480"/>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包括投标人的企业实力</w:t>
      </w:r>
      <w:r>
        <w:rPr>
          <w:rFonts w:hint="eastAsia" w:cs="宋体" w:asciiTheme="majorEastAsia" w:hAnsiTheme="majorEastAsia" w:eastAsiaTheme="majorEastAsia"/>
          <w:color w:val="000000" w:themeColor="text1"/>
          <w:kern w:val="0"/>
          <w:sz w:val="24"/>
          <w:lang w:eastAsia="zh-CN"/>
        </w:rPr>
        <w:t>、业绩</w:t>
      </w:r>
      <w:r>
        <w:rPr>
          <w:rFonts w:hint="eastAsia" w:cs="宋体" w:asciiTheme="majorEastAsia" w:hAnsiTheme="majorEastAsia" w:eastAsiaTheme="majorEastAsia"/>
          <w:color w:val="000000" w:themeColor="text1"/>
          <w:kern w:val="0"/>
          <w:sz w:val="24"/>
        </w:rPr>
        <w:t>等。</w:t>
      </w:r>
    </w:p>
    <w:p>
      <w:pPr>
        <w:pStyle w:val="9"/>
        <w:spacing w:line="300" w:lineRule="auto"/>
        <w:ind w:firstLine="0"/>
        <w:rPr>
          <w:rFonts w:cs="宋体" w:asciiTheme="majorEastAsia" w:hAnsiTheme="majorEastAsia" w:eastAsiaTheme="majorEastAsia"/>
          <w:b/>
          <w:bCs/>
          <w:color w:val="000000" w:themeColor="text1"/>
          <w:kern w:val="0"/>
          <w:sz w:val="24"/>
        </w:rPr>
      </w:pPr>
      <w:r>
        <w:rPr>
          <w:rFonts w:hint="eastAsia" w:cs="宋体" w:asciiTheme="majorEastAsia" w:hAnsiTheme="majorEastAsia" w:eastAsiaTheme="majorEastAsia"/>
          <w:b/>
          <w:bCs/>
          <w:color w:val="000000" w:themeColor="text1"/>
          <w:kern w:val="0"/>
          <w:sz w:val="24"/>
        </w:rPr>
        <w:t>（3）技术部分：</w:t>
      </w:r>
      <w:r>
        <w:rPr>
          <w:rFonts w:hint="eastAsia" w:cs="宋体" w:asciiTheme="majorEastAsia" w:hAnsiTheme="majorEastAsia" w:eastAsiaTheme="majorEastAsia"/>
          <w:b/>
          <w:bCs/>
          <w:color w:val="000000" w:themeColor="text1"/>
          <w:kern w:val="0"/>
          <w:sz w:val="24"/>
          <w:u w:val="single"/>
        </w:rPr>
        <w:t xml:space="preserve"> 5</w:t>
      </w:r>
      <w:r>
        <w:rPr>
          <w:rFonts w:hint="eastAsia" w:cs="宋体" w:asciiTheme="majorEastAsia" w:hAnsiTheme="majorEastAsia" w:eastAsiaTheme="majorEastAsia"/>
          <w:b/>
          <w:bCs/>
          <w:color w:val="000000" w:themeColor="text1"/>
          <w:kern w:val="0"/>
          <w:sz w:val="24"/>
          <w:u w:val="single"/>
          <w:lang w:val="en-US" w:eastAsia="zh-CN"/>
        </w:rPr>
        <w:t>0</w:t>
      </w:r>
      <w:r>
        <w:rPr>
          <w:rFonts w:hint="eastAsia" w:cs="宋体" w:asciiTheme="majorEastAsia" w:hAnsiTheme="majorEastAsia" w:eastAsiaTheme="majorEastAsia"/>
          <w:b/>
          <w:bCs/>
          <w:color w:val="000000" w:themeColor="text1"/>
          <w:kern w:val="0"/>
          <w:sz w:val="24"/>
          <w:u w:val="single"/>
        </w:rPr>
        <w:t xml:space="preserve"> 分</w:t>
      </w:r>
    </w:p>
    <w:p>
      <w:pPr>
        <w:pStyle w:val="9"/>
        <w:spacing w:line="300" w:lineRule="auto"/>
        <w:ind w:firstLine="480"/>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包括对招标文件的实质性条款是否响应、投标产品技术要求、培训质保、项目实施方案及售后服务保障等方面进行评审）。</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2.2.2 评标基准价计算评标基准价计算方法：见评标办法前附表。</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2.2.4 评分标准</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（1）商务评分标准：见评标办法前附表；</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（2）技术评分标准：见评标办法前附表；</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（3）投标报价评分标准：见评标办法前附表；</w:t>
      </w:r>
    </w:p>
    <w:p>
      <w:pPr>
        <w:pStyle w:val="6"/>
        <w:spacing w:line="300" w:lineRule="auto"/>
        <w:rPr>
          <w:rFonts w:cs="宋体" w:asciiTheme="majorEastAsia" w:hAnsiTheme="majorEastAsia" w:eastAsiaTheme="majorEastAsia"/>
          <w:color w:val="000000" w:themeColor="text1"/>
          <w:szCs w:val="24"/>
        </w:rPr>
      </w:pPr>
      <w:bookmarkStart w:id="34" w:name="_Toc14035"/>
      <w:bookmarkStart w:id="35" w:name="_Toc8777"/>
      <w:bookmarkStart w:id="36" w:name="_Toc18463"/>
      <w:bookmarkStart w:id="37" w:name="_Toc7632"/>
      <w:r>
        <w:rPr>
          <w:rFonts w:hint="eastAsia" w:cs="宋体" w:asciiTheme="majorEastAsia" w:hAnsiTheme="majorEastAsia" w:eastAsiaTheme="majorEastAsia"/>
          <w:color w:val="000000" w:themeColor="text1"/>
        </w:rPr>
        <w:t>3. 评标程序</w:t>
      </w:r>
      <w:bookmarkEnd w:id="34"/>
      <w:bookmarkEnd w:id="35"/>
      <w:bookmarkEnd w:id="36"/>
      <w:bookmarkEnd w:id="37"/>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
          <w:bCs/>
          <w:color w:val="000000" w:themeColor="text1"/>
          <w:sz w:val="24"/>
        </w:rPr>
        <w:t>3.1 初步评审</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3.1.1 评标委员会可以要求投标人提交第二章“投标人须知”规定的有关证明和证件的原件， 以便核验。评标委员会依据本章第 2.1 款规定的标准对投标文件进行初步评审。有一项不符合 评审标准的，评标委员会应当否决其投标。</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3.1.2 投标人有以下情形之一的，评标委员会应当否决其投标：</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（1）投标文件没有对招标文件的实质性要求和条件作出响应，或者对招标文件的偏差超出 招标文件规定的偏差范围或最高项数；</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（2）有串通投标、弄虚作假、行贿等违法行为。</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3.1.3 投标报价有算术错误及其他错误的，评标委员会按以下原则要求投标人对投标报价进 行修正，并要求投标人书面澄清确认。投标人拒不澄清确认的，评标委员会应当否决其投标：</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（1）投标文件中的大写金额与小写金额不一致的，以大写金额为准；</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（2）总价金额与单价金额不一致的，以单价金额为准，但单价金额小数点有明显错误的除 外；</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（3）投标报价为各分项报价金额之和，投标报价与分项报价的合价不一致的，应以各分项 合价累计数为准，修正投标报价；</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（4）如果分项报价中存在缺漏项，则视为缺漏项价格已包含在其他分项报价之中。</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
          <w:bCs/>
          <w:color w:val="000000" w:themeColor="text1"/>
          <w:sz w:val="24"/>
        </w:rPr>
        <w:t>3.2 详细评审</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3.2.1 评标委员会按本章第 2.2 款规定的量化因素和分值进行打分，并计算出综合评估得分。</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（1）按本章第 2.2.4（1）目规定的评审因素和分值对商务部分计算出得分 A；</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（2）按本章第 2.2.4（2）目规定的评审因素和分值对技术部分计算出得分 B；</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（3）按本章第 2.2.4（3）目规定的评审因素和分值对投标报价计算出得分 C；</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3.2.2 评分分值计算保留小数点后两位，小数点后第三位“四舍五入”。</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3.2.3 投标人得分=A+B+C。</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
          <w:bCs/>
          <w:color w:val="000000" w:themeColor="text1"/>
          <w:sz w:val="24"/>
        </w:rPr>
        <w:t>3.3 投标文件的澄清</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3.3.1 在评标过程中，评标委员会可以书面形式要求投标人对投标文件中含义不明确、对同 类问题表述不一致或者有明显文字和计算错误的内容作必要的澄清、说明或补正。澄清、说明 或补正应以书面方式进行。评标委员会不接受投标人主动提出的澄清、说明或补正。</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3.3.2 澄清、说明或补正不得超出投标文件的范围且不得改变投标文件的实质性内容，并构 成投标文件的组成部分。</w:t>
      </w:r>
    </w:p>
    <w:p>
      <w:pPr>
        <w:spacing w:line="300" w:lineRule="auto"/>
        <w:rPr>
          <w:rFonts w:cs="宋体" w:asciiTheme="majorEastAsia" w:hAnsiTheme="majorEastAsia" w:eastAsiaTheme="majorEastAsia"/>
          <w:b/>
          <w:bCs/>
          <w:color w:val="000000" w:themeColor="text1"/>
          <w:sz w:val="24"/>
        </w:rPr>
      </w:pPr>
      <w:r>
        <w:rPr>
          <w:rFonts w:hint="eastAsia" w:cs="宋体" w:asciiTheme="majorEastAsia" w:hAnsiTheme="majorEastAsia" w:eastAsiaTheme="majorEastAsia"/>
          <w:color w:val="000000" w:themeColor="text1"/>
          <w:sz w:val="24"/>
        </w:rPr>
        <w:t>3.3.3 评标委员会对投标人提交的澄清、说明或补正有疑问的，可以要求投标人进一步澄清、 说明或补正，直至满足评标委员会的要求。</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
          <w:bCs/>
          <w:color w:val="000000" w:themeColor="text1"/>
          <w:sz w:val="24"/>
        </w:rPr>
        <w:t>3.4 评标结果</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3.4.1 除第二章“投标人须知”前附表授权直接确定中标人外，评标委员会按照得分由高到低 的顺序推荐中标候选人，并标明排序。</w:t>
      </w:r>
    </w:p>
    <w:p>
      <w:pPr>
        <w:spacing w:line="30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3.4.2 评标委员会完成评标后，应当向招标人提交书面评标报告和中标候选人名单。</w:t>
      </w:r>
    </w:p>
    <w:p>
      <w:pPr>
        <w:pStyle w:val="4"/>
        <w:jc w:val="center"/>
        <w:rPr>
          <w:rFonts w:cs="仿宋" w:asciiTheme="majorEastAsia" w:hAnsiTheme="majorEastAsia" w:eastAsiaTheme="majorEastAsia"/>
          <w:color w:val="000000" w:themeColor="text1"/>
          <w:szCs w:val="21"/>
        </w:rPr>
        <w:sectPr>
          <w:headerReference r:id="rId8" w:type="first"/>
          <w:headerReference r:id="rId7" w:type="default"/>
          <w:pgSz w:w="11906" w:h="16838"/>
          <w:pgMar w:top="1418" w:right="1134" w:bottom="1418" w:left="1134" w:header="851" w:footer="992" w:gutter="0"/>
          <w:cols w:space="720" w:num="1"/>
          <w:titlePg/>
          <w:docGrid w:type="lines" w:linePitch="312" w:charSpace="0"/>
        </w:sectPr>
      </w:pPr>
    </w:p>
    <w:p>
      <w:pPr>
        <w:pStyle w:val="4"/>
        <w:tabs>
          <w:tab w:val="left" w:pos="2685"/>
          <w:tab w:val="center" w:pos="4819"/>
        </w:tabs>
        <w:jc w:val="left"/>
        <w:rPr>
          <w:rFonts w:cs="仿宋" w:asciiTheme="majorEastAsia" w:hAnsiTheme="majorEastAsia" w:eastAsiaTheme="majorEastAsia"/>
          <w:b w:val="0"/>
          <w:color w:val="000000" w:themeColor="text1"/>
          <w:sz w:val="36"/>
          <w:szCs w:val="36"/>
        </w:rPr>
      </w:pPr>
      <w:r>
        <w:rPr>
          <w:rFonts w:cs="Arial" w:asciiTheme="majorEastAsia" w:hAnsiTheme="majorEastAsia" w:eastAsiaTheme="majorEastAsia"/>
          <w:b w:val="0"/>
          <w:color w:val="000000" w:themeColor="text1"/>
          <w:sz w:val="36"/>
          <w:szCs w:val="36"/>
        </w:rPr>
        <w:tab/>
      </w:r>
      <w:bookmarkStart w:id="38" w:name="_Toc23721"/>
      <w:bookmarkStart w:id="39" w:name="_Toc4197"/>
      <w:r>
        <w:rPr>
          <w:rFonts w:hint="eastAsia" w:cs="仿宋" w:asciiTheme="majorEastAsia" w:hAnsiTheme="majorEastAsia" w:eastAsiaTheme="majorEastAsia"/>
          <w:b w:val="0"/>
          <w:color w:val="000000" w:themeColor="text1"/>
          <w:sz w:val="36"/>
          <w:szCs w:val="36"/>
        </w:rPr>
        <w:t>第四章  合同条款及格式</w:t>
      </w:r>
      <w:bookmarkEnd w:id="38"/>
      <w:bookmarkEnd w:id="39"/>
      <w:bookmarkStart w:id="40" w:name="_Toc434784403"/>
      <w:bookmarkStart w:id="41" w:name="_Toc434784363"/>
      <w:bookmarkStart w:id="42" w:name="_Toc433363808"/>
    </w:p>
    <w:bookmarkEnd w:id="40"/>
    <w:bookmarkEnd w:id="41"/>
    <w:bookmarkEnd w:id="42"/>
    <w:p>
      <w:pPr>
        <w:pStyle w:val="21"/>
        <w:spacing w:line="500" w:lineRule="exact"/>
        <w:jc w:val="center"/>
        <w:rPr>
          <w:rFonts w:cs="仿宋" w:asciiTheme="majorEastAsia" w:hAnsiTheme="majorEastAsia" w:eastAsiaTheme="majorEastAsia"/>
          <w:b/>
          <w:color w:val="000000" w:themeColor="text1"/>
          <w:sz w:val="30"/>
          <w:szCs w:val="30"/>
        </w:rPr>
      </w:pPr>
      <w:r>
        <w:rPr>
          <w:rFonts w:hint="eastAsia" w:cs="仿宋" w:asciiTheme="majorEastAsia" w:hAnsiTheme="majorEastAsia" w:eastAsiaTheme="majorEastAsia"/>
          <w:b/>
          <w:color w:val="000000" w:themeColor="text1"/>
          <w:sz w:val="30"/>
          <w:szCs w:val="30"/>
        </w:rPr>
        <w:t>XXXXXXXXXXXXXXXXXXXXXXXXX项目</w:t>
      </w:r>
    </w:p>
    <w:p>
      <w:pPr>
        <w:pStyle w:val="21"/>
        <w:spacing w:line="500" w:lineRule="exact"/>
        <w:ind w:firstLine="2160" w:firstLineChars="9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（以最终签订合同为准，本合同条款仅供参考）</w:t>
      </w:r>
    </w:p>
    <w:p>
      <w:pPr>
        <w:spacing w:line="360" w:lineRule="auto"/>
        <w:jc w:val="center"/>
        <w:rPr>
          <w:rFonts w:asciiTheme="majorEastAsia" w:hAnsiTheme="majorEastAsia" w:eastAsiaTheme="majorEastAsia"/>
          <w:b/>
          <w:bCs/>
          <w:color w:val="000000" w:themeColor="text1"/>
          <w:sz w:val="28"/>
          <w:szCs w:val="28"/>
        </w:rPr>
      </w:pPr>
      <w:r>
        <w:rPr>
          <w:rFonts w:hint="eastAsia" w:asciiTheme="majorEastAsia" w:hAnsiTheme="majorEastAsia" w:eastAsiaTheme="majorEastAsia"/>
          <w:b/>
          <w:bCs/>
          <w:color w:val="000000" w:themeColor="text1"/>
          <w:sz w:val="28"/>
          <w:szCs w:val="28"/>
        </w:rPr>
        <w:t>第一节  通用合同条款</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1.</w:t>
      </w:r>
      <w:r>
        <w:rPr>
          <w:rFonts w:hint="eastAsia" w:asciiTheme="majorEastAsia" w:hAnsiTheme="majorEastAsia" w:eastAsiaTheme="majorEastAsia"/>
          <w:b/>
          <w:bCs/>
          <w:color w:val="000000" w:themeColor="text1"/>
          <w:sz w:val="32"/>
          <w:szCs w:val="32"/>
        </w:rPr>
        <w:t>一般约定</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1.1</w:t>
      </w:r>
      <w:r>
        <w:rPr>
          <w:rFonts w:hint="eastAsia" w:asciiTheme="majorEastAsia" w:hAnsiTheme="majorEastAsia" w:eastAsiaTheme="majorEastAsia"/>
          <w:b/>
          <w:bCs/>
          <w:color w:val="000000" w:themeColor="text1"/>
          <w:sz w:val="28"/>
          <w:szCs w:val="28"/>
        </w:rPr>
        <w:t>词语定义</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除专用合同条款另有约定外，合同中的下列词语应具有本款所赋予的含义。</w:t>
      </w:r>
    </w:p>
    <w:p>
      <w:pPr>
        <w:spacing w:line="360" w:lineRule="auto"/>
        <w:ind w:firstLine="422" w:firstLineChars="200"/>
        <w:rPr>
          <w:rFonts w:asciiTheme="majorEastAsia" w:hAnsiTheme="majorEastAsia" w:eastAsiaTheme="majorEastAsia"/>
          <w:b/>
          <w:bCs/>
          <w:color w:val="000000" w:themeColor="text1"/>
        </w:rPr>
      </w:pPr>
      <w:r>
        <w:rPr>
          <w:rFonts w:asciiTheme="majorEastAsia" w:hAnsiTheme="majorEastAsia" w:eastAsiaTheme="majorEastAsia"/>
          <w:b/>
          <w:bCs/>
          <w:color w:val="000000" w:themeColor="text1"/>
        </w:rPr>
        <w:t xml:space="preserve">1.1.1 </w:t>
      </w:r>
      <w:r>
        <w:rPr>
          <w:rFonts w:hint="eastAsia" w:asciiTheme="majorEastAsia" w:hAnsiTheme="majorEastAsia" w:eastAsiaTheme="majorEastAsia"/>
          <w:b/>
          <w:bCs/>
          <w:color w:val="000000" w:themeColor="text1"/>
        </w:rPr>
        <w:t>合同</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1.1.1.1</w:t>
      </w:r>
      <w:r>
        <w:rPr>
          <w:rFonts w:hint="eastAsia" w:asciiTheme="majorEastAsia" w:hAnsiTheme="majorEastAsia" w:eastAsiaTheme="majorEastAsia"/>
          <w:color w:val="000000" w:themeColor="text1"/>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1.1.1.2</w:t>
      </w:r>
      <w:r>
        <w:rPr>
          <w:rFonts w:hint="eastAsia" w:asciiTheme="majorEastAsia" w:hAnsiTheme="majorEastAsia" w:eastAsiaTheme="majorEastAsia"/>
          <w:color w:val="000000" w:themeColor="text1"/>
        </w:rPr>
        <w:t>合同协议书：指买方和卖方共同签署的合同协议书。</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1.1.1.3</w:t>
      </w:r>
      <w:r>
        <w:rPr>
          <w:rFonts w:hint="eastAsia" w:asciiTheme="majorEastAsia" w:hAnsiTheme="majorEastAsia" w:eastAsiaTheme="majorEastAsia"/>
          <w:color w:val="000000" w:themeColor="text1"/>
        </w:rPr>
        <w:t>中标通知书：指买方通知卖方中标的函件。</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1.1.1.4</w:t>
      </w:r>
      <w:r>
        <w:rPr>
          <w:rFonts w:hint="eastAsia" w:asciiTheme="majorEastAsia" w:hAnsiTheme="majorEastAsia" w:eastAsiaTheme="majorEastAsia"/>
          <w:color w:val="000000" w:themeColor="text1"/>
        </w:rPr>
        <w:t>投标函：指由卖方填写并签署的，名为“投标函”的函件。</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1.1.1.5</w:t>
      </w:r>
      <w:r>
        <w:rPr>
          <w:rFonts w:hint="eastAsia" w:asciiTheme="majorEastAsia" w:hAnsiTheme="majorEastAsia" w:eastAsiaTheme="majorEastAsia"/>
          <w:color w:val="000000" w:themeColor="text1"/>
        </w:rPr>
        <w:t>商务和技术偏差表：指卖方投标文件中的商务和技术偏差表。</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1.1.1.6</w:t>
      </w:r>
      <w:r>
        <w:rPr>
          <w:rFonts w:hint="eastAsia" w:asciiTheme="majorEastAsia" w:hAnsiTheme="majorEastAsia" w:eastAsiaTheme="majorEastAsia"/>
          <w:color w:val="000000" w:themeColor="text1"/>
        </w:rPr>
        <w:t>供货要求：指合同文件中名为“供货要求”的文件。</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1.1.1.7</w:t>
      </w:r>
      <w:r>
        <w:rPr>
          <w:rFonts w:hint="eastAsia" w:asciiTheme="majorEastAsia" w:hAnsiTheme="majorEastAsia" w:eastAsiaTheme="majorEastAsia"/>
          <w:color w:val="000000" w:themeColor="text1"/>
        </w:rPr>
        <w:t>中标设备技术性能指标的详细描述：指卖方投标文件中的投标设备技术性能指标的详细描述。</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1.1.1.8</w:t>
      </w:r>
      <w:r>
        <w:rPr>
          <w:rFonts w:hint="eastAsia" w:asciiTheme="majorEastAsia" w:hAnsiTheme="majorEastAsia" w:eastAsiaTheme="majorEastAsia"/>
          <w:color w:val="000000" w:themeColor="text1"/>
        </w:rPr>
        <w:t>技术服务和质保期服务计划：指卖方投标文件中的技术服务和质保期服务计划。</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1.1.1.9</w:t>
      </w:r>
      <w:r>
        <w:rPr>
          <w:rFonts w:hint="eastAsia" w:asciiTheme="majorEastAsia" w:hAnsiTheme="majorEastAsia" w:eastAsiaTheme="majorEastAsia"/>
          <w:color w:val="000000" w:themeColor="text1"/>
        </w:rPr>
        <w:t>分项报价表：指卖方投标文件中的分项报价表。</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1.1.1.10</w:t>
      </w:r>
      <w:r>
        <w:rPr>
          <w:rFonts w:hint="eastAsia" w:asciiTheme="majorEastAsia" w:hAnsiTheme="majorEastAsia" w:eastAsiaTheme="majorEastAsia"/>
          <w:color w:val="000000" w:themeColor="text1"/>
        </w:rPr>
        <w:t>其他合同文件：指经合同双方当事人确认构成合同文件的其他文件。</w:t>
      </w:r>
    </w:p>
    <w:p>
      <w:pPr>
        <w:spacing w:line="360" w:lineRule="auto"/>
        <w:ind w:firstLine="422" w:firstLineChars="200"/>
        <w:rPr>
          <w:rFonts w:asciiTheme="majorEastAsia" w:hAnsiTheme="majorEastAsia" w:eastAsiaTheme="majorEastAsia"/>
          <w:b/>
          <w:bCs/>
          <w:color w:val="000000" w:themeColor="text1"/>
        </w:rPr>
      </w:pPr>
      <w:r>
        <w:rPr>
          <w:rFonts w:asciiTheme="majorEastAsia" w:hAnsiTheme="majorEastAsia" w:eastAsiaTheme="majorEastAsia"/>
          <w:b/>
          <w:bCs/>
          <w:color w:val="000000" w:themeColor="text1"/>
        </w:rPr>
        <w:t>1.1.2</w:t>
      </w:r>
      <w:r>
        <w:rPr>
          <w:rFonts w:hint="eastAsia" w:asciiTheme="majorEastAsia" w:hAnsiTheme="majorEastAsia" w:eastAsiaTheme="majorEastAsia"/>
          <w:b/>
          <w:bCs/>
          <w:color w:val="000000" w:themeColor="text1"/>
        </w:rPr>
        <w:t>合同当事人</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1.1.2.1</w:t>
      </w:r>
      <w:r>
        <w:rPr>
          <w:rFonts w:hint="eastAsia" w:asciiTheme="majorEastAsia" w:hAnsiTheme="majorEastAsia" w:eastAsiaTheme="majorEastAsia"/>
          <w:color w:val="000000" w:themeColor="text1"/>
        </w:rPr>
        <w:t>合同当事人：指买方和（或）卖方。</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1.1.2.2</w:t>
      </w:r>
      <w:r>
        <w:rPr>
          <w:rFonts w:hint="eastAsia" w:asciiTheme="majorEastAsia" w:hAnsiTheme="majorEastAsia" w:eastAsiaTheme="majorEastAsia"/>
          <w:color w:val="000000" w:themeColor="text1"/>
        </w:rPr>
        <w:t>买方：指与卖方签订合同协议书，购买合同设备和技术服务和质保期服务的当事人，及其合法继承人。</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1.1.2.3</w:t>
      </w:r>
      <w:r>
        <w:rPr>
          <w:rFonts w:hint="eastAsia" w:asciiTheme="majorEastAsia" w:hAnsiTheme="majorEastAsia" w:eastAsiaTheme="majorEastAsia"/>
          <w:color w:val="000000" w:themeColor="text1"/>
        </w:rPr>
        <w:t>卖方：指与买方签订合同协议书，提供合同设备和技术服务和质保期服务的当事人，及其合法继承人。</w:t>
      </w:r>
    </w:p>
    <w:p>
      <w:pPr>
        <w:spacing w:line="360" w:lineRule="auto"/>
        <w:ind w:firstLine="422" w:firstLineChars="200"/>
        <w:rPr>
          <w:rFonts w:asciiTheme="majorEastAsia" w:hAnsiTheme="majorEastAsia" w:eastAsiaTheme="majorEastAsia"/>
          <w:b/>
          <w:bCs/>
          <w:color w:val="000000" w:themeColor="text1"/>
        </w:rPr>
      </w:pPr>
      <w:r>
        <w:rPr>
          <w:rFonts w:asciiTheme="majorEastAsia" w:hAnsiTheme="majorEastAsia" w:eastAsiaTheme="majorEastAsia"/>
          <w:b/>
          <w:bCs/>
          <w:color w:val="000000" w:themeColor="text1"/>
        </w:rPr>
        <w:t xml:space="preserve">1.1.3 </w:t>
      </w:r>
      <w:r>
        <w:rPr>
          <w:rFonts w:hint="eastAsia" w:asciiTheme="majorEastAsia" w:hAnsiTheme="majorEastAsia" w:eastAsiaTheme="majorEastAsia"/>
          <w:b/>
          <w:bCs/>
          <w:color w:val="000000" w:themeColor="text1"/>
        </w:rPr>
        <w:t>合同价格</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1.1.3.1</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签约合同价：是签订合同时合同协议书中写明的合同总金额。</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1.1.3.2</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合同价格：指卖方按合同约定履行了全部合同义务后，买方应付给卖方的金额。</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 xml:space="preserve">1.1.4 </w:t>
      </w:r>
      <w:r>
        <w:rPr>
          <w:rFonts w:hint="eastAsia" w:asciiTheme="majorEastAsia" w:hAnsiTheme="majorEastAsia" w:eastAsiaTheme="majorEastAsia"/>
          <w:color w:val="000000" w:themeColor="text1"/>
        </w:rPr>
        <w:t>合同设备：指卖方按合同约定应向买方提供的设备、装置、备品、备件、易损易耗件、配套使用的软件或其他辅助电子应用程序及技术资料，或其中任何一部分。</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1.1.5</w:t>
      </w:r>
      <w:r>
        <w:rPr>
          <w:rFonts w:hint="eastAsia" w:asciiTheme="majorEastAsia" w:hAnsiTheme="majorEastAsia" w:eastAsiaTheme="majorEastAsia"/>
          <w:color w:val="000000" w:themeColor="text1"/>
        </w:rPr>
        <w:t>技术资料：指各种纸质及电子载体的与合同设备的设计、检验、安装、调试、考核、操作、维修以及保养等有关的技术指标、规格、图纸和说明文件。</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1.1.6</w:t>
      </w:r>
      <w:r>
        <w:rPr>
          <w:rFonts w:hint="eastAsia" w:asciiTheme="majorEastAsia" w:hAnsiTheme="majorEastAsia" w:eastAsiaTheme="majorEastAsia"/>
          <w:color w:val="000000" w:themeColor="text1"/>
        </w:rPr>
        <w:t>安装：指对合同设备进行的组装、连接以及根据需要将合同设备固定在施工场地内一定的位置上，使其就位并与相关设备、工程实现连接。</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1.1.7</w:t>
      </w:r>
      <w:r>
        <w:rPr>
          <w:rFonts w:hint="eastAsia" w:asciiTheme="majorEastAsia" w:hAnsiTheme="majorEastAsia" w:eastAsiaTheme="majorEastAsia"/>
          <w:color w:val="000000" w:themeColor="text1"/>
        </w:rPr>
        <w:t>调试：指在合同设备安装完成后，对合同设备所进行的调校和测试。</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1.1.8</w:t>
      </w:r>
      <w:r>
        <w:rPr>
          <w:rFonts w:hint="eastAsia" w:asciiTheme="majorEastAsia" w:hAnsiTheme="majorEastAsia" w:eastAsiaTheme="majorEastAsia"/>
          <w:color w:val="000000" w:themeColor="text1"/>
        </w:rPr>
        <w:t>考核：指在合同设备调试完成后，对合同设备进行的用于确定其是否达到合同约定的技术性能考核指标的考核。</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1.1.9</w:t>
      </w:r>
      <w:r>
        <w:rPr>
          <w:rFonts w:hint="eastAsia" w:asciiTheme="majorEastAsia" w:hAnsiTheme="majorEastAsia" w:eastAsiaTheme="majorEastAsia"/>
          <w:color w:val="000000" w:themeColor="text1"/>
        </w:rPr>
        <w:t>验收：指合同设备通过考核达到合同约定的技术性能考核指标后，买方作出接受合同设备的确认。</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1.1.10</w:t>
      </w:r>
      <w:r>
        <w:rPr>
          <w:rFonts w:hint="eastAsia" w:asciiTheme="majorEastAsia" w:hAnsiTheme="majorEastAsia" w:eastAsiaTheme="majorEastAsia"/>
          <w:color w:val="000000" w:themeColor="text1"/>
        </w:rPr>
        <w:t>技术服务：指卖方按合同约定，在合同设备验收前，向买方提供的安装、调试服务，或者在由买方负责的安装、调试、考核中对买方进行的技术指导、协助、监督和培训等。</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1.1.11</w:t>
      </w:r>
      <w:r>
        <w:rPr>
          <w:rFonts w:hint="eastAsia" w:asciiTheme="majorEastAsia" w:hAnsiTheme="majorEastAsia" w:eastAsiaTheme="majorEastAsia"/>
          <w:color w:val="000000" w:themeColor="text1"/>
        </w:rPr>
        <w:t>质量保证期：指合同设备验收后，卖方按合同约定保证合同设备适当、稳定运行，并负责消除合同设备故障的期限。</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1.1.12</w:t>
      </w:r>
      <w:r>
        <w:rPr>
          <w:rFonts w:hint="eastAsia" w:asciiTheme="majorEastAsia" w:hAnsiTheme="majorEastAsia" w:eastAsiaTheme="majorEastAsia"/>
          <w:color w:val="000000" w:themeColor="text1"/>
        </w:rPr>
        <w:t>质保期服务：指在质量保证期内，卖方向买方提供的合同设备维护服务、咨询服务、技术指导、协助以及对出现故障的合同设备进行修理或更换的服务。</w:t>
      </w:r>
    </w:p>
    <w:p>
      <w:pPr>
        <w:spacing w:line="360" w:lineRule="auto"/>
        <w:ind w:firstLine="422" w:firstLineChars="200"/>
        <w:rPr>
          <w:rFonts w:asciiTheme="majorEastAsia" w:hAnsiTheme="majorEastAsia" w:eastAsiaTheme="majorEastAsia"/>
          <w:b/>
          <w:bCs/>
          <w:color w:val="000000" w:themeColor="text1"/>
        </w:rPr>
      </w:pPr>
      <w:r>
        <w:rPr>
          <w:rFonts w:asciiTheme="majorEastAsia" w:hAnsiTheme="majorEastAsia" w:eastAsiaTheme="majorEastAsia"/>
          <w:b/>
          <w:bCs/>
          <w:color w:val="000000" w:themeColor="text1"/>
        </w:rPr>
        <w:t>1.1.13</w:t>
      </w:r>
      <w:r>
        <w:rPr>
          <w:rFonts w:hint="eastAsia" w:asciiTheme="majorEastAsia" w:hAnsiTheme="majorEastAsia" w:eastAsiaTheme="majorEastAsia"/>
          <w:b/>
          <w:bCs/>
          <w:color w:val="000000" w:themeColor="text1"/>
        </w:rPr>
        <w:t>工程</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1.1.13.1</w:t>
      </w:r>
      <w:r>
        <w:rPr>
          <w:rFonts w:hint="eastAsia" w:asciiTheme="majorEastAsia" w:hAnsiTheme="majorEastAsia" w:eastAsiaTheme="majorEastAsia"/>
          <w:color w:val="000000" w:themeColor="text1"/>
        </w:rPr>
        <w:t>工程：指在专用合同条款中指明的，安装运行合同设备的工程。</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1.1.13.2</w:t>
      </w:r>
      <w:r>
        <w:rPr>
          <w:rFonts w:hint="eastAsia" w:asciiTheme="majorEastAsia" w:hAnsiTheme="majorEastAsia" w:eastAsiaTheme="majorEastAsia"/>
          <w:color w:val="000000" w:themeColor="text1"/>
        </w:rPr>
        <w:t>施工场地（或称工地、施工现场）：指专用合同条款中指明的工程所在场所。</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1.1.14</w:t>
      </w:r>
      <w:r>
        <w:rPr>
          <w:rFonts w:hint="eastAsia" w:asciiTheme="majorEastAsia" w:hAnsiTheme="majorEastAsia" w:eastAsiaTheme="majorEastAsia"/>
          <w:color w:val="000000" w:themeColor="text1"/>
        </w:rPr>
        <w:t>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1.1.15</w:t>
      </w:r>
      <w:r>
        <w:rPr>
          <w:rFonts w:hint="eastAsia" w:asciiTheme="majorEastAsia" w:hAnsiTheme="majorEastAsia" w:eastAsiaTheme="majorEastAsia"/>
          <w:color w:val="000000" w:themeColor="text1"/>
        </w:rPr>
        <w:t>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1.1.16</w:t>
      </w:r>
      <w:r>
        <w:rPr>
          <w:rFonts w:hint="eastAsia" w:asciiTheme="majorEastAsia" w:hAnsiTheme="majorEastAsia" w:eastAsiaTheme="majorEastAsia"/>
          <w:color w:val="000000" w:themeColor="text1"/>
        </w:rPr>
        <w:t>书面形式：指合同文件、信件和数据电文（包括电报、电传、传真、电子数据交换和电子邮件）等可以有形地表现所载内容的形式。</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1.2</w:t>
      </w:r>
      <w:r>
        <w:rPr>
          <w:rFonts w:hint="eastAsia" w:asciiTheme="majorEastAsia" w:hAnsiTheme="majorEastAsia" w:eastAsiaTheme="majorEastAsia"/>
          <w:b/>
          <w:bCs/>
          <w:color w:val="000000" w:themeColor="text1"/>
          <w:sz w:val="28"/>
          <w:szCs w:val="28"/>
        </w:rPr>
        <w:t>语言文字</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合同使用的语言文字为中文。专用术语使用外文的，应附有中文注释。</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 xml:space="preserve">1.3 </w:t>
      </w:r>
      <w:r>
        <w:rPr>
          <w:rFonts w:hint="eastAsia" w:asciiTheme="majorEastAsia" w:hAnsiTheme="majorEastAsia" w:eastAsiaTheme="majorEastAsia"/>
          <w:b/>
          <w:bCs/>
          <w:color w:val="000000" w:themeColor="text1"/>
          <w:sz w:val="28"/>
          <w:szCs w:val="28"/>
        </w:rPr>
        <w:t>合同文件的优先顺序</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组成合同的各项文件应互相解释，互为说明。除专用合同条款另有约定外，解释合同文件的优先顺序如下：</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1</w:t>
      </w:r>
      <w:r>
        <w:rPr>
          <w:rFonts w:hint="eastAsia" w:asciiTheme="majorEastAsia" w:hAnsiTheme="majorEastAsia" w:eastAsiaTheme="majorEastAsia"/>
          <w:color w:val="000000" w:themeColor="text1"/>
        </w:rPr>
        <w:t>）合同协议书；</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）中标通知书；</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3</w:t>
      </w:r>
      <w:r>
        <w:rPr>
          <w:rFonts w:hint="eastAsia" w:asciiTheme="majorEastAsia" w:hAnsiTheme="majorEastAsia" w:eastAsiaTheme="majorEastAsia"/>
          <w:color w:val="000000" w:themeColor="text1"/>
        </w:rPr>
        <w:t>）投标函；</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4</w:t>
      </w:r>
      <w:r>
        <w:rPr>
          <w:rFonts w:hint="eastAsia" w:asciiTheme="majorEastAsia" w:hAnsiTheme="majorEastAsia" w:eastAsiaTheme="majorEastAsia"/>
          <w:color w:val="000000" w:themeColor="text1"/>
        </w:rPr>
        <w:t>）商务和技术偏差表；</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5</w:t>
      </w:r>
      <w:r>
        <w:rPr>
          <w:rFonts w:hint="eastAsia" w:asciiTheme="majorEastAsia" w:hAnsiTheme="majorEastAsia" w:eastAsiaTheme="majorEastAsia"/>
          <w:color w:val="000000" w:themeColor="text1"/>
        </w:rPr>
        <w:t>）专用合同条款；</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6</w:t>
      </w:r>
      <w:r>
        <w:rPr>
          <w:rFonts w:hint="eastAsia" w:asciiTheme="majorEastAsia" w:hAnsiTheme="majorEastAsia" w:eastAsiaTheme="majorEastAsia"/>
          <w:color w:val="000000" w:themeColor="text1"/>
        </w:rPr>
        <w:t>）通用合同条款；</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7</w:t>
      </w:r>
      <w:r>
        <w:rPr>
          <w:rFonts w:hint="eastAsia" w:asciiTheme="majorEastAsia" w:hAnsiTheme="majorEastAsia" w:eastAsiaTheme="majorEastAsia"/>
          <w:color w:val="000000" w:themeColor="text1"/>
        </w:rPr>
        <w:t>）供货要求；</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8</w:t>
      </w:r>
      <w:r>
        <w:rPr>
          <w:rFonts w:hint="eastAsia" w:asciiTheme="majorEastAsia" w:hAnsiTheme="majorEastAsia" w:eastAsiaTheme="majorEastAsia"/>
          <w:color w:val="000000" w:themeColor="text1"/>
        </w:rPr>
        <w:t>）分项报价表；</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9</w:t>
      </w:r>
      <w:r>
        <w:rPr>
          <w:rFonts w:hint="eastAsia" w:asciiTheme="majorEastAsia" w:hAnsiTheme="majorEastAsia" w:eastAsiaTheme="majorEastAsia"/>
          <w:color w:val="000000" w:themeColor="text1"/>
        </w:rPr>
        <w:t>）中标设备技术性能指标的详细描述；</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10</w:t>
      </w:r>
      <w:r>
        <w:rPr>
          <w:rFonts w:hint="eastAsia" w:asciiTheme="majorEastAsia" w:hAnsiTheme="majorEastAsia" w:eastAsiaTheme="majorEastAsia"/>
          <w:color w:val="000000" w:themeColor="text1"/>
        </w:rPr>
        <w:t>）技术服务和质保期服务计划；</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11</w:t>
      </w:r>
      <w:r>
        <w:rPr>
          <w:rFonts w:hint="eastAsia" w:asciiTheme="majorEastAsia" w:hAnsiTheme="majorEastAsia" w:eastAsiaTheme="majorEastAsia"/>
          <w:color w:val="000000" w:themeColor="text1"/>
        </w:rPr>
        <w:t>）其他合同文件。</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1.4</w:t>
      </w:r>
      <w:r>
        <w:rPr>
          <w:rFonts w:hint="eastAsia" w:asciiTheme="majorEastAsia" w:hAnsiTheme="majorEastAsia" w:eastAsiaTheme="majorEastAsia"/>
          <w:b/>
          <w:bCs/>
          <w:color w:val="000000" w:themeColor="text1"/>
          <w:sz w:val="28"/>
          <w:szCs w:val="28"/>
        </w:rPr>
        <w:t>合同的生效及变更</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1.4.1</w:t>
      </w:r>
      <w:r>
        <w:rPr>
          <w:rFonts w:hint="eastAsia" w:asciiTheme="majorEastAsia" w:hAnsiTheme="majorEastAsia" w:eastAsiaTheme="majorEastAsia"/>
          <w:color w:val="000000" w:themeColor="text1"/>
        </w:rPr>
        <w:t>除专用合同条款另有约定外，买方和卖方的法定代表人（单位负责人）或其授权代表在合同协议书上签字并加盖单位章后，合同生效。</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1.4.2</w:t>
      </w:r>
      <w:r>
        <w:rPr>
          <w:rFonts w:hint="eastAsia" w:asciiTheme="majorEastAsia" w:hAnsiTheme="majorEastAsia" w:eastAsiaTheme="majorEastAsia"/>
          <w:color w:val="000000" w:themeColor="text1"/>
        </w:rPr>
        <w:t>除专用合同条款另有约定外，在合同履行过程中，如需对合同进行变更，双方应签订书面协议，并经双方法定代表人（单位负责人）或其授权代表签字并加盖单位章后生效。</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1.5</w:t>
      </w:r>
      <w:r>
        <w:rPr>
          <w:rFonts w:hint="eastAsia" w:asciiTheme="majorEastAsia" w:hAnsiTheme="majorEastAsia" w:eastAsiaTheme="majorEastAsia"/>
          <w:b/>
          <w:bCs/>
          <w:color w:val="000000" w:themeColor="text1"/>
          <w:sz w:val="28"/>
          <w:szCs w:val="28"/>
        </w:rPr>
        <w:t>联络</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1.5.1</w:t>
      </w:r>
      <w:r>
        <w:rPr>
          <w:rFonts w:hint="eastAsia" w:asciiTheme="majorEastAsia" w:hAnsiTheme="majorEastAsia" w:eastAsiaTheme="majorEastAsia"/>
          <w:color w:val="000000" w:themeColor="text1"/>
        </w:rPr>
        <w:t>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1.5.2</w:t>
      </w:r>
      <w:r>
        <w:rPr>
          <w:rFonts w:hint="eastAsia" w:asciiTheme="majorEastAsia" w:hAnsiTheme="majorEastAsia" w:eastAsiaTheme="majorEastAsia"/>
          <w:color w:val="000000" w:themeColor="text1"/>
        </w:rPr>
        <w:t>合同履行中或与合同有关的任何联络，送达到第</w:t>
      </w:r>
      <w:r>
        <w:rPr>
          <w:rFonts w:asciiTheme="majorEastAsia" w:hAnsiTheme="majorEastAsia" w:eastAsiaTheme="majorEastAsia"/>
          <w:color w:val="000000" w:themeColor="text1"/>
        </w:rPr>
        <w:t xml:space="preserve"> 1.5.1 </w:t>
      </w:r>
      <w:r>
        <w:rPr>
          <w:rFonts w:hint="eastAsia" w:asciiTheme="majorEastAsia" w:hAnsiTheme="majorEastAsia" w:eastAsiaTheme="majorEastAsia"/>
          <w:color w:val="000000" w:themeColor="text1"/>
        </w:rPr>
        <w:t>项指定的联系人即视为送达。</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1.5.3</w:t>
      </w:r>
      <w:r>
        <w:rPr>
          <w:rFonts w:hint="eastAsia" w:asciiTheme="majorEastAsia" w:hAnsiTheme="majorEastAsia" w:eastAsiaTheme="majorEastAsia"/>
          <w:color w:val="000000" w:themeColor="text1"/>
        </w:rPr>
        <w:t>买方可以安排监理等相关人员作为买方人员，与卖方进行联络或参加合同设备的监造（如有）、交货前检验（如有）、开箱检验、安装、调试、考核、验收等，但应按照第</w:t>
      </w:r>
      <w:r>
        <w:rPr>
          <w:rFonts w:asciiTheme="majorEastAsia" w:hAnsiTheme="majorEastAsia" w:eastAsiaTheme="majorEastAsia"/>
          <w:color w:val="000000" w:themeColor="text1"/>
        </w:rPr>
        <w:t xml:space="preserve"> 1.5.1 </w:t>
      </w:r>
      <w:r>
        <w:rPr>
          <w:rFonts w:hint="eastAsia" w:asciiTheme="majorEastAsia" w:hAnsiTheme="majorEastAsia" w:eastAsiaTheme="majorEastAsia"/>
          <w:color w:val="000000" w:themeColor="text1"/>
        </w:rPr>
        <w:t>项的约定事先书面通知卖方。</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1.6</w:t>
      </w:r>
      <w:r>
        <w:rPr>
          <w:rFonts w:hint="eastAsia" w:asciiTheme="majorEastAsia" w:hAnsiTheme="majorEastAsia" w:eastAsiaTheme="majorEastAsia"/>
          <w:b/>
          <w:bCs/>
          <w:color w:val="000000" w:themeColor="text1"/>
          <w:sz w:val="28"/>
          <w:szCs w:val="28"/>
        </w:rPr>
        <w:t>联合体</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1.6.1</w:t>
      </w:r>
      <w:r>
        <w:rPr>
          <w:rFonts w:hint="eastAsia" w:asciiTheme="majorEastAsia" w:hAnsiTheme="majorEastAsia" w:eastAsiaTheme="majorEastAsia"/>
          <w:color w:val="000000" w:themeColor="text1"/>
        </w:rPr>
        <w:t>卖方为联合体的，联合体各方应当共同与买方签订合同，并向买方为履行合同承担连带责任。</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1.6.2</w:t>
      </w:r>
      <w:r>
        <w:rPr>
          <w:rFonts w:hint="eastAsia" w:asciiTheme="majorEastAsia" w:hAnsiTheme="majorEastAsia" w:eastAsiaTheme="majorEastAsia"/>
          <w:color w:val="000000" w:themeColor="text1"/>
        </w:rPr>
        <w:t>在合同履行过程中，未经买方同意，不得修改联合体协议。联合体协议中关于联合体成员间权利义务的划分，并不影响或减损联合体各方应就履行合同向买方承担的连带责任。</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1.6.3</w:t>
      </w:r>
      <w:r>
        <w:rPr>
          <w:rFonts w:hint="eastAsia" w:asciiTheme="majorEastAsia" w:hAnsiTheme="majorEastAsia" w:eastAsiaTheme="majorEastAsia"/>
          <w:color w:val="000000" w:themeColor="text1"/>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1.7</w:t>
      </w:r>
      <w:r>
        <w:rPr>
          <w:rFonts w:hint="eastAsia" w:asciiTheme="majorEastAsia" w:hAnsiTheme="majorEastAsia" w:eastAsiaTheme="majorEastAsia"/>
          <w:b/>
          <w:bCs/>
          <w:color w:val="000000" w:themeColor="text1"/>
          <w:sz w:val="28"/>
          <w:szCs w:val="28"/>
        </w:rPr>
        <w:t>转让</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未经对方当事人书面同意，合同任何一方均不得转让其在合同项下的权利和（或）义务。</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 xml:space="preserve">2. </w:t>
      </w:r>
      <w:r>
        <w:rPr>
          <w:rFonts w:hint="eastAsia" w:asciiTheme="majorEastAsia" w:hAnsiTheme="majorEastAsia" w:eastAsiaTheme="majorEastAsia"/>
          <w:b/>
          <w:bCs/>
          <w:color w:val="000000" w:themeColor="text1"/>
          <w:sz w:val="32"/>
          <w:szCs w:val="32"/>
        </w:rPr>
        <w:t>合同范围</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卖方应根据供货要求、中标设备技术性能指标的详细描述、技术服务和质保期服务计划等合同文件的约定向买方提供合同设备、技术服务和质保期服务。</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3.</w:t>
      </w:r>
      <w:r>
        <w:rPr>
          <w:rFonts w:hint="eastAsia" w:asciiTheme="majorEastAsia" w:hAnsiTheme="majorEastAsia" w:eastAsiaTheme="majorEastAsia"/>
          <w:b/>
          <w:bCs/>
          <w:color w:val="000000" w:themeColor="text1"/>
          <w:sz w:val="32"/>
          <w:szCs w:val="32"/>
        </w:rPr>
        <w:t>合同价格与支付</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3.1</w:t>
      </w:r>
      <w:r>
        <w:rPr>
          <w:rFonts w:hint="eastAsia" w:asciiTheme="majorEastAsia" w:hAnsiTheme="majorEastAsia" w:eastAsiaTheme="majorEastAsia"/>
          <w:b/>
          <w:bCs/>
          <w:color w:val="000000" w:themeColor="text1"/>
          <w:sz w:val="28"/>
          <w:szCs w:val="28"/>
        </w:rPr>
        <w:t>合同价格</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3.1.1</w:t>
      </w:r>
      <w:r>
        <w:rPr>
          <w:rFonts w:hint="eastAsia" w:asciiTheme="majorEastAsia" w:hAnsiTheme="majorEastAsia" w:eastAsiaTheme="majorEastAsia"/>
          <w:color w:val="000000" w:themeColor="text1"/>
        </w:rPr>
        <w:t>合同协议书中载明的签约合同价包括卖方为完成合同全部义务应承担的一切成本、费用和支出以及卖方的合理利润。</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3.1.2</w:t>
      </w:r>
      <w:r>
        <w:rPr>
          <w:rFonts w:hint="eastAsia" w:asciiTheme="majorEastAsia" w:hAnsiTheme="majorEastAsia" w:eastAsiaTheme="majorEastAsia"/>
          <w:color w:val="000000" w:themeColor="text1"/>
        </w:rPr>
        <w:t>除专用合同条款另有约定外，签约合同价为固定价格。</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3.2</w:t>
      </w:r>
      <w:r>
        <w:rPr>
          <w:rFonts w:hint="eastAsia" w:asciiTheme="majorEastAsia" w:hAnsiTheme="majorEastAsia" w:eastAsiaTheme="majorEastAsia"/>
          <w:b/>
          <w:bCs/>
          <w:color w:val="000000" w:themeColor="text1"/>
          <w:sz w:val="28"/>
          <w:szCs w:val="28"/>
        </w:rPr>
        <w:t>合同价款的支付</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除专用合同条款另有约定外，买方应通过以下方式和比例向卖方支付合同价款：</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 xml:space="preserve">3.2.1 </w:t>
      </w:r>
      <w:r>
        <w:rPr>
          <w:rFonts w:hint="eastAsia" w:asciiTheme="majorEastAsia" w:hAnsiTheme="majorEastAsia" w:eastAsiaTheme="majorEastAsia"/>
          <w:color w:val="000000" w:themeColor="text1"/>
        </w:rPr>
        <w:t>预付款</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合同生效后，买方在收到卖方开具的注明应付预付款金额的财务收据正本一份并经审核无误后</w:t>
      </w:r>
      <w:r>
        <w:rPr>
          <w:rFonts w:asciiTheme="majorEastAsia" w:hAnsiTheme="majorEastAsia" w:eastAsiaTheme="majorEastAsia"/>
          <w:color w:val="000000" w:themeColor="text1"/>
        </w:rPr>
        <w:t xml:space="preserve"> 28 </w:t>
      </w:r>
      <w:r>
        <w:rPr>
          <w:rFonts w:hint="eastAsia" w:asciiTheme="majorEastAsia" w:hAnsiTheme="majorEastAsia" w:eastAsiaTheme="majorEastAsia"/>
          <w:color w:val="000000" w:themeColor="text1"/>
        </w:rPr>
        <w:t>日内，向卖方支付签约合同价的</w:t>
      </w:r>
      <w:r>
        <w:rPr>
          <w:rFonts w:asciiTheme="majorEastAsia" w:hAnsiTheme="majorEastAsia" w:eastAsiaTheme="majorEastAsia"/>
          <w:color w:val="000000" w:themeColor="text1"/>
        </w:rPr>
        <w:t xml:space="preserve"> 10%</w:t>
      </w:r>
      <w:r>
        <w:rPr>
          <w:rFonts w:hint="eastAsia" w:asciiTheme="majorEastAsia" w:hAnsiTheme="majorEastAsia" w:eastAsiaTheme="majorEastAsia"/>
          <w:color w:val="000000" w:themeColor="text1"/>
        </w:rPr>
        <w:t>作为预付款。</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买方支付预付款后，如卖方未履行合同义务，则买方有权收回预付款；如卖方依约履行了合同义务，则预付款抵作合同价款。</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 xml:space="preserve">3.2.2 </w:t>
      </w:r>
      <w:r>
        <w:rPr>
          <w:rFonts w:hint="eastAsia" w:asciiTheme="majorEastAsia" w:hAnsiTheme="majorEastAsia" w:eastAsiaTheme="majorEastAsia"/>
          <w:color w:val="000000" w:themeColor="text1"/>
        </w:rPr>
        <w:t>交货款</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卖方按合同约定交付全部合同设备后，买方在收到卖方提交的下列全部单据并经审核无误后</w:t>
      </w:r>
      <w:r>
        <w:rPr>
          <w:rFonts w:asciiTheme="majorEastAsia" w:hAnsiTheme="majorEastAsia" w:eastAsiaTheme="majorEastAsia"/>
          <w:color w:val="000000" w:themeColor="text1"/>
        </w:rPr>
        <w:t xml:space="preserve"> 28 </w:t>
      </w:r>
      <w:r>
        <w:rPr>
          <w:rFonts w:hint="eastAsia" w:asciiTheme="majorEastAsia" w:hAnsiTheme="majorEastAsia" w:eastAsiaTheme="majorEastAsia"/>
          <w:color w:val="000000" w:themeColor="text1"/>
        </w:rPr>
        <w:t>日内，向卖方支付合同价格的</w:t>
      </w:r>
      <w:r>
        <w:rPr>
          <w:rFonts w:asciiTheme="majorEastAsia" w:hAnsiTheme="majorEastAsia" w:eastAsiaTheme="majorEastAsia"/>
          <w:color w:val="000000" w:themeColor="text1"/>
        </w:rPr>
        <w:t xml:space="preserve"> 60%</w:t>
      </w:r>
      <w:r>
        <w:rPr>
          <w:rFonts w:hint="eastAsia" w:asciiTheme="majorEastAsia" w:hAnsiTheme="majorEastAsia" w:eastAsiaTheme="majorEastAsia"/>
          <w:color w:val="000000" w:themeColor="text1"/>
        </w:rPr>
        <w:t>：</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1</w:t>
      </w:r>
      <w:r>
        <w:rPr>
          <w:rFonts w:hint="eastAsia" w:asciiTheme="majorEastAsia" w:hAnsiTheme="majorEastAsia" w:eastAsiaTheme="majorEastAsia"/>
          <w:color w:val="000000" w:themeColor="text1"/>
        </w:rPr>
        <w:t>）卖方出具的交货清单正本一份；</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）买方签署的收货清单正本一份；</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3</w:t>
      </w:r>
      <w:r>
        <w:rPr>
          <w:rFonts w:hint="eastAsia" w:asciiTheme="majorEastAsia" w:hAnsiTheme="majorEastAsia" w:eastAsiaTheme="majorEastAsia"/>
          <w:color w:val="000000" w:themeColor="text1"/>
        </w:rPr>
        <w:t>）制造商出具的出厂质量合格证正本一份；</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4</w:t>
      </w:r>
      <w:r>
        <w:rPr>
          <w:rFonts w:hint="eastAsia" w:asciiTheme="majorEastAsia" w:hAnsiTheme="majorEastAsia" w:eastAsiaTheme="majorEastAsia"/>
          <w:color w:val="000000" w:themeColor="text1"/>
        </w:rPr>
        <w:t>）合同价格</w:t>
      </w:r>
      <w:r>
        <w:rPr>
          <w:rFonts w:asciiTheme="majorEastAsia" w:hAnsiTheme="majorEastAsia" w:eastAsiaTheme="majorEastAsia"/>
          <w:color w:val="000000" w:themeColor="text1"/>
        </w:rPr>
        <w:t>100%</w:t>
      </w:r>
      <w:r>
        <w:rPr>
          <w:rFonts w:hint="eastAsia" w:asciiTheme="majorEastAsia" w:hAnsiTheme="majorEastAsia" w:eastAsiaTheme="majorEastAsia"/>
          <w:color w:val="000000" w:themeColor="text1"/>
        </w:rPr>
        <w:t>金额的增值税发票正本一份。</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 xml:space="preserve">3.2.3 </w:t>
      </w:r>
      <w:r>
        <w:rPr>
          <w:rFonts w:hint="eastAsia" w:asciiTheme="majorEastAsia" w:hAnsiTheme="majorEastAsia" w:eastAsiaTheme="majorEastAsia"/>
          <w:color w:val="000000" w:themeColor="text1"/>
        </w:rPr>
        <w:t>验收款</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买方在收到卖方提交的买卖双方签署的合同设备验收证书或已生效的验收款支付函正本一份并经审核无误后</w:t>
      </w:r>
      <w:r>
        <w:rPr>
          <w:rFonts w:asciiTheme="majorEastAsia" w:hAnsiTheme="majorEastAsia" w:eastAsiaTheme="majorEastAsia"/>
          <w:color w:val="000000" w:themeColor="text1"/>
        </w:rPr>
        <w:t xml:space="preserve"> 28 </w:t>
      </w:r>
      <w:r>
        <w:rPr>
          <w:rFonts w:hint="eastAsia" w:asciiTheme="majorEastAsia" w:hAnsiTheme="majorEastAsia" w:eastAsiaTheme="majorEastAsia"/>
          <w:color w:val="000000" w:themeColor="text1"/>
        </w:rPr>
        <w:t>日内，向卖方支付合同价格的</w:t>
      </w:r>
      <w:r>
        <w:rPr>
          <w:rFonts w:asciiTheme="majorEastAsia" w:hAnsiTheme="majorEastAsia" w:eastAsiaTheme="majorEastAsia"/>
          <w:color w:val="000000" w:themeColor="text1"/>
        </w:rPr>
        <w:t xml:space="preserve"> 25%</w:t>
      </w:r>
      <w:r>
        <w:rPr>
          <w:rFonts w:hint="eastAsia" w:asciiTheme="majorEastAsia" w:hAnsiTheme="majorEastAsia" w:eastAsiaTheme="majorEastAsia"/>
          <w:color w:val="000000" w:themeColor="text1"/>
        </w:rPr>
        <w:t>。</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 xml:space="preserve">3.2.4 </w:t>
      </w:r>
      <w:r>
        <w:rPr>
          <w:rFonts w:hint="eastAsia" w:asciiTheme="majorEastAsia" w:hAnsiTheme="majorEastAsia" w:eastAsiaTheme="majorEastAsia"/>
          <w:color w:val="000000" w:themeColor="text1"/>
        </w:rPr>
        <w:t>结清款</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买方在收到卖方提交的买方签署的质量保证期届满证书或已生效的结清款支付函正本一份并经审核无误后</w:t>
      </w:r>
      <w:r>
        <w:rPr>
          <w:rFonts w:asciiTheme="majorEastAsia" w:hAnsiTheme="majorEastAsia" w:eastAsiaTheme="majorEastAsia"/>
          <w:color w:val="000000" w:themeColor="text1"/>
        </w:rPr>
        <w:t xml:space="preserve"> 28 </w:t>
      </w:r>
      <w:r>
        <w:rPr>
          <w:rFonts w:hint="eastAsia" w:asciiTheme="majorEastAsia" w:hAnsiTheme="majorEastAsia" w:eastAsiaTheme="majorEastAsia"/>
          <w:color w:val="000000" w:themeColor="text1"/>
        </w:rPr>
        <w:t>日内，向卖方支付合同价格的</w:t>
      </w:r>
      <w:r>
        <w:rPr>
          <w:rFonts w:asciiTheme="majorEastAsia" w:hAnsiTheme="majorEastAsia" w:eastAsiaTheme="majorEastAsia"/>
          <w:color w:val="000000" w:themeColor="text1"/>
        </w:rPr>
        <w:t xml:space="preserve"> 5%</w:t>
      </w:r>
      <w:r>
        <w:rPr>
          <w:rFonts w:hint="eastAsia" w:asciiTheme="majorEastAsia" w:hAnsiTheme="majorEastAsia" w:eastAsiaTheme="majorEastAsia"/>
          <w:color w:val="000000" w:themeColor="text1"/>
        </w:rPr>
        <w:t>。</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如果依照合同第</w:t>
      </w:r>
      <w:r>
        <w:rPr>
          <w:rFonts w:asciiTheme="majorEastAsia" w:hAnsiTheme="majorEastAsia" w:eastAsiaTheme="majorEastAsia"/>
          <w:color w:val="000000" w:themeColor="text1"/>
        </w:rPr>
        <w:t xml:space="preserve"> 9.1 </w:t>
      </w:r>
      <w:r>
        <w:rPr>
          <w:rFonts w:hint="eastAsia" w:asciiTheme="majorEastAsia" w:hAnsiTheme="majorEastAsia" w:eastAsiaTheme="majorEastAsia"/>
          <w:color w:val="000000" w:themeColor="text1"/>
        </w:rPr>
        <w:t>项，卖方应向买方支付费用的，买方有权从结清款中直接扣除该笔费用。</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除专用合同条款另有约定外，在买方向卖方支付验收款的同时或其后的任何时间内，卖方可在向买方提交买方可接受的金额为合同价格</w:t>
      </w:r>
      <w:r>
        <w:rPr>
          <w:rFonts w:asciiTheme="majorEastAsia" w:hAnsiTheme="majorEastAsia" w:eastAsiaTheme="majorEastAsia"/>
          <w:color w:val="000000" w:themeColor="text1"/>
        </w:rPr>
        <w:t xml:space="preserve"> 5%</w:t>
      </w:r>
      <w:r>
        <w:rPr>
          <w:rFonts w:hint="eastAsia" w:asciiTheme="majorEastAsia" w:hAnsiTheme="majorEastAsia" w:eastAsiaTheme="majorEastAsia"/>
          <w:color w:val="000000" w:themeColor="text1"/>
        </w:rPr>
        <w:t>的合同结清款保函的前提下，要求买方支付合同结清款，买方不得拒绝。</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 xml:space="preserve">3.3 </w:t>
      </w:r>
      <w:r>
        <w:rPr>
          <w:rFonts w:hint="eastAsia" w:asciiTheme="majorEastAsia" w:hAnsiTheme="majorEastAsia" w:eastAsiaTheme="majorEastAsia"/>
          <w:b/>
          <w:bCs/>
          <w:color w:val="000000" w:themeColor="text1"/>
          <w:sz w:val="28"/>
          <w:szCs w:val="28"/>
        </w:rPr>
        <w:t>买方扣款的权利</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当卖方应向买方支付合同项下的违约金或赔偿金时，买方有权从上述任何一笔应付款中予以直接扣除和（或）兑付履约保证金。</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 xml:space="preserve">4. </w:t>
      </w:r>
      <w:r>
        <w:rPr>
          <w:rFonts w:hint="eastAsia" w:asciiTheme="majorEastAsia" w:hAnsiTheme="majorEastAsia" w:eastAsiaTheme="majorEastAsia"/>
          <w:b/>
          <w:bCs/>
          <w:color w:val="000000" w:themeColor="text1"/>
          <w:sz w:val="32"/>
          <w:szCs w:val="32"/>
        </w:rPr>
        <w:t>监造及交货前检验</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 xml:space="preserve">4.1 </w:t>
      </w:r>
      <w:r>
        <w:rPr>
          <w:rFonts w:hint="eastAsia" w:asciiTheme="majorEastAsia" w:hAnsiTheme="majorEastAsia" w:eastAsiaTheme="majorEastAsia"/>
          <w:b/>
          <w:bCs/>
          <w:color w:val="000000" w:themeColor="text1"/>
          <w:sz w:val="28"/>
          <w:szCs w:val="28"/>
        </w:rPr>
        <w:t>监造</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专用合同条款约定买方对合同设备进行监造的，双方应按本款及专用合同条款约定履行。</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 xml:space="preserve">4.1.1 </w:t>
      </w:r>
      <w:r>
        <w:rPr>
          <w:rFonts w:hint="eastAsia" w:asciiTheme="majorEastAsia" w:hAnsiTheme="majorEastAsia" w:eastAsiaTheme="majorEastAsia"/>
          <w:color w:val="000000" w:themeColor="text1"/>
        </w:rPr>
        <w:t>在合同设备的制造过程中，买方可派出监造人员，对合同设备的生产制造进行监造，监督合同设备制造、检验等情况。监造的范围、方式等应符合专用合同条款和（或）供货要求等合同文件的约定。</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4.1.2</w:t>
      </w:r>
      <w:r>
        <w:rPr>
          <w:rFonts w:hint="eastAsia" w:asciiTheme="majorEastAsia" w:hAnsiTheme="majorEastAsia" w:eastAsiaTheme="majorEastAsia"/>
          <w:color w:val="000000" w:themeColor="text1"/>
        </w:rPr>
        <w:t>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4.1.3</w:t>
      </w:r>
      <w:r>
        <w:rPr>
          <w:rFonts w:hint="eastAsia" w:asciiTheme="majorEastAsia" w:hAnsiTheme="majorEastAsia" w:eastAsiaTheme="majorEastAsia"/>
          <w:color w:val="000000" w:themeColor="text1"/>
        </w:rPr>
        <w:t>卖方制订生产制造合同设备的进度计划时，应将买方监造纳入计划安排，并提前通知买方；买方进行监造不应影响合同设备的正常生产。除专用合同条款和（或）供货要求等合同文件另有约定外，卖方应提前</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日将需要买方监造人员现场监造事项通知买方；如买方监造人员未按通知出席，不影响合同设备及其关键部件的制造或检验，但买方监造人员有权事后了解、查阅、复制相关制造或检验记录。</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4.1.4</w:t>
      </w:r>
      <w:r>
        <w:rPr>
          <w:rFonts w:hint="eastAsia" w:asciiTheme="majorEastAsia" w:hAnsiTheme="majorEastAsia" w:eastAsiaTheme="majorEastAsia"/>
          <w:color w:val="000000" w:themeColor="text1"/>
        </w:rPr>
        <w:t>买方监造人员在监造中如发现合同设备及其关键部件不符合合同约定的标准，则有权提出意见和建议。卖方应采取必要措施消除合同设备的不符，由此增加的费用和（或）造成的延误由卖方负责。</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4.1.5</w:t>
      </w:r>
      <w:r>
        <w:rPr>
          <w:rFonts w:hint="eastAsia" w:asciiTheme="majorEastAsia" w:hAnsiTheme="majorEastAsia" w:eastAsiaTheme="majorEastAsia"/>
          <w:color w:val="000000" w:themeColor="text1"/>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4.2</w:t>
      </w:r>
      <w:r>
        <w:rPr>
          <w:rFonts w:hint="eastAsia" w:asciiTheme="majorEastAsia" w:hAnsiTheme="majorEastAsia" w:eastAsiaTheme="majorEastAsia"/>
          <w:b/>
          <w:bCs/>
          <w:color w:val="000000" w:themeColor="text1"/>
          <w:sz w:val="28"/>
          <w:szCs w:val="28"/>
        </w:rPr>
        <w:t>交货前检验</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专用合同条款约定买方参与交货前检验的，双方应按本款及专用合同条款约定履行。</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4.2.1</w:t>
      </w:r>
      <w:r>
        <w:rPr>
          <w:rFonts w:hint="eastAsia" w:asciiTheme="majorEastAsia" w:hAnsiTheme="majorEastAsia" w:eastAsiaTheme="majorEastAsia"/>
          <w:color w:val="000000" w:themeColor="text1"/>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4.2.2</w:t>
      </w:r>
      <w:r>
        <w:rPr>
          <w:rFonts w:hint="eastAsia" w:asciiTheme="majorEastAsia" w:hAnsiTheme="majorEastAsia" w:eastAsiaTheme="majorEastAsia"/>
          <w:color w:val="000000" w:themeColor="text1"/>
        </w:rPr>
        <w:t>除专用合同条款和（或）供货要求等合同文件另有约定外，卖方应提前</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4.2.3</w:t>
      </w:r>
      <w:r>
        <w:rPr>
          <w:rFonts w:hint="eastAsia" w:asciiTheme="majorEastAsia" w:hAnsiTheme="majorEastAsia" w:eastAsiaTheme="majorEastAsia"/>
          <w:color w:val="000000" w:themeColor="text1"/>
        </w:rPr>
        <w:t>买方代表在检验中如发现合同设备不符合合同约定的标准，则有权提出异议。卖方应采取必要措施消除合同设备的不符，由此增加的费用和（或）造成的延误由卖方负责。</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4.2.4</w:t>
      </w:r>
      <w:r>
        <w:rPr>
          <w:rFonts w:hint="eastAsia" w:asciiTheme="majorEastAsia" w:hAnsiTheme="majorEastAsia" w:eastAsiaTheme="majorEastAsia"/>
          <w:color w:val="000000" w:themeColor="text1"/>
        </w:rPr>
        <w:t>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5.</w:t>
      </w:r>
      <w:r>
        <w:rPr>
          <w:rFonts w:hint="eastAsia" w:asciiTheme="majorEastAsia" w:hAnsiTheme="majorEastAsia" w:eastAsiaTheme="majorEastAsia"/>
          <w:b/>
          <w:bCs/>
          <w:color w:val="000000" w:themeColor="text1"/>
          <w:sz w:val="32"/>
          <w:szCs w:val="32"/>
        </w:rPr>
        <w:t>包装、标记、运输和交付</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5.1</w:t>
      </w:r>
      <w:r>
        <w:rPr>
          <w:rFonts w:hint="eastAsia" w:asciiTheme="majorEastAsia" w:hAnsiTheme="majorEastAsia" w:eastAsiaTheme="majorEastAsia"/>
          <w:b/>
          <w:bCs/>
          <w:color w:val="000000" w:themeColor="text1"/>
          <w:sz w:val="28"/>
          <w:szCs w:val="28"/>
        </w:rPr>
        <w:t>包装</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5.1.1</w:t>
      </w:r>
      <w:r>
        <w:rPr>
          <w:rFonts w:hint="eastAsia" w:asciiTheme="majorEastAsia" w:hAnsiTheme="majorEastAsia" w:eastAsiaTheme="majorEastAsia"/>
          <w:color w:val="000000" w:themeColor="text1"/>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5.1.2</w:t>
      </w:r>
      <w:r>
        <w:rPr>
          <w:rFonts w:hint="eastAsia" w:asciiTheme="majorEastAsia" w:hAnsiTheme="majorEastAsia" w:eastAsiaTheme="majorEastAsia"/>
          <w:color w:val="000000" w:themeColor="text1"/>
        </w:rPr>
        <w:t>每个独立包装箱内应附装箱清单、质量合格证、装配图、说明书、操作指南等资料。</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5.1.3</w:t>
      </w:r>
      <w:r>
        <w:rPr>
          <w:rFonts w:hint="eastAsia" w:asciiTheme="majorEastAsia" w:hAnsiTheme="majorEastAsia" w:eastAsiaTheme="majorEastAsia"/>
          <w:color w:val="000000" w:themeColor="text1"/>
        </w:rPr>
        <w:t>除专用合同条款另有约定外，买方无需将包装物退还给卖方。</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5.2</w:t>
      </w:r>
      <w:r>
        <w:rPr>
          <w:rFonts w:hint="eastAsia" w:asciiTheme="majorEastAsia" w:hAnsiTheme="majorEastAsia" w:eastAsiaTheme="majorEastAsia"/>
          <w:b/>
          <w:bCs/>
          <w:color w:val="000000" w:themeColor="text1"/>
          <w:sz w:val="28"/>
          <w:szCs w:val="28"/>
        </w:rPr>
        <w:t>标记</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5.2.1</w:t>
      </w:r>
      <w:r>
        <w:rPr>
          <w:rFonts w:hint="eastAsia" w:asciiTheme="majorEastAsia" w:hAnsiTheme="majorEastAsia" w:eastAsiaTheme="majorEastAsia"/>
          <w:color w:val="000000" w:themeColor="text1"/>
        </w:rPr>
        <w:t>除专用合同条款另有约定外，卖方应在每一包装箱相邻的四个侧面以不可擦除的、明显的方式标记必要的装运信息和标记，以满足合同设备运输和保管的需要。</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5.2.2</w:t>
      </w:r>
      <w:r>
        <w:rPr>
          <w:rFonts w:hint="eastAsia" w:asciiTheme="majorEastAsia" w:hAnsiTheme="majorEastAsia" w:eastAsiaTheme="majorEastAsia"/>
          <w:color w:val="000000" w:themeColor="text1"/>
        </w:rPr>
        <w:t>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5.3</w:t>
      </w:r>
      <w:r>
        <w:rPr>
          <w:rFonts w:hint="eastAsia" w:asciiTheme="majorEastAsia" w:hAnsiTheme="majorEastAsia" w:eastAsiaTheme="majorEastAsia"/>
          <w:b/>
          <w:bCs/>
          <w:color w:val="000000" w:themeColor="text1"/>
          <w:sz w:val="28"/>
          <w:szCs w:val="28"/>
        </w:rPr>
        <w:t>运输</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5.3.1</w:t>
      </w:r>
      <w:r>
        <w:rPr>
          <w:rFonts w:hint="eastAsia" w:asciiTheme="majorEastAsia" w:hAnsiTheme="majorEastAsia" w:eastAsiaTheme="majorEastAsia"/>
          <w:color w:val="000000" w:themeColor="text1"/>
        </w:rPr>
        <w:t>卖方应自行选择适宜的运输工具及线路安排合同设备运输。</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5.3.2</w:t>
      </w:r>
      <w:r>
        <w:rPr>
          <w:rFonts w:hint="eastAsia" w:asciiTheme="majorEastAsia" w:hAnsiTheme="majorEastAsia" w:eastAsiaTheme="majorEastAsia"/>
          <w:color w:val="000000" w:themeColor="text1"/>
        </w:rPr>
        <w:t>除专用合同条款另有约定外，每件能够独立运行的设备应整套装运。该设备安装、调试、考核和运行所使用的备品、备件、易损易耗件等应随相关的主机一齐装运。</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5.3.3</w:t>
      </w:r>
      <w:r>
        <w:rPr>
          <w:rFonts w:hint="eastAsia" w:asciiTheme="majorEastAsia" w:hAnsiTheme="majorEastAsia" w:eastAsiaTheme="majorEastAsia"/>
          <w:color w:val="000000" w:themeColor="text1"/>
        </w:rPr>
        <w:t>除专用合同条款另有约定外，卖方应在合同设备预计启运</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日前，将合同设备名称、数量、箱数、总毛重、总体积（用</w:t>
      </w:r>
      <w:r>
        <w:rPr>
          <w:rFonts w:asciiTheme="majorEastAsia" w:hAnsiTheme="majorEastAsia" w:eastAsiaTheme="majorEastAsia"/>
          <w:color w:val="000000" w:themeColor="text1"/>
        </w:rPr>
        <w:t xml:space="preserve"> m3 </w:t>
      </w:r>
      <w:r>
        <w:rPr>
          <w:rFonts w:hint="eastAsia" w:asciiTheme="majorEastAsia" w:hAnsiTheme="majorEastAsia" w:eastAsiaTheme="majorEastAsia"/>
          <w:color w:val="000000" w:themeColor="text1"/>
        </w:rPr>
        <w:t>表示）、每箱尺寸（长×宽×高）、装运合同设备总金额、运输方式、预计交付日期和合同设备在运输、装卸、保管中的注意事项等预通知买方，并在合同设备启运后</w:t>
      </w:r>
      <w:r>
        <w:rPr>
          <w:rFonts w:asciiTheme="majorEastAsia" w:hAnsiTheme="majorEastAsia" w:eastAsiaTheme="majorEastAsia"/>
          <w:color w:val="000000" w:themeColor="text1"/>
        </w:rPr>
        <w:t xml:space="preserve"> 24 </w:t>
      </w:r>
      <w:r>
        <w:rPr>
          <w:rFonts w:hint="eastAsia" w:asciiTheme="majorEastAsia" w:hAnsiTheme="majorEastAsia" w:eastAsiaTheme="majorEastAsia"/>
          <w:color w:val="000000" w:themeColor="text1"/>
        </w:rPr>
        <w:t>小时之内正式通知买方。</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5.3.4</w:t>
      </w:r>
      <w:r>
        <w:rPr>
          <w:rFonts w:hint="eastAsia" w:asciiTheme="majorEastAsia" w:hAnsiTheme="majorEastAsia" w:eastAsiaTheme="majorEastAsia"/>
          <w:color w:val="000000" w:themeColor="text1"/>
        </w:rPr>
        <w:t>卖方在根据第</w:t>
      </w:r>
      <w:r>
        <w:rPr>
          <w:rFonts w:asciiTheme="majorEastAsia" w:hAnsiTheme="majorEastAsia" w:eastAsiaTheme="majorEastAsia"/>
          <w:color w:val="000000" w:themeColor="text1"/>
        </w:rPr>
        <w:t xml:space="preserve"> 5.3.3 </w:t>
      </w:r>
      <w:r>
        <w:rPr>
          <w:rFonts w:hint="eastAsia" w:asciiTheme="majorEastAsia" w:hAnsiTheme="majorEastAsia" w:eastAsiaTheme="majorEastAsia"/>
          <w:color w:val="000000" w:themeColor="text1"/>
        </w:rPr>
        <w:t>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5.4</w:t>
      </w:r>
      <w:r>
        <w:rPr>
          <w:rFonts w:hint="eastAsia" w:asciiTheme="majorEastAsia" w:hAnsiTheme="majorEastAsia" w:eastAsiaTheme="majorEastAsia"/>
          <w:b/>
          <w:bCs/>
          <w:color w:val="000000" w:themeColor="text1"/>
          <w:sz w:val="28"/>
          <w:szCs w:val="28"/>
        </w:rPr>
        <w:t>交付</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5.4.1</w:t>
      </w:r>
      <w:r>
        <w:rPr>
          <w:rFonts w:hint="eastAsia" w:asciiTheme="majorEastAsia" w:hAnsiTheme="majorEastAsia" w:eastAsiaTheme="majorEastAsia"/>
          <w:color w:val="000000" w:themeColor="text1"/>
        </w:rPr>
        <w:t>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5.4.2</w:t>
      </w:r>
      <w:r>
        <w:rPr>
          <w:rFonts w:hint="eastAsia" w:asciiTheme="majorEastAsia" w:hAnsiTheme="majorEastAsia" w:eastAsiaTheme="majorEastAsia"/>
          <w:color w:val="000000" w:themeColor="text1"/>
        </w:rPr>
        <w:t>合同设备的所有权和风险自交付时起由卖方转移至买方，合同设备交付给买方之前包括运输在内的所有风险均由卖方承担。</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5.4.3</w:t>
      </w:r>
      <w:r>
        <w:rPr>
          <w:rFonts w:hint="eastAsia" w:asciiTheme="majorEastAsia" w:hAnsiTheme="majorEastAsia" w:eastAsiaTheme="majorEastAsia"/>
          <w:color w:val="000000" w:themeColor="text1"/>
        </w:rPr>
        <w:t>除专用合同条款另有约定外，买方如果发现技术资料存在短缺和（或）损坏，卖方应在收到买方的通知后</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日内免费补齐短缺和（或）损坏的部分。如果买方发现卖方提供的技术资料有误，卖方应在收到买方通知后</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日内免费替换。如由于买方原因导致技术资料丢失和（或）损坏，卖方应在收到买方的通知后</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日内补齐丢失和（或）损坏的部分，但买方应向卖方支付合理的复制、邮寄费用。</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6.</w:t>
      </w:r>
      <w:r>
        <w:rPr>
          <w:rFonts w:hint="eastAsia" w:asciiTheme="majorEastAsia" w:hAnsiTheme="majorEastAsia" w:eastAsiaTheme="majorEastAsia"/>
          <w:b/>
          <w:bCs/>
          <w:color w:val="000000" w:themeColor="text1"/>
          <w:sz w:val="32"/>
          <w:szCs w:val="32"/>
        </w:rPr>
        <w:t>开箱检验、安装、调试、考核、验收</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6.1</w:t>
      </w:r>
      <w:r>
        <w:rPr>
          <w:rFonts w:hint="eastAsia" w:asciiTheme="majorEastAsia" w:hAnsiTheme="majorEastAsia" w:eastAsiaTheme="majorEastAsia"/>
          <w:b/>
          <w:bCs/>
          <w:color w:val="000000" w:themeColor="text1"/>
          <w:sz w:val="28"/>
          <w:szCs w:val="28"/>
        </w:rPr>
        <w:t>开箱检验</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6.1.1</w:t>
      </w:r>
      <w:r>
        <w:rPr>
          <w:rFonts w:hint="eastAsia" w:asciiTheme="majorEastAsia" w:hAnsiTheme="majorEastAsia" w:eastAsiaTheme="majorEastAsia"/>
          <w:color w:val="000000" w:themeColor="text1"/>
        </w:rPr>
        <w:t>合同设备交付后应进行开箱检验，即合同设备数量及外观检验。开箱检验在专用合同条款约定的下列任一种时间进行：</w:t>
      </w:r>
    </w:p>
    <w:p>
      <w:pPr>
        <w:widowControl/>
        <w:numPr>
          <w:ilvl w:val="0"/>
          <w:numId w:val="4"/>
        </w:num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合同设备交付时；</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）合同设备交付后的一定期限内。</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如开箱检验不在合同设备交付时进行，买方应在开箱检验</w:t>
      </w:r>
      <w:r>
        <w:rPr>
          <w:rFonts w:asciiTheme="majorEastAsia" w:hAnsiTheme="majorEastAsia" w:eastAsiaTheme="majorEastAsia"/>
          <w:color w:val="000000" w:themeColor="text1"/>
        </w:rPr>
        <w:t xml:space="preserve"> 3 </w:t>
      </w:r>
      <w:r>
        <w:rPr>
          <w:rFonts w:hint="eastAsia" w:asciiTheme="majorEastAsia" w:hAnsiTheme="majorEastAsia" w:eastAsiaTheme="majorEastAsia"/>
          <w:color w:val="000000" w:themeColor="text1"/>
        </w:rPr>
        <w:t>日前将开箱检验的时间和地点通知卖方。</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6.1.2</w:t>
      </w:r>
      <w:r>
        <w:rPr>
          <w:rFonts w:hint="eastAsia" w:asciiTheme="majorEastAsia" w:hAnsiTheme="majorEastAsia" w:eastAsiaTheme="majorEastAsia"/>
          <w:color w:val="000000" w:themeColor="text1"/>
        </w:rPr>
        <w:t>除专用合同条款另有约定外，合同设备的开箱检验应在施工场地进行。</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6.1.3</w:t>
      </w:r>
      <w:r>
        <w:rPr>
          <w:rFonts w:hint="eastAsia" w:asciiTheme="majorEastAsia" w:hAnsiTheme="majorEastAsia" w:eastAsiaTheme="majorEastAsia"/>
          <w:color w:val="000000" w:themeColor="text1"/>
        </w:rPr>
        <w:t>开箱检验由买卖双方共同进行，卖方应自负费用派遣代表到场参加开箱检验。</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6.1.4</w:t>
      </w:r>
      <w:r>
        <w:rPr>
          <w:rFonts w:hint="eastAsia" w:asciiTheme="majorEastAsia" w:hAnsiTheme="majorEastAsia" w:eastAsiaTheme="majorEastAsia"/>
          <w:color w:val="000000" w:themeColor="text1"/>
        </w:rPr>
        <w:t>在开箱检验中，买方和卖方应共同签署数量、外观检验报告，报告应列明检验结果，包括检验合格或发现的任何短缺、损坏或其它与合同约定不符的情形。</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6.1.5</w:t>
      </w:r>
      <w:r>
        <w:rPr>
          <w:rFonts w:hint="eastAsia" w:asciiTheme="majorEastAsia" w:hAnsiTheme="majorEastAsia" w:eastAsiaTheme="majorEastAsia"/>
          <w:color w:val="000000" w:themeColor="text1"/>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6.1.6</w:t>
      </w:r>
      <w:r>
        <w:rPr>
          <w:rFonts w:hint="eastAsia" w:asciiTheme="majorEastAsia" w:hAnsiTheme="majorEastAsia" w:eastAsiaTheme="majorEastAsia"/>
          <w:color w:val="000000" w:themeColor="text1"/>
        </w:rPr>
        <w:t>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6.1.7</w:t>
      </w:r>
      <w:r>
        <w:rPr>
          <w:rFonts w:hint="eastAsia" w:asciiTheme="majorEastAsia" w:hAnsiTheme="majorEastAsia" w:eastAsiaTheme="majorEastAsia"/>
          <w:color w:val="000000" w:themeColor="text1"/>
        </w:rPr>
        <w:t>如双方在专用合同条款和（或）供货要求等合同文件中约定由第三方检测机构对合同设备进行开箱检验或在开箱检验过程中另行约定由第三方检验的，则第三方检测机构的检验结果对双方均具有约束力。</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6.1.8</w:t>
      </w:r>
      <w:r>
        <w:rPr>
          <w:rFonts w:hint="eastAsia" w:asciiTheme="majorEastAsia" w:hAnsiTheme="majorEastAsia" w:eastAsiaTheme="majorEastAsia"/>
          <w:color w:val="000000" w:themeColor="text1"/>
        </w:rPr>
        <w:t>开箱检验的检验结果不能对抗在合同设备的安装、调试、考核、验收中及质量保证期内发现的合同设备质量问题，也不能免除或影响卖方依照合同约定对买方负有的包括合同设备质量在内的任何义务或责任。</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6.2</w:t>
      </w:r>
      <w:r>
        <w:rPr>
          <w:rFonts w:hint="eastAsia" w:asciiTheme="majorEastAsia" w:hAnsiTheme="majorEastAsia" w:eastAsiaTheme="majorEastAsia"/>
          <w:b/>
          <w:bCs/>
          <w:color w:val="000000" w:themeColor="text1"/>
          <w:sz w:val="28"/>
          <w:szCs w:val="28"/>
        </w:rPr>
        <w:t>安装、调试</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6.2.1</w:t>
      </w:r>
      <w:r>
        <w:rPr>
          <w:rFonts w:hint="eastAsia" w:asciiTheme="majorEastAsia" w:hAnsiTheme="majorEastAsia" w:eastAsiaTheme="majorEastAsia"/>
          <w:color w:val="000000" w:themeColor="text1"/>
        </w:rPr>
        <w:t>开箱检验完成后，双方应对合同设备进行安装、调试，以使其具备考核的状态。安装、调试应按照专用合同条款约定的下列任一种方式进行：</w:t>
      </w:r>
    </w:p>
    <w:p>
      <w:pPr>
        <w:widowControl/>
        <w:numPr>
          <w:ilvl w:val="0"/>
          <w:numId w:val="5"/>
        </w:num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卖方按照合同约定完成合同设备的安装、调试工作；</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）买方或买方安排第三方负责合同设备的安装、调试工作，卖方提供技术服务。</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6.2.2</w:t>
      </w:r>
      <w:r>
        <w:rPr>
          <w:rFonts w:hint="eastAsia" w:asciiTheme="majorEastAsia" w:hAnsiTheme="majorEastAsia" w:eastAsiaTheme="majorEastAsia"/>
          <w:color w:val="000000" w:themeColor="text1"/>
        </w:rPr>
        <w:t>除专用合同条款另有约定外，安装、调试中合同设备运行需要的用水、用电、其他动力和原材料（如需要）等均由买方承担。</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6.2.3</w:t>
      </w:r>
      <w:r>
        <w:rPr>
          <w:rFonts w:hint="eastAsia" w:asciiTheme="majorEastAsia" w:hAnsiTheme="majorEastAsia" w:eastAsiaTheme="majorEastAsia"/>
          <w:color w:val="000000" w:themeColor="text1"/>
        </w:rPr>
        <w:t>双方应对合同设备的安装、调试情况共同及时进行记录。</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6.3</w:t>
      </w:r>
      <w:r>
        <w:rPr>
          <w:rFonts w:hint="eastAsia" w:asciiTheme="majorEastAsia" w:hAnsiTheme="majorEastAsia" w:eastAsiaTheme="majorEastAsia"/>
          <w:b/>
          <w:bCs/>
          <w:color w:val="000000" w:themeColor="text1"/>
          <w:sz w:val="28"/>
          <w:szCs w:val="28"/>
        </w:rPr>
        <w:t>考核</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6.3.1</w:t>
      </w:r>
      <w:r>
        <w:rPr>
          <w:rFonts w:hint="eastAsia" w:asciiTheme="majorEastAsia" w:hAnsiTheme="majorEastAsia" w:eastAsiaTheme="majorEastAsia"/>
          <w:color w:val="000000" w:themeColor="text1"/>
        </w:rPr>
        <w:t>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6.3.2</w:t>
      </w:r>
      <w:r>
        <w:rPr>
          <w:rFonts w:hint="eastAsia" w:asciiTheme="majorEastAsia" w:hAnsiTheme="majorEastAsia" w:eastAsiaTheme="majorEastAsia"/>
          <w:color w:val="000000" w:themeColor="text1"/>
        </w:rPr>
        <w:t>如由于卖方原因合同设备在考核中未能达到合同约定的技术性能考核指标，则卖方应在双方同意的期限内采取措施消除合同设备中存在的缺陷，并在缺陷消除以后，尽快进行再次考核。</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6.3.3</w:t>
      </w:r>
      <w:r>
        <w:rPr>
          <w:rFonts w:hint="eastAsia" w:asciiTheme="majorEastAsia" w:hAnsiTheme="majorEastAsia" w:eastAsiaTheme="majorEastAsia"/>
          <w:color w:val="000000" w:themeColor="text1"/>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6.3.4</w:t>
      </w:r>
      <w:r>
        <w:rPr>
          <w:rFonts w:hint="eastAsia" w:asciiTheme="majorEastAsia" w:hAnsiTheme="majorEastAsia" w:eastAsiaTheme="majorEastAsia"/>
          <w:color w:val="000000" w:themeColor="text1"/>
        </w:rPr>
        <w:t>如由于买方原因合同设备在考核中未能达到合同约定的技术性能考核指标，则卖方应协助买方安排再次考核。由于买方原因未能达到技术性能考核指标时，为买方进行考核的机会不超过三次。</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6.3.5</w:t>
      </w:r>
      <w:r>
        <w:rPr>
          <w:rFonts w:hint="eastAsia" w:asciiTheme="majorEastAsia" w:hAnsiTheme="majorEastAsia" w:eastAsiaTheme="majorEastAsia"/>
          <w:color w:val="000000" w:themeColor="text1"/>
        </w:rPr>
        <w:t>考核期间，双方应及时共同记录合同设备的用水、用电、其他动力和原材料（如有）的使用及设备考核情况。对于未达到技术性能考核指标的，应如实记录设备表现、可能原因及处理情况等。</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6.4</w:t>
      </w:r>
      <w:r>
        <w:rPr>
          <w:rFonts w:hint="eastAsia" w:asciiTheme="majorEastAsia" w:hAnsiTheme="majorEastAsia" w:eastAsiaTheme="majorEastAsia"/>
          <w:b/>
          <w:bCs/>
          <w:color w:val="000000" w:themeColor="text1"/>
          <w:sz w:val="28"/>
          <w:szCs w:val="28"/>
        </w:rPr>
        <w:t>验收</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6.4.1</w:t>
      </w:r>
      <w:r>
        <w:rPr>
          <w:rFonts w:hint="eastAsia" w:asciiTheme="majorEastAsia" w:hAnsiTheme="majorEastAsia" w:eastAsiaTheme="majorEastAsia"/>
          <w:color w:val="000000" w:themeColor="text1"/>
        </w:rPr>
        <w:t>如合同设备在考核中达到或视为达到技术性能考核指标，则买卖双方应在考核完成后</w:t>
      </w:r>
      <w:r>
        <w:rPr>
          <w:rFonts w:asciiTheme="majorEastAsia" w:hAnsiTheme="majorEastAsia" w:eastAsiaTheme="majorEastAsia"/>
          <w:color w:val="000000" w:themeColor="text1"/>
        </w:rPr>
        <w:t xml:space="preserve">7 </w:t>
      </w:r>
      <w:r>
        <w:rPr>
          <w:rFonts w:hint="eastAsia" w:asciiTheme="majorEastAsia" w:hAnsiTheme="majorEastAsia" w:eastAsiaTheme="majorEastAsia"/>
          <w:color w:val="000000" w:themeColor="text1"/>
        </w:rPr>
        <w:t>日内或专用合同条款另行约定的时间内签署合同设备验收证书一式二份，双方各持一份。验收日期应为合同设备达到或视为达到技术性能考核指标的日期。</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6.4.2</w:t>
      </w:r>
      <w:r>
        <w:rPr>
          <w:rFonts w:hint="eastAsia" w:asciiTheme="majorEastAsia" w:hAnsiTheme="majorEastAsia" w:eastAsiaTheme="majorEastAsia"/>
          <w:color w:val="000000" w:themeColor="text1"/>
        </w:rPr>
        <w:t>如由于买方原因合同设备在三次考核中均未能达到技术性能考核指标，买卖双方应在考核结束后</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日内或专用合同条款另行约定的时间内签署验收款支付函。除专用合同条款另有约定外，卖方有义务在验收款支付函签署后</w:t>
      </w:r>
      <w:r>
        <w:rPr>
          <w:rFonts w:asciiTheme="majorEastAsia" w:hAnsiTheme="majorEastAsia" w:eastAsiaTheme="majorEastAsia"/>
          <w:color w:val="000000" w:themeColor="text1"/>
        </w:rPr>
        <w:t xml:space="preserve"> 12 </w:t>
      </w:r>
      <w:r>
        <w:rPr>
          <w:rFonts w:hint="eastAsia" w:asciiTheme="majorEastAsia" w:hAnsiTheme="majorEastAsia" w:eastAsiaTheme="majorEastAsia"/>
          <w:color w:val="000000" w:themeColor="text1"/>
        </w:rPr>
        <w:t>个月内应买方要求提供相关技术服务，协助买方采取一切必要措施使合同设备达到技术性能考核指标。买方应承担卖方因此产生的全部费用。在上述</w:t>
      </w:r>
      <w:r>
        <w:rPr>
          <w:rFonts w:asciiTheme="majorEastAsia" w:hAnsiTheme="majorEastAsia" w:eastAsiaTheme="majorEastAsia"/>
          <w:color w:val="000000" w:themeColor="text1"/>
        </w:rPr>
        <w:t xml:space="preserve"> 12 </w:t>
      </w:r>
      <w:r>
        <w:rPr>
          <w:rFonts w:hint="eastAsia" w:asciiTheme="majorEastAsia" w:hAnsiTheme="majorEastAsia" w:eastAsiaTheme="majorEastAsia"/>
          <w:color w:val="000000" w:themeColor="text1"/>
        </w:rPr>
        <w:t>个月的期限内，如合同设备经过考核达到或视为达到技术性能考核指标，则买卖双方应按照第</w:t>
      </w:r>
      <w:r>
        <w:rPr>
          <w:rFonts w:asciiTheme="majorEastAsia" w:hAnsiTheme="majorEastAsia" w:eastAsiaTheme="majorEastAsia"/>
          <w:color w:val="000000" w:themeColor="text1"/>
        </w:rPr>
        <w:t xml:space="preserve"> 6.4.1 </w:t>
      </w:r>
      <w:r>
        <w:rPr>
          <w:rFonts w:hint="eastAsia" w:asciiTheme="majorEastAsia" w:hAnsiTheme="majorEastAsia" w:eastAsiaTheme="majorEastAsia"/>
          <w:color w:val="000000" w:themeColor="text1"/>
        </w:rPr>
        <w:t>项的约定签署合同设备验收证书。</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6.4.3</w:t>
      </w:r>
      <w:r>
        <w:rPr>
          <w:rFonts w:hint="eastAsia" w:asciiTheme="majorEastAsia" w:hAnsiTheme="majorEastAsia" w:eastAsiaTheme="majorEastAsia"/>
          <w:color w:val="000000" w:themeColor="text1"/>
        </w:rPr>
        <w:t>除专用合同条款另有约定外，如由于买方原因在最后一批合同设备交货后</w:t>
      </w:r>
      <w:r>
        <w:rPr>
          <w:rFonts w:asciiTheme="majorEastAsia" w:hAnsiTheme="majorEastAsia" w:eastAsiaTheme="majorEastAsia"/>
          <w:color w:val="000000" w:themeColor="text1"/>
        </w:rPr>
        <w:t xml:space="preserve"> 6 </w:t>
      </w:r>
      <w:r>
        <w:rPr>
          <w:rFonts w:hint="eastAsia" w:asciiTheme="majorEastAsia" w:hAnsiTheme="majorEastAsia" w:eastAsiaTheme="majorEastAsia"/>
          <w:color w:val="000000" w:themeColor="text1"/>
        </w:rPr>
        <w:t>个月内未能开始考核，则买卖双方应在上述期限届满后</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日内或专用合同条款另行约定的时间内签署验收款支付函。除专用合同条款另有约定外，卖方有义务在验收款支付函签署后</w:t>
      </w:r>
      <w:r>
        <w:rPr>
          <w:rFonts w:asciiTheme="majorEastAsia" w:hAnsiTheme="majorEastAsia" w:eastAsiaTheme="majorEastAsia"/>
          <w:color w:val="000000" w:themeColor="text1"/>
        </w:rPr>
        <w:t xml:space="preserve"> 6 </w:t>
      </w:r>
      <w:r>
        <w:rPr>
          <w:rFonts w:hint="eastAsia" w:asciiTheme="majorEastAsia" w:hAnsiTheme="majorEastAsia" w:eastAsiaTheme="majorEastAsia"/>
          <w:color w:val="000000" w:themeColor="text1"/>
        </w:rPr>
        <w:t>个月内应买方要求提供不超出合同范围的技术服务，协助买方采取一切必要措施使合同设备达到技术性能考核指标，且买方无需因此向卖方支付费用。在上述</w:t>
      </w:r>
      <w:r>
        <w:rPr>
          <w:rFonts w:asciiTheme="majorEastAsia" w:hAnsiTheme="majorEastAsia" w:eastAsiaTheme="majorEastAsia"/>
          <w:color w:val="000000" w:themeColor="text1"/>
        </w:rPr>
        <w:t xml:space="preserve"> 6 </w:t>
      </w:r>
      <w:r>
        <w:rPr>
          <w:rFonts w:hint="eastAsia" w:asciiTheme="majorEastAsia" w:hAnsiTheme="majorEastAsia" w:eastAsiaTheme="majorEastAsia"/>
          <w:color w:val="000000" w:themeColor="text1"/>
        </w:rPr>
        <w:t>个月的期限内，如合同设备经过考核达到或视为达到技术性能考核指标，则买卖双方应按照第</w:t>
      </w:r>
      <w:r>
        <w:rPr>
          <w:rFonts w:asciiTheme="majorEastAsia" w:hAnsiTheme="majorEastAsia" w:eastAsiaTheme="majorEastAsia"/>
          <w:color w:val="000000" w:themeColor="text1"/>
        </w:rPr>
        <w:t xml:space="preserve"> 6.4.1 </w:t>
      </w:r>
      <w:r>
        <w:rPr>
          <w:rFonts w:hint="eastAsia" w:asciiTheme="majorEastAsia" w:hAnsiTheme="majorEastAsia" w:eastAsiaTheme="majorEastAsia"/>
          <w:color w:val="000000" w:themeColor="text1"/>
        </w:rPr>
        <w:t>项的约定签署合同设备验收证书。</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6.4.4</w:t>
      </w:r>
      <w:r>
        <w:rPr>
          <w:rFonts w:hint="eastAsia" w:asciiTheme="majorEastAsia" w:hAnsiTheme="majorEastAsia" w:eastAsiaTheme="majorEastAsia"/>
          <w:color w:val="000000" w:themeColor="text1"/>
        </w:rPr>
        <w:t>在第</w:t>
      </w:r>
      <w:r>
        <w:rPr>
          <w:rFonts w:asciiTheme="majorEastAsia" w:hAnsiTheme="majorEastAsia" w:eastAsiaTheme="majorEastAsia"/>
          <w:color w:val="000000" w:themeColor="text1"/>
        </w:rPr>
        <w:t xml:space="preserve"> 6.4.2 </w:t>
      </w:r>
      <w:r>
        <w:rPr>
          <w:rFonts w:hint="eastAsia" w:asciiTheme="majorEastAsia" w:hAnsiTheme="majorEastAsia" w:eastAsiaTheme="majorEastAsia"/>
          <w:color w:val="000000" w:themeColor="text1"/>
        </w:rPr>
        <w:t>项和第</w:t>
      </w:r>
      <w:r>
        <w:rPr>
          <w:rFonts w:asciiTheme="majorEastAsia" w:hAnsiTheme="majorEastAsia" w:eastAsiaTheme="majorEastAsia"/>
          <w:color w:val="000000" w:themeColor="text1"/>
        </w:rPr>
        <w:t xml:space="preserve"> 6.4.3 </w:t>
      </w:r>
      <w:r>
        <w:rPr>
          <w:rFonts w:hint="eastAsia" w:asciiTheme="majorEastAsia" w:hAnsiTheme="majorEastAsia" w:eastAsiaTheme="majorEastAsia"/>
          <w:color w:val="000000" w:themeColor="text1"/>
        </w:rPr>
        <w:t>项情形下，卖方也可单方签署验收款支付函提交买方，如果买方在收到卖方签署的验收款支付函后</w:t>
      </w:r>
      <w:r>
        <w:rPr>
          <w:rFonts w:asciiTheme="majorEastAsia" w:hAnsiTheme="majorEastAsia" w:eastAsiaTheme="majorEastAsia"/>
          <w:color w:val="000000" w:themeColor="text1"/>
        </w:rPr>
        <w:t xml:space="preserve"> 14 </w:t>
      </w:r>
      <w:r>
        <w:rPr>
          <w:rFonts w:hint="eastAsia" w:asciiTheme="majorEastAsia" w:hAnsiTheme="majorEastAsia" w:eastAsiaTheme="majorEastAsia"/>
          <w:color w:val="000000" w:themeColor="text1"/>
        </w:rPr>
        <w:t>日内未向卖方提出书面异议，则验收款支付函自签署之日起生效。</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6.4.5</w:t>
      </w:r>
      <w:r>
        <w:rPr>
          <w:rFonts w:hint="eastAsia" w:asciiTheme="majorEastAsia" w:hAnsiTheme="majorEastAsia" w:eastAsiaTheme="majorEastAsia"/>
          <w:color w:val="000000" w:themeColor="text1"/>
        </w:rPr>
        <w:t>合同设备验收证书的签署不能免除卖方在质量保证期内对合同设备应承担的保证责任。</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7.</w:t>
      </w:r>
      <w:r>
        <w:rPr>
          <w:rFonts w:hint="eastAsia" w:asciiTheme="majorEastAsia" w:hAnsiTheme="majorEastAsia" w:eastAsiaTheme="majorEastAsia"/>
          <w:b/>
          <w:bCs/>
          <w:color w:val="000000" w:themeColor="text1"/>
          <w:sz w:val="32"/>
          <w:szCs w:val="32"/>
        </w:rPr>
        <w:t>技术服务</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7.1</w:t>
      </w:r>
      <w:r>
        <w:rPr>
          <w:rFonts w:hint="eastAsia" w:asciiTheme="majorEastAsia" w:hAnsiTheme="majorEastAsia" w:eastAsiaTheme="majorEastAsia"/>
          <w:color w:val="000000" w:themeColor="text1"/>
        </w:rPr>
        <w:t>卖方应派遣技术熟练、称职的技术人员到施工场地为买方提供技术服务。卖方的技术服务应符合合同的约定。</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7.2</w:t>
      </w:r>
      <w:r>
        <w:rPr>
          <w:rFonts w:hint="eastAsia" w:asciiTheme="majorEastAsia" w:hAnsiTheme="majorEastAsia" w:eastAsiaTheme="majorEastAsia"/>
          <w:color w:val="000000" w:themeColor="text1"/>
        </w:rPr>
        <w:t>买方应免费为卖方技术人员提供工作条件及便利，包括但不限于必要的办公场所、技术资料及出入许可等。除专用合同条款另有约定外，卖方技术人员的交通、食宿费用由卖方承担。</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7.3</w:t>
      </w:r>
      <w:r>
        <w:rPr>
          <w:rFonts w:hint="eastAsia" w:asciiTheme="majorEastAsia" w:hAnsiTheme="majorEastAsia" w:eastAsiaTheme="majorEastAsia"/>
          <w:color w:val="000000" w:themeColor="text1"/>
        </w:rPr>
        <w:t>卖方技术人员应遵守买方施工现场的各项规章制度和安全操作规程，并服从买方的现场管理。</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7.4</w:t>
      </w:r>
      <w:r>
        <w:rPr>
          <w:rFonts w:hint="eastAsia" w:asciiTheme="majorEastAsia" w:hAnsiTheme="majorEastAsia" w:eastAsiaTheme="majorEastAsia"/>
          <w:color w:val="000000" w:themeColor="text1"/>
        </w:rPr>
        <w:t>如果任何技术人员不合格，买方有权要求卖方撤换，因撤换而产生的费用应由卖方承担。在不影响技术服务并且征得买方同意的条件下，卖方也可自负费用更换其技术人员。</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8.</w:t>
      </w:r>
      <w:r>
        <w:rPr>
          <w:rFonts w:hint="eastAsia" w:asciiTheme="majorEastAsia" w:hAnsiTheme="majorEastAsia" w:eastAsiaTheme="majorEastAsia"/>
          <w:b/>
          <w:bCs/>
          <w:color w:val="000000" w:themeColor="text1"/>
          <w:sz w:val="32"/>
          <w:szCs w:val="32"/>
        </w:rPr>
        <w:t>质量保证期</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8.1</w:t>
      </w:r>
      <w:r>
        <w:rPr>
          <w:rFonts w:hint="eastAsia" w:asciiTheme="majorEastAsia" w:hAnsiTheme="majorEastAsia" w:eastAsiaTheme="majorEastAsia"/>
          <w:color w:val="000000" w:themeColor="text1"/>
        </w:rPr>
        <w:t>除专用合同条款和（或）供货要求等合同文件另有约定外，合同设备整体质量保证期为验收之日起</w:t>
      </w:r>
      <w:r>
        <w:rPr>
          <w:rFonts w:asciiTheme="majorEastAsia" w:hAnsiTheme="majorEastAsia" w:eastAsiaTheme="majorEastAsia"/>
          <w:color w:val="000000" w:themeColor="text1"/>
        </w:rPr>
        <w:t xml:space="preserve"> 12 </w:t>
      </w:r>
      <w:r>
        <w:rPr>
          <w:rFonts w:hint="eastAsia" w:asciiTheme="majorEastAsia" w:hAnsiTheme="majorEastAsia" w:eastAsiaTheme="majorEastAsia"/>
          <w:color w:val="000000" w:themeColor="text1"/>
        </w:rPr>
        <w:t>个月。如对合同设备中关键部件的质量保证期有特殊要求的，买卖双方可在专用合同条款中约定。在合同第</w:t>
      </w:r>
      <w:r>
        <w:rPr>
          <w:rFonts w:asciiTheme="majorEastAsia" w:hAnsiTheme="majorEastAsia" w:eastAsiaTheme="majorEastAsia"/>
          <w:color w:val="000000" w:themeColor="text1"/>
        </w:rPr>
        <w:t xml:space="preserve"> 6.4.2 </w:t>
      </w:r>
      <w:r>
        <w:rPr>
          <w:rFonts w:hint="eastAsia" w:asciiTheme="majorEastAsia" w:hAnsiTheme="majorEastAsia" w:eastAsiaTheme="majorEastAsia"/>
          <w:color w:val="000000" w:themeColor="text1"/>
        </w:rPr>
        <w:t>项情形下，无论合同设备何时验收，其质量保证期最长为签署验收款支付函后</w:t>
      </w:r>
      <w:r>
        <w:rPr>
          <w:rFonts w:asciiTheme="majorEastAsia" w:hAnsiTheme="majorEastAsia" w:eastAsiaTheme="majorEastAsia"/>
          <w:color w:val="000000" w:themeColor="text1"/>
        </w:rPr>
        <w:t xml:space="preserve"> 12 </w:t>
      </w:r>
      <w:r>
        <w:rPr>
          <w:rFonts w:hint="eastAsia" w:asciiTheme="majorEastAsia" w:hAnsiTheme="majorEastAsia" w:eastAsiaTheme="majorEastAsia"/>
          <w:color w:val="000000" w:themeColor="text1"/>
        </w:rPr>
        <w:t>个月。在合同第</w:t>
      </w:r>
      <w:r>
        <w:rPr>
          <w:rFonts w:asciiTheme="majorEastAsia" w:hAnsiTheme="majorEastAsia" w:eastAsiaTheme="majorEastAsia"/>
          <w:color w:val="000000" w:themeColor="text1"/>
        </w:rPr>
        <w:t xml:space="preserve"> 6.4.3 </w:t>
      </w:r>
      <w:r>
        <w:rPr>
          <w:rFonts w:hint="eastAsia" w:asciiTheme="majorEastAsia" w:hAnsiTheme="majorEastAsia" w:eastAsiaTheme="majorEastAsia"/>
          <w:color w:val="000000" w:themeColor="text1"/>
        </w:rPr>
        <w:t>项情形下，无论合同设备何时验收，其质量保证期最长为签署验收款支付函后</w:t>
      </w:r>
      <w:r>
        <w:rPr>
          <w:rFonts w:asciiTheme="majorEastAsia" w:hAnsiTheme="majorEastAsia" w:eastAsiaTheme="majorEastAsia"/>
          <w:color w:val="000000" w:themeColor="text1"/>
        </w:rPr>
        <w:t xml:space="preserve"> 6 </w:t>
      </w:r>
      <w:r>
        <w:rPr>
          <w:rFonts w:hint="eastAsia" w:asciiTheme="majorEastAsia" w:hAnsiTheme="majorEastAsia" w:eastAsiaTheme="majorEastAsia"/>
          <w:color w:val="000000" w:themeColor="text1"/>
        </w:rPr>
        <w:t>个月。</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8.2</w:t>
      </w:r>
      <w:r>
        <w:rPr>
          <w:rFonts w:hint="eastAsia" w:asciiTheme="majorEastAsia" w:hAnsiTheme="majorEastAsia" w:eastAsiaTheme="majorEastAsia"/>
          <w:color w:val="000000" w:themeColor="text1"/>
        </w:rPr>
        <w:t>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8.3</w:t>
      </w:r>
      <w:r>
        <w:rPr>
          <w:rFonts w:hint="eastAsia" w:asciiTheme="majorEastAsia" w:hAnsiTheme="majorEastAsia" w:eastAsiaTheme="majorEastAsia"/>
          <w:color w:val="000000" w:themeColor="text1"/>
        </w:rPr>
        <w:t>质量保证期届满后，买方应在</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日内或专用合同条款另行约定的时间内向卖方出具合同设备的质量保证期届满证书。</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8.4</w:t>
      </w:r>
      <w:r>
        <w:rPr>
          <w:rFonts w:hint="eastAsia" w:asciiTheme="majorEastAsia" w:hAnsiTheme="majorEastAsia" w:eastAsiaTheme="majorEastAsia"/>
          <w:color w:val="000000" w:themeColor="text1"/>
        </w:rPr>
        <w:t>在合同第</w:t>
      </w:r>
      <w:r>
        <w:rPr>
          <w:rFonts w:asciiTheme="majorEastAsia" w:hAnsiTheme="majorEastAsia" w:eastAsiaTheme="majorEastAsia"/>
          <w:color w:val="000000" w:themeColor="text1"/>
        </w:rPr>
        <w:t xml:space="preserve"> 6.4.2 </w:t>
      </w:r>
      <w:r>
        <w:rPr>
          <w:rFonts w:hint="eastAsia" w:asciiTheme="majorEastAsia" w:hAnsiTheme="majorEastAsia" w:eastAsiaTheme="majorEastAsia"/>
          <w:color w:val="000000" w:themeColor="text1"/>
        </w:rPr>
        <w:t>项情形下，如在验收款支付函签署后</w:t>
      </w:r>
      <w:r>
        <w:rPr>
          <w:rFonts w:asciiTheme="majorEastAsia" w:hAnsiTheme="majorEastAsia" w:eastAsiaTheme="majorEastAsia"/>
          <w:color w:val="000000" w:themeColor="text1"/>
        </w:rPr>
        <w:t xml:space="preserve"> 12 </w:t>
      </w:r>
      <w:r>
        <w:rPr>
          <w:rFonts w:hint="eastAsia" w:asciiTheme="majorEastAsia" w:hAnsiTheme="majorEastAsia" w:eastAsiaTheme="majorEastAsia"/>
          <w:color w:val="000000" w:themeColor="text1"/>
        </w:rPr>
        <w:t>个月内由于买方原因合同设备仍未能达到技术性能考核指标，则买卖双方应在该</w:t>
      </w:r>
      <w:r>
        <w:rPr>
          <w:rFonts w:asciiTheme="majorEastAsia" w:hAnsiTheme="majorEastAsia" w:eastAsiaTheme="majorEastAsia"/>
          <w:color w:val="000000" w:themeColor="text1"/>
        </w:rPr>
        <w:t xml:space="preserve"> 12 </w:t>
      </w:r>
      <w:r>
        <w:rPr>
          <w:rFonts w:hint="eastAsia" w:asciiTheme="majorEastAsia" w:hAnsiTheme="majorEastAsia" w:eastAsiaTheme="majorEastAsia"/>
          <w:color w:val="000000" w:themeColor="text1"/>
        </w:rPr>
        <w:t>个月届满后</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日内或专用合同条款另行约定的时间内签署结清款支付函。</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8.5</w:t>
      </w:r>
      <w:r>
        <w:rPr>
          <w:rFonts w:hint="eastAsia" w:asciiTheme="majorEastAsia" w:hAnsiTheme="majorEastAsia" w:eastAsiaTheme="majorEastAsia"/>
          <w:color w:val="000000" w:themeColor="text1"/>
        </w:rPr>
        <w:t>在合同第</w:t>
      </w:r>
      <w:r>
        <w:rPr>
          <w:rFonts w:asciiTheme="majorEastAsia" w:hAnsiTheme="majorEastAsia" w:eastAsiaTheme="majorEastAsia"/>
          <w:color w:val="000000" w:themeColor="text1"/>
        </w:rPr>
        <w:t xml:space="preserve"> 6.4.3 </w:t>
      </w:r>
      <w:r>
        <w:rPr>
          <w:rFonts w:hint="eastAsia" w:asciiTheme="majorEastAsia" w:hAnsiTheme="majorEastAsia" w:eastAsiaTheme="majorEastAsia"/>
          <w:color w:val="000000" w:themeColor="text1"/>
        </w:rPr>
        <w:t>项情形下，如在验收款支付函签署后</w:t>
      </w:r>
      <w:r>
        <w:rPr>
          <w:rFonts w:asciiTheme="majorEastAsia" w:hAnsiTheme="majorEastAsia" w:eastAsiaTheme="majorEastAsia"/>
          <w:color w:val="000000" w:themeColor="text1"/>
        </w:rPr>
        <w:t xml:space="preserve"> 6 </w:t>
      </w:r>
      <w:r>
        <w:rPr>
          <w:rFonts w:hint="eastAsia" w:asciiTheme="majorEastAsia" w:hAnsiTheme="majorEastAsia" w:eastAsiaTheme="majorEastAsia"/>
          <w:color w:val="000000" w:themeColor="text1"/>
        </w:rPr>
        <w:t>个月内由于买方原因合同设备仍未进行考核或仍未达到技术性能考核指标，则买卖双方应在该</w:t>
      </w:r>
      <w:r>
        <w:rPr>
          <w:rFonts w:asciiTheme="majorEastAsia" w:hAnsiTheme="majorEastAsia" w:eastAsiaTheme="majorEastAsia"/>
          <w:color w:val="000000" w:themeColor="text1"/>
        </w:rPr>
        <w:t xml:space="preserve"> 6 </w:t>
      </w:r>
      <w:r>
        <w:rPr>
          <w:rFonts w:hint="eastAsia" w:asciiTheme="majorEastAsia" w:hAnsiTheme="majorEastAsia" w:eastAsiaTheme="majorEastAsia"/>
          <w:color w:val="000000" w:themeColor="text1"/>
        </w:rPr>
        <w:t>个月届满后</w:t>
      </w:r>
      <w:r>
        <w:rPr>
          <w:rFonts w:asciiTheme="majorEastAsia" w:hAnsiTheme="majorEastAsia" w:eastAsiaTheme="majorEastAsia"/>
          <w:color w:val="000000" w:themeColor="text1"/>
        </w:rPr>
        <w:t xml:space="preserve"> 7 </w:t>
      </w:r>
      <w:r>
        <w:rPr>
          <w:rFonts w:hint="eastAsia" w:asciiTheme="majorEastAsia" w:hAnsiTheme="majorEastAsia" w:eastAsiaTheme="majorEastAsia"/>
          <w:color w:val="000000" w:themeColor="text1"/>
        </w:rPr>
        <w:t>日内或专用合同条款另行约定的时间内签署结清款支付函。</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8.6</w:t>
      </w:r>
      <w:r>
        <w:rPr>
          <w:rFonts w:hint="eastAsia" w:asciiTheme="majorEastAsia" w:hAnsiTheme="majorEastAsia" w:eastAsiaTheme="majorEastAsia"/>
          <w:color w:val="000000" w:themeColor="text1"/>
        </w:rPr>
        <w:t>在第</w:t>
      </w:r>
      <w:r>
        <w:rPr>
          <w:rFonts w:asciiTheme="majorEastAsia" w:hAnsiTheme="majorEastAsia" w:eastAsiaTheme="majorEastAsia"/>
          <w:color w:val="000000" w:themeColor="text1"/>
        </w:rPr>
        <w:t xml:space="preserve"> 8.4 </w:t>
      </w:r>
      <w:r>
        <w:rPr>
          <w:rFonts w:hint="eastAsia" w:asciiTheme="majorEastAsia" w:hAnsiTheme="majorEastAsia" w:eastAsiaTheme="majorEastAsia"/>
          <w:color w:val="000000" w:themeColor="text1"/>
        </w:rPr>
        <w:t>款和第</w:t>
      </w:r>
      <w:r>
        <w:rPr>
          <w:rFonts w:asciiTheme="majorEastAsia" w:hAnsiTheme="majorEastAsia" w:eastAsiaTheme="majorEastAsia"/>
          <w:color w:val="000000" w:themeColor="text1"/>
        </w:rPr>
        <w:t xml:space="preserve"> 8.5 </w:t>
      </w:r>
      <w:r>
        <w:rPr>
          <w:rFonts w:hint="eastAsia" w:asciiTheme="majorEastAsia" w:hAnsiTheme="majorEastAsia" w:eastAsiaTheme="majorEastAsia"/>
          <w:color w:val="000000" w:themeColor="text1"/>
        </w:rPr>
        <w:t>款情形下，卖方也可单方签署结清款支付函提交买方，如果买方在收到卖方签署的结清款支付函后</w:t>
      </w:r>
      <w:r>
        <w:rPr>
          <w:rFonts w:asciiTheme="majorEastAsia" w:hAnsiTheme="majorEastAsia" w:eastAsiaTheme="majorEastAsia"/>
          <w:color w:val="000000" w:themeColor="text1"/>
        </w:rPr>
        <w:t xml:space="preserve"> 14 </w:t>
      </w:r>
      <w:r>
        <w:rPr>
          <w:rFonts w:hint="eastAsia" w:asciiTheme="majorEastAsia" w:hAnsiTheme="majorEastAsia" w:eastAsiaTheme="majorEastAsia"/>
          <w:color w:val="000000" w:themeColor="text1"/>
        </w:rPr>
        <w:t>日内未向卖方提出书面异议，则结清款支付函自签署之日起生效。</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9.</w:t>
      </w:r>
      <w:r>
        <w:rPr>
          <w:rFonts w:hint="eastAsia" w:asciiTheme="majorEastAsia" w:hAnsiTheme="majorEastAsia" w:eastAsiaTheme="majorEastAsia"/>
          <w:b/>
          <w:bCs/>
          <w:color w:val="000000" w:themeColor="text1"/>
          <w:sz w:val="32"/>
          <w:szCs w:val="32"/>
        </w:rPr>
        <w:t>质保期服务</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9.1</w:t>
      </w:r>
      <w:r>
        <w:rPr>
          <w:rFonts w:hint="eastAsia" w:asciiTheme="majorEastAsia" w:hAnsiTheme="majorEastAsia" w:eastAsiaTheme="majorEastAsia"/>
          <w:color w:val="000000" w:themeColor="text1"/>
        </w:rPr>
        <w:t>卖方应为质保期服务配备充足的技术人员、工具和备件并保证提供的联系方式畅通。除专用合同条款和（或）供货要求等合同文件另有约定外，卖方应在收到买方通知后</w:t>
      </w:r>
      <w:r>
        <w:rPr>
          <w:rFonts w:asciiTheme="majorEastAsia" w:hAnsiTheme="majorEastAsia" w:eastAsiaTheme="majorEastAsia"/>
          <w:color w:val="000000" w:themeColor="text1"/>
        </w:rPr>
        <w:t xml:space="preserve"> 24 </w:t>
      </w:r>
      <w:r>
        <w:rPr>
          <w:rFonts w:hint="eastAsia" w:asciiTheme="majorEastAsia" w:hAnsiTheme="majorEastAsia" w:eastAsiaTheme="majorEastAsia"/>
          <w:color w:val="000000" w:themeColor="text1"/>
        </w:rPr>
        <w:t>小时内做出响应，如需卖方到合同设备现场，卖方应在收到买方通知后</w:t>
      </w:r>
      <w:r>
        <w:rPr>
          <w:rFonts w:asciiTheme="majorEastAsia" w:hAnsiTheme="majorEastAsia" w:eastAsiaTheme="majorEastAsia"/>
          <w:color w:val="000000" w:themeColor="text1"/>
        </w:rPr>
        <w:t xml:space="preserve"> 48 </w:t>
      </w:r>
      <w:r>
        <w:rPr>
          <w:rFonts w:hint="eastAsia" w:asciiTheme="majorEastAsia" w:hAnsiTheme="majorEastAsia" w:eastAsiaTheme="majorEastAsia"/>
          <w:color w:val="000000" w:themeColor="text1"/>
        </w:rPr>
        <w:t>小时内到达，并在到达后</w:t>
      </w:r>
      <w:r>
        <w:rPr>
          <w:rFonts w:asciiTheme="majorEastAsia" w:hAnsiTheme="majorEastAsia" w:eastAsiaTheme="majorEastAsia"/>
          <w:color w:val="000000" w:themeColor="text1"/>
        </w:rPr>
        <w:t xml:space="preserve"> 7</w:t>
      </w:r>
      <w:r>
        <w:rPr>
          <w:rFonts w:hint="eastAsia" w:asciiTheme="majorEastAsia" w:hAnsiTheme="majorEastAsia" w:eastAsiaTheme="majorEastAsia"/>
          <w:color w:val="000000" w:themeColor="text1"/>
        </w:rPr>
        <w:t>日内解决合同设备的故障（重大故障除外）。如果卖方未在上述时间内作出响应，则买方有权自行或委托他人解决相关问题或查找和解决合同设备的故障，卖方应承担由此发生的全部费用。</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9.2</w:t>
      </w:r>
      <w:r>
        <w:rPr>
          <w:rFonts w:hint="eastAsia" w:asciiTheme="majorEastAsia" w:hAnsiTheme="majorEastAsia" w:eastAsiaTheme="majorEastAsia"/>
          <w:color w:val="000000" w:themeColor="text1"/>
        </w:rPr>
        <w:t>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9.3</w:t>
      </w:r>
      <w:r>
        <w:rPr>
          <w:rFonts w:hint="eastAsia" w:asciiTheme="majorEastAsia" w:hAnsiTheme="majorEastAsia" w:eastAsiaTheme="majorEastAsia"/>
          <w:color w:val="000000" w:themeColor="text1"/>
        </w:rPr>
        <w:t>如果任何技术人员不合格，买方有权要求卖方撤换，因撤换而产生的费用应由卖方承担。在不影响质保期服务并且征得买方同意的条件下，卖方也可自负费用更换其技术人员。</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9.4</w:t>
      </w:r>
      <w:r>
        <w:rPr>
          <w:rFonts w:hint="eastAsia" w:asciiTheme="majorEastAsia" w:hAnsiTheme="majorEastAsia" w:eastAsiaTheme="majorEastAsia"/>
          <w:color w:val="000000" w:themeColor="text1"/>
        </w:rPr>
        <w:t>除专用合同条款另有约定外，卖方应就在施工现场进行质保期服务的情况进行记录，记载合同设备故障发生的时间、原因及解决情况等，由买方签字确认，并在质量保证期结束后提交给买方。</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10.</w:t>
      </w:r>
      <w:r>
        <w:rPr>
          <w:rFonts w:hint="eastAsia" w:asciiTheme="majorEastAsia" w:hAnsiTheme="majorEastAsia" w:eastAsiaTheme="majorEastAsia"/>
          <w:b/>
          <w:bCs/>
          <w:color w:val="000000" w:themeColor="text1"/>
          <w:sz w:val="32"/>
          <w:szCs w:val="32"/>
        </w:rPr>
        <w:t>履约保证金</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除专用合同条款另有约定外，履约保证金自合同生效之日起生效，在合同设备验收证书或验收款支付函签署之日起</w:t>
      </w:r>
      <w:r>
        <w:rPr>
          <w:rFonts w:asciiTheme="majorEastAsia" w:hAnsiTheme="majorEastAsia" w:eastAsiaTheme="majorEastAsia"/>
          <w:color w:val="000000" w:themeColor="text1"/>
        </w:rPr>
        <w:t xml:space="preserve"> 28 </w:t>
      </w:r>
      <w:r>
        <w:rPr>
          <w:rFonts w:hint="eastAsia" w:asciiTheme="majorEastAsia" w:hAnsiTheme="majorEastAsia" w:eastAsiaTheme="majorEastAsia"/>
          <w:color w:val="000000" w:themeColor="text1"/>
        </w:rPr>
        <w:t>日后失效。如果卖方不履行合同约定的义务或其履行不符合合同的约定，买方有权扣划相应金额的履约保证金。</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11.</w:t>
      </w:r>
      <w:r>
        <w:rPr>
          <w:rFonts w:hint="eastAsia" w:asciiTheme="majorEastAsia" w:hAnsiTheme="majorEastAsia" w:eastAsiaTheme="majorEastAsia"/>
          <w:b/>
          <w:bCs/>
          <w:color w:val="000000" w:themeColor="text1"/>
          <w:sz w:val="32"/>
          <w:szCs w:val="32"/>
        </w:rPr>
        <w:t>保证</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11.1</w:t>
      </w:r>
      <w:r>
        <w:rPr>
          <w:rFonts w:hint="eastAsia" w:asciiTheme="majorEastAsia" w:hAnsiTheme="majorEastAsia" w:eastAsiaTheme="majorEastAsia"/>
          <w:color w:val="000000" w:themeColor="text1"/>
        </w:rPr>
        <w:t>卖方保证其具有完全的能力履行本合同项下的全部义务。</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11.2</w:t>
      </w:r>
      <w:r>
        <w:rPr>
          <w:rFonts w:hint="eastAsia" w:asciiTheme="majorEastAsia" w:hAnsiTheme="majorEastAsia" w:eastAsiaTheme="majorEastAsia"/>
          <w:color w:val="000000" w:themeColor="text1"/>
        </w:rPr>
        <w:t>卖方保证其所提供的合同设备及对合同的履行符合所有应适用的法律、行政法规、地方性法规、自治条例和单行条例、规章及其他规范性文件的强制性规定。</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11.3</w:t>
      </w:r>
      <w:r>
        <w:rPr>
          <w:rFonts w:hint="eastAsia" w:asciiTheme="majorEastAsia" w:hAnsiTheme="majorEastAsia" w:eastAsiaTheme="majorEastAsia"/>
          <w:color w:val="000000" w:themeColor="text1"/>
        </w:rPr>
        <w:t>卖方保证其对合同设备的销售不损害任何第三方的合法权益和社会公众利益。任何第三方不会因卖方原因而基于所有权、抵押权、留置权或其他任何权利或事由对合同设备主张权利。</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11.4</w:t>
      </w:r>
      <w:r>
        <w:rPr>
          <w:rFonts w:hint="eastAsia" w:asciiTheme="majorEastAsia" w:hAnsiTheme="majorEastAsia" w:eastAsiaTheme="majorEastAsia"/>
          <w:color w:val="000000" w:themeColor="text1"/>
        </w:rPr>
        <w:t>卖方保证合同设备符合合同约定的规格、标准、技术性能考核指标等，能够安全和稳定地运行，且合同设备（包括全部部件）全新、完整、未使用过，除非专用合同条款和（或）供货要求等合同文件另有约定。</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11.5</w:t>
      </w:r>
      <w:r>
        <w:rPr>
          <w:rFonts w:hint="eastAsia" w:asciiTheme="majorEastAsia" w:hAnsiTheme="majorEastAsia" w:eastAsiaTheme="majorEastAsia"/>
          <w:color w:val="000000" w:themeColor="text1"/>
        </w:rPr>
        <w:t>卖方保证，卖方所提供的技术资料完整、清晰、准确，符合合同约定并且能够满足合同设备的安装、调试、考核、操作以及维修和保养的需要。</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11.6</w:t>
      </w:r>
      <w:r>
        <w:rPr>
          <w:rFonts w:hint="eastAsia" w:asciiTheme="majorEastAsia" w:hAnsiTheme="majorEastAsia" w:eastAsiaTheme="majorEastAsia"/>
          <w:color w:val="000000" w:themeColor="text1"/>
        </w:rPr>
        <w:t>卖方保证合同范围内提供的备品备件能够满足合同设备在质量保证期结束前正常运行及维修的需要，如在质量保证期结束前因卖方原因出现备品备件短缺影响合同设备正常运行的，卖方应免费提供。</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11.7</w:t>
      </w:r>
      <w:r>
        <w:rPr>
          <w:rFonts w:hint="eastAsia" w:asciiTheme="majorEastAsia" w:hAnsiTheme="majorEastAsia" w:eastAsiaTheme="majorEastAsia"/>
          <w:color w:val="000000" w:themeColor="text1"/>
        </w:rPr>
        <w:t>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1</w:t>
      </w:r>
      <w:r>
        <w:rPr>
          <w:rFonts w:hint="eastAsia" w:asciiTheme="majorEastAsia" w:hAnsiTheme="majorEastAsia" w:eastAsiaTheme="majorEastAsia"/>
          <w:color w:val="000000" w:themeColor="text1"/>
        </w:rPr>
        <w:t>）以不高于同期市场价格或其向任何第三方销售同类产品的价格提供合同设备正常运行所需的全部备品备件。或</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11.8</w:t>
      </w:r>
      <w:r>
        <w:rPr>
          <w:rFonts w:hint="eastAsia" w:asciiTheme="majorEastAsia" w:hAnsiTheme="majorEastAsia" w:eastAsiaTheme="majorEastAsia"/>
          <w:color w:val="000000" w:themeColor="text1"/>
        </w:rPr>
        <w:t>卖方保证，在合同设备设计使用寿命期内，如果卖方发现合同设备由于设计、制造、标识等原因存在足以危及人身、财产安全的缺陷，卖方将及时通知买方并及时采取修正或者补充标识、修理、更换等措施消除缺陷。</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12.</w:t>
      </w:r>
      <w:r>
        <w:rPr>
          <w:rFonts w:hint="eastAsia" w:asciiTheme="majorEastAsia" w:hAnsiTheme="majorEastAsia" w:eastAsiaTheme="majorEastAsia"/>
          <w:b/>
          <w:bCs/>
          <w:color w:val="000000" w:themeColor="text1"/>
          <w:sz w:val="28"/>
          <w:szCs w:val="28"/>
        </w:rPr>
        <w:t>知识产权</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12.1</w:t>
      </w:r>
      <w:r>
        <w:rPr>
          <w:rFonts w:hint="eastAsia" w:asciiTheme="majorEastAsia" w:hAnsiTheme="majorEastAsia" w:eastAsiaTheme="majorEastAsia"/>
          <w:color w:val="000000" w:themeColor="text1"/>
        </w:rPr>
        <w:t>买方在履行合同过程中提供给卖方的全部图纸、文件和其他含有数据和信息的资料，其知识产权属于买方。</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12.2</w:t>
      </w:r>
      <w:r>
        <w:rPr>
          <w:rFonts w:hint="eastAsia" w:asciiTheme="majorEastAsia" w:hAnsiTheme="majorEastAsia" w:eastAsiaTheme="majorEastAsia"/>
          <w:color w:val="000000" w:themeColor="text1"/>
        </w:rPr>
        <w:t>除专用合同条款另有约定外，买方不因签署和履行合同而享有卖方在履行合同过程中提供给买方的图纸、文件、配套软件、电子辅助程序和其他含有数据和信息的资料的知识产权。</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12.3</w:t>
      </w:r>
      <w:r>
        <w:rPr>
          <w:rFonts w:hint="eastAsia" w:asciiTheme="majorEastAsia" w:hAnsiTheme="majorEastAsia" w:eastAsiaTheme="majorEastAsia"/>
          <w:color w:val="000000" w:themeColor="text1"/>
        </w:rPr>
        <w:t>如合同设备涉及知识产权，则卖方保证买方在使用合同设备过程中免于受到第三方提出的有关知识产权侵权的主张、索赔或诉讼的伤害。</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12.4</w:t>
      </w:r>
      <w:r>
        <w:rPr>
          <w:rFonts w:hint="eastAsia" w:asciiTheme="majorEastAsia" w:hAnsiTheme="majorEastAsia" w:eastAsiaTheme="majorEastAsia"/>
          <w:color w:val="000000" w:themeColor="text1"/>
        </w:rPr>
        <w:t>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w:t>
      </w:r>
      <w:r>
        <w:rPr>
          <w:rFonts w:asciiTheme="majorEastAsia" w:hAnsiTheme="majorEastAsia" w:eastAsiaTheme="majorEastAsia"/>
          <w:color w:val="000000" w:themeColor="text1"/>
        </w:rPr>
        <w:t xml:space="preserve"> 28 </w:t>
      </w:r>
      <w:r>
        <w:rPr>
          <w:rFonts w:hint="eastAsia" w:asciiTheme="majorEastAsia" w:hAnsiTheme="majorEastAsia" w:eastAsiaTheme="majorEastAsia"/>
          <w:color w:val="000000" w:themeColor="text1"/>
        </w:rPr>
        <w:t>日内未作表示，买方可以自己的名义进行这些索赔或诉讼，因此发生的费用和遭受的损失均应由卖方承担。</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13.</w:t>
      </w:r>
      <w:r>
        <w:rPr>
          <w:rFonts w:hint="eastAsia" w:asciiTheme="majorEastAsia" w:hAnsiTheme="majorEastAsia" w:eastAsiaTheme="majorEastAsia"/>
          <w:b/>
          <w:bCs/>
          <w:color w:val="000000" w:themeColor="text1"/>
          <w:sz w:val="28"/>
          <w:szCs w:val="28"/>
        </w:rPr>
        <w:t>保密</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合同当事人的保密义务不适用于下列信息：</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1</w:t>
      </w:r>
      <w:r>
        <w:rPr>
          <w:rFonts w:hint="eastAsia" w:asciiTheme="majorEastAsia" w:hAnsiTheme="majorEastAsia" w:eastAsiaTheme="majorEastAsia"/>
          <w:color w:val="000000" w:themeColor="text1"/>
        </w:rPr>
        <w:t>）非因接受信息一方的过失现在或以后进入公共领域的信息；</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）接受信息一方当事人合法地从第三方获得并且据其善意了解第三方也不对此承担保密义务的信息；</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3</w:t>
      </w:r>
      <w:r>
        <w:rPr>
          <w:rFonts w:hint="eastAsia" w:asciiTheme="majorEastAsia" w:hAnsiTheme="majorEastAsia" w:eastAsiaTheme="majorEastAsia"/>
          <w:color w:val="000000" w:themeColor="text1"/>
        </w:rPr>
        <w:t>）法律或法律的执行要求披露的信息。</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14.</w:t>
      </w:r>
      <w:r>
        <w:rPr>
          <w:rFonts w:hint="eastAsia" w:asciiTheme="majorEastAsia" w:hAnsiTheme="majorEastAsia" w:eastAsiaTheme="majorEastAsia"/>
          <w:b/>
          <w:bCs/>
          <w:color w:val="000000" w:themeColor="text1"/>
          <w:sz w:val="28"/>
          <w:szCs w:val="28"/>
        </w:rPr>
        <w:t>违约责任</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14.1</w:t>
      </w:r>
      <w:r>
        <w:rPr>
          <w:rFonts w:hint="eastAsia" w:asciiTheme="majorEastAsia" w:hAnsiTheme="majorEastAsia" w:eastAsiaTheme="majorEastAsia"/>
          <w:color w:val="000000" w:themeColor="text1"/>
        </w:rPr>
        <w:t>合同一方不履行合同义务、履行合同义务不符合约定或者违反合同项下所作保证的，应向对方承担继续履行、采取修理、更换、退货等补救措施或者赔偿损失等违约责任。</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14.2</w:t>
      </w:r>
      <w:r>
        <w:rPr>
          <w:rFonts w:hint="eastAsia" w:asciiTheme="majorEastAsia" w:hAnsiTheme="majorEastAsia" w:eastAsiaTheme="majorEastAsia"/>
          <w:color w:val="000000" w:themeColor="text1"/>
        </w:rPr>
        <w:t>卖方未能按时交付合同设备（包括仅迟延交付技术资料但足以导致合同设备安装、调试、考核、验收工作推迟的）的，应向买方支付迟延交付违约金。除专用合同条款另有约定外，迟延交付违约金的计算方法如下：</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1</w:t>
      </w:r>
      <w:r>
        <w:rPr>
          <w:rFonts w:hint="eastAsia" w:asciiTheme="majorEastAsia" w:hAnsiTheme="majorEastAsia" w:eastAsiaTheme="majorEastAsia"/>
          <w:color w:val="000000" w:themeColor="text1"/>
        </w:rPr>
        <w:t>）从迟交的第一周到第四周，每周迟延交付违约金为迟交合同设备价格的</w:t>
      </w:r>
      <w:r>
        <w:rPr>
          <w:rFonts w:asciiTheme="majorEastAsia" w:hAnsiTheme="majorEastAsia" w:eastAsiaTheme="majorEastAsia"/>
          <w:color w:val="000000" w:themeColor="text1"/>
        </w:rPr>
        <w:t xml:space="preserve"> 0.5%</w:t>
      </w:r>
      <w:r>
        <w:rPr>
          <w:rFonts w:hint="eastAsia" w:asciiTheme="majorEastAsia" w:hAnsiTheme="majorEastAsia" w:eastAsiaTheme="majorEastAsia"/>
          <w:color w:val="000000" w:themeColor="text1"/>
        </w:rPr>
        <w:t>；</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）从迟交的第五周到第八周，每周迟延交付违约金为迟交合同设备价格的</w:t>
      </w:r>
      <w:r>
        <w:rPr>
          <w:rFonts w:asciiTheme="majorEastAsia" w:hAnsiTheme="majorEastAsia" w:eastAsiaTheme="majorEastAsia"/>
          <w:color w:val="000000" w:themeColor="text1"/>
        </w:rPr>
        <w:t xml:space="preserve"> 1%</w:t>
      </w:r>
      <w:r>
        <w:rPr>
          <w:rFonts w:hint="eastAsia" w:asciiTheme="majorEastAsia" w:hAnsiTheme="majorEastAsia" w:eastAsiaTheme="majorEastAsia"/>
          <w:color w:val="000000" w:themeColor="text1"/>
        </w:rPr>
        <w:t>；</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3</w:t>
      </w:r>
      <w:r>
        <w:rPr>
          <w:rFonts w:hint="eastAsia" w:asciiTheme="majorEastAsia" w:hAnsiTheme="majorEastAsia" w:eastAsiaTheme="majorEastAsia"/>
          <w:color w:val="000000" w:themeColor="text1"/>
        </w:rPr>
        <w:t>）从迟交第九周起，每周迟延交付违约金为迟交合同设备价格的</w:t>
      </w:r>
      <w:r>
        <w:rPr>
          <w:rFonts w:asciiTheme="majorEastAsia" w:hAnsiTheme="majorEastAsia" w:eastAsiaTheme="majorEastAsia"/>
          <w:color w:val="000000" w:themeColor="text1"/>
        </w:rPr>
        <w:t xml:space="preserve"> 1.5%</w:t>
      </w:r>
      <w:r>
        <w:rPr>
          <w:rFonts w:hint="eastAsia" w:asciiTheme="majorEastAsia" w:hAnsiTheme="majorEastAsia" w:eastAsiaTheme="majorEastAsia"/>
          <w:color w:val="000000" w:themeColor="text1"/>
        </w:rPr>
        <w:t>。</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在计算迟延交付违约金时，迟交不足一周的按一周计算。迟延交付违约金的总额不得超过合同价格的</w:t>
      </w:r>
      <w:r>
        <w:rPr>
          <w:rFonts w:asciiTheme="majorEastAsia" w:hAnsiTheme="majorEastAsia" w:eastAsiaTheme="majorEastAsia"/>
          <w:color w:val="000000" w:themeColor="text1"/>
        </w:rPr>
        <w:t xml:space="preserve"> 10%</w:t>
      </w:r>
      <w:r>
        <w:rPr>
          <w:rFonts w:hint="eastAsia" w:asciiTheme="majorEastAsia" w:hAnsiTheme="majorEastAsia" w:eastAsiaTheme="majorEastAsia"/>
          <w:color w:val="000000" w:themeColor="text1"/>
        </w:rPr>
        <w:t>。迟延交付违约金的支付不能免除卖方继续交付相关合同设备的义务，但如迟延交付必然导致合同设备安装、调试、考核、验收工作推迟的，相关工作应相应顺延。</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 xml:space="preserve">14.3 </w:t>
      </w:r>
      <w:r>
        <w:rPr>
          <w:rFonts w:hint="eastAsia" w:asciiTheme="majorEastAsia" w:hAnsiTheme="majorEastAsia" w:eastAsiaTheme="majorEastAsia"/>
          <w:color w:val="000000" w:themeColor="text1"/>
        </w:rPr>
        <w:t>买方未能按合同约定支付合同价款的，应向卖方支付延迟付款违约金。除专用合同条款另有约定外，迟延付款违约金的计算方法如下：</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1</w:t>
      </w:r>
      <w:r>
        <w:rPr>
          <w:rFonts w:hint="eastAsia" w:asciiTheme="majorEastAsia" w:hAnsiTheme="majorEastAsia" w:eastAsiaTheme="majorEastAsia"/>
          <w:color w:val="000000" w:themeColor="text1"/>
        </w:rPr>
        <w:t>）从迟付的第一周到第四周，每周迟延付款违约金为迟延付款金额的</w:t>
      </w:r>
      <w:r>
        <w:rPr>
          <w:rFonts w:asciiTheme="majorEastAsia" w:hAnsiTheme="majorEastAsia" w:eastAsiaTheme="majorEastAsia"/>
          <w:color w:val="000000" w:themeColor="text1"/>
        </w:rPr>
        <w:t xml:space="preserve"> 0.5%</w:t>
      </w:r>
      <w:r>
        <w:rPr>
          <w:rFonts w:hint="eastAsia" w:asciiTheme="majorEastAsia" w:hAnsiTheme="majorEastAsia" w:eastAsiaTheme="majorEastAsia"/>
          <w:color w:val="000000" w:themeColor="text1"/>
        </w:rPr>
        <w:t>；</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）从迟付的第五周到第八周，每周迟延付款违约金为迟延付款金额的</w:t>
      </w:r>
      <w:r>
        <w:rPr>
          <w:rFonts w:asciiTheme="majorEastAsia" w:hAnsiTheme="majorEastAsia" w:eastAsiaTheme="majorEastAsia"/>
          <w:color w:val="000000" w:themeColor="text1"/>
        </w:rPr>
        <w:t xml:space="preserve"> 1%</w:t>
      </w:r>
      <w:r>
        <w:rPr>
          <w:rFonts w:hint="eastAsia" w:asciiTheme="majorEastAsia" w:hAnsiTheme="majorEastAsia" w:eastAsiaTheme="majorEastAsia"/>
          <w:color w:val="000000" w:themeColor="text1"/>
        </w:rPr>
        <w:t>；</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3</w:t>
      </w:r>
      <w:r>
        <w:rPr>
          <w:rFonts w:hint="eastAsia" w:asciiTheme="majorEastAsia" w:hAnsiTheme="majorEastAsia" w:eastAsiaTheme="majorEastAsia"/>
          <w:color w:val="000000" w:themeColor="text1"/>
        </w:rPr>
        <w:t>）从迟付第九周起，每周迟延付款违约金为迟延付款金额的</w:t>
      </w:r>
      <w:r>
        <w:rPr>
          <w:rFonts w:asciiTheme="majorEastAsia" w:hAnsiTheme="majorEastAsia" w:eastAsiaTheme="majorEastAsia"/>
          <w:color w:val="000000" w:themeColor="text1"/>
        </w:rPr>
        <w:t xml:space="preserve"> 1.5%</w:t>
      </w:r>
      <w:r>
        <w:rPr>
          <w:rFonts w:hint="eastAsia" w:asciiTheme="majorEastAsia" w:hAnsiTheme="majorEastAsia" w:eastAsiaTheme="majorEastAsia"/>
          <w:color w:val="000000" w:themeColor="text1"/>
        </w:rPr>
        <w:t>。</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在计算迟延付款违约金时，迟付不足一周的按一周计算。迟延付款违约金的总额不得超过合同价格的</w:t>
      </w:r>
      <w:r>
        <w:rPr>
          <w:rFonts w:asciiTheme="majorEastAsia" w:hAnsiTheme="majorEastAsia" w:eastAsiaTheme="majorEastAsia"/>
          <w:color w:val="000000" w:themeColor="text1"/>
        </w:rPr>
        <w:t xml:space="preserve"> 10%</w:t>
      </w:r>
      <w:r>
        <w:rPr>
          <w:rFonts w:hint="eastAsia" w:asciiTheme="majorEastAsia" w:hAnsiTheme="majorEastAsia" w:eastAsiaTheme="majorEastAsia"/>
          <w:color w:val="000000" w:themeColor="text1"/>
        </w:rPr>
        <w:t>。</w:t>
      </w:r>
    </w:p>
    <w:p>
      <w:pPr>
        <w:spacing w:line="360" w:lineRule="auto"/>
        <w:rPr>
          <w:rFonts w:asciiTheme="majorEastAsia" w:hAnsiTheme="majorEastAsia" w:eastAsiaTheme="majorEastAsia"/>
          <w:b/>
          <w:bCs/>
          <w:color w:val="000000" w:themeColor="text1"/>
          <w:sz w:val="32"/>
          <w:szCs w:val="32"/>
        </w:rPr>
      </w:pPr>
      <w:r>
        <w:rPr>
          <w:rFonts w:asciiTheme="majorEastAsia" w:hAnsiTheme="majorEastAsia" w:eastAsiaTheme="majorEastAsia"/>
          <w:b/>
          <w:bCs/>
          <w:color w:val="000000" w:themeColor="text1"/>
          <w:sz w:val="32"/>
          <w:szCs w:val="32"/>
        </w:rPr>
        <w:t xml:space="preserve">15. </w:t>
      </w:r>
      <w:r>
        <w:rPr>
          <w:rFonts w:hint="eastAsia" w:asciiTheme="majorEastAsia" w:hAnsiTheme="majorEastAsia" w:eastAsiaTheme="majorEastAsia"/>
          <w:b/>
          <w:bCs/>
          <w:color w:val="000000" w:themeColor="text1"/>
          <w:sz w:val="32"/>
          <w:szCs w:val="32"/>
        </w:rPr>
        <w:t>合同的解除</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除专用合同条款另有约定外，有下述情形之一，当事人可发出书面通知全部或部分地解除合同，合同自通知到达对方时全部或部分地解除：</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1</w:t>
      </w:r>
      <w:r>
        <w:rPr>
          <w:rFonts w:hint="eastAsia" w:asciiTheme="majorEastAsia" w:hAnsiTheme="majorEastAsia" w:eastAsiaTheme="majorEastAsia"/>
          <w:color w:val="000000" w:themeColor="text1"/>
        </w:rPr>
        <w:t>）卖方迟延交付合同设备超过</w:t>
      </w:r>
      <w:r>
        <w:rPr>
          <w:rFonts w:asciiTheme="majorEastAsia" w:hAnsiTheme="majorEastAsia" w:eastAsiaTheme="majorEastAsia"/>
          <w:color w:val="000000" w:themeColor="text1"/>
        </w:rPr>
        <w:t xml:space="preserve"> 3 </w:t>
      </w:r>
      <w:r>
        <w:rPr>
          <w:rFonts w:hint="eastAsia" w:asciiTheme="majorEastAsia" w:hAnsiTheme="majorEastAsia" w:eastAsiaTheme="majorEastAsia"/>
          <w:color w:val="000000" w:themeColor="text1"/>
        </w:rPr>
        <w:t>个月；</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3</w:t>
      </w:r>
      <w:r>
        <w:rPr>
          <w:rFonts w:hint="eastAsia" w:asciiTheme="majorEastAsia" w:hAnsiTheme="majorEastAsia" w:eastAsiaTheme="majorEastAsia"/>
          <w:color w:val="000000" w:themeColor="text1"/>
        </w:rPr>
        <w:t>）买方迟延付款超过</w:t>
      </w:r>
      <w:r>
        <w:rPr>
          <w:rFonts w:asciiTheme="majorEastAsia" w:hAnsiTheme="majorEastAsia" w:eastAsiaTheme="majorEastAsia"/>
          <w:color w:val="000000" w:themeColor="text1"/>
        </w:rPr>
        <w:t xml:space="preserve"> 3 </w:t>
      </w:r>
      <w:r>
        <w:rPr>
          <w:rFonts w:hint="eastAsia" w:asciiTheme="majorEastAsia" w:hAnsiTheme="majorEastAsia" w:eastAsiaTheme="majorEastAsia"/>
          <w:color w:val="000000" w:themeColor="text1"/>
        </w:rPr>
        <w:t>个月；</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4</w:t>
      </w:r>
      <w:r>
        <w:rPr>
          <w:rFonts w:hint="eastAsia" w:asciiTheme="majorEastAsia" w:hAnsiTheme="majorEastAsia" w:eastAsiaTheme="majorEastAsia"/>
          <w:color w:val="000000" w:themeColor="text1"/>
        </w:rPr>
        <w:t>）合同一方当事人未能履行合同项下任何其它义务（细微义务除外），或在未事先征得另一方当事人同意的情况下，从事任何可能在实质上不利影响其履行合同能力的活动，经另一方当事人书面通知后</w:t>
      </w:r>
      <w:r>
        <w:rPr>
          <w:rFonts w:asciiTheme="majorEastAsia" w:hAnsiTheme="majorEastAsia" w:eastAsiaTheme="majorEastAsia"/>
          <w:color w:val="000000" w:themeColor="text1"/>
        </w:rPr>
        <w:t xml:space="preserve"> 14 </w:t>
      </w:r>
      <w:r>
        <w:rPr>
          <w:rFonts w:hint="eastAsia" w:asciiTheme="majorEastAsia" w:hAnsiTheme="majorEastAsia" w:eastAsiaTheme="majorEastAsia"/>
          <w:color w:val="000000" w:themeColor="text1"/>
        </w:rPr>
        <w:t>日内或在专用合同条款约定的其他期限内未能对其行为作出补救；</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5</w:t>
      </w:r>
      <w:r>
        <w:rPr>
          <w:rFonts w:hint="eastAsia" w:asciiTheme="majorEastAsia" w:hAnsiTheme="majorEastAsia" w:eastAsiaTheme="majorEastAsia"/>
          <w:color w:val="000000" w:themeColor="text1"/>
        </w:rPr>
        <w:t>）合同一方当事人出现破产、清算、资不抵债、成为失信被执行人等可能丧失履约能力的情形，且未能提供令对方满意的履约保证金。</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16.</w:t>
      </w:r>
      <w:r>
        <w:rPr>
          <w:rFonts w:hint="eastAsia" w:asciiTheme="majorEastAsia" w:hAnsiTheme="majorEastAsia" w:eastAsiaTheme="majorEastAsia"/>
          <w:b/>
          <w:bCs/>
          <w:color w:val="000000" w:themeColor="text1"/>
          <w:sz w:val="28"/>
          <w:szCs w:val="28"/>
        </w:rPr>
        <w:t>不可抗力</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16.1</w:t>
      </w:r>
      <w:r>
        <w:rPr>
          <w:rFonts w:hint="eastAsia" w:asciiTheme="majorEastAsia" w:hAnsiTheme="majorEastAsia" w:eastAsiaTheme="majorEastAsia"/>
          <w:color w:val="000000" w:themeColor="text1"/>
        </w:rPr>
        <w:t>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w:t>
      </w:r>
      <w:r>
        <w:rPr>
          <w:rFonts w:asciiTheme="majorEastAsia" w:hAnsiTheme="majorEastAsia" w:eastAsiaTheme="majorEastAsia"/>
          <w:color w:val="000000" w:themeColor="text1"/>
        </w:rPr>
        <w:t xml:space="preserve"> 28 </w:t>
      </w:r>
      <w:r>
        <w:rPr>
          <w:rFonts w:hint="eastAsia" w:asciiTheme="majorEastAsia" w:hAnsiTheme="majorEastAsia" w:eastAsiaTheme="majorEastAsia"/>
          <w:color w:val="000000" w:themeColor="text1"/>
        </w:rPr>
        <w:t>日内将有关当局或机构出具的证明文件提交给另一方当事人。</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16.2</w:t>
      </w:r>
      <w:r>
        <w:rPr>
          <w:rFonts w:hint="eastAsia" w:asciiTheme="majorEastAsia" w:hAnsiTheme="majorEastAsia" w:eastAsiaTheme="majorEastAsia"/>
          <w:color w:val="000000" w:themeColor="text1"/>
        </w:rPr>
        <w:t>受不可抗力事件影响的一方当事人对于不可抗力事件导致的任何合同义务的迟延履行或不能履行不承担违约责任。但该方当事人应尽快将不可抗力事件结束或消除的情况通知另一方当事人。</w:t>
      </w:r>
    </w:p>
    <w:p>
      <w:pPr>
        <w:spacing w:line="360"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16.3</w:t>
      </w:r>
      <w:r>
        <w:rPr>
          <w:rFonts w:hint="eastAsia" w:asciiTheme="majorEastAsia" w:hAnsiTheme="majorEastAsia" w:eastAsiaTheme="majorEastAsia"/>
          <w:color w:val="000000" w:themeColor="text1"/>
        </w:rPr>
        <w:t>双方当事人应在不可抗力事件结束或其影响消除后立即继续履行其合同义务，合同期限也应相应顺延。除专用合同条款另有约定外，如果不可抗力事件的影响持续超过</w:t>
      </w:r>
      <w:r>
        <w:rPr>
          <w:rFonts w:asciiTheme="majorEastAsia" w:hAnsiTheme="majorEastAsia" w:eastAsiaTheme="majorEastAsia"/>
          <w:color w:val="000000" w:themeColor="text1"/>
        </w:rPr>
        <w:t xml:space="preserve"> 140 </w:t>
      </w:r>
      <w:r>
        <w:rPr>
          <w:rFonts w:hint="eastAsia" w:asciiTheme="majorEastAsia" w:hAnsiTheme="majorEastAsia" w:eastAsiaTheme="majorEastAsia"/>
          <w:color w:val="000000" w:themeColor="text1"/>
        </w:rPr>
        <w:t>日，则任何一方当事人均有权以书面通知解除合同。</w:t>
      </w:r>
    </w:p>
    <w:p>
      <w:pPr>
        <w:spacing w:line="360" w:lineRule="auto"/>
        <w:rPr>
          <w:rFonts w:asciiTheme="majorEastAsia" w:hAnsiTheme="majorEastAsia" w:eastAsiaTheme="majorEastAsia"/>
          <w:b/>
          <w:bCs/>
          <w:color w:val="000000" w:themeColor="text1"/>
          <w:sz w:val="28"/>
          <w:szCs w:val="28"/>
        </w:rPr>
      </w:pPr>
      <w:r>
        <w:rPr>
          <w:rFonts w:asciiTheme="majorEastAsia" w:hAnsiTheme="majorEastAsia" w:eastAsiaTheme="majorEastAsia"/>
          <w:b/>
          <w:bCs/>
          <w:color w:val="000000" w:themeColor="text1"/>
          <w:sz w:val="28"/>
          <w:szCs w:val="28"/>
        </w:rPr>
        <w:t>17.</w:t>
      </w:r>
      <w:r>
        <w:rPr>
          <w:rFonts w:hint="eastAsia" w:asciiTheme="majorEastAsia" w:hAnsiTheme="majorEastAsia" w:eastAsiaTheme="majorEastAsia"/>
          <w:b/>
          <w:bCs/>
          <w:color w:val="000000" w:themeColor="text1"/>
          <w:sz w:val="28"/>
          <w:szCs w:val="28"/>
        </w:rPr>
        <w:t>争议的解决</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因本合同引起的或与本合同有关的任何争议</w:t>
      </w:r>
      <w:r>
        <w:rPr>
          <w:rFonts w:asciiTheme="majorEastAsia" w:hAnsiTheme="majorEastAsia" w:eastAsiaTheme="majorEastAsia"/>
          <w:color w:val="000000" w:themeColor="text1"/>
        </w:rPr>
        <w:t>,</w:t>
      </w:r>
      <w:r>
        <w:rPr>
          <w:rFonts w:hint="eastAsia" w:asciiTheme="majorEastAsia" w:hAnsiTheme="majorEastAsia" w:eastAsiaTheme="majorEastAsia"/>
          <w:color w:val="000000" w:themeColor="text1"/>
        </w:rPr>
        <w:t>双方可通过友好协商解决。友好协商解决不成的，可在专用合同条款中约定下列一种方式解决：</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1</w:t>
      </w:r>
      <w:r>
        <w:rPr>
          <w:rFonts w:hint="eastAsia" w:asciiTheme="majorEastAsia" w:hAnsiTheme="majorEastAsia" w:eastAsiaTheme="majorEastAsia"/>
          <w:color w:val="000000" w:themeColor="text1"/>
        </w:rPr>
        <w:t>）向约定的仲裁委员会申请仲裁；</w:t>
      </w:r>
    </w:p>
    <w:p>
      <w:pPr>
        <w:spacing w:line="360"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）向有管辖权的人民法院提起诉讼。</w:t>
      </w: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jc w:val="center"/>
        <w:rPr>
          <w:rFonts w:asciiTheme="majorEastAsia" w:hAnsiTheme="majorEastAsia" w:eastAsiaTheme="majorEastAsia"/>
          <w:b/>
          <w:bCs/>
          <w:color w:val="000000" w:themeColor="text1"/>
          <w:sz w:val="32"/>
          <w:szCs w:val="32"/>
        </w:rPr>
      </w:pPr>
      <w:r>
        <w:rPr>
          <w:rFonts w:hint="eastAsia" w:asciiTheme="majorEastAsia" w:hAnsiTheme="majorEastAsia" w:eastAsiaTheme="majorEastAsia"/>
          <w:b/>
          <w:bCs/>
          <w:color w:val="000000" w:themeColor="text1"/>
          <w:sz w:val="32"/>
          <w:szCs w:val="32"/>
        </w:rPr>
        <w:t>第二节专用合同条款</w:t>
      </w:r>
    </w:p>
    <w:p>
      <w:pPr>
        <w:pStyle w:val="49"/>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xml:space="preserve">                     （本项目专用合同条款双方在签订合同协商确定）</w:t>
      </w: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rPr>
          <w:rFonts w:asciiTheme="majorEastAsia" w:hAnsiTheme="majorEastAsia" w:eastAsiaTheme="majorEastAsia"/>
          <w:color w:val="000000" w:themeColor="text1"/>
        </w:rPr>
      </w:pPr>
    </w:p>
    <w:p>
      <w:pPr>
        <w:spacing w:line="360" w:lineRule="auto"/>
        <w:jc w:val="center"/>
        <w:rPr>
          <w:rFonts w:asciiTheme="majorEastAsia" w:hAnsiTheme="majorEastAsia" w:eastAsiaTheme="majorEastAsia"/>
          <w:b/>
          <w:bCs/>
          <w:color w:val="000000" w:themeColor="text1"/>
          <w:sz w:val="32"/>
          <w:szCs w:val="32"/>
        </w:rPr>
      </w:pPr>
      <w:r>
        <w:rPr>
          <w:rFonts w:hint="eastAsia" w:asciiTheme="majorEastAsia" w:hAnsiTheme="majorEastAsia" w:eastAsiaTheme="majorEastAsia"/>
          <w:b/>
          <w:bCs/>
          <w:color w:val="000000" w:themeColor="text1"/>
          <w:sz w:val="32"/>
          <w:szCs w:val="32"/>
        </w:rPr>
        <w:t>第三节合同附件格式</w:t>
      </w: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240" w:lineRule="atLeast"/>
        <w:ind w:left="140"/>
        <w:rPr>
          <w:rFonts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附件一：合同协议书</w:t>
      </w:r>
    </w:p>
    <w:p>
      <w:pPr>
        <w:spacing w:line="200" w:lineRule="exact"/>
        <w:rPr>
          <w:rFonts w:asciiTheme="majorEastAsia" w:hAnsiTheme="majorEastAsia" w:eastAsiaTheme="majorEastAsia"/>
          <w:color w:val="000000" w:themeColor="text1"/>
        </w:rPr>
      </w:pPr>
    </w:p>
    <w:p>
      <w:pPr>
        <w:spacing w:line="200" w:lineRule="exact"/>
        <w:rPr>
          <w:rFonts w:asciiTheme="majorEastAsia" w:hAnsiTheme="majorEastAsia" w:eastAsiaTheme="majorEastAsia"/>
          <w:color w:val="000000" w:themeColor="text1"/>
        </w:rPr>
      </w:pPr>
    </w:p>
    <w:p>
      <w:pPr>
        <w:spacing w:line="234" w:lineRule="exact"/>
        <w:rPr>
          <w:rFonts w:asciiTheme="majorEastAsia" w:hAnsiTheme="majorEastAsia" w:eastAsiaTheme="majorEastAsia"/>
          <w:color w:val="000000" w:themeColor="text1"/>
        </w:rPr>
      </w:pPr>
    </w:p>
    <w:p>
      <w:pPr>
        <w:spacing w:line="240" w:lineRule="atLeast"/>
        <w:ind w:left="3620"/>
        <w:rPr>
          <w:rFonts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合同协议书</w:t>
      </w:r>
    </w:p>
    <w:p>
      <w:pPr>
        <w:spacing w:line="240" w:lineRule="atLeast"/>
        <w:ind w:left="3620"/>
        <w:rPr>
          <w:rFonts w:asciiTheme="majorEastAsia" w:hAnsiTheme="majorEastAsia" w:eastAsiaTheme="majorEastAsia"/>
          <w:color w:val="000000" w:themeColor="text1"/>
          <w:sz w:val="28"/>
        </w:rPr>
      </w:pPr>
    </w:p>
    <w:p>
      <w:pPr>
        <w:spacing w:line="360" w:lineRule="auto"/>
        <w:ind w:firstLine="420" w:firstLineChars="200"/>
        <w:rPr>
          <w:rFonts w:asciiTheme="majorEastAsia" w:hAnsiTheme="majorEastAsia" w:eastAsiaTheme="majorEastAsia"/>
          <w:bCs/>
          <w:color w:val="000000" w:themeColor="text1"/>
          <w:szCs w:val="21"/>
        </w:rPr>
      </w:pPr>
      <w:r>
        <w:rPr>
          <w:rFonts w:hint="eastAsia" w:asciiTheme="majorEastAsia" w:hAnsiTheme="majorEastAsia" w:eastAsiaTheme="majorEastAsia"/>
          <w:bCs/>
          <w:color w:val="000000" w:themeColor="text1"/>
          <w:szCs w:val="21"/>
        </w:rPr>
        <w:t>（买方名称，以下简称“买方”）为获得（项目名称）合同设备和技术服务和质保期服务，已接受（卖方名称，以下简称“卖方”）为提供上述合同设备和技术服务和质保期服务所作的投标，买方和卖方共同达成如下协议。</w:t>
      </w:r>
    </w:p>
    <w:p>
      <w:pPr>
        <w:tabs>
          <w:tab w:val="left" w:pos="684"/>
        </w:tabs>
        <w:spacing w:line="428" w:lineRule="auto"/>
        <w:ind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1.</w:t>
      </w:r>
      <w:r>
        <w:rPr>
          <w:rFonts w:hint="eastAsia" w:asciiTheme="majorEastAsia" w:hAnsiTheme="majorEastAsia" w:eastAsiaTheme="majorEastAsia"/>
          <w:color w:val="000000" w:themeColor="text1"/>
        </w:rPr>
        <w:t>本协议书与下列文件一起构成合同文件：</w:t>
      </w:r>
    </w:p>
    <w:p>
      <w:pPr>
        <w:widowControl/>
        <w:numPr>
          <w:ilvl w:val="0"/>
          <w:numId w:val="6"/>
        </w:numPr>
        <w:tabs>
          <w:tab w:val="left" w:pos="684"/>
        </w:tabs>
        <w:spacing w:line="428" w:lineRule="auto"/>
        <w:ind w:firstLine="42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中标通知书；</w:t>
      </w:r>
    </w:p>
    <w:p>
      <w:pPr>
        <w:widowControl/>
        <w:numPr>
          <w:ilvl w:val="0"/>
          <w:numId w:val="6"/>
        </w:numPr>
        <w:tabs>
          <w:tab w:val="left" w:pos="684"/>
        </w:tabs>
        <w:spacing w:line="428" w:lineRule="auto"/>
        <w:ind w:firstLine="42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投标函；</w:t>
      </w:r>
    </w:p>
    <w:p>
      <w:pPr>
        <w:widowControl/>
        <w:numPr>
          <w:ilvl w:val="0"/>
          <w:numId w:val="6"/>
        </w:numPr>
        <w:tabs>
          <w:tab w:val="left" w:pos="684"/>
        </w:tabs>
        <w:spacing w:line="428" w:lineRule="auto"/>
        <w:ind w:firstLine="42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商务和技术偏差表；</w:t>
      </w:r>
    </w:p>
    <w:p>
      <w:pPr>
        <w:widowControl/>
        <w:numPr>
          <w:ilvl w:val="0"/>
          <w:numId w:val="6"/>
        </w:numPr>
        <w:tabs>
          <w:tab w:val="left" w:pos="684"/>
        </w:tabs>
        <w:spacing w:line="428" w:lineRule="auto"/>
        <w:ind w:firstLine="42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专用合同条款；</w:t>
      </w:r>
    </w:p>
    <w:p>
      <w:pPr>
        <w:widowControl/>
        <w:numPr>
          <w:ilvl w:val="0"/>
          <w:numId w:val="6"/>
        </w:numPr>
        <w:tabs>
          <w:tab w:val="left" w:pos="684"/>
        </w:tabs>
        <w:spacing w:line="428" w:lineRule="auto"/>
        <w:ind w:firstLine="42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通用合同条款；</w:t>
      </w:r>
    </w:p>
    <w:p>
      <w:pPr>
        <w:widowControl/>
        <w:numPr>
          <w:ilvl w:val="0"/>
          <w:numId w:val="6"/>
        </w:numPr>
        <w:tabs>
          <w:tab w:val="left" w:pos="684"/>
        </w:tabs>
        <w:spacing w:line="428" w:lineRule="auto"/>
        <w:ind w:firstLine="42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供货要求；</w:t>
      </w:r>
    </w:p>
    <w:p>
      <w:pPr>
        <w:widowControl/>
        <w:numPr>
          <w:ilvl w:val="0"/>
          <w:numId w:val="6"/>
        </w:numPr>
        <w:tabs>
          <w:tab w:val="left" w:pos="684"/>
        </w:tabs>
        <w:spacing w:line="428" w:lineRule="auto"/>
        <w:ind w:firstLine="42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分项报价表；</w:t>
      </w:r>
    </w:p>
    <w:p>
      <w:pPr>
        <w:widowControl/>
        <w:numPr>
          <w:ilvl w:val="0"/>
          <w:numId w:val="6"/>
        </w:numPr>
        <w:tabs>
          <w:tab w:val="left" w:pos="684"/>
        </w:tabs>
        <w:spacing w:line="428" w:lineRule="auto"/>
        <w:ind w:firstLine="42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中标设备技术性能指标的详细描述；</w:t>
      </w:r>
    </w:p>
    <w:p>
      <w:pPr>
        <w:widowControl/>
        <w:numPr>
          <w:ilvl w:val="0"/>
          <w:numId w:val="6"/>
        </w:numPr>
        <w:tabs>
          <w:tab w:val="left" w:pos="684"/>
        </w:tabs>
        <w:spacing w:line="428" w:lineRule="auto"/>
        <w:ind w:firstLine="42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技术服务和质保期服务计划；</w:t>
      </w:r>
    </w:p>
    <w:p>
      <w:pPr>
        <w:widowControl/>
        <w:numPr>
          <w:ilvl w:val="0"/>
          <w:numId w:val="6"/>
        </w:numPr>
        <w:tabs>
          <w:tab w:val="left" w:pos="684"/>
        </w:tabs>
        <w:spacing w:line="428" w:lineRule="auto"/>
        <w:ind w:firstLine="420" w:firstLineChars="200"/>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质量保证书；</w:t>
      </w:r>
    </w:p>
    <w:p>
      <w:pPr>
        <w:tabs>
          <w:tab w:val="left" w:pos="684"/>
        </w:tabs>
        <w:spacing w:line="428" w:lineRule="auto"/>
        <w:ind w:firstLine="42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（11）其他合同文件。</w:t>
      </w:r>
    </w:p>
    <w:p>
      <w:pPr>
        <w:tabs>
          <w:tab w:val="left" w:pos="684"/>
        </w:tabs>
        <w:spacing w:line="394" w:lineRule="auto"/>
        <w:ind w:right="120"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2.</w:t>
      </w:r>
      <w:r>
        <w:rPr>
          <w:rFonts w:hint="eastAsia" w:asciiTheme="majorEastAsia" w:hAnsiTheme="majorEastAsia" w:eastAsiaTheme="majorEastAsia"/>
          <w:color w:val="000000" w:themeColor="text1"/>
        </w:rPr>
        <w:t>上述合同文件互相补充和解释。如果合同文件之间存在矛盾或不一致之处，以上述文件的排列顺序在先者为准。</w:t>
      </w:r>
    </w:p>
    <w:p>
      <w:pPr>
        <w:tabs>
          <w:tab w:val="left" w:pos="684"/>
        </w:tabs>
        <w:spacing w:line="394" w:lineRule="auto"/>
        <w:ind w:right="120"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3.</w:t>
      </w:r>
      <w:r>
        <w:rPr>
          <w:rFonts w:hint="eastAsia" w:asciiTheme="majorEastAsia" w:hAnsiTheme="majorEastAsia" w:eastAsiaTheme="majorEastAsia"/>
          <w:color w:val="000000" w:themeColor="text1"/>
        </w:rPr>
        <w:t>签约合同价：人民币（大写）（</w:t>
      </w:r>
      <w:r>
        <w:rPr>
          <w:rFonts w:cs="Arial" w:asciiTheme="majorEastAsia" w:hAnsiTheme="majorEastAsia" w:eastAsiaTheme="majorEastAsia"/>
          <w:color w:val="000000" w:themeColor="text1"/>
        </w:rPr>
        <w:t>¥</w:t>
      </w:r>
      <w:r>
        <w:rPr>
          <w:rFonts w:hint="eastAsia" w:asciiTheme="majorEastAsia" w:hAnsiTheme="majorEastAsia" w:eastAsiaTheme="majorEastAsia"/>
          <w:color w:val="000000" w:themeColor="text1"/>
        </w:rPr>
        <w:t>）</w:t>
      </w:r>
    </w:p>
    <w:p>
      <w:pPr>
        <w:tabs>
          <w:tab w:val="left" w:pos="684"/>
        </w:tabs>
        <w:spacing w:line="394" w:lineRule="auto"/>
        <w:ind w:right="120"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4.</w:t>
      </w:r>
      <w:r>
        <w:rPr>
          <w:rFonts w:hint="eastAsia" w:asciiTheme="majorEastAsia" w:hAnsiTheme="majorEastAsia" w:eastAsiaTheme="majorEastAsia"/>
          <w:color w:val="000000" w:themeColor="text1"/>
        </w:rPr>
        <w:t>卖方承诺保证完全按照合同约定提供合同设备和技术服务和质保期服务并修补缺陷；</w:t>
      </w:r>
    </w:p>
    <w:p>
      <w:pPr>
        <w:tabs>
          <w:tab w:val="left" w:pos="684"/>
        </w:tabs>
        <w:spacing w:line="394" w:lineRule="auto"/>
        <w:ind w:right="120" w:firstLine="420" w:firstLineChars="200"/>
        <w:rPr>
          <w:rFonts w:asciiTheme="majorEastAsia" w:hAnsiTheme="majorEastAsia" w:eastAsiaTheme="majorEastAsia"/>
          <w:color w:val="000000" w:themeColor="text1"/>
        </w:rPr>
      </w:pPr>
      <w:r>
        <w:rPr>
          <w:rFonts w:asciiTheme="majorEastAsia" w:hAnsiTheme="majorEastAsia" w:eastAsiaTheme="majorEastAsia"/>
          <w:color w:val="000000" w:themeColor="text1"/>
        </w:rPr>
        <w:t>5.</w:t>
      </w:r>
      <w:r>
        <w:rPr>
          <w:rFonts w:hint="eastAsia" w:asciiTheme="majorEastAsia" w:hAnsiTheme="majorEastAsia" w:eastAsiaTheme="majorEastAsia"/>
          <w:color w:val="000000" w:themeColor="text1"/>
        </w:rPr>
        <w:t>买方承诺保证按照合同约定的条件、时间和方式向卖方支付合同价款；</w:t>
      </w:r>
    </w:p>
    <w:p>
      <w:pPr>
        <w:spacing w:line="360" w:lineRule="auto"/>
        <w:ind w:firstLine="420" w:firstLineChars="200"/>
        <w:rPr>
          <w:rFonts w:asciiTheme="majorEastAsia" w:hAnsiTheme="majorEastAsia" w:eastAsiaTheme="majorEastAsia"/>
          <w:color w:val="000000" w:themeColor="text1"/>
          <w:w w:val="98"/>
        </w:rPr>
      </w:pPr>
      <w:r>
        <w:rPr>
          <w:rFonts w:asciiTheme="majorEastAsia" w:hAnsiTheme="majorEastAsia" w:eastAsiaTheme="majorEastAsia"/>
          <w:color w:val="000000" w:themeColor="text1"/>
        </w:rPr>
        <w:t>6.</w:t>
      </w:r>
      <w:r>
        <w:rPr>
          <w:rFonts w:hint="eastAsia" w:asciiTheme="majorEastAsia" w:hAnsiTheme="majorEastAsia" w:eastAsiaTheme="majorEastAsia"/>
          <w:color w:val="000000" w:themeColor="text1"/>
        </w:rPr>
        <w:t>本合同协议书一式份，合同双方各执份。</w:t>
      </w:r>
    </w:p>
    <w:p>
      <w:pPr>
        <w:spacing w:line="239" w:lineRule="auto"/>
        <w:ind w:left="420"/>
        <w:rPr>
          <w:rFonts w:asciiTheme="majorEastAsia" w:hAnsiTheme="majorEastAsia" w:eastAsiaTheme="majorEastAsia"/>
          <w:color w:val="000000" w:themeColor="text1"/>
        </w:rPr>
      </w:pPr>
      <w:r>
        <w:rPr>
          <w:rFonts w:asciiTheme="majorEastAsia" w:hAnsiTheme="majorEastAsia" w:eastAsiaTheme="majorEastAsia"/>
          <w:color w:val="000000" w:themeColor="text1"/>
        </w:rPr>
        <w:t xml:space="preserve">7. </w:t>
      </w:r>
      <w:r>
        <w:rPr>
          <w:rFonts w:hint="eastAsia" w:asciiTheme="majorEastAsia" w:hAnsiTheme="majorEastAsia" w:eastAsiaTheme="majorEastAsia"/>
          <w:color w:val="000000" w:themeColor="text1"/>
        </w:rPr>
        <w:t>合同未尽事宜，双方另行签订补充协议。补充协议是合同的组成部分。</w:t>
      </w:r>
    </w:p>
    <w:p>
      <w:pPr>
        <w:spacing w:line="360" w:lineRule="auto"/>
        <w:rPr>
          <w:rFonts w:asciiTheme="majorEastAsia" w:hAnsiTheme="majorEastAsia" w:eastAsiaTheme="majorEastAsia"/>
          <w:color w:val="000000" w:themeColor="text1"/>
          <w:w w:val="98"/>
        </w:rPr>
      </w:pPr>
    </w:p>
    <w:p>
      <w:pPr>
        <w:spacing w:line="360" w:lineRule="auto"/>
        <w:ind w:firstLine="2730" w:firstLineChars="1300"/>
        <w:rPr>
          <w:rFonts w:asciiTheme="majorEastAsia" w:hAnsiTheme="majorEastAsia" w:eastAsiaTheme="majorEastAsia"/>
          <w:bCs/>
          <w:color w:val="000000" w:themeColor="text1"/>
          <w:szCs w:val="21"/>
        </w:rPr>
      </w:pPr>
      <w:r>
        <w:rPr>
          <w:rFonts w:hint="eastAsia" w:asciiTheme="majorEastAsia" w:hAnsiTheme="majorEastAsia" w:eastAsiaTheme="majorEastAsia"/>
          <w:bCs/>
          <w:color w:val="000000" w:themeColor="text1"/>
          <w:szCs w:val="21"/>
        </w:rPr>
        <w:t>买方：（盖单位章）</w:t>
      </w:r>
    </w:p>
    <w:p>
      <w:pPr>
        <w:spacing w:line="360" w:lineRule="auto"/>
        <w:ind w:left="5040" w:leftChars="1300" w:hanging="2310" w:hangingChars="1100"/>
        <w:rPr>
          <w:rFonts w:asciiTheme="majorEastAsia" w:hAnsiTheme="majorEastAsia" w:eastAsiaTheme="majorEastAsia"/>
          <w:bCs/>
          <w:color w:val="000000" w:themeColor="text1"/>
          <w:szCs w:val="21"/>
        </w:rPr>
      </w:pPr>
      <w:r>
        <w:rPr>
          <w:rFonts w:hint="eastAsia" w:asciiTheme="majorEastAsia" w:hAnsiTheme="majorEastAsia" w:eastAsiaTheme="majorEastAsia"/>
          <w:bCs/>
          <w:color w:val="000000" w:themeColor="text1"/>
          <w:szCs w:val="21"/>
        </w:rPr>
        <w:t>法定代表人（单位负责人）或其委托代理人：（签字）</w:t>
      </w:r>
    </w:p>
    <w:p>
      <w:pPr>
        <w:spacing w:line="360" w:lineRule="auto"/>
        <w:ind w:left="5040" w:leftChars="1300" w:hanging="2310" w:hangingChars="1100"/>
        <w:rPr>
          <w:rFonts w:asciiTheme="majorEastAsia" w:hAnsiTheme="majorEastAsia" w:eastAsiaTheme="majorEastAsia"/>
          <w:bCs/>
          <w:color w:val="000000" w:themeColor="text1"/>
          <w:szCs w:val="21"/>
        </w:rPr>
      </w:pPr>
      <w:r>
        <w:rPr>
          <w:rFonts w:hint="eastAsia" w:asciiTheme="majorEastAsia" w:hAnsiTheme="majorEastAsia" w:eastAsiaTheme="majorEastAsia"/>
          <w:bCs/>
          <w:color w:val="000000" w:themeColor="text1"/>
          <w:szCs w:val="21"/>
        </w:rPr>
        <w:t>年月日</w:t>
      </w:r>
    </w:p>
    <w:p>
      <w:pPr>
        <w:spacing w:line="360" w:lineRule="auto"/>
        <w:ind w:left="5040" w:leftChars="1300" w:hanging="2310" w:hangingChars="1100"/>
        <w:rPr>
          <w:rFonts w:asciiTheme="majorEastAsia" w:hAnsiTheme="majorEastAsia" w:eastAsiaTheme="majorEastAsia"/>
          <w:bCs/>
          <w:color w:val="000000" w:themeColor="text1"/>
          <w:szCs w:val="21"/>
        </w:rPr>
      </w:pPr>
    </w:p>
    <w:p>
      <w:pPr>
        <w:spacing w:line="360" w:lineRule="auto"/>
        <w:ind w:left="5040" w:leftChars="1300" w:hanging="2310" w:hangingChars="1100"/>
        <w:rPr>
          <w:rFonts w:asciiTheme="majorEastAsia" w:hAnsiTheme="majorEastAsia" w:eastAsiaTheme="majorEastAsia"/>
          <w:bCs/>
          <w:color w:val="000000" w:themeColor="text1"/>
          <w:szCs w:val="21"/>
        </w:rPr>
      </w:pPr>
    </w:p>
    <w:p>
      <w:pPr>
        <w:spacing w:line="360" w:lineRule="auto"/>
        <w:ind w:left="420" w:leftChars="200"/>
        <w:rPr>
          <w:rFonts w:asciiTheme="majorEastAsia" w:hAnsiTheme="majorEastAsia" w:eastAsiaTheme="majorEastAsia"/>
          <w:b/>
          <w:color w:val="000000" w:themeColor="text1"/>
          <w:sz w:val="31"/>
        </w:rPr>
      </w:pPr>
    </w:p>
    <w:p>
      <w:pPr>
        <w:spacing w:line="360" w:lineRule="auto"/>
        <w:ind w:firstLine="2730" w:firstLineChars="1300"/>
        <w:rPr>
          <w:rFonts w:asciiTheme="majorEastAsia" w:hAnsiTheme="majorEastAsia" w:eastAsiaTheme="majorEastAsia"/>
          <w:bCs/>
          <w:color w:val="000000" w:themeColor="text1"/>
          <w:szCs w:val="21"/>
        </w:rPr>
      </w:pPr>
      <w:r>
        <w:rPr>
          <w:rFonts w:hint="eastAsia" w:asciiTheme="majorEastAsia" w:hAnsiTheme="majorEastAsia" w:eastAsiaTheme="majorEastAsia"/>
          <w:bCs/>
          <w:color w:val="000000" w:themeColor="text1"/>
          <w:szCs w:val="21"/>
        </w:rPr>
        <w:t>卖方：（盖单位章）</w:t>
      </w:r>
    </w:p>
    <w:p>
      <w:pPr>
        <w:spacing w:line="360" w:lineRule="auto"/>
        <w:ind w:firstLine="2730" w:firstLineChars="1300"/>
        <w:rPr>
          <w:rFonts w:asciiTheme="majorEastAsia" w:hAnsiTheme="majorEastAsia" w:eastAsiaTheme="majorEastAsia"/>
          <w:bCs/>
          <w:color w:val="000000" w:themeColor="text1"/>
          <w:szCs w:val="21"/>
        </w:rPr>
      </w:pPr>
      <w:r>
        <w:rPr>
          <w:rFonts w:hint="eastAsia" w:asciiTheme="majorEastAsia" w:hAnsiTheme="majorEastAsia" w:eastAsiaTheme="majorEastAsia"/>
          <w:bCs/>
          <w:color w:val="000000" w:themeColor="text1"/>
          <w:szCs w:val="21"/>
        </w:rPr>
        <w:t>法定代表人（单位负责人）或其委托代理人：（签字）</w:t>
      </w:r>
    </w:p>
    <w:p>
      <w:pPr>
        <w:spacing w:line="360" w:lineRule="auto"/>
        <w:ind w:firstLine="4620" w:firstLineChars="2200"/>
        <w:rPr>
          <w:rFonts w:asciiTheme="majorEastAsia" w:hAnsiTheme="majorEastAsia" w:eastAsiaTheme="majorEastAsia"/>
          <w:bCs/>
          <w:color w:val="000000" w:themeColor="text1"/>
          <w:szCs w:val="21"/>
        </w:rPr>
      </w:pPr>
      <w:r>
        <w:rPr>
          <w:rFonts w:hint="eastAsia" w:asciiTheme="majorEastAsia" w:hAnsiTheme="majorEastAsia" w:eastAsiaTheme="majorEastAsia"/>
          <w:bCs/>
          <w:color w:val="000000" w:themeColor="text1"/>
          <w:szCs w:val="21"/>
        </w:rPr>
        <w:t>年月日</w:t>
      </w: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spacing w:line="360" w:lineRule="auto"/>
        <w:rPr>
          <w:rFonts w:asciiTheme="majorEastAsia" w:hAnsiTheme="majorEastAsia" w:eastAsiaTheme="majorEastAsia"/>
          <w:b/>
          <w:bCs/>
          <w:color w:val="000000" w:themeColor="text1"/>
          <w:szCs w:val="2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spacing w:line="360" w:lineRule="auto"/>
        <w:rPr>
          <w:rFonts w:asciiTheme="majorEastAsia" w:hAnsiTheme="majorEastAsia" w:eastAsiaTheme="majorEastAsia"/>
          <w:b/>
          <w:bCs/>
          <w:color w:val="000000" w:themeColor="text1"/>
          <w:szCs w:val="21"/>
        </w:rPr>
      </w:pPr>
    </w:p>
    <w:p>
      <w:pPr>
        <w:pStyle w:val="18"/>
        <w:rPr>
          <w:rFonts w:asciiTheme="majorEastAsia" w:hAnsiTheme="majorEastAsia" w:eastAsiaTheme="majorEastAsia"/>
          <w:color w:val="000000" w:themeColor="text1"/>
        </w:rPr>
        <w:sectPr>
          <w:headerReference r:id="rId10" w:type="first"/>
          <w:headerReference r:id="rId9" w:type="default"/>
          <w:footerReference r:id="rId11" w:type="default"/>
          <w:pgSz w:w="11906" w:h="16838"/>
          <w:pgMar w:top="1418" w:right="1134" w:bottom="1418" w:left="1134" w:header="851" w:footer="992" w:gutter="0"/>
          <w:cols w:space="720" w:num="1"/>
          <w:titlePg/>
          <w:docGrid w:type="lines" w:linePitch="312" w:charSpace="0"/>
        </w:sectPr>
      </w:pPr>
    </w:p>
    <w:bookmarkEnd w:id="19"/>
    <w:bookmarkEnd w:id="20"/>
    <w:bookmarkEnd w:id="21"/>
    <w:p>
      <w:pPr>
        <w:pStyle w:val="4"/>
        <w:numPr>
          <w:ilvl w:val="0"/>
          <w:numId w:val="7"/>
        </w:numPr>
        <w:jc w:val="center"/>
        <w:rPr>
          <w:rFonts w:cs="仿宋" w:asciiTheme="majorEastAsia" w:hAnsiTheme="majorEastAsia" w:eastAsiaTheme="majorEastAsia"/>
          <w:b w:val="0"/>
          <w:color w:val="000000" w:themeColor="text1"/>
          <w:sz w:val="36"/>
          <w:szCs w:val="36"/>
        </w:rPr>
      </w:pPr>
      <w:bookmarkStart w:id="43" w:name="_Toc27835"/>
      <w:bookmarkStart w:id="44" w:name="_Toc10291"/>
      <w:bookmarkStart w:id="45" w:name="_Toc452306038"/>
      <w:r>
        <w:rPr>
          <w:rFonts w:hint="eastAsia" w:cs="仿宋" w:asciiTheme="majorEastAsia" w:hAnsiTheme="majorEastAsia" w:eastAsiaTheme="majorEastAsia"/>
          <w:b w:val="0"/>
          <w:color w:val="000000" w:themeColor="text1"/>
          <w:sz w:val="36"/>
          <w:szCs w:val="36"/>
        </w:rPr>
        <w:t>项目内容、服务标准和要求</w:t>
      </w:r>
      <w:bookmarkEnd w:id="43"/>
      <w:bookmarkEnd w:id="44"/>
      <w:bookmarkEnd w:id="45"/>
      <w:bookmarkStart w:id="46" w:name="_Toc452306039"/>
    </w:p>
    <w:p>
      <w:pPr>
        <w:rPr>
          <w:color w:val="000000" w:themeColor="text1"/>
        </w:rPr>
      </w:pPr>
    </w:p>
    <w:tbl>
      <w:tblPr>
        <w:tblStyle w:val="40"/>
        <w:tblW w:w="5000" w:type="pct"/>
        <w:tblInd w:w="0" w:type="dxa"/>
        <w:tblLayout w:type="autofit"/>
        <w:tblCellMar>
          <w:top w:w="0" w:type="dxa"/>
          <w:left w:w="108" w:type="dxa"/>
          <w:bottom w:w="0" w:type="dxa"/>
          <w:right w:w="108" w:type="dxa"/>
        </w:tblCellMar>
      </w:tblPr>
      <w:tblGrid>
        <w:gridCol w:w="409"/>
        <w:gridCol w:w="409"/>
        <w:gridCol w:w="410"/>
        <w:gridCol w:w="410"/>
        <w:gridCol w:w="7806"/>
        <w:gridCol w:w="410"/>
      </w:tblGrid>
      <w:tr>
        <w:tblPrEx>
          <w:tblCellMar>
            <w:top w:w="0" w:type="dxa"/>
            <w:left w:w="108" w:type="dxa"/>
            <w:bottom w:w="0" w:type="dxa"/>
            <w:right w:w="108" w:type="dxa"/>
          </w:tblCellMar>
        </w:tblPrEx>
        <w:trPr>
          <w:trHeight w:val="920" w:hRule="atLeast"/>
        </w:trPr>
        <w:tc>
          <w:tcPr>
            <w:tcW w:w="5000" w:type="pct"/>
            <w:gridSpan w:val="6"/>
            <w:tcBorders>
              <w:top w:val="nil"/>
              <w:left w:val="nil"/>
              <w:bottom w:val="nil"/>
              <w:right w:val="nil"/>
            </w:tcBorders>
            <w:vAlign w:val="center"/>
          </w:tcPr>
          <w:p>
            <w:pPr>
              <w:widowControl/>
              <w:jc w:val="center"/>
              <w:textAlignment w:val="center"/>
              <w:rPr>
                <w:rFonts w:hint="default" w:ascii="仿宋" w:hAnsi="仿宋" w:eastAsia="仿宋" w:cs="仿宋"/>
                <w:b/>
                <w:bCs/>
                <w:color w:val="000000"/>
                <w:sz w:val="40"/>
                <w:szCs w:val="40"/>
                <w:lang w:val="en-US" w:eastAsia="zh-CN"/>
              </w:rPr>
            </w:pPr>
            <w:r>
              <w:rPr>
                <w:rFonts w:hint="eastAsia" w:ascii="仿宋" w:hAnsi="仿宋" w:eastAsia="仿宋" w:cs="仿宋"/>
                <w:b/>
                <w:bCs/>
                <w:color w:val="000000"/>
                <w:kern w:val="0"/>
                <w:sz w:val="44"/>
                <w:szCs w:val="44"/>
              </w:rPr>
              <w:t>信息化招标参数</w:t>
            </w:r>
            <w:r>
              <w:rPr>
                <w:rFonts w:hint="eastAsia" w:ascii="仿宋" w:hAnsi="仿宋" w:eastAsia="仿宋" w:cs="仿宋"/>
                <w:b/>
                <w:bCs/>
                <w:color w:val="000000"/>
                <w:kern w:val="0"/>
                <w:sz w:val="44"/>
                <w:szCs w:val="44"/>
                <w:lang w:eastAsia="zh-CN"/>
              </w:rPr>
              <w:t>（</w:t>
            </w:r>
            <w:r>
              <w:rPr>
                <w:rFonts w:hint="eastAsia" w:ascii="仿宋" w:hAnsi="仿宋" w:eastAsia="仿宋" w:cs="仿宋"/>
                <w:b/>
                <w:bCs/>
                <w:color w:val="000000"/>
                <w:kern w:val="0"/>
                <w:sz w:val="44"/>
                <w:szCs w:val="44"/>
                <w:lang w:val="en-US" w:eastAsia="zh-CN"/>
              </w:rPr>
              <w:t>包二）</w:t>
            </w:r>
          </w:p>
        </w:tc>
      </w:tr>
      <w:tr>
        <w:tblPrEx>
          <w:tblCellMar>
            <w:top w:w="0" w:type="dxa"/>
            <w:left w:w="108" w:type="dxa"/>
            <w:bottom w:w="0" w:type="dxa"/>
            <w:right w:w="108" w:type="dxa"/>
          </w:tblCellMar>
        </w:tblPrEx>
        <w:trPr>
          <w:trHeight w:val="580" w:hRule="atLeast"/>
        </w:trPr>
        <w:tc>
          <w:tcPr>
            <w:tcW w:w="2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4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设备名称</w:t>
            </w:r>
          </w:p>
        </w:tc>
        <w:tc>
          <w:tcPr>
            <w:tcW w:w="2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单位</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数量</w:t>
            </w:r>
          </w:p>
        </w:tc>
        <w:tc>
          <w:tcPr>
            <w:tcW w:w="36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参数</w:t>
            </w:r>
          </w:p>
        </w:tc>
        <w:tc>
          <w:tcPr>
            <w:tcW w:w="2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备注</w:t>
            </w:r>
          </w:p>
        </w:tc>
      </w:tr>
      <w:tr>
        <w:tblPrEx>
          <w:tblCellMar>
            <w:top w:w="0" w:type="dxa"/>
            <w:left w:w="108" w:type="dxa"/>
            <w:bottom w:w="0" w:type="dxa"/>
            <w:right w:w="108" w:type="dxa"/>
          </w:tblCellMar>
        </w:tblPrEx>
        <w:trPr>
          <w:trHeight w:val="5119" w:hRule="atLeast"/>
        </w:trPr>
        <w:tc>
          <w:tcPr>
            <w:tcW w:w="2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415" w:type="pct"/>
            <w:tcBorders>
              <w:top w:val="single" w:color="000000" w:sz="4" w:space="0"/>
              <w:left w:val="single" w:color="000000" w:sz="4" w:space="0"/>
              <w:bottom w:val="single" w:color="000000" w:sz="4" w:space="0"/>
              <w:right w:val="single" w:color="000000" w:sz="4" w:space="0"/>
            </w:tcBorders>
            <w:vAlign w:val="center"/>
          </w:tcPr>
          <w:p>
            <w:pPr>
              <w:pStyle w:val="4"/>
              <w:numPr>
                <w:ilvl w:val="0"/>
                <w:numId w:val="0"/>
              </w:numPr>
              <w:tabs>
                <w:tab w:val="left" w:pos="0"/>
              </w:tabs>
              <w:ind w:leftChars="0"/>
              <w:jc w:val="both"/>
              <w:rPr>
                <w:color w:val="000000"/>
                <w:sz w:val="24"/>
              </w:rPr>
            </w:pPr>
            <w:r>
              <w:rPr>
                <w:rFonts w:hint="eastAsia" w:ascii="宋体" w:hAnsi="宋体" w:eastAsia="宋体" w:cs="宋体"/>
                <w:sz w:val="21"/>
                <w:szCs w:val="21"/>
              </w:rPr>
              <w:t>智慧麻醉临床信息系统</w:t>
            </w:r>
          </w:p>
        </w:tc>
        <w:tc>
          <w:tcPr>
            <w:tcW w:w="2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套</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61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szCs w:val="21"/>
              </w:rPr>
              <w:t>软件要求</w:t>
            </w:r>
          </w:p>
          <w:p>
            <w:pPr>
              <w:keepNext/>
              <w:keepLines/>
              <w:numPr>
                <w:ilvl w:val="0"/>
                <w:numId w:val="8"/>
              </w:numPr>
              <w:spacing w:line="578" w:lineRule="auto"/>
              <w:outlineLvl w:val="0"/>
              <w:rPr>
                <w:rFonts w:ascii="宋体" w:hAnsi="宋体" w:cs="宋体"/>
                <w:b/>
                <w:bCs/>
                <w:color w:val="000000"/>
                <w:kern w:val="44"/>
                <w:szCs w:val="21"/>
              </w:rPr>
            </w:pPr>
            <w:r>
              <w:rPr>
                <w:rFonts w:hint="eastAsia" w:ascii="宋体" w:hAnsi="宋体" w:cs="宋体"/>
                <w:b/>
                <w:bCs/>
                <w:color w:val="000000"/>
                <w:kern w:val="44"/>
                <w:szCs w:val="21"/>
              </w:rPr>
              <w:t>术前管理</w:t>
            </w:r>
          </w:p>
          <w:p>
            <w:pPr>
              <w:keepNext/>
              <w:keepLines/>
              <w:numPr>
                <w:ilvl w:val="1"/>
                <w:numId w:val="9"/>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申请信息管理</w:t>
            </w:r>
          </w:p>
          <w:p>
            <w:pPr>
              <w:numPr>
                <w:ilvl w:val="0"/>
                <w:numId w:val="10"/>
              </w:numPr>
              <w:spacing w:line="360" w:lineRule="auto"/>
              <w:ind w:left="709" w:hanging="425"/>
              <w:rPr>
                <w:rFonts w:ascii="宋体" w:hAnsi="宋体" w:cs="宋体"/>
                <w:color w:val="000000"/>
                <w:szCs w:val="21"/>
              </w:rPr>
            </w:pPr>
            <w:r>
              <w:rPr>
                <w:rFonts w:hint="eastAsia" w:ascii="宋体" w:hAnsi="宋体" w:cs="宋体"/>
                <w:color w:val="000000"/>
                <w:szCs w:val="21"/>
              </w:rPr>
              <w:t>系统能够通过HIS系统的信息接口，提取患者基本信息、住院信息、手术申请信息。</w:t>
            </w:r>
          </w:p>
          <w:p>
            <w:pPr>
              <w:numPr>
                <w:ilvl w:val="0"/>
                <w:numId w:val="10"/>
              </w:numPr>
              <w:spacing w:line="360" w:lineRule="auto"/>
              <w:ind w:left="709" w:hanging="425"/>
              <w:rPr>
                <w:rFonts w:ascii="宋体" w:hAnsi="宋体" w:cs="宋体"/>
                <w:color w:val="000000"/>
                <w:szCs w:val="21"/>
              </w:rPr>
            </w:pPr>
            <w:r>
              <w:rPr>
                <w:rFonts w:hint="eastAsia" w:ascii="宋体" w:hAnsi="宋体" w:cs="宋体"/>
                <w:color w:val="000000"/>
                <w:szCs w:val="21"/>
              </w:rPr>
              <w:t>系统支持对术前患者的手术申请进行审核，提供驳回操作并记录驳回理由，以便用户统计跟踪。</w:t>
            </w:r>
          </w:p>
          <w:p>
            <w:pPr>
              <w:numPr>
                <w:ilvl w:val="0"/>
                <w:numId w:val="10"/>
              </w:numPr>
              <w:spacing w:line="360" w:lineRule="auto"/>
              <w:ind w:left="709" w:hanging="425"/>
              <w:rPr>
                <w:rFonts w:ascii="宋体" w:hAnsi="宋体" w:cs="宋体"/>
                <w:color w:val="000000"/>
                <w:szCs w:val="21"/>
              </w:rPr>
            </w:pPr>
            <w:r>
              <w:rPr>
                <w:rFonts w:hint="eastAsia" w:ascii="宋体" w:hAnsi="宋体" w:cs="宋体"/>
                <w:color w:val="000000"/>
                <w:szCs w:val="21"/>
              </w:rPr>
              <w:t>系统支持通过当前查询关键字、手术类型、手术医生、手术科室条件对手术申请进行查询显示。</w:t>
            </w:r>
          </w:p>
          <w:p>
            <w:pPr>
              <w:numPr>
                <w:ilvl w:val="0"/>
                <w:numId w:val="10"/>
              </w:numPr>
              <w:spacing w:line="360" w:lineRule="auto"/>
              <w:ind w:left="709" w:hanging="425"/>
              <w:rPr>
                <w:rFonts w:ascii="宋体" w:hAnsi="宋体" w:cs="宋体"/>
                <w:color w:val="000000"/>
                <w:szCs w:val="21"/>
              </w:rPr>
            </w:pPr>
            <w:r>
              <w:rPr>
                <w:rFonts w:hint="eastAsia" w:ascii="宋体" w:hAnsi="宋体" w:cs="宋体"/>
                <w:color w:val="000000"/>
                <w:szCs w:val="21"/>
              </w:rPr>
              <w:t>系统支持针对患者的特殊信息进行特殊标识显示，如传染病信息、手术紧急类型信息。</w:t>
            </w:r>
          </w:p>
          <w:p>
            <w:pPr>
              <w:keepNext/>
              <w:keepLines/>
              <w:numPr>
                <w:ilvl w:val="1"/>
                <w:numId w:val="9"/>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急诊手术通道</w:t>
            </w:r>
          </w:p>
          <w:p>
            <w:pPr>
              <w:numPr>
                <w:ilvl w:val="0"/>
                <w:numId w:val="11"/>
              </w:numPr>
              <w:spacing w:line="360" w:lineRule="auto"/>
              <w:ind w:left="709" w:hanging="425"/>
              <w:rPr>
                <w:rFonts w:ascii="宋体" w:hAnsi="宋体" w:cs="宋体"/>
                <w:color w:val="000000"/>
                <w:szCs w:val="21"/>
              </w:rPr>
            </w:pPr>
            <w:r>
              <w:rPr>
                <w:rFonts w:hint="eastAsia" w:ascii="宋体" w:hAnsi="宋体" w:cs="宋体"/>
                <w:color w:val="000000"/>
                <w:szCs w:val="21"/>
              </w:rPr>
              <w:t>系统支持针对急诊病人的绿色通道，通过该入口，麻醉医生可以跳过手术申请和排程流程直接开始麻醉记录，手术完成后再完善相关信息；并标记此类型的手术为急诊（非择期）手术。</w:t>
            </w:r>
          </w:p>
          <w:p>
            <w:pPr>
              <w:numPr>
                <w:ilvl w:val="0"/>
                <w:numId w:val="11"/>
              </w:numPr>
              <w:spacing w:line="360" w:lineRule="auto"/>
              <w:ind w:left="709" w:hanging="425"/>
              <w:rPr>
                <w:rFonts w:ascii="宋体" w:hAnsi="宋体" w:cs="宋体"/>
                <w:color w:val="000000"/>
                <w:szCs w:val="21"/>
              </w:rPr>
            </w:pPr>
            <w:r>
              <w:rPr>
                <w:rFonts w:hint="eastAsia" w:ascii="宋体" w:hAnsi="宋体" w:cs="宋体"/>
                <w:color w:val="000000"/>
                <w:szCs w:val="21"/>
              </w:rPr>
              <w:t>系统支持通过住院号提取患者住院信息，并提供申请时诊断和手术信息提取信息科与HIS提供的标准字典数据。</w:t>
            </w:r>
          </w:p>
          <w:p>
            <w:pPr>
              <w:keepNext/>
              <w:keepLines/>
              <w:numPr>
                <w:ilvl w:val="1"/>
                <w:numId w:val="9"/>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手术安排</w:t>
            </w:r>
          </w:p>
          <w:p>
            <w:pPr>
              <w:numPr>
                <w:ilvl w:val="0"/>
                <w:numId w:val="12"/>
              </w:numPr>
              <w:spacing w:line="360" w:lineRule="auto"/>
              <w:ind w:left="709" w:hanging="425"/>
              <w:rPr>
                <w:rFonts w:ascii="宋体" w:hAnsi="宋体" w:cs="宋体"/>
                <w:color w:val="000000"/>
                <w:szCs w:val="21"/>
              </w:rPr>
            </w:pPr>
            <w:r>
              <w:rPr>
                <w:rFonts w:hint="eastAsia" w:ascii="宋体" w:hAnsi="宋体" w:cs="宋体"/>
                <w:color w:val="000000"/>
                <w:szCs w:val="21"/>
              </w:rPr>
              <w:t>系统支持护士长对已接收的手术申请单进行手术室资源安排；支持护士长使用拖拽模式的可视化安排手术资源。</w:t>
            </w:r>
          </w:p>
          <w:p>
            <w:pPr>
              <w:numPr>
                <w:ilvl w:val="0"/>
                <w:numId w:val="12"/>
              </w:numPr>
              <w:spacing w:line="360" w:lineRule="auto"/>
              <w:ind w:left="709" w:hanging="425"/>
              <w:rPr>
                <w:rFonts w:ascii="宋体" w:hAnsi="宋体" w:cs="宋体"/>
                <w:color w:val="000000"/>
                <w:szCs w:val="21"/>
              </w:rPr>
            </w:pPr>
            <w:r>
              <w:rPr>
                <w:rFonts w:hint="eastAsia" w:ascii="宋体" w:hAnsi="宋体" w:cs="宋体"/>
                <w:color w:val="000000"/>
                <w:szCs w:val="21"/>
              </w:rPr>
              <w:t>系统支持护士长对每台手术的计划手术时间、手术间、器械护士、巡回护士，进行安排，并支持拖拽更换手术安排的台次。</w:t>
            </w:r>
          </w:p>
          <w:p>
            <w:pPr>
              <w:numPr>
                <w:ilvl w:val="0"/>
                <w:numId w:val="12"/>
              </w:numPr>
              <w:spacing w:line="360" w:lineRule="auto"/>
              <w:ind w:left="709" w:hanging="425"/>
              <w:rPr>
                <w:rFonts w:ascii="宋体" w:hAnsi="宋体" w:cs="宋体"/>
                <w:color w:val="000000"/>
                <w:szCs w:val="21"/>
              </w:rPr>
            </w:pPr>
            <w:r>
              <w:rPr>
                <w:rFonts w:hint="eastAsia" w:ascii="宋体" w:hAnsi="宋体" w:cs="宋体"/>
                <w:color w:val="000000"/>
                <w:szCs w:val="21"/>
              </w:rPr>
              <w:t>系统提供手术排班功能设置，集中管理每个手术间的当日资源安排，分配当日手术间人员信息、科室、术者、设备信息。将绑定的预设定的手术间人员信息，关联带入至排程手术。</w:t>
            </w:r>
          </w:p>
          <w:p>
            <w:pPr>
              <w:numPr>
                <w:ilvl w:val="0"/>
                <w:numId w:val="12"/>
              </w:numPr>
              <w:spacing w:line="360" w:lineRule="auto"/>
              <w:ind w:left="709" w:hanging="425"/>
              <w:rPr>
                <w:rFonts w:ascii="宋体" w:hAnsi="宋体" w:cs="宋体"/>
                <w:color w:val="000000"/>
                <w:szCs w:val="21"/>
              </w:rPr>
            </w:pPr>
            <w:r>
              <w:rPr>
                <w:rFonts w:hint="eastAsia" w:ascii="宋体" w:hAnsi="宋体" w:cs="宋体"/>
                <w:color w:val="000000"/>
                <w:szCs w:val="21"/>
              </w:rPr>
              <w:t>系统支持已安排手术间患者通过手术间互换功能，实现两个手术间的手术批量调整。</w:t>
            </w:r>
          </w:p>
          <w:p>
            <w:pPr>
              <w:numPr>
                <w:ilvl w:val="0"/>
                <w:numId w:val="12"/>
              </w:numPr>
              <w:spacing w:line="360" w:lineRule="auto"/>
              <w:ind w:left="709" w:hanging="425"/>
              <w:rPr>
                <w:rFonts w:ascii="宋体" w:hAnsi="宋体" w:cs="宋体"/>
                <w:color w:val="000000"/>
                <w:szCs w:val="21"/>
              </w:rPr>
            </w:pPr>
            <w:r>
              <w:rPr>
                <w:rFonts w:hint="eastAsia" w:ascii="宋体" w:hAnsi="宋体" w:cs="宋体"/>
                <w:color w:val="000000"/>
                <w:szCs w:val="21"/>
              </w:rPr>
              <w:t>系统支持对已安排的手术提供快速取消安排操作功能。</w:t>
            </w:r>
          </w:p>
          <w:p>
            <w:pPr>
              <w:numPr>
                <w:ilvl w:val="0"/>
                <w:numId w:val="12"/>
              </w:numPr>
              <w:spacing w:line="360" w:lineRule="auto"/>
              <w:ind w:left="709" w:hanging="425"/>
              <w:rPr>
                <w:rFonts w:ascii="宋体" w:hAnsi="宋体" w:cs="宋体"/>
                <w:color w:val="000000"/>
                <w:szCs w:val="21"/>
              </w:rPr>
            </w:pPr>
            <w:r>
              <w:rPr>
                <w:rFonts w:hint="eastAsia" w:ascii="宋体" w:hAnsi="宋体" w:cs="宋体"/>
                <w:color w:val="000000"/>
                <w:szCs w:val="21"/>
              </w:rPr>
              <w:t>系统支持打印手术排程通知单，根据已排程的手术记录，生成手术排程通知单。</w:t>
            </w:r>
          </w:p>
          <w:p>
            <w:pPr>
              <w:keepNext/>
              <w:keepLines/>
              <w:numPr>
                <w:ilvl w:val="1"/>
                <w:numId w:val="9"/>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麻醉安排</w:t>
            </w:r>
          </w:p>
          <w:p>
            <w:pPr>
              <w:numPr>
                <w:ilvl w:val="0"/>
                <w:numId w:val="13"/>
              </w:numPr>
              <w:spacing w:line="360" w:lineRule="auto"/>
              <w:ind w:left="709" w:hanging="425"/>
              <w:rPr>
                <w:rFonts w:ascii="宋体" w:hAnsi="宋体" w:cs="宋体"/>
                <w:color w:val="000000"/>
                <w:szCs w:val="21"/>
              </w:rPr>
            </w:pPr>
            <w:r>
              <w:rPr>
                <w:rFonts w:hint="eastAsia" w:ascii="宋体" w:hAnsi="宋体" w:cs="宋体"/>
                <w:color w:val="000000"/>
                <w:szCs w:val="21"/>
              </w:rPr>
              <w:t>系统支持麻醉工作安排人员，对安排的手术进行麻醉医生、麻醉方式安排。</w:t>
            </w:r>
          </w:p>
          <w:p>
            <w:pPr>
              <w:numPr>
                <w:ilvl w:val="0"/>
                <w:numId w:val="13"/>
              </w:numPr>
              <w:spacing w:line="360" w:lineRule="auto"/>
              <w:ind w:left="709" w:hanging="425"/>
              <w:rPr>
                <w:rFonts w:ascii="宋体" w:hAnsi="宋体" w:cs="宋体"/>
                <w:color w:val="000000"/>
                <w:szCs w:val="21"/>
              </w:rPr>
            </w:pPr>
            <w:r>
              <w:rPr>
                <w:rFonts w:hint="eastAsia" w:ascii="宋体" w:hAnsi="宋体" w:cs="宋体"/>
                <w:color w:val="000000"/>
                <w:szCs w:val="21"/>
              </w:rPr>
              <w:t>系统支持麻醉排程，根据配置信息，实现麻醉人员的快捷安排。</w:t>
            </w:r>
          </w:p>
          <w:p>
            <w:pPr>
              <w:keepNext/>
              <w:keepLines/>
              <w:numPr>
                <w:ilvl w:val="1"/>
                <w:numId w:val="9"/>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术前访视</w:t>
            </w:r>
          </w:p>
          <w:p>
            <w:pPr>
              <w:numPr>
                <w:ilvl w:val="0"/>
                <w:numId w:val="14"/>
              </w:numPr>
              <w:spacing w:line="360" w:lineRule="auto"/>
              <w:ind w:left="709" w:hanging="425"/>
              <w:rPr>
                <w:rFonts w:ascii="宋体" w:hAnsi="宋体" w:cs="宋体"/>
                <w:color w:val="000000"/>
                <w:szCs w:val="21"/>
              </w:rPr>
            </w:pPr>
            <w:r>
              <w:rPr>
                <w:rFonts w:hint="eastAsia" w:ascii="宋体" w:hAnsi="宋体" w:cs="宋体"/>
                <w:color w:val="000000"/>
                <w:szCs w:val="21"/>
              </w:rPr>
              <w:t>系统支持定制符合医院标准的术前访视单，支持表单的查看、编辑及打印。</w:t>
            </w:r>
          </w:p>
          <w:p>
            <w:pPr>
              <w:numPr>
                <w:ilvl w:val="0"/>
                <w:numId w:val="14"/>
              </w:numPr>
              <w:spacing w:line="360" w:lineRule="auto"/>
              <w:ind w:left="709" w:hanging="425"/>
              <w:rPr>
                <w:rFonts w:ascii="宋体" w:hAnsi="宋体" w:cs="宋体"/>
                <w:color w:val="000000"/>
                <w:szCs w:val="21"/>
              </w:rPr>
            </w:pPr>
            <w:r>
              <w:rPr>
                <w:rFonts w:hint="eastAsia" w:ascii="宋体" w:hAnsi="宋体" w:cs="宋体"/>
                <w:color w:val="000000"/>
                <w:szCs w:val="21"/>
              </w:rPr>
              <w:t>系统支持PC、平板电脑等多种移动终端进行访视工作。</w:t>
            </w:r>
          </w:p>
          <w:p>
            <w:pPr>
              <w:numPr>
                <w:ilvl w:val="0"/>
                <w:numId w:val="14"/>
              </w:numPr>
              <w:spacing w:line="360" w:lineRule="auto"/>
              <w:ind w:left="709" w:hanging="425"/>
              <w:rPr>
                <w:rFonts w:ascii="宋体" w:hAnsi="宋体" w:cs="宋体"/>
                <w:color w:val="000000"/>
                <w:szCs w:val="21"/>
              </w:rPr>
            </w:pPr>
            <w:r>
              <w:rPr>
                <w:rFonts w:hint="eastAsia" w:ascii="宋体" w:hAnsi="宋体" w:cs="宋体"/>
                <w:color w:val="000000"/>
                <w:szCs w:val="21"/>
              </w:rPr>
              <w:t>系统支持对接院内其他信息系统，提取病人基本信息、病史、过敏史、检验检查、心电图等数据，快速完成表单录入。</w:t>
            </w:r>
          </w:p>
          <w:p>
            <w:pPr>
              <w:numPr>
                <w:ilvl w:val="0"/>
                <w:numId w:val="14"/>
              </w:numPr>
              <w:spacing w:line="360" w:lineRule="auto"/>
              <w:ind w:left="709" w:hanging="425"/>
              <w:rPr>
                <w:rFonts w:ascii="宋体" w:hAnsi="宋体" w:cs="宋体"/>
                <w:color w:val="000000"/>
                <w:szCs w:val="21"/>
              </w:rPr>
            </w:pPr>
            <w:r>
              <w:rPr>
                <w:rFonts w:hint="eastAsia" w:ascii="宋体" w:hAnsi="宋体" w:cs="宋体"/>
                <w:color w:val="000000"/>
                <w:szCs w:val="21"/>
              </w:rPr>
              <w:t>系统提供快速录入模板功能；支持设定私人或公共模板适用范围。</w:t>
            </w:r>
          </w:p>
          <w:p>
            <w:pPr>
              <w:keepNext/>
              <w:keepLines/>
              <w:numPr>
                <w:ilvl w:val="0"/>
                <w:numId w:val="8"/>
              </w:numPr>
              <w:spacing w:line="578" w:lineRule="auto"/>
              <w:outlineLvl w:val="0"/>
              <w:rPr>
                <w:rFonts w:ascii="宋体" w:hAnsi="宋体" w:cs="宋体"/>
                <w:b/>
                <w:bCs/>
                <w:color w:val="000000"/>
                <w:kern w:val="44"/>
                <w:szCs w:val="21"/>
              </w:rPr>
            </w:pPr>
            <w:r>
              <w:rPr>
                <w:rFonts w:hint="eastAsia" w:ascii="宋体" w:hAnsi="宋体" w:cs="宋体"/>
                <w:b/>
                <w:bCs/>
                <w:color w:val="000000"/>
                <w:kern w:val="44"/>
                <w:szCs w:val="21"/>
              </w:rPr>
              <w:t>麻醉管理</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工作看板</w:t>
            </w:r>
          </w:p>
          <w:p>
            <w:pPr>
              <w:numPr>
                <w:ilvl w:val="0"/>
                <w:numId w:val="15"/>
              </w:numPr>
              <w:spacing w:line="360" w:lineRule="auto"/>
              <w:ind w:left="709" w:hanging="425"/>
              <w:rPr>
                <w:rFonts w:ascii="宋体" w:hAnsi="宋体" w:cs="宋体"/>
                <w:color w:val="000000"/>
                <w:szCs w:val="21"/>
              </w:rPr>
            </w:pPr>
            <w:r>
              <w:rPr>
                <w:rFonts w:hint="eastAsia" w:ascii="宋体" w:hAnsi="宋体" w:cs="宋体"/>
                <w:color w:val="000000"/>
                <w:szCs w:val="21"/>
              </w:rPr>
              <w:t>▲麻醉医生可以通过任务看板，查看麻醉工作相关汇总信息，如当日手术完成率，当日工作地点信息。</w:t>
            </w:r>
          </w:p>
          <w:p>
            <w:pPr>
              <w:numPr>
                <w:ilvl w:val="0"/>
                <w:numId w:val="15"/>
              </w:numPr>
              <w:spacing w:line="360" w:lineRule="auto"/>
              <w:ind w:left="709" w:hanging="425"/>
              <w:rPr>
                <w:rFonts w:ascii="宋体" w:hAnsi="宋体" w:cs="宋体"/>
                <w:color w:val="000000"/>
                <w:szCs w:val="21"/>
              </w:rPr>
            </w:pPr>
            <w:r>
              <w:rPr>
                <w:rFonts w:hint="eastAsia" w:ascii="宋体" w:hAnsi="宋体" w:cs="宋体"/>
                <w:color w:val="000000"/>
                <w:szCs w:val="21"/>
              </w:rPr>
              <w:t>系统提供麻醉医生查看今日麻醉工作安排、患者信息。通过任务看板，快速导航的相应的患者，进行患者相关信息查看和病历编辑。</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评分评估</w:t>
            </w:r>
          </w:p>
          <w:p>
            <w:pPr>
              <w:numPr>
                <w:ilvl w:val="0"/>
                <w:numId w:val="16"/>
              </w:numPr>
              <w:spacing w:line="360" w:lineRule="auto"/>
              <w:ind w:left="709" w:hanging="425"/>
              <w:rPr>
                <w:rFonts w:ascii="宋体" w:hAnsi="宋体" w:cs="宋体"/>
                <w:color w:val="000000"/>
                <w:szCs w:val="21"/>
              </w:rPr>
            </w:pPr>
            <w:r>
              <w:rPr>
                <w:rFonts w:hint="eastAsia" w:ascii="宋体" w:hAnsi="宋体" w:cs="宋体"/>
                <w:color w:val="000000"/>
                <w:szCs w:val="21"/>
              </w:rPr>
              <w:t>系统提供对拟实施麻醉的患者，在麻醉前进行评估，具体包括循环、呼吸、神经系统等重要脏器、系统功能评估。</w:t>
            </w:r>
          </w:p>
          <w:p>
            <w:pPr>
              <w:numPr>
                <w:ilvl w:val="0"/>
                <w:numId w:val="16"/>
              </w:numPr>
              <w:spacing w:line="360" w:lineRule="auto"/>
              <w:ind w:left="709" w:hanging="425"/>
              <w:rPr>
                <w:rFonts w:ascii="宋体" w:hAnsi="宋体" w:cs="宋体"/>
                <w:color w:val="000000"/>
                <w:szCs w:val="21"/>
              </w:rPr>
            </w:pPr>
            <w:r>
              <w:rPr>
                <w:rFonts w:hint="eastAsia" w:ascii="宋体" w:hAnsi="宋体" w:cs="宋体"/>
                <w:color w:val="000000"/>
                <w:szCs w:val="21"/>
              </w:rPr>
              <w:t>系统提供循环、呼吸、神经系统等重要脏器的标准评分模板，并且可以根据用户要求更新评分项目和规则模板。系统可以根据患者的临床数据信息，和评分内容规则计算相应分值。</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麻醉诱导</w:t>
            </w:r>
          </w:p>
          <w:p>
            <w:pPr>
              <w:numPr>
                <w:ilvl w:val="0"/>
                <w:numId w:val="17"/>
              </w:numPr>
              <w:spacing w:line="360" w:lineRule="auto"/>
              <w:ind w:left="709" w:hanging="425"/>
              <w:rPr>
                <w:rFonts w:ascii="宋体" w:hAnsi="宋体" w:cs="宋体"/>
                <w:color w:val="000000"/>
                <w:szCs w:val="21"/>
              </w:rPr>
            </w:pPr>
            <w:r>
              <w:rPr>
                <w:rFonts w:hint="eastAsia" w:ascii="宋体" w:hAnsi="宋体" w:cs="宋体"/>
                <w:color w:val="000000"/>
                <w:szCs w:val="21"/>
              </w:rPr>
              <w:t>系统支持麻醉诱导工作站，全程记录病人的诱导过程。</w:t>
            </w:r>
          </w:p>
          <w:p>
            <w:pPr>
              <w:numPr>
                <w:ilvl w:val="0"/>
                <w:numId w:val="17"/>
              </w:numPr>
              <w:spacing w:line="360" w:lineRule="auto"/>
              <w:ind w:left="709" w:hanging="425"/>
              <w:rPr>
                <w:rFonts w:ascii="宋体" w:hAnsi="宋体" w:cs="宋体"/>
                <w:color w:val="000000"/>
                <w:szCs w:val="21"/>
              </w:rPr>
            </w:pPr>
            <w:r>
              <w:rPr>
                <w:rFonts w:hint="eastAsia" w:ascii="宋体" w:hAnsi="宋体" w:cs="宋体"/>
                <w:color w:val="000000"/>
                <w:szCs w:val="21"/>
              </w:rPr>
              <w:t>系统支持诱导期间通过套餐模板快速录入用药、事件信息。</w:t>
            </w:r>
          </w:p>
          <w:p>
            <w:pPr>
              <w:numPr>
                <w:ilvl w:val="0"/>
                <w:numId w:val="17"/>
              </w:numPr>
              <w:spacing w:line="360" w:lineRule="auto"/>
              <w:ind w:left="709" w:hanging="425"/>
              <w:rPr>
                <w:rFonts w:ascii="宋体" w:hAnsi="宋体" w:cs="宋体"/>
                <w:color w:val="000000"/>
                <w:szCs w:val="21"/>
              </w:rPr>
            </w:pPr>
            <w:r>
              <w:rPr>
                <w:rFonts w:hint="eastAsia" w:ascii="宋体" w:hAnsi="宋体" w:cs="宋体"/>
                <w:color w:val="000000"/>
                <w:szCs w:val="21"/>
              </w:rPr>
              <w:t>系统支持诱导开始与诱导结束等事件的快捷操作。</w:t>
            </w:r>
          </w:p>
          <w:p>
            <w:pPr>
              <w:numPr>
                <w:ilvl w:val="0"/>
                <w:numId w:val="17"/>
              </w:numPr>
              <w:spacing w:line="360" w:lineRule="auto"/>
              <w:ind w:left="709" w:hanging="425"/>
              <w:rPr>
                <w:rFonts w:ascii="宋体" w:hAnsi="宋体" w:cs="宋体"/>
                <w:color w:val="000000"/>
                <w:szCs w:val="21"/>
              </w:rPr>
            </w:pPr>
            <w:r>
              <w:rPr>
                <w:rFonts w:hint="eastAsia" w:ascii="宋体" w:hAnsi="宋体" w:cs="宋体"/>
                <w:color w:val="000000"/>
                <w:szCs w:val="21"/>
              </w:rPr>
              <w:t>系统支持诱导数据和麻醉记录统一展示，保证数据的连贯性。</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精麻处方</w:t>
            </w:r>
          </w:p>
          <w:p>
            <w:pPr>
              <w:numPr>
                <w:ilvl w:val="0"/>
                <w:numId w:val="18"/>
              </w:numPr>
              <w:spacing w:line="360" w:lineRule="auto"/>
              <w:ind w:left="709" w:hanging="425"/>
              <w:rPr>
                <w:rFonts w:ascii="宋体" w:hAnsi="宋体" w:cs="宋体"/>
                <w:color w:val="000000"/>
                <w:szCs w:val="21"/>
              </w:rPr>
            </w:pPr>
            <w:r>
              <w:rPr>
                <w:rFonts w:hint="eastAsia" w:ascii="宋体" w:hAnsi="宋体" w:cs="宋体"/>
                <w:color w:val="000000"/>
                <w:szCs w:val="21"/>
              </w:rPr>
              <w:t>系统支持配置毒麻、精一、精二处方的打印样式。</w:t>
            </w:r>
          </w:p>
          <w:p>
            <w:pPr>
              <w:numPr>
                <w:ilvl w:val="0"/>
                <w:numId w:val="18"/>
              </w:numPr>
              <w:spacing w:line="360" w:lineRule="auto"/>
              <w:ind w:left="709" w:hanging="425"/>
              <w:rPr>
                <w:rFonts w:ascii="宋体" w:hAnsi="宋体" w:cs="宋体"/>
                <w:color w:val="000000"/>
                <w:szCs w:val="21"/>
              </w:rPr>
            </w:pPr>
            <w:r>
              <w:rPr>
                <w:rFonts w:hint="eastAsia" w:ascii="宋体" w:hAnsi="宋体" w:cs="宋体"/>
                <w:color w:val="000000"/>
                <w:szCs w:val="21"/>
              </w:rPr>
              <w:t>系统支持麻醉中用药一键生成到精麻处方单中，支持追溯毒麻药品的余液量。</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文书记录</w:t>
            </w:r>
          </w:p>
          <w:p>
            <w:pPr>
              <w:numPr>
                <w:ilvl w:val="0"/>
                <w:numId w:val="19"/>
              </w:numPr>
              <w:spacing w:line="360" w:lineRule="auto"/>
              <w:ind w:left="709" w:hanging="425"/>
              <w:rPr>
                <w:rFonts w:ascii="宋体" w:hAnsi="宋体" w:cs="宋体"/>
                <w:color w:val="000000"/>
                <w:szCs w:val="21"/>
              </w:rPr>
            </w:pPr>
            <w:r>
              <w:rPr>
                <w:rFonts w:hint="eastAsia" w:ascii="宋体" w:hAnsi="宋体" w:cs="宋体"/>
                <w:color w:val="000000"/>
                <w:szCs w:val="21"/>
              </w:rPr>
              <w:t>系统提供各种常见的术前访视单、麻醉知情同意书、麻醉术后访视单、术前护理访视单、手术器械清点单、术中护理记录、术后护理随访单、麻醉总结、镇痛记录单的查看、编辑、打印。</w:t>
            </w:r>
          </w:p>
          <w:p>
            <w:pPr>
              <w:numPr>
                <w:ilvl w:val="0"/>
                <w:numId w:val="19"/>
              </w:numPr>
              <w:spacing w:line="360" w:lineRule="auto"/>
              <w:ind w:left="709" w:hanging="425"/>
              <w:rPr>
                <w:rFonts w:ascii="宋体" w:hAnsi="宋体" w:cs="宋体"/>
                <w:color w:val="000000"/>
                <w:szCs w:val="21"/>
              </w:rPr>
            </w:pPr>
            <w:r>
              <w:rPr>
                <w:rFonts w:hint="eastAsia" w:ascii="宋体" w:hAnsi="宋体" w:cs="宋体"/>
                <w:color w:val="000000"/>
                <w:szCs w:val="21"/>
              </w:rPr>
              <w:t>系统提供快速录入模板功能；支持设定私人或公共模板适用范围。</w:t>
            </w:r>
          </w:p>
          <w:p>
            <w:pPr>
              <w:numPr>
                <w:ilvl w:val="0"/>
                <w:numId w:val="19"/>
              </w:numPr>
              <w:spacing w:line="360" w:lineRule="auto"/>
              <w:ind w:left="709" w:hanging="425"/>
              <w:rPr>
                <w:rFonts w:ascii="宋体" w:hAnsi="宋体" w:cs="宋体"/>
                <w:color w:val="000000"/>
                <w:szCs w:val="21"/>
              </w:rPr>
            </w:pPr>
            <w:r>
              <w:rPr>
                <w:rFonts w:hint="eastAsia" w:ascii="宋体" w:hAnsi="宋体" w:cs="宋体"/>
                <w:color w:val="000000"/>
                <w:szCs w:val="21"/>
              </w:rPr>
              <w:t>系统支持麻醉医生工作交接并记录，并可根据当前工作情况形成交接记录单。</w:t>
            </w:r>
          </w:p>
          <w:p>
            <w:pPr>
              <w:numPr>
                <w:ilvl w:val="0"/>
                <w:numId w:val="19"/>
              </w:numPr>
              <w:spacing w:line="360" w:lineRule="auto"/>
              <w:ind w:left="709" w:hanging="425"/>
              <w:rPr>
                <w:rFonts w:ascii="宋体" w:hAnsi="宋体" w:cs="宋体"/>
                <w:color w:val="000000"/>
                <w:szCs w:val="21"/>
              </w:rPr>
            </w:pPr>
            <w:r>
              <w:rPr>
                <w:rFonts w:hint="eastAsia" w:ascii="宋体" w:hAnsi="宋体" w:cs="宋体"/>
                <w:color w:val="000000"/>
                <w:szCs w:val="21"/>
              </w:rPr>
              <w:t>支持记录患者术中、术后发生的不良事件。</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流程配置</w:t>
            </w:r>
          </w:p>
          <w:p>
            <w:pPr>
              <w:numPr>
                <w:ilvl w:val="0"/>
                <w:numId w:val="20"/>
              </w:numPr>
              <w:spacing w:line="360" w:lineRule="auto"/>
              <w:ind w:left="709" w:hanging="425"/>
              <w:rPr>
                <w:rFonts w:ascii="宋体" w:hAnsi="宋体" w:cs="宋体"/>
                <w:color w:val="000000"/>
                <w:szCs w:val="21"/>
              </w:rPr>
            </w:pPr>
            <w:r>
              <w:rPr>
                <w:rFonts w:hint="eastAsia" w:ascii="宋体" w:hAnsi="宋体" w:cs="宋体"/>
                <w:color w:val="000000"/>
                <w:szCs w:val="21"/>
              </w:rPr>
              <w:t>▲系统支持为手术、有创诊疗、内镜诊疗、介入诊疗流程等流程进行状态变化追踪，如患者进出手术室、麻醉节点、手术节点，并记录各节点状态发生时间信息。</w:t>
            </w:r>
          </w:p>
          <w:p>
            <w:pPr>
              <w:numPr>
                <w:ilvl w:val="0"/>
                <w:numId w:val="20"/>
              </w:numPr>
              <w:spacing w:line="360" w:lineRule="auto"/>
              <w:ind w:left="709" w:hanging="425"/>
              <w:rPr>
                <w:rFonts w:ascii="宋体" w:hAnsi="宋体" w:cs="宋体"/>
                <w:color w:val="000000"/>
                <w:szCs w:val="21"/>
              </w:rPr>
            </w:pPr>
            <w:bookmarkStart w:id="47" w:name="OLE_LINK28"/>
            <w:bookmarkStart w:id="48" w:name="OLE_LINK27"/>
            <w:r>
              <w:rPr>
                <w:rFonts w:hint="eastAsia" w:ascii="宋体" w:hAnsi="宋体" w:cs="宋体"/>
                <w:color w:val="000000"/>
                <w:szCs w:val="21"/>
              </w:rPr>
              <w:t>系统支持针对术中手术流程进行误入回退操作，并记录操作人和操作时间。</w:t>
            </w:r>
          </w:p>
          <w:p>
            <w:pPr>
              <w:numPr>
                <w:ilvl w:val="0"/>
                <w:numId w:val="20"/>
              </w:numPr>
              <w:spacing w:line="360" w:lineRule="auto"/>
              <w:ind w:left="709" w:hanging="425"/>
              <w:rPr>
                <w:rFonts w:ascii="宋体" w:hAnsi="宋体" w:cs="宋体"/>
                <w:color w:val="000000"/>
                <w:szCs w:val="21"/>
              </w:rPr>
            </w:pPr>
            <w:r>
              <w:rPr>
                <w:rFonts w:hint="eastAsia" w:ascii="宋体" w:hAnsi="宋体" w:cs="宋体"/>
                <w:color w:val="000000"/>
                <w:szCs w:val="21"/>
              </w:rPr>
              <w:t>用户可以根据实际情况，停止当前进行的手术，并提供停止原因记录。</w:t>
            </w:r>
            <w:bookmarkEnd w:id="47"/>
            <w:bookmarkEnd w:id="48"/>
          </w:p>
          <w:p>
            <w:pPr>
              <w:numPr>
                <w:ilvl w:val="0"/>
                <w:numId w:val="20"/>
              </w:numPr>
              <w:spacing w:line="360" w:lineRule="auto"/>
              <w:ind w:left="709" w:hanging="425"/>
              <w:rPr>
                <w:rFonts w:ascii="宋体" w:hAnsi="宋体" w:cs="宋体"/>
                <w:color w:val="000000"/>
                <w:szCs w:val="21"/>
              </w:rPr>
            </w:pPr>
            <w:r>
              <w:rPr>
                <w:rFonts w:hint="eastAsia" w:ascii="宋体" w:hAnsi="宋体" w:cs="宋体"/>
                <w:color w:val="000000"/>
                <w:szCs w:val="21"/>
              </w:rPr>
              <w:t>▲系统支持继续手术的全过程记录，保障患者麻醉记录数据的连续性。</w:t>
            </w:r>
          </w:p>
          <w:p>
            <w:pPr>
              <w:keepNext/>
              <w:keepLines/>
              <w:numPr>
                <w:ilvl w:val="0"/>
                <w:numId w:val="8"/>
              </w:numPr>
              <w:spacing w:line="578" w:lineRule="auto"/>
              <w:outlineLvl w:val="0"/>
              <w:rPr>
                <w:rFonts w:ascii="宋体" w:hAnsi="宋体" w:cs="宋体"/>
                <w:b/>
                <w:bCs/>
                <w:color w:val="000000"/>
                <w:kern w:val="44"/>
                <w:szCs w:val="21"/>
              </w:rPr>
            </w:pPr>
            <w:r>
              <w:rPr>
                <w:rFonts w:hint="eastAsia" w:ascii="宋体" w:hAnsi="宋体" w:cs="宋体"/>
                <w:b/>
                <w:bCs/>
                <w:color w:val="000000"/>
                <w:kern w:val="44"/>
                <w:szCs w:val="21"/>
              </w:rPr>
              <w:t>麻醉记录单</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麻醉信息记录</w:t>
            </w:r>
          </w:p>
          <w:p>
            <w:pPr>
              <w:numPr>
                <w:ilvl w:val="0"/>
                <w:numId w:val="21"/>
              </w:numPr>
              <w:spacing w:line="360" w:lineRule="auto"/>
              <w:ind w:left="709" w:hanging="425"/>
              <w:rPr>
                <w:rFonts w:ascii="宋体" w:hAnsi="宋体" w:cs="宋体"/>
                <w:color w:val="000000"/>
                <w:szCs w:val="21"/>
              </w:rPr>
            </w:pPr>
            <w:r>
              <w:rPr>
                <w:rFonts w:hint="eastAsia" w:ascii="宋体" w:hAnsi="宋体" w:cs="宋体"/>
                <w:color w:val="000000"/>
                <w:szCs w:val="21"/>
              </w:rPr>
              <w:t>系统支持所见即所得的模式，直接在麻醉记录单上完成患者基本信息、手术信息、麻醉信息、工作人员、用药、事件等信息的修改。</w:t>
            </w:r>
          </w:p>
          <w:p>
            <w:pPr>
              <w:numPr>
                <w:ilvl w:val="0"/>
                <w:numId w:val="21"/>
              </w:numPr>
              <w:spacing w:line="360" w:lineRule="auto"/>
              <w:ind w:left="709" w:hanging="425"/>
              <w:rPr>
                <w:rFonts w:ascii="宋体" w:hAnsi="宋体" w:cs="宋体"/>
                <w:color w:val="000000"/>
                <w:szCs w:val="21"/>
              </w:rPr>
            </w:pPr>
            <w:r>
              <w:rPr>
                <w:rFonts w:hint="eastAsia" w:ascii="宋体" w:hAnsi="宋体" w:cs="宋体"/>
                <w:color w:val="000000"/>
                <w:szCs w:val="21"/>
              </w:rPr>
              <w:t>系统支持快捷调取患者手术申请信息、排程记录，一键填充术中麻醉记录。</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生命体征记录</w:t>
            </w:r>
          </w:p>
          <w:p>
            <w:pPr>
              <w:numPr>
                <w:ilvl w:val="0"/>
                <w:numId w:val="22"/>
              </w:numPr>
              <w:spacing w:line="360" w:lineRule="auto"/>
              <w:ind w:left="709" w:hanging="425"/>
              <w:rPr>
                <w:rFonts w:ascii="宋体" w:hAnsi="宋体" w:cs="宋体"/>
                <w:color w:val="000000"/>
                <w:szCs w:val="21"/>
              </w:rPr>
            </w:pPr>
            <w:r>
              <w:rPr>
                <w:rFonts w:hint="eastAsia" w:ascii="宋体" w:hAnsi="宋体" w:cs="宋体"/>
                <w:color w:val="000000"/>
                <w:szCs w:val="21"/>
              </w:rPr>
              <w:t>系统支持数据自动采集，实时获取来自床旁监护仪、麻醉机上患者生命体征信息，可以从监护仪、麻醉机设备采集病人术中血压、心率、血氧、脉搏、呼气末二氧化碳、潮气量生命体征参数。</w:t>
            </w:r>
            <w:bookmarkStart w:id="49" w:name="_Hlk529205134"/>
          </w:p>
          <w:p>
            <w:pPr>
              <w:numPr>
                <w:ilvl w:val="0"/>
                <w:numId w:val="22"/>
              </w:numPr>
              <w:spacing w:line="360" w:lineRule="auto"/>
              <w:ind w:left="709" w:hanging="425"/>
              <w:rPr>
                <w:rFonts w:ascii="宋体" w:hAnsi="宋体" w:cs="宋体"/>
                <w:color w:val="000000"/>
                <w:szCs w:val="21"/>
              </w:rPr>
            </w:pPr>
            <w:r>
              <w:rPr>
                <w:rFonts w:hint="eastAsia" w:ascii="宋体" w:hAnsi="宋体" w:cs="宋体"/>
                <w:color w:val="000000"/>
                <w:szCs w:val="21"/>
              </w:rPr>
              <w:t>系统支持以秒采集生命体征数据，默认采集频率为5分钟，并且支持设定当前患者的自定义体征数据采集频率。</w:t>
            </w:r>
          </w:p>
          <w:p>
            <w:pPr>
              <w:numPr>
                <w:ilvl w:val="0"/>
                <w:numId w:val="22"/>
              </w:numPr>
              <w:spacing w:line="360" w:lineRule="auto"/>
              <w:ind w:left="709" w:hanging="425"/>
              <w:rPr>
                <w:rFonts w:ascii="宋体" w:hAnsi="宋体" w:cs="宋体"/>
                <w:color w:val="000000"/>
                <w:szCs w:val="21"/>
              </w:rPr>
            </w:pPr>
            <w:r>
              <w:rPr>
                <w:rFonts w:hint="eastAsia" w:ascii="宋体" w:hAnsi="宋体" w:cs="宋体"/>
                <w:color w:val="000000"/>
                <w:szCs w:val="21"/>
              </w:rPr>
              <w:t>▲系统支持根据不同的手术患者个性化设置采集项目和采集频率。</w:t>
            </w:r>
          </w:p>
          <w:p>
            <w:pPr>
              <w:numPr>
                <w:ilvl w:val="0"/>
                <w:numId w:val="22"/>
              </w:numPr>
              <w:spacing w:line="360" w:lineRule="auto"/>
              <w:ind w:left="709" w:hanging="425"/>
              <w:rPr>
                <w:rFonts w:ascii="宋体" w:hAnsi="宋体" w:cs="宋体"/>
                <w:color w:val="000000"/>
                <w:szCs w:val="21"/>
              </w:rPr>
            </w:pPr>
            <w:r>
              <w:rPr>
                <w:rFonts w:hint="eastAsia" w:ascii="宋体" w:hAnsi="宋体" w:cs="宋体"/>
                <w:color w:val="000000"/>
                <w:szCs w:val="21"/>
              </w:rPr>
              <w:t>系统支持直接在所见即所得的麻醉记录单上操作体征监护信息，直接在麻醉记录单上通过体征曲线绘制快速添加患者生命体征波形数据，并可以通过鼠标拖拽修改监护数据点。</w:t>
            </w:r>
          </w:p>
          <w:p>
            <w:pPr>
              <w:numPr>
                <w:ilvl w:val="0"/>
                <w:numId w:val="22"/>
              </w:numPr>
              <w:spacing w:line="360" w:lineRule="auto"/>
              <w:ind w:left="709" w:hanging="425"/>
              <w:rPr>
                <w:rFonts w:ascii="宋体" w:hAnsi="宋体" w:cs="宋体"/>
                <w:color w:val="000000"/>
                <w:szCs w:val="21"/>
              </w:rPr>
            </w:pPr>
            <w:r>
              <w:rPr>
                <w:rFonts w:hint="eastAsia" w:ascii="宋体" w:hAnsi="宋体" w:cs="宋体"/>
                <w:color w:val="000000"/>
                <w:szCs w:val="21"/>
              </w:rPr>
              <w:t>系统支持设定体征正常值范围，术中患者体征信息可以根据该范围，进行患者体征异常提醒。</w:t>
            </w:r>
          </w:p>
          <w:bookmarkEnd w:id="49"/>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用药事件记录</w:t>
            </w:r>
          </w:p>
          <w:p>
            <w:pPr>
              <w:numPr>
                <w:ilvl w:val="0"/>
                <w:numId w:val="23"/>
              </w:numPr>
              <w:spacing w:line="360" w:lineRule="auto"/>
              <w:ind w:left="709" w:hanging="425"/>
              <w:rPr>
                <w:rFonts w:ascii="宋体" w:hAnsi="宋体" w:cs="宋体"/>
                <w:color w:val="000000"/>
                <w:szCs w:val="21"/>
              </w:rPr>
            </w:pPr>
            <w:r>
              <w:rPr>
                <w:rFonts w:hint="eastAsia" w:ascii="宋体" w:hAnsi="宋体" w:cs="宋体"/>
                <w:color w:val="000000"/>
                <w:szCs w:val="21"/>
              </w:rPr>
              <w:t>系统能够通过下拉菜单、首字母拼音模糊检索麻醉事件、药品字典信息，实现麻醉事件、麻醉用药的快速录入。</w:t>
            </w:r>
          </w:p>
          <w:p>
            <w:pPr>
              <w:numPr>
                <w:ilvl w:val="0"/>
                <w:numId w:val="23"/>
              </w:numPr>
              <w:spacing w:line="360" w:lineRule="auto"/>
              <w:ind w:left="709" w:hanging="425"/>
              <w:rPr>
                <w:rFonts w:ascii="宋体" w:hAnsi="宋体" w:cs="宋体"/>
                <w:color w:val="000000"/>
                <w:szCs w:val="21"/>
              </w:rPr>
            </w:pPr>
            <w:r>
              <w:rPr>
                <w:rFonts w:hint="eastAsia" w:ascii="宋体" w:hAnsi="宋体" w:cs="宋体"/>
                <w:color w:val="000000"/>
                <w:szCs w:val="21"/>
              </w:rPr>
              <w:t>系统支持直接在麻醉记录单图形化页面，进行便捷的修改用药时间、浓度、剂量、单位等操作。</w:t>
            </w:r>
          </w:p>
          <w:p>
            <w:pPr>
              <w:numPr>
                <w:ilvl w:val="0"/>
                <w:numId w:val="23"/>
              </w:numPr>
              <w:spacing w:line="360" w:lineRule="auto"/>
              <w:ind w:left="709" w:hanging="425"/>
              <w:rPr>
                <w:rFonts w:ascii="宋体" w:hAnsi="宋体" w:cs="宋体"/>
                <w:color w:val="000000"/>
                <w:szCs w:val="21"/>
              </w:rPr>
            </w:pPr>
            <w:r>
              <w:rPr>
                <w:rFonts w:hint="eastAsia" w:ascii="宋体" w:hAnsi="宋体" w:cs="宋体"/>
                <w:color w:val="000000"/>
                <w:szCs w:val="21"/>
              </w:rPr>
              <w:t>系统支持用户能够在麻醉单上添加连续用药信息，并且可以快速停止连续用药时间。</w:t>
            </w:r>
          </w:p>
          <w:p>
            <w:pPr>
              <w:numPr>
                <w:ilvl w:val="0"/>
                <w:numId w:val="23"/>
              </w:numPr>
              <w:spacing w:line="360" w:lineRule="auto"/>
              <w:ind w:left="709" w:hanging="425"/>
              <w:rPr>
                <w:rFonts w:ascii="宋体" w:hAnsi="宋体" w:cs="宋体"/>
                <w:color w:val="000000"/>
                <w:szCs w:val="21"/>
              </w:rPr>
            </w:pPr>
            <w:r>
              <w:rPr>
                <w:rFonts w:hint="eastAsia" w:ascii="宋体" w:hAnsi="宋体" w:cs="宋体"/>
                <w:color w:val="000000"/>
                <w:szCs w:val="21"/>
              </w:rPr>
              <w:t>▲系统可以通过用药记录页面，添加并记录成组用药信息，满足医嘱书写规范。</w:t>
            </w:r>
          </w:p>
          <w:p>
            <w:pPr>
              <w:numPr>
                <w:ilvl w:val="0"/>
                <w:numId w:val="23"/>
              </w:numPr>
              <w:spacing w:line="360" w:lineRule="auto"/>
              <w:ind w:left="709" w:hanging="425"/>
              <w:rPr>
                <w:rFonts w:ascii="宋体" w:hAnsi="宋体" w:cs="宋体"/>
                <w:color w:val="000000"/>
                <w:szCs w:val="21"/>
              </w:rPr>
            </w:pPr>
            <w:r>
              <w:rPr>
                <w:rFonts w:hint="eastAsia" w:ascii="宋体" w:hAnsi="宋体" w:cs="宋体"/>
                <w:color w:val="000000"/>
                <w:szCs w:val="21"/>
              </w:rPr>
              <w:t>系统支持合计药品用量。</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麻醉单模板</w:t>
            </w:r>
          </w:p>
          <w:p>
            <w:pPr>
              <w:numPr>
                <w:ilvl w:val="0"/>
                <w:numId w:val="24"/>
              </w:numPr>
              <w:spacing w:line="360" w:lineRule="auto"/>
              <w:ind w:left="709" w:hanging="425"/>
              <w:rPr>
                <w:rFonts w:ascii="宋体" w:hAnsi="宋体" w:cs="宋体"/>
                <w:color w:val="000000"/>
                <w:szCs w:val="21"/>
              </w:rPr>
            </w:pPr>
            <w:r>
              <w:rPr>
                <w:rFonts w:hint="eastAsia" w:ascii="宋体" w:hAnsi="宋体" w:cs="宋体"/>
                <w:color w:val="000000"/>
                <w:szCs w:val="21"/>
              </w:rPr>
              <w:t>▲系统支持采用B/S架构的麻醉记录单，方便医生在不同的地点查看和编辑麻醉记录单内容。</w:t>
            </w:r>
          </w:p>
          <w:p>
            <w:pPr>
              <w:numPr>
                <w:ilvl w:val="0"/>
                <w:numId w:val="24"/>
              </w:numPr>
              <w:spacing w:line="360" w:lineRule="auto"/>
              <w:ind w:left="709" w:hanging="425"/>
              <w:rPr>
                <w:rFonts w:ascii="宋体" w:hAnsi="宋体" w:cs="宋体"/>
                <w:color w:val="000000"/>
                <w:szCs w:val="21"/>
              </w:rPr>
            </w:pPr>
            <w:r>
              <w:rPr>
                <w:rFonts w:hint="eastAsia" w:ascii="宋体" w:hAnsi="宋体" w:cs="宋体"/>
                <w:color w:val="000000"/>
                <w:szCs w:val="21"/>
              </w:rPr>
              <w:t>系统支持根据手术保存为手术麻醉模板，系统支持术中通过手术套餐模板快速录入用药、事件信息。</w:t>
            </w:r>
          </w:p>
          <w:p>
            <w:pPr>
              <w:numPr>
                <w:ilvl w:val="0"/>
                <w:numId w:val="24"/>
              </w:numPr>
              <w:spacing w:line="360" w:lineRule="auto"/>
              <w:ind w:left="709" w:hanging="425"/>
              <w:rPr>
                <w:rFonts w:ascii="宋体" w:hAnsi="宋体" w:cs="宋体"/>
                <w:color w:val="000000"/>
                <w:szCs w:val="21"/>
              </w:rPr>
            </w:pPr>
            <w:r>
              <w:rPr>
                <w:rFonts w:hint="eastAsia" w:ascii="宋体" w:hAnsi="宋体" w:cs="宋体"/>
                <w:color w:val="000000"/>
                <w:szCs w:val="21"/>
              </w:rPr>
              <w:t>系统支持麻醉用药事件的路径模板套用快速录入，可以根据进手术间、麻醉开始、出手术室事件路径套用模板内容。</w:t>
            </w:r>
          </w:p>
          <w:p>
            <w:pPr>
              <w:numPr>
                <w:ilvl w:val="0"/>
                <w:numId w:val="24"/>
              </w:numPr>
              <w:spacing w:line="360" w:lineRule="auto"/>
              <w:ind w:left="709" w:hanging="425"/>
              <w:rPr>
                <w:rFonts w:ascii="宋体" w:hAnsi="宋体" w:cs="宋体"/>
                <w:color w:val="000000"/>
                <w:szCs w:val="21"/>
              </w:rPr>
            </w:pPr>
            <w:r>
              <w:rPr>
                <w:rFonts w:hint="eastAsia" w:ascii="宋体" w:hAnsi="宋体" w:cs="宋体"/>
                <w:color w:val="000000"/>
                <w:szCs w:val="21"/>
              </w:rPr>
              <w:t>支持国家卫健委2021版麻醉记录单。</w:t>
            </w:r>
          </w:p>
          <w:p>
            <w:pPr>
              <w:keepNext/>
              <w:keepLines/>
              <w:numPr>
                <w:ilvl w:val="0"/>
                <w:numId w:val="8"/>
              </w:numPr>
              <w:spacing w:line="578" w:lineRule="auto"/>
              <w:outlineLvl w:val="0"/>
              <w:rPr>
                <w:rFonts w:ascii="宋体" w:hAnsi="宋体" w:cs="宋体"/>
                <w:b/>
                <w:bCs/>
                <w:color w:val="000000"/>
                <w:kern w:val="44"/>
                <w:szCs w:val="21"/>
              </w:rPr>
            </w:pPr>
            <w:r>
              <w:rPr>
                <w:rFonts w:hint="eastAsia" w:ascii="宋体" w:hAnsi="宋体" w:cs="宋体"/>
                <w:b/>
                <w:bCs/>
                <w:color w:val="000000"/>
                <w:kern w:val="44"/>
                <w:szCs w:val="21"/>
              </w:rPr>
              <w:t>苏醒室工作站</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床位管理</w:t>
            </w:r>
          </w:p>
          <w:p>
            <w:pPr>
              <w:numPr>
                <w:ilvl w:val="0"/>
                <w:numId w:val="25"/>
              </w:numPr>
              <w:spacing w:line="360" w:lineRule="auto"/>
              <w:ind w:left="709" w:hanging="425"/>
              <w:rPr>
                <w:rFonts w:ascii="宋体" w:hAnsi="宋体" w:cs="宋体"/>
                <w:color w:val="000000"/>
                <w:szCs w:val="21"/>
              </w:rPr>
            </w:pPr>
            <w:r>
              <w:rPr>
                <w:rFonts w:hint="eastAsia" w:ascii="宋体" w:hAnsi="宋体" w:cs="宋体"/>
                <w:color w:val="000000"/>
                <w:szCs w:val="21"/>
              </w:rPr>
              <w:t>系统支持一个苏醒室工作站管理多个床位的集中监护模式。</w:t>
            </w:r>
          </w:p>
          <w:p>
            <w:pPr>
              <w:numPr>
                <w:ilvl w:val="0"/>
                <w:numId w:val="25"/>
              </w:numPr>
              <w:spacing w:line="360" w:lineRule="auto"/>
              <w:ind w:left="709" w:hanging="425"/>
              <w:rPr>
                <w:rFonts w:ascii="宋体" w:hAnsi="宋体" w:cs="宋体"/>
                <w:color w:val="000000"/>
                <w:szCs w:val="21"/>
              </w:rPr>
            </w:pPr>
            <w:r>
              <w:rPr>
                <w:rFonts w:hint="eastAsia" w:ascii="宋体" w:hAnsi="宋体" w:cs="宋体"/>
                <w:color w:val="000000"/>
                <w:szCs w:val="21"/>
              </w:rPr>
              <w:t>系统支持查看当前复苏室的所有床位情况，支持对空床位进行预约功能。</w:t>
            </w:r>
          </w:p>
          <w:p>
            <w:pPr>
              <w:numPr>
                <w:ilvl w:val="0"/>
                <w:numId w:val="25"/>
              </w:numPr>
              <w:spacing w:line="360" w:lineRule="auto"/>
              <w:ind w:left="709" w:hanging="425"/>
              <w:rPr>
                <w:rFonts w:ascii="宋体" w:hAnsi="宋体" w:cs="宋体"/>
                <w:color w:val="000000"/>
                <w:szCs w:val="21"/>
              </w:rPr>
            </w:pPr>
            <w:r>
              <w:rPr>
                <w:rFonts w:hint="eastAsia" w:ascii="宋体" w:hAnsi="宋体" w:cs="宋体"/>
                <w:color w:val="000000"/>
                <w:szCs w:val="21"/>
              </w:rPr>
              <w:t>系统支持根据手术结束的出室去向，过滤显示待入复苏室的患者信息。</w:t>
            </w:r>
          </w:p>
          <w:p>
            <w:pPr>
              <w:numPr>
                <w:ilvl w:val="0"/>
                <w:numId w:val="25"/>
              </w:numPr>
              <w:spacing w:line="360" w:lineRule="auto"/>
              <w:ind w:left="709" w:hanging="425"/>
              <w:rPr>
                <w:rFonts w:ascii="宋体" w:hAnsi="宋体" w:cs="宋体"/>
                <w:color w:val="000000"/>
                <w:szCs w:val="21"/>
              </w:rPr>
            </w:pPr>
            <w:r>
              <w:rPr>
                <w:rFonts w:hint="eastAsia" w:ascii="宋体" w:hAnsi="宋体" w:cs="宋体"/>
                <w:color w:val="000000"/>
                <w:szCs w:val="21"/>
              </w:rPr>
              <w:t>系统支持通过拖拽的方式完成入床操作。</w:t>
            </w:r>
          </w:p>
          <w:p>
            <w:pPr>
              <w:numPr>
                <w:ilvl w:val="0"/>
                <w:numId w:val="25"/>
              </w:numPr>
              <w:spacing w:line="360" w:lineRule="auto"/>
              <w:ind w:left="709" w:hanging="425"/>
              <w:rPr>
                <w:rFonts w:ascii="宋体" w:hAnsi="宋体" w:cs="宋体"/>
                <w:color w:val="000000"/>
                <w:szCs w:val="21"/>
              </w:rPr>
            </w:pPr>
            <w:r>
              <w:rPr>
                <w:rFonts w:hint="eastAsia" w:ascii="宋体" w:hAnsi="宋体" w:cs="宋体"/>
                <w:color w:val="000000"/>
                <w:szCs w:val="21"/>
              </w:rPr>
              <w:t>患者进入复苏室，流程控制提示采集入室体温，根据体温情况，将入室低体温纳入质控统计。</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复苏记录</w:t>
            </w:r>
          </w:p>
          <w:p>
            <w:pPr>
              <w:numPr>
                <w:ilvl w:val="0"/>
                <w:numId w:val="26"/>
              </w:numPr>
              <w:spacing w:line="360" w:lineRule="auto"/>
              <w:ind w:left="709" w:hanging="425"/>
              <w:rPr>
                <w:rFonts w:ascii="宋体" w:hAnsi="宋体" w:cs="宋体"/>
                <w:color w:val="000000"/>
                <w:szCs w:val="21"/>
              </w:rPr>
            </w:pPr>
            <w:r>
              <w:rPr>
                <w:rFonts w:hint="eastAsia" w:ascii="宋体" w:hAnsi="宋体" w:cs="宋体"/>
                <w:color w:val="000000"/>
                <w:szCs w:val="21"/>
              </w:rPr>
              <w:t>系统支持个性化定制曲线和数字多种监护数据显示模式的苏醒记录单。</w:t>
            </w:r>
          </w:p>
          <w:p>
            <w:pPr>
              <w:numPr>
                <w:ilvl w:val="0"/>
                <w:numId w:val="26"/>
              </w:numPr>
              <w:spacing w:line="360" w:lineRule="auto"/>
              <w:ind w:left="709" w:hanging="425"/>
              <w:rPr>
                <w:rFonts w:ascii="宋体" w:hAnsi="宋体" w:cs="宋体"/>
                <w:color w:val="000000"/>
                <w:szCs w:val="21"/>
              </w:rPr>
            </w:pPr>
            <w:r>
              <w:rPr>
                <w:rFonts w:hint="eastAsia" w:ascii="宋体" w:hAnsi="宋体" w:cs="宋体"/>
                <w:color w:val="000000"/>
                <w:szCs w:val="21"/>
              </w:rPr>
              <w:t>系统提供记录苏醒过程中的患者基本信息、手术信息、麻醉信息、人员信息、用药、输液、体征数据、入室情况、出室情况等信息。</w:t>
            </w:r>
          </w:p>
          <w:p>
            <w:pPr>
              <w:numPr>
                <w:ilvl w:val="0"/>
                <w:numId w:val="21"/>
              </w:numPr>
              <w:spacing w:line="360" w:lineRule="auto"/>
              <w:ind w:left="709" w:hanging="425"/>
              <w:rPr>
                <w:rFonts w:ascii="宋体" w:hAnsi="宋体" w:cs="宋体"/>
                <w:color w:val="000000"/>
                <w:szCs w:val="21"/>
              </w:rPr>
            </w:pPr>
            <w:r>
              <w:rPr>
                <w:rFonts w:hint="eastAsia" w:ascii="宋体" w:hAnsi="宋体" w:cs="宋体"/>
                <w:color w:val="000000"/>
                <w:szCs w:val="21"/>
              </w:rPr>
              <w:t>系统支持快捷调取麻醉单出室情况信息，一键填充苏醒单入室情况。</w:t>
            </w:r>
          </w:p>
          <w:p>
            <w:pPr>
              <w:numPr>
                <w:ilvl w:val="0"/>
                <w:numId w:val="21"/>
              </w:numPr>
              <w:spacing w:line="360" w:lineRule="auto"/>
              <w:ind w:left="709" w:hanging="425"/>
              <w:rPr>
                <w:rFonts w:ascii="宋体" w:hAnsi="宋体" w:cs="宋体"/>
                <w:color w:val="000000"/>
                <w:szCs w:val="21"/>
              </w:rPr>
            </w:pPr>
            <w:r>
              <w:rPr>
                <w:rFonts w:hint="eastAsia" w:ascii="宋体" w:hAnsi="宋体" w:cs="宋体"/>
                <w:color w:val="000000"/>
                <w:szCs w:val="21"/>
              </w:rPr>
              <w:t>系统支持复苏室监护信息采集功能，并且支持设定当前患者的自定义体征数据采集频率。</w:t>
            </w:r>
          </w:p>
          <w:p>
            <w:pPr>
              <w:numPr>
                <w:ilvl w:val="0"/>
                <w:numId w:val="21"/>
              </w:numPr>
              <w:spacing w:line="360" w:lineRule="auto"/>
              <w:ind w:left="709" w:hanging="425"/>
              <w:rPr>
                <w:rFonts w:ascii="宋体" w:hAnsi="宋体" w:cs="宋体"/>
                <w:color w:val="000000"/>
                <w:szCs w:val="21"/>
              </w:rPr>
            </w:pPr>
            <w:r>
              <w:rPr>
                <w:rFonts w:hint="eastAsia" w:ascii="宋体" w:hAnsi="宋体" w:cs="宋体"/>
                <w:color w:val="000000"/>
                <w:szCs w:val="21"/>
              </w:rPr>
              <w:t>系统支持苏醒记录单的打印和归档功能。</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出室管理</w:t>
            </w:r>
          </w:p>
          <w:p>
            <w:pPr>
              <w:numPr>
                <w:ilvl w:val="0"/>
                <w:numId w:val="27"/>
              </w:numPr>
              <w:spacing w:line="360" w:lineRule="auto"/>
              <w:ind w:left="709" w:hanging="425"/>
              <w:rPr>
                <w:rFonts w:ascii="宋体" w:hAnsi="宋体" w:cs="宋体"/>
                <w:color w:val="000000"/>
                <w:szCs w:val="21"/>
              </w:rPr>
            </w:pPr>
            <w:r>
              <w:rPr>
                <w:rFonts w:hint="eastAsia" w:ascii="宋体" w:hAnsi="宋体" w:cs="宋体"/>
                <w:color w:val="000000"/>
                <w:szCs w:val="21"/>
              </w:rPr>
              <w:t>系统提供术后复苏评分管理，如Steward评分、VAS出室评分功能。</w:t>
            </w:r>
          </w:p>
          <w:p>
            <w:pPr>
              <w:numPr>
                <w:ilvl w:val="0"/>
                <w:numId w:val="27"/>
              </w:numPr>
              <w:spacing w:line="360" w:lineRule="auto"/>
              <w:ind w:left="709" w:hanging="425"/>
              <w:rPr>
                <w:rFonts w:ascii="宋体" w:hAnsi="宋体" w:cs="宋体"/>
                <w:color w:val="000000"/>
                <w:szCs w:val="21"/>
              </w:rPr>
            </w:pPr>
            <w:r>
              <w:rPr>
                <w:rFonts w:hint="eastAsia" w:ascii="宋体" w:hAnsi="宋体" w:cs="宋体"/>
                <w:color w:val="000000"/>
                <w:szCs w:val="21"/>
              </w:rPr>
              <w:t>系统可对PACU转出延迟患者进行醒目标识，并将转出延迟患者纳入质控统计。</w:t>
            </w:r>
          </w:p>
          <w:p>
            <w:pPr>
              <w:numPr>
                <w:ilvl w:val="0"/>
                <w:numId w:val="27"/>
              </w:numPr>
              <w:spacing w:line="360" w:lineRule="auto"/>
              <w:ind w:left="709" w:hanging="425"/>
              <w:rPr>
                <w:rFonts w:ascii="宋体" w:hAnsi="宋体" w:cs="宋体"/>
                <w:color w:val="000000"/>
                <w:szCs w:val="21"/>
              </w:rPr>
            </w:pPr>
            <w:r>
              <w:rPr>
                <w:rFonts w:hint="eastAsia" w:ascii="宋体" w:hAnsi="宋体" w:cs="宋体"/>
                <w:color w:val="000000"/>
                <w:szCs w:val="21"/>
              </w:rPr>
              <w:t>系统支持麻醉护士通过关键字查询已完成的复苏列表，并且可以编辑修改、查看、打印复苏记录相关信息。</w:t>
            </w:r>
          </w:p>
          <w:p>
            <w:pPr>
              <w:keepNext/>
              <w:keepLines/>
              <w:numPr>
                <w:ilvl w:val="0"/>
                <w:numId w:val="8"/>
              </w:numPr>
              <w:spacing w:line="578" w:lineRule="auto"/>
              <w:outlineLvl w:val="0"/>
              <w:rPr>
                <w:rFonts w:ascii="宋体" w:hAnsi="宋体" w:cs="宋体"/>
                <w:b/>
                <w:bCs/>
                <w:color w:val="000000"/>
                <w:kern w:val="44"/>
                <w:szCs w:val="21"/>
              </w:rPr>
            </w:pPr>
            <w:r>
              <w:rPr>
                <w:rFonts w:hint="eastAsia" w:ascii="宋体" w:hAnsi="宋体" w:cs="宋体"/>
                <w:b/>
                <w:bCs/>
                <w:color w:val="000000"/>
                <w:kern w:val="44"/>
                <w:szCs w:val="21"/>
              </w:rPr>
              <w:t>术后管理</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术后镇痛记录</w:t>
            </w:r>
          </w:p>
          <w:p>
            <w:pPr>
              <w:numPr>
                <w:ilvl w:val="0"/>
                <w:numId w:val="28"/>
              </w:numPr>
              <w:spacing w:line="360" w:lineRule="auto"/>
              <w:ind w:left="709" w:hanging="425"/>
              <w:rPr>
                <w:rFonts w:ascii="宋体" w:hAnsi="宋体" w:cs="宋体"/>
                <w:color w:val="000000"/>
                <w:szCs w:val="21"/>
              </w:rPr>
            </w:pPr>
            <w:r>
              <w:rPr>
                <w:rFonts w:hint="eastAsia" w:ascii="宋体" w:hAnsi="宋体" w:cs="宋体"/>
                <w:color w:val="000000"/>
                <w:szCs w:val="21"/>
              </w:rPr>
              <w:t>系统支持镇痛评估及镇痛计划的制定，支持记录镇痛方式、镇痛配方、首次剂量、上泵人、拔泵人、审核人等相关信息。</w:t>
            </w:r>
          </w:p>
          <w:p>
            <w:pPr>
              <w:numPr>
                <w:ilvl w:val="0"/>
                <w:numId w:val="28"/>
              </w:numPr>
              <w:spacing w:line="360" w:lineRule="auto"/>
              <w:ind w:left="709" w:hanging="425"/>
              <w:rPr>
                <w:rFonts w:ascii="宋体" w:hAnsi="宋体" w:cs="宋体"/>
                <w:color w:val="000000"/>
                <w:szCs w:val="21"/>
              </w:rPr>
            </w:pPr>
            <w:r>
              <w:rPr>
                <w:rFonts w:hint="eastAsia" w:ascii="宋体" w:hAnsi="宋体" w:cs="宋体"/>
                <w:color w:val="000000"/>
                <w:szCs w:val="21"/>
              </w:rPr>
              <w:t>系统支持术后镇痛效果评定与访视，通过模板方式快速完成录入工作。</w:t>
            </w:r>
          </w:p>
          <w:p>
            <w:pPr>
              <w:numPr>
                <w:ilvl w:val="0"/>
                <w:numId w:val="28"/>
              </w:numPr>
              <w:spacing w:line="360" w:lineRule="auto"/>
              <w:ind w:left="709" w:hanging="425"/>
              <w:rPr>
                <w:rFonts w:ascii="宋体" w:hAnsi="宋体" w:cs="宋体"/>
                <w:color w:val="000000"/>
                <w:szCs w:val="21"/>
              </w:rPr>
            </w:pPr>
            <w:r>
              <w:rPr>
                <w:rFonts w:hint="eastAsia" w:ascii="宋体" w:hAnsi="宋体" w:cs="宋体"/>
                <w:color w:val="000000"/>
                <w:szCs w:val="21"/>
              </w:rPr>
              <w:t>系统能够提供术后镇痛相关的统计报表，统计指定日期范围内术后镇痛率、镇痛用药情况。</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术后随访</w:t>
            </w:r>
          </w:p>
          <w:p>
            <w:pPr>
              <w:numPr>
                <w:ilvl w:val="0"/>
                <w:numId w:val="29"/>
              </w:numPr>
              <w:spacing w:line="360" w:lineRule="auto"/>
              <w:ind w:left="709" w:hanging="425"/>
              <w:rPr>
                <w:rFonts w:ascii="宋体" w:hAnsi="宋体" w:cs="宋体"/>
                <w:color w:val="000000"/>
                <w:szCs w:val="21"/>
              </w:rPr>
            </w:pPr>
            <w:r>
              <w:rPr>
                <w:rFonts w:hint="eastAsia" w:ascii="宋体" w:hAnsi="宋体" w:cs="宋体"/>
                <w:color w:val="000000"/>
                <w:szCs w:val="21"/>
              </w:rPr>
              <w:t>系统支持定制符合医院标准的术后随访单，支持表单的查看、编辑及打印。</w:t>
            </w:r>
          </w:p>
          <w:p>
            <w:pPr>
              <w:numPr>
                <w:ilvl w:val="0"/>
                <w:numId w:val="29"/>
              </w:numPr>
              <w:spacing w:line="360" w:lineRule="auto"/>
              <w:ind w:left="709" w:hanging="425"/>
              <w:rPr>
                <w:rFonts w:ascii="宋体" w:hAnsi="宋体" w:cs="宋体"/>
                <w:color w:val="000000"/>
                <w:szCs w:val="21"/>
              </w:rPr>
            </w:pPr>
            <w:r>
              <w:rPr>
                <w:rFonts w:hint="eastAsia" w:ascii="宋体" w:hAnsi="宋体" w:cs="宋体"/>
                <w:color w:val="000000"/>
                <w:szCs w:val="21"/>
              </w:rPr>
              <w:t>系统支持PC、平板电脑等多种移动终端进行术后随访工作。</w:t>
            </w:r>
          </w:p>
          <w:p>
            <w:pPr>
              <w:numPr>
                <w:ilvl w:val="0"/>
                <w:numId w:val="29"/>
              </w:numPr>
              <w:spacing w:line="360" w:lineRule="auto"/>
              <w:ind w:left="709" w:hanging="425"/>
              <w:rPr>
                <w:rFonts w:ascii="宋体" w:hAnsi="宋体" w:cs="宋体"/>
                <w:color w:val="000000"/>
                <w:szCs w:val="21"/>
              </w:rPr>
            </w:pPr>
            <w:r>
              <w:rPr>
                <w:rFonts w:hint="eastAsia" w:ascii="宋体" w:hAnsi="宋体" w:cs="宋体"/>
                <w:color w:val="000000"/>
                <w:szCs w:val="21"/>
              </w:rPr>
              <w:t>系统提供快速录入模板功能；支持设定私人或公共模板适用范围。</w:t>
            </w:r>
          </w:p>
          <w:p>
            <w:pPr>
              <w:keepNext/>
              <w:keepLines/>
              <w:numPr>
                <w:ilvl w:val="0"/>
                <w:numId w:val="8"/>
              </w:numPr>
              <w:spacing w:line="578" w:lineRule="auto"/>
              <w:outlineLvl w:val="0"/>
              <w:rPr>
                <w:rFonts w:ascii="宋体" w:hAnsi="宋体" w:cs="宋体"/>
                <w:b/>
                <w:bCs/>
                <w:color w:val="000000"/>
                <w:kern w:val="44"/>
                <w:szCs w:val="21"/>
              </w:rPr>
            </w:pPr>
            <w:r>
              <w:rPr>
                <w:rFonts w:hint="eastAsia" w:ascii="宋体" w:hAnsi="宋体" w:cs="宋体"/>
                <w:b/>
                <w:bCs/>
                <w:color w:val="000000"/>
                <w:kern w:val="44"/>
                <w:szCs w:val="21"/>
              </w:rPr>
              <w:t>科室管理</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术中监控</w:t>
            </w:r>
          </w:p>
          <w:p>
            <w:pPr>
              <w:numPr>
                <w:ilvl w:val="0"/>
                <w:numId w:val="30"/>
              </w:numPr>
              <w:spacing w:line="360" w:lineRule="auto"/>
              <w:ind w:left="709" w:hanging="425"/>
              <w:rPr>
                <w:rFonts w:ascii="宋体" w:hAnsi="宋体" w:cs="宋体"/>
                <w:color w:val="000000"/>
                <w:szCs w:val="21"/>
              </w:rPr>
            </w:pPr>
            <w:r>
              <w:rPr>
                <w:rFonts w:hint="eastAsia" w:ascii="宋体" w:hAnsi="宋体" w:cs="宋体"/>
                <w:color w:val="000000"/>
                <w:szCs w:val="21"/>
              </w:rPr>
              <w:t>系统可集中显示当前所有手术室每台手术的进行情况和基本摘要信息，包括患者信息、手术信息、人员信息、实时体征信息、手术时长、麻醉时长。</w:t>
            </w:r>
          </w:p>
          <w:p>
            <w:pPr>
              <w:numPr>
                <w:ilvl w:val="0"/>
                <w:numId w:val="30"/>
              </w:numPr>
              <w:spacing w:line="360" w:lineRule="auto"/>
              <w:ind w:left="709" w:hanging="425"/>
              <w:rPr>
                <w:rFonts w:ascii="宋体" w:hAnsi="宋体" w:cs="宋体"/>
                <w:color w:val="000000"/>
                <w:szCs w:val="21"/>
              </w:rPr>
            </w:pPr>
            <w:r>
              <w:rPr>
                <w:rFonts w:hint="eastAsia" w:ascii="宋体" w:hAnsi="宋体" w:cs="宋体"/>
                <w:color w:val="000000"/>
                <w:szCs w:val="21"/>
              </w:rPr>
              <w:t>系统支持通过中央监控实时监管各科室用药和医疗记录，打开任意当前正在进行手术的手术间的麻醉记录信息进行查看。</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管理驾驶舱</w:t>
            </w:r>
          </w:p>
          <w:p>
            <w:pPr>
              <w:numPr>
                <w:ilvl w:val="0"/>
                <w:numId w:val="31"/>
              </w:numPr>
              <w:spacing w:line="360" w:lineRule="auto"/>
              <w:ind w:left="709" w:hanging="425"/>
              <w:rPr>
                <w:rFonts w:ascii="宋体" w:hAnsi="宋体" w:cs="宋体"/>
                <w:color w:val="000000"/>
                <w:szCs w:val="21"/>
              </w:rPr>
            </w:pPr>
            <w:r>
              <w:rPr>
                <w:rFonts w:hint="eastAsia" w:ascii="宋体" w:hAnsi="宋体" w:cs="宋体"/>
                <w:color w:val="000000"/>
                <w:szCs w:val="21"/>
              </w:rPr>
              <w:t>系统支持呈现管理驾驶舱，集中展示麻醉总例数、手术麻醉收入、麻醉复苏总例数、不良事件总数、麻醉医生工作量排名等指标数据。</w:t>
            </w:r>
          </w:p>
          <w:p>
            <w:pPr>
              <w:numPr>
                <w:ilvl w:val="0"/>
                <w:numId w:val="31"/>
              </w:numPr>
              <w:spacing w:line="360" w:lineRule="auto"/>
              <w:ind w:left="709" w:hanging="425"/>
              <w:rPr>
                <w:rFonts w:ascii="宋体" w:hAnsi="宋体" w:cs="宋体"/>
                <w:color w:val="000000"/>
                <w:szCs w:val="21"/>
              </w:rPr>
            </w:pPr>
            <w:r>
              <w:rPr>
                <w:rFonts w:hint="eastAsia" w:ascii="宋体" w:hAnsi="宋体" w:cs="宋体"/>
                <w:color w:val="000000"/>
                <w:szCs w:val="21"/>
              </w:rPr>
              <w:t>系统支持以桑基图、仪表盘图形、柱状图等多种图形化的方式呈现。</w:t>
            </w:r>
          </w:p>
          <w:p>
            <w:pPr>
              <w:numPr>
                <w:ilvl w:val="0"/>
                <w:numId w:val="31"/>
              </w:numPr>
              <w:spacing w:line="360" w:lineRule="auto"/>
              <w:ind w:left="709" w:hanging="425"/>
              <w:rPr>
                <w:rFonts w:ascii="宋体" w:hAnsi="宋体" w:cs="宋体"/>
                <w:color w:val="000000"/>
                <w:szCs w:val="21"/>
              </w:rPr>
            </w:pPr>
            <w:r>
              <w:rPr>
                <w:rFonts w:hint="eastAsia" w:ascii="宋体" w:hAnsi="宋体" w:cs="宋体"/>
                <w:color w:val="000000"/>
                <w:szCs w:val="21"/>
              </w:rPr>
              <w:t>系统支持对每个细项指标开展同比、环比等趋势对比。</w:t>
            </w:r>
          </w:p>
          <w:p>
            <w:pPr>
              <w:keepNext/>
              <w:keepLines/>
              <w:numPr>
                <w:ilvl w:val="1"/>
                <w:numId w:val="8"/>
              </w:numPr>
              <w:spacing w:line="416" w:lineRule="auto"/>
              <w:ind w:left="567"/>
              <w:outlineLvl w:val="1"/>
              <w:rPr>
                <w:rFonts w:ascii="宋体" w:hAnsi="宋体" w:cs="宋体"/>
                <w:b/>
                <w:bCs/>
                <w:color w:val="000000"/>
                <w:szCs w:val="21"/>
              </w:rPr>
            </w:pPr>
            <w:bookmarkStart w:id="50" w:name="OLE_LINK30"/>
            <w:bookmarkStart w:id="51" w:name="OLE_LINK29"/>
            <w:r>
              <w:rPr>
                <w:rFonts w:hint="eastAsia" w:ascii="宋体" w:hAnsi="宋体" w:cs="宋体"/>
                <w:b/>
                <w:bCs/>
                <w:color w:val="000000"/>
                <w:szCs w:val="21"/>
              </w:rPr>
              <w:t>科室统计报表</w:t>
            </w:r>
          </w:p>
          <w:p>
            <w:pPr>
              <w:numPr>
                <w:ilvl w:val="0"/>
                <w:numId w:val="32"/>
              </w:numPr>
              <w:spacing w:line="360" w:lineRule="auto"/>
              <w:ind w:left="709" w:hanging="425"/>
              <w:rPr>
                <w:rFonts w:ascii="宋体" w:hAnsi="宋体" w:cs="宋体"/>
                <w:color w:val="000000"/>
                <w:szCs w:val="21"/>
              </w:rPr>
            </w:pPr>
            <w:r>
              <w:rPr>
                <w:rFonts w:hint="eastAsia" w:ascii="宋体" w:hAnsi="宋体" w:cs="宋体"/>
                <w:color w:val="000000"/>
                <w:szCs w:val="21"/>
              </w:rPr>
              <w:t>根据系统内容手术麻醉过程的相关工作内容，汇总系统相关数据，包括首台手术开台准点率、麻醉科工作量、麻醉医生工作量、镇痛治疗例数、麻醉方法、不良事件、手术不良事件例数/季/年。</w:t>
            </w:r>
          </w:p>
          <w:p>
            <w:pPr>
              <w:numPr>
                <w:ilvl w:val="0"/>
                <w:numId w:val="32"/>
              </w:numPr>
              <w:spacing w:line="360" w:lineRule="auto"/>
              <w:ind w:left="709" w:hanging="425"/>
              <w:rPr>
                <w:rFonts w:ascii="宋体" w:hAnsi="宋体" w:cs="宋体"/>
                <w:color w:val="000000"/>
                <w:szCs w:val="21"/>
              </w:rPr>
            </w:pPr>
            <w:r>
              <w:rPr>
                <w:rFonts w:hint="eastAsia" w:ascii="宋体" w:hAnsi="宋体" w:cs="宋体"/>
                <w:color w:val="000000"/>
                <w:szCs w:val="21"/>
              </w:rPr>
              <w:t>系统能够提供麻醉方法统计报表，统计指定日期范围内不同麻醉方法的例数、麻醉时长情况。</w:t>
            </w:r>
          </w:p>
          <w:p>
            <w:pPr>
              <w:numPr>
                <w:ilvl w:val="0"/>
                <w:numId w:val="32"/>
              </w:numPr>
              <w:spacing w:line="360" w:lineRule="auto"/>
              <w:ind w:left="709" w:hanging="425"/>
              <w:rPr>
                <w:rFonts w:ascii="宋体" w:hAnsi="宋体" w:cs="宋体"/>
                <w:color w:val="000000"/>
                <w:szCs w:val="21"/>
              </w:rPr>
            </w:pPr>
            <w:r>
              <w:rPr>
                <w:rFonts w:hint="eastAsia" w:ascii="宋体" w:hAnsi="宋体" w:cs="宋体"/>
                <w:color w:val="000000"/>
                <w:szCs w:val="21"/>
              </w:rPr>
              <w:t>系统提供统计概览，支持饼图、柱状图、趋势图多种形式的展现，支持导出。</w:t>
            </w:r>
          </w:p>
          <w:bookmarkEnd w:id="50"/>
          <w:bookmarkEnd w:id="51"/>
          <w:p>
            <w:pPr>
              <w:keepNext/>
              <w:keepLines/>
              <w:numPr>
                <w:ilvl w:val="0"/>
                <w:numId w:val="8"/>
              </w:numPr>
              <w:spacing w:line="578" w:lineRule="auto"/>
              <w:outlineLvl w:val="0"/>
              <w:rPr>
                <w:rFonts w:ascii="宋体" w:hAnsi="宋体" w:cs="宋体"/>
                <w:b/>
                <w:bCs/>
                <w:color w:val="000000"/>
                <w:kern w:val="44"/>
                <w:szCs w:val="21"/>
              </w:rPr>
            </w:pPr>
            <w:r>
              <w:rPr>
                <w:rFonts w:hint="eastAsia" w:ascii="宋体" w:hAnsi="宋体" w:cs="宋体"/>
                <w:b/>
                <w:bCs/>
                <w:color w:val="000000"/>
                <w:kern w:val="44"/>
                <w:szCs w:val="21"/>
              </w:rPr>
              <w:t>手术协同</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三方核查</w:t>
            </w:r>
          </w:p>
          <w:p>
            <w:pPr>
              <w:numPr>
                <w:ilvl w:val="0"/>
                <w:numId w:val="33"/>
              </w:numPr>
              <w:spacing w:line="360" w:lineRule="auto"/>
              <w:ind w:left="709" w:hanging="425"/>
              <w:rPr>
                <w:rFonts w:ascii="宋体" w:hAnsi="宋体" w:cs="宋体"/>
                <w:color w:val="000000"/>
                <w:szCs w:val="21"/>
              </w:rPr>
            </w:pPr>
            <w:r>
              <w:rPr>
                <w:rFonts w:hint="eastAsia" w:ascii="宋体" w:hAnsi="宋体" w:cs="宋体"/>
                <w:color w:val="000000"/>
                <w:szCs w:val="21"/>
              </w:rPr>
              <w:t>系统提供三方核查，并且实现核查工作融合在手术麻醉工作流程中。其中，麻醉前检查,包括患者基本信息确认、麻醉方式、麻醉药品等检查项目确认；术前检查,包括手术方式、手术部位确认、手术器械、监护设备等检查项目确认；出室检查,包括确认患者去向、术中用药、耗材情况确认等。</w:t>
            </w:r>
          </w:p>
          <w:p>
            <w:pPr>
              <w:numPr>
                <w:ilvl w:val="0"/>
                <w:numId w:val="33"/>
              </w:numPr>
              <w:spacing w:line="360" w:lineRule="auto"/>
              <w:rPr>
                <w:rFonts w:ascii="宋体" w:hAnsi="宋体" w:cs="宋体"/>
                <w:color w:val="000000"/>
                <w:szCs w:val="21"/>
              </w:rPr>
            </w:pPr>
            <w:r>
              <w:rPr>
                <w:rFonts w:hint="eastAsia" w:ascii="宋体" w:hAnsi="宋体" w:cs="宋体"/>
                <w:color w:val="000000"/>
                <w:szCs w:val="21"/>
              </w:rPr>
              <w:t>系统提供为不同流程的节点配置相应的质控功能，如为麻醉开始前设定麻醉前检查的流程。同时具备质控要求的内容嵌入到流程中，让管理者能能够在日常工作中实现对麻醉的质控管理要求。</w:t>
            </w:r>
          </w:p>
          <w:p>
            <w:pPr>
              <w:numPr>
                <w:ilvl w:val="0"/>
                <w:numId w:val="33"/>
              </w:numPr>
              <w:spacing w:line="360" w:lineRule="auto"/>
              <w:ind w:left="709" w:hanging="425"/>
              <w:rPr>
                <w:rFonts w:ascii="宋体" w:hAnsi="宋体" w:cs="宋体"/>
                <w:color w:val="000000"/>
                <w:szCs w:val="21"/>
              </w:rPr>
            </w:pPr>
            <w:r>
              <w:rPr>
                <w:rFonts w:hint="eastAsia" w:ascii="宋体" w:hAnsi="宋体" w:cs="宋体"/>
                <w:color w:val="000000"/>
                <w:szCs w:val="21"/>
              </w:rPr>
              <w:t>系统提供卫生部标准的手术安全核查单格式的三方核查单的预览和打印。</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信息发布</w:t>
            </w:r>
          </w:p>
          <w:p>
            <w:pPr>
              <w:numPr>
                <w:ilvl w:val="0"/>
                <w:numId w:val="34"/>
              </w:numPr>
              <w:spacing w:line="360" w:lineRule="auto"/>
              <w:ind w:left="709" w:hanging="425"/>
              <w:rPr>
                <w:rFonts w:ascii="宋体" w:hAnsi="宋体" w:cs="宋体"/>
                <w:color w:val="000000"/>
                <w:szCs w:val="21"/>
              </w:rPr>
            </w:pPr>
            <w:r>
              <w:rPr>
                <w:rFonts w:hint="eastAsia" w:ascii="宋体" w:hAnsi="宋体" w:cs="宋体"/>
                <w:color w:val="000000"/>
                <w:szCs w:val="21"/>
              </w:rPr>
              <w:t>系统支持在指定设备显示当日手术排班情况，实时更新排班信息。显示当天需要完成的手术信息,包括手术时间、手术间、台次、病人信息、手术名称、手术医生、麻醉方式。</w:t>
            </w:r>
          </w:p>
          <w:p>
            <w:pPr>
              <w:numPr>
                <w:ilvl w:val="0"/>
                <w:numId w:val="34"/>
              </w:numPr>
              <w:spacing w:line="360" w:lineRule="auto"/>
              <w:ind w:left="709" w:hanging="425"/>
              <w:rPr>
                <w:rFonts w:ascii="宋体" w:hAnsi="宋体" w:cs="宋体"/>
                <w:color w:val="000000"/>
                <w:szCs w:val="21"/>
              </w:rPr>
            </w:pPr>
            <w:r>
              <w:rPr>
                <w:rFonts w:hint="eastAsia" w:ascii="宋体" w:hAnsi="宋体" w:cs="宋体"/>
                <w:color w:val="000000"/>
                <w:szCs w:val="21"/>
              </w:rPr>
              <w:t>系统支持通过语音和文字方式广播家属通知消息，并支持通过大屏幕显示手术进程公告以及宣教内容，在家属等候区显示当天做手术的患者信息，包括手术时间、患者信息、手术状态相关信息。</w:t>
            </w:r>
          </w:p>
          <w:p>
            <w:pPr>
              <w:keepNext/>
              <w:keepLines/>
              <w:numPr>
                <w:ilvl w:val="0"/>
                <w:numId w:val="8"/>
              </w:numPr>
              <w:spacing w:line="578" w:lineRule="auto"/>
              <w:outlineLvl w:val="0"/>
              <w:rPr>
                <w:rFonts w:ascii="宋体" w:hAnsi="宋体" w:cs="宋体"/>
                <w:b/>
                <w:bCs/>
                <w:color w:val="000000"/>
                <w:kern w:val="44"/>
                <w:szCs w:val="21"/>
              </w:rPr>
            </w:pPr>
            <w:r>
              <w:rPr>
                <w:rFonts w:hint="eastAsia" w:ascii="宋体" w:hAnsi="宋体" w:cs="宋体"/>
                <w:b/>
                <w:bCs/>
                <w:color w:val="000000"/>
                <w:kern w:val="44"/>
                <w:szCs w:val="21"/>
              </w:rPr>
              <w:t>病案管理</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病案归档</w:t>
            </w:r>
          </w:p>
          <w:p>
            <w:pPr>
              <w:numPr>
                <w:ilvl w:val="0"/>
                <w:numId w:val="35"/>
              </w:numPr>
              <w:spacing w:line="360" w:lineRule="auto"/>
              <w:ind w:left="709" w:hanging="425"/>
              <w:rPr>
                <w:rFonts w:ascii="宋体" w:hAnsi="宋体" w:cs="宋体"/>
                <w:color w:val="000000"/>
                <w:szCs w:val="21"/>
              </w:rPr>
            </w:pPr>
            <w:r>
              <w:rPr>
                <w:rFonts w:hint="eastAsia" w:ascii="宋体" w:hAnsi="宋体" w:cs="宋体"/>
                <w:color w:val="000000"/>
                <w:szCs w:val="21"/>
              </w:rPr>
              <w:t>系统具备文书必填项提醒功能，实现文书的质量控制管理。</w:t>
            </w:r>
          </w:p>
          <w:p>
            <w:pPr>
              <w:numPr>
                <w:ilvl w:val="0"/>
                <w:numId w:val="35"/>
              </w:numPr>
              <w:spacing w:line="360" w:lineRule="auto"/>
              <w:ind w:left="709" w:hanging="425"/>
              <w:rPr>
                <w:rFonts w:ascii="宋体" w:hAnsi="宋体" w:cs="宋体"/>
                <w:color w:val="000000"/>
                <w:szCs w:val="21"/>
              </w:rPr>
            </w:pPr>
            <w:r>
              <w:rPr>
                <w:rFonts w:hint="eastAsia" w:ascii="宋体" w:hAnsi="宋体" w:cs="宋体"/>
                <w:color w:val="000000"/>
                <w:szCs w:val="21"/>
              </w:rPr>
              <w:t>系统支持对已完成的麻醉护理文书进行批量归档操作，归档后的文书不允许编辑、修改。</w:t>
            </w:r>
          </w:p>
          <w:p>
            <w:pPr>
              <w:numPr>
                <w:ilvl w:val="0"/>
                <w:numId w:val="35"/>
              </w:numPr>
              <w:spacing w:line="360" w:lineRule="auto"/>
              <w:ind w:left="709" w:hanging="425"/>
              <w:rPr>
                <w:rFonts w:ascii="宋体" w:hAnsi="宋体" w:cs="宋体"/>
                <w:color w:val="000000"/>
                <w:szCs w:val="21"/>
              </w:rPr>
            </w:pPr>
            <w:r>
              <w:rPr>
                <w:rFonts w:hint="eastAsia" w:ascii="宋体" w:hAnsi="宋体" w:cs="宋体"/>
                <w:color w:val="000000"/>
                <w:szCs w:val="21"/>
              </w:rPr>
              <w:t>系统支持患者手术相关病案的集中浏览，支持导出患者病案为PDF。</w:t>
            </w:r>
          </w:p>
          <w:p>
            <w:pPr>
              <w:numPr>
                <w:ilvl w:val="0"/>
                <w:numId w:val="35"/>
              </w:numPr>
              <w:spacing w:line="360" w:lineRule="auto"/>
              <w:ind w:left="709" w:hanging="425"/>
              <w:rPr>
                <w:rFonts w:ascii="宋体" w:hAnsi="宋体" w:cs="宋体"/>
                <w:color w:val="000000"/>
                <w:szCs w:val="21"/>
              </w:rPr>
            </w:pPr>
            <w:r>
              <w:rPr>
                <w:rFonts w:hint="eastAsia" w:ascii="宋体" w:hAnsi="宋体" w:cs="宋体"/>
                <w:color w:val="000000"/>
                <w:szCs w:val="21"/>
              </w:rPr>
              <w:t>系统支持归档同时，提供患者信息查阅，包括且不局限于文书浏览。</w:t>
            </w:r>
          </w:p>
          <w:p>
            <w:pPr>
              <w:numPr>
                <w:ilvl w:val="0"/>
                <w:numId w:val="35"/>
              </w:numPr>
              <w:spacing w:line="360" w:lineRule="auto"/>
              <w:ind w:left="709" w:hanging="425"/>
              <w:rPr>
                <w:rFonts w:ascii="宋体" w:hAnsi="宋体" w:cs="宋体"/>
                <w:color w:val="000000"/>
                <w:szCs w:val="21"/>
              </w:rPr>
            </w:pPr>
            <w:r>
              <w:rPr>
                <w:rFonts w:hint="eastAsia" w:ascii="宋体" w:hAnsi="宋体" w:cs="宋体"/>
                <w:color w:val="000000"/>
                <w:szCs w:val="21"/>
              </w:rPr>
              <w:t>能够支持配置归档节点和条件，并提供未归档提醒。</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病案查询</w:t>
            </w:r>
          </w:p>
          <w:p>
            <w:pPr>
              <w:numPr>
                <w:ilvl w:val="0"/>
                <w:numId w:val="36"/>
              </w:numPr>
              <w:spacing w:line="360" w:lineRule="auto"/>
              <w:ind w:left="709"/>
              <w:rPr>
                <w:rFonts w:ascii="宋体" w:hAnsi="宋体" w:cs="宋体"/>
                <w:color w:val="000000"/>
                <w:szCs w:val="21"/>
              </w:rPr>
            </w:pPr>
            <w:r>
              <w:rPr>
                <w:rFonts w:hint="eastAsia" w:ascii="宋体" w:hAnsi="宋体" w:cs="宋体"/>
                <w:color w:val="000000"/>
                <w:szCs w:val="21"/>
              </w:rPr>
              <w:t>系统支持查看指定患者所有历史病案。</w:t>
            </w:r>
          </w:p>
          <w:p>
            <w:pPr>
              <w:numPr>
                <w:ilvl w:val="0"/>
                <w:numId w:val="36"/>
              </w:numPr>
              <w:spacing w:line="360" w:lineRule="auto"/>
              <w:ind w:left="709"/>
              <w:rPr>
                <w:rFonts w:ascii="宋体" w:hAnsi="宋体" w:cs="宋体"/>
                <w:color w:val="000000"/>
                <w:szCs w:val="21"/>
              </w:rPr>
            </w:pPr>
            <w:r>
              <w:rPr>
                <w:rFonts w:hint="eastAsia" w:ascii="宋体" w:hAnsi="宋体" w:cs="宋体"/>
                <w:color w:val="000000"/>
                <w:szCs w:val="21"/>
              </w:rPr>
              <w:t>支持通过患者住院号、医护人员、手术间、手术名称条件对患者病案进行检索。</w:t>
            </w:r>
          </w:p>
          <w:p>
            <w:pPr>
              <w:numPr>
                <w:ilvl w:val="0"/>
                <w:numId w:val="36"/>
              </w:numPr>
              <w:spacing w:line="360" w:lineRule="auto"/>
              <w:ind w:left="709"/>
              <w:rPr>
                <w:rFonts w:ascii="宋体" w:hAnsi="宋体" w:cs="宋体"/>
                <w:color w:val="000000"/>
                <w:szCs w:val="21"/>
              </w:rPr>
            </w:pPr>
            <w:r>
              <w:rPr>
                <w:rFonts w:hint="eastAsia" w:ascii="宋体" w:hAnsi="宋体" w:cs="宋体"/>
                <w:color w:val="000000"/>
                <w:szCs w:val="21"/>
              </w:rPr>
              <w:t>系统支持病案访问权限控制。</w:t>
            </w:r>
          </w:p>
          <w:p>
            <w:pPr>
              <w:keepNext/>
              <w:keepLines/>
              <w:numPr>
                <w:ilvl w:val="0"/>
                <w:numId w:val="8"/>
              </w:numPr>
              <w:spacing w:line="578" w:lineRule="auto"/>
              <w:outlineLvl w:val="0"/>
              <w:rPr>
                <w:rFonts w:ascii="宋体" w:hAnsi="宋体" w:cs="宋体"/>
                <w:b/>
                <w:bCs/>
                <w:color w:val="000000"/>
                <w:kern w:val="44"/>
                <w:szCs w:val="21"/>
              </w:rPr>
            </w:pPr>
            <w:r>
              <w:rPr>
                <w:rFonts w:hint="eastAsia" w:ascii="宋体" w:hAnsi="宋体" w:cs="宋体"/>
                <w:b/>
                <w:bCs/>
                <w:color w:val="000000"/>
                <w:kern w:val="44"/>
                <w:szCs w:val="21"/>
              </w:rPr>
              <w:t>质控统计</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三级综合医院指标</w:t>
            </w:r>
          </w:p>
          <w:p>
            <w:pPr>
              <w:numPr>
                <w:ilvl w:val="0"/>
                <w:numId w:val="37"/>
              </w:numPr>
              <w:spacing w:line="360" w:lineRule="auto"/>
              <w:ind w:left="709"/>
              <w:rPr>
                <w:rFonts w:ascii="宋体" w:hAnsi="宋体" w:cs="宋体"/>
                <w:color w:val="000000"/>
                <w:szCs w:val="21"/>
              </w:rPr>
            </w:pPr>
            <w:r>
              <w:rPr>
                <w:rFonts w:hint="eastAsia" w:ascii="宋体" w:hAnsi="宋体" w:cs="宋体"/>
                <w:color w:val="000000"/>
                <w:szCs w:val="21"/>
              </w:rPr>
              <w:t>系统能够统计三级综合医院等级评审相关项目指标，包括麻醉总例数/季/年、由麻醉医师实施镇痛治疗例数/季/年、由麻醉医师实施心肺复苏治疗例数/季/年、麻醉复苏（Steward 苏醒评分）管理例数/季/年、麻醉非预期的相关事件例数/年、麻醉分级（ASA病情分级）管理例数/季/年等指标。</w:t>
            </w:r>
          </w:p>
          <w:p>
            <w:pPr>
              <w:numPr>
                <w:ilvl w:val="0"/>
                <w:numId w:val="37"/>
              </w:numPr>
              <w:spacing w:line="360" w:lineRule="auto"/>
              <w:ind w:left="709"/>
              <w:rPr>
                <w:rFonts w:ascii="宋体" w:hAnsi="宋体" w:cs="宋体"/>
                <w:color w:val="000000"/>
                <w:szCs w:val="21"/>
              </w:rPr>
            </w:pPr>
            <w:r>
              <w:rPr>
                <w:rFonts w:hint="eastAsia" w:ascii="宋体" w:hAnsi="宋体" w:cs="宋体"/>
                <w:color w:val="000000"/>
                <w:szCs w:val="21"/>
              </w:rPr>
              <w:t>系统支持按月、季度、年及指定日期范围的统计查询。</w:t>
            </w:r>
          </w:p>
          <w:p>
            <w:pPr>
              <w:numPr>
                <w:ilvl w:val="0"/>
                <w:numId w:val="37"/>
              </w:numPr>
              <w:spacing w:line="360" w:lineRule="auto"/>
              <w:ind w:left="709"/>
              <w:rPr>
                <w:rFonts w:ascii="宋体" w:hAnsi="宋体" w:cs="宋体"/>
                <w:color w:val="000000"/>
                <w:szCs w:val="21"/>
              </w:rPr>
            </w:pPr>
            <w:r>
              <w:rPr>
                <w:rFonts w:hint="eastAsia" w:ascii="宋体" w:hAnsi="宋体" w:cs="宋体"/>
                <w:color w:val="000000"/>
                <w:szCs w:val="21"/>
              </w:rPr>
              <w:t>用户能够查看单个统计指标趋势图，统计结果支持导出。</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国家质控指标</w:t>
            </w:r>
          </w:p>
          <w:p>
            <w:pPr>
              <w:numPr>
                <w:ilvl w:val="0"/>
                <w:numId w:val="38"/>
              </w:numPr>
              <w:spacing w:line="360" w:lineRule="auto"/>
              <w:ind w:left="709" w:hanging="425"/>
              <w:rPr>
                <w:rFonts w:ascii="宋体" w:hAnsi="宋体" w:cs="宋体"/>
                <w:color w:val="000000"/>
                <w:szCs w:val="21"/>
              </w:rPr>
            </w:pPr>
            <w:r>
              <w:rPr>
                <w:rFonts w:hint="eastAsia" w:ascii="宋体" w:hAnsi="宋体" w:cs="宋体"/>
                <w:color w:val="000000"/>
                <w:szCs w:val="21"/>
              </w:rPr>
              <w:t>在医院可提供数据来源的条件下，系统提供卫健委要求的17项麻醉质控指标的数据收集，统计功能：</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麻醉科医患比</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各ASA 分级麻醉患者比例</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急诊非择期麻醉比例</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各类麻醉方式比例</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麻醉开始后手术取消率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麻醉后监测治疗室（PACU）转出延迟率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PACU 入室低体温率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非计划转入ICU 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非计划二次气管插管率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麻醉开始后24 小时内死亡率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麻醉开始后24 小时内心跳骤停率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术中自体血输注率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麻醉期间严重过敏反应发生率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椎管内麻醉后严重神经并发症发生率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中心静脉穿刺严重并发症发生率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全麻气管插管拔管后声音嘶哑发生率</w:t>
            </w:r>
          </w:p>
          <w:p>
            <w:pPr>
              <w:widowControl/>
              <w:numPr>
                <w:ilvl w:val="2"/>
                <w:numId w:val="39"/>
              </w:numPr>
              <w:spacing w:line="360" w:lineRule="auto"/>
              <w:rPr>
                <w:rFonts w:ascii="宋体" w:hAnsi="宋体" w:cs="宋体"/>
                <w:color w:val="000000"/>
                <w:kern w:val="0"/>
                <w:szCs w:val="21"/>
              </w:rPr>
            </w:pPr>
            <w:r>
              <w:rPr>
                <w:rFonts w:hint="eastAsia" w:ascii="宋体" w:hAnsi="宋体" w:cs="宋体"/>
                <w:color w:val="000000"/>
                <w:kern w:val="0"/>
                <w:szCs w:val="21"/>
              </w:rPr>
              <w:t>麻醉后新发昏迷发生率</w:t>
            </w:r>
          </w:p>
          <w:p>
            <w:pPr>
              <w:numPr>
                <w:ilvl w:val="0"/>
                <w:numId w:val="38"/>
              </w:numPr>
              <w:spacing w:line="360" w:lineRule="auto"/>
              <w:ind w:left="709" w:hanging="425"/>
              <w:rPr>
                <w:rFonts w:ascii="宋体" w:hAnsi="宋体" w:cs="宋体"/>
                <w:color w:val="000000"/>
                <w:szCs w:val="21"/>
              </w:rPr>
            </w:pPr>
            <w:r>
              <w:rPr>
                <w:rFonts w:hint="eastAsia" w:ascii="宋体" w:hAnsi="宋体" w:cs="宋体"/>
                <w:color w:val="000000"/>
                <w:szCs w:val="21"/>
              </w:rPr>
              <w:t>系统支持按月、季度、年及指定日期范围的统计查询。</w:t>
            </w:r>
          </w:p>
          <w:p>
            <w:pPr>
              <w:numPr>
                <w:ilvl w:val="0"/>
                <w:numId w:val="38"/>
              </w:numPr>
              <w:spacing w:line="360" w:lineRule="auto"/>
              <w:ind w:left="709" w:hanging="425"/>
              <w:rPr>
                <w:rFonts w:ascii="宋体" w:hAnsi="宋体" w:cs="宋体"/>
                <w:color w:val="000000"/>
                <w:szCs w:val="21"/>
              </w:rPr>
            </w:pPr>
            <w:r>
              <w:rPr>
                <w:rFonts w:hint="eastAsia" w:ascii="宋体" w:hAnsi="宋体" w:cs="宋体"/>
                <w:color w:val="000000"/>
                <w:szCs w:val="21"/>
              </w:rPr>
              <w:t>用户能够查看单个统计指标趋势图，统计结果支持导出，支持质控结果上报到区域质控中心。</w:t>
            </w:r>
          </w:p>
          <w:p>
            <w:pPr>
              <w:keepNext/>
              <w:keepLines/>
              <w:numPr>
                <w:ilvl w:val="0"/>
                <w:numId w:val="8"/>
              </w:numPr>
              <w:spacing w:line="578" w:lineRule="auto"/>
              <w:outlineLvl w:val="0"/>
              <w:rPr>
                <w:rFonts w:ascii="宋体" w:hAnsi="宋体" w:cs="宋体"/>
                <w:b/>
                <w:bCs/>
                <w:color w:val="000000"/>
                <w:kern w:val="44"/>
                <w:szCs w:val="21"/>
              </w:rPr>
            </w:pPr>
            <w:r>
              <w:rPr>
                <w:rFonts w:hint="eastAsia" w:ascii="宋体" w:hAnsi="宋体" w:cs="宋体"/>
                <w:b/>
                <w:bCs/>
                <w:color w:val="000000"/>
                <w:kern w:val="44"/>
                <w:szCs w:val="21"/>
              </w:rPr>
              <w:t>数据集成</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设备数据集成</w:t>
            </w:r>
          </w:p>
          <w:p>
            <w:pPr>
              <w:numPr>
                <w:ilvl w:val="0"/>
                <w:numId w:val="40"/>
              </w:numPr>
              <w:spacing w:line="360" w:lineRule="auto"/>
              <w:ind w:left="709" w:hanging="425"/>
              <w:rPr>
                <w:rFonts w:ascii="宋体" w:hAnsi="宋体" w:cs="宋体"/>
                <w:color w:val="000000"/>
                <w:szCs w:val="21"/>
              </w:rPr>
            </w:pPr>
            <w:r>
              <w:rPr>
                <w:rFonts w:hint="eastAsia" w:ascii="宋体" w:hAnsi="宋体" w:cs="宋体"/>
                <w:color w:val="000000"/>
                <w:szCs w:val="21"/>
              </w:rPr>
              <w:t>系统可以接入各种厂商的床边监护设备，比如：Philips、GE、Datex_Ohmeda、SpaceLabs、Drager、Mindray，提供监护仪、麻醉机、血气分析仪集成功能。</w:t>
            </w:r>
          </w:p>
          <w:p>
            <w:pPr>
              <w:numPr>
                <w:ilvl w:val="0"/>
                <w:numId w:val="40"/>
              </w:numPr>
              <w:spacing w:line="360" w:lineRule="auto"/>
              <w:ind w:left="709" w:hanging="425"/>
              <w:rPr>
                <w:rFonts w:ascii="宋体" w:hAnsi="宋体" w:cs="宋体"/>
                <w:color w:val="000000"/>
                <w:szCs w:val="21"/>
              </w:rPr>
            </w:pPr>
            <w:r>
              <w:rPr>
                <w:rFonts w:hint="eastAsia" w:ascii="宋体" w:hAnsi="宋体" w:cs="宋体"/>
                <w:color w:val="000000"/>
                <w:szCs w:val="21"/>
              </w:rPr>
              <w:t>系统可以采集多种生命体征参数，包括：心率、呼吸、血氧、脉搏、无创血压、有创血压、体温、ETCO2、肺动脉楔压、中心静脉平均压、潮气、心排量等。</w:t>
            </w:r>
          </w:p>
          <w:p>
            <w:pPr>
              <w:keepNext/>
              <w:keepLines/>
              <w:numPr>
                <w:ilvl w:val="1"/>
                <w:numId w:val="8"/>
              </w:numPr>
              <w:spacing w:line="416" w:lineRule="auto"/>
              <w:ind w:left="567"/>
              <w:outlineLvl w:val="1"/>
              <w:rPr>
                <w:rFonts w:ascii="宋体" w:hAnsi="宋体" w:cs="宋体"/>
                <w:b/>
                <w:bCs/>
                <w:color w:val="000000"/>
                <w:szCs w:val="21"/>
              </w:rPr>
            </w:pPr>
            <w:r>
              <w:rPr>
                <w:rFonts w:hint="eastAsia" w:ascii="宋体" w:hAnsi="宋体" w:cs="宋体"/>
                <w:b/>
                <w:bCs/>
                <w:color w:val="000000"/>
                <w:szCs w:val="21"/>
              </w:rPr>
              <w:t>系统数据集成</w:t>
            </w:r>
          </w:p>
          <w:p>
            <w:pPr>
              <w:numPr>
                <w:ilvl w:val="0"/>
                <w:numId w:val="41"/>
              </w:numPr>
              <w:spacing w:line="360" w:lineRule="auto"/>
              <w:ind w:left="709" w:hanging="425"/>
              <w:rPr>
                <w:rFonts w:ascii="宋体" w:hAnsi="宋体" w:cs="宋体"/>
                <w:color w:val="000000"/>
                <w:szCs w:val="21"/>
              </w:rPr>
            </w:pPr>
            <w:r>
              <w:rPr>
                <w:rFonts w:hint="eastAsia" w:ascii="宋体" w:hAnsi="宋体" w:cs="宋体"/>
                <w:color w:val="000000"/>
                <w:szCs w:val="21"/>
              </w:rPr>
              <w:t>系统可以支持维护医护人员、诊断、手术分级等基本字典信息。支持配置麻醉事件、麻醉方法字典。</w:t>
            </w:r>
          </w:p>
          <w:p>
            <w:pPr>
              <w:ind w:firstLine="371" w:firstLineChars="177"/>
              <w:rPr>
                <w:rFonts w:ascii="仿宋" w:hAnsi="仿宋" w:eastAsia="仿宋" w:cs="仿宋"/>
                <w:color w:val="000000"/>
                <w:sz w:val="18"/>
                <w:szCs w:val="18"/>
              </w:rPr>
            </w:pPr>
            <w:r>
              <w:rPr>
                <w:rFonts w:hint="eastAsia" w:ascii="宋体" w:hAnsi="宋体" w:cs="宋体"/>
                <w:color w:val="000000"/>
                <w:szCs w:val="21"/>
              </w:rPr>
              <w:t>系统可以支持与HIS系统对接同步患者信息，包括主键、手机号、患者姓名、身份证号、性别、出生日期、录入时间、患者病历号、门诊号、 住院号、住院科室 ID、诊断信息、床号、入院类型、就诊类型、 就诊卡号、就诊医生、ASA分级。</w:t>
            </w:r>
          </w:p>
        </w:tc>
        <w:tc>
          <w:tcPr>
            <w:tcW w:w="27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000" w:hRule="atLeast"/>
        </w:trPr>
        <w:tc>
          <w:tcPr>
            <w:tcW w:w="2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415" w:type="pct"/>
            <w:tcBorders>
              <w:top w:val="single" w:color="000000" w:sz="4" w:space="0"/>
              <w:left w:val="single" w:color="000000" w:sz="4" w:space="0"/>
              <w:bottom w:val="single" w:color="000000" w:sz="4" w:space="0"/>
              <w:right w:val="single" w:color="000000" w:sz="4" w:space="0"/>
            </w:tcBorders>
            <w:vAlign w:val="center"/>
          </w:tcPr>
          <w:p>
            <w:pPr>
              <w:pStyle w:val="4"/>
              <w:numPr>
                <w:ilvl w:val="0"/>
                <w:numId w:val="0"/>
              </w:numPr>
              <w:tabs>
                <w:tab w:val="left" w:pos="0"/>
              </w:tabs>
              <w:ind w:leftChars="0"/>
              <w:jc w:val="both"/>
              <w:rPr>
                <w:color w:val="000000"/>
                <w:sz w:val="24"/>
              </w:rPr>
            </w:pPr>
            <w:r>
              <w:rPr>
                <w:rFonts w:hint="eastAsia"/>
                <w:color w:val="000000"/>
                <w:kern w:val="0"/>
                <w:sz w:val="24"/>
                <w:szCs w:val="24"/>
              </w:rPr>
              <w:t>院内心电电生理网络系统</w:t>
            </w:r>
          </w:p>
        </w:tc>
        <w:tc>
          <w:tcPr>
            <w:tcW w:w="2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套</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615"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42"/>
              </w:numPr>
              <w:textAlignment w:val="center"/>
            </w:pPr>
            <w:r>
              <w:rPr>
                <w:rFonts w:hint="eastAsia"/>
              </w:rPr>
              <w:t>心电电生理服务器系统</w:t>
            </w:r>
          </w:p>
          <w:p>
            <w:pPr>
              <w:widowControl/>
              <w:textAlignment w:val="center"/>
            </w:pPr>
            <w:r>
              <w:rPr>
                <w:rFonts w:hint="eastAsia"/>
              </w:rPr>
              <w:t>参数要求</w:t>
            </w:r>
          </w:p>
          <w:p>
            <w:pPr>
              <w:pStyle w:val="116"/>
              <w:ind w:firstLine="0" w:firstLineChars="0"/>
            </w:pPr>
            <w:r>
              <w:t>*</w:t>
            </w:r>
            <w:r>
              <w:rPr>
                <w:rFonts w:hint="eastAsia"/>
              </w:rPr>
              <w:t>1.1 系统获得二类医疗器械注册证。（提供证明文件）</w:t>
            </w:r>
          </w:p>
          <w:p>
            <w:pPr>
              <w:pStyle w:val="116"/>
              <w:ind w:firstLine="0" w:firstLineChars="0"/>
            </w:pPr>
            <w:bookmarkStart w:id="52" w:name="_Toc521"/>
            <w:bookmarkStart w:id="53" w:name="_Toc16979"/>
            <w:r>
              <w:t>*</w:t>
            </w:r>
            <w:r>
              <w:rPr>
                <w:rFonts w:hint="eastAsia"/>
              </w:rPr>
              <w:t>1.2为保证数据的安全性，心电网络系统具有专业“加密锁”进行保护，同时为保证数据的完整性，可使心电网络系统打印的报告波形跟心电图机打印的热敏报告波形一致。（提供检验报告复印件或其他经国家认可的证明文件）</w:t>
            </w:r>
            <w:bookmarkEnd w:id="52"/>
            <w:bookmarkEnd w:id="53"/>
            <w:bookmarkStart w:id="54" w:name="_Toc19328"/>
            <w:bookmarkStart w:id="55" w:name="_Toc24687"/>
          </w:p>
          <w:p>
            <w:pPr>
              <w:pStyle w:val="14"/>
            </w:pPr>
            <w:r>
              <w:t>*</w:t>
            </w:r>
            <w:r>
              <w:rPr>
                <w:rFonts w:hint="eastAsia"/>
              </w:rPr>
              <w:t>1.3 时间同步管理，支持服务器、客户端、设备时间（投标厂家心电图设备）自动同步，整个系统实现一致的时间管理，且提供时间管理二次判别，双重保障避免服务器、客户端电脑、检查设备时间不一致带来的医疗纠纷。（提供相关证明文件）</w:t>
            </w:r>
            <w:bookmarkEnd w:id="54"/>
            <w:bookmarkEnd w:id="55"/>
            <w:bookmarkStart w:id="56" w:name="_Toc30870"/>
            <w:bookmarkStart w:id="57" w:name="_Toc26093"/>
          </w:p>
          <w:p>
            <w:pPr>
              <w:pStyle w:val="116"/>
              <w:ind w:firstLine="0" w:firstLineChars="0"/>
            </w:pPr>
            <w:r>
              <w:t>*</w:t>
            </w:r>
            <w:r>
              <w:rPr>
                <w:rFonts w:hint="eastAsia"/>
              </w:rPr>
              <w:t>1.</w:t>
            </w:r>
            <w:bookmarkEnd w:id="56"/>
            <w:r>
              <w:rPr>
                <w:rFonts w:hint="eastAsia"/>
              </w:rPr>
              <w:t>4 为保证系统功能的整体性和扩展性，心电网络系统应能接入静息心电、动态心电、动态血压设备，具有对应检查特点的专业分析工具，实现设备原始数据在同一套系统的分析诊断，不以截屏、拷贝、拍照等方式获取片断数据。</w:t>
            </w:r>
            <w:bookmarkEnd w:id="57"/>
            <w:r>
              <w:rPr>
                <w:rFonts w:hint="eastAsia"/>
              </w:rPr>
              <w:t>（提供相关证明文件）</w:t>
            </w:r>
            <w:bookmarkStart w:id="58" w:name="_Toc14397"/>
            <w:bookmarkStart w:id="59" w:name="_Toc2991"/>
            <w:bookmarkStart w:id="60" w:name="_Toc22094"/>
            <w:bookmarkStart w:id="61" w:name="_Toc31867"/>
            <w:bookmarkStart w:id="62" w:name="_Toc26222"/>
            <w:bookmarkStart w:id="63" w:name="_Toc31636"/>
          </w:p>
          <w:p>
            <w:pPr>
              <w:pStyle w:val="116"/>
              <w:ind w:firstLine="0" w:firstLineChars="0"/>
            </w:pPr>
            <w:r>
              <w:rPr>
                <w:rFonts w:hint="eastAsia"/>
              </w:rPr>
              <w:t>*1.5 软件获FDA、CE认证，获得软件著作权证书、生产许可证。（提供相应证书）</w:t>
            </w:r>
          </w:p>
          <w:p>
            <w:pPr>
              <w:pStyle w:val="116"/>
              <w:ind w:firstLine="0" w:firstLineChars="0"/>
            </w:pPr>
            <w:r>
              <w:rPr>
                <w:rFonts w:hint="eastAsia"/>
              </w:rPr>
              <w:t>*1.6 系统获得IHE证书，通过10个功能角色，即采集设备MOD，检查申请受理OF，执行步骤管理PPSM，图像管理IM，报告创建RC，图像显示ID，报告管理RM，证据创建者EC，显示心电图DISPLAY，心电数据源INFO_SRC的测试。（提供相应证书）</w:t>
            </w:r>
          </w:p>
          <w:p>
            <w:pPr>
              <w:pStyle w:val="116"/>
              <w:ind w:firstLine="0" w:firstLineChars="0"/>
            </w:pPr>
            <w:r>
              <w:rPr>
                <w:rFonts w:hint="eastAsia"/>
              </w:rPr>
              <w:t>*1.7 生产厂家具备医疗器械生产企业许可证及《软件企业证书》且通过ISO13485质量管理体系和ISO14001环境质量认证。（提供证明文件）</w:t>
            </w:r>
          </w:p>
          <w:p>
            <w:pPr>
              <w:pStyle w:val="116"/>
              <w:ind w:firstLine="0" w:firstLineChars="0"/>
            </w:pPr>
            <w:r>
              <w:rPr>
                <w:rFonts w:hint="eastAsia"/>
              </w:rPr>
              <w:t>*1.8 设备的投标资格认证：所投设备符合中国国家有关管理法规，且所投产品心电网络系统及心电采集设备是同一厂家产品（心电网络系统与心电图采集设备为同一品牌（提供生产许可证证明），以保证产品的延续与稳定），具有自主知识产权及持续升级能力，能够满足扩展新的临床应用需求。</w:t>
            </w:r>
          </w:p>
          <w:p>
            <w:pPr>
              <w:pStyle w:val="4"/>
              <w:numPr>
                <w:ilvl w:val="0"/>
                <w:numId w:val="43"/>
              </w:numPr>
              <w:spacing w:before="340" w:after="330"/>
              <w:jc w:val="both"/>
              <w:rPr>
                <w:rFonts w:ascii="宋体" w:hAnsi="宋体"/>
                <w:sz w:val="21"/>
                <w:szCs w:val="21"/>
              </w:rPr>
            </w:pPr>
            <w:r>
              <w:rPr>
                <w:rFonts w:hint="eastAsia" w:ascii="宋体" w:hAnsi="宋体"/>
                <w:sz w:val="21"/>
                <w:szCs w:val="21"/>
              </w:rPr>
              <w:t>软件要求</w:t>
            </w:r>
            <w:bookmarkEnd w:id="58"/>
            <w:bookmarkEnd w:id="59"/>
            <w:bookmarkEnd w:id="60"/>
            <w:bookmarkEnd w:id="61"/>
            <w:bookmarkEnd w:id="62"/>
            <w:bookmarkEnd w:id="63"/>
          </w:p>
          <w:p>
            <w:pPr>
              <w:pStyle w:val="5"/>
              <w:numPr>
                <w:ilvl w:val="1"/>
                <w:numId w:val="44"/>
              </w:numPr>
              <w:spacing w:before="260" w:after="260" w:line="413" w:lineRule="auto"/>
              <w:jc w:val="both"/>
            </w:pPr>
            <w:bookmarkStart w:id="64" w:name="_Toc6181"/>
            <w:bookmarkStart w:id="65" w:name="_Toc8132"/>
            <w:bookmarkStart w:id="66" w:name="_Toc30835"/>
            <w:bookmarkStart w:id="67" w:name="_Toc12028"/>
            <w:bookmarkStart w:id="68" w:name="_Toc4986"/>
            <w:bookmarkStart w:id="69" w:name="_Toc24744"/>
            <w:r>
              <w:rPr>
                <w:rFonts w:hint="eastAsia"/>
              </w:rPr>
              <w:t xml:space="preserve"> 系统功能</w:t>
            </w:r>
            <w:bookmarkEnd w:id="64"/>
            <w:bookmarkEnd w:id="65"/>
            <w:bookmarkEnd w:id="66"/>
            <w:bookmarkEnd w:id="67"/>
            <w:bookmarkEnd w:id="68"/>
            <w:bookmarkEnd w:id="69"/>
          </w:p>
          <w:p>
            <w:pPr>
              <w:pStyle w:val="116"/>
              <w:ind w:firstLine="0" w:firstLineChars="0"/>
            </w:pPr>
            <w:bookmarkStart w:id="70" w:name="_Toc2024"/>
            <w:bookmarkStart w:id="71" w:name="_Toc12983"/>
            <w:r>
              <w:rPr>
                <w:rFonts w:hint="eastAsia"/>
              </w:rPr>
              <w:t>2.</w:t>
            </w:r>
            <w:r>
              <w:t>1.1</w:t>
            </w:r>
            <w:r>
              <w:rPr>
                <w:rFonts w:hint="eastAsia"/>
              </w:rPr>
              <w:t xml:space="preserve"> 支持与医院现有信息化系统的全面接入，如HIS、PACS、EMR、体检、CA、集成平台等</w:t>
            </w:r>
            <w:bookmarkEnd w:id="70"/>
            <w:bookmarkEnd w:id="71"/>
            <w:r>
              <w:rPr>
                <w:rFonts w:hint="eastAsia"/>
              </w:rPr>
              <w:t>，所有数据互联互通。</w:t>
            </w:r>
          </w:p>
          <w:p>
            <w:pPr>
              <w:pStyle w:val="116"/>
              <w:ind w:firstLine="0" w:firstLineChars="0"/>
            </w:pPr>
            <w:bookmarkStart w:id="72" w:name="_Toc7816"/>
            <w:bookmarkStart w:id="73" w:name="_Toc31952"/>
            <w:r>
              <w:rPr>
                <w:rFonts w:hint="eastAsia"/>
              </w:rPr>
              <w:t>2.</w:t>
            </w:r>
            <w:r>
              <w:t>1</w:t>
            </w:r>
            <w:r>
              <w:rPr>
                <w:rFonts w:hint="eastAsia"/>
              </w:rPr>
              <w:t>.</w:t>
            </w:r>
            <w:r>
              <w:t>2</w:t>
            </w:r>
            <w:r>
              <w:rPr>
                <w:rFonts w:hint="eastAsia"/>
              </w:rPr>
              <w:t xml:space="preserve"> 支持视图、存储过程、Webservice、DICOM、HL7等多种对接方式。</w:t>
            </w:r>
            <w:bookmarkEnd w:id="72"/>
            <w:bookmarkEnd w:id="73"/>
          </w:p>
          <w:p>
            <w:pPr>
              <w:pStyle w:val="116"/>
              <w:ind w:firstLine="0" w:firstLineChars="0"/>
            </w:pPr>
            <w:bookmarkStart w:id="74" w:name="_Toc21454"/>
            <w:bookmarkStart w:id="75" w:name="_Toc2185"/>
            <w:r>
              <w:rPr>
                <w:rFonts w:hint="eastAsia"/>
              </w:rPr>
              <w:t>2.</w:t>
            </w:r>
            <w:r>
              <w:t>1</w:t>
            </w:r>
            <w:r>
              <w:rPr>
                <w:rFonts w:hint="eastAsia"/>
              </w:rPr>
              <w:t>.</w:t>
            </w:r>
            <w:r>
              <w:t>3</w:t>
            </w:r>
            <w:r>
              <w:rPr>
                <w:rFonts w:hint="eastAsia"/>
              </w:rPr>
              <w:t xml:space="preserve"> 支持Sqlserver、Oracle等数据库对接。</w:t>
            </w:r>
            <w:bookmarkEnd w:id="74"/>
            <w:bookmarkEnd w:id="75"/>
          </w:p>
          <w:p>
            <w:pPr>
              <w:pStyle w:val="116"/>
              <w:ind w:firstLine="0" w:firstLineChars="0"/>
            </w:pPr>
            <w:bookmarkStart w:id="76" w:name="_Toc2006"/>
            <w:bookmarkStart w:id="77" w:name="_Toc13476"/>
            <w:r>
              <w:rPr>
                <w:rFonts w:hint="eastAsia"/>
              </w:rPr>
              <w:t>2.</w:t>
            </w:r>
            <w:r>
              <w:t>1</w:t>
            </w:r>
            <w:r>
              <w:rPr>
                <w:rFonts w:hint="eastAsia"/>
              </w:rPr>
              <w:t>.</w:t>
            </w:r>
            <w:r>
              <w:t>4</w:t>
            </w:r>
            <w:r>
              <w:rPr>
                <w:rFonts w:hint="eastAsia"/>
              </w:rPr>
              <w:t xml:space="preserve"> 支持接入DAT、PDF、SCP、FDA-XML、DICOM格式文件，满足医院信息化需求</w:t>
            </w:r>
            <w:bookmarkEnd w:id="76"/>
            <w:bookmarkEnd w:id="77"/>
            <w:r>
              <w:rPr>
                <w:rFonts w:hint="eastAsia"/>
              </w:rPr>
              <w:t>。</w:t>
            </w:r>
          </w:p>
          <w:p>
            <w:pPr>
              <w:pStyle w:val="116"/>
              <w:ind w:firstLine="0" w:firstLineChars="0"/>
            </w:pPr>
            <w:bookmarkStart w:id="78" w:name="_Toc3039"/>
            <w:bookmarkStart w:id="79" w:name="_Toc16626"/>
            <w:r>
              <w:rPr>
                <w:rFonts w:hint="eastAsia"/>
              </w:rPr>
              <w:t>2.</w:t>
            </w:r>
            <w:r>
              <w:t>1</w:t>
            </w:r>
            <w:r>
              <w:rPr>
                <w:rFonts w:hint="eastAsia"/>
              </w:rPr>
              <w:t>.</w:t>
            </w:r>
            <w:r>
              <w:t>5</w:t>
            </w:r>
            <w:r>
              <w:rPr>
                <w:rFonts w:hint="eastAsia"/>
              </w:rPr>
              <w:t xml:space="preserve"> 可输出JPG、FDA-XML、DICOM、PDF等格式的数据文件。</w:t>
            </w:r>
            <w:bookmarkEnd w:id="78"/>
            <w:bookmarkEnd w:id="79"/>
          </w:p>
          <w:p>
            <w:pPr>
              <w:pStyle w:val="116"/>
              <w:ind w:firstLine="0" w:firstLineChars="0"/>
            </w:pPr>
            <w:bookmarkStart w:id="80" w:name="_Toc25540"/>
            <w:bookmarkStart w:id="81" w:name="_Toc22377"/>
            <w:r>
              <w:rPr>
                <w:rFonts w:hint="eastAsia"/>
              </w:rPr>
              <w:t>2.</w:t>
            </w:r>
            <w:r>
              <w:t>1</w:t>
            </w:r>
            <w:r>
              <w:rPr>
                <w:rFonts w:hint="eastAsia"/>
              </w:rPr>
              <w:t>.</w:t>
            </w:r>
            <w:r>
              <w:t>6</w:t>
            </w:r>
            <w:r>
              <w:rPr>
                <w:rFonts w:hint="eastAsia"/>
              </w:rPr>
              <w:t xml:space="preserve"> 支持申请单多条件组合搜索，可提供26种以上条件进行模糊筛选。</w:t>
            </w:r>
            <w:bookmarkEnd w:id="80"/>
          </w:p>
          <w:p>
            <w:pPr>
              <w:pStyle w:val="116"/>
              <w:ind w:firstLine="0" w:firstLineChars="0"/>
            </w:pPr>
            <w:bookmarkStart w:id="82" w:name="_Toc30538"/>
            <w:r>
              <w:rPr>
                <w:rFonts w:hint="eastAsia"/>
              </w:rPr>
              <w:t>2.</w:t>
            </w:r>
            <w:r>
              <w:t>1.7</w:t>
            </w:r>
            <w:r>
              <w:rPr>
                <w:rFonts w:hint="eastAsia"/>
              </w:rPr>
              <w:t xml:space="preserve"> 支持按照申请时间</w:t>
            </w:r>
            <w:bookmarkEnd w:id="81"/>
            <w:r>
              <w:rPr>
                <w:rFonts w:hint="eastAsia"/>
              </w:rPr>
              <w:t>、登记时间、检查时间、诊断时间、审核时间检索申请单。</w:t>
            </w:r>
          </w:p>
          <w:bookmarkEnd w:id="82"/>
          <w:p>
            <w:pPr>
              <w:pStyle w:val="116"/>
              <w:ind w:firstLine="0" w:firstLineChars="0"/>
            </w:pPr>
            <w:bookmarkStart w:id="83" w:name="_Toc1485"/>
            <w:bookmarkStart w:id="84" w:name="_Toc21880"/>
            <w:r>
              <w:rPr>
                <w:rFonts w:hint="eastAsia"/>
              </w:rPr>
              <w:t>2.</w:t>
            </w:r>
            <w:r>
              <w:t>1</w:t>
            </w:r>
            <w:r>
              <w:rPr>
                <w:rFonts w:hint="eastAsia"/>
              </w:rPr>
              <w:t>.</w:t>
            </w:r>
            <w:r>
              <w:t>8</w:t>
            </w:r>
            <w:r>
              <w:rPr>
                <w:rFonts w:hint="eastAsia"/>
              </w:rPr>
              <w:t xml:space="preserve"> 支持检查、诊断自定义置顶设置，针对紧急病人可以设置为优先检查以及优先诊断，系统具有高优级病人记录的置顶、醒目字体标识。</w:t>
            </w:r>
            <w:bookmarkEnd w:id="83"/>
            <w:bookmarkEnd w:id="84"/>
          </w:p>
          <w:p>
            <w:pPr>
              <w:pStyle w:val="116"/>
              <w:ind w:firstLine="0" w:firstLineChars="0"/>
            </w:pPr>
            <w:bookmarkStart w:id="85" w:name="_Toc31110"/>
            <w:bookmarkStart w:id="86" w:name="_Toc2724"/>
            <w:r>
              <w:rPr>
                <w:rFonts w:hint="eastAsia"/>
              </w:rPr>
              <w:t>2.</w:t>
            </w:r>
            <w:r>
              <w:t>1</w:t>
            </w:r>
            <w:r>
              <w:rPr>
                <w:rFonts w:hint="eastAsia"/>
              </w:rPr>
              <w:t>.</w:t>
            </w:r>
            <w:r>
              <w:t>9</w:t>
            </w:r>
            <w:r>
              <w:rPr>
                <w:rFonts w:hint="eastAsia"/>
              </w:rPr>
              <w:t xml:space="preserve"> 支持和心电图机的双向通讯，可在心电图机直接下载预约信息。</w:t>
            </w:r>
          </w:p>
          <w:p>
            <w:pPr>
              <w:pStyle w:val="116"/>
              <w:ind w:firstLine="0" w:firstLineChars="0"/>
            </w:pPr>
            <w:r>
              <w:rPr>
                <w:rFonts w:hint="eastAsia"/>
              </w:rPr>
              <w:t>2.</w:t>
            </w:r>
            <w:r>
              <w:t>1</w:t>
            </w:r>
            <w:r>
              <w:rPr>
                <w:rFonts w:hint="eastAsia"/>
              </w:rPr>
              <w:t>.</w:t>
            </w:r>
            <w:r>
              <w:t>10</w:t>
            </w:r>
            <w:r>
              <w:rPr>
                <w:rFonts w:hint="eastAsia"/>
              </w:rPr>
              <w:t xml:space="preserve"> 系统支持自定义病例列表，所有列表均支持自定义字段显示及排序。</w:t>
            </w:r>
            <w:bookmarkEnd w:id="85"/>
            <w:bookmarkEnd w:id="86"/>
          </w:p>
          <w:p>
            <w:pPr>
              <w:pStyle w:val="131"/>
              <w:ind w:firstLine="0" w:firstLineChars="0"/>
            </w:pPr>
            <w:bookmarkStart w:id="87" w:name="_Toc16418"/>
            <w:r>
              <w:rPr>
                <w:rFonts w:hint="eastAsia"/>
              </w:rPr>
              <w:t>2.</w:t>
            </w:r>
            <w:r>
              <w:t>1</w:t>
            </w:r>
            <w:r>
              <w:rPr>
                <w:rFonts w:hint="eastAsia"/>
              </w:rPr>
              <w:t>.</w:t>
            </w:r>
            <w:r>
              <w:t>1</w:t>
            </w:r>
            <w:r>
              <w:rPr>
                <w:rFonts w:hint="eastAsia"/>
              </w:rPr>
              <w:t>1 支持频谱心电、高频心电、QT离散度、时间心电向量、空间心电向量、心室晚电位、心率变异等高级分析诊断功能，并打印对应报告。（提供相关证明文件）</w:t>
            </w:r>
            <w:bookmarkEnd w:id="87"/>
          </w:p>
          <w:p>
            <w:pPr>
              <w:spacing w:line="360" w:lineRule="auto"/>
            </w:pPr>
          </w:p>
          <w:p>
            <w:pPr>
              <w:pStyle w:val="5"/>
              <w:numPr>
                <w:ilvl w:val="1"/>
                <w:numId w:val="44"/>
              </w:numPr>
              <w:spacing w:before="260" w:after="260" w:line="413" w:lineRule="auto"/>
              <w:jc w:val="both"/>
            </w:pPr>
            <w:bookmarkStart w:id="88" w:name="_Toc907"/>
            <w:bookmarkStart w:id="89" w:name="_Toc9885"/>
            <w:bookmarkStart w:id="90" w:name="_Toc9190"/>
            <w:bookmarkStart w:id="91" w:name="_Toc12953"/>
            <w:bookmarkStart w:id="92" w:name="_Toc3523"/>
            <w:bookmarkStart w:id="93" w:name="_Toc26611"/>
            <w:r>
              <w:rPr>
                <w:rFonts w:hint="eastAsia"/>
              </w:rPr>
              <w:t xml:space="preserve"> 网络/系统安全</w:t>
            </w:r>
            <w:bookmarkEnd w:id="88"/>
            <w:bookmarkEnd w:id="89"/>
            <w:bookmarkEnd w:id="90"/>
            <w:bookmarkEnd w:id="91"/>
            <w:bookmarkEnd w:id="92"/>
            <w:bookmarkEnd w:id="93"/>
          </w:p>
          <w:p>
            <w:pPr>
              <w:pStyle w:val="131"/>
              <w:ind w:firstLine="0" w:firstLineChars="0"/>
            </w:pPr>
            <w:bookmarkStart w:id="94" w:name="_Toc25977"/>
            <w:bookmarkStart w:id="95" w:name="_Toc6399"/>
            <w:r>
              <w:rPr>
                <w:rFonts w:hint="eastAsia"/>
              </w:rPr>
              <w:t>2.</w:t>
            </w:r>
            <w:r>
              <w:t>2</w:t>
            </w:r>
            <w:r>
              <w:rPr>
                <w:rFonts w:hint="eastAsia"/>
              </w:rPr>
              <w:t>.</w:t>
            </w:r>
            <w:r>
              <w:t>1</w:t>
            </w:r>
            <w:r>
              <w:rPr>
                <w:rFonts w:hint="eastAsia"/>
              </w:rPr>
              <w:t xml:space="preserve"> 具备权限管理功能，所有重要操作都可设置权限，且角色权限可自定义，不同角色可分别设置不同操作权限。</w:t>
            </w:r>
            <w:bookmarkEnd w:id="94"/>
            <w:bookmarkEnd w:id="95"/>
            <w:r>
              <w:rPr>
                <w:rFonts w:hint="eastAsia"/>
              </w:rPr>
              <w:t>（提供软件截图）</w:t>
            </w:r>
            <w:bookmarkStart w:id="96" w:name="_Toc20773"/>
            <w:bookmarkStart w:id="97" w:name="_Toc29410"/>
          </w:p>
          <w:p>
            <w:pPr>
              <w:pStyle w:val="131"/>
              <w:ind w:firstLine="0" w:firstLineChars="0"/>
            </w:pPr>
            <w:r>
              <w:rPr>
                <w:rFonts w:hint="eastAsia"/>
              </w:rPr>
              <w:t>2.</w:t>
            </w:r>
            <w:r>
              <w:t>2</w:t>
            </w:r>
            <w:r>
              <w:rPr>
                <w:rFonts w:hint="eastAsia"/>
              </w:rPr>
              <w:t>.</w:t>
            </w:r>
            <w:r>
              <w:t>2</w:t>
            </w:r>
            <w:r>
              <w:rPr>
                <w:rFonts w:hint="eastAsia"/>
              </w:rPr>
              <w:t xml:space="preserve"> 支持病例列表及状态显示，如未检查、未诊断、已诊断、叫号、已过号、未匹配、未打印、已打印、远程未会诊、远程已会诊、危急、已审核、全部等。（提供相关证明文件）。</w:t>
            </w:r>
            <w:bookmarkEnd w:id="96"/>
            <w:bookmarkEnd w:id="97"/>
          </w:p>
          <w:p>
            <w:pPr>
              <w:pStyle w:val="131"/>
              <w:ind w:firstLine="0" w:firstLineChars="0"/>
            </w:pPr>
            <w:r>
              <w:rPr>
                <w:rFonts w:hint="eastAsia"/>
              </w:rPr>
              <w:t>2.</w:t>
            </w:r>
            <w:r>
              <w:t>2</w:t>
            </w:r>
            <w:r>
              <w:rPr>
                <w:rFonts w:hint="eastAsia"/>
              </w:rPr>
              <w:t>.</w:t>
            </w:r>
            <w:r>
              <w:t>3</w:t>
            </w:r>
            <w:r>
              <w:rPr>
                <w:rFonts w:hint="eastAsia"/>
              </w:rPr>
              <w:t xml:space="preserve"> 支持HTTPS加密传输，保证数据传输安全性。（提供相关证明文件）</w:t>
            </w:r>
          </w:p>
          <w:p>
            <w:pPr>
              <w:pStyle w:val="116"/>
              <w:ind w:firstLine="0" w:firstLineChars="0"/>
            </w:pPr>
            <w:bookmarkStart w:id="98" w:name="_Toc6771"/>
            <w:bookmarkStart w:id="99" w:name="_Toc27528"/>
            <w:r>
              <w:t>2</w:t>
            </w:r>
            <w:r>
              <w:rPr>
                <w:rFonts w:hint="eastAsia"/>
              </w:rPr>
              <w:t>.2.</w:t>
            </w:r>
            <w:r>
              <w:t>4</w:t>
            </w:r>
            <w:r>
              <w:rPr>
                <w:rFonts w:hint="eastAsia"/>
              </w:rPr>
              <w:t xml:space="preserve"> 支持长时间未操作时自动退出软件，保护账户安全性。（提供软件截图）</w:t>
            </w:r>
            <w:bookmarkEnd w:id="98"/>
            <w:bookmarkEnd w:id="99"/>
          </w:p>
          <w:p>
            <w:pPr>
              <w:pStyle w:val="116"/>
              <w:ind w:firstLine="0" w:firstLineChars="0"/>
            </w:pPr>
            <w:bookmarkStart w:id="100" w:name="_Toc24553"/>
            <w:bookmarkStart w:id="101" w:name="_Toc20061"/>
            <w:r>
              <w:t>2</w:t>
            </w:r>
            <w:r>
              <w:rPr>
                <w:rFonts w:hint="eastAsia"/>
              </w:rPr>
              <w:t>.2.</w:t>
            </w:r>
            <w:r>
              <w:t>5</w:t>
            </w:r>
            <w:r>
              <w:rPr>
                <w:rFonts w:hint="eastAsia"/>
              </w:rPr>
              <w:t xml:space="preserve"> 支持异地备份、支持双服务器数据传输备份、冷热备份等应急备灾方案。</w:t>
            </w:r>
            <w:bookmarkEnd w:id="100"/>
            <w:bookmarkEnd w:id="101"/>
          </w:p>
          <w:p>
            <w:pPr>
              <w:pStyle w:val="116"/>
              <w:ind w:firstLine="0" w:firstLineChars="0"/>
            </w:pPr>
          </w:p>
          <w:p>
            <w:pPr>
              <w:pStyle w:val="116"/>
              <w:ind w:firstLine="0" w:firstLineChars="0"/>
            </w:pPr>
          </w:p>
          <w:p>
            <w:pPr>
              <w:pStyle w:val="5"/>
              <w:numPr>
                <w:ilvl w:val="1"/>
                <w:numId w:val="44"/>
              </w:numPr>
              <w:spacing w:before="260" w:after="260" w:line="413" w:lineRule="auto"/>
              <w:jc w:val="both"/>
            </w:pPr>
            <w:bookmarkStart w:id="102" w:name="_Toc12503"/>
            <w:bookmarkStart w:id="103" w:name="_Toc25407"/>
            <w:bookmarkStart w:id="104" w:name="_Toc8880"/>
            <w:bookmarkStart w:id="105" w:name="_Toc25771"/>
            <w:bookmarkStart w:id="106" w:name="_Toc19657"/>
            <w:bookmarkStart w:id="107" w:name="_Toc20287"/>
            <w:r>
              <w:rPr>
                <w:rFonts w:hint="eastAsia"/>
              </w:rPr>
              <w:t xml:space="preserve"> 心电模块</w:t>
            </w:r>
            <w:bookmarkEnd w:id="102"/>
            <w:bookmarkEnd w:id="103"/>
            <w:bookmarkEnd w:id="104"/>
            <w:bookmarkEnd w:id="105"/>
            <w:bookmarkEnd w:id="106"/>
            <w:bookmarkEnd w:id="107"/>
            <w:bookmarkStart w:id="108" w:name="_Toc14388"/>
            <w:bookmarkStart w:id="109" w:name="_Toc4931"/>
            <w:bookmarkStart w:id="110" w:name="_Toc31321"/>
          </w:p>
          <w:p>
            <w:pPr>
              <w:pStyle w:val="6"/>
              <w:numPr>
                <w:ilvl w:val="1"/>
                <w:numId w:val="0"/>
              </w:numPr>
              <w:tabs>
                <w:tab w:val="left" w:pos="0"/>
                <w:tab w:val="left" w:pos="720"/>
              </w:tabs>
            </w:pPr>
            <w:r>
              <w:rPr>
                <w:rFonts w:hint="eastAsia"/>
              </w:rPr>
              <w:t>（一）采集</w:t>
            </w:r>
            <w:bookmarkEnd w:id="108"/>
            <w:bookmarkEnd w:id="109"/>
            <w:bookmarkEnd w:id="110"/>
          </w:p>
          <w:p>
            <w:pPr>
              <w:pStyle w:val="14"/>
            </w:pPr>
            <w:bookmarkStart w:id="111" w:name="_Toc28488"/>
            <w:bookmarkStart w:id="112" w:name="_Toc25870"/>
            <w:bookmarkStart w:id="113" w:name="_Toc13772"/>
            <w:bookmarkStart w:id="114" w:name="_Toc26587"/>
            <w:r>
              <w:rPr>
                <w:rFonts w:hint="eastAsia"/>
              </w:rPr>
              <w:t>2.</w:t>
            </w:r>
            <w:r>
              <w:t>3</w:t>
            </w:r>
            <w:r>
              <w:rPr>
                <w:rFonts w:hint="eastAsia"/>
              </w:rPr>
              <w:t>.</w:t>
            </w:r>
            <w:r>
              <w:t>1</w:t>
            </w:r>
            <w:r>
              <w:rPr>
                <w:rFonts w:hint="eastAsia"/>
              </w:rPr>
              <w:t xml:space="preserve"> 采集波形具有多样化显示模式，可提供包括3*1、9*1、3*3、3*3+1R、3*3+3R、6+3、12*1、6*1、6*2、3*4、3*4+1R、3*4+3R、6*2+1R、15*1、3*5、3*5+1R、3*5+3R、6+6+3、6+6+3、6+6+3+1R、6*3、6*3+1R等20种以上的波形显示方式，并支持节律（一节律/三节律）导联的选择。</w:t>
            </w:r>
            <w:bookmarkEnd w:id="111"/>
          </w:p>
          <w:p>
            <w:pPr>
              <w:pStyle w:val="116"/>
              <w:ind w:firstLine="0" w:firstLineChars="0"/>
            </w:pPr>
            <w:bookmarkStart w:id="115" w:name="_Toc15607"/>
            <w:r>
              <w:rPr>
                <w:rFonts w:hint="eastAsia"/>
              </w:rPr>
              <w:t>2.</w:t>
            </w:r>
            <w:r>
              <w:t>3</w:t>
            </w:r>
            <w:r>
              <w:rPr>
                <w:rFonts w:hint="eastAsia"/>
              </w:rPr>
              <w:t>.</w:t>
            </w:r>
            <w:r>
              <w:t>2</w:t>
            </w:r>
            <w:r>
              <w:rPr>
                <w:rFonts w:hint="eastAsia"/>
              </w:rPr>
              <w:t xml:space="preserve"> 支持多种导联体系，包括标准Wilson、Cabrera等。</w:t>
            </w:r>
          </w:p>
          <w:p>
            <w:pPr>
              <w:pStyle w:val="116"/>
              <w:ind w:firstLine="0" w:firstLineChars="0"/>
            </w:pPr>
            <w:r>
              <w:rPr>
                <w:rFonts w:hint="eastAsia"/>
              </w:rPr>
              <w:t>2.</w:t>
            </w:r>
            <w:r>
              <w:t>3</w:t>
            </w:r>
            <w:r>
              <w:rPr>
                <w:rFonts w:hint="eastAsia"/>
              </w:rPr>
              <w:t>.</w:t>
            </w:r>
            <w:r>
              <w:t>3</w:t>
            </w:r>
            <w:r>
              <w:rPr>
                <w:rFonts w:hint="eastAsia"/>
              </w:rPr>
              <w:t xml:space="preserve"> 支持同步三导、六导、九导、十二导、十五导、十六导、十八导静态心电设备采集类型。</w:t>
            </w:r>
            <w:bookmarkEnd w:id="115"/>
          </w:p>
          <w:p>
            <w:pPr>
              <w:pStyle w:val="116"/>
              <w:ind w:firstLine="0" w:firstLineChars="0"/>
            </w:pPr>
            <w:bookmarkStart w:id="116" w:name="_Toc31968"/>
            <w:r>
              <w:rPr>
                <w:rFonts w:hint="eastAsia"/>
              </w:rPr>
              <w:t>2.</w:t>
            </w:r>
            <w:r>
              <w:t>3</w:t>
            </w:r>
            <w:r>
              <w:rPr>
                <w:rFonts w:hint="eastAsia"/>
              </w:rPr>
              <w:t>.</w:t>
            </w:r>
            <w:r>
              <w:t>4</w:t>
            </w:r>
            <w:r>
              <w:rPr>
                <w:rFonts w:hint="eastAsia"/>
              </w:rPr>
              <w:t xml:space="preserve"> 支持正常、幼儿、S5、位置性Q波、上移一肋间、上移两肋间、右心、下移一肋间、下移两肋间等多种导联模式。</w:t>
            </w:r>
            <w:bookmarkEnd w:id="116"/>
            <w:r>
              <w:rPr>
                <w:rFonts w:hint="eastAsia"/>
              </w:rPr>
              <w:t>（提供软件截图）</w:t>
            </w:r>
          </w:p>
          <w:p>
            <w:pPr>
              <w:pStyle w:val="116"/>
              <w:ind w:firstLine="0" w:firstLineChars="0"/>
            </w:pPr>
            <w:bookmarkStart w:id="117" w:name="_Toc18767"/>
            <w:r>
              <w:rPr>
                <w:rFonts w:hint="eastAsia"/>
              </w:rPr>
              <w:t>2.</w:t>
            </w:r>
            <w:r>
              <w:t>3</w:t>
            </w:r>
            <w:r>
              <w:rPr>
                <w:rFonts w:hint="eastAsia"/>
              </w:rPr>
              <w:t>.</w:t>
            </w:r>
            <w:r>
              <w:t>5</w:t>
            </w:r>
            <w:r>
              <w:rPr>
                <w:rFonts w:hint="eastAsia"/>
              </w:rPr>
              <w:t xml:space="preserve"> 支持使用十二导设备采集两份十二导数据自动合并为十八导数据，满足附加导联的检查要求。</w:t>
            </w:r>
            <w:bookmarkEnd w:id="117"/>
          </w:p>
          <w:p>
            <w:pPr>
              <w:pStyle w:val="116"/>
              <w:ind w:firstLine="0" w:firstLineChars="0"/>
            </w:pPr>
            <w:bookmarkStart w:id="118" w:name="_Toc15877"/>
            <w:r>
              <w:rPr>
                <w:rFonts w:hint="eastAsia"/>
              </w:rPr>
              <w:t>2.</w:t>
            </w:r>
            <w:r>
              <w:t>3</w:t>
            </w:r>
            <w:r>
              <w:rPr>
                <w:rFonts w:hint="eastAsia"/>
              </w:rPr>
              <w:t>.</w:t>
            </w:r>
            <w:r>
              <w:t>6</w:t>
            </w:r>
            <w:r>
              <w:rPr>
                <w:rFonts w:hint="eastAsia"/>
              </w:rPr>
              <w:t xml:space="preserve"> 支持采集完毕自动推送消息到诊断工作站，带弹窗和声音提醒。</w:t>
            </w:r>
            <w:bookmarkEnd w:id="118"/>
            <w:r>
              <w:rPr>
                <w:rFonts w:hint="eastAsia"/>
              </w:rPr>
              <w:t>（提供相关证明文件）</w:t>
            </w:r>
            <w:bookmarkStart w:id="119" w:name="_Toc10238"/>
          </w:p>
          <w:p>
            <w:pPr>
              <w:pStyle w:val="14"/>
            </w:pPr>
            <w:r>
              <w:rPr>
                <w:rFonts w:hint="eastAsia"/>
              </w:rPr>
              <w:t>2.</w:t>
            </w:r>
            <w:r>
              <w:t>3</w:t>
            </w:r>
            <w:r>
              <w:rPr>
                <w:rFonts w:hint="eastAsia"/>
              </w:rPr>
              <w:t>.</w:t>
            </w:r>
            <w:r>
              <w:t>7</w:t>
            </w:r>
            <w:r>
              <w:rPr>
                <w:rFonts w:hint="eastAsia"/>
              </w:rPr>
              <w:t xml:space="preserve"> 支持心电信号质量检测，通过弹窗和颜色提醒，方便医生了解导联连接状况。（提供软件截图或检验报告复印件）</w:t>
            </w:r>
            <w:bookmarkEnd w:id="119"/>
            <w:bookmarkStart w:id="120" w:name="_Toc14452"/>
          </w:p>
          <w:p>
            <w:pPr>
              <w:pStyle w:val="14"/>
            </w:pPr>
            <w:r>
              <w:rPr>
                <w:rFonts w:hint="eastAsia"/>
              </w:rPr>
              <w:t>2.</w:t>
            </w:r>
            <w:r>
              <w:t>3</w:t>
            </w:r>
            <w:r>
              <w:rPr>
                <w:rFonts w:hint="eastAsia"/>
              </w:rPr>
              <w:t>.</w:t>
            </w:r>
            <w:r>
              <w:t>8</w:t>
            </w:r>
            <w:r>
              <w:rPr>
                <w:rFonts w:hint="eastAsia"/>
              </w:rPr>
              <w:t xml:space="preserve"> 支持第三方电生理设备如脑电、肌电、肺功能等电生理设备的报告规范化接入归档。</w:t>
            </w:r>
            <w:bookmarkEnd w:id="120"/>
            <w:r>
              <w:rPr>
                <w:rFonts w:hint="eastAsia"/>
              </w:rPr>
              <w:t>（提供软件截图及检验报告复印件）</w:t>
            </w:r>
            <w:bookmarkStart w:id="121" w:name="_Toc21165"/>
          </w:p>
          <w:p>
            <w:pPr>
              <w:pStyle w:val="14"/>
            </w:pPr>
            <w:r>
              <w:rPr>
                <w:rFonts w:hint="eastAsia"/>
              </w:rPr>
              <w:t>2.</w:t>
            </w:r>
            <w:r>
              <w:t>3</w:t>
            </w:r>
            <w:r>
              <w:rPr>
                <w:rFonts w:hint="eastAsia"/>
              </w:rPr>
              <w:t>.</w:t>
            </w:r>
            <w:r>
              <w:t>9</w:t>
            </w:r>
            <w:r>
              <w:rPr>
                <w:rFonts w:hint="eastAsia"/>
              </w:rPr>
              <w:t xml:space="preserve"> 支持数据重新滤波及异常测量值特殊标记。（提供软件截图或检验报告复印件）</w:t>
            </w:r>
            <w:bookmarkEnd w:id="121"/>
          </w:p>
          <w:p>
            <w:pPr>
              <w:pStyle w:val="14"/>
            </w:pPr>
          </w:p>
          <w:p>
            <w:pPr>
              <w:pStyle w:val="6"/>
              <w:numPr>
                <w:ilvl w:val="2"/>
                <w:numId w:val="0"/>
              </w:numPr>
              <w:tabs>
                <w:tab w:val="left" w:pos="0"/>
                <w:tab w:val="left" w:pos="720"/>
              </w:tabs>
            </w:pPr>
            <w:r>
              <w:rPr>
                <w:rFonts w:hint="eastAsia"/>
              </w:rPr>
              <w:t>（二）分析</w:t>
            </w:r>
            <w:bookmarkEnd w:id="112"/>
            <w:bookmarkEnd w:id="113"/>
            <w:bookmarkEnd w:id="114"/>
          </w:p>
          <w:p>
            <w:pPr>
              <w:pStyle w:val="116"/>
              <w:ind w:firstLine="0" w:firstLineChars="0"/>
            </w:pPr>
            <w:bookmarkStart w:id="122" w:name="_Toc4987"/>
            <w:r>
              <w:rPr>
                <w:rFonts w:hint="eastAsia"/>
              </w:rPr>
              <w:t>2.</w:t>
            </w:r>
            <w:r>
              <w:t>3</w:t>
            </w:r>
            <w:r>
              <w:rPr>
                <w:rFonts w:hint="eastAsia"/>
              </w:rPr>
              <w:t>.10 支持左右手、右手左腿电极反转和胸导联纠正，支持导联纠正后的重新分析，导联接错不需要重采集，减轻医生工作。（提供软件截图）</w:t>
            </w:r>
            <w:bookmarkEnd w:id="122"/>
          </w:p>
          <w:p>
            <w:pPr>
              <w:pStyle w:val="116"/>
              <w:ind w:firstLine="0" w:firstLineChars="0"/>
            </w:pPr>
            <w:bookmarkStart w:id="123" w:name="_Toc3728"/>
            <w:r>
              <w:rPr>
                <w:rFonts w:hint="eastAsia"/>
              </w:rPr>
              <w:t>2.</w:t>
            </w:r>
            <w:r>
              <w:t>3</w:t>
            </w:r>
            <w:r>
              <w:rPr>
                <w:rFonts w:hint="eastAsia"/>
              </w:rPr>
              <w:t>.11 提供丰富的测量分析值显示、打印，基本测量值包括HR、AHR、P时限、PR间期、QRS时限、QT/QTc间期、QTcFd/QTcFm、QTcHd、P/QRS/T电轴、RV5/SV1振幅、RV5+SV1振幅、RV6/SV2振幅、RR/PP、∑QRS；详细测量值包括HR、Pa、P’a、Qa、Ra、R’a、Sa、S’a、Ta、T’a、Pd、P’d、Qd、Rd、R’d、Sd、S’d、Td、PR、QRS、QT、RR、PP、VAT、STd、STj、ST1、ST2、ST3、ST20、ST40、ST60、ST80。</w:t>
            </w:r>
          </w:p>
          <w:p>
            <w:pPr>
              <w:pStyle w:val="116"/>
              <w:ind w:firstLine="0" w:firstLineChars="0"/>
            </w:pPr>
            <w:r>
              <w:rPr>
                <w:rFonts w:hint="eastAsia"/>
              </w:rPr>
              <w:t>2.</w:t>
            </w:r>
            <w:r>
              <w:t>3</w:t>
            </w:r>
            <w:r>
              <w:rPr>
                <w:rFonts w:hint="eastAsia"/>
              </w:rPr>
              <w:t>.12 支持五种QTC计算公式。</w:t>
            </w:r>
            <w:bookmarkEnd w:id="123"/>
            <w:r>
              <w:rPr>
                <w:rFonts w:hint="eastAsia"/>
              </w:rPr>
              <w:t>（提供软件截图）</w:t>
            </w:r>
          </w:p>
          <w:p>
            <w:pPr>
              <w:pStyle w:val="116"/>
              <w:ind w:firstLine="0" w:firstLineChars="0"/>
            </w:pPr>
            <w:bookmarkStart w:id="124" w:name="_Toc24871"/>
            <w:r>
              <w:rPr>
                <w:rFonts w:hint="eastAsia"/>
              </w:rPr>
              <w:t>2.</w:t>
            </w:r>
            <w:r>
              <w:t>3</w:t>
            </w:r>
            <w:r>
              <w:rPr>
                <w:rFonts w:hint="eastAsia"/>
              </w:rPr>
              <w:t>.13</w:t>
            </w:r>
            <w:r>
              <w:t xml:space="preserve"> </w:t>
            </w:r>
            <w:r>
              <w:rPr>
                <w:rFonts w:hint="eastAsia"/>
              </w:rPr>
              <w:t>支持电轴计算方法：振幅法、面积法</w:t>
            </w:r>
            <w:bookmarkEnd w:id="124"/>
            <w:r>
              <w:rPr>
                <w:rFonts w:hint="eastAsia"/>
              </w:rPr>
              <w:t>。</w:t>
            </w:r>
          </w:p>
          <w:p>
            <w:pPr>
              <w:pStyle w:val="116"/>
              <w:ind w:firstLine="0" w:firstLineChars="0"/>
            </w:pPr>
            <w:bookmarkStart w:id="125" w:name="_Toc9426"/>
            <w:r>
              <w:rPr>
                <w:rFonts w:hint="eastAsia"/>
              </w:rPr>
              <w:t>2.</w:t>
            </w:r>
            <w:r>
              <w:t>3</w:t>
            </w:r>
            <w:r>
              <w:rPr>
                <w:rFonts w:hint="eastAsia"/>
              </w:rPr>
              <w:t>.14</w:t>
            </w:r>
            <w:r>
              <w:t xml:space="preserve"> </w:t>
            </w:r>
            <w:r>
              <w:rPr>
                <w:rFonts w:hint="eastAsia"/>
              </w:rPr>
              <w:t>支持自定义心动过速、心动过缓、P波时限的阈值。</w:t>
            </w:r>
            <w:bookmarkEnd w:id="125"/>
          </w:p>
          <w:p>
            <w:pPr>
              <w:pStyle w:val="116"/>
              <w:ind w:firstLine="0" w:firstLineChars="0"/>
            </w:pPr>
            <w:bookmarkStart w:id="126" w:name="_Toc7415"/>
            <w:r>
              <w:rPr>
                <w:rFonts w:hint="eastAsia"/>
              </w:rPr>
              <w:t>2.</w:t>
            </w:r>
            <w:r>
              <w:t>3</w:t>
            </w:r>
            <w:r>
              <w:rPr>
                <w:rFonts w:hint="eastAsia"/>
              </w:rPr>
              <w:t>.15支持单心博分析，可显示相邻QRS波的RR间期值和心率值，更加直观地观察到心律不齐现象。</w:t>
            </w:r>
            <w:bookmarkEnd w:id="126"/>
            <w:r>
              <w:t>（</w:t>
            </w:r>
            <w:r>
              <w:rPr>
                <w:rFonts w:hint="eastAsia"/>
              </w:rPr>
              <w:t>提供软件截图</w:t>
            </w:r>
            <w:r>
              <w:t>）</w:t>
            </w:r>
          </w:p>
          <w:p>
            <w:pPr>
              <w:widowControl/>
              <w:jc w:val="left"/>
            </w:pPr>
            <w:r>
              <w:rPr>
                <w:rFonts w:hint="eastAsia"/>
              </w:rPr>
              <w:t xml:space="preserve">2.3.16 </w:t>
            </w:r>
            <w:r>
              <w:rPr>
                <w:rFonts w:hint="eastAsia" w:ascii="宋体" w:hAnsi="宋体"/>
                <w:color w:val="000000"/>
                <w:kern w:val="0"/>
                <w:sz w:val="20"/>
                <w:szCs w:val="20"/>
              </w:rPr>
              <w:t>波形显示具有时间轴，精确定位心拍。</w:t>
            </w:r>
          </w:p>
          <w:p>
            <w:pPr>
              <w:pStyle w:val="116"/>
              <w:ind w:firstLine="0" w:firstLineChars="0"/>
            </w:pPr>
            <w:bookmarkStart w:id="127" w:name="_Toc18236"/>
            <w:r>
              <w:rPr>
                <w:rFonts w:hint="eastAsia"/>
              </w:rPr>
              <w:t>2.</w:t>
            </w:r>
            <w:r>
              <w:t>3</w:t>
            </w:r>
            <w:r>
              <w:rPr>
                <w:rFonts w:hint="eastAsia"/>
              </w:rPr>
              <w:t>.17 支持危急值参数自定义，支持病人自动危急值预警功能，紧急/危急申请单红色置顶标识。（提供证明文件）</w:t>
            </w:r>
            <w:bookmarkEnd w:id="127"/>
          </w:p>
          <w:p>
            <w:pPr>
              <w:pStyle w:val="116"/>
              <w:ind w:firstLine="0" w:firstLineChars="0"/>
            </w:pPr>
            <w:bookmarkStart w:id="128" w:name="_Toc24305"/>
            <w:r>
              <w:rPr>
                <w:rFonts w:hint="eastAsia"/>
              </w:rPr>
              <w:t>2.</w:t>
            </w:r>
            <w:r>
              <w:t>3</w:t>
            </w:r>
            <w:r>
              <w:rPr>
                <w:rFonts w:hint="eastAsia"/>
              </w:rPr>
              <w:t>.18 支持危急值闭环管理，医生确认危急后，可以推送危急信息到临床</w:t>
            </w:r>
            <w:bookmarkEnd w:id="128"/>
            <w:bookmarkStart w:id="129" w:name="_Toc32373"/>
            <w:r>
              <w:rPr>
                <w:rFonts w:hint="eastAsia"/>
              </w:rPr>
              <w:t>。（提供软件截图）</w:t>
            </w:r>
          </w:p>
          <w:p>
            <w:pPr>
              <w:pStyle w:val="116"/>
              <w:ind w:firstLine="0" w:firstLineChars="0"/>
            </w:pPr>
            <w:r>
              <w:rPr>
                <w:rFonts w:hint="eastAsia"/>
              </w:rPr>
              <w:t>2.</w:t>
            </w:r>
            <w:r>
              <w:t>3</w:t>
            </w:r>
            <w:r>
              <w:rPr>
                <w:rFonts w:hint="eastAsia"/>
              </w:rPr>
              <w:t>.19 支持平均模板分析</w:t>
            </w:r>
            <w:bookmarkEnd w:id="129"/>
            <w:r>
              <w:rPr>
                <w:rFonts w:hint="eastAsia"/>
              </w:rPr>
              <w:t>。（提供软件截图）</w:t>
            </w:r>
            <w:bookmarkStart w:id="130" w:name="_Toc20017"/>
          </w:p>
          <w:p>
            <w:pPr>
              <w:pStyle w:val="116"/>
              <w:ind w:firstLine="0" w:firstLineChars="0"/>
            </w:pPr>
            <w:r>
              <w:rPr>
                <w:rFonts w:hint="eastAsia"/>
              </w:rPr>
              <w:t>2.</w:t>
            </w:r>
            <w:r>
              <w:t>3</w:t>
            </w:r>
            <w:r>
              <w:rPr>
                <w:rFonts w:hint="eastAsia"/>
              </w:rPr>
              <w:t>.20 支持静态心电AI自动分析。</w:t>
            </w:r>
            <w:bookmarkEnd w:id="130"/>
          </w:p>
          <w:p>
            <w:pPr>
              <w:pStyle w:val="116"/>
              <w:ind w:firstLine="0" w:firstLineChars="0"/>
            </w:pPr>
            <w:bookmarkStart w:id="131" w:name="_Toc30537"/>
            <w:r>
              <w:rPr>
                <w:rFonts w:hint="eastAsia"/>
              </w:rPr>
              <w:t>2.</w:t>
            </w:r>
            <w:r>
              <w:t>3</w:t>
            </w:r>
            <w:r>
              <w:rPr>
                <w:rFonts w:hint="eastAsia"/>
              </w:rPr>
              <w:t>.21 支持起搏分析，并显示起搏信号标识。（提供相关证明文件）</w:t>
            </w:r>
            <w:bookmarkEnd w:id="131"/>
          </w:p>
          <w:p>
            <w:pPr>
              <w:pStyle w:val="116"/>
              <w:ind w:firstLine="0" w:firstLineChars="0"/>
            </w:pPr>
            <w:r>
              <w:rPr>
                <w:rFonts w:hint="eastAsia"/>
              </w:rPr>
              <w:t>2.3.22 具有梯形图生成技术。（提供相关证明文件）</w:t>
            </w:r>
          </w:p>
          <w:p/>
          <w:p>
            <w:pPr>
              <w:pStyle w:val="6"/>
              <w:numPr>
                <w:ilvl w:val="2"/>
                <w:numId w:val="0"/>
              </w:numPr>
              <w:tabs>
                <w:tab w:val="left" w:pos="0"/>
                <w:tab w:val="left" w:pos="720"/>
              </w:tabs>
            </w:pPr>
            <w:bookmarkStart w:id="132" w:name="_Toc15215"/>
            <w:bookmarkStart w:id="133" w:name="_Toc21343"/>
            <w:bookmarkStart w:id="134" w:name="_Toc11034"/>
            <w:r>
              <w:rPr>
                <w:rFonts w:hint="eastAsia"/>
              </w:rPr>
              <w:t>（三）诊断</w:t>
            </w:r>
            <w:bookmarkEnd w:id="132"/>
            <w:bookmarkEnd w:id="133"/>
            <w:bookmarkEnd w:id="134"/>
          </w:p>
          <w:p>
            <w:pPr>
              <w:pStyle w:val="116"/>
              <w:ind w:firstLine="0" w:firstLineChars="0"/>
            </w:pPr>
            <w:bookmarkStart w:id="135" w:name="_Toc26363"/>
            <w:r>
              <w:rPr>
                <w:rFonts w:hint="eastAsia"/>
              </w:rPr>
              <w:t>2.</w:t>
            </w:r>
            <w:r>
              <w:t>3</w:t>
            </w:r>
            <w:r>
              <w:rPr>
                <w:rFonts w:hint="eastAsia"/>
              </w:rPr>
              <w:t>.23 具有自主研发心电算法，算法经过美国AHA、MIT测试，获欧盟CSE认证。（提供相应认证报告）</w:t>
            </w:r>
            <w:bookmarkEnd w:id="135"/>
          </w:p>
          <w:p>
            <w:pPr>
              <w:pStyle w:val="116"/>
              <w:ind w:firstLine="0" w:firstLineChars="0"/>
            </w:pPr>
            <w:bookmarkStart w:id="136" w:name="_Toc9999"/>
            <w:r>
              <w:rPr>
                <w:rFonts w:hint="eastAsia"/>
              </w:rPr>
              <w:t>2.</w:t>
            </w:r>
            <w:r>
              <w:t>3</w:t>
            </w:r>
            <w:r>
              <w:rPr>
                <w:rFonts w:hint="eastAsia"/>
              </w:rPr>
              <w:t>.24</w:t>
            </w:r>
            <w:r>
              <w:t xml:space="preserve"> </w:t>
            </w:r>
            <w:r>
              <w:rPr>
                <w:rFonts w:hint="eastAsia"/>
              </w:rPr>
              <w:t>支持系统对心电数据进行自动预诊断，支持高级分析自动预诊断功能，自动诊断算法灵敏度可调整。（提供软件截图）</w:t>
            </w:r>
            <w:bookmarkEnd w:id="136"/>
          </w:p>
          <w:p>
            <w:pPr>
              <w:pStyle w:val="116"/>
              <w:ind w:firstLine="0" w:firstLineChars="0"/>
            </w:pPr>
            <w:bookmarkStart w:id="137" w:name="_Toc24218"/>
            <w:r>
              <w:rPr>
                <w:rFonts w:hint="eastAsia"/>
              </w:rPr>
              <w:t>2.</w:t>
            </w:r>
            <w:r>
              <w:t>3</w:t>
            </w:r>
            <w:r>
              <w:rPr>
                <w:rFonts w:hint="eastAsia"/>
              </w:rPr>
              <w:t>.25</w:t>
            </w:r>
            <w:r>
              <w:t xml:space="preserve"> </w:t>
            </w:r>
            <w:r>
              <w:rPr>
                <w:rFonts w:hint="eastAsia"/>
              </w:rPr>
              <w:t>支持记忆跟随输入、汉语拼音缩写快速查找，附带常用符号小键盘，提高医生书写速度。</w:t>
            </w:r>
            <w:bookmarkEnd w:id="137"/>
          </w:p>
          <w:p>
            <w:pPr>
              <w:pStyle w:val="116"/>
              <w:ind w:firstLine="0" w:firstLineChars="0"/>
            </w:pPr>
            <w:bookmarkStart w:id="138" w:name="_Toc6097"/>
            <w:r>
              <w:rPr>
                <w:rFonts w:hint="eastAsia"/>
              </w:rPr>
              <w:t>2.</w:t>
            </w:r>
            <w:r>
              <w:t>3</w:t>
            </w:r>
            <w:r>
              <w:rPr>
                <w:rFonts w:hint="eastAsia"/>
              </w:rPr>
              <w:t>.26</w:t>
            </w:r>
            <w:r>
              <w:t xml:space="preserve"> </w:t>
            </w:r>
            <w:r>
              <w:rPr>
                <w:rFonts w:hint="eastAsia"/>
              </w:rPr>
              <w:t>提供心电常用诊断模板和术语，便于医生在书写报告时规范、标准、灵活、快捷简便；诊断术语库可自定义修改。</w:t>
            </w:r>
            <w:bookmarkEnd w:id="138"/>
          </w:p>
          <w:p>
            <w:pPr>
              <w:pStyle w:val="116"/>
              <w:ind w:firstLine="0" w:firstLineChars="0"/>
            </w:pPr>
            <w:bookmarkStart w:id="139" w:name="_Toc14101"/>
            <w:r>
              <w:rPr>
                <w:rFonts w:hint="eastAsia"/>
              </w:rPr>
              <w:t>2.</w:t>
            </w:r>
            <w:r>
              <w:t>3</w:t>
            </w:r>
            <w:r>
              <w:rPr>
                <w:rFonts w:hint="eastAsia"/>
              </w:rPr>
              <w:t>.27</w:t>
            </w:r>
            <w:r>
              <w:t xml:space="preserve"> </w:t>
            </w:r>
            <w:r>
              <w:rPr>
                <w:rFonts w:hint="eastAsia"/>
              </w:rPr>
              <w:t>支持波形缩放，缩放倍数支持自定义调整。</w:t>
            </w:r>
            <w:bookmarkEnd w:id="139"/>
          </w:p>
          <w:p>
            <w:pPr>
              <w:pStyle w:val="116"/>
              <w:ind w:firstLine="0" w:firstLineChars="0"/>
            </w:pPr>
            <w:bookmarkStart w:id="140" w:name="_Toc31040"/>
            <w:r>
              <w:rPr>
                <w:rFonts w:hint="eastAsia"/>
              </w:rPr>
              <w:t>2.</w:t>
            </w:r>
            <w:r>
              <w:t>3</w:t>
            </w:r>
            <w:r>
              <w:rPr>
                <w:rFonts w:hint="eastAsia"/>
              </w:rPr>
              <w:t>.28</w:t>
            </w:r>
            <w:r>
              <w:t xml:space="preserve"> </w:t>
            </w:r>
            <w:r>
              <w:rPr>
                <w:rFonts w:hint="eastAsia"/>
              </w:rPr>
              <w:t>提供电子尺功能，一次测量可以同时获取间期、振幅、心率信息。（提供注册证或注册检验报告复印件）</w:t>
            </w:r>
          </w:p>
          <w:bookmarkEnd w:id="140"/>
          <w:p>
            <w:pPr>
              <w:pStyle w:val="116"/>
              <w:ind w:firstLine="0" w:firstLineChars="0"/>
            </w:pPr>
            <w:bookmarkStart w:id="141" w:name="_Toc4297"/>
            <w:r>
              <w:rPr>
                <w:rFonts w:hint="eastAsia"/>
              </w:rPr>
              <w:t>2.</w:t>
            </w:r>
            <w:r>
              <w:t>3</w:t>
            </w:r>
            <w:r>
              <w:rPr>
                <w:rFonts w:hint="eastAsia"/>
              </w:rPr>
              <w:t>.29</w:t>
            </w:r>
            <w:r>
              <w:t xml:space="preserve"> </w:t>
            </w:r>
            <w:r>
              <w:rPr>
                <w:rFonts w:hint="eastAsia"/>
              </w:rPr>
              <w:t>支持重新诊断，医生可以选取任意一段波形进行重新分析，并</w:t>
            </w:r>
            <w:r>
              <w:rPr>
                <w:rFonts w:hint="eastAsia" w:ascii="宋体" w:hAnsi="宋体"/>
                <w:szCs w:val="21"/>
              </w:rPr>
              <w:t>支持手工环境参数自动进行结果修正，</w:t>
            </w:r>
            <w:r>
              <w:rPr>
                <w:rFonts w:hint="eastAsia"/>
              </w:rPr>
              <w:t>减少人工诊断分析的时间。</w:t>
            </w:r>
            <w:bookmarkEnd w:id="141"/>
          </w:p>
          <w:p>
            <w:pPr>
              <w:pStyle w:val="116"/>
              <w:ind w:firstLine="0" w:firstLineChars="0"/>
            </w:pPr>
            <w:bookmarkStart w:id="142" w:name="_Toc13883"/>
            <w:r>
              <w:rPr>
                <w:rFonts w:hint="eastAsia"/>
              </w:rPr>
              <w:t>2.</w:t>
            </w:r>
            <w:r>
              <w:t>3</w:t>
            </w:r>
            <w:r>
              <w:rPr>
                <w:rFonts w:hint="eastAsia"/>
              </w:rPr>
              <w:t>.30</w:t>
            </w:r>
            <w:r>
              <w:t xml:space="preserve"> </w:t>
            </w:r>
            <w:r>
              <w:rPr>
                <w:rFonts w:hint="eastAsia" w:ascii="宋体" w:hAnsi="宋体"/>
                <w:szCs w:val="21"/>
              </w:rPr>
              <w:t>系统支持历史检查同屏调阅与对比</w:t>
            </w:r>
            <w:r>
              <w:rPr>
                <w:rFonts w:hint="eastAsia"/>
              </w:rPr>
              <w:t>。</w:t>
            </w:r>
            <w:bookmarkEnd w:id="142"/>
          </w:p>
          <w:p>
            <w:pPr>
              <w:pStyle w:val="116"/>
              <w:ind w:firstLine="0" w:firstLineChars="0"/>
            </w:pPr>
            <w:bookmarkStart w:id="143" w:name="_Toc12080"/>
            <w:r>
              <w:rPr>
                <w:rFonts w:hint="eastAsia"/>
              </w:rPr>
              <w:t>2.</w:t>
            </w:r>
            <w:r>
              <w:t>3</w:t>
            </w:r>
            <w:r>
              <w:rPr>
                <w:rFonts w:hint="eastAsia"/>
              </w:rPr>
              <w:t>.31</w:t>
            </w:r>
            <w:r>
              <w:t xml:space="preserve"> </w:t>
            </w:r>
            <w:bookmarkEnd w:id="143"/>
            <w:bookmarkStart w:id="144" w:name="_Toc13002"/>
            <w:r>
              <w:rPr>
                <w:rFonts w:hint="eastAsia"/>
              </w:rPr>
              <w:t>支持在分析界面调阅电子病历包括但不限于病人姓名、年龄、病史、主诉、历史检查。</w:t>
            </w:r>
            <w:bookmarkEnd w:id="144"/>
            <w:r>
              <w:t>（</w:t>
            </w:r>
            <w:r>
              <w:rPr>
                <w:rFonts w:hint="eastAsia"/>
              </w:rPr>
              <w:t>提供软件截图</w:t>
            </w:r>
            <w:r>
              <w:t>）</w:t>
            </w:r>
          </w:p>
          <w:p>
            <w:pPr>
              <w:pStyle w:val="6"/>
              <w:numPr>
                <w:ilvl w:val="2"/>
                <w:numId w:val="0"/>
              </w:numPr>
              <w:tabs>
                <w:tab w:val="left" w:pos="0"/>
                <w:tab w:val="left" w:pos="720"/>
              </w:tabs>
            </w:pPr>
            <w:bookmarkStart w:id="145" w:name="_Toc24463"/>
            <w:bookmarkStart w:id="146" w:name="_Toc13682"/>
            <w:bookmarkStart w:id="147" w:name="_Toc10258"/>
            <w:r>
              <w:rPr>
                <w:rFonts w:hint="eastAsia"/>
              </w:rPr>
              <w:t>（四）报告打印</w:t>
            </w:r>
            <w:bookmarkEnd w:id="145"/>
            <w:bookmarkEnd w:id="146"/>
            <w:bookmarkEnd w:id="147"/>
            <w:r>
              <w:rPr>
                <w:rFonts w:hint="eastAsia"/>
              </w:rPr>
              <w:t xml:space="preserve"> </w:t>
            </w:r>
          </w:p>
          <w:p>
            <w:pPr>
              <w:pStyle w:val="116"/>
              <w:ind w:firstLine="0" w:firstLineChars="0"/>
            </w:pPr>
            <w:bookmarkStart w:id="148" w:name="_Toc11127"/>
            <w:r>
              <w:rPr>
                <w:rFonts w:hint="eastAsia"/>
              </w:rPr>
              <w:t>2.</w:t>
            </w:r>
            <w:r>
              <w:t>3</w:t>
            </w:r>
            <w:r>
              <w:rPr>
                <w:rFonts w:hint="eastAsia"/>
              </w:rPr>
              <w:t>.32 提供多种打印报告模板，具有如12*1、3*4、6*2、3*4+1、3*4+3、6*2+1、6*1、6*3、6*3+1、6*2+6*1、6*2+1+6*1、12*1+6*1、15*1、3*5、3*5+1、3*5+3、6+6+3、6+6+3+1、6+9、6*1等20种以上的报告格式，并支持节律（一节律/三节律）导联报告的打印。</w:t>
            </w:r>
            <w:bookmarkEnd w:id="148"/>
          </w:p>
          <w:p>
            <w:pPr>
              <w:pStyle w:val="116"/>
              <w:ind w:firstLine="0" w:firstLineChars="0"/>
            </w:pPr>
            <w:r>
              <w:rPr>
                <w:rFonts w:hint="eastAsia"/>
              </w:rPr>
              <w:t>2.</w:t>
            </w:r>
            <w:r>
              <w:t>3</w:t>
            </w:r>
            <w:r>
              <w:rPr>
                <w:rFonts w:hint="eastAsia"/>
              </w:rPr>
              <w:t>.33 支持心电图报告中添加特征描述显示</w:t>
            </w:r>
          </w:p>
          <w:p>
            <w:pPr>
              <w:pStyle w:val="116"/>
              <w:ind w:firstLine="0" w:firstLineChars="0"/>
            </w:pPr>
            <w:r>
              <w:rPr>
                <w:rFonts w:hint="eastAsia"/>
              </w:rPr>
              <w:t>2.</w:t>
            </w:r>
            <w:r>
              <w:t>3</w:t>
            </w:r>
            <w:r>
              <w:rPr>
                <w:rFonts w:hint="eastAsia"/>
              </w:rPr>
              <w:t>.34 支持心电图报告彩色打印。</w:t>
            </w:r>
          </w:p>
          <w:p>
            <w:pPr>
              <w:pStyle w:val="116"/>
              <w:ind w:firstLine="0" w:firstLineChars="0"/>
            </w:pPr>
            <w:bookmarkStart w:id="149" w:name="_Toc3755"/>
            <w:r>
              <w:rPr>
                <w:rFonts w:hint="eastAsia"/>
              </w:rPr>
              <w:t>2.</w:t>
            </w:r>
            <w:r>
              <w:t>3</w:t>
            </w:r>
            <w:r>
              <w:rPr>
                <w:rFonts w:hint="eastAsia"/>
              </w:rPr>
              <w:t>.35</w:t>
            </w:r>
            <w:r>
              <w:t xml:space="preserve"> </w:t>
            </w:r>
            <w:r>
              <w:rPr>
                <w:rFonts w:hint="eastAsia"/>
              </w:rPr>
              <w:t>支持在报告中添加医院logo信息</w:t>
            </w:r>
            <w:bookmarkEnd w:id="149"/>
            <w:bookmarkStart w:id="150" w:name="_Toc685"/>
            <w:r>
              <w:t>，</w:t>
            </w:r>
            <w:r>
              <w:rPr>
                <w:rFonts w:hint="eastAsia"/>
              </w:rPr>
              <w:t>支持网格、波形背景、波形颜色自定义设置。</w:t>
            </w:r>
            <w:bookmarkEnd w:id="150"/>
          </w:p>
          <w:p>
            <w:pPr>
              <w:pStyle w:val="116"/>
              <w:ind w:firstLine="0" w:firstLineChars="0"/>
            </w:pPr>
            <w:bookmarkStart w:id="151" w:name="_Toc14359"/>
            <w:r>
              <w:rPr>
                <w:rFonts w:hint="eastAsia"/>
              </w:rPr>
              <w:t>2.</w:t>
            </w:r>
            <w:r>
              <w:t>3</w:t>
            </w:r>
            <w:r>
              <w:rPr>
                <w:rFonts w:hint="eastAsia"/>
              </w:rPr>
              <w:t>.36</w:t>
            </w:r>
            <w:r>
              <w:t xml:space="preserve"> </w:t>
            </w:r>
            <w:r>
              <w:rPr>
                <w:rFonts w:hint="eastAsia"/>
              </w:rPr>
              <w:t>支持全院报告共享，病区可通过网络获取报告并打印。</w:t>
            </w:r>
            <w:bookmarkEnd w:id="151"/>
          </w:p>
          <w:p>
            <w:pPr>
              <w:pStyle w:val="116"/>
              <w:ind w:firstLine="0" w:firstLineChars="0"/>
            </w:pPr>
            <w:r>
              <w:rPr>
                <w:rFonts w:hint="eastAsia"/>
              </w:rPr>
              <w:t>2.</w:t>
            </w:r>
            <w:r>
              <w:t>3</w:t>
            </w:r>
            <w:r>
              <w:rPr>
                <w:rFonts w:hint="eastAsia"/>
              </w:rPr>
              <w:t>.37</w:t>
            </w:r>
            <w:r>
              <w:t xml:space="preserve"> </w:t>
            </w:r>
            <w:r>
              <w:rPr>
                <w:rFonts w:hint="eastAsia"/>
              </w:rPr>
              <w:t>支持报告解读二维码显示，用户扫描后可了解心电图科普。（提供软件截图）</w:t>
            </w:r>
          </w:p>
          <w:p>
            <w:pPr>
              <w:pStyle w:val="116"/>
              <w:ind w:firstLine="0" w:firstLineChars="0"/>
            </w:pPr>
          </w:p>
          <w:p>
            <w:pPr>
              <w:pStyle w:val="6"/>
              <w:numPr>
                <w:ilvl w:val="2"/>
                <w:numId w:val="0"/>
              </w:numPr>
              <w:tabs>
                <w:tab w:val="left" w:pos="0"/>
                <w:tab w:val="left" w:pos="720"/>
              </w:tabs>
            </w:pPr>
            <w:bookmarkStart w:id="152" w:name="_Toc21523"/>
            <w:bookmarkStart w:id="153" w:name="_Toc6452"/>
            <w:bookmarkStart w:id="154" w:name="_Toc2613"/>
            <w:bookmarkStart w:id="155" w:name="_Toc6774"/>
            <w:r>
              <w:rPr>
                <w:rFonts w:hint="eastAsia"/>
              </w:rPr>
              <w:t>（五）质控</w:t>
            </w:r>
            <w:bookmarkEnd w:id="152"/>
            <w:bookmarkEnd w:id="153"/>
            <w:bookmarkEnd w:id="154"/>
            <w:bookmarkEnd w:id="155"/>
          </w:p>
          <w:p>
            <w:pPr>
              <w:pStyle w:val="116"/>
              <w:ind w:firstLine="0" w:firstLineChars="0"/>
            </w:pPr>
            <w:bookmarkStart w:id="156" w:name="_Toc4286"/>
            <w:r>
              <w:rPr>
                <w:rFonts w:hint="eastAsia"/>
              </w:rPr>
              <w:t>2.</w:t>
            </w:r>
            <w:r>
              <w:t>3</w:t>
            </w:r>
            <w:r>
              <w:rPr>
                <w:rFonts w:hint="eastAsia"/>
              </w:rPr>
              <w:t>.38 支持采集质量智能分析，对心电图采集质量进行自动评判并直观展示。（</w:t>
            </w:r>
            <w:bookmarkEnd w:id="156"/>
            <w:r>
              <w:rPr>
                <w:rFonts w:hint="eastAsia"/>
              </w:rPr>
              <w:t>提供软件截图）</w:t>
            </w:r>
          </w:p>
          <w:p>
            <w:pPr>
              <w:pStyle w:val="116"/>
              <w:ind w:firstLine="0" w:firstLineChars="0"/>
            </w:pPr>
            <w:bookmarkStart w:id="157" w:name="_Toc6030"/>
            <w:r>
              <w:rPr>
                <w:rFonts w:hint="eastAsia"/>
              </w:rPr>
              <w:t>2.</w:t>
            </w:r>
            <w:r>
              <w:t>3</w:t>
            </w:r>
            <w:r>
              <w:rPr>
                <w:rFonts w:hint="eastAsia"/>
              </w:rPr>
              <w:t>.39 支持危急值病例质控</w:t>
            </w:r>
            <w:bookmarkEnd w:id="157"/>
            <w:r>
              <w:rPr>
                <w:rFonts w:hint="eastAsia"/>
              </w:rPr>
              <w:t>。</w:t>
            </w:r>
          </w:p>
          <w:p>
            <w:pPr>
              <w:pStyle w:val="116"/>
              <w:ind w:firstLine="0" w:firstLineChars="0"/>
            </w:pPr>
            <w:bookmarkStart w:id="158" w:name="_Toc32294"/>
            <w:r>
              <w:rPr>
                <w:rFonts w:hint="eastAsia"/>
              </w:rPr>
              <w:t>2.</w:t>
            </w:r>
            <w:r>
              <w:t>3</w:t>
            </w:r>
            <w:r>
              <w:rPr>
                <w:rFonts w:hint="eastAsia"/>
              </w:rPr>
              <w:t>.40</w:t>
            </w:r>
            <w:r>
              <w:t xml:space="preserve"> </w:t>
            </w:r>
            <w:r>
              <w:rPr>
                <w:rFonts w:hint="eastAsia"/>
              </w:rPr>
              <w:t>支持报告质量、报告时效质控。</w:t>
            </w:r>
            <w:bookmarkEnd w:id="158"/>
          </w:p>
          <w:p>
            <w:pPr>
              <w:pStyle w:val="116"/>
              <w:ind w:firstLine="0" w:firstLineChars="0"/>
            </w:pPr>
          </w:p>
          <w:p>
            <w:pPr>
              <w:pStyle w:val="6"/>
              <w:numPr>
                <w:ilvl w:val="2"/>
                <w:numId w:val="0"/>
              </w:numPr>
              <w:tabs>
                <w:tab w:val="left" w:pos="0"/>
                <w:tab w:val="left" w:pos="720"/>
              </w:tabs>
            </w:pPr>
            <w:bookmarkStart w:id="159" w:name="_Toc17796"/>
            <w:bookmarkStart w:id="160" w:name="_Toc2529"/>
            <w:bookmarkStart w:id="161" w:name="_Toc29122"/>
            <w:bookmarkStart w:id="162" w:name="_Toc23620"/>
            <w:r>
              <w:rPr>
                <w:rFonts w:hint="eastAsia"/>
              </w:rPr>
              <w:t>（六）统计、收藏</w:t>
            </w:r>
            <w:bookmarkEnd w:id="159"/>
            <w:bookmarkEnd w:id="160"/>
            <w:bookmarkEnd w:id="161"/>
            <w:bookmarkEnd w:id="162"/>
          </w:p>
          <w:p>
            <w:pPr>
              <w:pStyle w:val="116"/>
              <w:ind w:firstLine="0" w:firstLineChars="0"/>
            </w:pPr>
            <w:bookmarkStart w:id="163" w:name="_Toc9916"/>
            <w:r>
              <w:rPr>
                <w:rFonts w:hint="eastAsia"/>
              </w:rPr>
              <w:t>2.</w:t>
            </w:r>
            <w:r>
              <w:t>3</w:t>
            </w:r>
            <w:r>
              <w:rPr>
                <w:rFonts w:hint="eastAsia"/>
              </w:rPr>
              <w:t>.41</w:t>
            </w:r>
            <w:r>
              <w:t xml:space="preserve"> </w:t>
            </w:r>
            <w:r>
              <w:rPr>
                <w:rFonts w:hint="eastAsia"/>
              </w:rPr>
              <w:t>可进行工作量或阳性报告统计、阳性率计算显示；开放式的结构设计支持多种条件组合、各维度的申请单信息筛选统计</w:t>
            </w:r>
            <w:bookmarkEnd w:id="163"/>
            <w:bookmarkStart w:id="164" w:name="_Toc18125"/>
            <w:r>
              <w:rPr>
                <w:rFonts w:hint="eastAsia"/>
              </w:rPr>
              <w:t>，统计结果可生成图表，导出Excel文件。</w:t>
            </w:r>
            <w:bookmarkEnd w:id="164"/>
          </w:p>
          <w:p>
            <w:pPr>
              <w:pStyle w:val="116"/>
              <w:ind w:firstLine="0" w:firstLineChars="0"/>
            </w:pPr>
            <w:bookmarkStart w:id="165" w:name="_Toc22553"/>
            <w:r>
              <w:rPr>
                <w:rFonts w:hint="eastAsia"/>
              </w:rPr>
              <w:t>2.</w:t>
            </w:r>
            <w:r>
              <w:t>3</w:t>
            </w:r>
            <w:r>
              <w:rPr>
                <w:rFonts w:hint="eastAsia"/>
              </w:rPr>
              <w:t>.42</w:t>
            </w:r>
            <w:r>
              <w:t xml:space="preserve"> </w:t>
            </w:r>
            <w:r>
              <w:rPr>
                <w:rFonts w:hint="eastAsia"/>
              </w:rPr>
              <w:t>已收藏病例展示，可根据收藏类别进行筛选，可查看收藏病例的原始波形以及诊断信息，供学术研究、教学使用。</w:t>
            </w:r>
            <w:bookmarkEnd w:id="165"/>
          </w:p>
          <w:p>
            <w:pPr>
              <w:pStyle w:val="116"/>
              <w:ind w:firstLine="0" w:firstLineChars="0"/>
            </w:pPr>
            <w:bookmarkStart w:id="166" w:name="_Toc16363"/>
            <w:r>
              <w:rPr>
                <w:rFonts w:hint="eastAsia"/>
              </w:rPr>
              <w:t>2.</w:t>
            </w:r>
            <w:r>
              <w:t>3</w:t>
            </w:r>
            <w:r>
              <w:rPr>
                <w:rFonts w:hint="eastAsia"/>
              </w:rPr>
              <w:t>.43</w:t>
            </w:r>
            <w:r>
              <w:t xml:space="preserve"> </w:t>
            </w:r>
            <w:r>
              <w:rPr>
                <w:rFonts w:hint="eastAsia"/>
              </w:rPr>
              <w:t>支持按照公共、科室、个人三种级别收藏。（提供证明文件）</w:t>
            </w:r>
          </w:p>
          <w:p>
            <w:pPr>
              <w:pStyle w:val="116"/>
              <w:ind w:firstLine="0" w:firstLineChars="0"/>
            </w:pPr>
            <w:r>
              <w:rPr>
                <w:rFonts w:hint="eastAsia"/>
              </w:rPr>
              <w:t>2.</w:t>
            </w:r>
            <w:r>
              <w:t>3</w:t>
            </w:r>
            <w:r>
              <w:rPr>
                <w:rFonts w:hint="eastAsia"/>
              </w:rPr>
              <w:t>.44</w:t>
            </w:r>
            <w:r>
              <w:t xml:space="preserve"> </w:t>
            </w:r>
            <w:r>
              <w:rPr>
                <w:rFonts w:hint="eastAsia"/>
              </w:rPr>
              <w:t>支持按照室早、房早等诊断类别收藏。</w:t>
            </w:r>
          </w:p>
          <w:p>
            <w:pPr>
              <w:pStyle w:val="116"/>
              <w:ind w:firstLine="0" w:firstLineChars="0"/>
            </w:pPr>
            <w:r>
              <w:rPr>
                <w:rFonts w:hint="eastAsia"/>
              </w:rPr>
              <w:t>2.</w:t>
            </w:r>
            <w:r>
              <w:t>3</w:t>
            </w:r>
            <w:r>
              <w:rPr>
                <w:rFonts w:hint="eastAsia"/>
              </w:rPr>
              <w:t>.45</w:t>
            </w:r>
            <w:r>
              <w:t xml:space="preserve"> </w:t>
            </w:r>
            <w:r>
              <w:rPr>
                <w:rFonts w:hint="eastAsia"/>
              </w:rPr>
              <w:t>支持静态心电、动态心电、动态血压等类型收藏。</w:t>
            </w:r>
            <w:bookmarkEnd w:id="166"/>
          </w:p>
          <w:p>
            <w:pPr>
              <w:pStyle w:val="5"/>
              <w:numPr>
                <w:ilvl w:val="1"/>
                <w:numId w:val="44"/>
              </w:numPr>
              <w:spacing w:before="260" w:after="260" w:line="413" w:lineRule="auto"/>
              <w:jc w:val="both"/>
            </w:pPr>
            <w:bookmarkStart w:id="167" w:name="_Toc13653"/>
            <w:bookmarkStart w:id="168" w:name="_Toc10018"/>
            <w:bookmarkStart w:id="169" w:name="_Toc19540"/>
            <w:bookmarkStart w:id="170" w:name="_Toc9414"/>
            <w:r>
              <w:rPr>
                <w:rFonts w:hint="eastAsia"/>
              </w:rPr>
              <w:t xml:space="preserve"> 会诊</w:t>
            </w:r>
            <w:bookmarkEnd w:id="167"/>
            <w:bookmarkEnd w:id="168"/>
            <w:bookmarkEnd w:id="169"/>
            <w:bookmarkEnd w:id="170"/>
          </w:p>
          <w:p>
            <w:pPr>
              <w:pStyle w:val="116"/>
              <w:numPr>
                <w:ilvl w:val="255"/>
                <w:numId w:val="0"/>
              </w:numPr>
            </w:pPr>
            <w:bookmarkStart w:id="171" w:name="_Toc4849"/>
            <w:r>
              <w:rPr>
                <w:rFonts w:hint="eastAsia"/>
              </w:rPr>
              <w:t>2.4.1 支持静态心电、动态心电、动态血压等多种类型的远程会诊。</w:t>
            </w:r>
            <w:bookmarkEnd w:id="171"/>
          </w:p>
          <w:p>
            <w:pPr>
              <w:pStyle w:val="116"/>
              <w:numPr>
                <w:ilvl w:val="255"/>
                <w:numId w:val="0"/>
              </w:numPr>
            </w:pPr>
            <w:r>
              <w:rPr>
                <w:rFonts w:hint="eastAsia"/>
              </w:rPr>
              <w:t xml:space="preserve">*2.4.2 </w:t>
            </w:r>
            <w:r>
              <w:rPr>
                <w:rFonts w:hint="eastAsia" w:ascii="宋体" w:hAnsi="宋体"/>
                <w:szCs w:val="21"/>
              </w:rPr>
              <w:t>支持全科会诊功能，</w:t>
            </w:r>
            <w:r>
              <w:rPr>
                <w:rFonts w:hint="eastAsia"/>
              </w:rPr>
              <w:t>便于医生更全面的了解病人的血氧、心电、血压、体温、血糖、血脂、尿液、胎监等各项生命体征。（提供软件截图</w:t>
            </w:r>
            <w:r>
              <w:t>）</w:t>
            </w:r>
          </w:p>
          <w:p>
            <w:pPr>
              <w:pStyle w:val="116"/>
              <w:ind w:firstLine="0" w:firstLineChars="0"/>
            </w:pPr>
            <w:bookmarkStart w:id="172" w:name="_Toc16275"/>
            <w:r>
              <w:t>*</w:t>
            </w:r>
            <w:r>
              <w:rPr>
                <w:rFonts w:hint="eastAsia"/>
              </w:rPr>
              <w:t>2.</w:t>
            </w:r>
            <w:r>
              <w:t>4.</w:t>
            </w:r>
            <w:r>
              <w:rPr>
                <w:rFonts w:hint="eastAsia"/>
              </w:rPr>
              <w:t>3</w:t>
            </w:r>
            <w:r>
              <w:t xml:space="preserve"> </w:t>
            </w:r>
            <w:r>
              <w:rPr>
                <w:rFonts w:hint="eastAsia"/>
              </w:rPr>
              <w:t>满足医院多种会诊场景需求，可跨服务器会诊，支持多级会诊。</w:t>
            </w:r>
            <w:bookmarkEnd w:id="172"/>
            <w:r>
              <w:t>（</w:t>
            </w:r>
            <w:r>
              <w:rPr>
                <w:rFonts w:hint="eastAsia"/>
              </w:rPr>
              <w:t>提供相关证明文件</w:t>
            </w:r>
            <w:r>
              <w:t>）</w:t>
            </w:r>
          </w:p>
          <w:p>
            <w:pPr>
              <w:pStyle w:val="116"/>
              <w:ind w:firstLine="0" w:firstLineChars="0"/>
            </w:pPr>
          </w:p>
          <w:p>
            <w:pPr>
              <w:pStyle w:val="5"/>
              <w:numPr>
                <w:ilvl w:val="1"/>
                <w:numId w:val="44"/>
              </w:numPr>
              <w:spacing w:before="260" w:after="260" w:line="413" w:lineRule="auto"/>
              <w:ind w:left="0" w:firstLine="0"/>
              <w:jc w:val="both"/>
            </w:pPr>
            <w:bookmarkStart w:id="173" w:name="_Toc6037"/>
            <w:bookmarkStart w:id="174" w:name="_Toc20119"/>
            <w:bookmarkStart w:id="175" w:name="_Toc23955"/>
            <w:r>
              <w:rPr>
                <w:rFonts w:hint="eastAsia"/>
              </w:rPr>
              <w:t xml:space="preserve"> 业务监控台</w:t>
            </w:r>
            <w:bookmarkEnd w:id="173"/>
            <w:bookmarkEnd w:id="174"/>
            <w:bookmarkEnd w:id="175"/>
          </w:p>
          <w:p>
            <w:pPr>
              <w:pStyle w:val="116"/>
              <w:ind w:firstLine="0" w:firstLineChars="0"/>
            </w:pPr>
            <w:bookmarkStart w:id="176" w:name="_Toc2670"/>
            <w:r>
              <w:rPr>
                <w:rFonts w:hint="eastAsia"/>
              </w:rPr>
              <w:t>2.</w:t>
            </w:r>
            <w:r>
              <w:t>5</w:t>
            </w:r>
            <w:r>
              <w:rPr>
                <w:rFonts w:hint="eastAsia"/>
              </w:rPr>
              <w:t>.</w:t>
            </w:r>
            <w:r>
              <w:t>1</w:t>
            </w:r>
            <w:r>
              <w:rPr>
                <w:rFonts w:hint="eastAsia"/>
              </w:rPr>
              <w:t>支持区域机构业务详情实时图表化展示。</w:t>
            </w:r>
            <w:bookmarkEnd w:id="176"/>
          </w:p>
          <w:p>
            <w:pPr>
              <w:pStyle w:val="14"/>
            </w:pPr>
            <w:r>
              <w:rPr>
                <w:rFonts w:hint="eastAsia"/>
              </w:rPr>
              <w:t>2.</w:t>
            </w:r>
            <w:r>
              <w:t>5</w:t>
            </w:r>
            <w:r>
              <w:rPr>
                <w:rFonts w:hint="eastAsia"/>
              </w:rPr>
              <w:t>.</w:t>
            </w:r>
            <w:r>
              <w:t xml:space="preserve">2 </w:t>
            </w:r>
            <w:r>
              <w:rPr>
                <w:rFonts w:hint="eastAsia"/>
              </w:rPr>
              <w:t>支持业务监控大数据实时展示，提供标准版本的数据显示，包括但不限于历史累计/今日诊断总量、业务排名、业务趋势、业务时效、诊断分级、危急提醒、诊断超时、检查量分布等数据展示，可根据医院具体定制。</w:t>
            </w:r>
            <w:r>
              <w:t>（</w:t>
            </w:r>
            <w:r>
              <w:rPr>
                <w:rFonts w:hint="eastAsia"/>
              </w:rPr>
              <w:t>提供软件截图</w:t>
            </w:r>
            <w:r>
              <w:t>）</w:t>
            </w:r>
            <w:bookmarkStart w:id="177" w:name="_Toc19304"/>
            <w:bookmarkStart w:id="178" w:name="_Toc9876"/>
            <w:bookmarkStart w:id="179" w:name="_Toc12903"/>
            <w:bookmarkStart w:id="180" w:name="_Toc3506"/>
            <w:bookmarkStart w:id="181" w:name="_Toc25339"/>
            <w:bookmarkStart w:id="182" w:name="_Toc15465"/>
          </w:p>
          <w:p>
            <w:pPr>
              <w:pStyle w:val="116"/>
              <w:ind w:firstLine="0" w:firstLineChars="0"/>
            </w:pPr>
          </w:p>
          <w:p>
            <w:pPr>
              <w:pStyle w:val="4"/>
              <w:numPr>
                <w:ilvl w:val="0"/>
                <w:numId w:val="43"/>
              </w:numPr>
              <w:spacing w:before="340" w:after="330"/>
              <w:jc w:val="both"/>
              <w:rPr>
                <w:rFonts w:ascii="宋体" w:hAnsi="宋体"/>
                <w:sz w:val="21"/>
                <w:szCs w:val="21"/>
              </w:rPr>
            </w:pPr>
            <w:r>
              <w:rPr>
                <w:rFonts w:hint="eastAsia" w:ascii="宋体" w:hAnsi="宋体"/>
                <w:sz w:val="21"/>
                <w:szCs w:val="21"/>
              </w:rPr>
              <w:t>选配模块：支持多种配置项搭配使用</w:t>
            </w:r>
            <w:bookmarkEnd w:id="177"/>
            <w:bookmarkEnd w:id="178"/>
            <w:bookmarkEnd w:id="179"/>
            <w:bookmarkEnd w:id="180"/>
            <w:bookmarkEnd w:id="181"/>
            <w:bookmarkEnd w:id="182"/>
          </w:p>
          <w:p>
            <w:pPr>
              <w:pStyle w:val="5"/>
              <w:numPr>
                <w:ilvl w:val="1"/>
                <w:numId w:val="45"/>
              </w:numPr>
              <w:spacing w:before="260" w:after="260" w:line="413" w:lineRule="auto"/>
              <w:jc w:val="both"/>
            </w:pPr>
            <w:bookmarkStart w:id="183" w:name="_Toc26845"/>
            <w:bookmarkStart w:id="184" w:name="_Toc28650"/>
            <w:bookmarkStart w:id="185" w:name="_Toc19464"/>
            <w:bookmarkStart w:id="186" w:name="_Toc17304"/>
            <w:bookmarkStart w:id="187" w:name="_Toc20089"/>
            <w:r>
              <w:rPr>
                <w:rFonts w:hint="eastAsia"/>
              </w:rPr>
              <w:t xml:space="preserve"> 移动云诊</w:t>
            </w:r>
            <w:bookmarkEnd w:id="183"/>
            <w:bookmarkEnd w:id="184"/>
            <w:bookmarkEnd w:id="185"/>
            <w:r>
              <w:rPr>
                <w:rFonts w:hint="eastAsia"/>
              </w:rPr>
              <w:t>（静态诊断）</w:t>
            </w:r>
            <w:bookmarkEnd w:id="186"/>
            <w:bookmarkEnd w:id="187"/>
          </w:p>
          <w:p>
            <w:pPr>
              <w:pStyle w:val="116"/>
              <w:ind w:firstLine="0" w:firstLineChars="0"/>
            </w:pPr>
            <w:bookmarkStart w:id="188" w:name="_Toc16561"/>
            <w:r>
              <w:rPr>
                <w:rFonts w:hint="eastAsia"/>
              </w:rPr>
              <w:t>3.</w:t>
            </w:r>
            <w:r>
              <w:t>1</w:t>
            </w:r>
            <w:r>
              <w:rPr>
                <w:rFonts w:hint="eastAsia"/>
              </w:rPr>
              <w:t>.</w:t>
            </w:r>
            <w:r>
              <w:t xml:space="preserve">1 </w:t>
            </w:r>
            <w:r>
              <w:rPr>
                <w:rFonts w:hint="eastAsia"/>
              </w:rPr>
              <w:t>支持在智能终端设备（手机/平板）上移动诊断，支持iOS及安卓系统</w:t>
            </w:r>
            <w:r>
              <w:t>，</w:t>
            </w:r>
            <w:r>
              <w:rPr>
                <w:rFonts w:hint="eastAsia"/>
              </w:rPr>
              <w:t>便于医生随时随地进行心电图的诊断或会诊并预览报告。</w:t>
            </w:r>
            <w:bookmarkEnd w:id="188"/>
            <w:r>
              <w:rPr>
                <w:rFonts w:hint="eastAsia"/>
              </w:rPr>
              <w:t>（提供软件截图）</w:t>
            </w:r>
          </w:p>
          <w:p>
            <w:pPr>
              <w:pStyle w:val="116"/>
              <w:ind w:firstLine="0" w:firstLineChars="0"/>
              <w:rPr>
                <w:rFonts w:ascii="宋体" w:hAnsi="宋体"/>
                <w:szCs w:val="21"/>
              </w:rPr>
            </w:pPr>
            <w:bookmarkStart w:id="189" w:name="_Toc20104"/>
            <w:r>
              <w:rPr>
                <w:rFonts w:hint="eastAsia"/>
              </w:rPr>
              <w:t>3.</w:t>
            </w:r>
            <w:r>
              <w:t>1</w:t>
            </w:r>
            <w:r>
              <w:rPr>
                <w:rFonts w:hint="eastAsia"/>
              </w:rPr>
              <w:t>.</w:t>
            </w:r>
            <w:r>
              <w:t xml:space="preserve">2 </w:t>
            </w:r>
            <w:r>
              <w:rPr>
                <w:rFonts w:hint="eastAsia"/>
              </w:rPr>
              <w:t>支持</w:t>
            </w:r>
            <w:r>
              <w:rPr>
                <w:rFonts w:hint="eastAsia" w:ascii="宋体" w:hAnsi="宋体"/>
                <w:szCs w:val="21"/>
              </w:rPr>
              <w:t>消息推送通知，展示推送消息内容</w:t>
            </w:r>
            <w:bookmarkEnd w:id="189"/>
            <w:r>
              <w:rPr>
                <w:rFonts w:hint="eastAsia" w:ascii="宋体" w:hAnsi="宋体"/>
                <w:szCs w:val="21"/>
              </w:rPr>
              <w:t>，</w:t>
            </w:r>
            <w:r>
              <w:rPr>
                <w:rFonts w:hint="eastAsia"/>
              </w:rPr>
              <w:t>系统有未诊断申请单时，可以及时收到消息提醒。</w:t>
            </w:r>
          </w:p>
          <w:p>
            <w:pPr>
              <w:pStyle w:val="116"/>
              <w:ind w:firstLine="0" w:firstLineChars="0"/>
            </w:pPr>
            <w:r>
              <w:rPr>
                <w:rFonts w:hint="eastAsia"/>
              </w:rPr>
              <w:t>3.</w:t>
            </w:r>
            <w:r>
              <w:t>1</w:t>
            </w:r>
            <w:r>
              <w:rPr>
                <w:rFonts w:hint="eastAsia"/>
              </w:rPr>
              <w:t>.</w:t>
            </w:r>
            <w:r>
              <w:t>3</w:t>
            </w:r>
            <w:r>
              <w:rPr>
                <w:rFonts w:hint="eastAsia"/>
              </w:rPr>
              <w:t>支持波形放大</w:t>
            </w:r>
            <w:r>
              <w:t>、</w:t>
            </w:r>
            <w:r>
              <w:rPr>
                <w:rFonts w:hint="eastAsia"/>
              </w:rPr>
              <w:t>测量</w:t>
            </w:r>
            <w:r>
              <w:t>、</w:t>
            </w:r>
            <w:r>
              <w:rPr>
                <w:rFonts w:hint="eastAsia"/>
              </w:rPr>
              <w:t>波形水平、垂直滚动。</w:t>
            </w:r>
          </w:p>
          <w:p>
            <w:pPr>
              <w:pStyle w:val="116"/>
              <w:ind w:firstLine="0" w:firstLineChars="0"/>
            </w:pPr>
            <w:r>
              <w:rPr>
                <w:rFonts w:hint="eastAsia"/>
              </w:rPr>
              <w:t>3.</w:t>
            </w:r>
            <w:r>
              <w:t>1</w:t>
            </w:r>
            <w:r>
              <w:rPr>
                <w:rFonts w:hint="eastAsia"/>
              </w:rPr>
              <w:t>.</w:t>
            </w:r>
            <w:r>
              <w:t>4</w:t>
            </w:r>
            <w:r>
              <w:rPr>
                <w:rFonts w:hint="eastAsia"/>
              </w:rPr>
              <w:t>支持增益调整</w:t>
            </w:r>
            <w:r>
              <w:t>，</w:t>
            </w:r>
            <w:r>
              <w:rPr>
                <w:rFonts w:hint="eastAsia"/>
              </w:rPr>
              <w:t>支持导联布局调整。</w:t>
            </w:r>
          </w:p>
          <w:p>
            <w:pPr>
              <w:pStyle w:val="116"/>
              <w:ind w:firstLine="0" w:firstLineChars="0"/>
            </w:pPr>
            <w:r>
              <w:rPr>
                <w:rFonts w:hint="eastAsia"/>
              </w:rPr>
              <w:t>3.</w:t>
            </w:r>
            <w:r>
              <w:t>1</w:t>
            </w:r>
            <w:r>
              <w:rPr>
                <w:rFonts w:hint="eastAsia"/>
              </w:rPr>
              <w:t>.</w:t>
            </w:r>
            <w:r>
              <w:t>5 内置诊断术语库，</w:t>
            </w:r>
            <w:r>
              <w:rPr>
                <w:rFonts w:hint="eastAsia"/>
              </w:rPr>
              <w:t>支持报告模板编辑。</w:t>
            </w:r>
          </w:p>
          <w:p>
            <w:pPr>
              <w:pStyle w:val="14"/>
            </w:pPr>
            <w:r>
              <w:rPr>
                <w:rFonts w:hint="eastAsia"/>
              </w:rPr>
              <w:t>3.</w:t>
            </w:r>
            <w:r>
              <w:t>1</w:t>
            </w:r>
            <w:r>
              <w:rPr>
                <w:rFonts w:hint="eastAsia"/>
              </w:rPr>
              <w:t>.</w:t>
            </w:r>
            <w:r>
              <w:t>6</w:t>
            </w:r>
            <w:r>
              <w:rPr>
                <w:rFonts w:hint="eastAsia"/>
              </w:rPr>
              <w:t>支持心电数据重分析功能。</w:t>
            </w:r>
          </w:p>
          <w:p>
            <w:pPr>
              <w:pStyle w:val="14"/>
            </w:pPr>
            <w:r>
              <w:rPr>
                <w:rFonts w:hint="eastAsia"/>
              </w:rPr>
              <w:t xml:space="preserve">3.1.7 </w:t>
            </w:r>
            <w:r>
              <w:t>具有纠正导联接错的修复功能，</w:t>
            </w:r>
            <w:r>
              <w:rPr>
                <w:rFonts w:hint="eastAsia"/>
              </w:rPr>
              <w:t>如左右手、右手左脚、胸导电极反转，</w:t>
            </w:r>
            <w:r>
              <w:t>无需重新采集心电。</w:t>
            </w:r>
          </w:p>
          <w:p>
            <w:pPr>
              <w:pStyle w:val="5"/>
              <w:numPr>
                <w:ilvl w:val="1"/>
                <w:numId w:val="45"/>
              </w:numPr>
              <w:spacing w:before="260" w:after="260" w:line="413" w:lineRule="auto"/>
              <w:jc w:val="both"/>
            </w:pPr>
            <w:bookmarkStart w:id="190" w:name="_Toc23737"/>
            <w:bookmarkStart w:id="191" w:name="_Toc14517"/>
            <w:bookmarkStart w:id="192" w:name="_Toc27467"/>
            <w:bookmarkStart w:id="193" w:name="_Toc14225"/>
            <w:bookmarkStart w:id="194" w:name="_Toc18932"/>
            <w:r>
              <w:rPr>
                <w:rFonts w:hint="eastAsia"/>
              </w:rPr>
              <w:t xml:space="preserve"> 自助登记、叫号、自助打印</w:t>
            </w:r>
            <w:bookmarkEnd w:id="190"/>
            <w:bookmarkEnd w:id="191"/>
            <w:bookmarkEnd w:id="192"/>
            <w:bookmarkEnd w:id="193"/>
            <w:bookmarkEnd w:id="194"/>
          </w:p>
          <w:p>
            <w:pPr>
              <w:pStyle w:val="116"/>
              <w:ind w:firstLine="0" w:firstLineChars="0"/>
            </w:pPr>
            <w:bookmarkStart w:id="195" w:name="_Toc7992"/>
            <w:r>
              <w:rPr>
                <w:rFonts w:hint="eastAsia"/>
              </w:rPr>
              <w:t>3.</w:t>
            </w:r>
            <w:r>
              <w:t>2</w:t>
            </w:r>
            <w:r>
              <w:rPr>
                <w:rFonts w:hint="eastAsia"/>
              </w:rPr>
              <w:t>.</w:t>
            </w:r>
            <w:r>
              <w:t xml:space="preserve">1 </w:t>
            </w:r>
            <w:r>
              <w:rPr>
                <w:rFonts w:hint="eastAsia"/>
              </w:rPr>
              <w:t>支持接入一维条形码、二维码扫描器、主流读卡器（身份证、社保卡、就诊卡等）直接获取号码。</w:t>
            </w:r>
            <w:bookmarkEnd w:id="195"/>
          </w:p>
          <w:p>
            <w:pPr>
              <w:pStyle w:val="116"/>
              <w:ind w:firstLine="0" w:firstLineChars="0"/>
            </w:pPr>
            <w:bookmarkStart w:id="196" w:name="_Toc31512"/>
            <w:r>
              <w:rPr>
                <w:rFonts w:hint="eastAsia"/>
              </w:rPr>
              <w:t>3.</w:t>
            </w:r>
            <w:r>
              <w:t>2</w:t>
            </w:r>
            <w:r>
              <w:rPr>
                <w:rFonts w:hint="eastAsia"/>
              </w:rPr>
              <w:t>.</w:t>
            </w:r>
            <w:r>
              <w:t xml:space="preserve">2 </w:t>
            </w:r>
            <w:r>
              <w:rPr>
                <w:rFonts w:hint="eastAsia"/>
              </w:rPr>
              <w:t>支持电子排队叫号功能，可自定义叫号语速、语言，特定人群可优先叫号，且排队信息可视化。</w:t>
            </w:r>
            <w:bookmarkEnd w:id="196"/>
          </w:p>
          <w:p>
            <w:pPr>
              <w:pStyle w:val="116"/>
              <w:ind w:firstLine="0" w:firstLineChars="0"/>
            </w:pPr>
            <w:r>
              <w:rPr>
                <w:rFonts w:hint="eastAsia"/>
              </w:rPr>
              <w:t>3.</w:t>
            </w:r>
            <w:r>
              <w:t>2</w:t>
            </w:r>
            <w:r>
              <w:rPr>
                <w:rFonts w:hint="eastAsia"/>
              </w:rPr>
              <w:t>.</w:t>
            </w:r>
            <w:r>
              <w:t xml:space="preserve">3 </w:t>
            </w:r>
            <w:r>
              <w:rPr>
                <w:rFonts w:hint="eastAsia"/>
              </w:rPr>
              <w:t>支持过号处理，具备二次登记功能。</w:t>
            </w:r>
          </w:p>
          <w:p>
            <w:pPr>
              <w:pStyle w:val="116"/>
              <w:ind w:firstLine="0" w:firstLineChars="0"/>
              <w:rPr>
                <w:rFonts w:ascii="宋体" w:hAnsi="宋体"/>
                <w:szCs w:val="21"/>
              </w:rPr>
            </w:pPr>
            <w:bookmarkStart w:id="197" w:name="_Toc30385"/>
            <w:r>
              <w:rPr>
                <w:rFonts w:hint="eastAsia"/>
              </w:rPr>
              <w:t>3.</w:t>
            </w:r>
            <w:r>
              <w:t>2</w:t>
            </w:r>
            <w:r>
              <w:rPr>
                <w:rFonts w:hint="eastAsia"/>
              </w:rPr>
              <w:t>.</w:t>
            </w:r>
            <w:r>
              <w:t xml:space="preserve">4 </w:t>
            </w:r>
            <w:r>
              <w:rPr>
                <w:rFonts w:hint="eastAsia"/>
              </w:rPr>
              <w:t>支持患者自</w:t>
            </w:r>
            <w:r>
              <w:rPr>
                <w:rFonts w:hint="eastAsia" w:ascii="宋体" w:hAnsi="宋体"/>
                <w:szCs w:val="21"/>
              </w:rPr>
              <w:t>助取号、自助打印，减少人工成本。</w:t>
            </w:r>
            <w:bookmarkEnd w:id="197"/>
          </w:p>
          <w:p>
            <w:pPr>
              <w:pStyle w:val="5"/>
              <w:numPr>
                <w:ilvl w:val="1"/>
                <w:numId w:val="45"/>
              </w:numPr>
              <w:spacing w:before="260" w:after="260" w:line="413" w:lineRule="auto"/>
              <w:jc w:val="both"/>
            </w:pPr>
            <w:bookmarkStart w:id="198" w:name="_Toc13228"/>
            <w:bookmarkStart w:id="199" w:name="_Toc23178"/>
            <w:bookmarkStart w:id="200" w:name="_Toc9304"/>
            <w:bookmarkStart w:id="201" w:name="_Toc25783"/>
            <w:r>
              <w:rPr>
                <w:rFonts w:hint="eastAsia"/>
              </w:rPr>
              <w:t xml:space="preserve"> 第三方电生理设备</w:t>
            </w:r>
            <w:bookmarkEnd w:id="198"/>
            <w:bookmarkEnd w:id="199"/>
            <w:bookmarkEnd w:id="200"/>
            <w:bookmarkEnd w:id="201"/>
          </w:p>
          <w:p>
            <w:pPr>
              <w:pStyle w:val="116"/>
              <w:ind w:firstLine="0" w:firstLineChars="0"/>
            </w:pPr>
            <w:bookmarkStart w:id="202" w:name="_Toc5400"/>
            <w:r>
              <w:rPr>
                <w:rFonts w:hint="eastAsia"/>
              </w:rPr>
              <w:t>3.3.1支持集成电生理系统，包含但不限于动态心电、动态血压</w:t>
            </w:r>
            <w:r>
              <w:t>、</w:t>
            </w:r>
            <w:r>
              <w:rPr>
                <w:rFonts w:hint="eastAsia"/>
              </w:rPr>
              <w:t>脑电图</w:t>
            </w:r>
            <w:r>
              <w:t>、</w:t>
            </w:r>
            <w:r>
              <w:rPr>
                <w:rFonts w:hint="eastAsia"/>
              </w:rPr>
              <w:t>肺功能</w:t>
            </w:r>
            <w:r>
              <w:t>、</w:t>
            </w:r>
            <w:r>
              <w:rPr>
                <w:rFonts w:hint="eastAsia"/>
              </w:rPr>
              <w:t>骨密度仪</w:t>
            </w:r>
            <w:r>
              <w:t>、</w:t>
            </w:r>
            <w:r>
              <w:rPr>
                <w:rFonts w:hint="eastAsia"/>
              </w:rPr>
              <w:t>经颅多普勒（</w:t>
            </w:r>
            <w:r>
              <w:t>TCD</w:t>
            </w:r>
            <w:r>
              <w:rPr>
                <w:rFonts w:hint="eastAsia"/>
              </w:rPr>
              <w:t>）等电生理设备接入</w:t>
            </w:r>
            <w:r>
              <w:t>，</w:t>
            </w:r>
            <w:r>
              <w:rPr>
                <w:rFonts w:hint="eastAsia"/>
              </w:rPr>
              <w:t>支持信息提取、内容填充、信息注入等功能，报告支持填充自定义信息。</w:t>
            </w:r>
            <w:bookmarkEnd w:id="202"/>
            <w:r>
              <w:rPr>
                <w:rFonts w:hint="eastAsia"/>
              </w:rPr>
              <w:t>（提供检验报告复印件）</w:t>
            </w:r>
          </w:p>
          <w:p>
            <w:pPr>
              <w:rPr>
                <w:rFonts w:ascii="仿宋" w:hAnsi="仿宋" w:eastAsia="仿宋" w:cs="仿宋"/>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0" w:hRule="atLeast"/>
        </w:trPr>
        <w:tc>
          <w:tcPr>
            <w:tcW w:w="2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3</w:t>
            </w:r>
          </w:p>
        </w:tc>
        <w:tc>
          <w:tcPr>
            <w:tcW w:w="4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二级甲医院机房建设方案参数</w:t>
            </w:r>
          </w:p>
        </w:tc>
        <w:tc>
          <w:tcPr>
            <w:tcW w:w="2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套</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3615" w:type="pct"/>
            <w:tcBorders>
              <w:top w:val="single" w:color="000000" w:sz="4" w:space="0"/>
              <w:left w:val="single" w:color="000000" w:sz="4" w:space="0"/>
              <w:bottom w:val="single" w:color="000000" w:sz="4" w:space="0"/>
              <w:right w:val="single" w:color="000000" w:sz="4" w:space="0"/>
            </w:tcBorders>
            <w:vAlign w:val="center"/>
          </w:tcPr>
          <w:tbl>
            <w:tblPr>
              <w:tblStyle w:val="40"/>
              <w:tblW w:w="9440" w:type="dxa"/>
              <w:tblInd w:w="0" w:type="dxa"/>
              <w:tblLayout w:type="autofit"/>
              <w:tblCellMar>
                <w:top w:w="0" w:type="dxa"/>
                <w:left w:w="108" w:type="dxa"/>
                <w:bottom w:w="0" w:type="dxa"/>
                <w:right w:w="108" w:type="dxa"/>
              </w:tblCellMar>
            </w:tblPr>
            <w:tblGrid>
              <w:gridCol w:w="592"/>
              <w:gridCol w:w="1947"/>
              <w:gridCol w:w="3674"/>
              <w:gridCol w:w="655"/>
              <w:gridCol w:w="717"/>
            </w:tblGrid>
            <w:tr>
              <w:tblPrEx>
                <w:tblCellMar>
                  <w:top w:w="0" w:type="dxa"/>
                  <w:left w:w="108" w:type="dxa"/>
                  <w:bottom w:w="0" w:type="dxa"/>
                  <w:right w:w="108" w:type="dxa"/>
                </w:tblCellMar>
              </w:tblPrEx>
              <w:trPr>
                <w:trHeight w:val="210" w:hRule="atLeast"/>
              </w:trPr>
              <w:tc>
                <w:tcPr>
                  <w:tcW w:w="70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 w:val="16"/>
                      <w:szCs w:val="16"/>
                      <w:lang w:bidi="ug-CN"/>
                    </w:rPr>
                  </w:pPr>
                  <w:r>
                    <w:rPr>
                      <w:rFonts w:hint="eastAsia" w:ascii="宋体" w:hAnsi="宋体" w:cs="宋体"/>
                      <w:b/>
                      <w:bCs/>
                      <w:kern w:val="0"/>
                      <w:sz w:val="16"/>
                      <w:szCs w:val="16"/>
                      <w:lang w:bidi="ug-CN"/>
                    </w:rPr>
                    <w:t>序号</w:t>
                  </w:r>
                </w:p>
              </w:tc>
              <w:tc>
                <w:tcPr>
                  <w:tcW w:w="24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 w:val="16"/>
                      <w:szCs w:val="16"/>
                      <w:lang w:bidi="ug-CN"/>
                    </w:rPr>
                  </w:pPr>
                  <w:r>
                    <w:rPr>
                      <w:rFonts w:hint="eastAsia" w:ascii="宋体" w:hAnsi="宋体" w:cs="宋体"/>
                      <w:b/>
                      <w:bCs/>
                      <w:kern w:val="0"/>
                      <w:sz w:val="16"/>
                      <w:szCs w:val="16"/>
                      <w:lang w:bidi="ug-CN"/>
                    </w:rPr>
                    <w:t>名称</w:t>
                  </w:r>
                </w:p>
              </w:tc>
              <w:tc>
                <w:tcPr>
                  <w:tcW w:w="466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 w:val="16"/>
                      <w:szCs w:val="16"/>
                      <w:lang w:bidi="ug-CN"/>
                    </w:rPr>
                  </w:pPr>
                  <w:r>
                    <w:rPr>
                      <w:rFonts w:hint="eastAsia" w:ascii="宋体" w:hAnsi="宋体" w:cs="宋体"/>
                      <w:b/>
                      <w:bCs/>
                      <w:kern w:val="0"/>
                      <w:sz w:val="16"/>
                      <w:szCs w:val="16"/>
                      <w:lang w:bidi="ug-CN"/>
                    </w:rPr>
                    <w:t>规格</w:t>
                  </w:r>
                </w:p>
              </w:tc>
              <w:tc>
                <w:tcPr>
                  <w:tcW w:w="78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 w:val="16"/>
                      <w:szCs w:val="16"/>
                      <w:lang w:bidi="ug-CN"/>
                    </w:rPr>
                  </w:pPr>
                  <w:r>
                    <w:rPr>
                      <w:rFonts w:hint="eastAsia" w:ascii="宋体" w:hAnsi="宋体" w:cs="宋体"/>
                      <w:b/>
                      <w:bCs/>
                      <w:kern w:val="0"/>
                      <w:sz w:val="16"/>
                      <w:szCs w:val="16"/>
                      <w:lang w:bidi="ug-CN"/>
                    </w:rPr>
                    <w:t>数量</w:t>
                  </w:r>
                </w:p>
              </w:tc>
              <w:tc>
                <w:tcPr>
                  <w:tcW w:w="86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 w:val="16"/>
                      <w:szCs w:val="16"/>
                      <w:lang w:bidi="ug-CN"/>
                    </w:rPr>
                  </w:pPr>
                  <w:r>
                    <w:rPr>
                      <w:rFonts w:hint="eastAsia" w:ascii="宋体" w:hAnsi="宋体" w:cs="宋体"/>
                      <w:b/>
                      <w:bCs/>
                      <w:kern w:val="0"/>
                      <w:sz w:val="16"/>
                      <w:szCs w:val="16"/>
                      <w:lang w:bidi="ug-CN"/>
                    </w:rPr>
                    <w:t>单位</w:t>
                  </w:r>
                </w:p>
              </w:tc>
            </w:tr>
            <w:tr>
              <w:tblPrEx>
                <w:tblCellMar>
                  <w:top w:w="0" w:type="dxa"/>
                  <w:left w:w="108" w:type="dxa"/>
                  <w:bottom w:w="0" w:type="dxa"/>
                  <w:right w:w="108" w:type="dxa"/>
                </w:tblCellMar>
              </w:tblPrEx>
              <w:trPr>
                <w:trHeight w:val="210" w:hRule="atLeast"/>
              </w:trPr>
              <w:tc>
                <w:tcPr>
                  <w:tcW w:w="944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b/>
                      <w:bCs/>
                      <w:color w:val="000000"/>
                      <w:kern w:val="0"/>
                      <w:sz w:val="16"/>
                      <w:szCs w:val="16"/>
                      <w:lang w:bidi="ug-CN"/>
                    </w:rPr>
                  </w:pPr>
                  <w:r>
                    <w:rPr>
                      <w:rFonts w:hint="eastAsia" w:ascii="宋体" w:hAnsi="宋体" w:cs="宋体"/>
                      <w:b/>
                      <w:bCs/>
                      <w:color w:val="000000"/>
                      <w:kern w:val="0"/>
                      <w:sz w:val="15"/>
                      <w:szCs w:val="15"/>
                      <w:lang w:bidi="ug-CN"/>
                    </w:rPr>
                    <w:t>机房装修：地面（防静电地板）、顶面（吊顶）、墙面（刷漆）</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玻璃隔断</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钢化玻璃不锈钢收边（含方钢及H钢）</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16</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平方米</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机房迁移、网络迁移</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次</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3</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静电地板</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600*600，瓷面</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40</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平方米</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4</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监控</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全彩半球摄像机</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个</w:t>
                  </w:r>
                </w:p>
              </w:tc>
            </w:tr>
            <w:tr>
              <w:tblPrEx>
                <w:tblCellMar>
                  <w:top w:w="0" w:type="dxa"/>
                  <w:left w:w="108" w:type="dxa"/>
                  <w:bottom w:w="0" w:type="dxa"/>
                  <w:right w:w="108" w:type="dxa"/>
                </w:tblCellMar>
              </w:tblPrEx>
              <w:trPr>
                <w:trHeight w:val="277"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录像机</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海康DS-7808N-K2/8N</w:t>
                  </w:r>
                </w:p>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8路2盘位</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台</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6</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硬盘</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6T监控硬盘</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块</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7</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机柜</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42U服务器机柜</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3</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台</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接地汇流铜排</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30*3，机房接地含固定柱</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40</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米</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11</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六类屏蔽网线</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箱</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12</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机房吊顶</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60*60铝通板（含龙骨）</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40</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平方米</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14</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防火门</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维修间和机房之间的防火门（子母门）</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扇</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16</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LED平板灯</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 xml:space="preserve">600*600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4</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盏</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17</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墙面</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项</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18</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不锈钢踢脚线</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项</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19</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强弱电改造</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项</w:t>
                  </w:r>
                </w:p>
              </w:tc>
            </w:tr>
            <w:tr>
              <w:tblPrEx>
                <w:tblCellMar>
                  <w:top w:w="0" w:type="dxa"/>
                  <w:left w:w="108" w:type="dxa"/>
                  <w:bottom w:w="0" w:type="dxa"/>
                  <w:right w:w="108" w:type="dxa"/>
                </w:tblCellMar>
              </w:tblPrEx>
              <w:trPr>
                <w:trHeight w:val="210" w:hRule="atLeast"/>
              </w:trPr>
              <w:tc>
                <w:tcPr>
                  <w:tcW w:w="944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b/>
                      <w:bCs/>
                      <w:color w:val="000000"/>
                      <w:kern w:val="0"/>
                      <w:sz w:val="16"/>
                      <w:szCs w:val="16"/>
                      <w:lang w:bidi="ug-CN"/>
                    </w:rPr>
                  </w:pPr>
                  <w:r>
                    <w:rPr>
                      <w:rFonts w:hint="eastAsia" w:ascii="宋体" w:hAnsi="宋体" w:cs="宋体"/>
                      <w:b/>
                      <w:bCs/>
                      <w:color w:val="000000"/>
                      <w:kern w:val="0"/>
                      <w:sz w:val="16"/>
                      <w:szCs w:val="16"/>
                      <w:lang w:bidi="ug-CN"/>
                    </w:rPr>
                    <w:t>机房动环监控系统</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740"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配电监测-（配电箱需预留位置，导轨安装，1 台配电柜各1路主进线电源参数）</w:t>
                  </w:r>
                </w:p>
              </w:tc>
            </w:tr>
            <w:tr>
              <w:tblPrEx>
                <w:tblCellMar>
                  <w:top w:w="0" w:type="dxa"/>
                  <w:left w:w="108" w:type="dxa"/>
                  <w:bottom w:w="0" w:type="dxa"/>
                  <w:right w:w="108" w:type="dxa"/>
                </w:tblCellMar>
              </w:tblPrEx>
              <w:trPr>
                <w:trHeight w:val="168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电量仪</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 xml:space="preserve">1、可测量同回路三相电压、频率，各回路电流、功率、功率因数及各回路当前有功电能。产品尺寸：110㎜×75㎜×72.6㎜；                                          2、具备剩余电流检测功能，以提高用电安全；                            3、频率相电流、相电压、相间电压、正负向有功功率、功因、相平均相电流                                                                4、支持采用RS485数字通讯接口采集所有数据，支持MODBUS规约；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12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3</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闭合式电流互感器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1、需与电力监测仪表配套使用</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2、测量范围：一次电流100A，二次电流5A，测量精度：0.5%，穿芯匝数1T</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3、所用铁芯经过高真空热处理，性能优良，精度稳定</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4、同名端：S1</w:t>
                  </w:r>
                </w:p>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5、穿芯方向：P1穿向P2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147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4</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配电监控软件模块</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按同一品牌同型号计1项，甲方提供RS485通信端口和原厂通信协议二次开发，对精密空调回风温度、回风湿度、回风温湿度限值、温度设定值、湿度设定值、运行模式、压缩机状态、加热器运行状态、制冷器运行状态、除湿器运行状态、压缩机高低压报警、主风扇过载报警、滤网堵塞报警、组件过热告警进行监控。可以与其它子系统进行联动控制，当温度过高时，自动联动启动空调进行制冷。</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5</w:t>
                  </w:r>
                </w:p>
              </w:tc>
              <w:tc>
                <w:tcPr>
                  <w:tcW w:w="87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UPS监测（监测 1 台UPS；需设备具有监测用通讯接口并提供通讯协议）</w:t>
                  </w:r>
                </w:p>
              </w:tc>
            </w:tr>
            <w:tr>
              <w:tblPrEx>
                <w:tblCellMar>
                  <w:top w:w="0" w:type="dxa"/>
                  <w:left w:w="108" w:type="dxa"/>
                  <w:bottom w:w="0" w:type="dxa"/>
                  <w:right w:w="108" w:type="dxa"/>
                </w:tblCellMar>
              </w:tblPrEx>
              <w:trPr>
                <w:trHeight w:val="189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6</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eastAsia="zh-CN" w:bidi="ug-CN"/>
                    </w:rPr>
                  </w:pPr>
                  <w:r>
                    <w:rPr>
                      <w:rFonts w:hint="eastAsia" w:ascii="宋体" w:hAnsi="宋体" w:cs="宋体"/>
                      <w:kern w:val="0"/>
                      <w:sz w:val="16"/>
                      <w:szCs w:val="16"/>
                      <w:lang w:bidi="ug-CN"/>
                    </w:rPr>
                    <w:t>UPS自身状态监测</w:t>
                  </w:r>
                </w:p>
                <w:p>
                  <w:pPr>
                    <w:widowControl/>
                    <w:jc w:val="center"/>
                    <w:rPr>
                      <w:rFonts w:ascii="宋体" w:hAnsi="宋体" w:cs="宋体"/>
                      <w:kern w:val="0"/>
                      <w:sz w:val="16"/>
                      <w:szCs w:val="16"/>
                      <w:lang w:bidi="ug-CN"/>
                    </w:rPr>
                  </w:pPr>
                  <w:r>
                    <w:rPr>
                      <w:rFonts w:hint="eastAsia" w:ascii="宋体" w:hAnsi="宋体" w:cs="宋体"/>
                      <w:kern w:val="0"/>
                      <w:sz w:val="16"/>
                      <w:szCs w:val="16"/>
                      <w:lang w:bidi="ug-CN"/>
                    </w:rPr>
                    <w:t>串口服务器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甲方提供RS232或RS485通信端口和原厂通信协议二次开发，NCS1是RS485、RS232转TCP/IP串口服务器转换，串口服务器提供RS485、RS232转TCP/IP网络以及TCP/IP网络转RS485数据透明传输。RS485:RS-485通讯接口 A-- 485+；B-- 485-</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Ethernet：以太网接口，使用时该接口通过网络线将协议转换器接入TCP/IP网络。</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RS232：标准RS-232通讯接口（公座）</w:t>
                  </w:r>
                </w:p>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本产品已通过CE电磁兼容性认证，抗干扰能力强；产品尺寸112.*85.5*26.2mm</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5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7</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UPS监控软件模块</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按同一品牌同型号计1项，甲方提供RS232、网口、RS485通信端口和原厂通信协议二次开发，对UPS的电压、电流、频率、功率、内部整流器、逆变器、电池、旁路、负载的运行状态进行监视；可对监测到的参数设定越限阀值，当UPS发生越限报警或故障，系统将自动切换到相应的监控界面，并该项状态或参数变红色闪烁显示，产生报警事件进行记录存储，通过手机短信、声光的方式对外报警</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8</w:t>
                  </w:r>
                </w:p>
              </w:tc>
              <w:tc>
                <w:tcPr>
                  <w:tcW w:w="87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精密空调监测（监测 1 台精密空调；需设备具有监测用通讯接口并提供通讯协议）</w:t>
                  </w:r>
                </w:p>
              </w:tc>
            </w:tr>
            <w:tr>
              <w:tblPrEx>
                <w:tblCellMar>
                  <w:top w:w="0" w:type="dxa"/>
                  <w:left w:w="108" w:type="dxa"/>
                  <w:bottom w:w="0" w:type="dxa"/>
                  <w:right w:w="108" w:type="dxa"/>
                </w:tblCellMar>
              </w:tblPrEx>
              <w:trPr>
                <w:trHeight w:val="147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9</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精密空调监控软件模块</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按同一品牌同型号计1项，甲方提供RS485通信端口和原厂通信协议二次开发，对精密空调回风温度、回风湿度、回风温湿度限值、温度设定值、湿度设定值、运行模式、压缩机状态、加热器运行状态、制冷器运行状态、除湿器运行状态、压缩机高低压报警、主风扇过载报警、滤网堵塞报警、组件过热告警进行监控。可以与其它子系统进行联动控制，当温度过高时，自动联动启动空调进行制冷。</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10</w:t>
                  </w:r>
                </w:p>
              </w:tc>
              <w:tc>
                <w:tcPr>
                  <w:tcW w:w="87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漏水检测区域接点式漏水检测（非定位）</w:t>
                  </w:r>
                </w:p>
              </w:tc>
            </w:tr>
            <w:tr>
              <w:tblPrEx>
                <w:tblCellMar>
                  <w:top w:w="0" w:type="dxa"/>
                  <w:left w:w="108" w:type="dxa"/>
                  <w:bottom w:w="0" w:type="dxa"/>
                  <w:right w:w="108" w:type="dxa"/>
                </w:tblCellMar>
              </w:tblPrEx>
              <w:trPr>
                <w:trHeight w:val="105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11</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区域漏水检测器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采用电极检测式原理，通过连接专业漏水传感线缆即组成一个单通道的检测报警系统。当液体碰触到传感线缆导致检测回路电阻的变化，漏水检测器根据电路的变化，从而输出报警继电器信号，可连接至其它的智能监控主机，或用于控制关断水阀、或切断电源开关等。</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个</w:t>
                  </w:r>
                </w:p>
              </w:tc>
            </w:tr>
            <w:tr>
              <w:tblPrEx>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12</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区域漏水检测绳</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区域漏水检测绳，导电聚乙烯+合金导线，两芯螺旋，检测芯电阻12.6欧姆/100米，绕线直径6.0mm，最大暴露温度75℃，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条</w:t>
                  </w:r>
                </w:p>
              </w:tc>
            </w:tr>
            <w:tr>
              <w:tblPrEx>
                <w:tblCellMar>
                  <w:top w:w="0" w:type="dxa"/>
                  <w:left w:w="108" w:type="dxa"/>
                  <w:bottom w:w="0" w:type="dxa"/>
                  <w:right w:w="108" w:type="dxa"/>
                </w:tblCellMar>
              </w:tblPrEx>
              <w:trPr>
                <w:trHeight w:val="5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13</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区域漏水监控软件模块</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1、漏水感应线围着空调和进出水管绕一圈，达到实时检测每一处可能产生漏水的地方。漏水监测控制器输出为开关量，可通过开关量采集模块采集后直接连接到监控主机。</w:t>
                  </w:r>
                </w:p>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2、实时显示并记录漏水线缆感应到的漏水状态、漏水位置及漏水控制器的状态。当空调或其沿线水管漏水时，监控主系统发出报警，监测精密空调、窗户、水管等附近漏水的发生，并及时报警。</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210" w:hRule="atLeast"/>
              </w:trPr>
              <w:tc>
                <w:tcPr>
                  <w:tcW w:w="944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16"/>
                      <w:szCs w:val="16"/>
                      <w:lang w:bidi="ug-CN"/>
                    </w:rPr>
                  </w:pPr>
                  <w:r>
                    <w:rPr>
                      <w:rFonts w:hint="eastAsia" w:ascii="宋体" w:hAnsi="宋体" w:cs="宋体"/>
                      <w:b/>
                      <w:bCs/>
                      <w:color w:val="000000"/>
                      <w:kern w:val="0"/>
                      <w:sz w:val="16"/>
                      <w:szCs w:val="16"/>
                      <w:lang w:bidi="ug-CN"/>
                    </w:rPr>
                    <w:t>温湿度监测</w:t>
                  </w:r>
                </w:p>
              </w:tc>
            </w:tr>
            <w:tr>
              <w:tblPrEx>
                <w:tblCellMar>
                  <w:top w:w="0" w:type="dxa"/>
                  <w:left w:w="108" w:type="dxa"/>
                  <w:bottom w:w="0" w:type="dxa"/>
                  <w:right w:w="108" w:type="dxa"/>
                </w:tblCellMar>
              </w:tblPrEx>
              <w:trPr>
                <w:trHeight w:val="147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14</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温湿度变送器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1、温湿度传感器自带LCD显示屏，可在LCD上精确显示现场环境温湿度参数；</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2、传感器接口使用标准RJ45接口；</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3、测温范围：－20 ～ 70℃，精 度要求≤±0.3℃(25℃),测湿范围：0 ～ 100％RH，精度要求≤±3%RH；</w:t>
                  </w:r>
                </w:p>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4、工业蓝屏LCD，宽温度适应 -20 ~70℃正常显示。普通屏不能在极限温度下正常显示 ，直接影响系统功能。</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8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15</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温湿度监控软件模块</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1、实时监测机房温湿度，一旦发现参数异常，系统即刻启动报警,提醒管理人员</w:t>
                  </w:r>
                </w:p>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系统曲线可供机房管理人员参考,以便根据当地的各季节温湿度状况适时调整。</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210" w:hRule="atLeast"/>
              </w:trPr>
              <w:tc>
                <w:tcPr>
                  <w:tcW w:w="944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16"/>
                      <w:szCs w:val="16"/>
                      <w:lang w:bidi="ug-CN"/>
                    </w:rPr>
                  </w:pPr>
                  <w:r>
                    <w:rPr>
                      <w:rFonts w:hint="eastAsia" w:ascii="宋体" w:hAnsi="宋体" w:cs="宋体"/>
                      <w:b/>
                      <w:bCs/>
                      <w:color w:val="000000"/>
                      <w:kern w:val="0"/>
                      <w:sz w:val="16"/>
                      <w:szCs w:val="16"/>
                      <w:lang w:bidi="ug-CN"/>
                    </w:rPr>
                    <w:t>消防烟雾报警监测（需消防系统或烟雾探测器提供干接点报警信号）</w:t>
                  </w:r>
                </w:p>
              </w:tc>
            </w:tr>
            <w:tr>
              <w:tblPrEx>
                <w:tblCellMar>
                  <w:top w:w="0" w:type="dxa"/>
                  <w:left w:w="108" w:type="dxa"/>
                  <w:bottom w:w="0" w:type="dxa"/>
                  <w:right w:w="108" w:type="dxa"/>
                </w:tblCellMar>
              </w:tblPrEx>
              <w:trPr>
                <w:trHeight w:val="105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16</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消防监测 继电器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中间继电器线圈电压为DC24V 提供1常开+1常闭触点，机身宽仅为 12.7mm，形状小，触点的容许电流为12A，卓越的电气性／机械性耐久性能。电气性耐久性能∶ 20 万次以上 (AC 负载 )</w:t>
                  </w:r>
                </w:p>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备注：有源24V输出告警需配继电器，无源就接到DI</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个</w:t>
                  </w:r>
                </w:p>
              </w:tc>
            </w:tr>
            <w:tr>
              <w:tblPrEx>
                <w:tblCellMar>
                  <w:top w:w="0" w:type="dxa"/>
                  <w:left w:w="108" w:type="dxa"/>
                  <w:bottom w:w="0" w:type="dxa"/>
                  <w:right w:w="108" w:type="dxa"/>
                </w:tblCellMar>
              </w:tblPrEx>
              <w:trPr>
                <w:trHeight w:val="63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17</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消防监控软件模块</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能采集机房内是否有产生烟雾情况发生。能与机房消防系统联动，采集消防报警主机的干节点信号输出，以获得实时的消防状况</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210" w:hRule="atLeast"/>
              </w:trPr>
              <w:tc>
                <w:tcPr>
                  <w:tcW w:w="944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16"/>
                      <w:szCs w:val="16"/>
                      <w:lang w:bidi="ug-CN"/>
                    </w:rPr>
                  </w:pPr>
                  <w:r>
                    <w:rPr>
                      <w:rFonts w:hint="eastAsia" w:ascii="宋体" w:hAnsi="宋体" w:cs="宋体"/>
                      <w:b/>
                      <w:bCs/>
                      <w:color w:val="000000"/>
                      <w:kern w:val="0"/>
                      <w:sz w:val="16"/>
                      <w:szCs w:val="16"/>
                      <w:lang w:bidi="ug-CN"/>
                    </w:rPr>
                    <w:t>动环监测中心设备</w:t>
                  </w:r>
                </w:p>
              </w:tc>
            </w:tr>
            <w:tr>
              <w:tblPrEx>
                <w:tblCellMar>
                  <w:top w:w="0" w:type="dxa"/>
                  <w:left w:w="108" w:type="dxa"/>
                  <w:bottom w:w="0" w:type="dxa"/>
                  <w:right w:w="108" w:type="dxa"/>
                </w:tblCellMar>
              </w:tblPrEx>
              <w:trPr>
                <w:trHeight w:val="69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18</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管理主机</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1、采用ARM架构, 全中文B/S设计，内嵌入Linux操作系统，无需另外安装服务器和软件；</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2、内置漏水检测线路，设备只需外加漏水检测绳或传感单元即可；</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3、 ≥2路RS232接口，≥6路RS485带隔离接口，≥2路10/100/1000M以太网接口；≥8路干节点输入，带光电隔离，带DC12V供电输出，最大总输出电流1.5A(既16路总输出)</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4、1U/19寸标准机箱，前后可换向安装，结构紧凑,适合各种机柜、机箱；</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5、工业级标准设计，稳定可靠，可在-20℃～70℃环境下7×24h正常工作；</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6、宽电压输入范围：AC100V～240V；</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7、支持分布式监控设备扩展接入；</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8、简单易用的设置软件；</w:t>
                  </w:r>
                </w:p>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9、设计前置接口，接线方便</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台</w:t>
                  </w:r>
                </w:p>
              </w:tc>
            </w:tr>
            <w:tr>
              <w:tblPrEx>
                <w:tblCellMar>
                  <w:top w:w="0" w:type="dxa"/>
                  <w:left w:w="108" w:type="dxa"/>
                  <w:bottom w:w="0" w:type="dxa"/>
                  <w:right w:w="108" w:type="dxa"/>
                </w:tblCellMar>
              </w:tblPrEx>
              <w:trPr>
                <w:trHeight w:val="12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19</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报警主机（购买移动手机卡，定时充值）</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设备可自动将相关的报警信息转为中文多媒体语音信号拔打手机号码或固定电话告警，同时还可通过外部连接多媒体音箱播放中文语音告警，内置TTS转换模块，支持中英文文本转语音；NanoSIM规格手机卡接口，支持移动/联通/电信，2G/3G/4G手机卡；MicroUSB接口，可用于连接电脑实现4G上网/电话拨号,支持发送中文短信告警；设备支持10/100M以太网接口。</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个</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20</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手机卡</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用户提供手机卡，需定期充值，（支持移动、电信、联通）</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　</w:t>
                  </w:r>
                </w:p>
              </w:tc>
            </w:tr>
            <w:tr>
              <w:tblPrEx>
                <w:tblCellMar>
                  <w:top w:w="0" w:type="dxa"/>
                  <w:left w:w="108" w:type="dxa"/>
                  <w:bottom w:w="0" w:type="dxa"/>
                  <w:right w:w="108" w:type="dxa"/>
                </w:tblCellMar>
              </w:tblPrEx>
              <w:trPr>
                <w:trHeight w:val="12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21</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报警主机（机房需提供电话线，可通过电话报警报警）</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SMT110报警主机是业界首个TXT转语音电话报警的设备，监控主机只要发送简单的指令，设备可自动将相关的报警信息转为中文多媒体语音信号拔打电话告警，同时还可通过外部连接多媒体音箱播放中文语音告警；设备支持10/100M以太网口或RS232口接收报警，同时提供一路RS485透传接口，可接入HC485声光报警器，（主机尺寸：220*150*40mm）</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　</w:t>
                  </w:r>
                </w:p>
              </w:tc>
            </w:tr>
            <w:tr>
              <w:tblPrEx>
                <w:tblCellMar>
                  <w:top w:w="0" w:type="dxa"/>
                  <w:left w:w="108" w:type="dxa"/>
                  <w:bottom w:w="0" w:type="dxa"/>
                  <w:right w:w="108" w:type="dxa"/>
                </w:tblCellMar>
              </w:tblPrEx>
              <w:trPr>
                <w:trHeight w:val="105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22</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声光报警器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防火ABS阻燃外壳,声压:110±3dB，1路RS485通讯接口，可以进行多种报警，包括：远程报警器开关、远程蜂鸣器开关、远程报警灯开关、远程下发；获取对应的参数至设备，包括：蜂鸣器频率、蜂鸣器占空比、报警灯闪烁次数、报警灯闪烁频率、报警灯闪烁占空比、报警灯闪烁时间；监测下发的参数值</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　</w:t>
                  </w:r>
                </w:p>
              </w:tc>
            </w:tr>
            <w:tr>
              <w:tblPrEx>
                <w:tblCellMar>
                  <w:top w:w="0" w:type="dxa"/>
                  <w:left w:w="108" w:type="dxa"/>
                  <w:bottom w:w="0" w:type="dxa"/>
                  <w:right w:w="108" w:type="dxa"/>
                </w:tblCellMar>
              </w:tblPrEx>
              <w:trPr>
                <w:trHeight w:val="416"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23</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管理平台监测</w:t>
                  </w:r>
                </w:p>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物联网智能管理软件V2.0</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 xml:space="preserve">1、支持B/S  C/S混合架构；支持扁平化二级结构分布式布署，支持边缘计算与中央控制系统结合组成大型网络构建查看监控设备的参数，系统支持市电、配电、UPS、蓄电池、精密空调、普通空调、温湿度、漏水、新风机、除湿机、消防、烟雾、防雷、视频、门禁、红外人体探测、路由器、交换机、服务器等                                            2、如多个机房会显示当前设备站点位置，可以进行GIS地图显示，可以查看站点分布的整体区域、站点的正常异常状况。                                           3、可以对告警信息管理，包括：告警参数、告警等级、邮箱服务、4G告警模块；告警参数，包括：对报警临界状态的智能过滤配置、报警信息洪水抑制；可查阅五级国际标准告警等级颜色；可对告警等级进行新增、删除、修改；可以自定义告警等级。                                4、可通过电话、短信、微信、邮箱、语音、声光报警、现场语音、报警弹窗，当设备监控项出现异常时，触发相应的报警，提示监控项出现异常。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105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24</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APP监控软件模块</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备注：手机APP功能实现条件：1、有固定的公网IP或域名，2、动环服务器APP端口必须映射到外网），用户通过在监控管理平台开通手机APP功能系统就能为用户提供最即时便捷的数据信息，快速便捷的查询机房实时数据，并且一旦现场有报警信息，监控系统会第一时间推送通知提醒。</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25</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3D静态效果软件模块</w:t>
                  </w:r>
                </w:p>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3D Web 组态自定义软件V2.0</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甲方提供CAD图纸，3D仿真效果图展示</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r>
            <w:tr>
              <w:tblPrEx>
                <w:tblCellMar>
                  <w:top w:w="0" w:type="dxa"/>
                  <w:left w:w="108" w:type="dxa"/>
                  <w:bottom w:w="0" w:type="dxa"/>
                  <w:right w:w="108" w:type="dxa"/>
                </w:tblCellMar>
              </w:tblPrEx>
              <w:trPr>
                <w:trHeight w:val="210" w:hRule="atLeast"/>
              </w:trPr>
              <w:tc>
                <w:tcPr>
                  <w:tcW w:w="944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b/>
                      <w:bCs/>
                      <w:color w:val="000000"/>
                      <w:kern w:val="0"/>
                      <w:sz w:val="16"/>
                      <w:szCs w:val="16"/>
                      <w:lang w:bidi="ug-CN"/>
                    </w:rPr>
                  </w:pPr>
                  <w:r>
                    <w:rPr>
                      <w:rFonts w:hint="eastAsia" w:ascii="宋体" w:hAnsi="宋体" w:cs="宋体"/>
                      <w:b/>
                      <w:bCs/>
                      <w:color w:val="000000"/>
                      <w:kern w:val="0"/>
                      <w:sz w:val="16"/>
                      <w:szCs w:val="16"/>
                      <w:lang w:bidi="ug-CN"/>
                    </w:rPr>
                    <w:t xml:space="preserve">门禁管理系统 </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单门门禁控制器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联网控制,含机箱电源</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台</w:t>
                  </w:r>
                </w:p>
              </w:tc>
            </w:tr>
            <w:tr>
              <w:tblPrEx>
                <w:tblCellMar>
                  <w:top w:w="0" w:type="dxa"/>
                  <w:left w:w="108" w:type="dxa"/>
                  <w:bottom w:w="0" w:type="dxa"/>
                  <w:right w:w="108" w:type="dxa"/>
                </w:tblCellMar>
              </w:tblPrEx>
              <w:trPr>
                <w:trHeight w:val="273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指纹门禁一体机</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指纹、IC、密码，指纹容量：3000枚指纹</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·记录容量：100,000条记录</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·射频卡：EM(125 KHz)， Mifare (13.56 MHz),可选</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·卡容量：10000</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·通讯接口：TCP/IP, RS485，·2.4寸彩屏显示</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·TCP/IP和RS485通讯可选</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·自带门铃大按键</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·U盘功能，可上传下载记录等</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·支持指纹/ID卡/MF卡，使用范围广，可选配Mifaer卡ID卡功能</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·背光数字及功能键，可夜间操作</w:t>
                  </w:r>
                </w:p>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·具有weigand in &amp;out接口，既可外接读头也可做为门禁读头使用</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个</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3</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IC卡</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2以上</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个</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4</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出门开关</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用于在机房内部开门</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台</w:t>
                  </w:r>
                </w:p>
              </w:tc>
            </w:tr>
            <w:tr>
              <w:tblPrEx>
                <w:tblCellMar>
                  <w:top w:w="0" w:type="dxa"/>
                  <w:left w:w="108" w:type="dxa"/>
                  <w:bottom w:w="0" w:type="dxa"/>
                  <w:right w:w="108" w:type="dxa"/>
                </w:tblCellMar>
              </w:tblPrEx>
              <w:trPr>
                <w:trHeight w:val="168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5</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单门磁力锁</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通电上锁、断电开锁式，带门状态信号输出</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CE认证，适用于外开门、内开门（配套PLMC270辅助支架与PZMC270辅助支架）与未包边的玻璃门（配套PUMC270辅助支架实现90度外开门）。 适用于单门结构的金属门、木门、不锈钢门、防火门、消防门等。</w:t>
                  </w:r>
                </w:p>
                <w:p>
                  <w:pPr>
                    <w:widowControl/>
                    <w:jc w:val="left"/>
                    <w:rPr>
                      <w:rFonts w:hint="eastAsia" w:ascii="宋体" w:hAnsi="宋体" w:eastAsia="宋体" w:cs="宋体"/>
                      <w:color w:val="000000"/>
                      <w:kern w:val="0"/>
                      <w:sz w:val="16"/>
                      <w:szCs w:val="16"/>
                      <w:lang w:eastAsia="zh-CN" w:bidi="ug-CN"/>
                    </w:rPr>
                  </w:pPr>
                  <w:r>
                    <w:rPr>
                      <w:rFonts w:hint="eastAsia" w:ascii="宋体" w:hAnsi="宋体" w:cs="宋体"/>
                      <w:color w:val="000000"/>
                      <w:kern w:val="0"/>
                      <w:sz w:val="16"/>
                      <w:szCs w:val="16"/>
                      <w:lang w:bidi="ug-CN"/>
                    </w:rPr>
                    <w:t>侧向抗拉力：270公斤级</w:t>
                  </w:r>
                </w:p>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锁体尺寸： L253×W48×H26(mm)</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个</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6</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lang w:bidi="ug-CN"/>
                    </w:rPr>
                  </w:pPr>
                  <w:r>
                    <w:rPr>
                      <w:rFonts w:hint="eastAsia" w:ascii="宋体" w:hAnsi="宋体" w:cs="宋体"/>
                      <w:kern w:val="0"/>
                      <w:sz w:val="16"/>
                      <w:szCs w:val="16"/>
                      <w:lang w:bidi="ug-CN"/>
                    </w:rPr>
                    <w:t>配件、辅材</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项</w:t>
                  </w:r>
                </w:p>
              </w:tc>
            </w:tr>
            <w:tr>
              <w:tblPrEx>
                <w:tblCellMar>
                  <w:top w:w="0" w:type="dxa"/>
                  <w:left w:w="108" w:type="dxa"/>
                  <w:bottom w:w="0" w:type="dxa"/>
                  <w:right w:w="108" w:type="dxa"/>
                </w:tblCellMar>
              </w:tblPrEx>
              <w:trPr>
                <w:trHeight w:val="210" w:hRule="atLeast"/>
              </w:trPr>
              <w:tc>
                <w:tcPr>
                  <w:tcW w:w="944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b/>
                      <w:bCs/>
                      <w:color w:val="000000"/>
                      <w:kern w:val="0"/>
                      <w:sz w:val="16"/>
                      <w:szCs w:val="16"/>
                      <w:lang w:bidi="ug-CN"/>
                    </w:rPr>
                  </w:pPr>
                  <w:r>
                    <w:rPr>
                      <w:rFonts w:hint="eastAsia" w:ascii="宋体" w:hAnsi="宋体" w:cs="宋体"/>
                      <w:b/>
                      <w:bCs/>
                      <w:color w:val="000000"/>
                      <w:kern w:val="0"/>
                      <w:sz w:val="16"/>
                      <w:szCs w:val="16"/>
                      <w:lang w:bidi="ug-CN"/>
                    </w:rPr>
                    <w:t xml:space="preserve">消防系统 </w:t>
                  </w:r>
                </w:p>
              </w:tc>
            </w:tr>
            <w:tr>
              <w:tblPrEx>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GQQ70/2.5 70L柜式七氟丙烷灭火装置</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包括钢瓶、容器阀、柜体、信号反馈 装置、连接软管、单喷嘴。 （不含灭火剂）。（每瓶充装45   公斤灭火剂）</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HFC-227ea七氟丙烷灭火剂</w:t>
                  </w:r>
                </w:p>
              </w:tc>
              <w:tc>
                <w:tcPr>
                  <w:tcW w:w="4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千克</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45</w:t>
                  </w:r>
                </w:p>
              </w:tc>
            </w:tr>
            <w:tr>
              <w:tblPrEx>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3</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JTY-GD-G3T点型光电感烟火灾探测器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智能型，电子编码，内置单片机。</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只</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r>
            <w:tr>
              <w:tblPrEx>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4</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JTW-ZCD-G3N点型感温火灾探测器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智能型，电子编码，内置单片机。类别：A1R、BS可设定。</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只</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r>
            <w:tr>
              <w:tblPrEx>
                <w:tblCellMar>
                  <w:top w:w="0" w:type="dxa"/>
                  <w:left w:w="108" w:type="dxa"/>
                  <w:bottom w:w="0" w:type="dxa"/>
                  <w:right w:w="108" w:type="dxa"/>
                </w:tblCellMar>
              </w:tblPrEx>
              <w:trPr>
                <w:trHeight w:val="63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5</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DZ-02通用底座</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适用于JTF-GOM-GST601T型点型复合式感烟感温火灾探测器、JTY-GD-G3T型点型光电感烟火灾探测器、JTW-ZCD-G3N型点型感温火灾探测器、JTG-ZW-G1型点型紫外火焰探测器。</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只</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2</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6</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GST-HX-320B火灾声光警报器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电子编码，启动后发出强烈的声光警号，蜂鸣器检线功能。</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套</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r>
            <w:tr>
              <w:tblPrEx>
                <w:tblCellMar>
                  <w:top w:w="0" w:type="dxa"/>
                  <w:left w:w="108" w:type="dxa"/>
                  <w:bottom w:w="0" w:type="dxa"/>
                  <w:right w:w="108" w:type="dxa"/>
                </w:tblCellMar>
              </w:tblPrEx>
              <w:trPr>
                <w:trHeight w:val="105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7</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GST-QKP01气体灭火控制器/火灾报警控制器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壁挂式，可实现1个防区的火灾报警和气体灭火控制，最大容量70点。可适用于各种火灾探测器、手动火灾报警按钮、紧急启/停按钮、声光警报器、气体释放警报器、手自动转换开关以及输出模块等编码设备，具有火灾探测和气体灭火控制功能，含备电。</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台</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r>
            <w:tr>
              <w:tblPrEx>
                <w:tblCellMar>
                  <w:top w:w="0" w:type="dxa"/>
                  <w:left w:w="108" w:type="dxa"/>
                  <w:bottom w:w="0" w:type="dxa"/>
                  <w:right w:w="108" w:type="dxa"/>
                </w:tblCellMar>
              </w:tblPrEx>
              <w:trPr>
                <w:trHeight w:val="2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8</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GST-LD-8317H气体释放警报器</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电子编码，与气体灭火控制器配套使用。2线制。</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只</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r>
            <w:tr>
              <w:tblPrEx>
                <w:tblCellMar>
                  <w:top w:w="0" w:type="dxa"/>
                  <w:left w:w="108" w:type="dxa"/>
                  <w:bottom w:w="0" w:type="dxa"/>
                  <w:right w:w="108" w:type="dxa"/>
                </w:tblCellMar>
              </w:tblPrEx>
              <w:trPr>
                <w:trHeight w:val="63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9</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GST-LD-8318紧急启停按钮</w:t>
                  </w:r>
                </w:p>
              </w:tc>
              <w:tc>
                <w:tcPr>
                  <w:tcW w:w="4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lang w:bidi="ug-CN"/>
                    </w:rPr>
                  </w:pPr>
                  <w:r>
                    <w:rPr>
                      <w:rFonts w:hint="eastAsia" w:ascii="宋体" w:hAnsi="宋体" w:cs="宋体"/>
                      <w:color w:val="000000"/>
                      <w:kern w:val="0"/>
                      <w:sz w:val="16"/>
                      <w:szCs w:val="16"/>
                      <w:lang w:bidi="ug-CN"/>
                    </w:rPr>
                    <w:t>电子编码，与气体灭火控制器配套使用，启动和停动共占一个编码点，按钮可提供输出无源常开触点信号，可直接控制声光警报器等设备。</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只</w:t>
                  </w:r>
                </w:p>
              </w:tc>
              <w:tc>
                <w:tcPr>
                  <w:tcW w:w="8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lang w:bidi="ug-CN"/>
                    </w:rPr>
                  </w:pPr>
                  <w:r>
                    <w:rPr>
                      <w:rFonts w:hint="eastAsia" w:ascii="宋体" w:hAnsi="宋体" w:cs="宋体"/>
                      <w:color w:val="000000"/>
                      <w:kern w:val="0"/>
                      <w:sz w:val="16"/>
                      <w:szCs w:val="16"/>
                      <w:lang w:bidi="ug-CN"/>
                    </w:rPr>
                    <w:t>1</w:t>
                  </w:r>
                </w:p>
              </w:tc>
            </w:tr>
          </w:tbl>
          <w:p>
            <w:pPr>
              <w:widowControl/>
              <w:textAlignment w:val="center"/>
              <w:rPr>
                <w:rFonts w:ascii="仿宋" w:hAnsi="仿宋" w:eastAsia="仿宋" w:cs="仿宋"/>
                <w:color w:val="000000"/>
                <w:sz w:val="24"/>
              </w:rPr>
            </w:pPr>
          </w:p>
        </w:tc>
        <w:tc>
          <w:tcPr>
            <w:tcW w:w="27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bl>
    <w:p>
      <w:pPr>
        <w:widowControl/>
        <w:jc w:val="left"/>
        <w:rPr>
          <w:rFonts w:hint="eastAsia" w:ascii="宋体" w:hAnsi="宋体" w:eastAsia="宋体" w:cs="宋体"/>
          <w:sz w:val="22"/>
          <w:szCs w:val="22"/>
        </w:rPr>
      </w:pPr>
    </w:p>
    <w:p>
      <w:pPr>
        <w:pStyle w:val="39"/>
        <w:rPr>
          <w:color w:val="000000" w:themeColor="text1"/>
        </w:rPr>
      </w:pPr>
    </w:p>
    <w:p>
      <w:pPr>
        <w:pStyle w:val="39"/>
        <w:ind w:left="0" w:leftChars="0" w:firstLine="0" w:firstLineChars="0"/>
        <w:rPr>
          <w:color w:val="000000" w:themeColor="text1"/>
        </w:rPr>
      </w:pPr>
    </w:p>
    <w:p>
      <w:pPr>
        <w:pStyle w:val="2"/>
        <w:kinsoku w:val="0"/>
        <w:overflowPunct w:val="0"/>
        <w:spacing w:before="34" w:line="357" w:lineRule="auto"/>
        <w:ind w:right="126" w:firstLine="480"/>
        <w:jc w:val="center"/>
        <w:rPr>
          <w:rFonts w:cs="仿宋" w:asciiTheme="majorEastAsia" w:hAnsiTheme="majorEastAsia" w:eastAsiaTheme="majorEastAsia"/>
          <w:b/>
          <w:bCs/>
          <w:color w:val="000000" w:themeColor="text1"/>
          <w:sz w:val="36"/>
          <w:szCs w:val="36"/>
        </w:rPr>
      </w:pPr>
      <w:r>
        <w:rPr>
          <w:rFonts w:hint="eastAsia" w:cs="仿宋" w:asciiTheme="majorEastAsia" w:hAnsiTheme="majorEastAsia" w:eastAsiaTheme="majorEastAsia"/>
          <w:b/>
          <w:bCs/>
          <w:color w:val="000000" w:themeColor="text1"/>
          <w:sz w:val="36"/>
          <w:szCs w:val="36"/>
        </w:rPr>
        <w:t>其他要求</w:t>
      </w:r>
    </w:p>
    <w:p>
      <w:pPr>
        <w:pStyle w:val="2"/>
        <w:kinsoku w:val="0"/>
        <w:overflowPunct w:val="0"/>
        <w:spacing w:before="34" w:line="357" w:lineRule="auto"/>
        <w:ind w:right="126" w:firstLine="480"/>
        <w:rPr>
          <w:rFonts w:cs="仿宋" w:asciiTheme="majorEastAsia" w:hAnsiTheme="majorEastAsia" w:eastAsiaTheme="majorEastAsia"/>
          <w:b/>
          <w:bCs/>
          <w:color w:val="000000" w:themeColor="text1"/>
        </w:rPr>
      </w:pPr>
      <w:r>
        <w:rPr>
          <w:rFonts w:hint="eastAsia" w:cs="仿宋" w:asciiTheme="majorEastAsia" w:hAnsiTheme="majorEastAsia" w:eastAsiaTheme="majorEastAsia"/>
          <w:b/>
          <w:bCs/>
          <w:color w:val="000000" w:themeColor="text1"/>
        </w:rPr>
        <w:t>一、质量要求和技术标准</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1、成交供应商提供的货物符合招标文件的参数要求，产品技术性能和功能响应招标文件参数要求。</w:t>
      </w:r>
    </w:p>
    <w:p>
      <w:pPr>
        <w:pStyle w:val="2"/>
        <w:kinsoku w:val="0"/>
        <w:overflowPunct w:val="0"/>
        <w:spacing w:before="34" w:line="357" w:lineRule="auto"/>
        <w:ind w:right="126"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2、成交供应商提供的货物（含零配件、随机工具等）是全新的、表面和内部均无瑕疵的原厂正品。</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3、成交供应商保证提供的货物不侵犯任何第三方的专利、商标或版权。否则，成交供应商须承担对第三方的专利或版权的侵权责任并承担因此而发生的所有费用。</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4、所有货物及安装应坚固、实用、安全、美观(端正平整)。</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5、包装和运输：成交供应商应采取防潮、防雨、防冻、防锈等相应措施对货物进行包装，确保货物在正常作业和装卸条件下安全无损地到达合同指定地点。（要求有合理的运输方案，货物要求完整、无损）。</w:t>
      </w:r>
    </w:p>
    <w:p>
      <w:pPr>
        <w:pStyle w:val="2"/>
        <w:kinsoku w:val="0"/>
        <w:overflowPunct w:val="0"/>
        <w:spacing w:before="34" w:line="357" w:lineRule="auto"/>
        <w:ind w:right="126" w:firstLine="525" w:firstLineChars="25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6、合同签订：成交结果出来后，采购人与供应商必须在中华人民共和国财政部令第87号</w:t>
      </w:r>
      <w:r>
        <w:rPr>
          <w:rFonts w:hint="eastAsia" w:cs="仿宋" w:asciiTheme="majorEastAsia" w:hAnsiTheme="majorEastAsia" w:eastAsiaTheme="majorEastAsia"/>
          <w:color w:val="000000" w:themeColor="text1"/>
        </w:rPr>
        <w:br w:type="textWrapping"/>
      </w:r>
      <w:r>
        <w:rPr>
          <w:rFonts w:hint="eastAsia" w:cs="仿宋" w:asciiTheme="majorEastAsia" w:hAnsiTheme="majorEastAsia" w:eastAsiaTheme="majorEastAsia"/>
          <w:color w:val="000000" w:themeColor="text1"/>
        </w:rPr>
        <w:t>--政府采购货物和服务招标投标管理办法规定的30日内</w:t>
      </w:r>
      <w:r>
        <w:rPr>
          <w:rFonts w:cs="仿宋" w:asciiTheme="majorEastAsia" w:hAnsiTheme="majorEastAsia" w:eastAsiaTheme="majorEastAsia"/>
          <w:color w:val="000000" w:themeColor="text1"/>
        </w:rPr>
        <w:t>按照招标文件和中标人投标文件的规定</w:t>
      </w:r>
      <w:r>
        <w:rPr>
          <w:rFonts w:hint="eastAsia" w:cs="仿宋" w:asciiTheme="majorEastAsia" w:hAnsiTheme="majorEastAsia" w:eastAsiaTheme="majorEastAsia"/>
          <w:color w:val="000000" w:themeColor="text1"/>
        </w:rPr>
        <w:t>完成合同签订等手续。</w:t>
      </w:r>
    </w:p>
    <w:p>
      <w:pPr>
        <w:pStyle w:val="2"/>
        <w:kinsoku w:val="0"/>
        <w:overflowPunct w:val="0"/>
        <w:spacing w:before="34" w:line="357" w:lineRule="auto"/>
        <w:ind w:right="126" w:firstLine="480"/>
        <w:rPr>
          <w:rFonts w:cs="仿宋" w:asciiTheme="majorEastAsia" w:hAnsiTheme="majorEastAsia" w:eastAsiaTheme="majorEastAsia"/>
          <w:b/>
          <w:bCs/>
          <w:color w:val="000000" w:themeColor="text1"/>
        </w:rPr>
      </w:pPr>
      <w:r>
        <w:rPr>
          <w:rFonts w:hint="eastAsia" w:cs="仿宋" w:asciiTheme="majorEastAsia" w:hAnsiTheme="majorEastAsia" w:eastAsiaTheme="majorEastAsia"/>
          <w:b/>
          <w:bCs/>
          <w:color w:val="000000" w:themeColor="text1"/>
        </w:rPr>
        <w:t>二、交货要求：</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highlight w:val="none"/>
        </w:rPr>
        <w:t>所有货物交货期均为合同签订后</w:t>
      </w:r>
      <w:r>
        <w:rPr>
          <w:rFonts w:hint="eastAsia" w:cs="仿宋" w:asciiTheme="majorEastAsia" w:hAnsiTheme="majorEastAsia" w:eastAsiaTheme="majorEastAsia"/>
          <w:b/>
          <w:bCs/>
          <w:color w:val="000000" w:themeColor="text1"/>
          <w:highlight w:val="none"/>
          <w:lang w:val="en-US" w:eastAsia="zh-CN"/>
        </w:rPr>
        <w:t>6</w:t>
      </w:r>
      <w:r>
        <w:rPr>
          <w:rFonts w:hint="eastAsia" w:cs="仿宋" w:asciiTheme="majorEastAsia" w:hAnsiTheme="majorEastAsia" w:eastAsiaTheme="majorEastAsia"/>
          <w:b/>
          <w:bCs/>
          <w:color w:val="000000" w:themeColor="text1"/>
          <w:highlight w:val="none"/>
        </w:rPr>
        <w:t>0个</w:t>
      </w:r>
      <w:r>
        <w:rPr>
          <w:rFonts w:hint="eastAsia" w:cs="仿宋" w:asciiTheme="majorEastAsia" w:hAnsiTheme="majorEastAsia" w:eastAsiaTheme="majorEastAsia"/>
          <w:b/>
          <w:color w:val="000000" w:themeColor="text1"/>
          <w:highlight w:val="none"/>
        </w:rPr>
        <w:t>日历</w:t>
      </w:r>
      <w:r>
        <w:rPr>
          <w:rFonts w:hint="eastAsia" w:cs="仿宋" w:asciiTheme="majorEastAsia" w:hAnsiTheme="majorEastAsia" w:eastAsiaTheme="majorEastAsia"/>
          <w:b/>
          <w:bCs/>
          <w:color w:val="000000" w:themeColor="text1"/>
          <w:highlight w:val="none"/>
        </w:rPr>
        <w:t>天</w:t>
      </w:r>
      <w:r>
        <w:rPr>
          <w:rFonts w:hint="eastAsia" w:cs="仿宋" w:asciiTheme="majorEastAsia" w:hAnsiTheme="majorEastAsia" w:eastAsiaTheme="majorEastAsia"/>
          <w:color w:val="000000" w:themeColor="text1"/>
          <w:highlight w:val="none"/>
        </w:rPr>
        <w:t>内完成安装、调试、验收并交付使用。交货地点</w:t>
      </w:r>
      <w:r>
        <w:rPr>
          <w:rFonts w:hint="eastAsia" w:asciiTheme="majorEastAsia" w:hAnsiTheme="majorEastAsia" w:eastAsiaTheme="majorEastAsia"/>
          <w:bCs/>
          <w:color w:val="000000" w:themeColor="text1"/>
          <w:szCs w:val="21"/>
          <w:highlight w:val="none"/>
        </w:rPr>
        <w:t>业</w:t>
      </w:r>
      <w:r>
        <w:rPr>
          <w:rFonts w:hint="eastAsia" w:asciiTheme="majorEastAsia" w:hAnsiTheme="majorEastAsia" w:eastAsiaTheme="majorEastAsia"/>
          <w:bCs/>
          <w:color w:val="000000" w:themeColor="text1"/>
          <w:szCs w:val="21"/>
        </w:rPr>
        <w:t>主指定地点</w:t>
      </w:r>
      <w:r>
        <w:rPr>
          <w:rFonts w:asciiTheme="majorEastAsia" w:hAnsiTheme="majorEastAsia" w:eastAsiaTheme="majorEastAsia"/>
          <w:color w:val="000000" w:themeColor="text1"/>
        </w:rPr>
        <w:t>。</w:t>
      </w:r>
    </w:p>
    <w:p>
      <w:pPr>
        <w:pStyle w:val="2"/>
        <w:kinsoku w:val="0"/>
        <w:overflowPunct w:val="0"/>
        <w:spacing w:before="34" w:line="357" w:lineRule="auto"/>
        <w:ind w:right="126" w:firstLine="480"/>
        <w:rPr>
          <w:rFonts w:cs="仿宋" w:asciiTheme="majorEastAsia" w:hAnsiTheme="majorEastAsia" w:eastAsiaTheme="majorEastAsia"/>
          <w:b/>
          <w:bCs/>
          <w:color w:val="000000" w:themeColor="text1"/>
        </w:rPr>
      </w:pPr>
      <w:r>
        <w:rPr>
          <w:rFonts w:hint="eastAsia" w:cs="仿宋" w:asciiTheme="majorEastAsia" w:hAnsiTheme="majorEastAsia" w:eastAsiaTheme="majorEastAsia"/>
          <w:b/>
          <w:bCs/>
          <w:color w:val="000000" w:themeColor="text1"/>
        </w:rPr>
        <w:t>三、货物验收</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1、货物送到采购人指定地点后1个工作日内，成交供应商须通知并且组织采购人（或者采购人指定的机构）共同对货物之数量、型号、外观标识、包装、总装配套之部件及附件、各种技术资料文件等进行清点、直观品质检查或初步验收；需要安装、调试的，应当在安装、调试完毕后的3个工作日内，会同采购人共同对货物数量、质量、外观、包装、品种、配套附件、各种技术资料文件等进行初步验收。调试、安装不符合质量或技术标准的，成交供应商应立即采取补救措施；有关《初步验收报告》的出具和试用期的起算时间均应作相应顺延。</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2、货物全部交付给采购人时各方共同对货物经过初步验收后，如果货物或其安装、调试、检测、运行符合本合同约定的，采购人应在5个工作日内向成交供应商签发书面的《初步验收报告》，但是该《初步验收报告》之签署并不代表货物质量完全合格。</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3、成交供应商则应给予采购人30个日历天的货物“试用期”，试用期自签发《初步验收报告》的当天起算，试用期内成交供应商未收到来自采购人的修理、修复、复检、重新安装、重新调试等请求或者质量异议的，则视同货物质量合格；如果试用期内发生非采购人之人为毁损原因所致的质量问题，则试用期起算时间应以该质量问题得到解决之日重新起算，且合同项下的货物验收合格之时间点应整体顺延。</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4、试用期内如果货物存在非采购人人为毁损原因而导致的不能正常使用，则该货物之试用期的起算时间应以该质量或技术问题被成交供应商完全解决之时重新起算，亦即该货物之试用期应顺延。如不能正常使用系采购人人为毁损原因导致，则不影响试用期限。</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5、如因质量发生争议，由各方共同委托和田地区或乌鲁木齐市质量技术监督部门进行质量鉴定；如该部门因受专业或技术等原因所限而不能办理的，则共同委托其他专门机构进行质量鉴定。其鉴定结论对各方均具有法律约束力。货物符合质量标准的，鉴定费由采购人承担；不符合的，鉴定费由成交供应商承担。</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6、验收标准：无论各方自行组织验收，还是共同委托验收，抑或于仲裁或诉讼情形，验收标准须以合同中的“质量要求和技术标准”条款为根据。</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7、如果采购人未及时参与成交供应商组织的验收工作，成交供应商应当再次以特快专递方式书面通知采购人验收；如采购人无正当理由仍拒不参加验收，应视质量合格且采购人拒收货物并承担违约责任。</w:t>
      </w:r>
    </w:p>
    <w:p>
      <w:pPr>
        <w:pStyle w:val="2"/>
        <w:kinsoku w:val="0"/>
        <w:overflowPunct w:val="0"/>
        <w:spacing w:before="34" w:line="357" w:lineRule="auto"/>
        <w:ind w:right="126" w:firstLine="480"/>
        <w:rPr>
          <w:rFonts w:cs="仿宋" w:asciiTheme="majorEastAsia" w:hAnsiTheme="majorEastAsia" w:eastAsiaTheme="majorEastAsia"/>
          <w:b/>
          <w:bCs/>
          <w:color w:val="000000" w:themeColor="text1"/>
          <w:highlight w:val="none"/>
        </w:rPr>
      </w:pPr>
      <w:r>
        <w:rPr>
          <w:rFonts w:hint="eastAsia" w:cs="仿宋" w:asciiTheme="majorEastAsia" w:hAnsiTheme="majorEastAsia" w:eastAsiaTheme="majorEastAsia"/>
          <w:b/>
          <w:bCs/>
          <w:color w:val="000000" w:themeColor="text1"/>
          <w:highlight w:val="none"/>
        </w:rPr>
        <w:t xml:space="preserve">四、免费保修期及售后服务要求 </w:t>
      </w:r>
    </w:p>
    <w:p>
      <w:pPr>
        <w:pStyle w:val="2"/>
        <w:kinsoku w:val="0"/>
        <w:overflowPunct w:val="0"/>
        <w:spacing w:before="34" w:line="357" w:lineRule="auto"/>
        <w:ind w:right="126" w:firstLine="480"/>
        <w:rPr>
          <w:rFonts w:cs="仿宋" w:asciiTheme="majorEastAsia" w:hAnsiTheme="majorEastAsia" w:eastAsiaTheme="majorEastAsia"/>
          <w:color w:val="000000" w:themeColor="text1"/>
          <w:highlight w:val="yellow"/>
        </w:rPr>
      </w:pPr>
      <w:r>
        <w:rPr>
          <w:rFonts w:hint="eastAsia" w:cs="仿宋" w:asciiTheme="majorEastAsia" w:hAnsiTheme="majorEastAsia" w:eastAsiaTheme="majorEastAsia"/>
          <w:color w:val="000000" w:themeColor="text1"/>
          <w:highlight w:val="none"/>
        </w:rPr>
        <w:t xml:space="preserve">1、质量保证期：1年。保修期满后，终身维护、软件升级。质保期均按本项目货物交齐给采购人的对货物及其质量技术全部验收合格并交付使用且签署《验收合格报告书》之日起计算。    </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2、无论于免费保修期内还是有偿保修服务期内，如货物设备非因采购人的人为原因而出现质量问题，采购人有权向成交供应商提出质量异议，成交供应商应负责包修、包换或包退，承担修理、调换或退货的实际费用；如成交供应商不能修复或不能退换，均按不能交货处理；成交供应商保证在接到故障电话后1小时内响应用户要求、8小时内派员上门现场维护并在24时内排除故障修复使用，如在规定时间内不能修复解决，则提供相同功能档次的货物设备给采购人作为代替使用，确保货物设备的正常运作和使用；属于免费质量保修期届满后的有偿保修服务期内并且不属于成交供应商质量问题的事项，可以优惠价格双方商定，费用由采购人承担，成交供应商仍需及时修复并交采购人验收合格后继续使用。</w:t>
      </w:r>
    </w:p>
    <w:p>
      <w:pPr>
        <w:pStyle w:val="2"/>
        <w:kinsoku w:val="0"/>
        <w:overflowPunct w:val="0"/>
        <w:spacing w:before="34" w:line="357" w:lineRule="auto"/>
        <w:ind w:right="126" w:firstLine="480"/>
        <w:rPr>
          <w:rFonts w:cs="仿宋" w:asciiTheme="majorEastAsia" w:hAnsiTheme="majorEastAsia" w:eastAsiaTheme="majorEastAsia"/>
          <w:b/>
          <w:bCs/>
          <w:color w:val="000000" w:themeColor="text1"/>
        </w:rPr>
      </w:pPr>
      <w:r>
        <w:rPr>
          <w:rFonts w:hint="eastAsia" w:cs="仿宋" w:asciiTheme="majorEastAsia" w:hAnsiTheme="majorEastAsia" w:eastAsiaTheme="majorEastAsia"/>
          <w:b/>
          <w:bCs/>
          <w:color w:val="000000" w:themeColor="text1"/>
        </w:rPr>
        <w:t xml:space="preserve">五、安装、调试与验收 </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1、成交供应商依照采购文件的要求和报价文件的承诺，将设备安装调试至正常运行的最佳状态。</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2、货物若有国家标准按照国家标准验收，若无国家标准按行业标准验收，为原制造商制造的全新产品，整体无污染，无侵权行为、表面无划损、无任何缺陷隐患，在中国境内可依常规安全合法使用。</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3、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pStyle w:val="2"/>
        <w:kinsoku w:val="0"/>
        <w:overflowPunct w:val="0"/>
        <w:spacing w:before="34" w:line="357" w:lineRule="auto"/>
        <w:ind w:right="126" w:firstLine="480"/>
        <w:rPr>
          <w:rFonts w:cs="仿宋" w:asciiTheme="majorEastAsia" w:hAnsiTheme="majorEastAsia" w:eastAsiaTheme="majorEastAsia"/>
          <w:b/>
          <w:bCs/>
          <w:color w:val="000000" w:themeColor="text1"/>
        </w:rPr>
      </w:pPr>
      <w:r>
        <w:rPr>
          <w:rFonts w:hint="eastAsia" w:cs="仿宋" w:asciiTheme="majorEastAsia" w:hAnsiTheme="majorEastAsia" w:eastAsiaTheme="majorEastAsia"/>
          <w:b/>
          <w:bCs/>
          <w:color w:val="000000" w:themeColor="text1"/>
        </w:rPr>
        <w:t>六、付款方式：</w:t>
      </w:r>
    </w:p>
    <w:p>
      <w:pPr>
        <w:pStyle w:val="2"/>
        <w:kinsoku w:val="0"/>
        <w:overflowPunct w:val="0"/>
        <w:spacing w:before="34" w:line="357" w:lineRule="auto"/>
        <w:ind w:right="126" w:firstLine="480"/>
        <w:rPr>
          <w:rFonts w:cs="仿宋" w:asciiTheme="majorEastAsia" w:hAnsiTheme="majorEastAsia" w:eastAsiaTheme="majorEastAsia"/>
          <w:b/>
          <w:color w:val="000000" w:themeColor="text1"/>
        </w:rPr>
      </w:pPr>
      <w:r>
        <w:rPr>
          <w:rFonts w:hint="eastAsia" w:cs="仿宋" w:asciiTheme="majorEastAsia" w:hAnsiTheme="majorEastAsia" w:eastAsiaTheme="majorEastAsia"/>
          <w:color w:val="000000" w:themeColor="text1"/>
        </w:rPr>
        <w:t>付款方式</w:t>
      </w:r>
      <w:r>
        <w:rPr>
          <w:rFonts w:hint="eastAsia" w:cs="仿宋" w:asciiTheme="majorEastAsia" w:hAnsiTheme="majorEastAsia" w:eastAsiaTheme="majorEastAsia"/>
          <w:b/>
          <w:color w:val="000000" w:themeColor="text1"/>
        </w:rPr>
        <w:t>：签订合同时双方协商确定。</w:t>
      </w:r>
    </w:p>
    <w:p>
      <w:pPr>
        <w:pStyle w:val="2"/>
        <w:kinsoku w:val="0"/>
        <w:overflowPunct w:val="0"/>
        <w:spacing w:before="34" w:line="357" w:lineRule="auto"/>
        <w:ind w:right="126" w:firstLine="480"/>
        <w:rPr>
          <w:rFonts w:cs="仿宋" w:asciiTheme="majorEastAsia" w:hAnsiTheme="majorEastAsia" w:eastAsiaTheme="majorEastAsia"/>
          <w:b/>
          <w:bCs/>
          <w:color w:val="000000" w:themeColor="text1"/>
        </w:rPr>
      </w:pPr>
      <w:r>
        <w:rPr>
          <w:rFonts w:hint="eastAsia" w:cs="仿宋" w:asciiTheme="majorEastAsia" w:hAnsiTheme="majorEastAsia" w:eastAsiaTheme="majorEastAsia"/>
          <w:b/>
          <w:bCs/>
          <w:color w:val="000000" w:themeColor="text1"/>
        </w:rPr>
        <w:t>七、其他要求</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1、验收标准：经有关部门验收合格和双方对照合同或采购人决定的标准作为验收标准进行验收。</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2、报价单位需承诺：已经详细阅读了全部采购文件（包括附件），完全理解并同意放弃有不明及误解的权利。</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3、禁止成交供应商将本项目产品以任何方式，包括合同转让、转包或者肢解后分包给他人的方式生产，一经发现视同违约处理。</w:t>
      </w:r>
    </w:p>
    <w:p>
      <w:pPr>
        <w:pStyle w:val="2"/>
        <w:kinsoku w:val="0"/>
        <w:overflowPunct w:val="0"/>
        <w:spacing w:before="34" w:line="357" w:lineRule="auto"/>
        <w:ind w:right="126" w:firstLine="48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4、成交供应商应按工程进度安排计划，派出项目负责人及技术人员到安装现场负责免费安装和调试工作。在安装施工期间，严格遵守采购人的有关制度。</w:t>
      </w:r>
    </w:p>
    <w:p>
      <w:pPr>
        <w:pStyle w:val="49"/>
        <w:rPr>
          <w:rFonts w:cs="Arial" w:asciiTheme="majorEastAsia" w:hAnsiTheme="majorEastAsia" w:eastAsiaTheme="majorEastAsia"/>
          <w:color w:val="000000" w:themeColor="text1"/>
          <w:sz w:val="36"/>
          <w:szCs w:val="36"/>
        </w:rPr>
      </w:pPr>
    </w:p>
    <w:p>
      <w:pPr>
        <w:pStyle w:val="49"/>
        <w:rPr>
          <w:rFonts w:cs="Arial" w:asciiTheme="majorEastAsia" w:hAnsiTheme="majorEastAsia" w:eastAsiaTheme="majorEastAsia"/>
          <w:color w:val="000000" w:themeColor="text1"/>
          <w:sz w:val="36"/>
          <w:szCs w:val="36"/>
        </w:rPr>
      </w:pPr>
    </w:p>
    <w:p>
      <w:pPr>
        <w:rPr>
          <w:rFonts w:asciiTheme="majorEastAsia" w:hAnsiTheme="majorEastAsia" w:eastAsiaTheme="majorEastAsia"/>
          <w:color w:val="000000" w:themeColor="text1"/>
        </w:rPr>
      </w:pPr>
    </w:p>
    <w:p>
      <w:pPr>
        <w:pStyle w:val="4"/>
        <w:jc w:val="center"/>
        <w:rPr>
          <w:rFonts w:cs="仿宋" w:asciiTheme="majorEastAsia" w:hAnsiTheme="majorEastAsia" w:eastAsiaTheme="majorEastAsia"/>
          <w:b w:val="0"/>
          <w:color w:val="000000" w:themeColor="text1"/>
          <w:sz w:val="36"/>
          <w:szCs w:val="36"/>
        </w:rPr>
      </w:pPr>
      <w:bookmarkStart w:id="203" w:name="_Toc7651"/>
      <w:bookmarkStart w:id="204" w:name="_Toc4008"/>
    </w:p>
    <w:p>
      <w:pPr>
        <w:pStyle w:val="4"/>
        <w:jc w:val="center"/>
        <w:rPr>
          <w:rFonts w:cs="仿宋" w:asciiTheme="majorEastAsia" w:hAnsiTheme="majorEastAsia" w:eastAsiaTheme="majorEastAsia"/>
          <w:b w:val="0"/>
          <w:color w:val="000000" w:themeColor="text1"/>
          <w:sz w:val="36"/>
          <w:szCs w:val="36"/>
        </w:rPr>
      </w:pPr>
    </w:p>
    <w:p>
      <w:pPr>
        <w:pStyle w:val="4"/>
        <w:jc w:val="center"/>
        <w:rPr>
          <w:rFonts w:cs="仿宋" w:asciiTheme="majorEastAsia" w:hAnsiTheme="majorEastAsia" w:eastAsiaTheme="majorEastAsia"/>
          <w:b w:val="0"/>
          <w:color w:val="000000" w:themeColor="text1"/>
          <w:sz w:val="36"/>
          <w:szCs w:val="36"/>
        </w:rPr>
      </w:pPr>
    </w:p>
    <w:p>
      <w:pPr>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9"/>
        <w:rPr>
          <w:rFonts w:asciiTheme="majorEastAsia" w:hAnsiTheme="majorEastAsia" w:eastAsiaTheme="majorEastAsia"/>
          <w:color w:val="000000" w:themeColor="text1"/>
        </w:rPr>
      </w:pPr>
    </w:p>
    <w:p>
      <w:pPr>
        <w:pStyle w:val="4"/>
        <w:jc w:val="center"/>
        <w:rPr>
          <w:rFonts w:cs="仿宋" w:asciiTheme="majorEastAsia" w:hAnsiTheme="majorEastAsia" w:eastAsiaTheme="majorEastAsia"/>
          <w:b w:val="0"/>
          <w:color w:val="000000" w:themeColor="text1"/>
          <w:sz w:val="36"/>
          <w:szCs w:val="36"/>
        </w:rPr>
      </w:pPr>
      <w:r>
        <w:rPr>
          <w:rFonts w:hint="eastAsia" w:cs="仿宋" w:asciiTheme="majorEastAsia" w:hAnsiTheme="majorEastAsia" w:eastAsiaTheme="majorEastAsia"/>
          <w:b w:val="0"/>
          <w:color w:val="000000" w:themeColor="text1"/>
          <w:sz w:val="36"/>
          <w:szCs w:val="36"/>
        </w:rPr>
        <w:t>第六章 投标文件格式</w:t>
      </w:r>
      <w:bookmarkEnd w:id="46"/>
      <w:bookmarkEnd w:id="203"/>
      <w:bookmarkEnd w:id="204"/>
    </w:p>
    <w:p>
      <w:pPr>
        <w:spacing w:line="360" w:lineRule="auto"/>
        <w:rPr>
          <w:rFonts w:cs="Arial" w:asciiTheme="majorEastAsia" w:hAnsiTheme="majorEastAsia" w:eastAsiaTheme="majorEastAsia"/>
          <w:color w:val="000000" w:themeColor="text1"/>
          <w:szCs w:val="21"/>
        </w:rPr>
      </w:pPr>
    </w:p>
    <w:p>
      <w:pPr>
        <w:spacing w:line="360" w:lineRule="auto"/>
        <w:rPr>
          <w:rFonts w:cs="Arial" w:asciiTheme="majorEastAsia" w:hAnsiTheme="majorEastAsia" w:eastAsiaTheme="majorEastAsia"/>
          <w:color w:val="000000" w:themeColor="text1"/>
          <w:szCs w:val="21"/>
        </w:rPr>
        <w:sectPr>
          <w:headerReference r:id="rId12" w:type="default"/>
          <w:footerReference r:id="rId13" w:type="default"/>
          <w:pgSz w:w="11906" w:h="16838"/>
          <w:pgMar w:top="1418" w:right="1134" w:bottom="1418" w:left="1134" w:header="851" w:footer="992" w:gutter="0"/>
          <w:cols w:space="720" w:num="1"/>
          <w:docGrid w:type="lines" w:linePitch="312" w:charSpace="0"/>
        </w:sectPr>
      </w:pPr>
    </w:p>
    <w:p>
      <w:pPr>
        <w:pStyle w:val="2"/>
        <w:kinsoku w:val="0"/>
        <w:overflowPunct w:val="0"/>
        <w:jc w:val="center"/>
        <w:rPr>
          <w:rFonts w:asciiTheme="majorEastAsia" w:hAnsiTheme="majorEastAsia" w:eastAsiaTheme="majorEastAsia"/>
          <w:b/>
          <w:bCs/>
          <w:color w:val="000000" w:themeColor="text1"/>
          <w:spacing w:val="2"/>
          <w:sz w:val="44"/>
          <w:szCs w:val="44"/>
        </w:rPr>
      </w:pPr>
    </w:p>
    <w:p>
      <w:pPr>
        <w:pStyle w:val="2"/>
        <w:kinsoku w:val="0"/>
        <w:overflowPunct w:val="0"/>
        <w:jc w:val="center"/>
        <w:outlineLvl w:val="0"/>
        <w:rPr>
          <w:rFonts w:cs="仿宋" w:asciiTheme="majorEastAsia" w:hAnsiTheme="majorEastAsia" w:eastAsiaTheme="majorEastAsia"/>
          <w:color w:val="000000" w:themeColor="text1"/>
          <w:sz w:val="44"/>
          <w:szCs w:val="44"/>
        </w:rPr>
      </w:pPr>
      <w:bookmarkStart w:id="205" w:name="_Toc21985"/>
      <w:r>
        <w:rPr>
          <w:rFonts w:hint="eastAsia" w:cs="仿宋" w:asciiTheme="majorEastAsia" w:hAnsiTheme="majorEastAsia" w:eastAsiaTheme="majorEastAsia"/>
          <w:b/>
          <w:bCs/>
          <w:color w:val="000000" w:themeColor="text1"/>
          <w:spacing w:val="2"/>
          <w:sz w:val="44"/>
          <w:szCs w:val="44"/>
        </w:rPr>
        <w:t>投标文件</w:t>
      </w:r>
      <w:bookmarkEnd w:id="205"/>
    </w:p>
    <w:p>
      <w:pPr>
        <w:pStyle w:val="2"/>
        <w:kinsoku w:val="0"/>
        <w:overflowPunct w:val="0"/>
        <w:spacing w:before="9"/>
        <w:rPr>
          <w:rFonts w:asciiTheme="majorEastAsia" w:hAnsiTheme="majorEastAsia" w:eastAsiaTheme="majorEastAsia"/>
          <w:b/>
          <w:bCs/>
          <w:color w:val="000000" w:themeColor="text1"/>
          <w:sz w:val="86"/>
          <w:szCs w:val="86"/>
        </w:rPr>
      </w:pPr>
    </w:p>
    <w:p>
      <w:pPr>
        <w:spacing w:line="360" w:lineRule="auto"/>
        <w:ind w:left="1050" w:leftChars="500" w:firstLine="1800" w:firstLineChars="600"/>
        <w:outlineLvl w:val="0"/>
        <w:rPr>
          <w:rFonts w:cs="仿宋" w:asciiTheme="majorEastAsia" w:hAnsiTheme="majorEastAsia" w:eastAsiaTheme="majorEastAsia"/>
          <w:b/>
          <w:color w:val="000000" w:themeColor="text1"/>
          <w:sz w:val="30"/>
          <w:szCs w:val="30"/>
        </w:rPr>
      </w:pPr>
      <w:bookmarkStart w:id="206" w:name="_Toc30099"/>
      <w:r>
        <w:rPr>
          <w:rFonts w:hint="eastAsia" w:cs="仿宋" w:asciiTheme="majorEastAsia" w:hAnsiTheme="majorEastAsia" w:eastAsiaTheme="majorEastAsia"/>
          <w:color w:val="000000" w:themeColor="text1"/>
          <w:sz w:val="30"/>
          <w:szCs w:val="30"/>
        </w:rPr>
        <w:t>项目编号：</w:t>
      </w:r>
      <w:bookmarkEnd w:id="206"/>
    </w:p>
    <w:p>
      <w:pPr>
        <w:pStyle w:val="122"/>
        <w:kinsoku w:val="0"/>
        <w:overflowPunct w:val="0"/>
        <w:spacing w:before="0"/>
        <w:ind w:left="1320" w:firstLine="1221"/>
        <w:outlineLvl w:val="9"/>
        <w:rPr>
          <w:rFonts w:asciiTheme="majorEastAsia" w:hAnsiTheme="majorEastAsia" w:eastAsiaTheme="majorEastAsia"/>
          <w:b w:val="0"/>
          <w:bCs w:val="0"/>
          <w:color w:val="000000" w:themeColor="text1"/>
        </w:rPr>
      </w:pPr>
    </w:p>
    <w:p>
      <w:pPr>
        <w:pStyle w:val="2"/>
        <w:kinsoku w:val="0"/>
        <w:overflowPunct w:val="0"/>
        <w:rPr>
          <w:rFonts w:asciiTheme="majorEastAsia" w:hAnsiTheme="majorEastAsia" w:eastAsiaTheme="majorEastAsia"/>
          <w:b/>
          <w:bCs/>
          <w:color w:val="000000" w:themeColor="text1"/>
          <w:sz w:val="28"/>
          <w:szCs w:val="28"/>
        </w:rPr>
      </w:pPr>
    </w:p>
    <w:p>
      <w:pPr>
        <w:pStyle w:val="2"/>
        <w:kinsoku w:val="0"/>
        <w:overflowPunct w:val="0"/>
        <w:rPr>
          <w:rFonts w:asciiTheme="majorEastAsia" w:hAnsiTheme="majorEastAsia" w:eastAsiaTheme="majorEastAsia"/>
          <w:b/>
          <w:bCs/>
          <w:color w:val="000000" w:themeColor="text1"/>
          <w:sz w:val="28"/>
          <w:szCs w:val="28"/>
        </w:rPr>
      </w:pPr>
    </w:p>
    <w:p>
      <w:pPr>
        <w:pStyle w:val="2"/>
        <w:kinsoku w:val="0"/>
        <w:overflowPunct w:val="0"/>
        <w:rPr>
          <w:rFonts w:asciiTheme="majorEastAsia" w:hAnsiTheme="majorEastAsia" w:eastAsiaTheme="majorEastAsia"/>
          <w:b/>
          <w:bCs/>
          <w:color w:val="000000" w:themeColor="text1"/>
          <w:sz w:val="28"/>
          <w:szCs w:val="28"/>
        </w:rPr>
      </w:pPr>
    </w:p>
    <w:p>
      <w:pPr>
        <w:pStyle w:val="2"/>
        <w:kinsoku w:val="0"/>
        <w:overflowPunct w:val="0"/>
        <w:rPr>
          <w:rFonts w:asciiTheme="majorEastAsia" w:hAnsiTheme="majorEastAsia" w:eastAsiaTheme="majorEastAsia"/>
          <w:b/>
          <w:bCs/>
          <w:color w:val="000000" w:themeColor="text1"/>
          <w:sz w:val="28"/>
          <w:szCs w:val="28"/>
        </w:rPr>
      </w:pPr>
    </w:p>
    <w:p>
      <w:pPr>
        <w:pStyle w:val="2"/>
        <w:kinsoku w:val="0"/>
        <w:overflowPunct w:val="0"/>
        <w:rPr>
          <w:rFonts w:asciiTheme="majorEastAsia" w:hAnsiTheme="majorEastAsia" w:eastAsiaTheme="majorEastAsia"/>
          <w:b/>
          <w:bCs/>
          <w:color w:val="000000" w:themeColor="text1"/>
          <w:sz w:val="28"/>
          <w:szCs w:val="28"/>
        </w:rPr>
      </w:pPr>
    </w:p>
    <w:p>
      <w:pPr>
        <w:pStyle w:val="2"/>
        <w:kinsoku w:val="0"/>
        <w:overflowPunct w:val="0"/>
        <w:rPr>
          <w:rFonts w:asciiTheme="majorEastAsia" w:hAnsiTheme="majorEastAsia" w:eastAsiaTheme="majorEastAsia"/>
          <w:b/>
          <w:bCs/>
          <w:color w:val="000000" w:themeColor="text1"/>
          <w:sz w:val="28"/>
          <w:szCs w:val="28"/>
        </w:rPr>
      </w:pPr>
    </w:p>
    <w:p>
      <w:pPr>
        <w:pStyle w:val="2"/>
        <w:tabs>
          <w:tab w:val="left" w:pos="6041"/>
        </w:tabs>
        <w:kinsoku w:val="0"/>
        <w:overflowPunct w:val="0"/>
        <w:spacing w:line="366" w:lineRule="auto"/>
        <w:ind w:left="1306" w:right="1998" w:firstLine="14"/>
        <w:rPr>
          <w:rFonts w:cs="仿宋" w:asciiTheme="majorEastAsia" w:hAnsiTheme="majorEastAsia" w:eastAsiaTheme="majorEastAsia"/>
          <w:color w:val="000000" w:themeColor="text1"/>
          <w:spacing w:val="23"/>
          <w:sz w:val="30"/>
          <w:szCs w:val="30"/>
        </w:rPr>
      </w:pPr>
      <w:r>
        <w:rPr>
          <w:rFonts w:hint="eastAsia" w:cs="仿宋" w:asciiTheme="majorEastAsia" w:hAnsiTheme="majorEastAsia" w:eastAsiaTheme="majorEastAsia"/>
          <w:color w:val="000000" w:themeColor="text1"/>
          <w:spacing w:val="16"/>
          <w:w w:val="95"/>
          <w:sz w:val="30"/>
          <w:szCs w:val="30"/>
        </w:rPr>
        <w:t>供应商：</w:t>
      </w:r>
      <w:r>
        <w:rPr>
          <w:rFonts w:hint="eastAsia" w:cs="仿宋" w:asciiTheme="majorEastAsia" w:hAnsiTheme="majorEastAsia" w:eastAsiaTheme="majorEastAsia"/>
          <w:color w:val="000000" w:themeColor="text1"/>
          <w:spacing w:val="16"/>
          <w:w w:val="95"/>
          <w:sz w:val="30"/>
          <w:szCs w:val="30"/>
          <w:u w:val="single"/>
        </w:rPr>
        <w:tab/>
      </w:r>
      <w:r>
        <w:rPr>
          <w:rFonts w:hint="eastAsia" w:cs="仿宋" w:asciiTheme="majorEastAsia" w:hAnsiTheme="majorEastAsia" w:eastAsiaTheme="majorEastAsia"/>
          <w:color w:val="000000" w:themeColor="text1"/>
          <w:sz w:val="30"/>
          <w:szCs w:val="30"/>
          <w:u w:val="single"/>
        </w:rPr>
        <w:t>（公章）</w:t>
      </w:r>
    </w:p>
    <w:p>
      <w:pPr>
        <w:pStyle w:val="2"/>
        <w:tabs>
          <w:tab w:val="left" w:pos="6041"/>
        </w:tabs>
        <w:kinsoku w:val="0"/>
        <w:overflowPunct w:val="0"/>
        <w:spacing w:line="366" w:lineRule="auto"/>
        <w:ind w:left="1306" w:right="1998" w:firstLine="14"/>
        <w:rPr>
          <w:rFonts w:cs="仿宋" w:asciiTheme="majorEastAsia" w:hAnsiTheme="majorEastAsia" w:eastAsiaTheme="majorEastAsia"/>
          <w:color w:val="000000" w:themeColor="text1"/>
          <w:sz w:val="30"/>
          <w:szCs w:val="30"/>
        </w:rPr>
      </w:pPr>
      <w:r>
        <w:rPr>
          <w:rFonts w:hint="eastAsia" w:cs="仿宋" w:asciiTheme="majorEastAsia" w:hAnsiTheme="majorEastAsia" w:eastAsiaTheme="majorEastAsia"/>
          <w:color w:val="000000" w:themeColor="text1"/>
          <w:spacing w:val="-1"/>
          <w:sz w:val="30"/>
          <w:szCs w:val="30"/>
        </w:rPr>
        <w:t>法定代表人（或授权委托人）：</w:t>
      </w:r>
      <w:r>
        <w:rPr>
          <w:rFonts w:hint="eastAsia" w:cs="仿宋" w:asciiTheme="majorEastAsia" w:hAnsiTheme="majorEastAsia" w:eastAsiaTheme="majorEastAsia"/>
          <w:color w:val="000000" w:themeColor="text1"/>
          <w:spacing w:val="-1"/>
          <w:sz w:val="30"/>
          <w:szCs w:val="30"/>
          <w:u w:val="single"/>
        </w:rPr>
        <w:tab/>
      </w:r>
      <w:r>
        <w:rPr>
          <w:rFonts w:hint="eastAsia" w:cs="仿宋" w:asciiTheme="majorEastAsia" w:hAnsiTheme="majorEastAsia" w:eastAsiaTheme="majorEastAsia"/>
          <w:color w:val="000000" w:themeColor="text1"/>
          <w:sz w:val="30"/>
          <w:szCs w:val="30"/>
          <w:u w:val="single"/>
        </w:rPr>
        <w:t>（签字或盖章）</w:t>
      </w:r>
    </w:p>
    <w:p>
      <w:pPr>
        <w:pStyle w:val="2"/>
        <w:kinsoku w:val="0"/>
        <w:overflowPunct w:val="0"/>
        <w:rPr>
          <w:rFonts w:cs="仿宋" w:asciiTheme="majorEastAsia" w:hAnsiTheme="majorEastAsia" w:eastAsiaTheme="majorEastAsia"/>
          <w:color w:val="000000" w:themeColor="text1"/>
          <w:sz w:val="30"/>
          <w:szCs w:val="30"/>
        </w:rPr>
      </w:pPr>
    </w:p>
    <w:p>
      <w:pPr>
        <w:pStyle w:val="2"/>
        <w:tabs>
          <w:tab w:val="left" w:pos="1314"/>
          <w:tab w:val="left" w:pos="1914"/>
          <w:tab w:val="left" w:pos="2514"/>
        </w:tabs>
        <w:kinsoku w:val="0"/>
        <w:overflowPunct w:val="0"/>
        <w:spacing w:before="7"/>
        <w:ind w:left="114"/>
        <w:jc w:val="center"/>
        <w:outlineLvl w:val="0"/>
        <w:rPr>
          <w:rFonts w:cs="仿宋" w:asciiTheme="majorEastAsia" w:hAnsiTheme="majorEastAsia" w:eastAsiaTheme="majorEastAsia"/>
          <w:color w:val="000000" w:themeColor="text1"/>
          <w:sz w:val="30"/>
          <w:szCs w:val="30"/>
        </w:rPr>
      </w:pPr>
      <w:bookmarkStart w:id="207" w:name="_Toc12364"/>
      <w:r>
        <w:rPr>
          <w:rFonts w:hint="eastAsia" w:cs="仿宋" w:asciiTheme="majorEastAsia" w:hAnsiTheme="majorEastAsia" w:eastAsiaTheme="majorEastAsia"/>
          <w:color w:val="000000" w:themeColor="text1"/>
          <w:sz w:val="30"/>
          <w:szCs w:val="30"/>
        </w:rPr>
        <w:t>日期：</w:t>
      </w:r>
      <w:r>
        <w:rPr>
          <w:rFonts w:hint="eastAsia" w:cs="仿宋" w:asciiTheme="majorEastAsia" w:hAnsiTheme="majorEastAsia" w:eastAsiaTheme="majorEastAsia"/>
          <w:color w:val="000000" w:themeColor="text1"/>
          <w:sz w:val="30"/>
          <w:szCs w:val="30"/>
        </w:rPr>
        <w:tab/>
      </w:r>
      <w:r>
        <w:rPr>
          <w:rFonts w:hint="eastAsia" w:cs="仿宋" w:asciiTheme="majorEastAsia" w:hAnsiTheme="majorEastAsia" w:eastAsiaTheme="majorEastAsia"/>
          <w:color w:val="000000" w:themeColor="text1"/>
          <w:sz w:val="30"/>
          <w:szCs w:val="30"/>
        </w:rPr>
        <w:t>年</w:t>
      </w:r>
      <w:r>
        <w:rPr>
          <w:rFonts w:hint="eastAsia" w:cs="仿宋" w:asciiTheme="majorEastAsia" w:hAnsiTheme="majorEastAsia" w:eastAsiaTheme="majorEastAsia"/>
          <w:color w:val="000000" w:themeColor="text1"/>
          <w:sz w:val="30"/>
          <w:szCs w:val="30"/>
        </w:rPr>
        <w:tab/>
      </w:r>
      <w:r>
        <w:rPr>
          <w:rFonts w:hint="eastAsia" w:cs="仿宋" w:asciiTheme="majorEastAsia" w:hAnsiTheme="majorEastAsia" w:eastAsiaTheme="majorEastAsia"/>
          <w:color w:val="000000" w:themeColor="text1"/>
          <w:sz w:val="30"/>
          <w:szCs w:val="30"/>
        </w:rPr>
        <w:t>月</w:t>
      </w:r>
      <w:r>
        <w:rPr>
          <w:rFonts w:hint="eastAsia" w:cs="仿宋" w:asciiTheme="majorEastAsia" w:hAnsiTheme="majorEastAsia" w:eastAsiaTheme="majorEastAsia"/>
          <w:color w:val="000000" w:themeColor="text1"/>
          <w:sz w:val="30"/>
          <w:szCs w:val="30"/>
        </w:rPr>
        <w:tab/>
      </w:r>
      <w:r>
        <w:rPr>
          <w:rFonts w:hint="eastAsia" w:cs="仿宋" w:asciiTheme="majorEastAsia" w:hAnsiTheme="majorEastAsia" w:eastAsiaTheme="majorEastAsia"/>
          <w:color w:val="000000" w:themeColor="text1"/>
          <w:sz w:val="30"/>
          <w:szCs w:val="30"/>
        </w:rPr>
        <w:t>日</w:t>
      </w:r>
      <w:bookmarkEnd w:id="207"/>
    </w:p>
    <w:p>
      <w:pPr>
        <w:pStyle w:val="2"/>
        <w:kinsoku w:val="0"/>
        <w:overflowPunct w:val="0"/>
        <w:spacing w:before="130" w:line="355" w:lineRule="auto"/>
        <w:ind w:right="7" w:firstLine="480"/>
        <w:jc w:val="center"/>
        <w:rPr>
          <w:rFonts w:asciiTheme="majorEastAsia" w:hAnsiTheme="majorEastAsia" w:eastAsiaTheme="majorEastAsia"/>
          <w:b/>
          <w:color w:val="000000" w:themeColor="text1"/>
          <w:spacing w:val="4"/>
        </w:rPr>
      </w:pPr>
    </w:p>
    <w:p>
      <w:pPr>
        <w:pStyle w:val="2"/>
        <w:kinsoku w:val="0"/>
        <w:overflowPunct w:val="0"/>
        <w:spacing w:before="130" w:line="355" w:lineRule="auto"/>
        <w:ind w:right="7" w:firstLine="480"/>
        <w:jc w:val="center"/>
        <w:rPr>
          <w:rFonts w:asciiTheme="majorEastAsia" w:hAnsiTheme="majorEastAsia" w:eastAsiaTheme="majorEastAsia"/>
          <w:b/>
          <w:color w:val="000000" w:themeColor="text1"/>
          <w:spacing w:val="4"/>
        </w:rPr>
      </w:pPr>
    </w:p>
    <w:p>
      <w:pPr>
        <w:pStyle w:val="18"/>
        <w:rPr>
          <w:rFonts w:asciiTheme="majorEastAsia" w:hAnsiTheme="majorEastAsia" w:eastAsiaTheme="majorEastAsia"/>
          <w:b/>
          <w:color w:val="000000" w:themeColor="text1"/>
          <w:spacing w:val="4"/>
        </w:rPr>
      </w:pPr>
    </w:p>
    <w:p>
      <w:pPr>
        <w:pStyle w:val="18"/>
        <w:rPr>
          <w:rFonts w:asciiTheme="majorEastAsia" w:hAnsiTheme="majorEastAsia" w:eastAsiaTheme="majorEastAsia"/>
          <w:b/>
          <w:color w:val="000000" w:themeColor="text1"/>
          <w:spacing w:val="4"/>
        </w:rPr>
      </w:pPr>
    </w:p>
    <w:p>
      <w:pPr>
        <w:pStyle w:val="18"/>
        <w:rPr>
          <w:rFonts w:asciiTheme="majorEastAsia" w:hAnsiTheme="majorEastAsia" w:eastAsiaTheme="majorEastAsia"/>
          <w:b/>
          <w:color w:val="000000" w:themeColor="text1"/>
          <w:spacing w:val="4"/>
        </w:rPr>
      </w:pPr>
    </w:p>
    <w:p>
      <w:pPr>
        <w:pStyle w:val="18"/>
        <w:rPr>
          <w:rFonts w:asciiTheme="majorEastAsia" w:hAnsiTheme="majorEastAsia" w:eastAsiaTheme="majorEastAsia"/>
          <w:b/>
          <w:color w:val="000000" w:themeColor="text1"/>
          <w:spacing w:val="4"/>
        </w:rPr>
      </w:pPr>
    </w:p>
    <w:p>
      <w:pPr>
        <w:pStyle w:val="18"/>
        <w:rPr>
          <w:rFonts w:asciiTheme="majorEastAsia" w:hAnsiTheme="majorEastAsia" w:eastAsiaTheme="majorEastAsia"/>
          <w:b/>
          <w:color w:val="000000" w:themeColor="text1"/>
          <w:spacing w:val="4"/>
        </w:rPr>
      </w:pPr>
    </w:p>
    <w:p>
      <w:pPr>
        <w:pStyle w:val="18"/>
        <w:rPr>
          <w:rFonts w:asciiTheme="majorEastAsia" w:hAnsiTheme="majorEastAsia" w:eastAsiaTheme="majorEastAsia"/>
          <w:b/>
          <w:color w:val="000000" w:themeColor="text1"/>
          <w:spacing w:val="4"/>
        </w:rPr>
      </w:pPr>
    </w:p>
    <w:p>
      <w:pPr>
        <w:pStyle w:val="2"/>
        <w:kinsoku w:val="0"/>
        <w:overflowPunct w:val="0"/>
        <w:spacing w:before="130" w:line="355" w:lineRule="auto"/>
        <w:ind w:right="7" w:firstLine="480"/>
        <w:jc w:val="center"/>
        <w:rPr>
          <w:rFonts w:cs="仿宋" w:asciiTheme="majorEastAsia" w:hAnsiTheme="majorEastAsia" w:eastAsiaTheme="majorEastAsia"/>
          <w:b/>
          <w:color w:val="000000" w:themeColor="text1"/>
          <w:spacing w:val="4"/>
        </w:rPr>
      </w:pPr>
      <w:r>
        <w:rPr>
          <w:rFonts w:hint="eastAsia" w:cs="仿宋" w:asciiTheme="majorEastAsia" w:hAnsiTheme="majorEastAsia" w:eastAsiaTheme="majorEastAsia"/>
          <w:b/>
          <w:color w:val="000000" w:themeColor="text1"/>
          <w:spacing w:val="4"/>
        </w:rPr>
        <w:t>目    录</w:t>
      </w:r>
    </w:p>
    <w:p>
      <w:pPr>
        <w:pStyle w:val="2"/>
        <w:rPr>
          <w:rFonts w:cs="仿宋" w:asciiTheme="majorEastAsia" w:hAnsiTheme="majorEastAsia" w:eastAsiaTheme="majorEastAsia"/>
          <w:b/>
          <w:color w:val="000000" w:themeColor="text1"/>
        </w:rPr>
      </w:pPr>
      <w:r>
        <w:rPr>
          <w:rFonts w:hint="eastAsia" w:cs="仿宋" w:asciiTheme="majorEastAsia" w:hAnsiTheme="majorEastAsia" w:eastAsiaTheme="majorEastAsia"/>
          <w:b/>
          <w:color w:val="000000" w:themeColor="text1"/>
        </w:rPr>
        <w:t>一、商务部分</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(1)投标函；</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 xml:space="preserve">(2)法定代表人身份证明（附法定代表人身份证复印件）； </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 xml:space="preserve">(3)委托授权书（附被授权人身份证复印件）； </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 xml:space="preserve">(4)投标保证金缴纳凭证（复印件加盖公章）； </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(5)投标报价单；</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 xml:space="preserve">(6)投标报价汇总表； </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(7)供应商基本情况；</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1）供应商基本情况表；</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2）营业执照、公司资质证书(如有)（复印件加盖公章）；</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3）近一年财务状况报告相关材料（复印件加盖公章）；</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 xml:space="preserve">(8)一般商务条款偏离表； </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 xml:space="preserve">(9)同类项目业绩介绍； </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(10)其他商务资格证明资料（格式自定）。</w:t>
      </w:r>
    </w:p>
    <w:p>
      <w:pPr>
        <w:pStyle w:val="2"/>
        <w:rPr>
          <w:rFonts w:cs="仿宋" w:asciiTheme="majorEastAsia" w:hAnsiTheme="majorEastAsia" w:eastAsiaTheme="majorEastAsia"/>
          <w:b/>
          <w:color w:val="000000" w:themeColor="text1"/>
        </w:rPr>
      </w:pPr>
      <w:r>
        <w:rPr>
          <w:rFonts w:hint="eastAsia" w:cs="仿宋" w:asciiTheme="majorEastAsia" w:hAnsiTheme="majorEastAsia" w:eastAsiaTheme="majorEastAsia"/>
          <w:b/>
          <w:color w:val="000000" w:themeColor="text1"/>
        </w:rPr>
        <w:t>二、技术部分</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(11)项目实施方案；</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(12)货物质量及售后服务承诺书；</w:t>
      </w:r>
    </w:p>
    <w:p>
      <w:pPr>
        <w:pStyle w:val="2"/>
        <w:ind w:firstLine="420"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(13)供应商认为需要提交的技术资料；</w:t>
      </w:r>
    </w:p>
    <w:p>
      <w:pPr>
        <w:pStyle w:val="14"/>
        <w:rPr>
          <w:rFonts w:cs="宋体" w:asciiTheme="majorEastAsia" w:hAnsiTheme="majorEastAsia" w:eastAsiaTheme="majorEastAsia"/>
          <w:b/>
          <w:color w:val="000000" w:themeColor="text1"/>
          <w:kern w:val="0"/>
          <w:szCs w:val="21"/>
        </w:rPr>
      </w:pPr>
    </w:p>
    <w:p>
      <w:pPr>
        <w:pStyle w:val="14"/>
        <w:rPr>
          <w:rFonts w:cs="宋体" w:asciiTheme="majorEastAsia" w:hAnsiTheme="majorEastAsia" w:eastAsiaTheme="majorEastAsia"/>
          <w:b/>
          <w:color w:val="000000" w:themeColor="text1"/>
          <w:kern w:val="0"/>
          <w:szCs w:val="21"/>
        </w:rPr>
      </w:pPr>
    </w:p>
    <w:p>
      <w:pPr>
        <w:pStyle w:val="14"/>
        <w:rPr>
          <w:rFonts w:cs="宋体" w:asciiTheme="majorEastAsia" w:hAnsiTheme="majorEastAsia" w:eastAsiaTheme="majorEastAsia"/>
          <w:b/>
          <w:color w:val="000000" w:themeColor="text1"/>
          <w:kern w:val="0"/>
          <w:szCs w:val="21"/>
        </w:rPr>
      </w:pPr>
    </w:p>
    <w:p>
      <w:pPr>
        <w:pStyle w:val="2"/>
        <w:kinsoku w:val="0"/>
        <w:overflowPunct w:val="0"/>
        <w:spacing w:before="130" w:line="360" w:lineRule="exact"/>
        <w:ind w:left="119" w:right="6" w:firstLine="480"/>
        <w:rPr>
          <w:rFonts w:asciiTheme="majorEastAsia" w:hAnsiTheme="majorEastAsia" w:eastAsiaTheme="majorEastAsia"/>
          <w:color w:val="000000" w:themeColor="text1"/>
          <w:spacing w:val="4"/>
        </w:rPr>
      </w:pPr>
    </w:p>
    <w:p>
      <w:pPr>
        <w:pStyle w:val="123"/>
        <w:kinsoku w:val="0"/>
        <w:overflowPunct w:val="0"/>
        <w:spacing w:line="940" w:lineRule="exact"/>
        <w:jc w:val="center"/>
        <w:outlineLvl w:val="9"/>
        <w:rPr>
          <w:rFonts w:asciiTheme="majorEastAsia" w:hAnsiTheme="majorEastAsia" w:eastAsiaTheme="majorEastAsia"/>
          <w:color w:val="000000" w:themeColor="text1"/>
        </w:rPr>
      </w:pPr>
    </w:p>
    <w:p>
      <w:pPr>
        <w:pStyle w:val="123"/>
        <w:kinsoku w:val="0"/>
        <w:overflowPunct w:val="0"/>
        <w:spacing w:line="940" w:lineRule="exact"/>
        <w:jc w:val="center"/>
        <w:outlineLvl w:val="9"/>
        <w:rPr>
          <w:rFonts w:asciiTheme="majorEastAsia" w:hAnsiTheme="majorEastAsia" w:eastAsiaTheme="majorEastAsia"/>
          <w:color w:val="000000" w:themeColor="text1"/>
        </w:rPr>
      </w:pPr>
    </w:p>
    <w:p>
      <w:pPr>
        <w:pStyle w:val="123"/>
        <w:kinsoku w:val="0"/>
        <w:overflowPunct w:val="0"/>
        <w:spacing w:line="940" w:lineRule="exact"/>
        <w:jc w:val="center"/>
        <w:outlineLvl w:val="9"/>
        <w:rPr>
          <w:rFonts w:asciiTheme="majorEastAsia" w:hAnsiTheme="majorEastAsia" w:eastAsiaTheme="majorEastAsia"/>
          <w:color w:val="000000" w:themeColor="text1"/>
        </w:rPr>
      </w:pPr>
    </w:p>
    <w:p>
      <w:pPr>
        <w:pStyle w:val="123"/>
        <w:kinsoku w:val="0"/>
        <w:overflowPunct w:val="0"/>
        <w:spacing w:line="940" w:lineRule="exact"/>
        <w:jc w:val="center"/>
        <w:outlineLvl w:val="9"/>
        <w:rPr>
          <w:rFonts w:asciiTheme="majorEastAsia" w:hAnsiTheme="majorEastAsia" w:eastAsiaTheme="majorEastAsia"/>
          <w:color w:val="000000" w:themeColor="text1"/>
        </w:rPr>
      </w:pPr>
    </w:p>
    <w:p>
      <w:pPr>
        <w:pStyle w:val="123"/>
        <w:kinsoku w:val="0"/>
        <w:overflowPunct w:val="0"/>
        <w:spacing w:line="940" w:lineRule="exact"/>
        <w:jc w:val="center"/>
        <w:outlineLvl w:val="9"/>
        <w:rPr>
          <w:rFonts w:asciiTheme="majorEastAsia" w:hAnsiTheme="majorEastAsia" w:eastAsiaTheme="majorEastAsia"/>
          <w:color w:val="000000" w:themeColor="text1"/>
        </w:rPr>
      </w:pPr>
    </w:p>
    <w:p>
      <w:pPr>
        <w:pStyle w:val="123"/>
        <w:kinsoku w:val="0"/>
        <w:overflowPunct w:val="0"/>
        <w:spacing w:line="940" w:lineRule="exact"/>
        <w:jc w:val="center"/>
        <w:outlineLvl w:val="9"/>
        <w:rPr>
          <w:rFonts w:asciiTheme="majorEastAsia" w:hAnsiTheme="majorEastAsia" w:eastAsiaTheme="majorEastAsia"/>
          <w:color w:val="000000" w:themeColor="text1"/>
        </w:rPr>
      </w:pPr>
    </w:p>
    <w:p>
      <w:pPr>
        <w:pStyle w:val="123"/>
        <w:kinsoku w:val="0"/>
        <w:overflowPunct w:val="0"/>
        <w:spacing w:line="940" w:lineRule="exact"/>
        <w:jc w:val="center"/>
        <w:outlineLvl w:val="9"/>
        <w:rPr>
          <w:rFonts w:asciiTheme="majorEastAsia" w:hAnsiTheme="majorEastAsia" w:eastAsiaTheme="majorEastAsia"/>
          <w:color w:val="000000" w:themeColor="text1"/>
        </w:rPr>
      </w:pPr>
    </w:p>
    <w:p>
      <w:pPr>
        <w:pStyle w:val="123"/>
        <w:kinsoku w:val="0"/>
        <w:overflowPunct w:val="0"/>
        <w:spacing w:line="940" w:lineRule="exact"/>
        <w:jc w:val="center"/>
        <w:outlineLvl w:val="9"/>
        <w:rPr>
          <w:rFonts w:asciiTheme="majorEastAsia" w:hAnsiTheme="majorEastAsia" w:eastAsiaTheme="majorEastAsia"/>
          <w:color w:val="000000" w:themeColor="text1"/>
        </w:rPr>
      </w:pPr>
    </w:p>
    <w:p>
      <w:pPr>
        <w:jc w:val="center"/>
        <w:rPr>
          <w:rFonts w:asciiTheme="majorEastAsia" w:hAnsiTheme="majorEastAsia" w:eastAsiaTheme="majorEastAsia"/>
          <w:b/>
          <w:bCs/>
          <w:color w:val="000000" w:themeColor="text1"/>
          <w:sz w:val="32"/>
          <w:szCs w:val="32"/>
        </w:rPr>
      </w:pPr>
      <w:r>
        <w:rPr>
          <w:rFonts w:hint="eastAsia" w:asciiTheme="majorEastAsia" w:hAnsiTheme="majorEastAsia" w:eastAsiaTheme="majorEastAsia"/>
          <w:b/>
          <w:color w:val="000000" w:themeColor="text1"/>
          <w:sz w:val="32"/>
          <w:szCs w:val="32"/>
        </w:rPr>
        <w:t>（一）商务部分</w:t>
      </w:r>
    </w:p>
    <w:p>
      <w:pPr>
        <w:pStyle w:val="2"/>
        <w:kinsoku w:val="0"/>
        <w:overflowPunct w:val="0"/>
        <w:spacing w:before="130" w:line="355" w:lineRule="auto"/>
        <w:ind w:right="7" w:firstLine="480"/>
        <w:jc w:val="center"/>
        <w:rPr>
          <w:rFonts w:asciiTheme="majorEastAsia" w:hAnsiTheme="majorEastAsia" w:eastAsiaTheme="majorEastAsia"/>
          <w:b/>
          <w:bCs/>
          <w:color w:val="000000" w:themeColor="text1"/>
          <w:sz w:val="36"/>
          <w:szCs w:val="36"/>
        </w:rPr>
      </w:pPr>
      <w:r>
        <w:rPr>
          <w:rFonts w:asciiTheme="majorEastAsia" w:hAnsiTheme="majorEastAsia" w:eastAsiaTheme="majorEastAsia"/>
          <w:color w:val="000000" w:themeColor="text1"/>
          <w:sz w:val="32"/>
          <w:szCs w:val="32"/>
        </w:rPr>
        <w:br w:type="page"/>
      </w:r>
      <w:r>
        <w:rPr>
          <w:rFonts w:hint="eastAsia" w:asciiTheme="majorEastAsia" w:hAnsiTheme="majorEastAsia" w:eastAsiaTheme="majorEastAsia"/>
          <w:b/>
          <w:bCs/>
          <w:color w:val="000000" w:themeColor="text1"/>
          <w:sz w:val="36"/>
          <w:szCs w:val="36"/>
        </w:rPr>
        <w:t>一、投标函</w:t>
      </w:r>
    </w:p>
    <w:p>
      <w:pPr>
        <w:spacing w:line="480" w:lineRule="exact"/>
        <w:ind w:firstLine="480" w:firstLineChars="200"/>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致：</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为响应你方组织的项目的招标[项目编号为：]，我方愿参与投标。</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我方确认收到贵方提供的招标文件的全部内容。</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u w:val="single"/>
        </w:rPr>
        <w:t xml:space="preserve">      (供应商名称)      </w:t>
      </w:r>
      <w:r>
        <w:rPr>
          <w:rFonts w:hint="eastAsia" w:cs="仿宋" w:asciiTheme="majorEastAsia" w:hAnsiTheme="majorEastAsia" w:eastAsiaTheme="majorEastAsia"/>
          <w:color w:val="000000" w:themeColor="text1"/>
          <w:kern w:val="0"/>
          <w:sz w:val="24"/>
        </w:rPr>
        <w:t>作为投标供应商正式授权</w:t>
      </w:r>
      <w:r>
        <w:rPr>
          <w:rFonts w:hint="eastAsia" w:cs="仿宋" w:asciiTheme="majorEastAsia" w:hAnsiTheme="majorEastAsia" w:eastAsiaTheme="majorEastAsia"/>
          <w:color w:val="000000" w:themeColor="text1"/>
          <w:kern w:val="0"/>
          <w:sz w:val="24"/>
          <w:u w:val="single"/>
        </w:rPr>
        <w:t xml:space="preserve">  (授权代表全名, 职务)  </w:t>
      </w:r>
      <w:r>
        <w:rPr>
          <w:rFonts w:hint="eastAsia" w:cs="仿宋" w:asciiTheme="majorEastAsia" w:hAnsiTheme="majorEastAsia" w:eastAsiaTheme="majorEastAsia"/>
          <w:color w:val="000000" w:themeColor="text1"/>
          <w:kern w:val="0"/>
          <w:sz w:val="24"/>
        </w:rPr>
        <w:t>代表我方全权处理有关本报价的一切事宜。</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在此提交的投标文件，正本壹份，副本肆份。</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我方已完全明白招标文件的所有条款要求，并申明如下：</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（一）按招标文件提供的全部货物与相关服务的投标总价详见《报价一览表》。</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二）本投标文件的有效期为投标截止时间起30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（三）我方明白并同意，在规定的开标日之后，投标有效期之内撤回投标或中标后不按规定与采购人签订合同或不提交履约保证金, 则贵方将不予退还投标保证金。</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（四）我方同意按照贵方可能提出的要求而提供与投标有关的任何其它数据、信息或资料。</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（五）我方理解贵方不一定接受最低投标价或任何贵方可能收到的投标。</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（六）我方如果中标，将保证履行招标文件及其澄清、修改文件（如果有）中的全部责任和义务，按质、按量、按期完成《招标内容》及《合同书》中的全部任务。</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（七）如我方被授予合同，我方承诺支付就本次招标应支付或将支付的中标服务费（详见按招标文件要求格式填写的《中标服务费支付承诺书》）。</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（八）我方作为</w:t>
      </w:r>
      <w:r>
        <w:rPr>
          <w:rFonts w:hint="eastAsia" w:cs="仿宋" w:asciiTheme="majorEastAsia" w:hAnsiTheme="majorEastAsia" w:eastAsiaTheme="majorEastAsia"/>
          <w:color w:val="000000" w:themeColor="text1"/>
          <w:kern w:val="0"/>
          <w:sz w:val="24"/>
          <w:u w:val="single"/>
        </w:rPr>
        <w:t xml:space="preserve">   （制造商/代理商）   </w:t>
      </w:r>
      <w:r>
        <w:rPr>
          <w:rFonts w:hint="eastAsia" w:cs="仿宋" w:asciiTheme="majorEastAsia" w:hAnsiTheme="majorEastAsia" w:eastAsiaTheme="majorEastAsia"/>
          <w:color w:val="000000" w:themeColor="text1"/>
          <w:kern w:val="0"/>
          <w:sz w:val="24"/>
        </w:rPr>
        <w:t>是在法律、财务和运作上独立于采购人、招标代理机构的投标供应商，在此保证所提交的所有文件和全部说明是真实的和正确的。</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（九）我方投标报价已包含应向知识产权所有权人支付的所有相关税费，并保证采购人在中国使用我方提供的货物时，如有第三方提出侵犯其知识产权主张的，责任由我方承担。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（十）我</w:t>
      </w:r>
      <w:r>
        <w:rPr>
          <w:rFonts w:cs="仿宋" w:asciiTheme="majorEastAsia" w:hAnsiTheme="majorEastAsia" w:eastAsiaTheme="majorEastAsia"/>
          <w:color w:val="000000" w:themeColor="text1"/>
          <w:kern w:val="0"/>
          <w:sz w:val="24"/>
        </w:rPr>
        <w:t>方与其他投标供应商</w:t>
      </w:r>
      <w:r>
        <w:rPr>
          <w:rFonts w:hint="eastAsia" w:cs="仿宋" w:asciiTheme="majorEastAsia" w:hAnsiTheme="majorEastAsia" w:eastAsiaTheme="majorEastAsia"/>
          <w:color w:val="000000" w:themeColor="text1"/>
          <w:kern w:val="0"/>
          <w:sz w:val="24"/>
        </w:rPr>
        <w:t>不</w:t>
      </w:r>
      <w:r>
        <w:rPr>
          <w:rFonts w:cs="仿宋" w:asciiTheme="majorEastAsia" w:hAnsiTheme="majorEastAsia" w:eastAsiaTheme="majorEastAsia"/>
          <w:color w:val="000000" w:themeColor="text1"/>
          <w:kern w:val="0"/>
          <w:sz w:val="24"/>
        </w:rPr>
        <w:t>存在</w:t>
      </w:r>
      <w:r>
        <w:rPr>
          <w:rFonts w:hint="eastAsia" w:cs="仿宋" w:asciiTheme="majorEastAsia" w:hAnsiTheme="majorEastAsia" w:eastAsiaTheme="majorEastAsia"/>
          <w:color w:val="000000" w:themeColor="text1"/>
          <w:kern w:val="0"/>
          <w:sz w:val="24"/>
        </w:rPr>
        <w:t>单位负责人为同一人或者存在直接控股、管理关系。</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（十一）我方承诺未为本项目提供整体设计、规范编制或者项目管理、监理、检测等服务。</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（十二）我方具备《政府采购法》第二十二条规定的条件，</w:t>
      </w:r>
      <w:r>
        <w:rPr>
          <w:rFonts w:cs="仿宋" w:asciiTheme="majorEastAsia" w:hAnsiTheme="majorEastAsia" w:eastAsiaTheme="majorEastAsia"/>
          <w:color w:val="000000" w:themeColor="text1"/>
          <w:kern w:val="0"/>
          <w:sz w:val="24"/>
        </w:rPr>
        <w:t>承诺如下：</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（1）我方已依法缴纳了各项税费及社会保险费用，如有需要，可随时向采购人提供近三个月内的相关缴费证明，以便核查。</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（2</w:t>
      </w:r>
      <w:r>
        <w:rPr>
          <w:rFonts w:cs="仿宋" w:asciiTheme="majorEastAsia" w:hAnsiTheme="majorEastAsia" w:eastAsiaTheme="majorEastAsia"/>
          <w:color w:val="000000" w:themeColor="text1"/>
          <w:kern w:val="0"/>
          <w:sz w:val="24"/>
        </w:rPr>
        <w:t>）</w:t>
      </w:r>
      <w:r>
        <w:rPr>
          <w:rFonts w:hint="eastAsia" w:cs="仿宋" w:asciiTheme="majorEastAsia" w:hAnsiTheme="majorEastAsia" w:eastAsiaTheme="majorEastAsia"/>
          <w:color w:val="000000" w:themeColor="text1"/>
          <w:kern w:val="0"/>
          <w:sz w:val="24"/>
        </w:rPr>
        <w:t>我方已依法建立健全的财务会计制度，如有需要，可随时向采购人提供相关的证明材料，以便核查。</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（3）我</w:t>
      </w:r>
      <w:r>
        <w:rPr>
          <w:rFonts w:cs="仿宋" w:asciiTheme="majorEastAsia" w:hAnsiTheme="majorEastAsia" w:eastAsiaTheme="majorEastAsia"/>
          <w:color w:val="000000" w:themeColor="text1"/>
          <w:kern w:val="0"/>
          <w:sz w:val="24"/>
        </w:rPr>
        <w:t>方</w:t>
      </w:r>
      <w:r>
        <w:rPr>
          <w:rFonts w:hint="eastAsia" w:cs="仿宋" w:asciiTheme="majorEastAsia" w:hAnsiTheme="majorEastAsia" w:eastAsiaTheme="majorEastAsia"/>
          <w:color w:val="000000" w:themeColor="text1"/>
          <w:kern w:val="0"/>
          <w:sz w:val="24"/>
        </w:rPr>
        <w:t>参加本项目政府采购活动前3年内在经营活动中没有重大违法记录。</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（4）我方具备履行合同所必需的设备和专业技术能力。</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（5</w:t>
      </w:r>
      <w:r>
        <w:rPr>
          <w:rFonts w:cs="仿宋" w:asciiTheme="majorEastAsia" w:hAnsiTheme="majorEastAsia" w:eastAsiaTheme="majorEastAsia"/>
          <w:color w:val="000000" w:themeColor="text1"/>
          <w:kern w:val="0"/>
          <w:sz w:val="24"/>
        </w:rPr>
        <w:t>）</w:t>
      </w:r>
      <w:r>
        <w:rPr>
          <w:rFonts w:hint="eastAsia" w:cs="仿宋" w:asciiTheme="majorEastAsia" w:hAnsiTheme="majorEastAsia" w:eastAsiaTheme="majorEastAsia"/>
          <w:color w:val="000000" w:themeColor="text1"/>
          <w:kern w:val="0"/>
          <w:sz w:val="24"/>
        </w:rPr>
        <w:t>我</w:t>
      </w:r>
      <w:r>
        <w:rPr>
          <w:rFonts w:cs="仿宋" w:asciiTheme="majorEastAsia" w:hAnsiTheme="majorEastAsia" w:eastAsiaTheme="majorEastAsia"/>
          <w:color w:val="000000" w:themeColor="text1"/>
          <w:kern w:val="0"/>
          <w:sz w:val="24"/>
        </w:rPr>
        <w:t>方</w:t>
      </w:r>
      <w:r>
        <w:rPr>
          <w:rFonts w:hint="eastAsia" w:cs="仿宋" w:asciiTheme="majorEastAsia" w:hAnsiTheme="majorEastAsia" w:eastAsiaTheme="majorEastAsia"/>
          <w:color w:val="000000" w:themeColor="text1"/>
          <w:kern w:val="0"/>
          <w:sz w:val="24"/>
        </w:rPr>
        <w:t>符合法律、行政法规规定的其他条件。</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以上内容如有虚假或与事实不符的，评审委员会可将我方做无效投标处理，我方愿意承担相应的法律责任。</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（十三）我方对在本函及投标文件中所作的所有承诺承担法律责任。</w:t>
      </w:r>
    </w:p>
    <w:p>
      <w:pPr>
        <w:spacing w:line="48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（十四）所有与本招标有关的函件请发往下列地址：</w:t>
      </w:r>
    </w:p>
    <w:p>
      <w:pPr>
        <w:spacing w:line="360" w:lineRule="auto"/>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地    址：.邮政编码：.</w:t>
      </w:r>
    </w:p>
    <w:p>
      <w:pPr>
        <w:spacing w:line="360" w:lineRule="auto"/>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电    话：.</w:t>
      </w:r>
    </w:p>
    <w:p>
      <w:pPr>
        <w:spacing w:line="360" w:lineRule="auto"/>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传    真：.</w:t>
      </w:r>
    </w:p>
    <w:p>
      <w:pPr>
        <w:spacing w:line="360" w:lineRule="auto"/>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代表姓名：.职    务：.</w:t>
      </w:r>
    </w:p>
    <w:p>
      <w:pPr>
        <w:spacing w:line="420" w:lineRule="exact"/>
        <w:rPr>
          <w:rFonts w:cs="仿宋" w:asciiTheme="majorEastAsia" w:hAnsiTheme="majorEastAsia" w:eastAsiaTheme="majorEastAsia"/>
          <w:color w:val="000000" w:themeColor="text1"/>
          <w:kern w:val="0"/>
          <w:sz w:val="24"/>
        </w:rPr>
      </w:pPr>
    </w:p>
    <w:p>
      <w:pPr>
        <w:spacing w:line="420" w:lineRule="exact"/>
        <w:ind w:right="480"/>
        <w:jc w:val="right"/>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供应商：</w:t>
      </w:r>
      <w:r>
        <w:rPr>
          <w:rFonts w:cs="仿宋" w:asciiTheme="majorEastAsia" w:hAnsiTheme="majorEastAsia" w:eastAsiaTheme="majorEastAsia"/>
          <w:color w:val="000000" w:themeColor="text1"/>
          <w:kern w:val="0"/>
          <w:sz w:val="24"/>
          <w:u w:val="single"/>
        </w:rPr>
        <w:tab/>
      </w:r>
      <w:r>
        <w:rPr>
          <w:rFonts w:hint="eastAsia" w:cs="仿宋" w:asciiTheme="majorEastAsia" w:hAnsiTheme="majorEastAsia" w:eastAsiaTheme="majorEastAsia"/>
          <w:color w:val="000000" w:themeColor="text1"/>
          <w:kern w:val="0"/>
          <w:sz w:val="24"/>
        </w:rPr>
        <w:t>（公章）</w:t>
      </w:r>
    </w:p>
    <w:p>
      <w:pPr>
        <w:wordWrap w:val="0"/>
        <w:spacing w:line="420" w:lineRule="exact"/>
        <w:ind w:firstLine="480" w:firstLineChars="200"/>
        <w:jc w:val="right"/>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法定代表人或委托人：</w:t>
      </w:r>
      <w:r>
        <w:rPr>
          <w:rFonts w:cs="仿宋" w:asciiTheme="majorEastAsia" w:hAnsiTheme="majorEastAsia" w:eastAsiaTheme="majorEastAsia"/>
          <w:color w:val="000000" w:themeColor="text1"/>
          <w:kern w:val="0"/>
          <w:sz w:val="24"/>
        </w:rPr>
        <w:tab/>
      </w:r>
      <w:r>
        <w:rPr>
          <w:rFonts w:hint="eastAsia" w:cs="仿宋" w:asciiTheme="majorEastAsia" w:hAnsiTheme="majorEastAsia" w:eastAsiaTheme="majorEastAsia"/>
          <w:color w:val="000000" w:themeColor="text1"/>
          <w:kern w:val="0"/>
          <w:sz w:val="24"/>
        </w:rPr>
        <w:t xml:space="preserve">（签字或盖章）    </w:t>
      </w:r>
    </w:p>
    <w:p>
      <w:pPr>
        <w:wordWrap w:val="0"/>
        <w:spacing w:line="420" w:lineRule="exact"/>
        <w:ind w:right="480"/>
        <w:jc w:val="right"/>
        <w:rPr>
          <w:rFonts w:cs="仿宋" w:asciiTheme="majorEastAsia" w:hAnsiTheme="majorEastAsia" w:eastAsiaTheme="majorEastAsia"/>
          <w:color w:val="000000" w:themeColor="text1"/>
          <w:kern w:val="0"/>
          <w:sz w:val="24"/>
        </w:rPr>
      </w:pPr>
      <w:r>
        <w:rPr>
          <w:rFonts w:cs="仿宋" w:asciiTheme="majorEastAsia" w:hAnsiTheme="majorEastAsia" w:eastAsiaTheme="majorEastAsia"/>
          <w:color w:val="000000" w:themeColor="text1"/>
          <w:kern w:val="0"/>
          <w:sz w:val="24"/>
          <w:u w:val="single"/>
        </w:rPr>
        <w:tab/>
      </w:r>
      <w:r>
        <w:rPr>
          <w:rFonts w:hint="eastAsia" w:cs="仿宋" w:asciiTheme="majorEastAsia" w:hAnsiTheme="majorEastAsia" w:eastAsiaTheme="majorEastAsia"/>
          <w:color w:val="000000" w:themeColor="text1"/>
          <w:kern w:val="0"/>
          <w:sz w:val="24"/>
        </w:rPr>
        <w:t>年</w:t>
      </w:r>
      <w:r>
        <w:rPr>
          <w:rFonts w:cs="仿宋" w:asciiTheme="majorEastAsia" w:hAnsiTheme="majorEastAsia" w:eastAsiaTheme="majorEastAsia"/>
          <w:color w:val="000000" w:themeColor="text1"/>
          <w:kern w:val="0"/>
          <w:sz w:val="24"/>
          <w:u w:val="single"/>
        </w:rPr>
        <w:tab/>
      </w:r>
      <w:r>
        <w:rPr>
          <w:rFonts w:hint="eastAsia" w:cs="仿宋" w:asciiTheme="majorEastAsia" w:hAnsiTheme="majorEastAsia" w:eastAsiaTheme="majorEastAsia"/>
          <w:color w:val="000000" w:themeColor="text1"/>
          <w:kern w:val="0"/>
          <w:sz w:val="24"/>
        </w:rPr>
        <w:t>月</w:t>
      </w:r>
      <w:r>
        <w:rPr>
          <w:rFonts w:cs="仿宋" w:asciiTheme="majorEastAsia" w:hAnsiTheme="majorEastAsia" w:eastAsiaTheme="majorEastAsia"/>
          <w:color w:val="000000" w:themeColor="text1"/>
          <w:kern w:val="0"/>
          <w:sz w:val="24"/>
          <w:u w:val="single"/>
        </w:rPr>
        <w:tab/>
      </w:r>
      <w:r>
        <w:rPr>
          <w:rFonts w:hint="eastAsia" w:cs="仿宋" w:asciiTheme="majorEastAsia" w:hAnsiTheme="majorEastAsia" w:eastAsiaTheme="majorEastAsia"/>
          <w:color w:val="000000" w:themeColor="text1"/>
          <w:kern w:val="0"/>
          <w:sz w:val="24"/>
        </w:rPr>
        <w:t>日</w:t>
      </w:r>
    </w:p>
    <w:p>
      <w:pPr>
        <w:pStyle w:val="2"/>
        <w:kinsoku w:val="0"/>
        <w:overflowPunct w:val="0"/>
        <w:spacing w:before="34" w:line="357" w:lineRule="auto"/>
        <w:ind w:right="126" w:firstLine="480"/>
        <w:jc w:val="center"/>
        <w:rPr>
          <w:rFonts w:asciiTheme="majorEastAsia" w:hAnsiTheme="majorEastAsia" w:eastAsiaTheme="majorEastAsia"/>
          <w:color w:val="000000" w:themeColor="text1"/>
          <w:sz w:val="36"/>
          <w:szCs w:val="36"/>
        </w:rPr>
      </w:pPr>
      <w:r>
        <w:rPr>
          <w:rFonts w:asciiTheme="majorEastAsia" w:hAnsiTheme="majorEastAsia" w:eastAsiaTheme="majorEastAsia"/>
          <w:color w:val="000000" w:themeColor="text1"/>
        </w:rPr>
        <w:br w:type="page"/>
      </w:r>
      <w:r>
        <w:rPr>
          <w:rFonts w:hint="eastAsia" w:asciiTheme="majorEastAsia" w:hAnsiTheme="majorEastAsia" w:eastAsiaTheme="majorEastAsia"/>
          <w:b/>
          <w:bCs/>
          <w:color w:val="000000" w:themeColor="text1"/>
          <w:sz w:val="36"/>
          <w:szCs w:val="36"/>
        </w:rPr>
        <w:t>二、法定代表人身份证明</w:t>
      </w:r>
    </w:p>
    <w:p>
      <w:pPr>
        <w:spacing w:line="420" w:lineRule="exact"/>
        <w:ind w:firstLine="480" w:firstLineChars="200"/>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投标单位名称：</w:t>
      </w:r>
    </w:p>
    <w:p>
      <w:pPr>
        <w:spacing w:line="420" w:lineRule="exact"/>
        <w:ind w:firstLine="480" w:firstLineChars="200"/>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单位性质：</w:t>
      </w:r>
    </w:p>
    <w:p>
      <w:pPr>
        <w:spacing w:line="420" w:lineRule="exact"/>
        <w:ind w:firstLine="480" w:firstLineChars="200"/>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地址：</w:t>
      </w:r>
    </w:p>
    <w:p>
      <w:pPr>
        <w:spacing w:line="42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成立时间：  年  月  日</w:t>
      </w:r>
    </w:p>
    <w:p>
      <w:pPr>
        <w:spacing w:line="420" w:lineRule="exact"/>
        <w:ind w:firstLine="480" w:firstLineChars="200"/>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经营期限：</w:t>
      </w:r>
    </w:p>
    <w:p>
      <w:pPr>
        <w:spacing w:line="420" w:lineRule="exact"/>
        <w:ind w:firstLine="480" w:firstLineChars="200"/>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姓名：      性别：     年龄：     职务：</w:t>
      </w:r>
    </w:p>
    <w:p>
      <w:pPr>
        <w:spacing w:line="420" w:lineRule="exact"/>
        <w:ind w:firstLine="480" w:firstLineChars="200"/>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身份证号码：</w:t>
      </w:r>
    </w:p>
    <w:p>
      <w:pPr>
        <w:spacing w:line="42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系（投标单位名称）的法定代表人。</w:t>
      </w:r>
    </w:p>
    <w:p>
      <w:pPr>
        <w:spacing w:line="420" w:lineRule="exact"/>
        <w:ind w:firstLine="960" w:firstLineChars="4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特此证明。</w:t>
      </w:r>
    </w:p>
    <w:p>
      <w:pPr>
        <w:pStyle w:val="2"/>
        <w:kinsoku w:val="0"/>
        <w:overflowPunct w:val="0"/>
        <w:rPr>
          <w:rFonts w:asciiTheme="majorEastAsia" w:hAnsiTheme="majorEastAsia" w:eastAsiaTheme="majorEastAsia"/>
          <w:color w:val="000000" w:themeColor="text1"/>
          <w:sz w:val="20"/>
          <w:szCs w:val="20"/>
        </w:rPr>
      </w:pPr>
    </w:p>
    <w:p>
      <w:pPr>
        <w:pStyle w:val="2"/>
        <w:kinsoku w:val="0"/>
        <w:overflowPunct w:val="0"/>
        <w:spacing w:before="7"/>
        <w:rPr>
          <w:rFonts w:asciiTheme="majorEastAsia" w:hAnsiTheme="majorEastAsia" w:eastAsiaTheme="majorEastAsia"/>
          <w:color w:val="000000" w:themeColor="text1"/>
          <w:sz w:val="25"/>
          <w:szCs w:val="25"/>
        </w:rPr>
      </w:pPr>
    </w:p>
    <w:p>
      <w:pPr>
        <w:pStyle w:val="2"/>
        <w:kinsoku w:val="0"/>
        <w:overflowPunct w:val="0"/>
        <w:spacing w:line="200" w:lineRule="atLeast"/>
        <w:ind w:left="608"/>
        <w:rPr>
          <w:rFonts w:asciiTheme="majorEastAsia" w:hAnsiTheme="majorEastAsia" w:eastAsiaTheme="majorEastAsia"/>
          <w:color w:val="000000" w:themeColor="text1"/>
          <w:sz w:val="20"/>
          <w:szCs w:val="20"/>
        </w:rPr>
      </w:pPr>
      <w:r>
        <w:rPr>
          <w:rFonts w:asciiTheme="majorEastAsia" w:hAnsiTheme="majorEastAsia" w:eastAsiaTheme="majorEastAsia"/>
          <w:color w:val="000000" w:themeColor="text1"/>
          <w:sz w:val="20"/>
          <w:szCs w:val="20"/>
        </w:rPr>
        <w:pict>
          <v:group id="Group 110" o:spid="_x0000_s1026" o:spt="203" style="height:114.85pt;width:404.45pt;" coordsize="0,0">
            <o:lock v:ext="edit"/>
            <v:shape id="AutoShape 122" o:spid="_x0000_s1027" style="position:absolute;left:0;top:0;height:0;width:80;" filled="f" coordsize="80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aL4MMA&#10;AADcAAAADwAAAGRycy9kb3ducmV2LnhtbERPTWsCMRC9C/0PYQpeRLOKLbIapRSU4qGg20OP42bc&#10;3XYzyW5Sjf++EQq9zeN9zmoTTSsu1PvGsoLpJANBXFrdcKXgo9iOFyB8QNbYWiYFN/KwWT8MVphr&#10;e+UDXY6hEimEfY4K6hBcLqUvazLoJ9YRJ+5se4Mhwb6SusdrCjetnGXZszTYcGqo0dFrTeX38cco&#10;OH25GItp9t7tu/lu9In7QK5TavgYX5YgAsXwL/5zv+k0f/EE9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aL4MMAAADcAAAADwAAAAAAAAAAAAAAAACYAgAAZHJzL2Rv&#10;d25yZXYueG1sUEsFBgAAAAAEAAQA9QAAAIgDAAAAAA==&#10;" path="m0,0l8078,0e">
              <v:path o:connecttype="custom" o:connectlocs="0,0;80,0" o:connectangles="0,0"/>
              <v:fill on="f" focussize="0,0"/>
              <v:stroke weight="0.48pt"/>
              <v:imagedata o:title=""/>
              <o:lock v:ext="edit"/>
            </v:shape>
            <v:shape id="AutoShape 121" o:spid="_x0000_s1028" style="position:absolute;left:0;top:0;height:0;width:80;" filled="f" coordsize="80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nGycIA&#10;AADcAAAADwAAAGRycy9kb3ducmV2LnhtbERPS2sCMRC+F/wPYQRvNauHRbZGKQXFx8m1ULwNybi7&#10;dDNZkrhu++tNoeBtPr7nLNeDbUVPPjSOFcymGQhi7UzDlYLP8+Z1ASJEZIOtY1LwQwHWq9HLEgvj&#10;7nyivoyVSCEcClRQx9gVUgZdk8UwdR1x4q7OW4wJ+koaj/cUbls5z7JcWmw4NdTY0UdN+ru8WQXX&#10;bf+10RfWdu5ve1+eDr+XY67UZDy8v4GINMSn+N+9M2n+Ioe/Z9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cbJwgAAANwAAAAPAAAAAAAAAAAAAAAAAJgCAABkcnMvZG93&#10;bnJldi54bWxQSwUGAAAAAAQABAD1AAAAhwMAAAAA&#10;" path="m0,0l8040,0e">
              <v:path o:connecttype="custom" o:connectlocs="0,0;80,0" o:connectangles="0,0"/>
              <v:fill on="f" focussize="0,0"/>
              <v:stroke weight="0.48pt"/>
              <v:imagedata o:title=""/>
              <o:lock v:ext="edit"/>
            </v:shape>
            <v:shape id="AutoShape 120" o:spid="_x0000_s1029" style="position:absolute;left:0;top:22;height:0;width:80;" filled="f" coordsize="80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jUsIA&#10;AADcAAAADwAAAGRycy9kb3ducmV2LnhtbERPTWsCMRC9F/wPYQRvNasHla1RRFBae3ItFG9DMu4u&#10;3UyWJK6rv74RCr3N433Oct3bRnTkQ+1YwWScgSDWztRcKvg67V4XIEJENtg4JgV3CrBeDV6WmBt3&#10;4yN1RSxFCuGQo4IqxjaXMuiKLIaxa4kTd3HeYkzQl9J4vKVw28hpls2kxZpTQ4UtbSvSP8XVKrjs&#10;u++dPrO2U3/98MXx8Dh/zpQaDfvNG4hIffwX/7nfTZq/mMPz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WNSwgAAANwAAAAPAAAAAAAAAAAAAAAAAJgCAABkcnMvZG93&#10;bnJldi54bWxQSwUGAAAAAAQABAD1AAAAhwMAAAAA&#10;" path="m0,0l8040,0e">
              <v:path o:connecttype="custom" o:connectlocs="0,0;80,0" o:connectangles="0,0"/>
              <v:fill on="f" focussize="0,0"/>
              <v:stroke weight="0.48pt"/>
              <v:imagedata o:title=""/>
              <o:lock v:ext="edit"/>
            </v:shape>
            <v:shape id="AutoShape 119" o:spid="_x0000_s1030" style="position:absolute;left:0;top:22;height:1;width:80;" filled="f" coordsize="80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ckfsYA&#10;AADcAAAADwAAAGRycy9kb3ducmV2LnhtbESPT2vDMAzF74N9B6PBLmN1OsYoad0yBhulh0L/HHrU&#10;YjXJFstO7Lbut58Ohd0k3tN7P80W2XXqTENsPRsYjwpQxJW3LdcG9rvP5wmomJAtdp7JwJUiLOb3&#10;dzMsrb/whs7bVCsJ4ViigSalUGodq4YcxpEPxKId/eAwyTrU2g54kXDX6ZeieNMOW5aGBgN9NFT9&#10;bk/OwPdPyHk3Ltb9qn/9ejrgKlHojXl8yO9TUIly+jffrpdW8Cd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ckfsYAAADcAAAADwAAAAAAAAAAAAAAAACYAgAAZHJz&#10;L2Rvd25yZXYueG1sUEsFBgAAAAAEAAQA9QAAAIsDAAAAAA==&#10;" path="m0,0l8078,0e">
              <v:path o:connecttype="custom" o:connectlocs="0,0;80,0" o:connectangles="0,0"/>
              <v:fill on="f" focussize="0,0"/>
              <v:stroke weight="0.48pt"/>
              <v:imagedata o:title=""/>
              <o:lock v:ext="edit"/>
            </v:shape>
            <v:shape id="AutoShape 118" o:spid="_x0000_s1031" style="position:absolute;left:0;top:0;height:22;width:0;" filled="f" coordsize="20,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AMMAA&#10;AADcAAAADwAAAGRycy9kb3ducmV2LnhtbERPTWsCMRC9F/wPYYTeataCRVejiLAgeJDa9j4m42Z1&#10;M1mS1N3+e1Mo9DaP9zmrzeBacacQG88KppMCBLH2puFawedH9TIHEROywdYzKfihCJv16GmFpfE9&#10;v9P9lGqRQziWqMCm1JVSRm3JYZz4jjhzFx8cpgxDLU3APoe7Vr4WxZt02HBusNjRzpK+nb6dgqrq&#10;XbD666q72W04t8cDajoo9TwetksQiYb0L/5z702eP1/A7zP5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jAMMAAAADcAAAADwAAAAAAAAAAAAAAAACYAgAAZHJzL2Rvd25y&#10;ZXYueG1sUEsFBgAAAAAEAAQA9QAAAIUDAAAAAA==&#10;" path="m0,0l0,2286e">
              <v:path o:connecttype="custom" o:connectlocs="0,0;0,22" o:connectangles="0,0"/>
              <v:fill on="f" focussize="0,0"/>
              <v:stroke weight="0.48pt"/>
              <v:imagedata o:title=""/>
              <o:lock v:ext="edit"/>
            </v:shape>
            <v:shape id="AutoShape 117" o:spid="_x0000_s1032" style="position:absolute;left:0;top:0;height:22;width:0;" filled="f" coordsize="20,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MIsQA&#10;AADcAAAADwAAAGRycy9kb3ducmV2LnhtbESPQU/DMAyF70j8h8hI3FiyHBB0y6ZpAonDDrBN2tVq&#10;vKZa45Qm68q/xwckbrbe83ufl+spdmqkIbeJHcxnBhRxnXzLjYPj4f3pBVQuyB67xOTghzKsV/d3&#10;S6x8uvEXjfvSKAnhXKGDUEpfaZ3rQBHzLPXEop3TELHIOjTaD3iT8Nhpa8yzjtiyNATsaRuovuyv&#10;0cFpp7+1PXTe7JIN46d9u9qzce7xYdosQBWayr/57/rDC/6r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fTCLEAAAA3AAAAA8AAAAAAAAAAAAAAAAAmAIAAGRycy9k&#10;b3ducmV2LnhtbFBLBQYAAAAABAAEAPUAAACJAwAAAAA=&#10;" path="m0,0l0,2248e">
              <v:path o:connecttype="custom" o:connectlocs="0,0;0,22" o:connectangles="0,0"/>
              <v:fill on="f" focussize="0,0"/>
              <v:stroke weight="0.48pt"/>
              <v:imagedata o:title=""/>
              <o:lock v:ext="edit"/>
            </v:shape>
            <v:shape id="AutoShape 116" o:spid="_x0000_s1033" style="position:absolute;left:40;top:0;height:22;width:0;" filled="f" coordsize="20,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xc8MA&#10;AADcAAAADwAAAGRycy9kb3ducmV2LnhtbERPS2vCQBC+F/oflil4KXWjhaKpmxAEwdKDNPHgcchO&#10;XmZnQ3Y16b/vFgq9zcf3nF06m17caXStZQWrZQSCuLS65VrBuTi8bEA4j6yxt0wKvslBmjw+7DDW&#10;duIvuue+FiGEXYwKGu+HWEpXNmTQLe1AHLjKjgZ9gGMt9YhTCDe9XEfRmzTYcmhocKB9Q+U1vxkF&#10;19dLl009Dp8ZfjxXRVd159NJqcXTnL2D8DT7f/Gf+6jD/O0Kfp8JF8jk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Axc8MAAADcAAAADwAAAAAAAAAAAAAAAACYAgAAZHJzL2Rv&#10;d25yZXYueG1sUEsFBgAAAAAEAAQA9QAAAIgDAAAAAA==&#10;" path="m0,0l0,2238e">
              <v:path o:connecttype="custom" o:connectlocs="0,0;0,22" o:connectangles="0,0"/>
              <v:fill on="f" focussize="0,0"/>
              <v:stroke weight="0.48pt"/>
              <v:imagedata o:title=""/>
              <o:lock v:ext="edit"/>
            </v:shape>
            <v:shape id="AutoShape 115" o:spid="_x0000_s1034" style="position:absolute;left:40;top:0;height:22;width:0;" filled="f" coordsize="20,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vBMMA&#10;AADcAAAADwAAAGRycy9kb3ducmV2LnhtbERPS2vCQBC+F/oflil4KXVjCkVTVwlCQelBmnjwOGQn&#10;L7OzIbtN4r/vFgq9zcf3nO1+Np0YaXCNZQWrZQSCuLC64UrBJf94WYNwHlljZ5kU3MnBfvf4sMVE&#10;24m/aMx8JUIIuwQV1N73iZSuqMmgW9qeOHClHQz6AIdK6gGnEG46GUfRmzTYcGiosadDTcUt+zYK&#10;bq/XNp067D9TPD2XeVu2l/NZqcXTnL6D8DT7f/Gf+6jD/E0Mv8+EC+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KvBMMAAADcAAAADwAAAAAAAAAAAAAAAACYAgAAZHJzL2Rv&#10;d25yZXYueG1sUEsFBgAAAAAEAAQA9QAAAIgDAAAAAA==&#10;" path="m0,0l0,2238e">
              <v:path o:connecttype="custom" o:connectlocs="0,0;0,22" o:connectangles="0,0"/>
              <v:fill on="f" focussize="0,0"/>
              <v:stroke weight="0.48pt"/>
              <v:imagedata o:title=""/>
              <o:lock v:ext="edit"/>
            </v:shape>
            <v:shape id="AutoShape 114" o:spid="_x0000_s1035" style="position:absolute;left:80;top:0;height:22;width:0;" filled="f" coordsize="20,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Kn8MA&#10;AADcAAAADwAAAGRycy9kb3ducmV2LnhtbERPS2vCQBC+F/oflil4KXWjgaKpmxCEgtKDVD14HLKT&#10;l9nZkN0m6b/vFgq9zcf3nF02m06MNLjGsoLVMgJBXFjdcKXgenl/2YBwHlljZ5kUfJODLH182GGi&#10;7cSfNJ59JUIIuwQV1N73iZSuqMmgW9qeOHClHQz6AIdK6gGnEG46uY6iV2mw4dBQY0/7mor7+cso&#10;uMe3Np867D9yPD6Xl7Zsr6eTUounOX8D4Wn2/+I/90GH+dsYfp8JF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4Kn8MAAADcAAAADwAAAAAAAAAAAAAAAACYAgAAZHJzL2Rv&#10;d25yZXYueG1sUEsFBgAAAAAEAAQA9QAAAIgDAAAAAA==&#10;" path="m0,0l0,2238e">
              <v:path o:connecttype="custom" o:connectlocs="0,0;0,22" o:connectangles="0,0"/>
              <v:fill on="f" focussize="0,0"/>
              <v:stroke weight="0.48pt"/>
              <v:imagedata o:title=""/>
              <o:lock v:ext="edit"/>
            </v:shape>
            <v:shape id="AutoShape 113" o:spid="_x0000_s1036" style="position:absolute;left:80;top:0;height:22;width:0;" filled="f" coordsize="20,2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dt3sEA&#10;AADcAAAADwAAAGRycy9kb3ducmV2LnhtbERPS4vCMBC+L/gfwgje1lRxpVajiODrsqD14m1sxrbY&#10;TEoTtf77jbDgbT6+58wWranEgxpXWlYw6EcgiDOrS84VnNL1dwzCeWSNlWVS8CIHi3nna4aJtk8+&#10;0OPocxFC2CWooPC+TqR0WUEGXd/WxIG72sagD7DJpW7wGcJNJYdRNJYGSw4NBda0Kii7He9GwdX/&#10;XuKz3I5fG5OlcXn5Sfe3Wqlet11OQXhq/Uf8797pMH8ygvcz4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Hbd7BAAAA3AAAAA8AAAAAAAAAAAAAAAAAmAIAAGRycy9kb3du&#10;cmV2LnhtbFBLBQYAAAAABAAEAPUAAACGAwAAAAA=&#10;" path="m0,0l0,2277e">
              <v:path o:connecttype="custom" o:connectlocs="0,0;0,22" o:connectangles="0,0"/>
              <v:fill on="f" focussize="0,0"/>
              <v:stroke weight="0.48pt"/>
              <v:imagedata o:title=""/>
              <o:lock v:ext="edit"/>
            </v:shape>
            <v:shape id="Text Box 112" o:spid="_x0000_s1037" o:spt="202" type="#_x0000_t202" style="position:absolute;left:0;top:0;height:22;width: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v:path/>
              <v:fill on="f" focussize="0,0"/>
              <v:stroke on="f" joinstyle="miter"/>
              <v:imagedata o:title=""/>
              <o:lock v:ext="edit"/>
              <v:textbox inset="0mm,0mm,0mm,0mm">
                <w:txbxContent>
                  <w:p>
                    <w:pPr>
                      <w:pStyle w:val="2"/>
                      <w:kinsoku w:val="0"/>
                      <w:overflowPunct w:val="0"/>
                    </w:pPr>
                  </w:p>
                  <w:p>
                    <w:pPr>
                      <w:pStyle w:val="2"/>
                      <w:kinsoku w:val="0"/>
                      <w:overflowPunct w:val="0"/>
                    </w:pPr>
                  </w:p>
                  <w:p>
                    <w:pPr>
                      <w:pStyle w:val="2"/>
                      <w:kinsoku w:val="0"/>
                      <w:overflowPunct w:val="0"/>
                      <w:spacing w:before="13"/>
                      <w:rPr>
                        <w:sz w:val="28"/>
                        <w:szCs w:val="28"/>
                      </w:rPr>
                    </w:pPr>
                  </w:p>
                  <w:p>
                    <w:pPr>
                      <w:pStyle w:val="2"/>
                      <w:kinsoku w:val="0"/>
                      <w:overflowPunct w:val="0"/>
                      <w:ind w:left="107"/>
                    </w:pPr>
                    <w:r>
                      <w:rPr>
                        <w:rFonts w:hint="eastAsia"/>
                      </w:rPr>
                      <w:t>法定代表人身份证复印件（正面）</w:t>
                    </w:r>
                  </w:p>
                </w:txbxContent>
              </v:textbox>
            </v:shape>
            <v:shape id="Text Box 111" o:spid="_x0000_s1038" o:spt="202" type="#_x0000_t202" style="position:absolute;left:40;top:0;height:22;width: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v:path/>
              <v:fill on="f" focussize="0,0"/>
              <v:stroke on="f" joinstyle="miter"/>
              <v:imagedata o:title=""/>
              <o:lock v:ext="edit"/>
              <v:textbox inset="0mm,0mm,0mm,0mm">
                <w:txbxContent>
                  <w:p>
                    <w:pPr>
                      <w:pStyle w:val="2"/>
                      <w:kinsoku w:val="0"/>
                      <w:overflowPunct w:val="0"/>
                    </w:pPr>
                  </w:p>
                  <w:p>
                    <w:pPr>
                      <w:pStyle w:val="2"/>
                      <w:kinsoku w:val="0"/>
                      <w:overflowPunct w:val="0"/>
                    </w:pPr>
                  </w:p>
                  <w:p>
                    <w:pPr>
                      <w:pStyle w:val="2"/>
                      <w:kinsoku w:val="0"/>
                      <w:overflowPunct w:val="0"/>
                      <w:spacing w:before="13"/>
                      <w:rPr>
                        <w:sz w:val="28"/>
                        <w:szCs w:val="28"/>
                      </w:rPr>
                    </w:pPr>
                  </w:p>
                  <w:p>
                    <w:pPr>
                      <w:pStyle w:val="2"/>
                      <w:kinsoku w:val="0"/>
                      <w:overflowPunct w:val="0"/>
                      <w:ind w:left="107"/>
                    </w:pPr>
                    <w:r>
                      <w:rPr>
                        <w:rFonts w:hint="eastAsia"/>
                      </w:rPr>
                      <w:t>法定代表人身份证复印件（反面）</w:t>
                    </w:r>
                  </w:p>
                </w:txbxContent>
              </v:textbox>
            </v:shape>
            <w10:wrap type="none"/>
            <w10:anchorlock/>
          </v:group>
        </w:pict>
      </w:r>
    </w:p>
    <w:p>
      <w:pPr>
        <w:pStyle w:val="2"/>
        <w:kinsoku w:val="0"/>
        <w:overflowPunct w:val="0"/>
        <w:rPr>
          <w:rFonts w:asciiTheme="majorEastAsia" w:hAnsiTheme="majorEastAsia" w:eastAsiaTheme="majorEastAsia"/>
          <w:color w:val="000000" w:themeColor="text1"/>
          <w:sz w:val="20"/>
          <w:szCs w:val="20"/>
        </w:rPr>
      </w:pPr>
    </w:p>
    <w:p>
      <w:pPr>
        <w:wordWrap w:val="0"/>
        <w:spacing w:line="420" w:lineRule="exact"/>
        <w:ind w:firstLine="480" w:firstLineChars="200"/>
        <w:jc w:val="right"/>
        <w:rPr>
          <w:rFonts w:cs="仿宋" w:asciiTheme="majorEastAsia" w:hAnsiTheme="majorEastAsia" w:eastAsiaTheme="majorEastAsia"/>
          <w:color w:val="000000" w:themeColor="text1"/>
          <w:kern w:val="0"/>
          <w:sz w:val="24"/>
        </w:rPr>
      </w:pPr>
    </w:p>
    <w:p>
      <w:pPr>
        <w:spacing w:line="420" w:lineRule="exact"/>
        <w:ind w:firstLine="480" w:firstLineChars="200"/>
        <w:jc w:val="right"/>
        <w:rPr>
          <w:rFonts w:cs="仿宋" w:asciiTheme="majorEastAsia" w:hAnsiTheme="majorEastAsia" w:eastAsiaTheme="majorEastAsia"/>
          <w:color w:val="000000" w:themeColor="text1"/>
          <w:kern w:val="0"/>
          <w:sz w:val="24"/>
        </w:rPr>
      </w:pPr>
    </w:p>
    <w:p>
      <w:pPr>
        <w:spacing w:line="420" w:lineRule="exact"/>
        <w:ind w:firstLine="480" w:firstLineChars="200"/>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 xml:space="preserve">            供应商：（公章）</w:t>
      </w:r>
    </w:p>
    <w:p>
      <w:pPr>
        <w:wordWrap w:val="0"/>
        <w:spacing w:line="420" w:lineRule="exact"/>
        <w:ind w:right="480" w:firstLine="480" w:firstLineChars="200"/>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 xml:space="preserve">                                      年    月    日 </w:t>
      </w:r>
    </w:p>
    <w:p>
      <w:pPr>
        <w:pStyle w:val="2"/>
        <w:kinsoku w:val="0"/>
        <w:overflowPunct w:val="0"/>
        <w:spacing w:before="34" w:line="357" w:lineRule="auto"/>
        <w:ind w:right="126" w:firstLine="480"/>
        <w:jc w:val="center"/>
        <w:rPr>
          <w:rFonts w:asciiTheme="majorEastAsia" w:hAnsiTheme="majorEastAsia" w:eastAsiaTheme="majorEastAsia"/>
          <w:color w:val="000000" w:themeColor="text1"/>
        </w:rPr>
      </w:pPr>
    </w:p>
    <w:p>
      <w:pPr>
        <w:pStyle w:val="2"/>
        <w:kinsoku w:val="0"/>
        <w:overflowPunct w:val="0"/>
        <w:spacing w:before="34" w:line="357" w:lineRule="auto"/>
        <w:ind w:right="126" w:firstLine="480"/>
        <w:jc w:val="center"/>
        <w:rPr>
          <w:rFonts w:asciiTheme="majorEastAsia" w:hAnsiTheme="majorEastAsia" w:eastAsiaTheme="majorEastAsia"/>
          <w:color w:val="000000" w:themeColor="text1"/>
        </w:rPr>
      </w:pPr>
    </w:p>
    <w:p>
      <w:pPr>
        <w:pStyle w:val="2"/>
        <w:kinsoku w:val="0"/>
        <w:overflowPunct w:val="0"/>
        <w:spacing w:before="34" w:line="357" w:lineRule="auto"/>
        <w:ind w:right="126" w:firstLine="480"/>
        <w:jc w:val="center"/>
        <w:rPr>
          <w:rFonts w:asciiTheme="majorEastAsia" w:hAnsiTheme="majorEastAsia" w:eastAsiaTheme="majorEastAsia"/>
          <w:color w:val="000000" w:themeColor="text1"/>
        </w:rPr>
      </w:pPr>
    </w:p>
    <w:p>
      <w:pPr>
        <w:pStyle w:val="2"/>
        <w:kinsoku w:val="0"/>
        <w:overflowPunct w:val="0"/>
        <w:spacing w:before="34" w:line="357" w:lineRule="auto"/>
        <w:ind w:right="126" w:firstLine="480"/>
        <w:jc w:val="center"/>
        <w:rPr>
          <w:rFonts w:asciiTheme="majorEastAsia" w:hAnsiTheme="majorEastAsia" w:eastAsiaTheme="majorEastAsia"/>
          <w:color w:val="000000" w:themeColor="text1"/>
        </w:rPr>
      </w:pPr>
    </w:p>
    <w:p>
      <w:pPr>
        <w:pStyle w:val="2"/>
        <w:kinsoku w:val="0"/>
        <w:overflowPunct w:val="0"/>
        <w:spacing w:before="34" w:line="357" w:lineRule="auto"/>
        <w:ind w:right="126" w:firstLine="480"/>
        <w:jc w:val="left"/>
        <w:rPr>
          <w:rFonts w:asciiTheme="majorEastAsia" w:hAnsiTheme="majorEastAsia" w:eastAsiaTheme="majorEastAsia"/>
          <w:color w:val="000000" w:themeColor="text1"/>
        </w:rPr>
      </w:pPr>
      <w:r>
        <w:rPr>
          <w:rFonts w:hint="eastAsia" w:asciiTheme="majorEastAsia" w:hAnsiTheme="majorEastAsia" w:eastAsiaTheme="majorEastAsia"/>
          <w:b/>
          <w:bCs/>
          <w:color w:val="000000" w:themeColor="text1"/>
          <w:spacing w:val="1"/>
          <w:szCs w:val="21"/>
        </w:rPr>
        <w:t>★备注：</w:t>
      </w:r>
      <w:r>
        <w:rPr>
          <w:rFonts w:asciiTheme="majorEastAsia" w:hAnsiTheme="majorEastAsia" w:eastAsiaTheme="majorEastAsia"/>
          <w:color w:val="000000" w:themeColor="text1"/>
        </w:rPr>
        <w:t>附法定代表人身份证复印件</w:t>
      </w:r>
    </w:p>
    <w:p>
      <w:pPr>
        <w:pStyle w:val="2"/>
        <w:kinsoku w:val="0"/>
        <w:overflowPunct w:val="0"/>
        <w:spacing w:before="34" w:line="357" w:lineRule="auto"/>
        <w:ind w:right="126" w:firstLine="480"/>
        <w:jc w:val="center"/>
        <w:rPr>
          <w:rFonts w:asciiTheme="majorEastAsia" w:hAnsiTheme="majorEastAsia" w:eastAsiaTheme="majorEastAsia"/>
          <w:b/>
          <w:bCs/>
          <w:color w:val="000000" w:themeColor="text1"/>
        </w:rPr>
      </w:pPr>
      <w:r>
        <w:rPr>
          <w:rFonts w:asciiTheme="majorEastAsia" w:hAnsiTheme="majorEastAsia" w:eastAsiaTheme="majorEastAsia"/>
          <w:color w:val="000000" w:themeColor="text1"/>
        </w:rPr>
        <w:br w:type="page"/>
      </w:r>
      <w:r>
        <w:rPr>
          <w:rFonts w:hint="eastAsia" w:asciiTheme="majorEastAsia" w:hAnsiTheme="majorEastAsia" w:eastAsiaTheme="majorEastAsia"/>
          <w:b/>
          <w:bCs/>
          <w:color w:val="000000" w:themeColor="text1"/>
          <w:sz w:val="36"/>
          <w:szCs w:val="36"/>
        </w:rPr>
        <w:t>三、授权委托书</w:t>
      </w:r>
    </w:p>
    <w:p>
      <w:pPr>
        <w:pStyle w:val="2"/>
        <w:kinsoku w:val="0"/>
        <w:overflowPunct w:val="0"/>
        <w:spacing w:before="2"/>
        <w:rPr>
          <w:rFonts w:asciiTheme="majorEastAsia" w:hAnsiTheme="majorEastAsia" w:eastAsiaTheme="majorEastAsia"/>
          <w:b/>
          <w:bCs/>
          <w:color w:val="000000" w:themeColor="text1"/>
          <w:szCs w:val="21"/>
        </w:rPr>
      </w:pPr>
    </w:p>
    <w:p>
      <w:pPr>
        <w:spacing w:line="420" w:lineRule="exact"/>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致：采购人名称</w:t>
      </w:r>
    </w:p>
    <w:p>
      <w:pPr>
        <w:spacing w:line="42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本授权书声明：注册于</w:t>
      </w:r>
      <w:r>
        <w:rPr>
          <w:rFonts w:hint="eastAsia" w:cs="仿宋" w:asciiTheme="majorEastAsia" w:hAnsiTheme="majorEastAsia" w:eastAsiaTheme="majorEastAsia"/>
          <w:color w:val="000000" w:themeColor="text1"/>
          <w:kern w:val="0"/>
          <w:sz w:val="24"/>
          <w:u w:val="single"/>
        </w:rPr>
        <w:t>（投标人地址）</w:t>
      </w:r>
      <w:r>
        <w:rPr>
          <w:rFonts w:hint="eastAsia" w:cs="仿宋" w:asciiTheme="majorEastAsia" w:hAnsiTheme="majorEastAsia" w:eastAsiaTheme="majorEastAsia"/>
          <w:color w:val="000000" w:themeColor="text1"/>
          <w:kern w:val="0"/>
          <w:sz w:val="24"/>
        </w:rPr>
        <w:t>的</w:t>
      </w:r>
      <w:r>
        <w:rPr>
          <w:rFonts w:hint="eastAsia" w:cs="仿宋" w:asciiTheme="majorEastAsia" w:hAnsiTheme="majorEastAsia" w:eastAsiaTheme="majorEastAsia"/>
          <w:color w:val="000000" w:themeColor="text1"/>
          <w:kern w:val="0"/>
          <w:sz w:val="24"/>
          <w:u w:val="single"/>
        </w:rPr>
        <w:t>（投标人名称）</w:t>
      </w:r>
      <w:r>
        <w:rPr>
          <w:rFonts w:hint="eastAsia" w:cs="仿宋" w:asciiTheme="majorEastAsia" w:hAnsiTheme="majorEastAsia" w:eastAsiaTheme="majorEastAsia"/>
          <w:color w:val="000000" w:themeColor="text1"/>
          <w:kern w:val="0"/>
          <w:sz w:val="24"/>
        </w:rPr>
        <w:t>法定代表人（负责人）</w:t>
      </w:r>
      <w:r>
        <w:rPr>
          <w:rFonts w:hint="eastAsia" w:cs="仿宋" w:asciiTheme="majorEastAsia" w:hAnsiTheme="majorEastAsia" w:eastAsiaTheme="majorEastAsia"/>
          <w:color w:val="000000" w:themeColor="text1"/>
          <w:kern w:val="0"/>
          <w:sz w:val="24"/>
          <w:u w:val="single"/>
        </w:rPr>
        <w:t>姓名、职务或职称）</w:t>
      </w:r>
      <w:r>
        <w:rPr>
          <w:rFonts w:hint="eastAsia" w:cs="仿宋" w:asciiTheme="majorEastAsia" w:hAnsiTheme="majorEastAsia" w:eastAsiaTheme="majorEastAsia"/>
          <w:color w:val="000000" w:themeColor="text1"/>
          <w:kern w:val="0"/>
          <w:sz w:val="24"/>
        </w:rPr>
        <w:t>代表本公司授权</w:t>
      </w:r>
      <w:r>
        <w:rPr>
          <w:rFonts w:hint="eastAsia" w:cs="仿宋" w:asciiTheme="majorEastAsia" w:hAnsiTheme="majorEastAsia" w:eastAsiaTheme="majorEastAsia"/>
          <w:color w:val="000000" w:themeColor="text1"/>
          <w:kern w:val="0"/>
          <w:sz w:val="24"/>
          <w:u w:val="single"/>
        </w:rPr>
        <w:t>（姓名）</w:t>
      </w:r>
      <w:r>
        <w:rPr>
          <w:rFonts w:hint="eastAsia" w:cs="仿宋" w:asciiTheme="majorEastAsia" w:hAnsiTheme="majorEastAsia" w:eastAsiaTheme="majorEastAsia"/>
          <w:color w:val="000000" w:themeColor="text1"/>
          <w:kern w:val="0"/>
          <w:sz w:val="24"/>
        </w:rPr>
        <w:t>为本单位的合法代理人，参与贵方组织的</w:t>
      </w:r>
      <w:r>
        <w:rPr>
          <w:rFonts w:hint="eastAsia" w:cs="仿宋" w:asciiTheme="majorEastAsia" w:hAnsiTheme="majorEastAsia" w:eastAsiaTheme="majorEastAsia"/>
          <w:color w:val="000000" w:themeColor="text1"/>
          <w:kern w:val="0"/>
          <w:sz w:val="24"/>
          <w:u w:val="single"/>
        </w:rPr>
        <w:t>（项目名称及项目编号）</w:t>
      </w:r>
      <w:r>
        <w:rPr>
          <w:rFonts w:hint="eastAsia" w:cs="仿宋" w:asciiTheme="majorEastAsia" w:hAnsiTheme="majorEastAsia" w:eastAsiaTheme="majorEastAsia"/>
          <w:color w:val="000000" w:themeColor="text1"/>
          <w:kern w:val="0"/>
          <w:sz w:val="24"/>
        </w:rPr>
        <w:t>的投标、谈判、签约等具体工作，并签署全部有关文件、协议及合同。</w:t>
      </w:r>
    </w:p>
    <w:p>
      <w:pPr>
        <w:spacing w:line="42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pPr>
        <w:pStyle w:val="2"/>
        <w:kinsoku w:val="0"/>
        <w:overflowPunct w:val="0"/>
        <w:spacing w:before="12"/>
        <w:rPr>
          <w:rFonts w:asciiTheme="majorEastAsia" w:hAnsiTheme="majorEastAsia" w:eastAsiaTheme="majorEastAsia"/>
          <w:color w:val="000000" w:themeColor="text1"/>
          <w:sz w:val="4"/>
          <w:szCs w:val="4"/>
        </w:rPr>
      </w:pPr>
    </w:p>
    <w:p>
      <w:pPr>
        <w:pStyle w:val="2"/>
        <w:kinsoku w:val="0"/>
        <w:overflowPunct w:val="0"/>
        <w:spacing w:line="200" w:lineRule="atLeast"/>
        <w:ind w:left="628"/>
        <w:rPr>
          <w:rFonts w:asciiTheme="majorEastAsia" w:hAnsiTheme="majorEastAsia" w:eastAsiaTheme="majorEastAsia"/>
          <w:color w:val="000000" w:themeColor="text1"/>
          <w:sz w:val="20"/>
          <w:szCs w:val="20"/>
        </w:rPr>
      </w:pPr>
      <w:r>
        <w:rPr>
          <w:rFonts w:asciiTheme="majorEastAsia" w:hAnsiTheme="majorEastAsia" w:eastAsiaTheme="majorEastAsia"/>
          <w:color w:val="000000" w:themeColor="text1"/>
          <w:sz w:val="20"/>
          <w:szCs w:val="20"/>
        </w:rPr>
        <w:pict>
          <v:shape id="Text Box 124" o:spid="_x0000_s1039" o:spt="202" type="#_x0000_t202" style="position:absolute;left:0pt;margin-top:2.05pt;height:141.4pt;width:400.65pt;mso-position-horizontal:center;z-index:25166233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qkMAIAAFwEAAAOAAAAZHJzL2Uyb0RvYy54bWysVNuO0zAQfUfiHyy/01xo2DRqulq6FCEt&#10;F2mXD3Adp7FwPMZ2m5SvZ+y0pVrgBZEHy+MZH8+cM5Pl7dgrchDWSdA1zWYpJUJzaKTe1fTr0+ZV&#10;SYnzTDdMgRY1PQpHb1cvXywHU4kcOlCNsARBtKsGU9POe1MlieOd6JmbgREanS3Ynnk07S5pLBsQ&#10;vVdJnqZvkgFsYyxw4Rye3k9Ouor4bSu4/9y2Tniiaoq5+bjauG7DmqyWrNpZZjrJT2mwf8iiZ1Lj&#10;oxeoe+YZ2Vv5G1QvuQUHrZ9x6BNoW8lFrAGrydJn1Tx2zIhYC5LjzIUm9/9g+afDF0tkg9qVrynR&#10;rEeRnsToyVsYSZbPA0ODcRUGPhoM9SM6MDpW68wD8G+OaFh3TO/EnbUwdII1mGEWbiZXVyccF0C2&#10;w0do8CG29xCBxtb2gT4khCA6KnW8qBOS4XhYpGWZFwUlHH3ZzaK4KaN+CavO1411/r2AnoRNTS3K&#10;H+HZ4cH5kA6rziHhNQdKNhupVDTsbrtWlhwYtsomfrGCZ2FKk6GmiyIvJgb+CpHG708QvfTY80r2&#10;NS0vQawKvL3TTexIz6Sa9piy0iciA3cTi37cjlG1/KzPFpojMmthanEcSdx0YH9QMmB719R93zMr&#10;KFEfNKqzyObzMA/RmBc3ORr22rO99jDNEaqmnpJpu/bTDO2NlbsOX5r6QcMdKtrKyHWQfsrqlD62&#10;cJTgNG5hRq7tGPXrp7D6CQAA//8DAFBLAwQUAAYACAAAACEAZBAEwd0AAAAGAQAADwAAAGRycy9k&#10;b3ducmV2LnhtbEyPwU7DMBBE70j8g7VIXFDrpK1CGrKpEBIIbqVUcHXjbRJhr0PspuHvMSc4jmY0&#10;86bcTNaIkQbfOUZI5wkI4trpjhuE/dvjLAfhg2KtjGNC+CYPm+ryolSFdmd+pXEXGhFL2BcKoQ2h&#10;L6T0dUtW+bnriaN3dINVIcqhkXpQ51hujVwkSSat6jgutKqnh5bqz93JIuSr5/HDvyy373V2NOtw&#10;czs+fQ2I11fT/R2IQFP4C8MvfkSHKjId3Im1FwYhHgkIqxRENPMkXYI4ICzybA2yKuV//OoHAAD/&#10;/wMAUEsBAi0AFAAGAAgAAAAhALaDOJL+AAAA4QEAABMAAAAAAAAAAAAAAAAAAAAAAFtDb250ZW50&#10;X1R5cGVzXS54bWxQSwECLQAUAAYACAAAACEAOP0h/9YAAACUAQAACwAAAAAAAAAAAAAAAAAvAQAA&#10;X3JlbHMvLnJlbHNQSwECLQAUAAYACAAAACEANmSKpDACAABcBAAADgAAAAAAAAAAAAAAAAAuAgAA&#10;ZHJzL2Uyb0RvYy54bWxQSwECLQAUAAYACAAAACEAZBAEwd0AAAAGAQAADwAAAAAAAAAAAAAAAACK&#10;BAAAZHJzL2Rvd25yZXYueG1sUEsFBgAAAAAEAAQA8wAAAJQFAAAAAA==&#10;">
            <v:path/>
            <v:fill focussize="0,0"/>
            <v:stroke joinstyle="miter"/>
            <v:imagedata o:title=""/>
            <o:lock v:ext="edit"/>
            <v:textbox>
              <w:txbxContent>
                <w:p>
                  <w:pPr>
                    <w:rPr>
                      <w:rFonts w:asciiTheme="majorEastAsia" w:hAnsiTheme="majorEastAsia" w:eastAsiaTheme="majorEastAsia"/>
                      <w:b/>
                    </w:rPr>
                  </w:pPr>
                </w:p>
                <w:p>
                  <w:pPr>
                    <w:rPr>
                      <w:rFonts w:asciiTheme="majorEastAsia" w:hAnsiTheme="majorEastAsia" w:eastAsiaTheme="majorEastAsia"/>
                      <w:b/>
                    </w:rPr>
                  </w:pPr>
                </w:p>
                <w:p>
                  <w:r>
                    <w:rPr>
                      <w:rFonts w:hint="eastAsia" w:asciiTheme="majorEastAsia" w:hAnsiTheme="majorEastAsia" w:eastAsiaTheme="majorEastAsia"/>
                      <w:b/>
                    </w:rPr>
                    <w:t>粘贴法定代表人身份证明及委托代理人（被授权人）身份证（正反面）复印件处</w:t>
                  </w:r>
                </w:p>
              </w:txbxContent>
            </v:textbox>
          </v:shape>
        </w:pict>
      </w:r>
    </w:p>
    <w:p>
      <w:pPr>
        <w:pStyle w:val="2"/>
        <w:kinsoku w:val="0"/>
        <w:overflowPunct w:val="0"/>
        <w:spacing w:line="200" w:lineRule="atLeast"/>
        <w:ind w:left="628"/>
        <w:rPr>
          <w:rFonts w:asciiTheme="majorEastAsia" w:hAnsiTheme="majorEastAsia" w:eastAsiaTheme="majorEastAsia"/>
          <w:color w:val="000000" w:themeColor="text1"/>
          <w:sz w:val="20"/>
          <w:szCs w:val="20"/>
        </w:rPr>
      </w:pPr>
    </w:p>
    <w:p>
      <w:pPr>
        <w:pStyle w:val="2"/>
        <w:kinsoku w:val="0"/>
        <w:overflowPunct w:val="0"/>
        <w:spacing w:line="200" w:lineRule="atLeast"/>
        <w:ind w:left="628"/>
        <w:rPr>
          <w:rFonts w:asciiTheme="majorEastAsia" w:hAnsiTheme="majorEastAsia" w:eastAsiaTheme="majorEastAsia"/>
          <w:color w:val="000000" w:themeColor="text1"/>
          <w:sz w:val="20"/>
          <w:szCs w:val="20"/>
        </w:rPr>
      </w:pPr>
    </w:p>
    <w:p>
      <w:pPr>
        <w:pStyle w:val="2"/>
        <w:kinsoku w:val="0"/>
        <w:overflowPunct w:val="0"/>
        <w:spacing w:line="200" w:lineRule="atLeast"/>
        <w:ind w:left="628"/>
        <w:rPr>
          <w:rFonts w:asciiTheme="majorEastAsia" w:hAnsiTheme="majorEastAsia" w:eastAsiaTheme="majorEastAsia"/>
          <w:color w:val="000000" w:themeColor="text1"/>
          <w:sz w:val="20"/>
          <w:szCs w:val="20"/>
        </w:rPr>
      </w:pPr>
    </w:p>
    <w:p>
      <w:pPr>
        <w:pStyle w:val="2"/>
        <w:kinsoku w:val="0"/>
        <w:overflowPunct w:val="0"/>
        <w:spacing w:line="200" w:lineRule="atLeast"/>
        <w:ind w:left="628"/>
        <w:rPr>
          <w:rFonts w:asciiTheme="majorEastAsia" w:hAnsiTheme="majorEastAsia" w:eastAsiaTheme="majorEastAsia"/>
          <w:color w:val="000000" w:themeColor="text1"/>
          <w:sz w:val="20"/>
          <w:szCs w:val="20"/>
        </w:rPr>
      </w:pPr>
    </w:p>
    <w:p>
      <w:pPr>
        <w:pStyle w:val="2"/>
        <w:kinsoku w:val="0"/>
        <w:overflowPunct w:val="0"/>
        <w:spacing w:before="7"/>
        <w:rPr>
          <w:rFonts w:asciiTheme="majorEastAsia" w:hAnsiTheme="majorEastAsia" w:eastAsiaTheme="majorEastAsia"/>
          <w:color w:val="000000" w:themeColor="text1"/>
          <w:sz w:val="20"/>
          <w:szCs w:val="20"/>
        </w:rPr>
      </w:pPr>
    </w:p>
    <w:p>
      <w:pPr>
        <w:pStyle w:val="2"/>
        <w:tabs>
          <w:tab w:val="left" w:pos="5295"/>
        </w:tabs>
        <w:kinsoku w:val="0"/>
        <w:overflowPunct w:val="0"/>
        <w:spacing w:before="26"/>
        <w:ind w:left="618"/>
        <w:rPr>
          <w:rFonts w:asciiTheme="majorEastAsia" w:hAnsiTheme="majorEastAsia" w:eastAsiaTheme="majorEastAsia"/>
          <w:color w:val="000000" w:themeColor="text1"/>
        </w:rPr>
      </w:pPr>
    </w:p>
    <w:p>
      <w:pPr>
        <w:pStyle w:val="2"/>
        <w:tabs>
          <w:tab w:val="left" w:pos="5295"/>
        </w:tabs>
        <w:kinsoku w:val="0"/>
        <w:overflowPunct w:val="0"/>
        <w:spacing w:before="26"/>
        <w:ind w:left="618"/>
        <w:rPr>
          <w:rFonts w:asciiTheme="majorEastAsia" w:hAnsiTheme="majorEastAsia" w:eastAsiaTheme="majorEastAsia"/>
          <w:color w:val="000000" w:themeColor="text1"/>
        </w:rPr>
      </w:pPr>
    </w:p>
    <w:p>
      <w:pPr>
        <w:pStyle w:val="2"/>
        <w:tabs>
          <w:tab w:val="left" w:pos="5295"/>
        </w:tabs>
        <w:kinsoku w:val="0"/>
        <w:overflowPunct w:val="0"/>
        <w:spacing w:before="26"/>
        <w:ind w:left="618"/>
        <w:rPr>
          <w:rFonts w:asciiTheme="majorEastAsia" w:hAnsiTheme="majorEastAsia" w:eastAsiaTheme="majorEastAsia"/>
          <w:color w:val="000000" w:themeColor="text1"/>
        </w:rPr>
      </w:pPr>
    </w:p>
    <w:p>
      <w:pPr>
        <w:pStyle w:val="2"/>
        <w:tabs>
          <w:tab w:val="left" w:pos="5295"/>
        </w:tabs>
        <w:kinsoku w:val="0"/>
        <w:overflowPunct w:val="0"/>
        <w:spacing w:before="26"/>
        <w:ind w:left="618"/>
        <w:rPr>
          <w:rFonts w:asciiTheme="majorEastAsia" w:hAnsiTheme="majorEastAsia" w:eastAsiaTheme="majorEastAsia"/>
          <w:color w:val="000000" w:themeColor="text1"/>
        </w:rPr>
      </w:pPr>
    </w:p>
    <w:p>
      <w:pPr>
        <w:pStyle w:val="2"/>
        <w:tabs>
          <w:tab w:val="left" w:pos="5295"/>
        </w:tabs>
        <w:kinsoku w:val="0"/>
        <w:overflowPunct w:val="0"/>
        <w:spacing w:before="26"/>
        <w:ind w:left="618"/>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被授权代表（签字）：</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供应商法定代表人（签字或盖章）：</w:t>
      </w:r>
    </w:p>
    <w:p>
      <w:pPr>
        <w:pStyle w:val="2"/>
        <w:tabs>
          <w:tab w:val="left" w:pos="1098"/>
          <w:tab w:val="left" w:pos="5298"/>
          <w:tab w:val="left" w:pos="5778"/>
        </w:tabs>
        <w:kinsoku w:val="0"/>
        <w:overflowPunct w:val="0"/>
        <w:spacing w:before="86"/>
        <w:ind w:left="618"/>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职</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务：</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职</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务：</w:t>
      </w:r>
    </w:p>
    <w:p>
      <w:pPr>
        <w:pStyle w:val="2"/>
        <w:tabs>
          <w:tab w:val="left" w:pos="1098"/>
          <w:tab w:val="left" w:pos="5298"/>
          <w:tab w:val="left" w:pos="5778"/>
        </w:tabs>
        <w:kinsoku w:val="0"/>
        <w:overflowPunct w:val="0"/>
        <w:spacing w:before="84"/>
        <w:ind w:left="618"/>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电</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话：</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电</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话：</w:t>
      </w:r>
    </w:p>
    <w:p>
      <w:pPr>
        <w:pStyle w:val="2"/>
        <w:tabs>
          <w:tab w:val="left" w:pos="5631"/>
          <w:tab w:val="left" w:pos="6591"/>
          <w:tab w:val="left" w:pos="7191"/>
          <w:tab w:val="left" w:pos="7791"/>
          <w:tab w:val="left" w:pos="8247"/>
        </w:tabs>
        <w:kinsoku w:val="0"/>
        <w:overflowPunct w:val="0"/>
        <w:spacing w:before="166" w:line="383" w:lineRule="auto"/>
        <w:ind w:right="238" w:firstLine="210" w:firstLineChars="100"/>
        <w:jc w:val="righ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供应商（盖章）</w:t>
      </w:r>
    </w:p>
    <w:p>
      <w:pPr>
        <w:pStyle w:val="2"/>
        <w:tabs>
          <w:tab w:val="left" w:pos="5145"/>
          <w:tab w:val="left" w:pos="6591"/>
          <w:tab w:val="left" w:pos="7191"/>
          <w:tab w:val="left" w:pos="7791"/>
          <w:tab w:val="left" w:pos="8247"/>
        </w:tabs>
        <w:kinsoku w:val="0"/>
        <w:wordWrap w:val="0"/>
        <w:overflowPunct w:val="0"/>
        <w:spacing w:before="166" w:line="383" w:lineRule="auto"/>
        <w:ind w:left="105" w:leftChars="50" w:right="238"/>
        <w:jc w:val="righ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xml:space="preserve">日期：年月日                </w:t>
      </w:r>
    </w:p>
    <w:p>
      <w:pPr>
        <w:pStyle w:val="2"/>
        <w:kinsoku w:val="0"/>
        <w:overflowPunct w:val="0"/>
        <w:spacing w:before="7"/>
        <w:rPr>
          <w:rFonts w:asciiTheme="majorEastAsia" w:hAnsiTheme="majorEastAsia" w:eastAsiaTheme="majorEastAsia"/>
          <w:color w:val="000000" w:themeColor="text1"/>
          <w:sz w:val="22"/>
          <w:szCs w:val="22"/>
        </w:rPr>
      </w:pPr>
    </w:p>
    <w:p>
      <w:pPr>
        <w:pStyle w:val="2"/>
        <w:tabs>
          <w:tab w:val="left" w:pos="5418"/>
        </w:tabs>
        <w:kinsoku w:val="0"/>
        <w:overflowPunct w:val="0"/>
        <w:spacing w:before="26"/>
        <w:ind w:left="618"/>
        <w:rPr>
          <w:rFonts w:asciiTheme="majorEastAsia" w:hAnsiTheme="majorEastAsia" w:eastAsiaTheme="majorEastAsia"/>
          <w:b/>
          <w:color w:val="000000" w:themeColor="text1"/>
        </w:rPr>
      </w:pPr>
    </w:p>
    <w:p>
      <w:pPr>
        <w:pStyle w:val="2"/>
        <w:tabs>
          <w:tab w:val="left" w:pos="5418"/>
        </w:tabs>
        <w:kinsoku w:val="0"/>
        <w:overflowPunct w:val="0"/>
        <w:spacing w:before="26"/>
        <w:ind w:left="618"/>
        <w:rPr>
          <w:rFonts w:asciiTheme="majorEastAsia" w:hAnsiTheme="majorEastAsia" w:eastAsiaTheme="majorEastAsia"/>
          <w:b/>
          <w:color w:val="000000" w:themeColor="text1"/>
        </w:rPr>
      </w:pPr>
    </w:p>
    <w:p>
      <w:pPr>
        <w:pStyle w:val="2"/>
        <w:tabs>
          <w:tab w:val="left" w:pos="5418"/>
        </w:tabs>
        <w:kinsoku w:val="0"/>
        <w:overflowPunct w:val="0"/>
        <w:spacing w:before="26"/>
        <w:ind w:left="618"/>
        <w:rPr>
          <w:rFonts w:asciiTheme="majorEastAsia" w:hAnsiTheme="majorEastAsia" w:eastAsiaTheme="majorEastAsia"/>
          <w:b/>
          <w:color w:val="000000" w:themeColor="text1"/>
        </w:rPr>
      </w:pPr>
    </w:p>
    <w:p>
      <w:pPr>
        <w:pStyle w:val="2"/>
        <w:tabs>
          <w:tab w:val="left" w:pos="5418"/>
        </w:tabs>
        <w:kinsoku w:val="0"/>
        <w:overflowPunct w:val="0"/>
        <w:spacing w:before="26"/>
        <w:ind w:left="618"/>
        <w:rPr>
          <w:rFonts w:asciiTheme="majorEastAsia" w:hAnsiTheme="majorEastAsia" w:eastAsiaTheme="majorEastAsia"/>
          <w:b/>
          <w:color w:val="000000" w:themeColor="text1"/>
        </w:rPr>
      </w:pPr>
      <w:r>
        <w:rPr>
          <w:rFonts w:hint="eastAsia" w:asciiTheme="majorEastAsia" w:hAnsiTheme="majorEastAsia" w:eastAsiaTheme="majorEastAsia"/>
          <w:b/>
          <w:color w:val="000000" w:themeColor="text1"/>
        </w:rPr>
        <w:t>★备注：本委托书递交投标文件时需单独递交一份。</w:t>
      </w:r>
    </w:p>
    <w:p>
      <w:pPr>
        <w:pStyle w:val="2"/>
        <w:kinsoku w:val="0"/>
        <w:overflowPunct w:val="0"/>
        <w:spacing w:before="34" w:line="357" w:lineRule="auto"/>
        <w:ind w:right="126" w:firstLine="480"/>
        <w:jc w:val="center"/>
        <w:rPr>
          <w:rFonts w:asciiTheme="majorEastAsia" w:hAnsiTheme="majorEastAsia" w:eastAsiaTheme="majorEastAsia"/>
          <w:b/>
          <w:bCs/>
          <w:color w:val="000000" w:themeColor="text1"/>
        </w:rPr>
      </w:pPr>
      <w:r>
        <w:rPr>
          <w:rFonts w:asciiTheme="majorEastAsia" w:hAnsiTheme="majorEastAsia" w:eastAsiaTheme="majorEastAsia"/>
          <w:color w:val="000000" w:themeColor="text1"/>
        </w:rPr>
        <w:br w:type="page"/>
      </w:r>
      <w:r>
        <w:rPr>
          <w:rFonts w:hint="eastAsia" w:asciiTheme="majorEastAsia" w:hAnsiTheme="majorEastAsia" w:eastAsiaTheme="majorEastAsia"/>
          <w:b/>
          <w:bCs/>
          <w:color w:val="000000" w:themeColor="text1"/>
          <w:sz w:val="36"/>
          <w:szCs w:val="36"/>
        </w:rPr>
        <w:t>四、投标保证金缴纳凭证</w:t>
      </w:r>
    </w:p>
    <w:p>
      <w:pPr>
        <w:pStyle w:val="2"/>
        <w:kinsoku w:val="0"/>
        <w:overflowPunct w:val="0"/>
        <w:rPr>
          <w:rFonts w:asciiTheme="majorEastAsia" w:hAnsiTheme="majorEastAsia" w:eastAsiaTheme="majorEastAsia"/>
          <w:b/>
          <w:bCs/>
          <w:color w:val="000000" w:themeColor="text1"/>
          <w:sz w:val="20"/>
          <w:szCs w:val="20"/>
        </w:rPr>
      </w:pPr>
    </w:p>
    <w:p>
      <w:pPr>
        <w:pStyle w:val="2"/>
        <w:kinsoku w:val="0"/>
        <w:overflowPunct w:val="0"/>
        <w:spacing w:before="4"/>
        <w:rPr>
          <w:rFonts w:asciiTheme="majorEastAsia" w:hAnsiTheme="majorEastAsia" w:eastAsiaTheme="majorEastAsia"/>
          <w:b/>
          <w:bCs/>
          <w:color w:val="000000" w:themeColor="text1"/>
          <w:sz w:val="23"/>
          <w:szCs w:val="23"/>
        </w:rPr>
      </w:pPr>
    </w:p>
    <w:p>
      <w:pPr>
        <w:spacing w:line="420" w:lineRule="exact"/>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致：（采购人）</w:t>
      </w:r>
    </w:p>
    <w:p>
      <w:pPr>
        <w:spacing w:line="420" w:lineRule="exact"/>
        <w:ind w:firstLine="480" w:firstLineChars="2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我方于</w:t>
      </w:r>
      <w:r>
        <w:rPr>
          <w:rFonts w:cs="仿宋" w:asciiTheme="majorEastAsia" w:hAnsiTheme="majorEastAsia" w:eastAsiaTheme="majorEastAsia"/>
          <w:color w:val="000000" w:themeColor="text1"/>
          <w:kern w:val="0"/>
          <w:sz w:val="24"/>
        </w:rPr>
        <w:tab/>
      </w:r>
      <w:r>
        <w:rPr>
          <w:rFonts w:hint="eastAsia" w:cs="仿宋" w:asciiTheme="majorEastAsia" w:hAnsiTheme="majorEastAsia" w:eastAsiaTheme="majorEastAsia"/>
          <w:color w:val="000000" w:themeColor="text1"/>
          <w:kern w:val="0"/>
          <w:sz w:val="24"/>
        </w:rPr>
        <w:t>年</w:t>
      </w:r>
      <w:r>
        <w:rPr>
          <w:rFonts w:cs="仿宋" w:asciiTheme="majorEastAsia" w:hAnsiTheme="majorEastAsia" w:eastAsiaTheme="majorEastAsia"/>
          <w:color w:val="000000" w:themeColor="text1"/>
          <w:kern w:val="0"/>
          <w:sz w:val="24"/>
          <w:u w:val="single"/>
        </w:rPr>
        <w:tab/>
      </w:r>
      <w:r>
        <w:rPr>
          <w:rFonts w:hint="eastAsia" w:cs="仿宋" w:asciiTheme="majorEastAsia" w:hAnsiTheme="majorEastAsia" w:eastAsiaTheme="majorEastAsia"/>
          <w:color w:val="000000" w:themeColor="text1"/>
          <w:kern w:val="0"/>
          <w:sz w:val="24"/>
        </w:rPr>
        <w:t>月</w:t>
      </w:r>
      <w:r>
        <w:rPr>
          <w:rFonts w:cs="仿宋" w:asciiTheme="majorEastAsia" w:hAnsiTheme="majorEastAsia" w:eastAsiaTheme="majorEastAsia"/>
          <w:color w:val="000000" w:themeColor="text1"/>
          <w:kern w:val="0"/>
          <w:sz w:val="24"/>
          <w:u w:val="single"/>
        </w:rPr>
        <w:tab/>
      </w:r>
      <w:r>
        <w:rPr>
          <w:rFonts w:hint="eastAsia" w:cs="仿宋" w:asciiTheme="majorEastAsia" w:hAnsiTheme="majorEastAsia" w:eastAsiaTheme="majorEastAsia"/>
          <w:color w:val="000000" w:themeColor="text1"/>
          <w:kern w:val="0"/>
          <w:sz w:val="24"/>
        </w:rPr>
        <w:t xml:space="preserve"> 日参加</w:t>
      </w:r>
      <w:r>
        <w:rPr>
          <w:rFonts w:cs="仿宋" w:asciiTheme="majorEastAsia" w:hAnsiTheme="majorEastAsia" w:eastAsiaTheme="majorEastAsia"/>
          <w:color w:val="000000" w:themeColor="text1"/>
          <w:kern w:val="0"/>
          <w:sz w:val="24"/>
          <w:u w:val="single"/>
        </w:rPr>
        <w:tab/>
      </w:r>
      <w:r>
        <w:rPr>
          <w:rFonts w:hint="eastAsia" w:cs="仿宋" w:asciiTheme="majorEastAsia" w:hAnsiTheme="majorEastAsia" w:eastAsiaTheme="majorEastAsia"/>
          <w:color w:val="000000" w:themeColor="text1"/>
          <w:kern w:val="0"/>
          <w:sz w:val="24"/>
          <w:u w:val="single"/>
        </w:rPr>
        <w:t xml:space="preserve">（项目名称）   </w:t>
      </w:r>
      <w:r>
        <w:rPr>
          <w:rFonts w:hint="eastAsia" w:cs="仿宋" w:asciiTheme="majorEastAsia" w:hAnsiTheme="majorEastAsia" w:eastAsiaTheme="majorEastAsia"/>
          <w:color w:val="000000" w:themeColor="text1"/>
          <w:kern w:val="0"/>
          <w:sz w:val="24"/>
        </w:rPr>
        <w:t>的投标，现保证：我方在规定的投标有效期内撤销或修改投标文件的，或者在收到中标通知书后无正当理由拒签合同或拒交规定履约担保的，投标保证金不予退还。</w:t>
      </w:r>
    </w:p>
    <w:p>
      <w:pPr>
        <w:pStyle w:val="2"/>
        <w:kinsoku w:val="0"/>
        <w:overflowPunct w:val="0"/>
        <w:rPr>
          <w:rFonts w:asciiTheme="majorEastAsia" w:hAnsiTheme="majorEastAsia" w:eastAsiaTheme="majorEastAsia"/>
          <w:color w:val="000000" w:themeColor="text1"/>
        </w:rPr>
      </w:pPr>
    </w:p>
    <w:p>
      <w:pPr>
        <w:pStyle w:val="2"/>
        <w:kinsoku w:val="0"/>
        <w:overflowPunct w:val="0"/>
        <w:rPr>
          <w:rFonts w:asciiTheme="majorEastAsia" w:hAnsiTheme="majorEastAsia" w:eastAsiaTheme="majorEastAsia"/>
          <w:color w:val="000000" w:themeColor="text1"/>
        </w:rPr>
      </w:pPr>
    </w:p>
    <w:p>
      <w:pPr>
        <w:pStyle w:val="2"/>
        <w:kinsoku w:val="0"/>
        <w:overflowPunct w:val="0"/>
        <w:spacing w:before="4"/>
        <w:rPr>
          <w:rFonts w:asciiTheme="majorEastAsia" w:hAnsiTheme="majorEastAsia" w:eastAsiaTheme="majorEastAsia"/>
          <w:color w:val="000000" w:themeColor="text1"/>
          <w:sz w:val="34"/>
          <w:szCs w:val="34"/>
        </w:rPr>
      </w:pPr>
    </w:p>
    <w:p>
      <w:pPr>
        <w:pStyle w:val="2"/>
        <w:tabs>
          <w:tab w:val="left" w:pos="7590"/>
        </w:tabs>
        <w:kinsoku w:val="0"/>
        <w:overflowPunct w:val="0"/>
        <w:spacing w:line="381" w:lineRule="auto"/>
        <w:ind w:right="118" w:firstLine="3255" w:firstLineChars="155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供应商：</w:t>
      </w: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w w:val="95"/>
        </w:rPr>
        <w:t>（盖章）</w:t>
      </w:r>
    </w:p>
    <w:p>
      <w:pPr>
        <w:pStyle w:val="2"/>
        <w:tabs>
          <w:tab w:val="left" w:pos="7590"/>
        </w:tabs>
        <w:kinsoku w:val="0"/>
        <w:overflowPunct w:val="0"/>
        <w:spacing w:line="381" w:lineRule="auto"/>
        <w:ind w:right="118" w:firstLine="3255" w:firstLineChars="1550"/>
        <w:rPr>
          <w:rFonts w:asciiTheme="majorEastAsia" w:hAnsiTheme="majorEastAsia" w:eastAsiaTheme="majorEastAsia"/>
          <w:color w:val="000000" w:themeColor="text1"/>
          <w:w w:val="95"/>
        </w:rPr>
      </w:pPr>
      <w:r>
        <w:rPr>
          <w:rFonts w:hint="eastAsia" w:asciiTheme="majorEastAsia" w:hAnsiTheme="majorEastAsia" w:eastAsiaTheme="majorEastAsia"/>
          <w:color w:val="000000" w:themeColor="text1"/>
        </w:rPr>
        <w:t>法定代表人或被授权人：</w:t>
      </w: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w w:val="95"/>
        </w:rPr>
        <w:t>（签字或盖章）</w:t>
      </w:r>
    </w:p>
    <w:p>
      <w:pPr>
        <w:pStyle w:val="2"/>
        <w:tabs>
          <w:tab w:val="left" w:pos="5551"/>
          <w:tab w:val="left" w:pos="6511"/>
          <w:tab w:val="left" w:pos="7111"/>
          <w:tab w:val="left" w:pos="7711"/>
        </w:tabs>
        <w:kinsoku w:val="0"/>
        <w:overflowPunct w:val="0"/>
        <w:spacing w:before="46"/>
        <w:ind w:left="2583" w:firstLine="2248"/>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日</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期：</w:t>
      </w: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rPr>
        <w:t>年</w:t>
      </w: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rPr>
        <w:t>月</w:t>
      </w: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rPr>
        <w:t>日</w:t>
      </w:r>
    </w:p>
    <w:p>
      <w:pPr>
        <w:pStyle w:val="2"/>
        <w:kinsoku w:val="0"/>
        <w:overflowPunct w:val="0"/>
        <w:rPr>
          <w:rFonts w:asciiTheme="majorEastAsia" w:hAnsiTheme="majorEastAsia" w:eastAsiaTheme="majorEastAsia"/>
          <w:color w:val="000000" w:themeColor="text1"/>
        </w:rPr>
      </w:pPr>
    </w:p>
    <w:p>
      <w:pPr>
        <w:pStyle w:val="2"/>
        <w:kinsoku w:val="0"/>
        <w:overflowPunct w:val="0"/>
        <w:spacing w:before="5"/>
        <w:rPr>
          <w:rFonts w:asciiTheme="majorEastAsia" w:hAnsiTheme="majorEastAsia" w:eastAsiaTheme="majorEastAsia"/>
          <w:color w:val="000000" w:themeColor="text1"/>
          <w:sz w:val="25"/>
          <w:szCs w:val="25"/>
        </w:rPr>
      </w:pPr>
    </w:p>
    <w:p>
      <w:pPr>
        <w:pStyle w:val="2"/>
        <w:kinsoku w:val="0"/>
        <w:overflowPunct w:val="0"/>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（复印件应附在投标文件中）</w:t>
      </w:r>
    </w:p>
    <w:p>
      <w:pPr>
        <w:pStyle w:val="2"/>
        <w:kinsoku w:val="0"/>
        <w:overflowPunct w:val="0"/>
        <w:rPr>
          <w:rFonts w:asciiTheme="majorEastAsia" w:hAnsiTheme="majorEastAsia" w:eastAsiaTheme="majorEastAsia"/>
          <w:color w:val="000000" w:themeColor="text1"/>
          <w:sz w:val="20"/>
          <w:szCs w:val="20"/>
        </w:rPr>
      </w:pPr>
    </w:p>
    <w:p>
      <w:pPr>
        <w:pStyle w:val="2"/>
        <w:kinsoku w:val="0"/>
        <w:overflowPunct w:val="0"/>
        <w:spacing w:before="8"/>
        <w:rPr>
          <w:rFonts w:asciiTheme="majorEastAsia" w:hAnsiTheme="majorEastAsia" w:eastAsiaTheme="majorEastAsia"/>
          <w:color w:val="000000" w:themeColor="text1"/>
          <w:sz w:val="10"/>
          <w:szCs w:val="10"/>
        </w:rPr>
      </w:pPr>
    </w:p>
    <w:p>
      <w:pPr>
        <w:pStyle w:val="2"/>
        <w:kinsoku w:val="0"/>
        <w:overflowPunct w:val="0"/>
        <w:spacing w:line="200" w:lineRule="atLeast"/>
        <w:rPr>
          <w:rFonts w:asciiTheme="majorEastAsia" w:hAnsiTheme="majorEastAsia" w:eastAsiaTheme="majorEastAsia"/>
          <w:color w:val="000000" w:themeColor="text1"/>
          <w:sz w:val="20"/>
          <w:szCs w:val="20"/>
        </w:rPr>
      </w:pPr>
      <w:r>
        <w:rPr>
          <w:rFonts w:asciiTheme="majorEastAsia" w:hAnsiTheme="majorEastAsia" w:eastAsiaTheme="majorEastAsia"/>
          <w:color w:val="000000" w:themeColor="text1"/>
          <w:sz w:val="20"/>
          <w:szCs w:val="20"/>
        </w:rPr>
        <w:pict>
          <v:group id="Group 3" o:spid="_x0000_s1107" o:spt="203" style="height:253pt;width:448.5pt;" coordsize="0,0">
            <o:lock v:ext="edit"/>
            <v:group id="Group 4" o:spid="_x0000_s1108" o:spt="203" style="position:absolute;left:0;top:0;height:50;width:74;" coordsize="7425,5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v:shape id="AutoShape 83" o:spid="_x0000_s112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ETsEA&#10;AADaAAAADwAAAGRycy9kb3ducmV2LnhtbESPzYoCMRCE74LvEFrwphkVF5k1igr+HIRF1wdoJr2Z&#10;WSedIYk6+/YbQfBYVNVX1HzZ2lrcyYfKsYLRMANBXDhdsVFw+d4OZiBCRNZYOyYFfxRgueh25phr&#10;9+AT3c/RiAThkKOCMsYmlzIUJVkMQ9cQJ+/HeYsxSW+k9vhIcFvLcZZ9SIsVp4USG9qUVFzPN6tg&#10;b3ZxvzPumLX+dyr9+jL50lel+r129QkiUhvf4Vf7oBVM4Hkl3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hBE7BAAAA2gAAAA8AAAAAAAAAAAAAAAAAmAIAAGRycy9kb3du&#10;cmV2LnhtbFBLBQYAAAAABAAEAPUAAACGAwAAAAA=&#10;" path="m483,19l412,19,426,0,497,0,483,19xe">
                <v:path o:connecttype="custom" o:connectlocs="483,19;412,19;426,0;497,0;483,19" o:connectangles="0,0,0,0,0"/>
                <v:fill on="t" focussize="0,0"/>
                <v:stroke on="f"/>
                <v:imagedata o:title=""/>
                <o:lock v:ext="edit"/>
              </v:shape>
              <v:shape id="AutoShape 82" o:spid="_x0000_s111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cOsIA&#10;AADaAAAADwAAAGRycy9kb3ducmV2LnhtbESP0WoCMRRE3wv+Q7iCbzVrbUVWo1hB7YNQuvoBl801&#10;u7q5WZKo6983BaGPw8ycYebLzjbiRj7UjhWMhhkI4tLpmo2C42HzOgURIrLGxjEpeFCA5aL3Msdc&#10;uzv/0K2IRiQIhxwVVDG2uZShrMhiGLqWOHkn5y3GJL2R2uM9wW0j37JsIi3WnBYqbGldUXkprlbB&#10;zmzjbmvcPuv8+UP6z+P4W1+UGvS71QxEpC7+h5/tL63gHf6upBs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Jw6wgAAANoAAAAPAAAAAAAAAAAAAAAAAJgCAABkcnMvZG93&#10;bnJldi54bWxQSwUGAAAAAAQABAD1AAAAhwMAAAAA&#10;" path="m7011,19l6940,19,6926,0,6998,0,7011,19xe">
                <v:path o:connecttype="custom" o:connectlocs="7011,19;6940,19;6926,0;6998,0;7011,19" o:connectangles="0,0,0,0,0"/>
                <v:fill on="t" focussize="0,0"/>
                <v:stroke on="f"/>
                <v:imagedata o:title=""/>
                <o:lock v:ext="edit"/>
              </v:shape>
              <v:shape id="AutoShape 81" o:spid="_x0000_s111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5ocEA&#10;AADaAAAADwAAAGRycy9kb3ducmV2LnhtbESPzYoCMRCE7wu+Q2jB25pRcZFZo6jgz0FYdH2AZtKb&#10;mXXSGZKo49sbQfBYVNVX1HTe2lpcyYfKsYJBPwNBXDhdsVFw+l1/TkCEiKyxdkwK7hRgPut8TDHX&#10;7sYHuh6jEQnCIUcFZYxNLmUoSrIY+q4hTt6f8xZjkt5I7fGW4LaWwyz7khYrTgslNrQqqTgfL1bB&#10;1mzidmPcPmv9/1j65Wn0o89K9brt4htEpDa+w6/2TisYw/NKu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EOaHBAAAA2gAAAA8AAAAAAAAAAAAAAAAAmAIAAGRycy9kb3du&#10;cmV2LnhtbFBLBQYAAAAABAAEAPUAAACGAwAAAAA=&#10;" path="m390,39l346,39,359,19,403,19,390,39xe">
                <v:path o:connecttype="custom" o:connectlocs="390,39;346,39;359,19;403,19;390,39" o:connectangles="0,0,0,0,0"/>
                <v:fill on="t" focussize="0,0"/>
                <v:stroke on="f"/>
                <v:imagedata o:title=""/>
                <o:lock v:ext="edit"/>
              </v:shape>
              <v:shape id="AutoShape 80" o:spid="_x0000_s111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n1sEA&#10;AADaAAAADwAAAGRycy9kb3ducmV2LnhtbESPwYoCMRBE74L/EFrwphlXlGU0igqre1iQVT+gmbSZ&#10;0UlnSKKOf78RFjwWVfWKmi9bW4s7+VA5VjAaZiCIC6crNgpOx6/BJ4gQkTXWjknBkwIsF93OHHPt&#10;HvxL90M0IkE45KigjLHJpQxFSRbD0DXEyTs7bzEm6Y3UHh8Jbmv5kWVTabHitFBiQ5uSiuvhZhXs&#10;zDbutsb9ZK2/TKRfn8Z7fVWq32tXMxCR2vgO/7e/tYIpvK6kG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Wp9bBAAAA2gAAAA8AAAAAAAAAAAAAAAAAmAIAAGRycy9kb3du&#10;cmV2LnhtbFBLBQYAAAAABAAEAPUAAACGAwAAAAA=&#10;" path="m7077,39l7033,39,7020,19,7064,19,7077,39xe">
                <v:path o:connecttype="custom" o:connectlocs="7077,39;7033,39;7020,19;7064,19;7077,39" o:connectangles="0,0,0,0,0"/>
                <v:fill on="t" focussize="0,0"/>
                <v:stroke on="f"/>
                <v:imagedata o:title=""/>
                <o:lock v:ext="edit"/>
              </v:shape>
              <v:shape id="AutoShape 79" o:spid="_x0000_s111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CTcIA&#10;AADaAAAADwAAAGRycy9kb3ducmV2LnhtbESP0WoCMRRE3wv+Q7iCbzVrpVVWo1hB7YNQuvoBl801&#10;u7q5WZKo6983BaGPw8ycYebLzjbiRj7UjhWMhhkI4tLpmo2C42HzOgURIrLGxjEpeFCA5aL3Msdc&#10;uzv/0K2IRiQIhxwVVDG2uZShrMhiGLqWOHkn5y3GJL2R2uM9wW0j37LsQ1qsOS1U2NK6ovJSXK2C&#10;ndnG3da4fdb587v0n8fxt74oNeh3qxmISF38Dz/bX1rBBP6upBs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gJNwgAAANoAAAAPAAAAAAAAAAAAAAAAAJgCAABkcnMvZG93&#10;bnJldi54bWxQSwUGAAAAAAQABAD1AAAAhwMAAAAA&#10;" path="m340,59l309,59,321,39,352,39,340,59xe">
                <v:path o:connecttype="custom" o:connectlocs="340,59;309,59;321,39;352,39;340,59" o:connectangles="0,0,0,0,0"/>
                <v:fill on="t" focussize="0,0"/>
                <v:stroke on="f"/>
                <v:imagedata o:title=""/>
                <o:lock v:ext="edit"/>
              </v:shape>
              <v:shape id="AutoShape 78" o:spid="_x0000_s111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WP78A&#10;AADaAAAADwAAAGRycy9kb3ducmV2LnhtbERP3WrCMBS+H+wdwhl4t6Y6HKMzigraXQhjrg9waI5p&#10;tTkpSWbr2y8Xgpcf3/9iNdpOXMmH1rGCaZaDIK6dbtkoqH53rx8gQkTW2DkmBTcKsFo+Py2w0G7g&#10;H7oeoxEphEOBCpoY+0LKUDdkMWSuJ07cyXmLMUFvpPY4pHDbyVmev0uLLaeGBnvaNlRfjn9WQWn2&#10;sdwbd8hHf55Lv6nevvVFqcnLuP4EEWmMD/Hd/aUVpK3pSro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hZY/vwAAANoAAAAPAAAAAAAAAAAAAAAAAJgCAABkcnMvZG93bnJl&#10;di54bWxQSwUGAAAAAAQABAD1AAAAhAMAAAAA&#10;" path="m7115,59l7084,59,7071,39,7102,39,7115,59xe">
                <v:path o:connecttype="custom" o:connectlocs="7115,59;7084,59;7071,39;7102,39;7115,59" o:connectangles="0,0,0,0,0"/>
                <v:fill on="t" focussize="0,0"/>
                <v:stroke on="f"/>
                <v:imagedata o:title=""/>
                <o:lock v:ext="edit"/>
              </v:shape>
              <v:shape id="AutoShape 77" o:spid="_x0000_s111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zpMIA&#10;AADaAAAADwAAAGRycy9kb3ducmV2LnhtbESP0WoCMRRE3wv+Q7iCbzVrpUVXo1hB7YNQuvoBl801&#10;u7q5WZKo6983BaGPw8ycYebLzjbiRj7UjhWMhhkI4tLpmo2C42HzOgERIrLGxjEpeFCA5aL3Msdc&#10;uzv/0K2IRiQIhxwVVDG2uZShrMhiGLqWOHkn5y3GJL2R2uM9wW0j37LsQ1qsOS1U2NK6ovJSXK2C&#10;ndnG3da4fdb587v0n8fxt74oNeh3qxmISF38Dz/bX1rBFP6upBs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TOkwgAAANoAAAAPAAAAAAAAAAAAAAAAAJgCAABkcnMvZG93&#10;bnJldi54bWxQSwUGAAAAAAQABAD1AAAAhwMAAAAA&#10;" path="m304,79l273,79,285,59,316,59,304,79xe">
                <v:path o:connecttype="custom" o:connectlocs="304,79;273,79;285,59;316,59;304,79" o:connectangles="0,0,0,0,0"/>
                <v:fill on="t" focussize="0,0"/>
                <v:stroke on="f"/>
                <v:imagedata o:title=""/>
                <o:lock v:ext="edit"/>
              </v:shape>
              <v:shape id="AutoShape 76" o:spid="_x0000_s111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3vMMA&#10;AADbAAAADwAAAGRycy9kb3ducmV2LnhtbESPQWsCMRCF70L/Q5hCb5q1pSJbo6hQ7aEgbv0Bw2bM&#10;rm4mS5Lq9t93DoXeZnhv3vtmsRp8p24UUxvYwHRSgCKug23ZGTh9vY/noFJGttgFJgM/lGC1fBgt&#10;sLThzke6VdkpCeFUooEm577UOtUNeUyT0BOLdg7RY5Y1Om0j3iXcd/q5KGbaY8vS0GBP24bqa/Xt&#10;DezdLu93LnwWQ7y86rg5vRzs1Zinx2H9BirTkP/Nf9cfVvCFX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D3vMMAAADbAAAADwAAAAAAAAAAAAAAAACYAgAAZHJzL2Rv&#10;d25yZXYueG1sUEsFBgAAAAAEAAQA9QAAAIgDAAAAAA==&#10;" path="m7151,79l7120,79,7108,59,7139,59,7151,79xe">
                <v:path o:connecttype="custom" o:connectlocs="7151,79;7120,79;7108,59;7139,59;7151,79" o:connectangles="0,0,0,0,0"/>
                <v:fill on="t" focussize="0,0"/>
                <v:stroke on="f"/>
                <v:imagedata o:title=""/>
                <o:lock v:ext="edit"/>
              </v:shape>
              <v:shape id="AutoShape 75" o:spid="_x0000_s111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SJ8EA&#10;AADbAAAADwAAAGRycy9kb3ducmV2LnhtbERP3WrCMBS+F3yHcITdaapjIp1RVJjdxUDs+gCH5izt&#10;bE5Kktnu7ZfBYHfn4/s92/1oO3EnH1rHCpaLDARx7XTLRkH1/jLfgAgRWWPnmBR8U4D9bjrZYq7d&#10;wFe6l9GIFMIhRwVNjH0uZagbshgWridO3IfzFmOC3kjtcUjhtpOrLFtLiy2nhgZ7OjVU38ovq6Aw&#10;51icjXvLRv/5JP2xerzom1IPs/HwDCLSGP/Ff+5XneYv4feXd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cUifBAAAA2wAAAA8AAAAAAAAAAAAAAAAAmAIAAGRycy9kb3du&#10;cmV2LnhtbFBLBQYAAAAABAAEAPUAAACGAwAAAAA=&#10;" path="m269,99l239,99,250,79,281,79,269,99xe">
                <v:path o:connecttype="custom" o:connectlocs="269,99;239,99;250,79;281,79;269,99" o:connectangles="0,0,0,0,0"/>
                <v:fill on="t" focussize="0,0"/>
                <v:stroke on="f"/>
                <v:imagedata o:title=""/>
                <o:lock v:ext="edit"/>
              </v:shape>
              <v:shape id="AutoShape 74" o:spid="_x0000_s111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MUMAA&#10;AADbAAAADwAAAGRycy9kb3ducmV2LnhtbERP24rCMBB9F/yHMMK+aaqLIl2juAteHgTR9QOGZjbt&#10;2kxKErX+vREE3+ZwrjNbtLYWV/KhcqxgOMhAEBdOV2wUnH5X/SmIEJE11o5JwZ0CLObdzgxz7W58&#10;oOsxGpFCOOSooIyxyaUMRUkWw8A1xIn7c95iTNAbqT3eUrit5SjLJtJixamhxIZ+SirOx4tVsDHr&#10;uFkbt8ta/z+W/vv0uddnpT567fILRKQ2vsUv91an+SN4/pIO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7MUMAAAADbAAAADwAAAAAAAAAAAAAAAACYAgAAZHJzL2Rvd25y&#10;ZXYueG1sUEsFBgAAAAAEAAQA9QAAAIUDAAAAAA==&#10;" path="m7185,99l7154,99,7143,79,7174,79,7185,99xe">
                <v:path o:connecttype="custom" o:connectlocs="7185,99;7154,99;7143,79;7174,79;7185,99" o:connectangles="0,0,0,0,0"/>
                <v:fill on="t" focussize="0,0"/>
                <v:stroke on="f"/>
                <v:imagedata o:title=""/>
                <o:lock v:ext="edit"/>
              </v:shape>
              <v:shape id="AutoShape 73" o:spid="_x0000_s111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py8EA&#10;AADbAAAADwAAAGRycy9kb3ducmV2LnhtbERP3WrCMBS+H+wdwhnsbqZaJqMaxQ3UXQxktQ9waI5p&#10;tTkpSVbr25vBYHfn4/s9y/VoOzGQD61jBdNJBoK4drplo6A6bl/eQISIrLFzTApuFGC9enxYYqHd&#10;lb9pKKMRKYRDgQqaGPtCylA3ZDFMXE+cuJPzFmOC3kjt8ZrCbSdnWTaXFltODQ329NFQfSl/rIK9&#10;2cX9zrivbPTnV+nfq/ygL0o9P42bBYhIY/wX/7k/dZqfw+8v6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CacvBAAAA2wAAAA8AAAAAAAAAAAAAAAAAmAIAAGRycy9kb3du&#10;cmV2LnhtbFBLBQYAAAAABAAEAPUAAACGAwAAAAA=&#10;" path="m237,119l217,119,228,99,247,99,237,119xe">
                <v:path o:connecttype="custom" o:connectlocs="237,119;217,119;228,99;247,99;237,119" o:connectangles="0,0,0,0,0"/>
                <v:fill on="t" focussize="0,0"/>
                <v:stroke on="f"/>
                <v:imagedata o:title=""/>
                <o:lock v:ext="edit"/>
              </v:shape>
              <v:shape id="AutoShape 72" o:spid="_x0000_s110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xv8AA&#10;AADbAAAADwAAAGRycy9kb3ducmV2LnhtbERPzWoCMRC+F3yHMIK3mrW2IqtRrKD2IJSuPsCwGbOr&#10;m8mSRF3fvikIvc3H9zvzZWcbcSMfascKRsMMBHHpdM1GwfGweZ2CCBFZY+OYFDwowHLRe5ljrt2d&#10;f+hWRCNSCIccFVQxtrmUoazIYhi6ljhxJ+ctxgS9kdrjPYXbRr5l2URarDk1VNjSuqLyUlytgp3Z&#10;xt3WuH3W+fOH9J/H8be+KDXod6sZiEhd/Bc/3V86zX+Hv1/S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vxv8AAAADbAAAADwAAAAAAAAAAAAAAAACYAgAAZHJzL2Rvd25y&#10;ZXYueG1sUEsFBgAAAAAEAAQA9QAAAIUDAAAAAA==&#10;" path="m7207,119l7187,119,7176,99,7196,99,7207,119xe">
                <v:path o:connecttype="custom" o:connectlocs="7207,119;7187,119;7176,99;7196,99;7207,119" o:connectangles="0,0,0,0,0"/>
                <v:fill on="t" focussize="0,0"/>
                <v:stroke on="f"/>
                <v:imagedata o:title=""/>
                <o:lock v:ext="edit"/>
              </v:shape>
              <v:shape id="AutoShape 71" o:spid="_x0000_s104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UJL8A&#10;AADbAAAADwAAAGRycy9kb3ducmV2LnhtbERPzYrCMBC+C75DGMGbpq4oSzWKCqt7WJBVH2BoxrTa&#10;TEoStb79ZkHwNh/f78yXra3FnXyoHCsYDTMQxIXTFRsFp+PX4BNEiMgaa8ek4EkBlotuZ465dg/+&#10;pfshGpFCOOSooIyxyaUMRUkWw9A1xIk7O28xJuiN1B4fKdzW8iPLptJixamhxIY2JRXXw80q2Jlt&#10;3G2N+8laf5lIvz6N9/qqVL/XrmYgIrXxLX65v3WaP4H/X9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p1QkvwAAANsAAAAPAAAAAAAAAAAAAAAAAJgCAABkcnMvZG93bnJl&#10;di54bWxQSwUGAAAAAAQABAD1AAAAhAMAAAAA&#10;" path="m216,139l186,139,196,119,226,119,216,139xe">
                <v:path o:connecttype="custom" o:connectlocs="216,139;186,139;196,119;226,119;216,139" o:connectangles="0,0,0,0,0"/>
                <v:fill on="t" focussize="0,0"/>
                <v:stroke on="f"/>
                <v:imagedata o:title=""/>
                <o:lock v:ext="edit"/>
              </v:shape>
              <v:shape id="AutoShape 70" o:spid="_x0000_s104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KU78A&#10;AADbAAAADwAAAGRycy9kb3ducmV2LnhtbERPzYrCMBC+C75DGMGbpq4oSzWKCqt7WJBVH2BoxrTa&#10;TEoStb79RljwNh/f78yXra3FnXyoHCsYDTMQxIXTFRsFp+PX4BNEiMgaa8ek4EkBlotuZ465dg/+&#10;pfshGpFCOOSooIyxyaUMRUkWw9A1xIk7O28xJuiN1B4fKdzW8iPLptJixamhxIY2JRXXw80q2Jlt&#10;3G2N+8laf5lIvz6N9/qqVL/XrmYgIrXxLf53f+s0fwqvX9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dcpTvwAAANsAAAAPAAAAAAAAAAAAAAAAAJgCAABkcnMvZG93bnJl&#10;di54bWxQSwUGAAAAAAQABAD1AAAAhAMAAAAA&#10;" path="m7238,139l7208,139,7197,119,7228,119,7238,139xe">
                <v:path o:connecttype="custom" o:connectlocs="7238,139;7208,139;7197,119;7228,119;7238,139" o:connectangles="0,0,0,0,0"/>
                <v:fill on="t" focussize="0,0"/>
                <v:stroke on="f"/>
                <v:imagedata o:title=""/>
                <o:lock v:ext="edit"/>
              </v:shape>
              <v:shape id="AutoShape 69" o:spid="_x0000_s104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vyMAA&#10;AADbAAAADwAAAGRycy9kb3ducmV2LnhtbERPzWoCMRC+F3yHMIK3mrXSKqtRrKD2IJSuPsCwGbOr&#10;m8mSRF3fvikIvc3H9zvzZWcbcSMfascKRsMMBHHpdM1GwfGweZ2CCBFZY+OYFDwowHLRe5ljrt2d&#10;f+hWRCNSCIccFVQxtrmUoazIYhi6ljhxJ+ctxgS9kdrjPYXbRr5l2Ye0WHNqqLCldUXlpbhaBTuz&#10;jbutcfus8+d36T+P4299UWrQ71YzEJG6+C9+ur90mj+Bv1/S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lvyMAAAADbAAAADwAAAAAAAAAAAAAAAACYAgAAZHJzL2Rvd25y&#10;ZXYueG1sUEsFBgAAAAAEAAQA9QAAAIUDAAAAAA==&#10;" path="m186,159l166,159,176,139,196,139,186,159xe">
                <v:path o:connecttype="custom" o:connectlocs="186,159;166,159;176,139;196,139;186,159" o:connectangles="0,0,0,0,0"/>
                <v:fill on="t" focussize="0,0"/>
                <v:stroke on="f"/>
                <v:imagedata o:title=""/>
                <o:lock v:ext="edit"/>
              </v:shape>
              <v:shape id="AutoShape 68" o:spid="_x0000_s104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7usMA&#10;AADbAAAADwAAAGRycy9kb3ducmV2LnhtbESPQWsCMRCF70L/Q5hCb5q1pSJbo6hQ7aEgbv0Bw2bM&#10;rm4mS5Lq9t93DoXeZnhv3vtmsRp8p24UUxvYwHRSgCKug23ZGTh9vY/noFJGttgFJgM/lGC1fBgt&#10;sLThzke6VdkpCeFUooEm577UOtUNeUyT0BOLdg7RY5Y1Om0j3iXcd/q5KGbaY8vS0GBP24bqa/Xt&#10;DezdLu93LnwWQ7y86rg5vRzs1Zinx2H9BirTkP/Nf9cfVvAFV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7usMAAADbAAAADwAAAAAAAAAAAAAAAACYAgAAZHJzL2Rv&#10;d25yZXYueG1sUEsFBgAAAAAEAAQA9QAAAIgDAAAAAA==&#10;" path="m7258,159l7238,159,7228,139,7248,139,7258,159xe">
                <v:path o:connecttype="custom" o:connectlocs="7258,159;7238,159;7228,139;7248,139;7258,159" o:connectangles="0,0,0,0,0"/>
                <v:fill on="t" focussize="0,0"/>
                <v:stroke on="f"/>
                <v:imagedata o:title=""/>
                <o:lock v:ext="edit"/>
              </v:shape>
              <v:shape id="AutoShape 67" o:spid="_x0000_s104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eIcAA&#10;AADbAAAADwAAAGRycy9kb3ducmV2LnhtbERPzWoCMRC+F3yHMIK3mrXSoqtRrKD2IJSuPsCwGbOr&#10;m8mSRF3fvikIvc3H9zvzZWcbcSMfascKRsMMBHHpdM1GwfGweZ2ACBFZY+OYFDwowHLRe5ljrt2d&#10;f+hWRCNSCIccFVQxtrmUoazIYhi6ljhxJ+ctxgS9kdrjPYXbRr5l2Ye0WHNqqLCldUXlpbhaBTuz&#10;jbutcfus8+d36T+P4299UWrQ71YzEJG6+C9+ur90mj+Fv1/S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peIcAAAADbAAAADwAAAAAAAAAAAAAAAACYAgAAZHJzL2Rvd25y&#10;ZXYueG1sUEsFBgAAAAAEAAQA9QAAAIUDAAAAAA==&#10;" path="m167,179l147,179,156,159,176,159,167,179xe">
                <v:path o:connecttype="custom" o:connectlocs="167,179;147,179;156,159;176,159;167,179" o:connectangles="0,0,0,0,0"/>
                <v:fill on="t" focussize="0,0"/>
                <v:stroke on="f"/>
                <v:imagedata o:title=""/>
                <o:lock v:ext="edit"/>
              </v:shape>
              <v:shape id="AutoShape 66" o:spid="_x0000_s104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9AcEA&#10;AADbAAAADwAAAGRycy9kb3ducmV2LnhtbERP3WrCMBS+F3yHcITd2VTHZHRGmYK6i4HY9QEOzVna&#10;2ZyUJGu7t18uBrv8+P63+8l2YiAfWscKVlkOgrh2umWjoPo4LZ9BhIissXNMCn4owH43n22x0G7k&#10;Gw1lNCKFcChQQRNjX0gZ6oYshsz1xIn7dN5iTNAbqT2OKdx2cp3nG2mx5dTQYE/Hhup7+W0VXMw5&#10;Xs7GveeT/3qS/lA9XvVdqYfF9PoCItIU/8V/7jetYJ3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8PQHBAAAA2wAAAA8AAAAAAAAAAAAAAAAAmAIAAGRycy9kb3du&#10;cmV2LnhtbFBLBQYAAAAABAAEAPUAAACGAwAAAAA=&#10;" path="m7277,179l7256,179,7247,159,7267,159,7277,179xe">
                <v:path o:connecttype="custom" o:connectlocs="7277,179;7256,179;7247,159;7267,159;7277,179" o:connectangles="0,0,0,0,0"/>
                <v:fill on="t" focussize="0,0"/>
                <v:stroke on="f"/>
                <v:imagedata o:title=""/>
                <o:lock v:ext="edit"/>
              </v:shape>
              <v:shape id="AutoShape 65" o:spid="_x0000_s104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YmsMA&#10;AADbAAAADwAAAGRycy9kb3ducmV2LnhtbESPUWvCMBSF3wf+h3CFvc1Ux4ZUo6gw3cNgWPsDLs01&#10;rTY3Jcna7t8vg8EeD+ec73DW29G2oicfGscK5rMMBHHldMNGQXl5e1qCCBFZY+uYFHxTgO1m8rDG&#10;XLuBz9QX0YgE4ZCjgjrGLpcyVDVZDDPXESfv6rzFmKQ3UnscEty2cpFlr9Jiw2mhxo4ONVX34ssq&#10;OJljPB2N+8hGf3uRfl8+f+q7Uo/TcbcCEWmM/+G/9rtWsJjD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CYmsMAAADbAAAADwAAAAAAAAAAAAAAAACYAgAAZHJzL2Rv&#10;d25yZXYueG1sUEsFBgAAAAAEAAQA9QAAAIgDAAAAAA==&#10;" path="m149,199l129,199,138,179,158,179,149,199xe">
                <v:path o:connecttype="custom" o:connectlocs="149,199;129,199;138,179;158,179;149,199" o:connectangles="0,0,0,0,0"/>
                <v:fill on="t" focussize="0,0"/>
                <v:stroke on="f"/>
                <v:imagedata o:title=""/>
                <o:lock v:ext="edit"/>
              </v:shape>
              <v:shape id="AutoShape 64" o:spid="_x0000_s104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G7cMA&#10;AADbAAAADwAAAGRycy9kb3ducmV2LnhtbESPUWvCMBSF34X9h3AHvmm6ijK6prINpj4IMucPuDTX&#10;tNrclCTT7t8vguDj4ZzzHU65HGwnLuRD61jByzQDQVw73bJRcPj5mryCCBFZY+eYFPxRgGX1NCqx&#10;0O7K33TZRyMShEOBCpoY+0LKUDdkMUxdT5y8o/MWY5LeSO3xmuC2k3mWLaTFltNCgz19NlSf979W&#10;wdqs4npl3DYb/Gku/cdhttNnpcbPw/sbiEhDfITv7Y1WkOdw+5J+gK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IG7cMAAADbAAAADwAAAAAAAAAAAAAAAACYAgAAZHJzL2Rv&#10;d25yZXYueG1sUEsFBgAAAAAEAAQA9QAAAIgDAAAAAA==&#10;" path="m7294,199l7274,199,7265,179,7286,179,7294,199xe">
                <v:path o:connecttype="custom" o:connectlocs="7294,199;7274,199;7265,179;7286,179;7294,199" o:connectangles="0,0,0,0,0"/>
                <v:fill on="t" focussize="0,0"/>
                <v:stroke on="f"/>
                <v:imagedata o:title=""/>
                <o:lock v:ext="edit"/>
              </v:shape>
              <v:shape id="AutoShape 63" o:spid="_x0000_s104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6jdsMA&#10;AADbAAAADwAAAGRycy9kb3ducmV2LnhtbESPUWvCMBSF34X9h3AHe9N0LZPRGcUJ6h4E0fkDLs1d&#10;WtvclCSz3b9fhMEeD+ec73AWq9F24kY+NI4VPM8yEMSV0w0bBZfP7fQVRIjIGjvHpOCHAqyWD5MF&#10;ltoNfKLbORqRIBxKVFDH2JdShqomi2HmeuLkfTlvMSbpjdQehwS3ncyzbC4tNpwWauxpU1PVnr+t&#10;gr3Zxf3OuEM2+uuL9O+X4qhbpZ4ex/UbiEhj/A//tT+0gryA+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6jdsMAAADbAAAADwAAAAAAAAAAAAAAAACYAgAAZHJzL2Rv&#10;d25yZXYueG1sUEsFBgAAAAAEAAQA9QAAAIgDAAAAAA==&#10;" path="m132,219l112,219,121,199,141,199,132,219xe">
                <v:path o:connecttype="custom" o:connectlocs="132,219;112,219;121,199;141,199;132,219" o:connectangles="0,0,0,0,0"/>
                <v:fill on="t" focussize="0,0"/>
                <v:stroke on="f"/>
                <v:imagedata o:title=""/>
                <o:lock v:ext="edit"/>
              </v:shape>
              <v:shape id="AutoShape 62" o:spid="_x0000_s104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7AsIA&#10;AADbAAAADwAAAGRycy9kb3ducmV2LnhtbESP0WoCMRRE3wX/IVzBN81Wq5TVKCqofSiI1g+4bK7Z&#10;rZubJYm6/n1TKPg4zMwZZr5sbS3u5EPlWMHbMANBXDhdsVFw/t4OPkCEiKyxdkwKnhRgueh25phr&#10;9+Aj3U/RiAThkKOCMsYmlzIUJVkMQ9cQJ+/ivMWYpDdSe3wkuK3lKMum0mLFaaHEhjYlFdfTzSrY&#10;m13c74z7ylr/M5F+fR4f9FWpfq9dzUBEauMr/N/+1ApG7/D3Jf0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zsCwgAAANsAAAAPAAAAAAAAAAAAAAAAAJgCAABkcnMvZG93&#10;bnJldi54bWxQSwUGAAAAAAQABAD1AAAAhwMAAAAA&#10;" path="m7311,219l7291,219,7283,199,7303,199,7311,219xe">
                <v:path o:connecttype="custom" o:connectlocs="7311,219;7291,219;7283,199;7303,199;7311,219" o:connectangles="0,0,0,0,0"/>
                <v:fill on="t" focussize="0,0"/>
                <v:stroke on="f"/>
                <v:imagedata o:title=""/>
                <o:lock v:ext="edit"/>
              </v:shape>
              <v:shape id="AutoShape 61" o:spid="_x0000_s105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emcMA&#10;AADbAAAADwAAAGRycy9kb3ducmV2LnhtbESPUWvCMBSF34X9h3AHe9N0HcrojOIGsz4MROcPuDR3&#10;aW1zU5LMdv/eDAQfD+ec73CW69F24kI+NI4VPM8yEMSV0w0bBafvz+kriBCRNXaOScEfBVivHiZL&#10;LLQb+ECXYzQiQTgUqKCOsS+kDFVNFsPM9cTJ+3HeYkzSG6k9DgluO5ln2UJabDgt1NjTR01Ve/y1&#10;CkqzjeXWuK9s9Oe59O+nl71ulXp6HDdvICKN8R6+tXdaQT6H/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uemcMAAADbAAAADwAAAAAAAAAAAAAAAACYAgAAZHJzL2Rv&#10;d25yZXYueG1sUEsFBgAAAAAEAAQA9QAAAIgDAAAAAA==&#10;" path="m101,259l89,259,96,239,104,219,124,219,116,239,109,239,101,259xe">
                <v:path o:connecttype="custom" o:connectlocs="101,259;89,259;96,239;104,219;124,219;116,239;109,239;101,259" o:connectangles="0,0,0,0,0,0,0,0"/>
                <v:fill on="t" focussize="0,0"/>
                <v:stroke on="f"/>
                <v:imagedata o:title=""/>
                <o:lock v:ext="edit"/>
              </v:shape>
              <v:shape id="AutoShape 60" o:spid="_x0000_s105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7sMA&#10;AADbAAAADwAAAGRycy9kb3ducmV2LnhtbESPUWvCMBSF3wf+h3CFvc3UjsmoRtHBrA+DofMHXJpr&#10;WtvclCSz3b83g8EeD+ec73BWm9F24kY+NI4VzGcZCOLK6YaNgvPX+9MriBCRNXaOScEPBdisJw8r&#10;LLQb+Ei3UzQiQTgUqKCOsS+kDFVNFsPM9cTJuzhvMSbpjdQehwS3ncyzbCEtNpwWauzpraaqPX1b&#10;BaXZx3Jv3Ec2+uuL9Lvz86dulXqcjtsliEhj/A//tQ9aQb6A3y/p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A7sMAAADbAAAADwAAAAAAAAAAAAAAAACYAgAAZHJzL2Rv&#10;d25yZXYueG1sUEsFBgAAAAAEAAQA9QAAAIgDAAAAAA==&#10;" path="m7335,259l7322,259,7315,239,7307,239,7299,219,7319,219,7327,239,7335,259xe">
                <v:path o:connecttype="custom" o:connectlocs="7335,259;7322,259;7315,239;7307,239;7299,219;7319,219;7327,239;7335,259" o:connectangles="0,0,0,0,0,0,0,0"/>
                <v:fill on="t" focussize="0,0"/>
                <v:stroke on="f"/>
                <v:imagedata o:title=""/>
                <o:lock v:ext="edit"/>
              </v:shape>
              <v:shape id="AutoShape 59" o:spid="_x0000_s105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ldcIA&#10;AADbAAAADwAAAGRycy9kb3ducmV2LnhtbESP0WoCMRRE3wX/IVzBN81WqZbVKCqofSiI1g+4bK7Z&#10;rZubJYm6/n1TKPg4zMwZZr5sbS3u5EPlWMHbMANBXDhdsVFw/t4OPkCEiKyxdkwKnhRgueh25phr&#10;9+Aj3U/RiAThkKOCMsYmlzIUJVkMQ9cQJ+/ivMWYpDdSe3wkuK3lKMsm0mLFaaHEhjYlFdfTzSrY&#10;m13c74z7ylr/8y79+jw+6KtS/V67moGI1MZX+L/9qRWMpvD3Jf0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aV1wgAAANsAAAAPAAAAAAAAAAAAAAAAAJgCAABkcnMvZG93&#10;bnJldi54bWxQSwUGAAAAAAQABAD1AAAAhwMAAAAA&#10;" path="m94,279l75,279,82,259,102,259,94,279xe">
                <v:path o:connecttype="custom" o:connectlocs="94,279;75,279;82,259;102,259;94,279" o:connectangles="0,0,0,0,0"/>
                <v:fill on="t" focussize="0,0"/>
                <v:stroke on="f"/>
                <v:imagedata o:title=""/>
                <o:lock v:ext="edit"/>
              </v:shape>
              <v:shape id="AutoShape 58" o:spid="_x0000_s105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oxB8EA&#10;AADbAAAADwAAAGRycy9kb3ducmV2LnhtbERP3WrCMBS+F3yHcITd2VTHZHRGmYK6i4HY9QEOzVna&#10;2ZyUJGu7t18uBrv8+P63+8l2YiAfWscKVlkOgrh2umWjoPo4LZ9BhIissXNMCn4owH43n22x0G7k&#10;Gw1lNCKFcChQQRNjX0gZ6oYshsz1xIn7dN5iTNAbqT2OKdx2cp3nG2mx5dTQYE/Hhup7+W0VXMw5&#10;Xs7GveeT/3qS/lA9XvVdqYfF9PoCItIU/8V/7jetYJ3Gpi/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MQfBAAAA2wAAAA8AAAAAAAAAAAAAAAAAmAIAAGRycy9kb3du&#10;cmV2LnhtbFBLBQYAAAAABAAEAPUAAACGAwAAAAA=&#10;" path="m7349,279l7329,279,7322,259,7342,259,7349,279xe">
                <v:path o:connecttype="custom" o:connectlocs="7349,279;7329,279;7322,259;7342,259;7349,279" o:connectangles="0,0,0,0,0"/>
                <v:fill on="t" focussize="0,0"/>
                <v:stroke on="f"/>
                <v:imagedata o:title=""/>
                <o:lock v:ext="edit"/>
              </v:shape>
              <v:shape id="AutoShape 57" o:spid="_x0000_s105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UnMIA&#10;AADbAAAADwAAAGRycy9kb3ducmV2LnhtbESP0WoCMRRE3wX/IVzBN81WqdjVKCqofSiI1g+4bK7Z&#10;rZubJYm6/n1TKPg4zMwZZr5sbS3u5EPlWMHbMANBXDhdsVFw/t4OpiBCRNZYOyYFTwqwXHQ7c8y1&#10;e/CR7qdoRIJwyFFBGWOTSxmKkiyGoWuIk3dx3mJM0hupPT4S3NZylGUTabHitFBiQ5uSiuvpZhXs&#10;zS7ud8Z9Za3/eZd+fR4f9FWpfq9dzUBEauMr/N/+1ApGH/D3Jf0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pScwgAAANsAAAAPAAAAAAAAAAAAAAAAAJgCAABkcnMvZG93&#10;bnJldi54bWxQSwUGAAAAAAQABAD1AAAAhwMAAAAA&#10;" path="m69,319l55,319,62,299,68,279,88,279,81,299,75,299,69,319xe">
                <v:path o:connecttype="custom" o:connectlocs="69,319;55,319;62,299;68,279;88,279;81,299;75,299;69,319" o:connectangles="0,0,0,0,0,0,0,0"/>
                <v:fill on="t" focussize="0,0"/>
                <v:stroke on="f"/>
                <v:imagedata o:title=""/>
                <o:lock v:ext="edit"/>
              </v:shape>
              <v:shape id="AutoShape 56" o:spid="_x0000_s105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r3L8A&#10;AADbAAAADwAAAGRycy9kb3ducmV2LnhtbERPy4rCMBTdD/gP4QruxtQRB6lG0QEfC2Hw8QGX5ppW&#10;m5uSRK1/bxaCy8N5T+etrcWdfKgcKxj0MxDEhdMVGwWn4+p7DCJEZI21Y1LwpADzWedrirl2D97T&#10;/RCNSCEcclRQxtjkUoaiJIuh7xrixJ2dtxgT9EZqj48Ubmv5k2W/0mLFqaHEhv5KKq6Hm1WwMeu4&#10;WRu3y1p/GUm/PA3/9VWpXrddTEBEauNH/HZvtYJhWp++pB8gZ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ZavcvwAAANsAAAAPAAAAAAAAAAAAAAAAAJgCAABkcnMvZG93bnJl&#10;di54bWxQSwUGAAAAAAQABAD1AAAAhAMAAAAA&#10;" path="m7368,319l7355,319,7349,299,7342,299,7336,279,7356,279,7362,299,7368,319xe">
                <v:path o:connecttype="custom" o:connectlocs="7368,319;7355,319;7349,299;7342,299;7336,279;7356,279;7362,299;7368,319" o:connectangles="0,0,0,0,0,0,0,0"/>
                <v:fill on="t" focussize="0,0"/>
                <v:stroke on="f"/>
                <v:imagedata o:title=""/>
                <o:lock v:ext="edit"/>
              </v:shape>
              <v:shape id="AutoShape 55" o:spid="_x0000_s105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OR8MA&#10;AADbAAAADwAAAGRycy9kb3ducmV2LnhtbESPUWvCMBSF34X9h3AHe9PUFWV0RnGDqQ8DsesPuDR3&#10;abW5KUlmu3+/DAQfD+ec73BWm9F24ko+tI4VzGcZCOLa6ZaNgurrY/oCIkRkjZ1jUvBLATbrh8kK&#10;C+0GPtG1jEYkCIcCFTQx9oWUoW7IYpi5njh5385bjEl6I7XHIcFtJ5+zbCkttpwWGuzpvaH6Uv5Y&#10;BXuzi/udcZ/Z6M8L6d+q/KgvSj09jttXEJHGeA/f2getIJ/D/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OR8MAAADbAAAADwAAAAAAAAAAAAAAAACYAgAAZHJzL2Rv&#10;d25yZXYueG1sUEsFBgAAAAAEAAQA9QAAAIgDAAAAAA==&#10;" path="m63,339l44,339,50,319,69,319,63,339xe">
                <v:path o:connecttype="custom" o:connectlocs="63,339;44,339;50,319;69,319;63,339" o:connectangles="0,0,0,0,0"/>
                <v:fill on="t" focussize="0,0"/>
                <v:stroke on="f"/>
                <v:imagedata o:title=""/>
                <o:lock v:ext="edit"/>
              </v:shape>
              <v:shape id="AutoShape 54" o:spid="_x0000_s105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g/MQA&#10;AADcAAAADwAAAGRycy9kb3ducmV2LnhtbESP3WoCMRCF7wu+QxjBu5rV0iKrUbRQ7UWh+PMAw2bM&#10;rm4mS5Lq+vadi0LvZjhnzvlmsep9q24UUxPYwGRcgCKugm3YGTgdP55noFJGttgGJgMPSrBaDp4W&#10;WNpw5z3dDtkpCeFUooE6567UOlU1eUzj0BGLdg7RY5Y1Om0j3iXct3paFG/aY8PSUGNH7zVV18OP&#10;N7Bz27zbuvBV9PHyquPm9PJtr8aMhv16DipTn//Nf9efVvCn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rYPzEAAAA3AAAAA8AAAAAAAAAAAAAAAAAmAIAAGRycy9k&#10;b3ducmV2LnhtbFBLBQYAAAAABAAEAPUAAACJAwAAAAA=&#10;" path="m7380,339l7360,339,7355,319,7374,319,7380,339xe">
                <v:path o:connecttype="custom" o:connectlocs="7380,339;7360,339;7355,319;7374,319;7380,339" o:connectangles="0,0,0,0,0"/>
                <v:fill on="t" focussize="0,0"/>
                <v:stroke on="f"/>
                <v:imagedata o:title=""/>
                <o:lock v:ext="edit"/>
              </v:shape>
              <v:shape id="AutoShape 53" o:spid="_x0000_s105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FZ8EA&#10;AADcAAAADwAAAGRycy9kb3ducmV2LnhtbERPzWoCMRC+C75DGMGbZqtU7GoUFdQeCqL1AYbNmN26&#10;mSxJ1PXtm0LB23x8vzNftrYWd/KhcqzgbZiBIC6crtgoOH9vB1MQISJrrB2TgicFWC66nTnm2j34&#10;SPdTNCKFcMhRQRljk0sZipIshqFriBN3cd5iTNAbqT0+Urit5SjLJtJixamhxIY2JRXX080q2Jtd&#10;3O+M+8pa//Mu/fo8PuirUv1eu5qBiNTGl/jf/anT/NEH/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nxWfBAAAA3AAAAA8AAAAAAAAAAAAAAAAAmAIAAGRycy9kb3du&#10;cmV2LnhtbFBLBQYAAAAABAAEAPUAAACGAwAAAAA=&#10;" path="m43,379l29,379,34,359,39,339,58,339,53,359,48,359,43,379xe">
                <v:path o:connecttype="custom" o:connectlocs="43,379;29,379;34,359;39,339;58,339;53,359;48,359;43,379" o:connectangles="0,0,0,0,0,0,0,0"/>
                <v:fill on="t" focussize="0,0"/>
                <v:stroke on="f"/>
                <v:imagedata o:title=""/>
                <o:lock v:ext="edit"/>
              </v:shape>
              <v:shape id="AutoShape 52" o:spid="_x0000_s105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6J8QA&#10;AADcAAAADwAAAGRycy9kb3ducmV2LnhtbESP3WoCMRCF7wu+QxjBu5q10iKrUbRQ7UWh+PMAw2bM&#10;rm4mS5Lq+vadi0LvZjhnzvlmsep9q24UUxPYwGRcgCKugm3YGTgdP55noFJGttgGJgMPSrBaDp4W&#10;WNpw5z3dDtkpCeFUooE6567UOlU1eUzj0BGLdg7RY5Y1Om0j3iXct/qlKN60x4alocaO3muqrocf&#10;b2Dntnm3deGr6OPlVcfNafptr8aMhv16DipTn//Nf9efVvCn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E+ifEAAAA3AAAAA8AAAAAAAAAAAAAAAAAmAIAAGRycy9k&#10;b3ducmV2LnhtbFBLBQYAAAAABAAEAPUAAACJAwAAAAA=&#10;" path="m7394,379l7380,379,7376,359,7371,359,7366,339,7385,339,7390,359,7394,379xe">
                <v:path o:connecttype="custom" o:connectlocs="7394,379;7380,379;7376,359;7371,359;7366,339;7385,339;7390,359;7394,379" o:connectangles="0,0,0,0,0,0,0,0"/>
                <v:fill on="t" focussize="0,0"/>
                <v:stroke on="f"/>
                <v:imagedata o:title=""/>
                <o:lock v:ext="edit"/>
              </v:shape>
              <v:shape id="AutoShape 51" o:spid="_x0000_s106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JMEA&#10;AADcAAAADwAAAGRycy9kb3ducmV2LnhtbERP22oCMRB9F/oPYQq+abbeKKtRWsHLQ0G0fsCwGbNb&#10;N5Mlibr+vREKvs3hXGe2aG0truRD5VjBRz8DQVw4XbFRcPxd9T5BhIissXZMCu4UYDF/68ww1+7G&#10;e7oeohEphEOOCsoYm1zKUJRkMfRdQ5y4k/MWY4LeSO3xlsJtLQdZNpEWK04NJTa0LKk4Hy5Wwcas&#10;42Zt3E/W+r+x9N/H4U6fleq+t19TEJHa+BL/u7c6zR+O4PlMuk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TBAAAA3AAAAA8AAAAAAAAAAAAAAAAAmAIAAGRycy9kb3du&#10;cmV2LnhtbFBLBQYAAAAABAAEAPUAAACGAwAAAAA=&#10;" path="m32,419l17,419,21,399,25,379,43,379,39,399,35,399,32,419xe">
                <v:path o:connecttype="custom" o:connectlocs="32,419;17,419;21,399;25,379;43,379;39,399;35,399;32,419" o:connectangles="0,0,0,0,0,0,0,0"/>
                <v:fill on="t" focussize="0,0"/>
                <v:stroke on="f"/>
                <v:imagedata o:title=""/>
                <o:lock v:ext="edit"/>
              </v:shape>
              <v:shape id="AutoShape 50" o:spid="_x0000_s106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iU8EA&#10;AADcAAAADwAAAGRycy9kb3ducmV2LnhtbERP22oCMRB9F/oPYQq+abaKWlajtIKXh4Jo/YBhM2a3&#10;biZLEnX9eyMUfJvDuc5s0dpaXMmHyrGCj34GgrhwumKj4Pi76n2CCBFZY+2YFNwpwGL+1plhrt2N&#10;93Q9RCNSCIccFZQxNrmUoSjJYui7hjhxJ+ctxgS9kdrjLYXbWg6ybCwtVpwaSmxoWVJxPlysgo1Z&#10;x83auJ+s9X8j6b+Pw50+K9V9b7+mICK18SX+d291mj+cwPOZd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tYlPBAAAA3AAAAA8AAAAAAAAAAAAAAAAAmAIAAGRycy9kb3du&#10;cmV2LnhtbFBLBQYAAAAABAAEAPUAAACGAwAAAAA=&#10;" path="m7406,419l7392,419,7388,399,7384,399,7380,379,7399,379,7403,399,7406,419xe">
                <v:path o:connecttype="custom" o:connectlocs="7406,419;7392,419;7388,399;7384,399;7380,379;7399,379;7403,399;7406,419" o:connectangles="0,0,0,0,0,0,0,0"/>
                <v:fill on="t" focussize="0,0"/>
                <v:stroke on="f"/>
                <v:imagedata o:title=""/>
                <o:lock v:ext="edit"/>
              </v:shape>
              <v:shape id="AutoShape 49" o:spid="_x0000_s106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2IcQA&#10;AADcAAAADwAAAGRycy9kb3ducmV2LnhtbESP3WoCMRCF7wu+QxjBu5q10iKrUbRQ7UWh+PMAw2bM&#10;rm4mS5Lq+vadi0LvZjhnzvlmsep9q24UUxPYwGRcgCKugm3YGTgdP55noFJGttgGJgMPSrBaDp4W&#10;WNpw5z3dDtkpCeFUooE6567UOlU1eUzj0BGLdg7RY5Y1Om0j3iXct/qlKN60x4alocaO3muqrocf&#10;b2Dntnm3deGr6OPlVcfNafptr8aMhv16DipTn//Nf9efVvCn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y9iHEAAAA3AAAAA8AAAAAAAAAAAAAAAAAmAIAAGRycy9k&#10;b3ducmV2LnhtbFBLBQYAAAAABAAEAPUAAACJAwAAAAA=&#10;" path="m21,479l6,479,8,459,11,439,14,419,32,419,28,439,26,439,23,459,21,479xe">
                <v:path o:connecttype="custom" o:connectlocs="21,479;6,479;8,459;11,439;14,419;32,419;28,439;26,439;23,459;23,459;21,479" o:connectangles="0,0,0,0,0,0,0,0,0,0,0"/>
                <v:fill on="t" focussize="0,0"/>
                <v:stroke on="f"/>
                <v:imagedata o:title=""/>
                <o:lock v:ext="edit"/>
              </v:shape>
              <v:shape id="AutoShape 48" o:spid="_x0000_s106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5TusEA&#10;AADcAAAADwAAAGRycy9kb3ducmV2LnhtbERP22oCMRB9F/oPYQq+abaKYlejtIKXh4Jo/YBhM2a3&#10;biZLEnX9eyMUfJvDuc5s0dpaXMmHyrGCj34GgrhwumKj4Pi76k1AhIissXZMCu4UYDF/68ww1+7G&#10;e7oeohEphEOOCsoYm1zKUJRkMfRdQ5y4k/MWY4LeSO3xlsJtLQdZNpYWK04NJTa0LKk4Hy5Wwcas&#10;42Zt3E/W+r+R9N/H4U6fleq+t19TEJHa+BL/u7c6zR9+wvOZd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U7rBAAAA3AAAAA8AAAAAAAAAAAAAAAAAmAIAAGRycy9kb3du&#10;cmV2LnhtbFBLBQYAAAAABAAEAPUAAACGAwAAAAA=&#10;" path="m7418,479l7403,479,7401,459,7398,439,7395,439,7392,419,7410,419,7413,439,7415,459,7418,479xe">
                <v:path o:connecttype="custom" o:connectlocs="7418,479;7403,479;7401,459;7401,459;7398,439;7395,439;7392,419;7410,419;7413,439;7415,459;7418,479" o:connectangles="0,0,0,0,0,0,0,0,0,0,0"/>
                <v:fill on="t" focussize="0,0"/>
                <v:stroke on="f"/>
                <v:imagedata o:title=""/>
                <o:lock v:ext="edit"/>
              </v:shape>
              <v:shape id="AutoShape 47" o:spid="_x0000_s106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JWsUA&#10;AADcAAAADwAAAGRycy9kb3ducmV2LnhtbESPzW4CMQyE75X6DpErcSvZlhZVWwKCSvwcKiEoD2Bt&#10;3OyWjbNKAmzfHh+QuNma8cznyaz3rTpTTE1gAy/DAhRxFWzDzsDhZ/n8ASplZIttYDLwTwlm08eH&#10;CZY2XHhH5312SkI4lWigzrkrtU5VTR7TMHTEov2G6DHLGp22ES8S7lv9WhRj7bFhaaixo6+aquP+&#10;5A2s3SqvVy58F338e9dxcRht7dGYwVM//wSVqc938+16YwX/TfDlGZlA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olaxQAAANwAAAAPAAAAAAAAAAAAAAAAAJgCAABkcnMv&#10;ZG93bnJldi54bWxQSwUGAAAAAAQABAD1AAAAigMAAAAA&#10;" path="m16,519l1,519,2,499,4,479,19,479,17,499,16,519xe">
                <v:path o:connecttype="custom" o:connectlocs="16,519;1,519;2,499;4,479;19,479;17,499;17,499;16,519" o:connectangles="0,0,0,0,0,0,0,0"/>
                <v:fill on="t" focussize="0,0"/>
                <v:stroke on="f"/>
                <v:imagedata o:title=""/>
                <o:lock v:ext="edit"/>
              </v:shape>
              <v:shape id="AutoShape 46" o:spid="_x0000_s106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4swcIA&#10;AADcAAAADwAAAGRycy9kb3ducmV2LnhtbERPzWoCMRC+C32HMEJvmtXWIutmpRaqHgpS9QGGzZhd&#10;3UyWJNXt2zdCwdt8fL9TLHvbiiv50DhWMBlnIIgrpxs2Co6Hz9EcRIjIGlvHpOCXAizLp0GBuXY3&#10;/qbrPhqRQjjkqKCOsculDFVNFsPYdcSJOzlvMSbojdQebynctnKaZW/SYsOpocaOPmqqLvsfq2Bj&#10;1nGzNu4r6/15Jv3q+LLTF6Weh/37AkSkPj7E/+6tTvNfJ3B/Jl0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izBwgAAANwAAAAPAAAAAAAAAAAAAAAAAJgCAABkcnMvZG93&#10;bnJldi54bWxQSwUGAAAAAAQABAD1AAAAhwMAAAAA&#10;" path="m7423,519l7408,519,7406,499,7405,479,7420,479,7421,499,7423,519xe">
                <v:path o:connecttype="custom" o:connectlocs="7423,519;7408,519;7406,499;7406,499;7405,479;7420,479;7421,499;7423,519" o:connectangles="0,0,0,0,0,0,0,0"/>
                <v:fill on="t" focussize="0,0"/>
                <v:stroke on="f"/>
                <v:imagedata o:title=""/>
                <o:lock v:ext="edit"/>
              </v:shape>
              <v:shape id="AutoShape 45" o:spid="_x0000_s106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ytsEA&#10;AADcAAAADwAAAGRycy9kb3ducmV2LnhtbERPzWoCMRC+C75DGMGbZqtVymoUFdQeCqL1AYbNmN26&#10;mSxJ1PXtm0LB23x8vzNftrYWd/KhcqzgbZiBIC6crtgoOH9vBx8gQkTWWDsmBU8KsFx0O3PMtXvw&#10;ke6naEQK4ZCjgjLGJpcyFCVZDEPXECfu4rzFmKA3Unt8pHBby1GWTaXFilNDiQ1tSiqup5tVsDe7&#10;uN8Z95W1/mci/fo8PuirUv1eu5qBiNTGl/jf/anT/PcR/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csrbBAAAA3AAAAA8AAAAAAAAAAAAAAAAAmAIAAGRycy9kb3du&#10;cmV2LnhtbFBLBQYAAAAABAAEAPUAAACGAwAAAAA=&#10;" path="m19,4559l2,4559,1,4539,0,4519,0,4499,0,539,0,519,15,519,15,539,15,4499,15,4519,16,4539,17,4539,19,4559xe">
                <v:path o:connecttype="custom" o:connectlocs="19,4559;2,4559;1,4539;0,4519;0,4499;0,539;0,519;15,519;15,539;15,4499;15,4519;16,4539;17,4539;19,4559" o:connectangles="0,0,0,0,0,0,0,0,0,0,0,0,0,0"/>
                <v:fill on="t" focussize="0,0"/>
                <v:stroke on="f"/>
                <v:imagedata o:title=""/>
                <o:lock v:ext="edit"/>
              </v:shape>
              <v:shape id="AutoShape 44" o:spid="_x0000_s106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XLcEA&#10;AADcAAAADwAAAGRycy9kb3ducmV2LnhtbERP22oCMRB9F/oPYQq+abbeKKtRWsHLQ0G0fsCwGbNb&#10;N5Mlibr+vREKvs3hXGe2aG0truRD5VjBRz8DQVw4XbFRcPxd9T5BhIissXZMCu4UYDF/68ww1+7G&#10;e7oeohEphEOOCsoYm1zKUJRkMfRdQ5y4k/MWY4LeSO3xlsJtLQdZNpEWK04NJTa0LKk4Hy5Wwcas&#10;42Zt3E/W+r+x9N/H4U6fleq+t19TEJHa+BL/u7c6zR8N4flMuk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QFy3BAAAA3AAAAA8AAAAAAAAAAAAAAAAAmAIAAGRycy9kb3du&#10;cmV2LnhtbFBLBQYAAAAABAAEAPUAAACGAwAAAAA=&#10;" path="m7421,4559l7405,4559,7406,4539,7408,4539,7408,4519,7409,4499,7409,539,7408,519,7423,519,7424,539,7424,4499,7423,4519,7423,4539,7421,4559xe">
                <v:path o:connecttype="custom" o:connectlocs="7421,4559;7405,4559;7406,4539;7408,4539;7408,4519;7408,4519;7409,4499;7409,539;7408,519;7423,519;7424,539;7424,4499;7423,4519;7423,4539;7421,4559" o:connectangles="0,0,0,0,0,0,0,0,0,0,0,0,0,0,0"/>
                <v:fill on="t" focussize="0,0"/>
                <v:stroke on="f"/>
                <v:imagedata o:title=""/>
                <o:lock v:ext="edit"/>
              </v:shape>
              <v:shape id="AutoShape 43" o:spid="_x0000_s106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WcIA&#10;AADcAAAADwAAAGRycy9kb3ducmV2LnhtbERP3WrCMBS+H+wdwhnsbqZuTqQ2lW2g7kIQqw9waI5p&#10;tTkpSdTu7ZeBsLvz8f2eYjHYTlzJh9axgvEoA0FcO92yUXDYL19mIEJE1tg5JgU/FGBRPj4UmGt3&#10;4x1dq2hECuGQo4Imxj6XMtQNWQwj1xMn7ui8xZigN1J7vKVw28nXLJtKiy2nhgZ7+mqoPlcXq2Bt&#10;VnG9Mm6TDf70Lv3n4W2rz0o9Pw0fcxCRhvgvvru/dZo/mcDfM+k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eY9ZwgAAANwAAAAPAAAAAAAAAAAAAAAAAJgCAABkcnMvZG93&#10;bnJldi54bWxQSwUGAAAAAAQABAD1AAAAhwMAAAAA&#10;" path="m23,4599l8,4599,6,4579,4,4559,19,4559,21,4579,23,4599xe">
                <v:path o:connecttype="custom" o:connectlocs="23,4599;8,4599;6,4579;4,4559;19,4559;21,4579;21,4579;23,4599" o:connectangles="0,0,0,0,0,0,0,0"/>
                <v:fill on="t" focussize="0,0"/>
                <v:stroke on="f"/>
                <v:imagedata o:title=""/>
                <o:lock v:ext="edit"/>
              </v:shape>
              <v:shape id="AutoShape 42" o:spid="_x0000_s106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qwsIA&#10;AADcAAAADwAAAGRycy9kb3ducmV2LnhtbERP3WrCMBS+F/YO4Qx2N9O5KaM2lU3w52Igdj7AoTmm&#10;nc1JSaJ2b28GA+/Ox/d7isVgO3EhH1rHCl7GGQji2umWjYLD9+r5HUSIyBo7x6TglwIsyodRgbl2&#10;V97TpYpGpBAOOSpoYuxzKUPdkMUwdj1x4o7OW4wJeiO1x2sKt52cZNlMWmw5NTTY07Kh+lSdrYKN&#10;WcfN2rivbPA/U+k/D687fVLq6XH4mIOINMS7+N+91Wn+2xT+nk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SrCwgAAANwAAAAPAAAAAAAAAAAAAAAAAJgCAABkcnMvZG93&#10;bnJldi54bWxQSwUGAAAAAAQABAD1AAAAhwMAAAAA&#10;" path="m7415,4599l7401,4599,7403,4579,7405,4559,7420,4559,7418,4579,7415,4599xe">
                <v:path o:connecttype="custom" o:connectlocs="7415,4599;7401,4599;7403,4579;7403,4579;7405,4559;7420,4559;7418,4579;7415,4599" o:connectangles="0,0,0,0,0,0,0,0"/>
                <v:fill on="t" focussize="0,0"/>
                <v:stroke on="f"/>
                <v:imagedata o:title=""/>
                <o:lock v:ext="edit"/>
              </v:shape>
              <v:shape id="AutoShape 41" o:spid="_x0000_s107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0tcEA&#10;AADcAAAADwAAAGRycy9kb3ducmV2LnhtbERPzWoCMRC+F3yHMIK3mrXapWyNYgW1B0FqfYBhM2ZX&#10;N5Mlibq+vSkIvc3H9zvTeWcbcSUfascKRsMMBHHpdM1GweF39foBIkRkjY1jUnCnAPNZ72WKhXY3&#10;/qHrPhqRQjgUqKCKsS2kDGVFFsPQtcSJOzpvMSbojdQebyncNvIty3JpsebUUGFLy4rK8/5iFWzM&#10;Om7Wxm2zzp/epf86jHf6rNSg3y0+QUTq4r/46f7Waf4kh79n0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ntLXBAAAA3AAAAA8AAAAAAAAAAAAAAAAAmAIAAGRycy9kb3du&#10;cmV2LnhtbFBLBQYAAAAABAAEAPUAAACGAwAAAAA=&#10;" path="m32,4639l17,4639,14,4619,11,4599,26,4599,29,4619,28,4619,32,4639xe">
                <v:path o:connecttype="custom" o:connectlocs="32,4639;17,4639;14,4619;11,4599;26,4599;29,4619;28,4619;32,4639" o:connectangles="0,0,0,0,0,0,0,0"/>
                <v:fill on="t" focussize="0,0"/>
                <v:stroke on="f"/>
                <v:imagedata o:title=""/>
                <o:lock v:ext="edit"/>
              </v:shape>
              <v:shape id="AutoShape 40" o:spid="_x0000_s107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RLsEA&#10;AADcAAAADwAAAGRycy9kb3ducmV2LnhtbERP22oCMRB9L/gPYQTfalZtVVajqFDtgyBePmDYjNnV&#10;zWRJUt3+fVMo9G0O5zrzZWtr8SAfKscKBv0MBHHhdMVGweX88ToFESKyxtoxKfimAMtF52WOuXZP&#10;PtLjFI1IIRxyVFDG2ORShqIki6HvGuLEXZ23GBP0RmqPzxRuaznMsrG0WHFqKLGhTUnF/fRlFezM&#10;Nu62xu2z1t/epV9fRgd9V6rXbVczEJHa+C/+c3/qNP9tAr/PpAv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rES7BAAAA3AAAAA8AAAAAAAAAAAAAAAAAmAIAAGRycy9kb3du&#10;cmV2LnhtbFBLBQYAAAAABAAEAPUAAACGAwAAAAA=&#10;" path="m7406,4639l7392,4639,7395,4619,7398,4599,7413,4599,7410,4619,7406,4639xe">
                <v:path o:connecttype="custom" o:connectlocs="7406,4639;7392,4639;7395,4619;7395,4619;7398,4599;7413,4599;7410,4619;7406,4639" o:connectangles="0,0,0,0,0,0,0,0"/>
                <v:fill on="t" focussize="0,0"/>
                <v:stroke on="f"/>
                <v:imagedata o:title=""/>
                <o:lock v:ext="edit"/>
              </v:shape>
              <v:shape id="AutoShape 39" o:spid="_x0000_s107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FXMUA&#10;AADcAAAADwAAAGRycy9kb3ducmV2LnhtbESPzW4CMQyE75X6DpErcSvZlhZVWwKCSvwcKiEoD2Bt&#10;3OyWjbNKAmzfHh+QuNma8cznyaz3rTpTTE1gAy/DAhRxFWzDzsDhZ/n8ASplZIttYDLwTwlm08eH&#10;CZY2XHhH5312SkI4lWigzrkrtU5VTR7TMHTEov2G6DHLGp22ES8S7lv9WhRj7bFhaaixo6+aquP+&#10;5A2s3SqvVy58F338e9dxcRht7dGYwVM//wSVqc938+16YwX/TWjlGZlA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NIVcxQAAANwAAAAPAAAAAAAAAAAAAAAAAJgCAABkcnMv&#10;ZG93bnJldi54bWxQSwUGAAAAAAQABAD1AAAAigMAAAAA&#10;" path="m43,4679l29,4679,25,4659,21,4639,35,4639,39,4659,43,4679xe">
                <v:path o:connecttype="custom" o:connectlocs="43,4679;29,4679;25,4659;21,4639;35,4639;39,4659;39,4659;43,4679" o:connectangles="0,0,0,0,0,0,0,0"/>
                <v:fill on="t" focussize="0,0"/>
                <v:stroke on="f"/>
                <v:imagedata o:title=""/>
                <o:lock v:ext="edit"/>
              </v:shape>
              <v:shape id="AutoShape 38" o:spid="_x0000_s107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gx8EA&#10;AADcAAAADwAAAGRycy9kb3ducmV2LnhtbERP22oCMRB9L/gPYQTfalZtRVejqFDtgyBePmDYjNnV&#10;zWRJUt3+fVMo9G0O5zrzZWtr8SAfKscKBv0MBHHhdMVGweX88ToBESKyxtoxKfimAMtF52WOuXZP&#10;PtLjFI1IIRxyVFDG2ORShqIki6HvGuLEXZ23GBP0RmqPzxRuaznMsrG0WHFqKLGhTUnF/fRlFezM&#10;Nu62xu2z1t/epV9fRgd9V6rXbVczEJHa+C/+c3/qNP9tCr/PpAv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4IMfBAAAA3AAAAA8AAAAAAAAAAAAAAAAAmAIAAGRycy9kb3du&#10;cmV2LnhtbFBLBQYAAAAABAAEAPUAAACGAwAAAAA=&#10;" path="m7394,4679l7380,4679,7384,4659,7388,4639,7403,4639,7399,4659,7394,4679xe">
                <v:path o:connecttype="custom" o:connectlocs="7394,4679;7380,4679;7384,4659;7384,4659;7388,4639;7403,4639;7399,4659;7394,4679" o:connectangles="0,0,0,0,0,0,0,0"/>
                <v:fill on="t" focussize="0,0"/>
                <v:stroke on="f"/>
                <v:imagedata o:title=""/>
                <o:lock v:ext="edit"/>
              </v:shape>
              <v:shape id="AutoShape 37" o:spid="_x0000_s107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fh8QA&#10;AADcAAAADwAAAGRycy9kb3ducmV2LnhtbESPQWsCMRCF74L/IYzQm2a1WMrWKFWo9iAUrT9g2Eyz&#10;WzeTJUl1/ffOoeBthvfmvW8Wq9636kIxNYENTCcFKOIq2IadgdP3x/gVVMrIFtvAZOBGCVbL4WCB&#10;pQ1XPtDlmJ2SEE4lGqhz7kqtU1WTxzQJHbFoPyF6zLJGp23Eq4T7Vs+K4kV7bFgaauxoU1N1Pv55&#10;Azu3zbutC/uij79zHden5y97NuZp1L+/gcrU54f5//rTCv5c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bH4fEAAAA3AAAAA8AAAAAAAAAAAAAAAAAmAIAAGRycy9k&#10;b3ducmV2LnhtbFBLBQYAAAAABAAEAPUAAACJAwAAAAA=&#10;" path="m48,4679l43,4679,43,4659,48,4679xe">
                <v:path o:connecttype="custom" o:connectlocs="48,4679;43,4679;43,4659;48,4679" o:connectangles="0,0,0,0"/>
                <v:fill on="t" focussize="0,0"/>
                <v:stroke on="f"/>
                <v:imagedata o:title=""/>
                <o:lock v:ext="edit"/>
              </v:shape>
              <v:shape id="AutoShape 36" o:spid="_x0000_s107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6HMIA&#10;AADcAAAADwAAAGRycy9kb3ducmV2LnhtbERP3WrCMBS+F/YO4Qx2p6kOZXRGcQPtLgZi1wc4NGdp&#10;tTkpSWa7t18Ggnfn4/s96+1oO3ElH1rHCuazDARx7XTLRkH1tZ++gAgRWWPnmBT8UoDt5mGyxly7&#10;gU90LaMRKYRDjgqaGPtcylA3ZDHMXE+cuG/nLcYEvZHa45DCbScXWbaSFltODQ329N5QfSl/rILC&#10;HGJxMO4zG/15Kf1b9XzUF6WeHsfdK4hIY7yLb+4PneYv5/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7ocwgAAANwAAAAPAAAAAAAAAAAAAAAAAJgCAABkcnMvZG93&#10;bnJldi54bWxQSwUGAAAAAAQABAD1AAAAhwMAAAAA&#10;" path="m7380,4679l7376,4679,7380,4659,7380,4679xe">
                <v:path o:connecttype="custom" o:connectlocs="7380,4679;7376,4679;7380,4659;7380,4679" o:connectangles="0,0,0,0"/>
                <v:fill on="t" focussize="0,0"/>
                <v:stroke on="f"/>
                <v:imagedata o:title=""/>
                <o:lock v:ext="edit"/>
              </v:shape>
              <v:shape id="AutoShape 35" o:spid="_x0000_s107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ka8IA&#10;AADcAAAADwAAAGRycy9kb3ducmV2LnhtbERP3WrCMBS+F/YO4Qx2p+k6lNEZxQ1mvRiIzgc4NGdp&#10;bXNSksx2b28Ggnfn4/s9y/VoO3EhHxrHCp5nGQjiyumGjYLT9+f0FUSIyBo7x6TgjwKsVw+TJRba&#10;DXygyzEakUI4FKigjrEvpAxVTRbDzPXEiftx3mJM0BupPQ4p3HYyz7KFtNhwaqixp4+aqvb4axWU&#10;ZhvLrXFf2ejPc+nfTy973Sr19Dhu3kBEGuNdfHPvdJo/z+H/mXS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SRrwgAAANwAAAAPAAAAAAAAAAAAAAAAAJgCAABkcnMvZG93&#10;bnJldi54bWxQSwUGAAAAAAQABAD1AAAAhwMAAAAA&#10;" path="m63,4719l44,4719,39,4699,34,4679,48,4679,53,4699,58,4699,63,4719xe">
                <v:path o:connecttype="custom" o:connectlocs="63,4719;44,4719;39,4699;34,4679;48,4679;53,4699;58,4699;63,4719" o:connectangles="0,0,0,0,0,0,0,0"/>
                <v:fill on="t" focussize="0,0"/>
                <v:stroke on="f"/>
                <v:imagedata o:title=""/>
                <o:lock v:ext="edit"/>
              </v:shape>
              <v:shape id="AutoShape 34" o:spid="_x0000_s107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mB8MIA&#10;AADcAAAADwAAAGRycy9kb3ducmV2LnhtbERP3WrCMBS+F/YO4Qx2p+kmyuiM4ga2XgxE5wMcmrO0&#10;tjkpSbTd25vBYHfn4/s9q81oO3EjHxrHCp5nGQjiyumGjYLz1276CiJEZI2dY1LwQwE264fJCnPt&#10;Bj7S7RSNSCEcclRQx9jnUoaqJoth5nrixH07bzEm6I3UHocUbjv5kmVLabHh1FBjTx81Ve3pahWU&#10;pohlYdxnNvrLQvr38/ygW6WeHsftG4hIY/wX/7n3Os1fzO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SYHwwgAAANwAAAAPAAAAAAAAAAAAAAAAAJgCAABkcnMvZG93&#10;bnJldi54bWxQSwUGAAAAAAQABAD1AAAAhwMAAAAA&#10;" path="m7380,4719l7360,4719,7366,4699,7371,4699,7376,4679,7390,4679,7385,4699,7380,4719xe">
                <v:path o:connecttype="custom" o:connectlocs="7380,4719;7360,4719;7366,4699;7371,4699;7376,4679;7390,4679;7385,4699;7380,4719" o:connectangles="0,0,0,0,0,0,0,0"/>
                <v:fill on="t" focussize="0,0"/>
                <v:stroke on="f"/>
                <v:imagedata o:title=""/>
                <o:lock v:ext="edit"/>
              </v:shape>
              <v:shape id="AutoShape 33" o:spid="_x0000_s107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ZhMIA&#10;AADcAAAADwAAAGRycy9kb3ducmV2LnhtbERP3WrCMBS+F/YO4Qx2N9O5KaM2lU3w52Igdj7AoTmm&#10;nc1JSaJ2b28GA+/Ox/d7isVgO3EhH1rHCl7GGQji2umWjYLD9+r5HUSIyBo7x6TglwIsyodRgbl2&#10;V97TpYpGpBAOOSpoYuxzKUPdkMUwdj1x4o7OW4wJeiO1x2sKt52cZNlMWmw5NTTY07Kh+lSdrYKN&#10;WcfN2rivbPA/U+k/D687fVLq6XH4mIOINMS7+N+91Wn+9A3+nk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oBmEwgAAANwAAAAPAAAAAAAAAAAAAAAAAJgCAABkcnMvZG93&#10;bnJldi54bWxQSwUGAAAAAAQABAD1AAAAhwMAAAAA&#10;" path="m81,4759l62,4759,55,4739,50,4719,63,4719,69,4739,75,4739,81,4759xe">
                <v:path o:connecttype="custom" o:connectlocs="81,4759;62,4759;55,4739;50,4719;63,4719;69,4739;75,4739;81,4759" o:connectangles="0,0,0,0,0,0,0,0"/>
                <v:fill on="t" focussize="0,0"/>
                <v:stroke on="f"/>
                <v:imagedata o:title=""/>
                <o:lock v:ext="edit"/>
              </v:shape>
              <v:shape id="AutoShape 32" o:spid="_x0000_s107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H8EA&#10;AADcAAAADwAAAGRycy9kb3ducmV2LnhtbERPzWoCMRC+F3yHMIK3mtWyRVaj2ILag1BcfYBhM2ZX&#10;N5MlSXV9+0Yo9DYf3+8sVr1txY18aBwrmIwzEMSV0w0bBafj5nUGIkRkja1jUvCgAKvl4GWBhXZ3&#10;PtCtjEakEA4FKqhj7AopQ1WTxTB2HXHizs5bjAl6I7XHewq3rZxm2bu02HBqqLGjz5qqa/ljFezM&#10;Nu62xu2z3l9y6T9Ob9/6qtRo2K/nICL18V/85/7SaX6ew/OZd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vB/BAAAA3AAAAA8AAAAAAAAAAAAAAAAAmAIAAGRycy9kb3du&#10;cmV2LnhtbFBLBQYAAAAABAAEAPUAAACGAwAAAAA=&#10;" path="m7362,4759l7342,4759,7349,4739,7355,4739,7360,4719,7374,4719,7368,4739,7362,4759xe">
                <v:path o:connecttype="custom" o:connectlocs="7362,4759;7342,4759;7349,4739;7355,4739;7360,4719;7374,4719;7368,4739;7362,4759" o:connectangles="0,0,0,0,0,0,0,0"/>
                <v:fill on="t" focussize="0,0"/>
                <v:stroke on="f"/>
                <v:imagedata o:title=""/>
                <o:lock v:ext="edit"/>
              </v:shape>
              <v:shape id="AutoShape 31" o:spid="_x0000_s108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4iaMIA&#10;AADcAAAADwAAAGRycy9kb3ducmV2LnhtbERPS2rDMBDdF3IHMYHuGjktDsGJEpJC7S4KJZ8DDNZE&#10;dmyNjKQm7u2rQqG7ebzvrLej7cWNfGgdK5jPMhDEtdMtGwXn09vTEkSIyBp7x6TgmwJsN5OHNRba&#10;3flAt2M0IoVwKFBBE+NQSBnqhiyGmRuIE3dx3mJM0BupPd5TuO3lc5YtpMWWU0ODA702VHfHL6ug&#10;MmWsSuM+stFfc+n355dP3Sn1OB13KxCRxvgv/nO/6zQ/X8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iJowgAAANwAAAAPAAAAAAAAAAAAAAAAAJgCAABkcnMvZG93&#10;bnJldi54bWxQSwUGAAAAAAQABAD1AAAAhwMAAAAA&#10;" path="m94,4779l75,4779,68,4759,88,4759,94,4779xe">
                <v:path o:connecttype="custom" o:connectlocs="94,4779;75,4779;68,4759;88,4759;94,4779" o:connectangles="0,0,0,0,0"/>
                <v:fill on="t" focussize="0,0"/>
                <v:stroke on="f"/>
                <v:imagedata o:title=""/>
                <o:lock v:ext="edit"/>
              </v:shape>
              <v:shape id="AutoShape 30" o:spid="_x0000_s108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H88IA&#10;AADcAAAADwAAAGRycy9kb3ducmV2LnhtbERP3WrCMBS+H+wdwhnsbqZuOKU2lW2g7kIQqw9waI5p&#10;tTkpSdTu7ZeBsLvz8f2eYjHYTlzJh9axgvEoA0FcO92yUXDYL19mIEJE1tg5JgU/FGBRPj4UmGt3&#10;4x1dq2hECuGQo4Imxj6XMtQNWQwj1xMn7ui8xZigN1J7vKVw28nXLHuXFltODQ329NVQfa4uVsHa&#10;rOJ6ZdwmG/xpIv3n4W2rz0o9Pw0fcxCRhvgvvru/dZo/mcLfM+k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ofzwgAAANwAAAAPAAAAAAAAAAAAAAAAAJgCAABkcnMvZG93&#10;bnJldi54bWxQSwUGAAAAAAQABAD1AAAAhwMAAAAA&#10;" path="m7349,4779l7329,4779,7336,4759,7356,4759,7349,4779xe">
                <v:path o:connecttype="custom" o:connectlocs="7349,4779;7329,4779;7336,4759;7356,4759;7349,4779" o:connectangles="0,0,0,0,0"/>
                <v:fill on="t" focussize="0,0"/>
                <v:stroke on="f"/>
                <v:imagedata o:title=""/>
                <o:lock v:ext="edit"/>
              </v:shape>
              <v:shape id="AutoShape 29" o:spid="_x0000_s108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TgcQA&#10;AADcAAAADwAAAGRycy9kb3ducmV2LnhtbESPQWsCMRCF74L/IYzQm2a1WMrWKFWo9iAUrT9g2Eyz&#10;WzeTJUl1/ffOoeBthvfmvW8Wq9636kIxNYENTCcFKOIq2IadgdP3x/gVVMrIFtvAZOBGCVbL4WCB&#10;pQ1XPtDlmJ2SEE4lGqhz7kqtU1WTxzQJHbFoPyF6zLJGp23Eq4T7Vs+K4kV7bFgaauxoU1N1Pv55&#10;Azu3zbutC/uij79zHden5y97NuZp1L+/gcrU54f5//rTCv5ca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tE4HEAAAA3AAAAA8AAAAAAAAAAAAAAAAAmAIAAGRycy9k&#10;b3ducmV2LnhtbFBLBQYAAAAABAAEAPUAAACJAwAAAAA=&#10;" path="m116,4819l96,4819,89,4799,82,4779,94,4779,102,4799,109,4799,116,4819xe">
                <v:path o:connecttype="custom" o:connectlocs="116,4819;96,4819;89,4799;82,4779;94,4779;102,4799;109,4799;116,4819" o:connectangles="0,0,0,0,0,0,0,0"/>
                <v:fill on="t" focussize="0,0"/>
                <v:stroke on="f"/>
                <v:imagedata o:title=""/>
                <o:lock v:ext="edit"/>
              </v:shape>
              <v:shape id="AutoShape 28" o:spid="_x0000_s108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2GsIA&#10;AADcAAAADwAAAGRycy9kb3ducmV2LnhtbERP3WrCMBS+H+wdwhnsbqZuOLQ2lW2g7kIQqw9waI5p&#10;tTkpSdTu7ZeBsLvz8f2eYjHYTlzJh9axgvEoA0FcO92yUXDYL1+mIEJE1tg5JgU/FGBRPj4UmGt3&#10;4x1dq2hECuGQo4Imxj6XMtQNWQwj1xMn7ui8xZigN1J7vKVw28nXLHuXFltODQ329NVQfa4uVsHa&#10;rOJ6ZdwmG/xpIv3n4W2rz0o9Pw0fcxCRhvgvvru/dZo/mcHfM+k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bYawgAAANwAAAAPAAAAAAAAAAAAAAAAAJgCAABkcnMvZG93&#10;bnJldi54bWxQSwUGAAAAAAQABAD1AAAAhwMAAAAA&#10;" path="m7327,4819l7307,4819,7315,4799,7322,4799,7329,4779,7342,4779,7335,4799,7327,4819xe">
                <v:path o:connecttype="custom" o:connectlocs="7327,4819;7307,4819;7315,4799;7322,4799;7329,4779;7342,4779;7335,4799;7327,4819" o:connectangles="0,0,0,0,0,0,0,0"/>
                <v:fill on="t" focussize="0,0"/>
                <v:stroke on="f"/>
                <v:imagedata o:title=""/>
                <o:lock v:ext="edit"/>
              </v:shape>
              <v:shape id="AutoShape 27" o:spid="_x0000_s108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VOsQA&#10;AADcAAAADwAAAGRycy9kb3ducmV2LnhtbESPQWsCMRCF74L/IYzQm2a1VMrWKFWo9iAUrT9g2Eyz&#10;WzeTJUl1/ffOQehthvfmvW8Wq9636kIxNYENTCcFKOIq2IadgdP3x/gVVMrIFtvAZOBGCVbL4WCB&#10;pQ1XPtDlmJ2SEE4lGqhz7kqtU1WTxzQJHbFoPyF6zLJGp23Eq4T7Vs+KYq49NiwNNXa0qak6H/+8&#10;gZ3b5t3WhX3Rx98XHden5y97NuZp1L+/gcrU53/z4/rTCv5c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31TrEAAAA3AAAAA8AAAAAAAAAAAAAAAAAmAIAAGRycy9k&#10;b3ducmV2LnhtbFBLBQYAAAAABAAEAPUAAACJAwAAAAA=&#10;" path="m132,4839l112,4839,104,4819,124,4819,132,4839xe">
                <v:path o:connecttype="custom" o:connectlocs="132,4839;112,4839;104,4819;124,4819;132,4839" o:connectangles="0,0,0,0,0"/>
                <v:fill on="t" focussize="0,0"/>
                <v:stroke on="f"/>
                <v:imagedata o:title=""/>
                <o:lock v:ext="edit"/>
              </v:shape>
              <v:shape id="AutoShape 26" o:spid="_x0000_s108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wocAA&#10;AADcAAAADwAAAGRycy9kb3ducmV2LnhtbERP24rCMBB9F/Yfwiz4pqmKsnSN4i54eRBE1w8Ymtm0&#10;2kxKErX+vREE3+ZwrjOdt7YWV/Khcqxg0M9AEBdOV2wUHP+WvS8QISJrrB2TgjsFmM8+OlPMtbvx&#10;nq6HaEQK4ZCjgjLGJpcyFCVZDH3XECfu33mLMUFvpPZ4S+G2lsMsm0iLFaeGEhv6Lak4Hy5Wwdqs&#10;4npl3DZr/Wks/c9xtNNnpbqf7eIbRKQ2vsUv90an+ZMBPJ9JF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twocAAAADcAAAADwAAAAAAAAAAAAAAAACYAgAAZHJzL2Rvd25y&#10;ZXYueG1sUEsFBgAAAAAEAAQA9QAAAIUDAAAAAA==&#10;" path="m7311,4839l7291,4839,7299,4819,7319,4819,7311,4839xe">
                <v:path o:connecttype="custom" o:connectlocs="7311,4839;7291,4839;7299,4819;7319,4819;7311,4839" o:connectangles="0,0,0,0,0"/>
                <v:fill on="t" focussize="0,0"/>
                <v:stroke on="f"/>
                <v:imagedata o:title=""/>
                <o:lock v:ext="edit"/>
              </v:shape>
              <v:shape id="AutoShape 25" o:spid="_x0000_s108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u1sIA&#10;AADcAAAADwAAAGRycy9kb3ducmV2LnhtbERP3WrCMBS+H/gO4Qi7m6kdk1GNooNZLwZD5wMcmmNa&#10;25yUJLPd25vBYHfn4/s9q81oO3EjHxrHCuazDARx5XTDRsH56/3pFUSIyBo7x6TghwJs1pOHFRba&#10;DXyk2ykakUI4FKigjrEvpAxVTRbDzPXEibs4bzEm6I3UHocUbjuZZ9lCWmw4NdTY01tNVXv6tgpK&#10;s4/l3riPbPTXF+l35+dP3Sr1OB23SxCRxvgv/nMfdJq/yO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e7WwgAAANwAAAAPAAAAAAAAAAAAAAAAAJgCAABkcnMvZG93&#10;bnJldi54bWxQSwUGAAAAAAQABAD1AAAAhwMAAAAA&#10;" path="m149,4859l129,4859,121,4839,141,4839,149,4859xe">
                <v:path o:connecttype="custom" o:connectlocs="149,4859;129,4859;121,4839;141,4839;149,4859" o:connectangles="0,0,0,0,0"/>
                <v:fill on="t" focussize="0,0"/>
                <v:stroke on="f"/>
                <v:imagedata o:title=""/>
                <o:lock v:ext="edit"/>
              </v:shape>
              <v:shape id="AutoShape 24" o:spid="_x0000_s108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LTcIA&#10;AADcAAAADwAAAGRycy9kb3ducmV2LnhtbERP3WrCMBS+H/gO4Qi7m6kTZVSj6GDtLgZD5wMcmmNa&#10;25yUJLPd2y/CYHfn4/s9m91oO3EjHxrHCuazDARx5XTDRsH56+3pBUSIyBo7x6TghwLstpOHDeba&#10;DXyk2ykakUI45KigjrHPpQxVTRbDzPXEibs4bzEm6I3UHocUbjv5nGUrabHh1FBjT681Ve3p2yoo&#10;TRHLwriPbPTXpfSH8+JTt0o9Tsf9GkSkMf6L/9zvOs1fLeD+TLp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UtNwgAAANwAAAAPAAAAAAAAAAAAAAAAAJgCAABkcnMvZG93&#10;bnJldi54bWxQSwUGAAAAAAQABAD1AAAAhwMAAAAA&#10;" path="m7294,4859l7274,4859,7283,4839,7303,4839,7294,4859xe">
                <v:path o:connecttype="custom" o:connectlocs="7294,4859;7274,4859;7283,4839;7303,4839;7294,4859" o:connectangles="0,0,0,0,0"/>
                <v:fill on="t" focussize="0,0"/>
                <v:stroke on="f"/>
                <v:imagedata o:title=""/>
                <o:lock v:ext="edit"/>
              </v:shape>
              <v:shape id="AutoShape 23" o:spid="_x0000_s108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TOcEA&#10;AADcAAAADwAAAGRycy9kb3ducmV2LnhtbERPzWoCMRC+F3yHMIK3mrXapWyNYgW1B0FqfYBhM2ZX&#10;N5Mlibq+vSkIvc3H9zvTeWcbcSUfascKRsMMBHHpdM1GweF39foBIkRkjY1jUnCnAPNZ72WKhXY3&#10;/qHrPhqRQjgUqKCKsS2kDGVFFsPQtcSJOzpvMSbojdQebyncNvIty3JpsebUUGFLy4rK8/5iFWzM&#10;Om7Wxm2zzp/epf86jHf6rNSg3y0+QUTq4r/46f7WaX4+gb9n0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M0znBAAAA3AAAAA8AAAAAAAAAAAAAAAAAmAIAAGRycy9kb3du&#10;cmV2LnhtbFBLBQYAAAAABAAEAPUAAACGAwAAAAA=&#10;" path="m167,4879l147,4879,138,4859,158,4859,167,4879xe">
                <v:path o:connecttype="custom" o:connectlocs="167,4879;147,4879;138,4859;158,4859;167,4879" o:connectangles="0,0,0,0,0"/>
                <v:fill on="t" focussize="0,0"/>
                <v:stroke on="f"/>
                <v:imagedata o:title=""/>
                <o:lock v:ext="edit"/>
              </v:shape>
              <v:shape id="AutoShape 22" o:spid="_x0000_s108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2osIA&#10;AADcAAAADwAAAGRycy9kb3ducmV2LnhtbERPS2rDMBDdF3IHMYHuGjktDsGJEpJC7S4KJZ8DDNZE&#10;dmyNjKQm7u2rQqG7ebzvrLej7cWNfGgdK5jPMhDEtdMtGwXn09vTEkSIyBp7x6TgmwJsN5OHNRba&#10;3flAt2M0IoVwKFBBE+NQSBnqhiyGmRuIE3dx3mJM0BupPd5TuO3lc5YtpMWWU0ODA702VHfHL6ug&#10;MmWsSuM+stFfc+n355dP3Sn1OB13KxCRxvgv/nO/6zR/kcP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HaiwgAAANwAAAAPAAAAAAAAAAAAAAAAAJgCAABkcnMvZG93&#10;bnJldi54bWxQSwUGAAAAAAQABAD1AAAAhwMAAAAA&#10;" path="m7277,4879l7256,4879,7265,4859,7286,4859,7277,4879xe">
                <v:path o:connecttype="custom" o:connectlocs="7277,4879;7256,4879;7265,4859;7286,4859;7277,4879" o:connectangles="0,0,0,0,0"/>
                <v:fill on="t" focussize="0,0"/>
                <v:stroke on="f"/>
                <v:imagedata o:title=""/>
                <o:lock v:ext="edit"/>
              </v:shape>
              <v:shape id="AutoShape 21" o:spid="_x0000_s109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o1cEA&#10;AADcAAAADwAAAGRycy9kb3ducmV2LnhtbERP3WrCMBS+H/gO4QjezVSHZdSm4gbqLgZj6gMcmmNa&#10;bU5Kkml9+0UY7O58fL+nXA22E1fyoXWsYDbNQBDXTrdsFBwPm+dXECEia+wck4I7BVhVo6cSC+1u&#10;/E3XfTQihXAoUEETY19IGeqGLIap64kTd3LeYkzQG6k93lK47eQ8y3JpseXU0GBP7w3Vl/2PVbAz&#10;27jbGveZDf68kP7t+PKlL0pNxsN6CSLSEP/Ff+4PnebnOTye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S6NXBAAAA3AAAAA8AAAAAAAAAAAAAAAAAmAIAAGRycy9kb3du&#10;cmV2LnhtbFBLBQYAAAAABAAEAPUAAACGAwAAAAA=&#10;" path="m186,4899l166,4899,156,4879,176,4879,186,4899xe">
                <v:path o:connecttype="custom" o:connectlocs="186,4899;166,4899;156,4879;176,4879;186,4899" o:connectangles="0,0,0,0,0"/>
                <v:fill on="t" focussize="0,0"/>
                <v:stroke on="f"/>
                <v:imagedata o:title=""/>
                <o:lock v:ext="edit"/>
              </v:shape>
              <v:shape id="AutoShape 20" o:spid="_x0000_s109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5NTsIA&#10;AADcAAAADwAAAGRycy9kb3ducmV2LnhtbERP3WrCMBS+F/YO4Qx2N9M5pqM2lU3w52Igdj7AoTmm&#10;nc1JSaJ2b28GA+/Ox/d7isVgO3EhH1rHCl7GGQji2umWjYLD9+r5HUSIyBo7x6TglwIsyodRgbl2&#10;V97TpYpGpBAOOSpoYuxzKUPdkMUwdj1x4o7OW4wJeiO1x2sKt52cZNlUWmw5NTTY07Kh+lSdrYKN&#10;WcfN2rivbPA/b9J/Hl53+qTU0+PwMQcRaYh38b97q9P86Qz+nk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k1OwgAAANwAAAAPAAAAAAAAAAAAAAAAAJgCAABkcnMvZG93&#10;bnJldi54bWxQSwUGAAAAAAQABAD1AAAAhwMAAAAA&#10;" path="m7258,4899l7238,4899,7247,4879,7267,4879,7258,4899xe">
                <v:path o:connecttype="custom" o:connectlocs="7258,4899;7238,4899;7247,4879;7267,4879;7258,4899" o:connectangles="0,0,0,0,0"/>
                <v:fill on="t" focussize="0,0"/>
                <v:stroke on="f"/>
                <v:imagedata o:title=""/>
                <o:lock v:ext="edit"/>
              </v:shape>
              <v:shape id="AutoShape 19" o:spid="_x0000_s109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ZPMQA&#10;AADcAAAADwAAAGRycy9kb3ducmV2LnhtbESPQWsCMRCF74L/IYzQm2a1VMrWKFWo9iAUrT9g2Eyz&#10;WzeTJUl1/ffOQehthvfmvW8Wq9636kIxNYENTCcFKOIq2IadgdP3x/gVVMrIFtvAZOBGCVbL4WCB&#10;pQ1XPtDlmJ2SEE4lGqhz7kqtU1WTxzQJHbFoPyF6zLJGp23Eq4T7Vs+KYq49NiwNNXa0qak6H/+8&#10;gZ3b5t3WhX3Rx98XHden5y97NuZp1L+/gcrU53/z4/rTCv5ca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2TzEAAAA3AAAAA8AAAAAAAAAAAAAAAAAmAIAAGRycy9k&#10;b3ducmV2LnhtbFBLBQYAAAAABAAEAPUAAACJAwAAAAA=&#10;" path="m206,4919l186,4919,176,4899,196,4899,206,4919xe">
                <v:path o:connecttype="custom" o:connectlocs="206,4919;186,4919;176,4899;196,4899;206,4919" o:connectangles="0,0,0,0,0"/>
                <v:fill on="t" focussize="0,0"/>
                <v:stroke on="f"/>
                <v:imagedata o:title=""/>
                <o:lock v:ext="edit"/>
              </v:shape>
              <v:shape id="AutoShape 18" o:spid="_x0000_s109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18p8IA&#10;AADcAAAADwAAAGRycy9kb3ducmV2LnhtbERP3WrCMBS+F/YO4Qx2N9M5Jq42lU3w52Igdj7AoTmm&#10;nc1JSaJ2b28GA+/Ox/d7isVgO3EhH1rHCl7GGQji2umWjYLD9+p5BiJEZI2dY1LwSwEW5cOowFy7&#10;K+/pUkUjUgiHHBU0Mfa5lKFuyGIYu544cUfnLcYEvZHa4zWF205OsmwqLbacGhrsadlQfarOVsHG&#10;rONmbdxXNvifN+k/D687fVLq6XH4mIOINMS7+N+91Wn+9B3+nk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XynwgAAANwAAAAPAAAAAAAAAAAAAAAAAJgCAABkcnMvZG93&#10;bnJldi54bWxQSwUGAAAAAAQABAD1AAAAhwMAAAAA&#10;" path="m7238,4919l7218,4919,7228,4899,7248,4899,7238,4919xe">
                <v:path o:connecttype="custom" o:connectlocs="7238,4919;7218,4919;7228,4899;7248,4899;7238,4919" o:connectangles="0,0,0,0,0"/>
                <v:fill on="t" focussize="0,0"/>
                <v:stroke on="f"/>
                <v:imagedata o:title=""/>
                <o:lock v:ext="edit"/>
              </v:shape>
              <v:shape id="AutoShape 17" o:spid="_x0000_s109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5D58UA&#10;AADcAAAADwAAAGRycy9kb3ducmV2LnhtbESPzW4CMQyE75X6DpErcSvZFrVUWwKCSvwcKiEoD2Bt&#10;3OyWjbNKAmzfHh+QuNma8cznyaz3rTpTTE1gAy/DAhRxFWzDzsDhZ/n8ASplZIttYDLwTwlm08eH&#10;CZY2XHhH5312SkI4lWigzrkrtU5VTR7TMHTEov2G6DHLGp22ES8S7lv9WhTv2mPD0lBjR181Vcf9&#10;yRtYu1Ver1z4Lvr496bj4jDa2qMxg6d+/gkqU5/v5tv1xgr+WPDlGZlA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kPnxQAAANwAAAAPAAAAAAAAAAAAAAAAAJgCAABkcnMv&#10;ZG93bnJldi54bWxQSwUGAAAAAAQABAD1AAAAigMAAAAA&#10;" path="m237,4939l206,4939,196,4919,226,4919,237,4939xe">
                <v:path o:connecttype="custom" o:connectlocs="237,4939;206,4939;196,4919;226,4919;237,4939" o:connectangles="0,0,0,0,0"/>
                <v:fill on="t" focussize="0,0"/>
                <v:stroke on="f"/>
                <v:imagedata o:title=""/>
                <o:lock v:ext="edit"/>
              </v:shape>
              <v:shape id="AutoShape 16" o:spid="_x0000_s109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LmfMIA&#10;AADcAAAADwAAAGRycy9kb3ducmV2LnhtbERPzWoCMRC+C32HMEJvmtVSK+tmpRaqHgpS9QGGzZhd&#10;3UyWJNXt2zdCwdt8fL9TLHvbiiv50DhWMBlnIIgrpxs2Co6Hz9EcRIjIGlvHpOCXAizLp0GBuXY3&#10;/qbrPhqRQjjkqKCOsculDFVNFsPYdcSJOzlvMSbojdQebynctnKaZTNpseHUUGNHHzVVl/2PVbAx&#10;67hZG/eV9f78Kv3q+LLTF6Weh/37AkSkPj7E/+6tTvPfJnB/Jl0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uZ8wgAAANwAAAAPAAAAAAAAAAAAAAAAAJgCAABkcnMvZG93&#10;bnJldi54bWxQSwUGAAAAAAQABAD1AAAAhwMAAAAA&#10;" path="m7217,4939l7187,4939,7198,4919,7228,4919,7217,4939xe">
                <v:path o:connecttype="custom" o:connectlocs="7217,4939;7187,4939;7198,4919;7228,4919;7217,4939" o:connectangles="0,0,0,0,0"/>
                <v:fill on="t" focussize="0,0"/>
                <v:stroke on="f"/>
                <v:imagedata o:title=""/>
                <o:lock v:ext="edit"/>
              </v:shape>
              <v:shape id="AutoShape 15" o:spid="_x0000_s109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4C8EA&#10;AADcAAAADwAAAGRycy9kb3ducmV2LnhtbERPzWoCMRC+C75DGMGbZqtUy2oUFdQeCqL1AYbNmN26&#10;mSxJ1PXtm0LB23x8vzNftrYWd/KhcqzgbZiBIC6crtgoOH9vBx8gQkTWWDsmBU8KsFx0O3PMtXvw&#10;ke6naEQK4ZCjgjLGJpcyFCVZDEPXECfu4rzFmKA3Unt8pHBby1GWTaTFilNDiQ1tSiqup5tVsDe7&#10;uN8Z95W1/udd+vV5fNBXpfq9djUDEamNL/G/+1On+dMR/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weAvBAAAA3AAAAA8AAAAAAAAAAAAAAAAAmAIAAGRycy9kb3du&#10;cmV2LnhtbFBLBQYAAAAABAAEAPUAAACGAwAAAAA=&#10;" path="m258,4959l239,4959,228,4939,247,4939,258,4959xe">
                <v:path o:connecttype="custom" o:connectlocs="258,4959;239,4959;228,4939;247,4939;258,4959" o:connectangles="0,0,0,0,0"/>
                <v:fill on="t" focussize="0,0"/>
                <v:stroke on="f"/>
                <v:imagedata o:title=""/>
                <o:lock v:ext="edit"/>
              </v:shape>
              <v:shape id="AutoShape 14" o:spid="_x0000_s1097"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dkMEA&#10;AADcAAAADwAAAGRycy9kb3ducmV2LnhtbERP22oCMRB9F/oPYQq+abaKWlajtIKXh4Jo/YBhM2a3&#10;biZLEnX9eyMUfJvDuc5s0dpaXMmHyrGCj34GgrhwumKj4Pi76n2CCBFZY+2YFNwpwGL+1plhrt2N&#10;93Q9RCNSCIccFZQxNrmUoSjJYui7hjhxJ+ctxgS9kdrjLYXbWg6ybCwtVpwaSmxoWVJxPlysgo1Z&#10;x83auJ+s9X8j6b+Pw50+K9V9b7+mICK18SX+d291mj8ZwvOZd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83ZDBAAAA3AAAAA8AAAAAAAAAAAAAAAAAmAIAAGRycy9kb3du&#10;cmV2LnhtbFBLBQYAAAAABAAEAPUAAACGAwAAAAA=&#10;" path="m7185,4959l7165,4959,7176,4939,7196,4939,7185,4959xe">
                <v:path o:connecttype="custom" o:connectlocs="7185,4959;7165,4959;7176,4939;7196,4939;7185,4959" o:connectangles="0,0,0,0,0"/>
                <v:fill on="t" focussize="0,0"/>
                <v:stroke on="f"/>
                <v:imagedata o:title=""/>
                <o:lock v:ext="edit"/>
              </v:shape>
              <v:shape id="AutoShape 13" o:spid="_x0000_s1098"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F5MEA&#10;AADcAAAADwAAAGRycy9kb3ducmV2LnhtbERP22oCMRB9L/gPYQTfalZtVVajqFDtgyBePmDYjNnV&#10;zWRJUt3+fVMo9G0O5zrzZWtr8SAfKscKBv0MBHHhdMVGweX88ToFESKyxtoxKfimAMtF52WOuXZP&#10;PtLjFI1IIRxyVFDG2ORShqIki6HvGuLEXZ23GBP0RmqPzxRuaznMsrG0WHFqKLGhTUnF/fRlFezM&#10;Nu62xu2z1t/epV9fRgd9V6rXbVczEJHa+C/+c3/qNH/yBr/PpAv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VReTBAAAA3AAAAA8AAAAAAAAAAAAAAAAAmAIAAGRycy9kb3du&#10;cmV2LnhtbFBLBQYAAAAABAAEAPUAAACGAwAAAAA=&#10;" path="m292,4979l261,4979,250,4959,281,4959,292,4979xe">
                <v:path o:connecttype="custom" o:connectlocs="292,4979;261,4979;250,4959;281,4959;292,4979" o:connectangles="0,0,0,0,0"/>
                <v:fill on="t" focussize="0,0"/>
                <v:stroke on="f"/>
                <v:imagedata o:title=""/>
                <o:lock v:ext="edit"/>
              </v:shape>
              <v:shape id="AutoShape 12" o:spid="_x0000_s1099"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gf8IA&#10;AADcAAAADwAAAGRycy9kb3ducmV2LnhtbERP3WrCMBS+H+wdwhnsbqZuOKU2lW2g7kIQqw9waI5p&#10;tTkpSdTu7ZeBsLvz8f2eYjHYTlzJh9axgvEoA0FcO92yUXDYL19mIEJE1tg5JgU/FGBRPj4UmGt3&#10;4x1dq2hECuGQo4Imxj6XMtQNWQwj1xMn7ui8xZigN1J7vKVw28nXLHuXFltODQ329NVQfa4uVsHa&#10;rOJ6ZdwmG/xpIv3n4W2rz0o9Pw0fcxCRhvgvvru/dZo/ncDfM+k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WeB/wgAAANwAAAAPAAAAAAAAAAAAAAAAAJgCAABkcnMvZG93&#10;bnJldi54bWxQSwUGAAAAAAQABAD1AAAAhwMAAAAA&#10;" path="m7162,4979l7131,4979,7143,4959,7174,4959,7162,4979xe">
                <v:path o:connecttype="custom" o:connectlocs="7162,4979;7131,4979;7143,4959;7174,4959;7162,4979" o:connectangles="0,0,0,0,0"/>
                <v:fill on="t" focussize="0,0"/>
                <v:stroke on="f"/>
                <v:imagedata o:title=""/>
                <o:lock v:ext="edit"/>
              </v:shape>
              <v:shape id="AutoShape 11" o:spid="_x0000_s1100"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CMIA&#10;AADcAAAADwAAAGRycy9kb3ducmV2LnhtbERP3WrCMBS+F/YO4Qx2N9M5pqM2lU3w52Igdj7AoTmm&#10;nc1JSaJ2b28GA+/Ox/d7isVgO3EhH1rHCl7GGQji2umWjYLD9+r5HUSIyBo7x6TglwIsyodRgbl2&#10;V97TpYpGpBAOOSpoYuxzKUPdkMUwdj1x4o7OW4wJeiO1x2sKt52cZNlUWmw5NTTY07Kh+lSdrYKN&#10;WcfN2rivbPA/b9J/Hl53+qTU0+PwMQcRaYh38b97q9P82RT+nk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34IwgAAANwAAAAPAAAAAAAAAAAAAAAAAJgCAABkcnMvZG93&#10;bnJldi54bWxQSwUGAAAAAAQABAD1AAAAhwMAAAAA&#10;" path="m328,4999l297,4999,285,4979,316,4979,328,4999xe">
                <v:path o:connecttype="custom" o:connectlocs="328,4999;297,4999;285,4979;316,4979;328,4999" o:connectangles="0,0,0,0,0"/>
                <v:fill on="t" focussize="0,0"/>
                <v:stroke on="f"/>
                <v:imagedata o:title=""/>
                <o:lock v:ext="edit"/>
              </v:shape>
              <v:shape id="AutoShape 10" o:spid="_x0000_s1101"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bk8EA&#10;AADcAAAADwAAAGRycy9kb3ducmV2LnhtbERPzWoCMRC+F3yHMIK3mrVit2yNYgW1B0FqfYBhM2ZX&#10;N5Mlibq+vSkIvc3H9zvTeWcbcSUfascKRsMMBHHpdM1GweF39foBIkRkjY1jUnCnAPNZ72WKhXY3&#10;/qHrPhqRQjgUqKCKsS2kDGVFFsPQtcSJOzpvMSbojdQebyncNvIty96lxZpTQ4UtLSsqz/uLVbAx&#10;67hZG7fNOn+aSP91GO/0WalBv1t8gojUxX/x0/2t0/w8h79n0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H25PBAAAA3AAAAA8AAAAAAAAAAAAAAAAAmAIAAGRycy9kb3du&#10;cmV2LnhtbFBLBQYAAAAABAAEAPUAAACGAwAAAAA=&#10;" path="m7127,4999l7096,4999,7108,4979,7139,4979,7127,4999xe">
                <v:path o:connecttype="custom" o:connectlocs="7127,4999;7096,4999;7108,4979;7139,4979;7127,4999" o:connectangles="0,0,0,0,0"/>
                <v:fill on="t" focussize="0,0"/>
                <v:stroke on="f"/>
                <v:imagedata o:title=""/>
                <o:lock v:ext="edit"/>
              </v:shape>
              <v:shape id="AutoShape 9" o:spid="_x0000_s1102"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P4cUA&#10;AADcAAAADwAAAGRycy9kb3ducmV2LnhtbESPzW4CMQyE75X6DpErcSvZFrVUWwKCSvwcKiEoD2Bt&#10;3OyWjbNKAmzfHh+QuNma8cznyaz3rTpTTE1gAy/DAhRxFWzDzsDhZ/n8ASplZIttYDLwTwlm08eH&#10;CZY2XHhH5312SkI4lWigzrkrtU5VTR7TMHTEov2G6DHLGp22ES8S7lv9WhTv2mPD0lBjR181Vcf9&#10;yRtYu1Ver1z4Lvr496bj4jDa2qMxg6d+/gkqU5/v5tv1xgr+WGjlGZlA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E/hxQAAANwAAAAPAAAAAAAAAAAAAAAAAJgCAABkcnMv&#10;ZG93bnJldi54bWxQSwUGAAAAAAQABAD1AAAAigMAAAAA&#10;" path="m378,5019l334,5019,321,4999,365,4999,378,5019xe">
                <v:path o:connecttype="custom" o:connectlocs="378,5019;334,5019;321,4999;365,4999;378,5019" o:connectangles="0,0,0,0,0"/>
                <v:fill on="t" focussize="0,0"/>
                <v:stroke on="f"/>
                <v:imagedata o:title=""/>
                <o:lock v:ext="edit"/>
              </v:shape>
              <v:shape id="AutoShape 8" o:spid="_x0000_s1103"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qesEA&#10;AADcAAAADwAAAGRycy9kb3ducmV2LnhtbERP22oCMRB9L/gPYQTfalalVVejqFDtgyBePmDYjNnV&#10;zWRJUt3+fVMo9G0O5zrzZWtr8SAfKscKBv0MBHHhdMVGweX88ToBESKyxtoxKfimAMtF52WOuXZP&#10;PtLjFI1IIRxyVFDG2ORShqIki6HvGuLEXZ23GBP0RmqPzxRuaznMsndpseLUUGJDm5KK++nLKtiZ&#10;bdxtjdtnrb+9Sb++jA76rlSv265mICK18V/85/7Uaf54Cr/PpAv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U6nrBAAAA3AAAAA8AAAAAAAAAAAAAAAAAmAIAAGRycy9kb3du&#10;cmV2LnhtbFBLBQYAAAAABAAEAPUAAACGAwAAAAA=&#10;" path="m7090,5019l7046,5019,7059,4999,7102,4999,7090,5019xe">
                <v:path o:connecttype="custom" o:connectlocs="7090,5019;7046,5019;7059,4999;7102,4999;7090,5019" o:connectangles="0,0,0,0,0"/>
                <v:fill on="t" focussize="0,0"/>
                <v:stroke on="f"/>
                <v:imagedata o:title=""/>
                <o:lock v:ext="edit"/>
              </v:shape>
              <v:shape id="AutoShape 7" o:spid="_x0000_s1104"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zwMQA&#10;AADcAAAADwAAAGRycy9kb3ducmV2LnhtbESP3WoCMRCF7wt9hzCF3tWsFYusRlGh2guh+PMAw2aa&#10;3bqZLEnU7dt3LgTvZjhnzvlmtuh9q64UUxPYwHBQgCKugm3YGTgdP98moFJGttgGJgN/lGAxf36a&#10;YWnDjfd0PWSnJIRTiQbqnLtS61TV5DENQkcs2k+IHrOs0Wkb8SbhvtXvRfGhPTYsDTV2tK6pOh8u&#10;3sDWbfJ248Ku6OPvWMfVafRtz8a8vvTLKahMfX6Y79dfVvAngi/PyAR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7M8DEAAAA3AAAAA8AAAAAAAAAAAAAAAAAmAIAAGRycy9k&#10;b3ducmV2LnhtbFBLBQYAAAAABAAEAPUAAACJAwAAAAA=&#10;" path="m443,5039l385,5039,372,5019,429,5019,443,5039xe">
                <v:path o:connecttype="custom" o:connectlocs="443,5039;385,5039;372,5019;429,5019;443,5039" o:connectangles="0,0,0,0,0"/>
                <v:fill on="t" focussize="0,0"/>
                <v:stroke on="f"/>
                <v:imagedata o:title=""/>
                <o:lock v:ext="edit"/>
              </v:shape>
              <v:shape id="AutoShape 6" o:spid="_x0000_s1105"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WW8AA&#10;AADcAAAADwAAAGRycy9kb3ducmV2LnhtbERP24rCMBB9F/yHMIJvmrqyItUouqDuw4J4+YChGdNq&#10;MylJ1O7fbxYE3+ZwrjNftrYWD/KhcqxgNMxAEBdOV2wUnE+bwRREiMgaa8ek4JcCLBfdzhxz7Z58&#10;oMcxGpFCOOSooIyxyaUMRUkWw9A1xIm7OG8xJuiN1B6fKdzW8iPLJtJixamhxIa+Sipux7tVsDPb&#10;uNsa95O1/vop/fo83uubUv1eu5qBiNTGt/jl/tZp/nQE/8+kC+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eWW8AAAADcAAAADwAAAAAAAAAAAAAAAACYAgAAZHJzL2Rvd25y&#10;ZXYueG1sUEsFBgAAAAAEAAQA9QAAAIUDAAAAAA==&#10;" path="m7038,5039l6981,5039,6994,5019,7051,5019,7038,5039xe">
                <v:path o:connecttype="custom" o:connectlocs="7038,5039;6981,5039;6994,5019;7051,5019;7038,5039" o:connectangles="0,0,0,0,0"/>
                <v:fill on="t" focussize="0,0"/>
                <v:stroke on="f"/>
                <v:imagedata o:title=""/>
                <o:lock v:ext="edit"/>
              </v:shape>
              <v:shape id="AutoShape 5" o:spid="_x0000_s1106" style="position:absolute;left:0;top:0;height:5060;width:7425;" fillcolor="#000000" filled="t" stroked="f" coordsize="7425,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UILMIA&#10;AADcAAAADwAAAGRycy9kb3ducmV2LnhtbERP3WrCMBS+F/YO4Qx2p+k6JqUzyjaw7mIgdj7AoTmm&#10;1eakJFHr25vBYHfn4/s9i9Voe3EhHzrHCp5nGQjixumOjYL9z3pagAgRWWPvmBTcKMBq+TBZYKnd&#10;lXd0qaMRKYRDiQraGIdSytC0ZDHM3ECcuIPzFmOC3kjt8ZrCbS/zLJtLix2nhhYH+mypOdVnq2Bj&#10;qripjPvORn98lf5j/7LVJ6WeHsf3NxCRxvgv/nN/6TS/yOH3mXS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QgswgAAANwAAAAPAAAAAAAAAAAAAAAAAJgCAABkcnMvZG93&#10;bnJldi54bWxQSwUGAAAAAAQABAD1AAAAhwMAAAAA&#10;" path="m6956,5059l467,5059,453,5039,6970,5039,6956,5059xe">
                <v:path o:connecttype="custom" o:connectlocs="6956,5059;467,5059;453,5039;6970,5039;6956,5059" o:connectangles="0,0,0,0,0"/>
                <v:fill on="t" focussize="0,0"/>
                <v:stroke on="f"/>
                <v:imagedata o:title=""/>
                <o:lock v:ext="edit"/>
              </v:shape>
            </v:group>
            <w10:wrap type="none"/>
            <w10:anchorlock/>
          </v:group>
        </w:pict>
      </w:r>
    </w:p>
    <w:p>
      <w:pPr>
        <w:pStyle w:val="2"/>
        <w:kinsoku w:val="0"/>
        <w:overflowPunct w:val="0"/>
        <w:spacing w:before="174"/>
        <w:rPr>
          <w:rFonts w:asciiTheme="majorEastAsia" w:hAnsiTheme="majorEastAsia" w:eastAsiaTheme="majorEastAsia"/>
          <w:b/>
          <w:bCs/>
          <w:color w:val="000000" w:themeColor="text1"/>
          <w:spacing w:val="1"/>
          <w:szCs w:val="21"/>
        </w:rPr>
      </w:pPr>
    </w:p>
    <w:p>
      <w:pPr>
        <w:pStyle w:val="2"/>
        <w:kinsoku w:val="0"/>
        <w:overflowPunct w:val="0"/>
        <w:spacing w:before="174"/>
        <w:rPr>
          <w:rFonts w:asciiTheme="majorEastAsia" w:hAnsiTheme="majorEastAsia" w:eastAsiaTheme="majorEastAsia"/>
          <w:color w:val="000000" w:themeColor="text1"/>
          <w:szCs w:val="21"/>
        </w:rPr>
      </w:pPr>
      <w:r>
        <w:rPr>
          <w:rFonts w:hint="eastAsia" w:asciiTheme="majorEastAsia" w:hAnsiTheme="majorEastAsia" w:eastAsiaTheme="majorEastAsia"/>
          <w:b/>
          <w:bCs/>
          <w:color w:val="000000" w:themeColor="text1"/>
          <w:spacing w:val="1"/>
          <w:szCs w:val="21"/>
        </w:rPr>
        <w:t>★备注：投标保证金缴费凭证复印件加盖公章</w:t>
      </w:r>
    </w:p>
    <w:p>
      <w:pPr>
        <w:pStyle w:val="2"/>
        <w:kinsoku w:val="0"/>
        <w:overflowPunct w:val="0"/>
        <w:spacing w:before="34" w:line="357" w:lineRule="auto"/>
        <w:ind w:right="126" w:firstLine="480"/>
        <w:jc w:val="center"/>
        <w:outlineLvl w:val="0"/>
        <w:rPr>
          <w:rFonts w:asciiTheme="majorEastAsia" w:hAnsiTheme="majorEastAsia" w:eastAsiaTheme="majorEastAsia"/>
          <w:b/>
          <w:bCs/>
          <w:color w:val="000000" w:themeColor="text1"/>
        </w:rPr>
      </w:pPr>
      <w:r>
        <w:rPr>
          <w:rFonts w:asciiTheme="majorEastAsia" w:hAnsiTheme="majorEastAsia" w:eastAsiaTheme="majorEastAsia"/>
          <w:color w:val="000000" w:themeColor="text1"/>
        </w:rPr>
        <w:br w:type="page"/>
      </w:r>
      <w:bookmarkStart w:id="208" w:name="_Toc15971"/>
      <w:r>
        <w:rPr>
          <w:rFonts w:hint="eastAsia" w:asciiTheme="majorEastAsia" w:hAnsiTheme="majorEastAsia" w:eastAsiaTheme="majorEastAsia"/>
          <w:b/>
          <w:bCs/>
          <w:color w:val="000000" w:themeColor="text1"/>
          <w:sz w:val="36"/>
          <w:szCs w:val="36"/>
        </w:rPr>
        <w:t>五、投标报价单</w:t>
      </w:r>
      <w:bookmarkEnd w:id="208"/>
    </w:p>
    <w:p>
      <w:pPr>
        <w:pStyle w:val="2"/>
        <w:kinsoku w:val="0"/>
        <w:overflowPunct w:val="0"/>
        <w:spacing w:before="6"/>
        <w:rPr>
          <w:rFonts w:asciiTheme="majorEastAsia" w:hAnsiTheme="majorEastAsia" w:eastAsiaTheme="majorEastAsia"/>
          <w:b/>
          <w:bCs/>
          <w:color w:val="000000" w:themeColor="text1"/>
          <w:sz w:val="26"/>
          <w:szCs w:val="26"/>
        </w:rPr>
      </w:pPr>
    </w:p>
    <w:p>
      <w:pPr>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采购项目名称：</w:t>
      </w:r>
      <w:r>
        <w:rPr>
          <w:rFonts w:hint="eastAsia" w:cs="仿宋" w:asciiTheme="majorEastAsia" w:hAnsiTheme="majorEastAsia" w:eastAsiaTheme="majorEastAsia"/>
          <w:color w:val="000000" w:themeColor="text1"/>
          <w:kern w:val="0"/>
          <w:sz w:val="24"/>
          <w:u w:val="single"/>
        </w:rPr>
        <w:t>　                              　　</w:t>
      </w:r>
    </w:p>
    <w:p>
      <w:pPr>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采购项目编号：</w:t>
      </w:r>
      <w:r>
        <w:rPr>
          <w:rFonts w:hint="eastAsia" w:cs="仿宋" w:asciiTheme="majorEastAsia" w:hAnsiTheme="majorEastAsia" w:eastAsiaTheme="majorEastAsia"/>
          <w:color w:val="000000" w:themeColor="text1"/>
          <w:kern w:val="0"/>
          <w:sz w:val="24"/>
          <w:u w:val="single"/>
        </w:rPr>
        <w:t>　                              　　</w:t>
      </w:r>
    </w:p>
    <w:tbl>
      <w:tblPr>
        <w:tblStyle w:val="40"/>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vAlign w:val="center"/>
          </w:tcPr>
          <w:p>
            <w:pPr>
              <w:widowControl/>
              <w:spacing w:line="440" w:lineRule="exact"/>
              <w:jc w:val="center"/>
              <w:rPr>
                <w:rFonts w:cs="宋体" w:asciiTheme="majorEastAsia" w:hAnsiTheme="majorEastAsia" w:eastAsiaTheme="majorEastAsia"/>
                <w:b/>
                <w:bCs/>
                <w:color w:val="000000" w:themeColor="text1"/>
                <w:kern w:val="0"/>
                <w:sz w:val="24"/>
              </w:rPr>
            </w:pPr>
            <w:r>
              <w:rPr>
                <w:rFonts w:hint="eastAsia" w:cs="宋体" w:asciiTheme="majorEastAsia" w:hAnsiTheme="majorEastAsia" w:eastAsiaTheme="majorEastAsia"/>
                <w:b/>
                <w:bCs/>
                <w:color w:val="000000" w:themeColor="text1"/>
                <w:kern w:val="0"/>
                <w:sz w:val="24"/>
              </w:rPr>
              <w:t>投标内容</w:t>
            </w:r>
          </w:p>
        </w:tc>
        <w:tc>
          <w:tcPr>
            <w:tcW w:w="6267" w:type="dxa"/>
            <w:vAlign w:val="center"/>
          </w:tcPr>
          <w:p>
            <w:pPr>
              <w:widowControl/>
              <w:spacing w:line="440" w:lineRule="exact"/>
              <w:jc w:val="center"/>
              <w:rPr>
                <w:rFonts w:cs="宋体" w:asciiTheme="majorEastAsia" w:hAnsiTheme="majorEastAsia" w:eastAsiaTheme="majorEastAsia"/>
                <w:b/>
                <w:bCs/>
                <w:color w:val="000000" w:themeColor="text1"/>
                <w:kern w:val="0"/>
                <w:sz w:val="24"/>
              </w:rPr>
            </w:pPr>
            <w:r>
              <w:rPr>
                <w:rFonts w:hint="eastAsia" w:cs="宋体" w:asciiTheme="majorEastAsia" w:hAnsiTheme="majorEastAsia" w:eastAsiaTheme="majorEastAsia"/>
                <w:b/>
                <w:bCs/>
                <w:color w:val="000000" w:themeColor="text1"/>
                <w:kern w:val="0"/>
                <w:sz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vAlign w:val="center"/>
          </w:tcPr>
          <w:p>
            <w:pPr>
              <w:widowControl/>
              <w:spacing w:line="440" w:lineRule="exact"/>
              <w:jc w:val="center"/>
              <w:rPr>
                <w:rFonts w:cs="宋体" w:asciiTheme="majorEastAsia" w:hAnsiTheme="majorEastAsia" w:eastAsiaTheme="majorEastAsia"/>
                <w:color w:val="000000" w:themeColor="text1"/>
                <w:kern w:val="0"/>
                <w:sz w:val="24"/>
              </w:rPr>
            </w:pPr>
            <w:r>
              <w:rPr>
                <w:rFonts w:cs="宋体" w:asciiTheme="majorEastAsia" w:hAnsiTheme="majorEastAsia" w:eastAsiaTheme="majorEastAsia"/>
                <w:color w:val="000000" w:themeColor="text1"/>
                <w:kern w:val="0"/>
                <w:sz w:val="24"/>
              </w:rPr>
              <w:t>报价</w:t>
            </w:r>
          </w:p>
        </w:tc>
        <w:tc>
          <w:tcPr>
            <w:tcW w:w="6267" w:type="dxa"/>
            <w:vAlign w:val="center"/>
          </w:tcPr>
          <w:p>
            <w:pPr>
              <w:widowControl/>
              <w:spacing w:line="44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vAlign w:val="center"/>
          </w:tcPr>
          <w:p>
            <w:pPr>
              <w:widowControl/>
              <w:spacing w:line="440" w:lineRule="exact"/>
              <w:jc w:val="center"/>
              <w:rPr>
                <w:rFonts w:cs="宋体" w:asciiTheme="majorEastAsia" w:hAnsiTheme="majorEastAsia" w:eastAsiaTheme="majorEastAsia"/>
                <w:color w:val="000000" w:themeColor="text1"/>
                <w:kern w:val="0"/>
                <w:sz w:val="24"/>
              </w:rPr>
            </w:pPr>
          </w:p>
        </w:tc>
        <w:tc>
          <w:tcPr>
            <w:tcW w:w="6267" w:type="dxa"/>
            <w:vAlign w:val="center"/>
          </w:tcPr>
          <w:p>
            <w:pPr>
              <w:spacing w:line="440" w:lineRule="exact"/>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pPr>
              <w:widowControl/>
              <w:spacing w:line="440" w:lineRule="exact"/>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供 货 期</w:t>
            </w:r>
          </w:p>
        </w:tc>
        <w:tc>
          <w:tcPr>
            <w:tcW w:w="6267" w:type="dxa"/>
            <w:vAlign w:val="center"/>
          </w:tcPr>
          <w:p>
            <w:pPr>
              <w:spacing w:line="440" w:lineRule="exact"/>
              <w:jc w:val="left"/>
              <w:rPr>
                <w:rFonts w:cs="宋体"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pPr>
              <w:widowControl/>
              <w:spacing w:line="440" w:lineRule="exact"/>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质 保 期</w:t>
            </w:r>
          </w:p>
        </w:tc>
        <w:tc>
          <w:tcPr>
            <w:tcW w:w="6267" w:type="dxa"/>
            <w:vAlign w:val="center"/>
          </w:tcPr>
          <w:p>
            <w:pPr>
              <w:spacing w:line="440" w:lineRule="exact"/>
              <w:jc w:val="left"/>
              <w:rPr>
                <w:rFonts w:cs="宋体"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pPr>
              <w:widowControl/>
              <w:spacing w:line="440" w:lineRule="exact"/>
              <w:jc w:val="center"/>
              <w:rPr>
                <w:rFonts w:cs="宋体" w:asciiTheme="majorEastAsia" w:hAnsiTheme="majorEastAsia" w:eastAsiaTheme="majorEastAsia"/>
                <w:color w:val="000000" w:themeColor="text1"/>
                <w:kern w:val="0"/>
                <w:sz w:val="24"/>
              </w:rPr>
            </w:pPr>
            <w:r>
              <w:rPr>
                <w:rFonts w:cs="宋体" w:asciiTheme="majorEastAsia" w:hAnsiTheme="majorEastAsia" w:eastAsiaTheme="majorEastAsia"/>
                <w:color w:val="000000" w:themeColor="text1"/>
                <w:kern w:val="0"/>
                <w:sz w:val="24"/>
              </w:rPr>
              <w:t>交货地点</w:t>
            </w:r>
          </w:p>
        </w:tc>
        <w:tc>
          <w:tcPr>
            <w:tcW w:w="6267" w:type="dxa"/>
            <w:vAlign w:val="center"/>
          </w:tcPr>
          <w:p>
            <w:pPr>
              <w:widowControl/>
              <w:spacing w:line="440" w:lineRule="exact"/>
              <w:jc w:val="center"/>
              <w:rPr>
                <w:rFonts w:cs="宋体"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pPr>
              <w:widowControl/>
              <w:spacing w:line="440" w:lineRule="exact"/>
              <w:jc w:val="center"/>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备注</w:t>
            </w:r>
          </w:p>
        </w:tc>
        <w:tc>
          <w:tcPr>
            <w:tcW w:w="6267" w:type="dxa"/>
            <w:vAlign w:val="center"/>
          </w:tcPr>
          <w:p>
            <w:pPr>
              <w:spacing w:line="440" w:lineRule="exact"/>
              <w:jc w:val="left"/>
              <w:rPr>
                <w:rFonts w:cs="宋体" w:asciiTheme="majorEastAsia" w:hAnsiTheme="majorEastAsia" w:eastAsiaTheme="majorEastAsia"/>
                <w:color w:val="000000" w:themeColor="text1"/>
                <w:kern w:val="0"/>
                <w:sz w:val="24"/>
              </w:rPr>
            </w:pPr>
          </w:p>
        </w:tc>
      </w:tr>
    </w:tbl>
    <w:p>
      <w:pPr>
        <w:spacing w:line="480" w:lineRule="exact"/>
        <w:ind w:firstLine="42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注：1.此表总报价是所有需采购人支付的金额总数，包括《招标内容》要求的全部内容。</w:t>
      </w:r>
    </w:p>
    <w:p>
      <w:pPr>
        <w:numPr>
          <w:ilvl w:val="0"/>
          <w:numId w:val="46"/>
        </w:numPr>
        <w:spacing w:line="480" w:lineRule="exact"/>
        <w:ind w:firstLine="960" w:firstLineChars="4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总报价中必须包含购置或制造、安装、运输保险、备品备件、装卸、培训辅导、质保期售后服务、全额含税发票、雇员费用、合同实施过程中应预见和不可预见费用等。所有价格均应予人民币报价，金额单位为元。</w:t>
      </w:r>
    </w:p>
    <w:p>
      <w:pPr>
        <w:numPr>
          <w:ilvl w:val="0"/>
          <w:numId w:val="46"/>
        </w:numPr>
        <w:spacing w:line="480" w:lineRule="exact"/>
        <w:ind w:firstLine="960" w:firstLineChars="400"/>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请将本投标报价表另密封在一单独信封内（投标文件内同样装有），随同投标文件一起递交。</w:t>
      </w:r>
    </w:p>
    <w:p>
      <w:pPr>
        <w:tabs>
          <w:tab w:val="left" w:pos="312"/>
        </w:tabs>
        <w:spacing w:line="480" w:lineRule="exact"/>
        <w:rPr>
          <w:rFonts w:cs="仿宋" w:asciiTheme="majorEastAsia" w:hAnsiTheme="majorEastAsia" w:eastAsiaTheme="majorEastAsia"/>
          <w:color w:val="000000" w:themeColor="text1"/>
          <w:kern w:val="0"/>
          <w:sz w:val="24"/>
        </w:rPr>
      </w:pPr>
    </w:p>
    <w:p>
      <w:pPr>
        <w:pStyle w:val="2"/>
        <w:tabs>
          <w:tab w:val="left" w:pos="8227"/>
        </w:tabs>
        <w:kinsoku w:val="0"/>
        <w:overflowPunct w:val="0"/>
        <w:spacing w:line="381" w:lineRule="auto"/>
        <w:ind w:right="118"/>
        <w:rPr>
          <w:rFonts w:asciiTheme="majorEastAsia" w:hAnsiTheme="majorEastAsia" w:eastAsiaTheme="majorEastAsia"/>
          <w:color w:val="000000" w:themeColor="text1"/>
        </w:rPr>
      </w:pPr>
    </w:p>
    <w:p>
      <w:pPr>
        <w:pStyle w:val="2"/>
        <w:tabs>
          <w:tab w:val="left" w:pos="8227"/>
        </w:tabs>
        <w:kinsoku w:val="0"/>
        <w:overflowPunct w:val="0"/>
        <w:spacing w:line="381" w:lineRule="auto"/>
        <w:ind w:left="4027" w:right="118"/>
        <w:rPr>
          <w:rFonts w:asciiTheme="majorEastAsia" w:hAnsiTheme="majorEastAsia" w:eastAsiaTheme="majorEastAsia"/>
          <w:color w:val="000000" w:themeColor="text1"/>
        </w:rPr>
      </w:pPr>
    </w:p>
    <w:p>
      <w:pPr>
        <w:pStyle w:val="2"/>
        <w:tabs>
          <w:tab w:val="left" w:pos="7905"/>
        </w:tabs>
        <w:kinsoku w:val="0"/>
        <w:overflowPunct w:val="0"/>
        <w:spacing w:line="381" w:lineRule="auto"/>
        <w:ind w:left="4027" w:right="118"/>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供应商：</w:t>
      </w:r>
      <w:r>
        <w:rPr>
          <w:rFonts w:hint="eastAsia" w:cs="仿宋" w:asciiTheme="majorEastAsia" w:hAnsiTheme="majorEastAsia" w:eastAsiaTheme="majorEastAsia"/>
          <w:color w:val="000000" w:themeColor="text1"/>
          <w:u w:val="single"/>
        </w:rPr>
        <w:tab/>
      </w:r>
      <w:r>
        <w:rPr>
          <w:rFonts w:hint="eastAsia" w:cs="仿宋" w:asciiTheme="majorEastAsia" w:hAnsiTheme="majorEastAsia" w:eastAsiaTheme="majorEastAsia"/>
          <w:color w:val="000000" w:themeColor="text1"/>
          <w:w w:val="95"/>
        </w:rPr>
        <w:t>（盖章）</w:t>
      </w:r>
    </w:p>
    <w:p>
      <w:pPr>
        <w:pStyle w:val="2"/>
        <w:tabs>
          <w:tab w:val="left" w:pos="7695"/>
        </w:tabs>
        <w:kinsoku w:val="0"/>
        <w:overflowPunct w:val="0"/>
        <w:spacing w:line="381" w:lineRule="auto"/>
        <w:ind w:left="4027" w:right="118"/>
        <w:rPr>
          <w:rFonts w:cs="仿宋" w:asciiTheme="majorEastAsia" w:hAnsiTheme="majorEastAsia" w:eastAsiaTheme="majorEastAsia"/>
          <w:color w:val="000000" w:themeColor="text1"/>
          <w:w w:val="95"/>
        </w:rPr>
      </w:pPr>
      <w:r>
        <w:rPr>
          <w:rFonts w:hint="eastAsia" w:cs="仿宋" w:asciiTheme="majorEastAsia" w:hAnsiTheme="majorEastAsia" w:eastAsiaTheme="majorEastAsia"/>
          <w:color w:val="000000" w:themeColor="text1"/>
        </w:rPr>
        <w:t>法定代表人或被授权人：</w:t>
      </w:r>
      <w:r>
        <w:rPr>
          <w:rFonts w:hint="eastAsia" w:cs="仿宋" w:asciiTheme="majorEastAsia" w:hAnsiTheme="majorEastAsia" w:eastAsiaTheme="majorEastAsia"/>
          <w:color w:val="000000" w:themeColor="text1"/>
          <w:u w:val="single"/>
        </w:rPr>
        <w:tab/>
      </w:r>
      <w:r>
        <w:rPr>
          <w:rFonts w:hint="eastAsia" w:cs="仿宋" w:asciiTheme="majorEastAsia" w:hAnsiTheme="majorEastAsia" w:eastAsiaTheme="majorEastAsia"/>
          <w:color w:val="000000" w:themeColor="text1"/>
          <w:w w:val="95"/>
        </w:rPr>
        <w:t>（签字或盖章）</w:t>
      </w:r>
    </w:p>
    <w:p>
      <w:pPr>
        <w:pStyle w:val="2"/>
        <w:tabs>
          <w:tab w:val="left" w:pos="5551"/>
          <w:tab w:val="left" w:pos="6511"/>
          <w:tab w:val="left" w:pos="7111"/>
          <w:tab w:val="left" w:pos="7711"/>
        </w:tabs>
        <w:kinsoku w:val="0"/>
        <w:overflowPunct w:val="0"/>
        <w:spacing w:before="46"/>
        <w:ind w:left="2583" w:firstLine="2248"/>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日</w:t>
      </w:r>
      <w:r>
        <w:rPr>
          <w:rFonts w:hint="eastAsia" w:cs="仿宋" w:asciiTheme="majorEastAsia" w:hAnsiTheme="majorEastAsia" w:eastAsiaTheme="majorEastAsia"/>
          <w:color w:val="000000" w:themeColor="text1"/>
        </w:rPr>
        <w:tab/>
      </w:r>
      <w:r>
        <w:rPr>
          <w:rFonts w:hint="eastAsia" w:cs="仿宋" w:asciiTheme="majorEastAsia" w:hAnsiTheme="majorEastAsia" w:eastAsiaTheme="majorEastAsia"/>
          <w:color w:val="000000" w:themeColor="text1"/>
        </w:rPr>
        <w:t>期：</w:t>
      </w:r>
      <w:r>
        <w:rPr>
          <w:rFonts w:hint="eastAsia" w:cs="仿宋" w:asciiTheme="majorEastAsia" w:hAnsiTheme="majorEastAsia" w:eastAsiaTheme="majorEastAsia"/>
          <w:color w:val="000000" w:themeColor="text1"/>
          <w:u w:val="single"/>
        </w:rPr>
        <w:tab/>
      </w:r>
      <w:r>
        <w:rPr>
          <w:rFonts w:hint="eastAsia" w:cs="仿宋" w:asciiTheme="majorEastAsia" w:hAnsiTheme="majorEastAsia" w:eastAsiaTheme="majorEastAsia"/>
          <w:color w:val="000000" w:themeColor="text1"/>
        </w:rPr>
        <w:t>年</w:t>
      </w:r>
      <w:r>
        <w:rPr>
          <w:rFonts w:hint="eastAsia" w:cs="仿宋" w:asciiTheme="majorEastAsia" w:hAnsiTheme="majorEastAsia" w:eastAsiaTheme="majorEastAsia"/>
          <w:color w:val="000000" w:themeColor="text1"/>
          <w:u w:val="single"/>
        </w:rPr>
        <w:tab/>
      </w:r>
      <w:r>
        <w:rPr>
          <w:rFonts w:hint="eastAsia" w:cs="仿宋" w:asciiTheme="majorEastAsia" w:hAnsiTheme="majorEastAsia" w:eastAsiaTheme="majorEastAsia"/>
          <w:color w:val="000000" w:themeColor="text1"/>
        </w:rPr>
        <w:t>月</w:t>
      </w:r>
      <w:r>
        <w:rPr>
          <w:rFonts w:hint="eastAsia" w:cs="仿宋" w:asciiTheme="majorEastAsia" w:hAnsiTheme="majorEastAsia" w:eastAsiaTheme="majorEastAsia"/>
          <w:color w:val="000000" w:themeColor="text1"/>
          <w:u w:val="single"/>
        </w:rPr>
        <w:tab/>
      </w:r>
      <w:r>
        <w:rPr>
          <w:rFonts w:hint="eastAsia" w:cs="仿宋" w:asciiTheme="majorEastAsia" w:hAnsiTheme="majorEastAsia" w:eastAsiaTheme="majorEastAsia"/>
          <w:color w:val="000000" w:themeColor="text1"/>
        </w:rPr>
        <w:t>日</w:t>
      </w:r>
    </w:p>
    <w:p>
      <w:pPr>
        <w:pStyle w:val="2"/>
        <w:kinsoku w:val="0"/>
        <w:overflowPunct w:val="0"/>
        <w:spacing w:before="34" w:line="357" w:lineRule="auto"/>
        <w:ind w:right="126" w:firstLine="480"/>
        <w:jc w:val="center"/>
        <w:outlineLvl w:val="0"/>
        <w:rPr>
          <w:rFonts w:asciiTheme="majorEastAsia" w:hAnsiTheme="majorEastAsia" w:eastAsiaTheme="majorEastAsia"/>
          <w:b/>
          <w:bCs/>
          <w:color w:val="000000" w:themeColor="text1"/>
          <w:sz w:val="36"/>
          <w:szCs w:val="36"/>
        </w:rPr>
      </w:pPr>
      <w:r>
        <w:rPr>
          <w:rFonts w:asciiTheme="majorEastAsia" w:hAnsiTheme="majorEastAsia" w:eastAsiaTheme="majorEastAsia"/>
          <w:color w:val="000000" w:themeColor="text1"/>
        </w:rPr>
        <w:br w:type="page"/>
      </w:r>
      <w:bookmarkStart w:id="209" w:name="_Toc30280"/>
      <w:r>
        <w:rPr>
          <w:rFonts w:hint="eastAsia" w:asciiTheme="majorEastAsia" w:hAnsiTheme="majorEastAsia" w:eastAsiaTheme="majorEastAsia"/>
          <w:b/>
          <w:bCs/>
          <w:color w:val="000000" w:themeColor="text1"/>
          <w:sz w:val="36"/>
          <w:szCs w:val="36"/>
        </w:rPr>
        <w:t>六、投标报价汇总表</w:t>
      </w:r>
      <w:bookmarkEnd w:id="209"/>
    </w:p>
    <w:p>
      <w:pPr>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项目名称：</w:t>
      </w:r>
      <w:r>
        <w:rPr>
          <w:rFonts w:hint="eastAsia" w:cs="仿宋" w:asciiTheme="majorEastAsia" w:hAnsiTheme="majorEastAsia" w:eastAsiaTheme="majorEastAsia"/>
          <w:color w:val="000000" w:themeColor="text1"/>
          <w:kern w:val="0"/>
          <w:sz w:val="24"/>
          <w:u w:val="single"/>
        </w:rPr>
        <w:t>　            　　</w:t>
      </w:r>
    </w:p>
    <w:p>
      <w:pPr>
        <w:rPr>
          <w:rFonts w:cs="仿宋" w:asciiTheme="majorEastAsia" w:hAnsiTheme="majorEastAsia" w:eastAsiaTheme="majorEastAsia"/>
          <w:color w:val="000000" w:themeColor="text1"/>
          <w:kern w:val="0"/>
          <w:sz w:val="24"/>
          <w:u w:val="single"/>
        </w:rPr>
      </w:pPr>
      <w:r>
        <w:rPr>
          <w:rFonts w:hint="eastAsia" w:cs="仿宋" w:asciiTheme="majorEastAsia" w:hAnsiTheme="majorEastAsia" w:eastAsiaTheme="majorEastAsia"/>
          <w:color w:val="000000" w:themeColor="text1"/>
          <w:kern w:val="0"/>
          <w:sz w:val="24"/>
        </w:rPr>
        <w:t>项目编号：</w:t>
      </w:r>
      <w:r>
        <w:rPr>
          <w:rFonts w:hint="eastAsia" w:cs="仿宋" w:asciiTheme="majorEastAsia" w:hAnsiTheme="majorEastAsia" w:eastAsiaTheme="majorEastAsia"/>
          <w:color w:val="000000" w:themeColor="text1"/>
          <w:kern w:val="0"/>
          <w:sz w:val="24"/>
          <w:u w:val="single"/>
        </w:rPr>
        <w:t>　            　　</w:t>
      </w:r>
    </w:p>
    <w:tbl>
      <w:tblPr>
        <w:tblStyle w:val="4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650"/>
        <w:gridCol w:w="960"/>
        <w:gridCol w:w="1129"/>
        <w:gridCol w:w="1265"/>
        <w:gridCol w:w="991"/>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68"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序号</w:t>
            </w:r>
          </w:p>
        </w:tc>
        <w:tc>
          <w:tcPr>
            <w:tcW w:w="1864"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名 称</w:t>
            </w:r>
          </w:p>
        </w:tc>
        <w:tc>
          <w:tcPr>
            <w:tcW w:w="1650"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规格及型号</w:t>
            </w:r>
          </w:p>
        </w:tc>
        <w:tc>
          <w:tcPr>
            <w:tcW w:w="960"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单 位</w:t>
            </w:r>
          </w:p>
        </w:tc>
        <w:tc>
          <w:tcPr>
            <w:tcW w:w="1129"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数 量</w:t>
            </w:r>
          </w:p>
        </w:tc>
        <w:tc>
          <w:tcPr>
            <w:tcW w:w="1265"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综合单价</w:t>
            </w:r>
          </w:p>
        </w:tc>
        <w:tc>
          <w:tcPr>
            <w:tcW w:w="991"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总 价</w:t>
            </w:r>
          </w:p>
        </w:tc>
        <w:tc>
          <w:tcPr>
            <w:tcW w:w="1127"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品牌、厂家或产地</w:t>
            </w:r>
          </w:p>
          <w:p>
            <w:pPr>
              <w:spacing w:line="440" w:lineRule="exact"/>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rPr>
                <w:rFonts w:asciiTheme="majorEastAsia" w:hAnsiTheme="majorEastAsia" w:eastAsiaTheme="majorEastAsia"/>
                <w:color w:val="000000" w:themeColor="text1"/>
                <w:sz w:val="24"/>
              </w:rPr>
            </w:pPr>
          </w:p>
        </w:tc>
        <w:tc>
          <w:tcPr>
            <w:tcW w:w="1864" w:type="dxa"/>
            <w:vAlign w:val="center"/>
          </w:tcPr>
          <w:p>
            <w:pPr>
              <w:spacing w:line="440" w:lineRule="exact"/>
              <w:rPr>
                <w:rFonts w:asciiTheme="majorEastAsia" w:hAnsiTheme="majorEastAsia" w:eastAsiaTheme="majorEastAsia"/>
                <w:color w:val="000000" w:themeColor="text1"/>
                <w:sz w:val="24"/>
              </w:rPr>
            </w:pPr>
          </w:p>
        </w:tc>
        <w:tc>
          <w:tcPr>
            <w:tcW w:w="1650" w:type="dxa"/>
            <w:vAlign w:val="center"/>
          </w:tcPr>
          <w:p>
            <w:pPr>
              <w:spacing w:line="440" w:lineRule="exact"/>
              <w:rPr>
                <w:rFonts w:asciiTheme="majorEastAsia" w:hAnsiTheme="majorEastAsia" w:eastAsiaTheme="majorEastAsia"/>
                <w:color w:val="000000" w:themeColor="text1"/>
                <w:sz w:val="24"/>
              </w:rPr>
            </w:pPr>
          </w:p>
        </w:tc>
        <w:tc>
          <w:tcPr>
            <w:tcW w:w="960" w:type="dxa"/>
            <w:vAlign w:val="center"/>
          </w:tcPr>
          <w:p>
            <w:pPr>
              <w:spacing w:line="440" w:lineRule="exact"/>
              <w:rPr>
                <w:rFonts w:asciiTheme="majorEastAsia" w:hAnsiTheme="majorEastAsia" w:eastAsiaTheme="majorEastAsia"/>
                <w:color w:val="000000" w:themeColor="text1"/>
                <w:sz w:val="24"/>
              </w:rPr>
            </w:pPr>
          </w:p>
        </w:tc>
        <w:tc>
          <w:tcPr>
            <w:tcW w:w="1129" w:type="dxa"/>
            <w:vAlign w:val="center"/>
          </w:tcPr>
          <w:p>
            <w:pPr>
              <w:spacing w:line="440" w:lineRule="exact"/>
              <w:rPr>
                <w:rFonts w:asciiTheme="majorEastAsia" w:hAnsiTheme="majorEastAsia" w:eastAsiaTheme="majorEastAsia"/>
                <w:color w:val="000000" w:themeColor="text1"/>
                <w:sz w:val="24"/>
              </w:rPr>
            </w:pPr>
          </w:p>
        </w:tc>
        <w:tc>
          <w:tcPr>
            <w:tcW w:w="1265" w:type="dxa"/>
            <w:vAlign w:val="center"/>
          </w:tcPr>
          <w:p>
            <w:pPr>
              <w:spacing w:line="440" w:lineRule="exact"/>
              <w:rPr>
                <w:rFonts w:asciiTheme="majorEastAsia" w:hAnsiTheme="majorEastAsia" w:eastAsiaTheme="majorEastAsia"/>
                <w:color w:val="000000" w:themeColor="text1"/>
                <w:sz w:val="24"/>
              </w:rPr>
            </w:pPr>
          </w:p>
        </w:tc>
        <w:tc>
          <w:tcPr>
            <w:tcW w:w="991" w:type="dxa"/>
            <w:vAlign w:val="center"/>
          </w:tcPr>
          <w:p>
            <w:pPr>
              <w:spacing w:line="440" w:lineRule="exact"/>
              <w:rPr>
                <w:rFonts w:asciiTheme="majorEastAsia" w:hAnsiTheme="majorEastAsia" w:eastAsiaTheme="majorEastAsia"/>
                <w:color w:val="000000" w:themeColor="text1"/>
                <w:sz w:val="24"/>
              </w:rPr>
            </w:pPr>
          </w:p>
        </w:tc>
        <w:tc>
          <w:tcPr>
            <w:tcW w:w="1127" w:type="dxa"/>
            <w:vAlign w:val="center"/>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rPr>
                <w:rFonts w:asciiTheme="majorEastAsia" w:hAnsiTheme="majorEastAsia" w:eastAsiaTheme="majorEastAsia"/>
                <w:color w:val="000000" w:themeColor="text1"/>
                <w:sz w:val="24"/>
              </w:rPr>
            </w:pPr>
          </w:p>
        </w:tc>
        <w:tc>
          <w:tcPr>
            <w:tcW w:w="1864" w:type="dxa"/>
            <w:vAlign w:val="center"/>
          </w:tcPr>
          <w:p>
            <w:pPr>
              <w:spacing w:line="440" w:lineRule="exact"/>
              <w:rPr>
                <w:rFonts w:asciiTheme="majorEastAsia" w:hAnsiTheme="majorEastAsia" w:eastAsiaTheme="majorEastAsia"/>
                <w:color w:val="000000" w:themeColor="text1"/>
                <w:sz w:val="24"/>
              </w:rPr>
            </w:pPr>
          </w:p>
        </w:tc>
        <w:tc>
          <w:tcPr>
            <w:tcW w:w="1650" w:type="dxa"/>
            <w:vAlign w:val="center"/>
          </w:tcPr>
          <w:p>
            <w:pPr>
              <w:spacing w:line="440" w:lineRule="exact"/>
              <w:rPr>
                <w:rFonts w:asciiTheme="majorEastAsia" w:hAnsiTheme="majorEastAsia" w:eastAsiaTheme="majorEastAsia"/>
                <w:color w:val="000000" w:themeColor="text1"/>
                <w:sz w:val="24"/>
              </w:rPr>
            </w:pPr>
          </w:p>
        </w:tc>
        <w:tc>
          <w:tcPr>
            <w:tcW w:w="960" w:type="dxa"/>
            <w:vAlign w:val="center"/>
          </w:tcPr>
          <w:p>
            <w:pPr>
              <w:spacing w:line="440" w:lineRule="exact"/>
              <w:rPr>
                <w:rFonts w:asciiTheme="majorEastAsia" w:hAnsiTheme="majorEastAsia" w:eastAsiaTheme="majorEastAsia"/>
                <w:color w:val="000000" w:themeColor="text1"/>
                <w:sz w:val="24"/>
              </w:rPr>
            </w:pPr>
          </w:p>
        </w:tc>
        <w:tc>
          <w:tcPr>
            <w:tcW w:w="1129" w:type="dxa"/>
            <w:vAlign w:val="center"/>
          </w:tcPr>
          <w:p>
            <w:pPr>
              <w:spacing w:line="440" w:lineRule="exact"/>
              <w:rPr>
                <w:rFonts w:asciiTheme="majorEastAsia" w:hAnsiTheme="majorEastAsia" w:eastAsiaTheme="majorEastAsia"/>
                <w:color w:val="000000" w:themeColor="text1"/>
                <w:sz w:val="24"/>
              </w:rPr>
            </w:pPr>
          </w:p>
        </w:tc>
        <w:tc>
          <w:tcPr>
            <w:tcW w:w="1265" w:type="dxa"/>
            <w:vAlign w:val="center"/>
          </w:tcPr>
          <w:p>
            <w:pPr>
              <w:spacing w:line="440" w:lineRule="exact"/>
              <w:rPr>
                <w:rFonts w:asciiTheme="majorEastAsia" w:hAnsiTheme="majorEastAsia" w:eastAsiaTheme="majorEastAsia"/>
                <w:color w:val="000000" w:themeColor="text1"/>
                <w:sz w:val="24"/>
              </w:rPr>
            </w:pPr>
          </w:p>
        </w:tc>
        <w:tc>
          <w:tcPr>
            <w:tcW w:w="991" w:type="dxa"/>
            <w:vAlign w:val="center"/>
          </w:tcPr>
          <w:p>
            <w:pPr>
              <w:spacing w:line="440" w:lineRule="exact"/>
              <w:rPr>
                <w:rFonts w:asciiTheme="majorEastAsia" w:hAnsiTheme="majorEastAsia" w:eastAsiaTheme="majorEastAsia"/>
                <w:color w:val="000000" w:themeColor="text1"/>
                <w:sz w:val="24"/>
              </w:rPr>
            </w:pPr>
          </w:p>
        </w:tc>
        <w:tc>
          <w:tcPr>
            <w:tcW w:w="1127" w:type="dxa"/>
            <w:vAlign w:val="center"/>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rPr>
                <w:rFonts w:asciiTheme="majorEastAsia" w:hAnsiTheme="majorEastAsia" w:eastAsiaTheme="majorEastAsia"/>
                <w:color w:val="000000" w:themeColor="text1"/>
                <w:sz w:val="24"/>
              </w:rPr>
            </w:pPr>
          </w:p>
        </w:tc>
        <w:tc>
          <w:tcPr>
            <w:tcW w:w="1864" w:type="dxa"/>
            <w:vAlign w:val="center"/>
          </w:tcPr>
          <w:p>
            <w:pPr>
              <w:spacing w:line="440" w:lineRule="exact"/>
              <w:rPr>
                <w:rFonts w:asciiTheme="majorEastAsia" w:hAnsiTheme="majorEastAsia" w:eastAsiaTheme="majorEastAsia"/>
                <w:color w:val="000000" w:themeColor="text1"/>
                <w:sz w:val="24"/>
              </w:rPr>
            </w:pPr>
          </w:p>
        </w:tc>
        <w:tc>
          <w:tcPr>
            <w:tcW w:w="1650" w:type="dxa"/>
            <w:vAlign w:val="center"/>
          </w:tcPr>
          <w:p>
            <w:pPr>
              <w:spacing w:line="440" w:lineRule="exact"/>
              <w:rPr>
                <w:rFonts w:asciiTheme="majorEastAsia" w:hAnsiTheme="majorEastAsia" w:eastAsiaTheme="majorEastAsia"/>
                <w:color w:val="000000" w:themeColor="text1"/>
                <w:sz w:val="24"/>
              </w:rPr>
            </w:pPr>
          </w:p>
        </w:tc>
        <w:tc>
          <w:tcPr>
            <w:tcW w:w="960" w:type="dxa"/>
            <w:vAlign w:val="center"/>
          </w:tcPr>
          <w:p>
            <w:pPr>
              <w:spacing w:line="440" w:lineRule="exact"/>
              <w:rPr>
                <w:rFonts w:asciiTheme="majorEastAsia" w:hAnsiTheme="majorEastAsia" w:eastAsiaTheme="majorEastAsia"/>
                <w:color w:val="000000" w:themeColor="text1"/>
                <w:sz w:val="24"/>
              </w:rPr>
            </w:pPr>
          </w:p>
        </w:tc>
        <w:tc>
          <w:tcPr>
            <w:tcW w:w="1129" w:type="dxa"/>
            <w:vAlign w:val="center"/>
          </w:tcPr>
          <w:p>
            <w:pPr>
              <w:spacing w:line="440" w:lineRule="exact"/>
              <w:rPr>
                <w:rFonts w:asciiTheme="majorEastAsia" w:hAnsiTheme="majorEastAsia" w:eastAsiaTheme="majorEastAsia"/>
                <w:color w:val="000000" w:themeColor="text1"/>
                <w:sz w:val="24"/>
              </w:rPr>
            </w:pPr>
          </w:p>
        </w:tc>
        <w:tc>
          <w:tcPr>
            <w:tcW w:w="1265" w:type="dxa"/>
            <w:vAlign w:val="center"/>
          </w:tcPr>
          <w:p>
            <w:pPr>
              <w:spacing w:line="440" w:lineRule="exact"/>
              <w:rPr>
                <w:rFonts w:asciiTheme="majorEastAsia" w:hAnsiTheme="majorEastAsia" w:eastAsiaTheme="majorEastAsia"/>
                <w:color w:val="000000" w:themeColor="text1"/>
                <w:sz w:val="24"/>
              </w:rPr>
            </w:pPr>
          </w:p>
        </w:tc>
        <w:tc>
          <w:tcPr>
            <w:tcW w:w="991" w:type="dxa"/>
            <w:vAlign w:val="center"/>
          </w:tcPr>
          <w:p>
            <w:pPr>
              <w:spacing w:line="440" w:lineRule="exact"/>
              <w:rPr>
                <w:rFonts w:asciiTheme="majorEastAsia" w:hAnsiTheme="majorEastAsia" w:eastAsiaTheme="majorEastAsia"/>
                <w:color w:val="000000" w:themeColor="text1"/>
                <w:sz w:val="24"/>
              </w:rPr>
            </w:pPr>
          </w:p>
        </w:tc>
        <w:tc>
          <w:tcPr>
            <w:tcW w:w="1127" w:type="dxa"/>
            <w:vAlign w:val="center"/>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rPr>
                <w:rFonts w:asciiTheme="majorEastAsia" w:hAnsiTheme="majorEastAsia" w:eastAsiaTheme="majorEastAsia"/>
                <w:color w:val="000000" w:themeColor="text1"/>
                <w:sz w:val="24"/>
              </w:rPr>
            </w:pPr>
          </w:p>
        </w:tc>
        <w:tc>
          <w:tcPr>
            <w:tcW w:w="1864" w:type="dxa"/>
            <w:vAlign w:val="center"/>
          </w:tcPr>
          <w:p>
            <w:pPr>
              <w:spacing w:line="440" w:lineRule="exact"/>
              <w:rPr>
                <w:rFonts w:asciiTheme="majorEastAsia" w:hAnsiTheme="majorEastAsia" w:eastAsiaTheme="majorEastAsia"/>
                <w:color w:val="000000" w:themeColor="text1"/>
                <w:sz w:val="24"/>
              </w:rPr>
            </w:pPr>
          </w:p>
        </w:tc>
        <w:tc>
          <w:tcPr>
            <w:tcW w:w="1650" w:type="dxa"/>
            <w:vAlign w:val="center"/>
          </w:tcPr>
          <w:p>
            <w:pPr>
              <w:spacing w:line="440" w:lineRule="exact"/>
              <w:rPr>
                <w:rFonts w:asciiTheme="majorEastAsia" w:hAnsiTheme="majorEastAsia" w:eastAsiaTheme="majorEastAsia"/>
                <w:color w:val="000000" w:themeColor="text1"/>
                <w:sz w:val="24"/>
              </w:rPr>
            </w:pPr>
          </w:p>
        </w:tc>
        <w:tc>
          <w:tcPr>
            <w:tcW w:w="960" w:type="dxa"/>
            <w:vAlign w:val="center"/>
          </w:tcPr>
          <w:p>
            <w:pPr>
              <w:spacing w:line="440" w:lineRule="exact"/>
              <w:rPr>
                <w:rFonts w:asciiTheme="majorEastAsia" w:hAnsiTheme="majorEastAsia" w:eastAsiaTheme="majorEastAsia"/>
                <w:color w:val="000000" w:themeColor="text1"/>
                <w:sz w:val="24"/>
              </w:rPr>
            </w:pPr>
          </w:p>
        </w:tc>
        <w:tc>
          <w:tcPr>
            <w:tcW w:w="1129" w:type="dxa"/>
            <w:vAlign w:val="center"/>
          </w:tcPr>
          <w:p>
            <w:pPr>
              <w:spacing w:line="440" w:lineRule="exact"/>
              <w:rPr>
                <w:rFonts w:asciiTheme="majorEastAsia" w:hAnsiTheme="majorEastAsia" w:eastAsiaTheme="majorEastAsia"/>
                <w:color w:val="000000" w:themeColor="text1"/>
                <w:sz w:val="24"/>
              </w:rPr>
            </w:pPr>
          </w:p>
        </w:tc>
        <w:tc>
          <w:tcPr>
            <w:tcW w:w="1265" w:type="dxa"/>
            <w:vAlign w:val="center"/>
          </w:tcPr>
          <w:p>
            <w:pPr>
              <w:spacing w:line="440" w:lineRule="exact"/>
              <w:rPr>
                <w:rFonts w:asciiTheme="majorEastAsia" w:hAnsiTheme="majorEastAsia" w:eastAsiaTheme="majorEastAsia"/>
                <w:color w:val="000000" w:themeColor="text1"/>
                <w:sz w:val="24"/>
              </w:rPr>
            </w:pPr>
          </w:p>
        </w:tc>
        <w:tc>
          <w:tcPr>
            <w:tcW w:w="991" w:type="dxa"/>
            <w:vAlign w:val="center"/>
          </w:tcPr>
          <w:p>
            <w:pPr>
              <w:spacing w:line="440" w:lineRule="exact"/>
              <w:rPr>
                <w:rFonts w:asciiTheme="majorEastAsia" w:hAnsiTheme="majorEastAsia" w:eastAsiaTheme="majorEastAsia"/>
                <w:color w:val="000000" w:themeColor="text1"/>
                <w:sz w:val="24"/>
              </w:rPr>
            </w:pPr>
          </w:p>
        </w:tc>
        <w:tc>
          <w:tcPr>
            <w:tcW w:w="1127" w:type="dxa"/>
            <w:vAlign w:val="center"/>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rPr>
                <w:rFonts w:asciiTheme="majorEastAsia" w:hAnsiTheme="majorEastAsia" w:eastAsiaTheme="majorEastAsia"/>
                <w:color w:val="000000" w:themeColor="text1"/>
                <w:sz w:val="24"/>
              </w:rPr>
            </w:pPr>
          </w:p>
        </w:tc>
        <w:tc>
          <w:tcPr>
            <w:tcW w:w="1864" w:type="dxa"/>
            <w:vAlign w:val="center"/>
          </w:tcPr>
          <w:p>
            <w:pPr>
              <w:spacing w:line="440" w:lineRule="exact"/>
              <w:rPr>
                <w:rFonts w:asciiTheme="majorEastAsia" w:hAnsiTheme="majorEastAsia" w:eastAsiaTheme="majorEastAsia"/>
                <w:color w:val="000000" w:themeColor="text1"/>
                <w:sz w:val="24"/>
              </w:rPr>
            </w:pPr>
          </w:p>
        </w:tc>
        <w:tc>
          <w:tcPr>
            <w:tcW w:w="1650" w:type="dxa"/>
            <w:vAlign w:val="center"/>
          </w:tcPr>
          <w:p>
            <w:pPr>
              <w:spacing w:line="440" w:lineRule="exact"/>
              <w:rPr>
                <w:rFonts w:asciiTheme="majorEastAsia" w:hAnsiTheme="majorEastAsia" w:eastAsiaTheme="majorEastAsia"/>
                <w:color w:val="000000" w:themeColor="text1"/>
                <w:sz w:val="24"/>
              </w:rPr>
            </w:pPr>
          </w:p>
        </w:tc>
        <w:tc>
          <w:tcPr>
            <w:tcW w:w="960" w:type="dxa"/>
            <w:vAlign w:val="center"/>
          </w:tcPr>
          <w:p>
            <w:pPr>
              <w:spacing w:line="440" w:lineRule="exact"/>
              <w:rPr>
                <w:rFonts w:asciiTheme="majorEastAsia" w:hAnsiTheme="majorEastAsia" w:eastAsiaTheme="majorEastAsia"/>
                <w:color w:val="000000" w:themeColor="text1"/>
                <w:sz w:val="24"/>
              </w:rPr>
            </w:pPr>
          </w:p>
        </w:tc>
        <w:tc>
          <w:tcPr>
            <w:tcW w:w="1129" w:type="dxa"/>
            <w:vAlign w:val="center"/>
          </w:tcPr>
          <w:p>
            <w:pPr>
              <w:spacing w:line="440" w:lineRule="exact"/>
              <w:rPr>
                <w:rFonts w:asciiTheme="majorEastAsia" w:hAnsiTheme="majorEastAsia" w:eastAsiaTheme="majorEastAsia"/>
                <w:color w:val="000000" w:themeColor="text1"/>
                <w:sz w:val="24"/>
              </w:rPr>
            </w:pPr>
          </w:p>
        </w:tc>
        <w:tc>
          <w:tcPr>
            <w:tcW w:w="1265" w:type="dxa"/>
            <w:vAlign w:val="center"/>
          </w:tcPr>
          <w:p>
            <w:pPr>
              <w:spacing w:line="440" w:lineRule="exact"/>
              <w:rPr>
                <w:rFonts w:asciiTheme="majorEastAsia" w:hAnsiTheme="majorEastAsia" w:eastAsiaTheme="majorEastAsia"/>
                <w:color w:val="000000" w:themeColor="text1"/>
                <w:sz w:val="24"/>
              </w:rPr>
            </w:pPr>
          </w:p>
        </w:tc>
        <w:tc>
          <w:tcPr>
            <w:tcW w:w="991" w:type="dxa"/>
            <w:vAlign w:val="center"/>
          </w:tcPr>
          <w:p>
            <w:pPr>
              <w:spacing w:line="440" w:lineRule="exact"/>
              <w:rPr>
                <w:rFonts w:asciiTheme="majorEastAsia" w:hAnsiTheme="majorEastAsia" w:eastAsiaTheme="majorEastAsia"/>
                <w:color w:val="000000" w:themeColor="text1"/>
                <w:sz w:val="24"/>
              </w:rPr>
            </w:pPr>
          </w:p>
        </w:tc>
        <w:tc>
          <w:tcPr>
            <w:tcW w:w="1127" w:type="dxa"/>
            <w:vAlign w:val="center"/>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vAlign w:val="center"/>
          </w:tcPr>
          <w:p>
            <w:pPr>
              <w:spacing w:line="440" w:lineRule="exact"/>
              <w:rPr>
                <w:rFonts w:asciiTheme="majorEastAsia" w:hAnsiTheme="majorEastAsia" w:eastAsiaTheme="majorEastAsia"/>
                <w:color w:val="000000" w:themeColor="text1"/>
                <w:sz w:val="24"/>
              </w:rPr>
            </w:pPr>
          </w:p>
        </w:tc>
        <w:tc>
          <w:tcPr>
            <w:tcW w:w="1864" w:type="dxa"/>
            <w:vAlign w:val="center"/>
          </w:tcPr>
          <w:p>
            <w:pPr>
              <w:spacing w:line="440" w:lineRule="exact"/>
              <w:rPr>
                <w:rFonts w:asciiTheme="majorEastAsia" w:hAnsiTheme="majorEastAsia" w:eastAsiaTheme="majorEastAsia"/>
                <w:color w:val="000000" w:themeColor="text1"/>
                <w:sz w:val="24"/>
              </w:rPr>
            </w:pPr>
          </w:p>
        </w:tc>
        <w:tc>
          <w:tcPr>
            <w:tcW w:w="1650" w:type="dxa"/>
            <w:vAlign w:val="center"/>
          </w:tcPr>
          <w:p>
            <w:pPr>
              <w:spacing w:line="440" w:lineRule="exact"/>
              <w:rPr>
                <w:rFonts w:asciiTheme="majorEastAsia" w:hAnsiTheme="majorEastAsia" w:eastAsiaTheme="majorEastAsia"/>
                <w:color w:val="000000" w:themeColor="text1"/>
                <w:sz w:val="24"/>
              </w:rPr>
            </w:pPr>
          </w:p>
        </w:tc>
        <w:tc>
          <w:tcPr>
            <w:tcW w:w="960" w:type="dxa"/>
            <w:vAlign w:val="center"/>
          </w:tcPr>
          <w:p>
            <w:pPr>
              <w:spacing w:line="440" w:lineRule="exact"/>
              <w:rPr>
                <w:rFonts w:asciiTheme="majorEastAsia" w:hAnsiTheme="majorEastAsia" w:eastAsiaTheme="majorEastAsia"/>
                <w:color w:val="000000" w:themeColor="text1"/>
                <w:sz w:val="24"/>
              </w:rPr>
            </w:pPr>
          </w:p>
        </w:tc>
        <w:tc>
          <w:tcPr>
            <w:tcW w:w="1129" w:type="dxa"/>
            <w:vAlign w:val="center"/>
          </w:tcPr>
          <w:p>
            <w:pPr>
              <w:spacing w:line="440" w:lineRule="exact"/>
              <w:rPr>
                <w:rFonts w:asciiTheme="majorEastAsia" w:hAnsiTheme="majorEastAsia" w:eastAsiaTheme="majorEastAsia"/>
                <w:color w:val="000000" w:themeColor="text1"/>
                <w:sz w:val="24"/>
              </w:rPr>
            </w:pPr>
          </w:p>
        </w:tc>
        <w:tc>
          <w:tcPr>
            <w:tcW w:w="1265" w:type="dxa"/>
            <w:vAlign w:val="center"/>
          </w:tcPr>
          <w:p>
            <w:pPr>
              <w:spacing w:line="440" w:lineRule="exact"/>
              <w:rPr>
                <w:rFonts w:asciiTheme="majorEastAsia" w:hAnsiTheme="majorEastAsia" w:eastAsiaTheme="majorEastAsia"/>
                <w:color w:val="000000" w:themeColor="text1"/>
                <w:sz w:val="24"/>
              </w:rPr>
            </w:pPr>
          </w:p>
        </w:tc>
        <w:tc>
          <w:tcPr>
            <w:tcW w:w="991" w:type="dxa"/>
            <w:vAlign w:val="center"/>
          </w:tcPr>
          <w:p>
            <w:pPr>
              <w:spacing w:line="440" w:lineRule="exact"/>
              <w:rPr>
                <w:rFonts w:asciiTheme="majorEastAsia" w:hAnsiTheme="majorEastAsia" w:eastAsiaTheme="majorEastAsia"/>
                <w:color w:val="000000" w:themeColor="text1"/>
                <w:sz w:val="24"/>
              </w:rPr>
            </w:pPr>
          </w:p>
        </w:tc>
        <w:tc>
          <w:tcPr>
            <w:tcW w:w="1127" w:type="dxa"/>
            <w:vAlign w:val="center"/>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vAlign w:val="center"/>
          </w:tcPr>
          <w:p>
            <w:pPr>
              <w:spacing w:line="440" w:lineRule="exact"/>
              <w:rPr>
                <w:rFonts w:asciiTheme="majorEastAsia" w:hAnsiTheme="majorEastAsia" w:eastAsiaTheme="majorEastAsia"/>
                <w:color w:val="000000" w:themeColor="text1"/>
                <w:sz w:val="24"/>
              </w:rPr>
            </w:pPr>
          </w:p>
        </w:tc>
        <w:tc>
          <w:tcPr>
            <w:tcW w:w="1864" w:type="dxa"/>
            <w:vAlign w:val="center"/>
          </w:tcPr>
          <w:p>
            <w:pPr>
              <w:spacing w:line="440" w:lineRule="exact"/>
              <w:rPr>
                <w:rFonts w:asciiTheme="majorEastAsia" w:hAnsiTheme="majorEastAsia" w:eastAsiaTheme="majorEastAsia"/>
                <w:color w:val="000000" w:themeColor="text1"/>
                <w:sz w:val="24"/>
              </w:rPr>
            </w:pPr>
          </w:p>
        </w:tc>
        <w:tc>
          <w:tcPr>
            <w:tcW w:w="1650" w:type="dxa"/>
            <w:vAlign w:val="center"/>
          </w:tcPr>
          <w:p>
            <w:pPr>
              <w:spacing w:line="440" w:lineRule="exact"/>
              <w:rPr>
                <w:rFonts w:asciiTheme="majorEastAsia" w:hAnsiTheme="majorEastAsia" w:eastAsiaTheme="majorEastAsia"/>
                <w:color w:val="000000" w:themeColor="text1"/>
                <w:sz w:val="24"/>
              </w:rPr>
            </w:pPr>
          </w:p>
        </w:tc>
        <w:tc>
          <w:tcPr>
            <w:tcW w:w="960" w:type="dxa"/>
            <w:vAlign w:val="center"/>
          </w:tcPr>
          <w:p>
            <w:pPr>
              <w:spacing w:line="440" w:lineRule="exact"/>
              <w:rPr>
                <w:rFonts w:asciiTheme="majorEastAsia" w:hAnsiTheme="majorEastAsia" w:eastAsiaTheme="majorEastAsia"/>
                <w:color w:val="000000" w:themeColor="text1"/>
                <w:sz w:val="24"/>
              </w:rPr>
            </w:pPr>
          </w:p>
        </w:tc>
        <w:tc>
          <w:tcPr>
            <w:tcW w:w="1129" w:type="dxa"/>
            <w:vAlign w:val="center"/>
          </w:tcPr>
          <w:p>
            <w:pPr>
              <w:spacing w:line="440" w:lineRule="exact"/>
              <w:rPr>
                <w:rFonts w:asciiTheme="majorEastAsia" w:hAnsiTheme="majorEastAsia" w:eastAsiaTheme="majorEastAsia"/>
                <w:color w:val="000000" w:themeColor="text1"/>
                <w:sz w:val="24"/>
              </w:rPr>
            </w:pPr>
          </w:p>
        </w:tc>
        <w:tc>
          <w:tcPr>
            <w:tcW w:w="1265" w:type="dxa"/>
            <w:vAlign w:val="center"/>
          </w:tcPr>
          <w:p>
            <w:pPr>
              <w:spacing w:line="440" w:lineRule="exact"/>
              <w:rPr>
                <w:rFonts w:asciiTheme="majorEastAsia" w:hAnsiTheme="majorEastAsia" w:eastAsiaTheme="majorEastAsia"/>
                <w:color w:val="000000" w:themeColor="text1"/>
                <w:sz w:val="24"/>
              </w:rPr>
            </w:pPr>
          </w:p>
        </w:tc>
        <w:tc>
          <w:tcPr>
            <w:tcW w:w="991" w:type="dxa"/>
            <w:vAlign w:val="center"/>
          </w:tcPr>
          <w:p>
            <w:pPr>
              <w:spacing w:line="440" w:lineRule="exact"/>
              <w:rPr>
                <w:rFonts w:asciiTheme="majorEastAsia" w:hAnsiTheme="majorEastAsia" w:eastAsiaTheme="majorEastAsia"/>
                <w:color w:val="000000" w:themeColor="text1"/>
                <w:sz w:val="24"/>
              </w:rPr>
            </w:pPr>
          </w:p>
        </w:tc>
        <w:tc>
          <w:tcPr>
            <w:tcW w:w="1127" w:type="dxa"/>
            <w:vAlign w:val="center"/>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vAlign w:val="center"/>
          </w:tcPr>
          <w:p>
            <w:pPr>
              <w:spacing w:line="440" w:lineRule="exact"/>
              <w:rPr>
                <w:rFonts w:asciiTheme="majorEastAsia" w:hAnsiTheme="majorEastAsia" w:eastAsiaTheme="majorEastAsia"/>
                <w:color w:val="000000" w:themeColor="text1"/>
                <w:sz w:val="24"/>
              </w:rPr>
            </w:pPr>
          </w:p>
        </w:tc>
        <w:tc>
          <w:tcPr>
            <w:tcW w:w="1864" w:type="dxa"/>
            <w:vAlign w:val="center"/>
          </w:tcPr>
          <w:p>
            <w:pPr>
              <w:spacing w:line="440" w:lineRule="exact"/>
              <w:rPr>
                <w:rFonts w:asciiTheme="majorEastAsia" w:hAnsiTheme="majorEastAsia" w:eastAsiaTheme="majorEastAsia"/>
                <w:color w:val="000000" w:themeColor="text1"/>
                <w:sz w:val="24"/>
              </w:rPr>
            </w:pPr>
          </w:p>
        </w:tc>
        <w:tc>
          <w:tcPr>
            <w:tcW w:w="1650" w:type="dxa"/>
            <w:vAlign w:val="center"/>
          </w:tcPr>
          <w:p>
            <w:pPr>
              <w:spacing w:line="440" w:lineRule="exact"/>
              <w:rPr>
                <w:rFonts w:asciiTheme="majorEastAsia" w:hAnsiTheme="majorEastAsia" w:eastAsiaTheme="majorEastAsia"/>
                <w:color w:val="000000" w:themeColor="text1"/>
                <w:sz w:val="24"/>
              </w:rPr>
            </w:pPr>
          </w:p>
        </w:tc>
        <w:tc>
          <w:tcPr>
            <w:tcW w:w="960" w:type="dxa"/>
            <w:vAlign w:val="center"/>
          </w:tcPr>
          <w:p>
            <w:pPr>
              <w:spacing w:line="440" w:lineRule="exact"/>
              <w:rPr>
                <w:rFonts w:asciiTheme="majorEastAsia" w:hAnsiTheme="majorEastAsia" w:eastAsiaTheme="majorEastAsia"/>
                <w:color w:val="000000" w:themeColor="text1"/>
                <w:sz w:val="24"/>
              </w:rPr>
            </w:pPr>
          </w:p>
        </w:tc>
        <w:tc>
          <w:tcPr>
            <w:tcW w:w="1129" w:type="dxa"/>
            <w:vAlign w:val="center"/>
          </w:tcPr>
          <w:p>
            <w:pPr>
              <w:spacing w:line="440" w:lineRule="exact"/>
              <w:rPr>
                <w:rFonts w:asciiTheme="majorEastAsia" w:hAnsiTheme="majorEastAsia" w:eastAsiaTheme="majorEastAsia"/>
                <w:color w:val="000000" w:themeColor="text1"/>
                <w:sz w:val="24"/>
              </w:rPr>
            </w:pPr>
          </w:p>
        </w:tc>
        <w:tc>
          <w:tcPr>
            <w:tcW w:w="1265" w:type="dxa"/>
            <w:vAlign w:val="center"/>
          </w:tcPr>
          <w:p>
            <w:pPr>
              <w:spacing w:line="440" w:lineRule="exact"/>
              <w:rPr>
                <w:rFonts w:asciiTheme="majorEastAsia" w:hAnsiTheme="majorEastAsia" w:eastAsiaTheme="majorEastAsia"/>
                <w:color w:val="000000" w:themeColor="text1"/>
                <w:sz w:val="24"/>
              </w:rPr>
            </w:pPr>
          </w:p>
        </w:tc>
        <w:tc>
          <w:tcPr>
            <w:tcW w:w="991" w:type="dxa"/>
            <w:vAlign w:val="center"/>
          </w:tcPr>
          <w:p>
            <w:pPr>
              <w:spacing w:line="440" w:lineRule="exact"/>
              <w:rPr>
                <w:rFonts w:asciiTheme="majorEastAsia" w:hAnsiTheme="majorEastAsia" w:eastAsiaTheme="majorEastAsia"/>
                <w:color w:val="000000" w:themeColor="text1"/>
                <w:sz w:val="24"/>
              </w:rPr>
            </w:pPr>
          </w:p>
        </w:tc>
        <w:tc>
          <w:tcPr>
            <w:tcW w:w="1127" w:type="dxa"/>
            <w:vAlign w:val="center"/>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dxa"/>
            <w:vAlign w:val="center"/>
          </w:tcPr>
          <w:p>
            <w:pPr>
              <w:spacing w:line="440" w:lineRule="exact"/>
              <w:rPr>
                <w:rFonts w:asciiTheme="majorEastAsia" w:hAnsiTheme="majorEastAsia" w:eastAsiaTheme="majorEastAsia"/>
                <w:color w:val="000000" w:themeColor="text1"/>
                <w:sz w:val="24"/>
              </w:rPr>
            </w:pPr>
          </w:p>
        </w:tc>
        <w:tc>
          <w:tcPr>
            <w:tcW w:w="1864" w:type="dxa"/>
            <w:vAlign w:val="center"/>
          </w:tcPr>
          <w:p>
            <w:pPr>
              <w:spacing w:line="440" w:lineRule="exact"/>
              <w:rPr>
                <w:rFonts w:asciiTheme="majorEastAsia" w:hAnsiTheme="majorEastAsia" w:eastAsiaTheme="majorEastAsia"/>
                <w:color w:val="000000" w:themeColor="text1"/>
                <w:sz w:val="24"/>
              </w:rPr>
            </w:pPr>
          </w:p>
        </w:tc>
        <w:tc>
          <w:tcPr>
            <w:tcW w:w="1650" w:type="dxa"/>
            <w:vAlign w:val="center"/>
          </w:tcPr>
          <w:p>
            <w:pPr>
              <w:spacing w:line="440" w:lineRule="exact"/>
              <w:rPr>
                <w:rFonts w:asciiTheme="majorEastAsia" w:hAnsiTheme="majorEastAsia" w:eastAsiaTheme="majorEastAsia"/>
                <w:color w:val="000000" w:themeColor="text1"/>
                <w:sz w:val="24"/>
              </w:rPr>
            </w:pPr>
          </w:p>
        </w:tc>
        <w:tc>
          <w:tcPr>
            <w:tcW w:w="960" w:type="dxa"/>
            <w:vAlign w:val="center"/>
          </w:tcPr>
          <w:p>
            <w:pPr>
              <w:spacing w:line="440" w:lineRule="exact"/>
              <w:rPr>
                <w:rFonts w:asciiTheme="majorEastAsia" w:hAnsiTheme="majorEastAsia" w:eastAsiaTheme="majorEastAsia"/>
                <w:color w:val="000000" w:themeColor="text1"/>
                <w:sz w:val="24"/>
              </w:rPr>
            </w:pPr>
          </w:p>
        </w:tc>
        <w:tc>
          <w:tcPr>
            <w:tcW w:w="1129" w:type="dxa"/>
            <w:vAlign w:val="center"/>
          </w:tcPr>
          <w:p>
            <w:pPr>
              <w:spacing w:line="440" w:lineRule="exact"/>
              <w:rPr>
                <w:rFonts w:asciiTheme="majorEastAsia" w:hAnsiTheme="majorEastAsia" w:eastAsiaTheme="majorEastAsia"/>
                <w:color w:val="000000" w:themeColor="text1"/>
                <w:sz w:val="24"/>
              </w:rPr>
            </w:pPr>
          </w:p>
        </w:tc>
        <w:tc>
          <w:tcPr>
            <w:tcW w:w="1265" w:type="dxa"/>
            <w:vAlign w:val="center"/>
          </w:tcPr>
          <w:p>
            <w:pPr>
              <w:spacing w:line="440" w:lineRule="exact"/>
              <w:rPr>
                <w:rFonts w:asciiTheme="majorEastAsia" w:hAnsiTheme="majorEastAsia" w:eastAsiaTheme="majorEastAsia"/>
                <w:color w:val="000000" w:themeColor="text1"/>
                <w:sz w:val="24"/>
              </w:rPr>
            </w:pPr>
          </w:p>
        </w:tc>
        <w:tc>
          <w:tcPr>
            <w:tcW w:w="991" w:type="dxa"/>
            <w:vAlign w:val="center"/>
          </w:tcPr>
          <w:p>
            <w:pPr>
              <w:spacing w:line="440" w:lineRule="exact"/>
              <w:rPr>
                <w:rFonts w:asciiTheme="majorEastAsia" w:hAnsiTheme="majorEastAsia" w:eastAsiaTheme="majorEastAsia"/>
                <w:color w:val="000000" w:themeColor="text1"/>
                <w:sz w:val="24"/>
              </w:rPr>
            </w:pPr>
          </w:p>
        </w:tc>
        <w:tc>
          <w:tcPr>
            <w:tcW w:w="1127" w:type="dxa"/>
            <w:vAlign w:val="center"/>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vAlign w:val="center"/>
          </w:tcPr>
          <w:p>
            <w:pPr>
              <w:spacing w:line="4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合计金额（小写）</w:t>
            </w:r>
          </w:p>
        </w:tc>
        <w:tc>
          <w:tcPr>
            <w:tcW w:w="7122" w:type="dxa"/>
            <w:gridSpan w:val="6"/>
            <w:vAlign w:val="center"/>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2" w:type="dxa"/>
            <w:gridSpan w:val="2"/>
            <w:vAlign w:val="center"/>
          </w:tcPr>
          <w:p>
            <w:pPr>
              <w:spacing w:line="4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合计金额（大写）：</w:t>
            </w:r>
          </w:p>
        </w:tc>
        <w:tc>
          <w:tcPr>
            <w:tcW w:w="7122" w:type="dxa"/>
            <w:gridSpan w:val="6"/>
            <w:vAlign w:val="center"/>
          </w:tcPr>
          <w:p>
            <w:pPr>
              <w:spacing w:line="440" w:lineRule="exact"/>
              <w:rPr>
                <w:rFonts w:asciiTheme="majorEastAsia" w:hAnsiTheme="majorEastAsia" w:eastAsiaTheme="majorEastAsia"/>
                <w:color w:val="000000" w:themeColor="text1"/>
                <w:sz w:val="24"/>
              </w:rPr>
            </w:pPr>
          </w:p>
        </w:tc>
      </w:tr>
    </w:tbl>
    <w:p>
      <w:pPr>
        <w:spacing w:line="440" w:lineRule="exact"/>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注：</w:t>
      </w:r>
      <w:r>
        <w:rPr>
          <w:rFonts w:asciiTheme="majorEastAsia" w:hAnsiTheme="majorEastAsia" w:eastAsiaTheme="majorEastAsia"/>
          <w:bCs/>
          <w:color w:val="000000" w:themeColor="text1"/>
          <w:sz w:val="24"/>
        </w:rPr>
        <w:t>1</w:t>
      </w:r>
      <w:r>
        <w:rPr>
          <w:rFonts w:hint="eastAsia" w:asciiTheme="majorEastAsia" w:hAnsiTheme="majorEastAsia" w:eastAsiaTheme="majorEastAsia"/>
          <w:bCs/>
          <w:color w:val="000000" w:themeColor="text1"/>
          <w:sz w:val="24"/>
        </w:rPr>
        <w:t>、合计金额应为各分项价格之和。</w:t>
      </w:r>
    </w:p>
    <w:p>
      <w:pPr>
        <w:spacing w:line="440" w:lineRule="exact"/>
        <w:ind w:firstLine="470" w:firstLineChars="196"/>
        <w:rPr>
          <w:rFonts w:asciiTheme="majorEastAsia" w:hAnsiTheme="majorEastAsia" w:eastAsiaTheme="majorEastAsia"/>
          <w:bCs/>
          <w:color w:val="000000" w:themeColor="text1"/>
          <w:sz w:val="24"/>
        </w:rPr>
      </w:pPr>
      <w:r>
        <w:rPr>
          <w:rFonts w:asciiTheme="majorEastAsia" w:hAnsiTheme="majorEastAsia" w:eastAsiaTheme="majorEastAsia"/>
          <w:bCs/>
          <w:color w:val="000000" w:themeColor="text1"/>
          <w:sz w:val="24"/>
        </w:rPr>
        <w:t>2</w:t>
      </w:r>
      <w:r>
        <w:rPr>
          <w:rFonts w:hint="eastAsia" w:asciiTheme="majorEastAsia" w:hAnsiTheme="majorEastAsia" w:eastAsiaTheme="majorEastAsia"/>
          <w:bCs/>
          <w:color w:val="000000" w:themeColor="text1"/>
          <w:sz w:val="24"/>
        </w:rPr>
        <w:t>、请各投标人根据投标方案，在本表中详细写明所有产品型号规格、主要技术参数、数量、综合单价、总价及品牌和产地。</w:t>
      </w:r>
    </w:p>
    <w:p>
      <w:pPr>
        <w:spacing w:line="440" w:lineRule="exact"/>
        <w:ind w:firstLine="470" w:firstLineChars="196"/>
        <w:rPr>
          <w:rFonts w:asciiTheme="majorEastAsia" w:hAnsiTheme="majorEastAsia" w:eastAsiaTheme="majorEastAsia"/>
          <w:bCs/>
          <w:color w:val="000000" w:themeColor="text1"/>
          <w:sz w:val="24"/>
        </w:rPr>
      </w:pPr>
      <w:r>
        <w:rPr>
          <w:rFonts w:asciiTheme="majorEastAsia" w:hAnsiTheme="majorEastAsia" w:eastAsiaTheme="majorEastAsia"/>
          <w:bCs/>
          <w:color w:val="000000" w:themeColor="text1"/>
          <w:sz w:val="24"/>
        </w:rPr>
        <w:t>3</w:t>
      </w:r>
      <w:r>
        <w:rPr>
          <w:rFonts w:hint="eastAsia" w:asciiTheme="majorEastAsia" w:hAnsiTheme="majorEastAsia" w:eastAsiaTheme="majorEastAsia"/>
          <w:bCs/>
          <w:color w:val="000000" w:themeColor="text1"/>
          <w:sz w:val="24"/>
        </w:rPr>
        <w:t>、综合单价必须包括货物、安装、调试、技术支持、运输、保险、售后服务、培训及其它必需服务的报价。</w:t>
      </w:r>
    </w:p>
    <w:p>
      <w:pPr>
        <w:spacing w:line="480" w:lineRule="exact"/>
        <w:ind w:firstLine="480" w:firstLineChars="200"/>
        <w:rPr>
          <w:rFonts w:cs="仿宋" w:asciiTheme="majorEastAsia" w:hAnsiTheme="majorEastAsia" w:eastAsiaTheme="majorEastAsia"/>
          <w:color w:val="000000" w:themeColor="text1"/>
          <w:kern w:val="0"/>
          <w:sz w:val="24"/>
        </w:rPr>
      </w:pPr>
    </w:p>
    <w:p>
      <w:pPr>
        <w:pStyle w:val="2"/>
        <w:tabs>
          <w:tab w:val="left" w:pos="8227"/>
        </w:tabs>
        <w:kinsoku w:val="0"/>
        <w:overflowPunct w:val="0"/>
        <w:spacing w:line="381" w:lineRule="auto"/>
        <w:ind w:left="4027" w:right="118"/>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供应商：</w:t>
      </w: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w w:val="95"/>
        </w:rPr>
        <w:t>（盖章）</w:t>
      </w:r>
    </w:p>
    <w:p>
      <w:pPr>
        <w:pStyle w:val="2"/>
        <w:tabs>
          <w:tab w:val="left" w:pos="8227"/>
        </w:tabs>
        <w:kinsoku w:val="0"/>
        <w:overflowPunct w:val="0"/>
        <w:spacing w:line="381" w:lineRule="auto"/>
        <w:ind w:left="4027" w:right="118"/>
        <w:rPr>
          <w:rFonts w:asciiTheme="majorEastAsia" w:hAnsiTheme="majorEastAsia" w:eastAsiaTheme="majorEastAsia"/>
          <w:color w:val="000000" w:themeColor="text1"/>
          <w:w w:val="95"/>
        </w:rPr>
      </w:pPr>
      <w:r>
        <w:rPr>
          <w:rFonts w:hint="eastAsia" w:asciiTheme="majorEastAsia" w:hAnsiTheme="majorEastAsia" w:eastAsiaTheme="majorEastAsia"/>
          <w:color w:val="000000" w:themeColor="text1"/>
        </w:rPr>
        <w:t>法定代表人或被授权人：</w:t>
      </w: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w w:val="95"/>
        </w:rPr>
        <w:t>（签字）</w:t>
      </w:r>
    </w:p>
    <w:p>
      <w:pPr>
        <w:pStyle w:val="2"/>
        <w:tabs>
          <w:tab w:val="left" w:pos="5551"/>
          <w:tab w:val="left" w:pos="6511"/>
          <w:tab w:val="left" w:pos="7111"/>
          <w:tab w:val="left" w:pos="7711"/>
        </w:tabs>
        <w:kinsoku w:val="0"/>
        <w:overflowPunct w:val="0"/>
        <w:spacing w:before="46"/>
        <w:ind w:left="2583" w:firstLine="2248"/>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日</w:t>
      </w:r>
      <w:r>
        <w:rPr>
          <w:rFonts w:asciiTheme="majorEastAsia" w:hAnsiTheme="majorEastAsia" w:eastAsiaTheme="majorEastAsia"/>
          <w:color w:val="000000" w:themeColor="text1"/>
        </w:rPr>
        <w:tab/>
      </w:r>
      <w:r>
        <w:rPr>
          <w:rFonts w:hint="eastAsia" w:asciiTheme="majorEastAsia" w:hAnsiTheme="majorEastAsia" w:eastAsiaTheme="majorEastAsia"/>
          <w:color w:val="000000" w:themeColor="text1"/>
        </w:rPr>
        <w:t>期：</w:t>
      </w: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rPr>
        <w:t>年</w:t>
      </w: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rPr>
        <w:t>月</w:t>
      </w: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rPr>
        <w:t>日</w:t>
      </w:r>
    </w:p>
    <w:p>
      <w:pPr>
        <w:jc w:val="center"/>
        <w:rPr>
          <w:rFonts w:asciiTheme="majorEastAsia" w:hAnsiTheme="majorEastAsia" w:eastAsiaTheme="majorEastAsia"/>
          <w:color w:val="000000" w:themeColor="text1"/>
        </w:rPr>
      </w:pPr>
      <w:r>
        <w:rPr>
          <w:rFonts w:asciiTheme="majorEastAsia" w:hAnsiTheme="majorEastAsia" w:eastAsiaTheme="majorEastAsia"/>
          <w:color w:val="000000" w:themeColor="text1"/>
        </w:rPr>
        <w:br w:type="page"/>
      </w:r>
    </w:p>
    <w:p>
      <w:pPr>
        <w:spacing w:line="440" w:lineRule="exact"/>
        <w:jc w:val="center"/>
        <w:rPr>
          <w:rFonts w:asciiTheme="majorEastAsia" w:hAnsiTheme="majorEastAsia" w:eastAsiaTheme="majorEastAsia"/>
          <w:b/>
          <w:color w:val="000000" w:themeColor="text1"/>
          <w:sz w:val="32"/>
          <w:szCs w:val="32"/>
        </w:rPr>
      </w:pPr>
      <w:r>
        <w:rPr>
          <w:rFonts w:hint="eastAsia" w:asciiTheme="majorEastAsia" w:hAnsiTheme="majorEastAsia" w:eastAsiaTheme="majorEastAsia"/>
          <w:b/>
          <w:color w:val="000000" w:themeColor="text1"/>
          <w:sz w:val="32"/>
          <w:szCs w:val="32"/>
        </w:rPr>
        <w:t>备品、备件清单</w:t>
      </w:r>
    </w:p>
    <w:p>
      <w:pPr>
        <w:tabs>
          <w:tab w:val="left" w:pos="5100"/>
        </w:tabs>
        <w:spacing w:line="440" w:lineRule="exact"/>
        <w:ind w:firstLine="352" w:firstLineChars="147"/>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项目名称：   招标编号：</w:t>
      </w:r>
    </w:p>
    <w:p>
      <w:pPr>
        <w:pStyle w:val="111"/>
        <w:spacing w:line="440" w:lineRule="exact"/>
        <w:ind w:left="208" w:leftChars="99" w:firstLine="120" w:firstLineChars="50"/>
        <w:jc w:val="both"/>
        <w:rPr>
          <w:rFonts w:asciiTheme="majorEastAsia" w:hAnsiTheme="majorEastAsia" w:eastAsiaTheme="majorEastAsia"/>
          <w:bCs/>
          <w:color w:val="000000" w:themeColor="text1"/>
          <w:kern w:val="2"/>
        </w:rPr>
      </w:pP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11"/>
        <w:gridCol w:w="1874"/>
        <w:gridCol w:w="1325"/>
        <w:gridCol w:w="851"/>
        <w:gridCol w:w="850"/>
        <w:gridCol w:w="141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1"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序号</w:t>
            </w:r>
          </w:p>
        </w:tc>
        <w:tc>
          <w:tcPr>
            <w:tcW w:w="1311"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备品、备件名称</w:t>
            </w:r>
          </w:p>
        </w:tc>
        <w:tc>
          <w:tcPr>
            <w:tcW w:w="1874"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规格、型号</w:t>
            </w:r>
          </w:p>
        </w:tc>
        <w:tc>
          <w:tcPr>
            <w:tcW w:w="1325"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生产厂家</w:t>
            </w:r>
          </w:p>
        </w:tc>
        <w:tc>
          <w:tcPr>
            <w:tcW w:w="851"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单位</w:t>
            </w:r>
          </w:p>
        </w:tc>
        <w:tc>
          <w:tcPr>
            <w:tcW w:w="850"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数量</w:t>
            </w:r>
          </w:p>
        </w:tc>
        <w:tc>
          <w:tcPr>
            <w:tcW w:w="1418"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单价（元）</w:t>
            </w:r>
          </w:p>
        </w:tc>
        <w:tc>
          <w:tcPr>
            <w:tcW w:w="1524" w:type="dxa"/>
            <w:vAlign w:val="center"/>
          </w:tcPr>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01" w:type="dxa"/>
          </w:tcPr>
          <w:p>
            <w:pPr>
              <w:spacing w:line="4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1</w:t>
            </w:r>
          </w:p>
        </w:tc>
        <w:tc>
          <w:tcPr>
            <w:tcW w:w="1311" w:type="dxa"/>
          </w:tcPr>
          <w:p>
            <w:pPr>
              <w:spacing w:line="440" w:lineRule="exact"/>
              <w:rPr>
                <w:rFonts w:asciiTheme="majorEastAsia" w:hAnsiTheme="majorEastAsia" w:eastAsiaTheme="majorEastAsia"/>
                <w:color w:val="000000" w:themeColor="text1"/>
                <w:sz w:val="24"/>
              </w:rPr>
            </w:pPr>
          </w:p>
        </w:tc>
        <w:tc>
          <w:tcPr>
            <w:tcW w:w="1874" w:type="dxa"/>
          </w:tcPr>
          <w:p>
            <w:pPr>
              <w:spacing w:line="440" w:lineRule="exact"/>
              <w:rPr>
                <w:rFonts w:asciiTheme="majorEastAsia" w:hAnsiTheme="majorEastAsia" w:eastAsiaTheme="majorEastAsia"/>
                <w:color w:val="000000" w:themeColor="text1"/>
                <w:sz w:val="24"/>
              </w:rPr>
            </w:pPr>
          </w:p>
        </w:tc>
        <w:tc>
          <w:tcPr>
            <w:tcW w:w="1325" w:type="dxa"/>
          </w:tcPr>
          <w:p>
            <w:pPr>
              <w:spacing w:line="440" w:lineRule="exact"/>
              <w:rPr>
                <w:rFonts w:asciiTheme="majorEastAsia" w:hAnsiTheme="majorEastAsia" w:eastAsiaTheme="majorEastAsia"/>
                <w:color w:val="000000" w:themeColor="text1"/>
                <w:sz w:val="24"/>
              </w:rPr>
            </w:pPr>
          </w:p>
        </w:tc>
        <w:tc>
          <w:tcPr>
            <w:tcW w:w="851" w:type="dxa"/>
          </w:tcPr>
          <w:p>
            <w:pPr>
              <w:spacing w:line="440" w:lineRule="exact"/>
              <w:rPr>
                <w:rFonts w:asciiTheme="majorEastAsia" w:hAnsiTheme="majorEastAsia" w:eastAsiaTheme="majorEastAsia"/>
                <w:color w:val="000000" w:themeColor="text1"/>
                <w:sz w:val="24"/>
              </w:rPr>
            </w:pPr>
          </w:p>
        </w:tc>
        <w:tc>
          <w:tcPr>
            <w:tcW w:w="850" w:type="dxa"/>
          </w:tcPr>
          <w:p>
            <w:pPr>
              <w:spacing w:line="440" w:lineRule="exact"/>
              <w:rPr>
                <w:rFonts w:asciiTheme="majorEastAsia" w:hAnsiTheme="majorEastAsia" w:eastAsiaTheme="majorEastAsia"/>
                <w:color w:val="000000" w:themeColor="text1"/>
                <w:sz w:val="24"/>
              </w:rPr>
            </w:pPr>
          </w:p>
        </w:tc>
        <w:tc>
          <w:tcPr>
            <w:tcW w:w="1418" w:type="dxa"/>
          </w:tcPr>
          <w:p>
            <w:pPr>
              <w:spacing w:line="440" w:lineRule="exact"/>
              <w:rPr>
                <w:rFonts w:asciiTheme="majorEastAsia" w:hAnsiTheme="majorEastAsia" w:eastAsiaTheme="majorEastAsia"/>
                <w:color w:val="000000" w:themeColor="text1"/>
                <w:sz w:val="24"/>
              </w:rPr>
            </w:pPr>
          </w:p>
        </w:tc>
        <w:tc>
          <w:tcPr>
            <w:tcW w:w="1524" w:type="dxa"/>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01" w:type="dxa"/>
          </w:tcPr>
          <w:p>
            <w:pPr>
              <w:spacing w:line="4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2</w:t>
            </w:r>
          </w:p>
        </w:tc>
        <w:tc>
          <w:tcPr>
            <w:tcW w:w="1311" w:type="dxa"/>
          </w:tcPr>
          <w:p>
            <w:pPr>
              <w:spacing w:line="440" w:lineRule="exact"/>
              <w:rPr>
                <w:rFonts w:asciiTheme="majorEastAsia" w:hAnsiTheme="majorEastAsia" w:eastAsiaTheme="majorEastAsia"/>
                <w:color w:val="000000" w:themeColor="text1"/>
                <w:sz w:val="24"/>
              </w:rPr>
            </w:pPr>
          </w:p>
        </w:tc>
        <w:tc>
          <w:tcPr>
            <w:tcW w:w="1874" w:type="dxa"/>
          </w:tcPr>
          <w:p>
            <w:pPr>
              <w:spacing w:line="440" w:lineRule="exact"/>
              <w:rPr>
                <w:rFonts w:asciiTheme="majorEastAsia" w:hAnsiTheme="majorEastAsia" w:eastAsiaTheme="majorEastAsia"/>
                <w:color w:val="000000" w:themeColor="text1"/>
                <w:sz w:val="24"/>
              </w:rPr>
            </w:pPr>
          </w:p>
        </w:tc>
        <w:tc>
          <w:tcPr>
            <w:tcW w:w="1325" w:type="dxa"/>
          </w:tcPr>
          <w:p>
            <w:pPr>
              <w:spacing w:line="440" w:lineRule="exact"/>
              <w:rPr>
                <w:rFonts w:asciiTheme="majorEastAsia" w:hAnsiTheme="majorEastAsia" w:eastAsiaTheme="majorEastAsia"/>
                <w:color w:val="000000" w:themeColor="text1"/>
                <w:sz w:val="24"/>
              </w:rPr>
            </w:pPr>
          </w:p>
        </w:tc>
        <w:tc>
          <w:tcPr>
            <w:tcW w:w="851" w:type="dxa"/>
          </w:tcPr>
          <w:p>
            <w:pPr>
              <w:spacing w:line="440" w:lineRule="exact"/>
              <w:rPr>
                <w:rFonts w:asciiTheme="majorEastAsia" w:hAnsiTheme="majorEastAsia" w:eastAsiaTheme="majorEastAsia"/>
                <w:color w:val="000000" w:themeColor="text1"/>
                <w:sz w:val="24"/>
              </w:rPr>
            </w:pPr>
          </w:p>
        </w:tc>
        <w:tc>
          <w:tcPr>
            <w:tcW w:w="850" w:type="dxa"/>
          </w:tcPr>
          <w:p>
            <w:pPr>
              <w:spacing w:line="440" w:lineRule="exact"/>
              <w:rPr>
                <w:rFonts w:asciiTheme="majorEastAsia" w:hAnsiTheme="majorEastAsia" w:eastAsiaTheme="majorEastAsia"/>
                <w:color w:val="000000" w:themeColor="text1"/>
                <w:sz w:val="24"/>
              </w:rPr>
            </w:pPr>
          </w:p>
        </w:tc>
        <w:tc>
          <w:tcPr>
            <w:tcW w:w="1418" w:type="dxa"/>
          </w:tcPr>
          <w:p>
            <w:pPr>
              <w:spacing w:line="440" w:lineRule="exact"/>
              <w:rPr>
                <w:rFonts w:asciiTheme="majorEastAsia" w:hAnsiTheme="majorEastAsia" w:eastAsiaTheme="majorEastAsia"/>
                <w:color w:val="000000" w:themeColor="text1"/>
                <w:sz w:val="24"/>
              </w:rPr>
            </w:pPr>
          </w:p>
        </w:tc>
        <w:tc>
          <w:tcPr>
            <w:tcW w:w="1524" w:type="dxa"/>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01" w:type="dxa"/>
          </w:tcPr>
          <w:p>
            <w:pPr>
              <w:spacing w:line="4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3</w:t>
            </w:r>
          </w:p>
        </w:tc>
        <w:tc>
          <w:tcPr>
            <w:tcW w:w="1311" w:type="dxa"/>
          </w:tcPr>
          <w:p>
            <w:pPr>
              <w:spacing w:line="440" w:lineRule="exact"/>
              <w:rPr>
                <w:rFonts w:asciiTheme="majorEastAsia" w:hAnsiTheme="majorEastAsia" w:eastAsiaTheme="majorEastAsia"/>
                <w:color w:val="000000" w:themeColor="text1"/>
                <w:sz w:val="24"/>
              </w:rPr>
            </w:pPr>
          </w:p>
        </w:tc>
        <w:tc>
          <w:tcPr>
            <w:tcW w:w="1874" w:type="dxa"/>
          </w:tcPr>
          <w:p>
            <w:pPr>
              <w:spacing w:line="440" w:lineRule="exact"/>
              <w:rPr>
                <w:rFonts w:asciiTheme="majorEastAsia" w:hAnsiTheme="majorEastAsia" w:eastAsiaTheme="majorEastAsia"/>
                <w:color w:val="000000" w:themeColor="text1"/>
                <w:sz w:val="24"/>
              </w:rPr>
            </w:pPr>
          </w:p>
        </w:tc>
        <w:tc>
          <w:tcPr>
            <w:tcW w:w="1325" w:type="dxa"/>
          </w:tcPr>
          <w:p>
            <w:pPr>
              <w:spacing w:line="440" w:lineRule="exact"/>
              <w:rPr>
                <w:rFonts w:asciiTheme="majorEastAsia" w:hAnsiTheme="majorEastAsia" w:eastAsiaTheme="majorEastAsia"/>
                <w:color w:val="000000" w:themeColor="text1"/>
                <w:sz w:val="24"/>
              </w:rPr>
            </w:pPr>
          </w:p>
        </w:tc>
        <w:tc>
          <w:tcPr>
            <w:tcW w:w="851" w:type="dxa"/>
          </w:tcPr>
          <w:p>
            <w:pPr>
              <w:spacing w:line="440" w:lineRule="exact"/>
              <w:rPr>
                <w:rFonts w:asciiTheme="majorEastAsia" w:hAnsiTheme="majorEastAsia" w:eastAsiaTheme="majorEastAsia"/>
                <w:color w:val="000000" w:themeColor="text1"/>
                <w:sz w:val="24"/>
              </w:rPr>
            </w:pPr>
          </w:p>
        </w:tc>
        <w:tc>
          <w:tcPr>
            <w:tcW w:w="850" w:type="dxa"/>
          </w:tcPr>
          <w:p>
            <w:pPr>
              <w:spacing w:line="440" w:lineRule="exact"/>
              <w:rPr>
                <w:rFonts w:asciiTheme="majorEastAsia" w:hAnsiTheme="majorEastAsia" w:eastAsiaTheme="majorEastAsia"/>
                <w:color w:val="000000" w:themeColor="text1"/>
                <w:sz w:val="24"/>
              </w:rPr>
            </w:pPr>
          </w:p>
        </w:tc>
        <w:tc>
          <w:tcPr>
            <w:tcW w:w="1418" w:type="dxa"/>
          </w:tcPr>
          <w:p>
            <w:pPr>
              <w:spacing w:line="440" w:lineRule="exact"/>
              <w:rPr>
                <w:rFonts w:asciiTheme="majorEastAsia" w:hAnsiTheme="majorEastAsia" w:eastAsiaTheme="majorEastAsia"/>
                <w:color w:val="000000" w:themeColor="text1"/>
                <w:sz w:val="24"/>
              </w:rPr>
            </w:pPr>
          </w:p>
        </w:tc>
        <w:tc>
          <w:tcPr>
            <w:tcW w:w="1524" w:type="dxa"/>
          </w:tcPr>
          <w:p>
            <w:pPr>
              <w:spacing w:line="440" w:lineRule="exact"/>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01" w:type="dxa"/>
          </w:tcPr>
          <w:p>
            <w:pPr>
              <w:spacing w:line="4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311" w:type="dxa"/>
          </w:tcPr>
          <w:p>
            <w:pPr>
              <w:spacing w:line="440" w:lineRule="exact"/>
              <w:rPr>
                <w:rFonts w:asciiTheme="majorEastAsia" w:hAnsiTheme="majorEastAsia" w:eastAsiaTheme="majorEastAsia"/>
                <w:color w:val="000000" w:themeColor="text1"/>
                <w:sz w:val="24"/>
              </w:rPr>
            </w:pPr>
          </w:p>
        </w:tc>
        <w:tc>
          <w:tcPr>
            <w:tcW w:w="1874" w:type="dxa"/>
          </w:tcPr>
          <w:p>
            <w:pPr>
              <w:spacing w:line="440" w:lineRule="exact"/>
              <w:rPr>
                <w:rFonts w:asciiTheme="majorEastAsia" w:hAnsiTheme="majorEastAsia" w:eastAsiaTheme="majorEastAsia"/>
                <w:color w:val="000000" w:themeColor="text1"/>
                <w:sz w:val="24"/>
              </w:rPr>
            </w:pPr>
          </w:p>
        </w:tc>
        <w:tc>
          <w:tcPr>
            <w:tcW w:w="1325" w:type="dxa"/>
          </w:tcPr>
          <w:p>
            <w:pPr>
              <w:spacing w:line="440" w:lineRule="exact"/>
              <w:rPr>
                <w:rFonts w:asciiTheme="majorEastAsia" w:hAnsiTheme="majorEastAsia" w:eastAsiaTheme="majorEastAsia"/>
                <w:color w:val="000000" w:themeColor="text1"/>
                <w:sz w:val="24"/>
              </w:rPr>
            </w:pPr>
          </w:p>
        </w:tc>
        <w:tc>
          <w:tcPr>
            <w:tcW w:w="851" w:type="dxa"/>
          </w:tcPr>
          <w:p>
            <w:pPr>
              <w:spacing w:line="440" w:lineRule="exact"/>
              <w:rPr>
                <w:rFonts w:asciiTheme="majorEastAsia" w:hAnsiTheme="majorEastAsia" w:eastAsiaTheme="majorEastAsia"/>
                <w:color w:val="000000" w:themeColor="text1"/>
                <w:sz w:val="24"/>
              </w:rPr>
            </w:pPr>
          </w:p>
        </w:tc>
        <w:tc>
          <w:tcPr>
            <w:tcW w:w="850" w:type="dxa"/>
          </w:tcPr>
          <w:p>
            <w:pPr>
              <w:spacing w:line="440" w:lineRule="exact"/>
              <w:rPr>
                <w:rFonts w:asciiTheme="majorEastAsia" w:hAnsiTheme="majorEastAsia" w:eastAsiaTheme="majorEastAsia"/>
                <w:color w:val="000000" w:themeColor="text1"/>
                <w:sz w:val="24"/>
              </w:rPr>
            </w:pPr>
          </w:p>
        </w:tc>
        <w:tc>
          <w:tcPr>
            <w:tcW w:w="1418" w:type="dxa"/>
          </w:tcPr>
          <w:p>
            <w:pPr>
              <w:spacing w:line="440" w:lineRule="exact"/>
              <w:rPr>
                <w:rFonts w:asciiTheme="majorEastAsia" w:hAnsiTheme="majorEastAsia" w:eastAsiaTheme="majorEastAsia"/>
                <w:color w:val="000000" w:themeColor="text1"/>
                <w:sz w:val="24"/>
              </w:rPr>
            </w:pPr>
          </w:p>
        </w:tc>
        <w:tc>
          <w:tcPr>
            <w:tcW w:w="1524" w:type="dxa"/>
          </w:tcPr>
          <w:p>
            <w:pPr>
              <w:spacing w:line="440" w:lineRule="exact"/>
              <w:rPr>
                <w:rFonts w:asciiTheme="majorEastAsia" w:hAnsiTheme="majorEastAsia" w:eastAsiaTheme="majorEastAsia"/>
                <w:color w:val="000000" w:themeColor="text1"/>
                <w:sz w:val="24"/>
              </w:rPr>
            </w:pPr>
          </w:p>
        </w:tc>
      </w:tr>
    </w:tbl>
    <w:p>
      <w:pPr>
        <w:spacing w:line="440" w:lineRule="exact"/>
        <w:rPr>
          <w:rFonts w:asciiTheme="majorEastAsia" w:hAnsiTheme="majorEastAsia" w:eastAsiaTheme="majorEastAsia"/>
          <w:color w:val="000000" w:themeColor="text1"/>
          <w:sz w:val="24"/>
        </w:rPr>
      </w:pPr>
    </w:p>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xml:space="preserve">                          投标单位名称（公章）：                  </w:t>
      </w:r>
    </w:p>
    <w:p>
      <w:pPr>
        <w:spacing w:line="4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xml:space="preserve">                    投标人代表签字：　　　　　　　　　</w:t>
      </w:r>
    </w:p>
    <w:p>
      <w:pPr>
        <w:spacing w:line="440" w:lineRule="exact"/>
        <w:jc w:val="center"/>
        <w:rPr>
          <w:rFonts w:asciiTheme="majorEastAsia" w:hAnsiTheme="majorEastAsia" w:eastAsiaTheme="majorEastAsia"/>
          <w:bCs/>
          <w:color w:val="000000" w:themeColor="text1"/>
          <w:sz w:val="24"/>
        </w:rPr>
      </w:pPr>
      <w:r>
        <w:rPr>
          <w:rFonts w:hint="eastAsia" w:asciiTheme="majorEastAsia" w:hAnsiTheme="majorEastAsia" w:eastAsiaTheme="majorEastAsia"/>
          <w:color w:val="000000" w:themeColor="text1"/>
          <w:sz w:val="24"/>
        </w:rPr>
        <w:t xml:space="preserve">                          日期：</w:t>
      </w:r>
      <w:r>
        <w:rPr>
          <w:rFonts w:hint="eastAsia" w:asciiTheme="majorEastAsia" w:hAnsiTheme="majorEastAsia" w:eastAsiaTheme="majorEastAsia"/>
          <w:bCs/>
          <w:color w:val="000000" w:themeColor="text1"/>
          <w:sz w:val="24"/>
          <w:u w:val="single"/>
        </w:rPr>
        <w:t xml:space="preserve">　  </w:t>
      </w:r>
      <w:r>
        <w:rPr>
          <w:rFonts w:hint="eastAsia" w:asciiTheme="majorEastAsia" w:hAnsiTheme="majorEastAsia" w:eastAsiaTheme="majorEastAsia"/>
          <w:bCs/>
          <w:color w:val="000000" w:themeColor="text1"/>
          <w:sz w:val="24"/>
        </w:rPr>
        <w:t>年</w:t>
      </w:r>
      <w:r>
        <w:rPr>
          <w:rFonts w:hint="eastAsia" w:asciiTheme="majorEastAsia" w:hAnsiTheme="majorEastAsia" w:eastAsiaTheme="majorEastAsia"/>
          <w:bCs/>
          <w:color w:val="000000" w:themeColor="text1"/>
          <w:sz w:val="24"/>
          <w:u w:val="single"/>
        </w:rPr>
        <w:t xml:space="preserve">　  </w:t>
      </w:r>
      <w:r>
        <w:rPr>
          <w:rFonts w:hint="eastAsia" w:asciiTheme="majorEastAsia" w:hAnsiTheme="majorEastAsia" w:eastAsiaTheme="majorEastAsia"/>
          <w:bCs/>
          <w:color w:val="000000" w:themeColor="text1"/>
          <w:sz w:val="24"/>
        </w:rPr>
        <w:t>月</w:t>
      </w:r>
      <w:r>
        <w:rPr>
          <w:rFonts w:hint="eastAsia" w:asciiTheme="majorEastAsia" w:hAnsiTheme="majorEastAsia" w:eastAsiaTheme="majorEastAsia"/>
          <w:bCs/>
          <w:color w:val="000000" w:themeColor="text1"/>
          <w:sz w:val="24"/>
          <w:u w:val="single"/>
        </w:rPr>
        <w:t xml:space="preserve">　  </w:t>
      </w:r>
      <w:r>
        <w:rPr>
          <w:rFonts w:hint="eastAsia" w:asciiTheme="majorEastAsia" w:hAnsiTheme="majorEastAsia" w:eastAsiaTheme="majorEastAsia"/>
          <w:bCs/>
          <w:color w:val="000000" w:themeColor="text1"/>
          <w:sz w:val="24"/>
        </w:rPr>
        <w:t>日</w:t>
      </w: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asciiTheme="majorEastAsia" w:hAnsiTheme="majorEastAsia" w:eastAsiaTheme="majorEastAsia"/>
          <w:color w:val="000000" w:themeColor="text1"/>
        </w:rPr>
      </w:pPr>
    </w:p>
    <w:p>
      <w:pPr>
        <w:jc w:val="center"/>
        <w:rPr>
          <w:rFonts w:cs="仿宋" w:asciiTheme="majorEastAsia" w:hAnsiTheme="majorEastAsia" w:eastAsiaTheme="majorEastAsia"/>
          <w:b/>
          <w:color w:val="000000" w:themeColor="text1"/>
          <w:kern w:val="0"/>
          <w:sz w:val="24"/>
        </w:rPr>
      </w:pPr>
    </w:p>
    <w:p>
      <w:pPr>
        <w:pStyle w:val="2"/>
        <w:tabs>
          <w:tab w:val="left" w:pos="5551"/>
          <w:tab w:val="left" w:pos="6511"/>
          <w:tab w:val="left" w:pos="7111"/>
          <w:tab w:val="left" w:pos="7711"/>
        </w:tabs>
        <w:kinsoku w:val="0"/>
        <w:overflowPunct w:val="0"/>
        <w:spacing w:before="46"/>
        <w:rPr>
          <w:rFonts w:asciiTheme="majorEastAsia" w:hAnsiTheme="majorEastAsia" w:eastAsiaTheme="majorEastAsia"/>
          <w:color w:val="000000" w:themeColor="text1"/>
        </w:rPr>
      </w:pPr>
    </w:p>
    <w:p>
      <w:pPr>
        <w:pStyle w:val="2"/>
        <w:kinsoku w:val="0"/>
        <w:overflowPunct w:val="0"/>
        <w:spacing w:before="34" w:line="357" w:lineRule="auto"/>
        <w:ind w:right="126" w:firstLine="480"/>
        <w:jc w:val="center"/>
        <w:outlineLvl w:val="0"/>
        <w:rPr>
          <w:rFonts w:asciiTheme="majorEastAsia" w:hAnsiTheme="majorEastAsia" w:eastAsiaTheme="majorEastAsia"/>
          <w:b/>
          <w:bCs/>
          <w:color w:val="000000" w:themeColor="text1"/>
        </w:rPr>
      </w:pPr>
      <w:bookmarkStart w:id="210" w:name="_Toc4431"/>
      <w:r>
        <w:rPr>
          <w:rFonts w:hint="eastAsia" w:asciiTheme="majorEastAsia" w:hAnsiTheme="majorEastAsia" w:eastAsiaTheme="majorEastAsia"/>
          <w:b/>
          <w:bCs/>
          <w:color w:val="000000" w:themeColor="text1"/>
          <w:sz w:val="36"/>
          <w:szCs w:val="36"/>
        </w:rPr>
        <w:t>七、供应商基本情况</w:t>
      </w:r>
      <w:bookmarkEnd w:id="210"/>
    </w:p>
    <w:p>
      <w:pPr>
        <w:pStyle w:val="2"/>
        <w:kinsoku w:val="0"/>
        <w:overflowPunct w:val="0"/>
        <w:ind w:left="3104" w:right="2998"/>
        <w:jc w:val="center"/>
        <w:rPr>
          <w:rFonts w:asciiTheme="majorEastAsia" w:hAnsiTheme="majorEastAsia" w:eastAsiaTheme="majorEastAsia"/>
          <w:color w:val="000000" w:themeColor="text1"/>
        </w:rPr>
      </w:pPr>
      <w:r>
        <w:rPr>
          <w:rFonts w:hint="eastAsia" w:asciiTheme="majorEastAsia" w:hAnsiTheme="majorEastAsia" w:eastAsiaTheme="majorEastAsia"/>
          <w:b/>
          <w:bCs/>
          <w:color w:val="000000" w:themeColor="text1"/>
        </w:rPr>
        <w:t>（一）供应商基本情况表</w:t>
      </w:r>
    </w:p>
    <w:p>
      <w:pPr>
        <w:pStyle w:val="2"/>
        <w:kinsoku w:val="0"/>
        <w:overflowPunct w:val="0"/>
        <w:spacing w:before="5"/>
        <w:rPr>
          <w:rFonts w:asciiTheme="majorEastAsia" w:hAnsiTheme="majorEastAsia" w:eastAsiaTheme="majorEastAsia"/>
          <w:b/>
          <w:bCs/>
          <w:color w:val="000000" w:themeColor="text1"/>
          <w:sz w:val="6"/>
          <w:szCs w:val="6"/>
        </w:rPr>
      </w:pPr>
    </w:p>
    <w:tbl>
      <w:tblPr>
        <w:tblStyle w:val="4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5"/>
              <w:ind w:left="137"/>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5"/>
              <w:ind w:left="137"/>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5"/>
              <w:ind w:left="137"/>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5"/>
              <w:ind w:left="137"/>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5"/>
              <w:ind w:left="181"/>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6"/>
              <w:ind w:left="137"/>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1" w:line="312" w:lineRule="exact"/>
              <w:ind w:left="257" w:right="133" w:hanging="120"/>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投标期间联系人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119"/>
              <w:kinsoku w:val="0"/>
              <w:overflowPunct w:val="0"/>
              <w:spacing w:before="4"/>
              <w:rPr>
                <w:rFonts w:cs="仿宋" w:asciiTheme="majorEastAsia" w:hAnsiTheme="majorEastAsia" w:eastAsiaTheme="majorEastAsia"/>
                <w:b/>
                <w:bCs/>
                <w:color w:val="000000" w:themeColor="text1"/>
                <w:sz w:val="20"/>
                <w:szCs w:val="20"/>
              </w:rPr>
            </w:pPr>
          </w:p>
          <w:p>
            <w:pPr>
              <w:pStyle w:val="119"/>
              <w:kinsoku w:val="0"/>
              <w:overflowPunct w:val="0"/>
              <w:ind w:left="366"/>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电话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119"/>
              <w:kinsoku w:val="0"/>
              <w:overflowPunct w:val="0"/>
              <w:spacing w:before="4"/>
              <w:rPr>
                <w:rFonts w:cs="仿宋" w:asciiTheme="majorEastAsia" w:hAnsiTheme="majorEastAsia" w:eastAsiaTheme="majorEastAsia"/>
                <w:b/>
                <w:bCs/>
                <w:color w:val="000000" w:themeColor="text1"/>
                <w:sz w:val="20"/>
                <w:szCs w:val="20"/>
              </w:rPr>
            </w:pPr>
          </w:p>
          <w:p>
            <w:pPr>
              <w:pStyle w:val="119"/>
              <w:kinsoku w:val="0"/>
              <w:overflowPunct w:val="0"/>
              <w:ind w:left="383"/>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传真</w:t>
            </w:r>
          </w:p>
        </w:tc>
        <w:tc>
          <w:tcPr>
            <w:tcW w:w="196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119"/>
              <w:kinsoku w:val="0"/>
              <w:overflowPunct w:val="0"/>
              <w:rPr>
                <w:rFonts w:cs="仿宋" w:asciiTheme="majorEastAsia" w:hAnsiTheme="majorEastAsia" w:eastAsiaTheme="majorEastAsia"/>
                <w:b/>
                <w:bCs/>
                <w:color w:val="000000" w:themeColor="text1"/>
              </w:rPr>
            </w:pPr>
          </w:p>
          <w:p>
            <w:pPr>
              <w:pStyle w:val="119"/>
              <w:kinsoku w:val="0"/>
              <w:overflowPunct w:val="0"/>
              <w:rPr>
                <w:rFonts w:cs="仿宋" w:asciiTheme="majorEastAsia" w:hAnsiTheme="majorEastAsia" w:eastAsiaTheme="majorEastAsia"/>
                <w:b/>
                <w:bCs/>
                <w:color w:val="000000" w:themeColor="text1"/>
              </w:rPr>
            </w:pPr>
          </w:p>
          <w:p>
            <w:pPr>
              <w:pStyle w:val="119"/>
              <w:kinsoku w:val="0"/>
              <w:overflowPunct w:val="0"/>
              <w:rPr>
                <w:rFonts w:cs="仿宋" w:asciiTheme="majorEastAsia" w:hAnsiTheme="majorEastAsia" w:eastAsiaTheme="majorEastAsia"/>
                <w:b/>
                <w:bCs/>
                <w:color w:val="000000" w:themeColor="text1"/>
              </w:rPr>
            </w:pPr>
          </w:p>
          <w:p>
            <w:pPr>
              <w:pStyle w:val="119"/>
              <w:kinsoku w:val="0"/>
              <w:overflowPunct w:val="0"/>
              <w:spacing w:line="475" w:lineRule="auto"/>
              <w:ind w:left="497" w:right="493"/>
              <w:jc w:val="both"/>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职工概况</w:t>
            </w:r>
          </w:p>
        </w:tc>
        <w:tc>
          <w:tcPr>
            <w:tcW w:w="1445" w:type="dxa"/>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4"/>
              <w:ind w:left="236"/>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4"/>
              <w:ind w:left="118"/>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5"/>
              <w:jc w:val="center"/>
              <w:rPr>
                <w:rFonts w:asciiTheme="majorEastAsia" w:hAnsiTheme="majorEastAsia" w:eastAsiaTheme="majorEastAsia"/>
                <w:color w:val="000000" w:themeColor="text1"/>
                <w:lang w:eastAsia="zh-CN"/>
              </w:rPr>
            </w:pPr>
            <w:r>
              <w:rPr>
                <w:rFonts w:hint="eastAsia" w:cs="仿宋" w:asciiTheme="majorEastAsia" w:hAnsiTheme="majorEastAsia" w:eastAsiaTheme="majorEastAsia"/>
                <w:color w:val="000000" w:themeColor="text1"/>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5"/>
              <w:jc w:val="center"/>
              <w:rPr>
                <w:rFonts w:asciiTheme="majorEastAsia" w:hAnsiTheme="majorEastAsia" w:eastAsiaTheme="majorEastAsia"/>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5"/>
              <w:ind w:left="416"/>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姓名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5"/>
              <w:ind w:left="452"/>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职务</w:t>
            </w:r>
            <w:r>
              <w:rPr>
                <w:rFonts w:cs="仿宋" w:asciiTheme="majorEastAsia" w:hAnsiTheme="majorEastAsia" w:eastAsiaTheme="majorEastAsia"/>
                <w:color w:val="000000" w:themeColor="text1"/>
              </w:rPr>
              <w:t>/</w:t>
            </w:r>
            <w:r>
              <w:rPr>
                <w:rFonts w:hint="eastAsia" w:cs="仿宋" w:asciiTheme="majorEastAsia" w:hAnsiTheme="majorEastAsia" w:eastAsiaTheme="majorEastAsia"/>
                <w:color w:val="000000" w:themeColor="text1"/>
              </w:rPr>
              <w:t>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119"/>
              <w:kinsoku w:val="0"/>
              <w:overflowPunct w:val="0"/>
              <w:spacing w:before="145"/>
              <w:ind w:left="450"/>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年龄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119"/>
              <w:tabs>
                <w:tab w:val="left" w:pos="479"/>
              </w:tabs>
              <w:kinsoku w:val="0"/>
              <w:overflowPunct w:val="0"/>
              <w:spacing w:before="145"/>
              <w:ind w:right="1"/>
              <w:jc w:val="center"/>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专</w:t>
            </w:r>
            <w:r>
              <w:rPr>
                <w:rFonts w:cs="仿宋" w:asciiTheme="majorEastAsia" w:hAnsiTheme="majorEastAsia" w:eastAsiaTheme="majorEastAsia"/>
                <w:color w:val="000000" w:themeColor="text1"/>
              </w:rPr>
              <w:tab/>
            </w:r>
            <w:r>
              <w:rPr>
                <w:rFonts w:hint="eastAsia" w:cs="仿宋" w:asciiTheme="majorEastAsia" w:hAnsiTheme="majorEastAsia" w:eastAsiaTheme="majorEastAsia"/>
                <w:color w:val="000000" w:themeColor="text1"/>
              </w:rPr>
              <w:t>业</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119"/>
              <w:tabs>
                <w:tab w:val="left" w:pos="479"/>
              </w:tabs>
              <w:kinsoku w:val="0"/>
              <w:overflowPunct w:val="0"/>
              <w:spacing w:before="145"/>
              <w:ind w:right="1"/>
              <w:jc w:val="center"/>
              <w:rPr>
                <w:rFonts w:asciiTheme="majorEastAsia" w:hAnsiTheme="majorEastAsia" w:eastAsiaTheme="majorEastAsia"/>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r>
        <w:tblPrEx>
          <w:tblCellMar>
            <w:top w:w="0" w:type="dxa"/>
            <w:left w:w="0" w:type="dxa"/>
            <w:bottom w:w="0" w:type="dxa"/>
            <w:right w:w="0" w:type="dxa"/>
          </w:tblCellMar>
        </w:tblPrEx>
        <w:trPr>
          <w:trHeight w:val="164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119"/>
              <w:kinsoku w:val="0"/>
              <w:overflowPunct w:val="0"/>
              <w:rPr>
                <w:rFonts w:cs="仿宋" w:asciiTheme="majorEastAsia" w:hAnsiTheme="majorEastAsia" w:eastAsiaTheme="majorEastAsia"/>
                <w:b/>
                <w:bCs/>
                <w:color w:val="000000" w:themeColor="text1"/>
              </w:rPr>
            </w:pPr>
          </w:p>
          <w:p>
            <w:pPr>
              <w:pStyle w:val="119"/>
              <w:kinsoku w:val="0"/>
              <w:overflowPunct w:val="0"/>
              <w:spacing w:before="1"/>
              <w:rPr>
                <w:rFonts w:cs="仿宋" w:asciiTheme="majorEastAsia" w:hAnsiTheme="majorEastAsia" w:eastAsiaTheme="majorEastAsia"/>
                <w:b/>
                <w:bCs/>
                <w:color w:val="000000" w:themeColor="text1"/>
                <w:sz w:val="23"/>
                <w:szCs w:val="23"/>
              </w:rPr>
            </w:pPr>
          </w:p>
          <w:p>
            <w:pPr>
              <w:pStyle w:val="119"/>
              <w:kinsoku w:val="0"/>
              <w:overflowPunct w:val="0"/>
              <w:spacing w:line="237" w:lineRule="auto"/>
              <w:ind w:left="497" w:right="493"/>
              <w:jc w:val="both"/>
              <w:rPr>
                <w:rFonts w:asciiTheme="majorEastAsia" w:hAnsiTheme="majorEastAsia" w:eastAsiaTheme="majorEastAsia"/>
                <w:color w:val="000000" w:themeColor="text1"/>
              </w:rPr>
            </w:pPr>
            <w:r>
              <w:rPr>
                <w:rFonts w:hint="eastAsia" w:cs="仿宋" w:asciiTheme="majorEastAsia" w:hAnsiTheme="majorEastAsia" w:eastAsiaTheme="majorEastAsia"/>
                <w:color w:val="000000" w:themeColor="text1"/>
              </w:rPr>
              <w:t>单位概况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Theme="majorEastAsia" w:hAnsiTheme="majorEastAsia" w:eastAsiaTheme="majorEastAsia"/>
                <w:color w:val="000000" w:themeColor="text1"/>
              </w:rPr>
            </w:pPr>
          </w:p>
        </w:tc>
      </w:tr>
    </w:tbl>
    <w:p>
      <w:pPr>
        <w:pStyle w:val="2"/>
        <w:kinsoku w:val="0"/>
        <w:overflowPunct w:val="0"/>
        <w:spacing w:before="26" w:line="320" w:lineRule="auto"/>
        <w:jc w:val="center"/>
        <w:rPr>
          <w:rFonts w:asciiTheme="majorEastAsia" w:hAnsiTheme="majorEastAsia" w:eastAsiaTheme="majorEastAsia"/>
          <w:b/>
          <w:bCs/>
          <w:color w:val="000000" w:themeColor="text1"/>
          <w:w w:val="95"/>
        </w:rPr>
      </w:pPr>
      <w:r>
        <w:rPr>
          <w:rFonts w:asciiTheme="majorEastAsia" w:hAnsiTheme="majorEastAsia" w:eastAsiaTheme="majorEastAsia"/>
          <w:b/>
          <w:bCs/>
          <w:color w:val="000000" w:themeColor="text1"/>
          <w:w w:val="95"/>
        </w:rPr>
        <w:br w:type="page"/>
      </w:r>
    </w:p>
    <w:p>
      <w:pPr>
        <w:pStyle w:val="2"/>
        <w:kinsoku w:val="0"/>
        <w:overflowPunct w:val="0"/>
        <w:spacing w:before="26" w:line="320" w:lineRule="auto"/>
        <w:jc w:val="center"/>
        <w:rPr>
          <w:rFonts w:asciiTheme="majorEastAsia" w:hAnsiTheme="majorEastAsia" w:eastAsiaTheme="majorEastAsia"/>
          <w:b/>
          <w:bCs/>
          <w:color w:val="000000" w:themeColor="text1"/>
          <w:w w:val="95"/>
        </w:rPr>
      </w:pPr>
    </w:p>
    <w:p>
      <w:pPr>
        <w:pStyle w:val="2"/>
        <w:kinsoku w:val="0"/>
        <w:overflowPunct w:val="0"/>
        <w:spacing w:before="26" w:line="320" w:lineRule="auto"/>
        <w:jc w:val="center"/>
        <w:rPr>
          <w:rFonts w:asciiTheme="majorEastAsia" w:hAnsiTheme="majorEastAsia" w:eastAsiaTheme="majorEastAsia"/>
          <w:b/>
          <w:bCs/>
          <w:color w:val="000000" w:themeColor="text1"/>
          <w:w w:val="95"/>
        </w:rPr>
      </w:pPr>
    </w:p>
    <w:p>
      <w:pPr>
        <w:pStyle w:val="2"/>
        <w:kinsoku w:val="0"/>
        <w:overflowPunct w:val="0"/>
        <w:spacing w:before="26" w:line="320" w:lineRule="auto"/>
        <w:jc w:val="center"/>
        <w:rPr>
          <w:rFonts w:asciiTheme="majorEastAsia" w:hAnsiTheme="majorEastAsia" w:eastAsiaTheme="majorEastAsia"/>
          <w:b/>
          <w:bCs/>
          <w:color w:val="000000" w:themeColor="text1"/>
          <w:w w:val="95"/>
        </w:rPr>
      </w:pPr>
    </w:p>
    <w:p>
      <w:pPr>
        <w:pStyle w:val="2"/>
        <w:kinsoku w:val="0"/>
        <w:overflowPunct w:val="0"/>
        <w:spacing w:before="26" w:line="320" w:lineRule="auto"/>
        <w:jc w:val="center"/>
        <w:rPr>
          <w:rFonts w:asciiTheme="majorEastAsia" w:hAnsiTheme="majorEastAsia" w:eastAsiaTheme="majorEastAsia"/>
          <w:b/>
          <w:bCs/>
          <w:color w:val="000000" w:themeColor="text1"/>
          <w:w w:val="95"/>
        </w:rPr>
      </w:pPr>
    </w:p>
    <w:p>
      <w:pPr>
        <w:pStyle w:val="2"/>
        <w:kinsoku w:val="0"/>
        <w:overflowPunct w:val="0"/>
        <w:spacing w:before="26" w:line="320" w:lineRule="auto"/>
        <w:jc w:val="center"/>
        <w:rPr>
          <w:rFonts w:asciiTheme="majorEastAsia" w:hAnsiTheme="majorEastAsia" w:eastAsiaTheme="majorEastAsia"/>
          <w:color w:val="000000" w:themeColor="text1"/>
        </w:rPr>
      </w:pPr>
      <w:r>
        <w:rPr>
          <w:rFonts w:hint="eastAsia" w:asciiTheme="majorEastAsia" w:hAnsiTheme="majorEastAsia" w:eastAsiaTheme="majorEastAsia"/>
          <w:b/>
          <w:bCs/>
          <w:color w:val="000000" w:themeColor="text1"/>
          <w:w w:val="95"/>
        </w:rPr>
        <w:t>（二</w:t>
      </w:r>
      <w:r>
        <w:rPr>
          <w:rFonts w:hint="eastAsia" w:asciiTheme="majorEastAsia" w:hAnsiTheme="majorEastAsia" w:eastAsiaTheme="majorEastAsia"/>
          <w:b/>
          <w:bCs/>
          <w:color w:val="000000" w:themeColor="text1"/>
          <w:spacing w:val="-15"/>
          <w:w w:val="95"/>
        </w:rPr>
        <w:t>）</w:t>
      </w:r>
      <w:r>
        <w:rPr>
          <w:rFonts w:hint="eastAsia" w:asciiTheme="majorEastAsia" w:hAnsiTheme="majorEastAsia" w:eastAsiaTheme="majorEastAsia"/>
          <w:b/>
          <w:bCs/>
          <w:color w:val="000000" w:themeColor="text1"/>
          <w:w w:val="95"/>
        </w:rPr>
        <w:t>营</w:t>
      </w:r>
      <w:r>
        <w:rPr>
          <w:rFonts w:hint="eastAsia" w:asciiTheme="majorEastAsia" w:hAnsiTheme="majorEastAsia" w:eastAsiaTheme="majorEastAsia"/>
          <w:b/>
          <w:bCs/>
          <w:color w:val="000000" w:themeColor="text1"/>
          <w:spacing w:val="1"/>
          <w:w w:val="95"/>
        </w:rPr>
        <w:t>业</w:t>
      </w:r>
      <w:r>
        <w:rPr>
          <w:rFonts w:hint="eastAsia" w:asciiTheme="majorEastAsia" w:hAnsiTheme="majorEastAsia" w:eastAsiaTheme="majorEastAsia"/>
          <w:b/>
          <w:bCs/>
          <w:color w:val="000000" w:themeColor="text1"/>
          <w:w w:val="95"/>
        </w:rPr>
        <w:t>执</w:t>
      </w:r>
      <w:r>
        <w:rPr>
          <w:rFonts w:hint="eastAsia" w:asciiTheme="majorEastAsia" w:hAnsiTheme="majorEastAsia" w:eastAsiaTheme="majorEastAsia"/>
          <w:b/>
          <w:bCs/>
          <w:color w:val="000000" w:themeColor="text1"/>
          <w:spacing w:val="1"/>
          <w:w w:val="95"/>
        </w:rPr>
        <w:t>照</w:t>
      </w:r>
      <w:r>
        <w:rPr>
          <w:rFonts w:hint="eastAsia" w:asciiTheme="majorEastAsia" w:hAnsiTheme="majorEastAsia" w:eastAsiaTheme="majorEastAsia"/>
          <w:b/>
          <w:bCs/>
          <w:color w:val="000000" w:themeColor="text1"/>
          <w:w w:val="95"/>
        </w:rPr>
        <w:t>副本</w:t>
      </w:r>
      <w:r>
        <w:rPr>
          <w:rFonts w:hint="eastAsia" w:asciiTheme="majorEastAsia" w:hAnsiTheme="majorEastAsia" w:eastAsiaTheme="majorEastAsia"/>
          <w:b/>
          <w:bCs/>
          <w:color w:val="000000" w:themeColor="text1"/>
          <w:spacing w:val="-15"/>
          <w:w w:val="95"/>
        </w:rPr>
        <w:t>、</w:t>
      </w:r>
      <w:r>
        <w:rPr>
          <w:rFonts w:hint="eastAsia" w:asciiTheme="majorEastAsia" w:hAnsiTheme="majorEastAsia" w:eastAsiaTheme="majorEastAsia"/>
          <w:b/>
          <w:bCs/>
          <w:color w:val="000000" w:themeColor="text1"/>
          <w:w w:val="95"/>
        </w:rPr>
        <w:t>税</w:t>
      </w:r>
      <w:r>
        <w:rPr>
          <w:rFonts w:hint="eastAsia" w:asciiTheme="majorEastAsia" w:hAnsiTheme="majorEastAsia" w:eastAsiaTheme="majorEastAsia"/>
          <w:b/>
          <w:bCs/>
          <w:color w:val="000000" w:themeColor="text1"/>
          <w:spacing w:val="1"/>
          <w:w w:val="95"/>
        </w:rPr>
        <w:t>务</w:t>
      </w:r>
      <w:r>
        <w:rPr>
          <w:rFonts w:hint="eastAsia" w:asciiTheme="majorEastAsia" w:hAnsiTheme="majorEastAsia" w:eastAsiaTheme="majorEastAsia"/>
          <w:b/>
          <w:bCs/>
          <w:color w:val="000000" w:themeColor="text1"/>
          <w:w w:val="95"/>
        </w:rPr>
        <w:t>登</w:t>
      </w:r>
      <w:r>
        <w:rPr>
          <w:rFonts w:hint="eastAsia" w:asciiTheme="majorEastAsia" w:hAnsiTheme="majorEastAsia" w:eastAsiaTheme="majorEastAsia"/>
          <w:b/>
          <w:bCs/>
          <w:color w:val="000000" w:themeColor="text1"/>
          <w:spacing w:val="1"/>
          <w:w w:val="95"/>
        </w:rPr>
        <w:t>记</w:t>
      </w:r>
      <w:r>
        <w:rPr>
          <w:rFonts w:hint="eastAsia" w:asciiTheme="majorEastAsia" w:hAnsiTheme="majorEastAsia" w:eastAsiaTheme="majorEastAsia"/>
          <w:b/>
          <w:bCs/>
          <w:color w:val="000000" w:themeColor="text1"/>
          <w:w w:val="95"/>
        </w:rPr>
        <w:t>证</w:t>
      </w:r>
      <w:r>
        <w:rPr>
          <w:rFonts w:hint="eastAsia" w:asciiTheme="majorEastAsia" w:hAnsiTheme="majorEastAsia" w:eastAsiaTheme="majorEastAsia"/>
          <w:b/>
          <w:bCs/>
          <w:color w:val="000000" w:themeColor="text1"/>
          <w:spacing w:val="-17"/>
          <w:w w:val="95"/>
        </w:rPr>
        <w:t>、</w:t>
      </w:r>
      <w:r>
        <w:rPr>
          <w:rFonts w:hint="eastAsia" w:asciiTheme="majorEastAsia" w:hAnsiTheme="majorEastAsia" w:eastAsiaTheme="majorEastAsia"/>
          <w:b/>
          <w:bCs/>
          <w:color w:val="000000" w:themeColor="text1"/>
          <w:w w:val="95"/>
        </w:rPr>
        <w:t>组</w:t>
      </w:r>
      <w:r>
        <w:rPr>
          <w:rFonts w:hint="eastAsia" w:asciiTheme="majorEastAsia" w:hAnsiTheme="majorEastAsia" w:eastAsiaTheme="majorEastAsia"/>
          <w:b/>
          <w:bCs/>
          <w:color w:val="000000" w:themeColor="text1"/>
          <w:spacing w:val="1"/>
          <w:w w:val="95"/>
        </w:rPr>
        <w:t>织</w:t>
      </w:r>
      <w:r>
        <w:rPr>
          <w:rFonts w:hint="eastAsia" w:asciiTheme="majorEastAsia" w:hAnsiTheme="majorEastAsia" w:eastAsiaTheme="majorEastAsia"/>
          <w:b/>
          <w:bCs/>
          <w:color w:val="000000" w:themeColor="text1"/>
          <w:w w:val="95"/>
        </w:rPr>
        <w:t>机</w:t>
      </w:r>
      <w:r>
        <w:rPr>
          <w:rFonts w:hint="eastAsia" w:asciiTheme="majorEastAsia" w:hAnsiTheme="majorEastAsia" w:eastAsiaTheme="majorEastAsia"/>
          <w:b/>
          <w:bCs/>
          <w:color w:val="000000" w:themeColor="text1"/>
          <w:spacing w:val="1"/>
          <w:w w:val="95"/>
        </w:rPr>
        <w:t>构</w:t>
      </w:r>
      <w:r>
        <w:rPr>
          <w:rFonts w:hint="eastAsia" w:asciiTheme="majorEastAsia" w:hAnsiTheme="majorEastAsia" w:eastAsiaTheme="majorEastAsia"/>
          <w:b/>
          <w:bCs/>
          <w:color w:val="000000" w:themeColor="text1"/>
          <w:w w:val="95"/>
        </w:rPr>
        <w:t>代码</w:t>
      </w:r>
      <w:r>
        <w:rPr>
          <w:rFonts w:hint="eastAsia" w:asciiTheme="majorEastAsia" w:hAnsiTheme="majorEastAsia" w:eastAsiaTheme="majorEastAsia"/>
          <w:b/>
          <w:bCs/>
          <w:color w:val="000000" w:themeColor="text1"/>
          <w:spacing w:val="1"/>
          <w:w w:val="95"/>
        </w:rPr>
        <w:t>证</w:t>
      </w:r>
      <w:r>
        <w:rPr>
          <w:rFonts w:hint="eastAsia" w:asciiTheme="majorEastAsia" w:hAnsiTheme="majorEastAsia" w:eastAsiaTheme="majorEastAsia"/>
          <w:b/>
          <w:bCs/>
          <w:color w:val="000000" w:themeColor="text1"/>
          <w:spacing w:val="-33"/>
          <w:w w:val="95"/>
        </w:rPr>
        <w:t>、</w:t>
      </w:r>
      <w:r>
        <w:rPr>
          <w:rFonts w:hint="eastAsia" w:asciiTheme="majorEastAsia" w:hAnsiTheme="majorEastAsia" w:eastAsiaTheme="majorEastAsia"/>
          <w:b/>
          <w:bCs/>
          <w:color w:val="000000" w:themeColor="text1"/>
          <w:w w:val="95"/>
        </w:rPr>
        <w:t>（三</w:t>
      </w:r>
      <w:r>
        <w:rPr>
          <w:rFonts w:hint="eastAsia" w:asciiTheme="majorEastAsia" w:hAnsiTheme="majorEastAsia" w:eastAsiaTheme="majorEastAsia"/>
          <w:b/>
          <w:bCs/>
          <w:color w:val="000000" w:themeColor="text1"/>
          <w:spacing w:val="1"/>
          <w:w w:val="95"/>
        </w:rPr>
        <w:t>证</w:t>
      </w:r>
      <w:r>
        <w:rPr>
          <w:rFonts w:hint="eastAsia" w:asciiTheme="majorEastAsia" w:hAnsiTheme="majorEastAsia" w:eastAsiaTheme="majorEastAsia"/>
          <w:b/>
          <w:bCs/>
          <w:color w:val="000000" w:themeColor="text1"/>
          <w:w w:val="95"/>
        </w:rPr>
        <w:t>合</w:t>
      </w:r>
      <w:r>
        <w:rPr>
          <w:rFonts w:hint="eastAsia" w:asciiTheme="majorEastAsia" w:hAnsiTheme="majorEastAsia" w:eastAsiaTheme="majorEastAsia"/>
          <w:b/>
          <w:bCs/>
          <w:color w:val="000000" w:themeColor="text1"/>
          <w:spacing w:val="1"/>
          <w:w w:val="95"/>
        </w:rPr>
        <w:t>一</w:t>
      </w:r>
      <w:r>
        <w:rPr>
          <w:rFonts w:hint="eastAsia" w:asciiTheme="majorEastAsia" w:hAnsiTheme="majorEastAsia" w:eastAsiaTheme="majorEastAsia"/>
          <w:b/>
          <w:bCs/>
          <w:color w:val="000000" w:themeColor="text1"/>
          <w:w w:val="95"/>
        </w:rPr>
        <w:t>的提</w:t>
      </w:r>
      <w:r>
        <w:rPr>
          <w:rFonts w:hint="eastAsia" w:asciiTheme="majorEastAsia" w:hAnsiTheme="majorEastAsia" w:eastAsiaTheme="majorEastAsia"/>
          <w:b/>
          <w:bCs/>
          <w:color w:val="000000" w:themeColor="text1"/>
          <w:spacing w:val="1"/>
          <w:w w:val="95"/>
        </w:rPr>
        <w:t>供</w:t>
      </w:r>
      <w:r>
        <w:rPr>
          <w:rFonts w:hint="eastAsia" w:asciiTheme="majorEastAsia" w:hAnsiTheme="majorEastAsia" w:eastAsiaTheme="majorEastAsia"/>
          <w:b/>
          <w:bCs/>
          <w:color w:val="000000" w:themeColor="text1"/>
          <w:w w:val="95"/>
        </w:rPr>
        <w:t>统</w:t>
      </w:r>
      <w:r>
        <w:rPr>
          <w:rFonts w:hint="eastAsia" w:asciiTheme="majorEastAsia" w:hAnsiTheme="majorEastAsia" w:eastAsiaTheme="majorEastAsia"/>
          <w:b/>
          <w:bCs/>
          <w:color w:val="000000" w:themeColor="text1"/>
          <w:spacing w:val="1"/>
          <w:w w:val="95"/>
        </w:rPr>
        <w:t>一</w:t>
      </w:r>
      <w:r>
        <w:rPr>
          <w:rFonts w:hint="eastAsia" w:asciiTheme="majorEastAsia" w:hAnsiTheme="majorEastAsia" w:eastAsiaTheme="majorEastAsia"/>
          <w:b/>
          <w:bCs/>
          <w:color w:val="000000" w:themeColor="text1"/>
          <w:w w:val="95"/>
        </w:rPr>
        <w:t>社会</w:t>
      </w:r>
      <w:r>
        <w:rPr>
          <w:rFonts w:hint="eastAsia" w:asciiTheme="majorEastAsia" w:hAnsiTheme="majorEastAsia" w:eastAsiaTheme="majorEastAsia"/>
          <w:b/>
          <w:bCs/>
          <w:color w:val="000000" w:themeColor="text1"/>
          <w:spacing w:val="1"/>
          <w:w w:val="95"/>
        </w:rPr>
        <w:t>信</w:t>
      </w:r>
      <w:r>
        <w:rPr>
          <w:rFonts w:hint="eastAsia" w:asciiTheme="majorEastAsia" w:hAnsiTheme="majorEastAsia" w:eastAsiaTheme="majorEastAsia"/>
          <w:b/>
          <w:bCs/>
          <w:color w:val="000000" w:themeColor="text1"/>
          <w:w w:val="95"/>
        </w:rPr>
        <w:t>用</w:t>
      </w:r>
      <w:r>
        <w:rPr>
          <w:rFonts w:hint="eastAsia" w:asciiTheme="majorEastAsia" w:hAnsiTheme="majorEastAsia" w:eastAsiaTheme="majorEastAsia"/>
          <w:b/>
          <w:bCs/>
          <w:color w:val="000000" w:themeColor="text1"/>
        </w:rPr>
        <w:t>代码的营业执照）</w:t>
      </w:r>
    </w:p>
    <w:p>
      <w:pPr>
        <w:pStyle w:val="2"/>
        <w:kinsoku w:val="0"/>
        <w:overflowPunct w:val="0"/>
        <w:spacing w:before="26"/>
        <w:ind w:left="1051" w:right="118"/>
        <w:jc w:val="center"/>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如项目所在地有分支机构还需提供分支机构营业执照</w:t>
      </w:r>
      <w:r>
        <w:rPr>
          <w:rFonts w:asciiTheme="majorEastAsia" w:hAnsiTheme="majorEastAsia" w:eastAsiaTheme="majorEastAsia"/>
          <w:color w:val="000000" w:themeColor="text1"/>
        </w:rPr>
        <w:br w:type="page"/>
      </w:r>
    </w:p>
    <w:p>
      <w:pPr>
        <w:pStyle w:val="2"/>
        <w:kinsoku w:val="0"/>
        <w:overflowPunct w:val="0"/>
        <w:spacing w:before="26"/>
        <w:ind w:left="1051" w:right="118"/>
        <w:jc w:val="center"/>
        <w:rPr>
          <w:rFonts w:asciiTheme="majorEastAsia" w:hAnsiTheme="majorEastAsia" w:eastAsiaTheme="majorEastAsia"/>
          <w:color w:val="000000" w:themeColor="text1"/>
        </w:rPr>
      </w:pPr>
    </w:p>
    <w:p>
      <w:pPr>
        <w:pStyle w:val="2"/>
        <w:kinsoku w:val="0"/>
        <w:overflowPunct w:val="0"/>
        <w:spacing w:before="26"/>
        <w:ind w:left="1051" w:right="118"/>
        <w:jc w:val="center"/>
        <w:rPr>
          <w:rFonts w:asciiTheme="majorEastAsia" w:hAnsiTheme="majorEastAsia" w:eastAsiaTheme="majorEastAsia"/>
          <w:color w:val="000000" w:themeColor="text1"/>
        </w:rPr>
      </w:pPr>
    </w:p>
    <w:p>
      <w:pPr>
        <w:pStyle w:val="2"/>
        <w:kinsoku w:val="0"/>
        <w:overflowPunct w:val="0"/>
        <w:spacing w:before="26"/>
        <w:ind w:left="1051" w:right="118"/>
        <w:jc w:val="center"/>
        <w:rPr>
          <w:rFonts w:asciiTheme="majorEastAsia" w:hAnsiTheme="majorEastAsia" w:eastAsiaTheme="majorEastAsia"/>
          <w:color w:val="000000" w:themeColor="text1"/>
        </w:rPr>
      </w:pPr>
    </w:p>
    <w:p>
      <w:pPr>
        <w:pStyle w:val="2"/>
        <w:kinsoku w:val="0"/>
        <w:overflowPunct w:val="0"/>
        <w:spacing w:before="26"/>
        <w:ind w:left="1051" w:right="118"/>
        <w:jc w:val="center"/>
        <w:rPr>
          <w:rFonts w:asciiTheme="majorEastAsia" w:hAnsiTheme="majorEastAsia" w:eastAsiaTheme="majorEastAsia"/>
          <w:color w:val="000000" w:themeColor="text1"/>
        </w:rPr>
      </w:pPr>
    </w:p>
    <w:p>
      <w:pPr>
        <w:pStyle w:val="2"/>
        <w:kinsoku w:val="0"/>
        <w:overflowPunct w:val="0"/>
        <w:spacing w:before="26"/>
        <w:ind w:left="1051" w:right="118"/>
        <w:jc w:val="center"/>
        <w:rPr>
          <w:rFonts w:asciiTheme="majorEastAsia" w:hAnsiTheme="majorEastAsia" w:eastAsiaTheme="majorEastAsia"/>
          <w:color w:val="000000" w:themeColor="text1"/>
        </w:rPr>
      </w:pPr>
    </w:p>
    <w:p>
      <w:pPr>
        <w:pStyle w:val="2"/>
        <w:kinsoku w:val="0"/>
        <w:overflowPunct w:val="0"/>
        <w:spacing w:before="26"/>
        <w:ind w:left="1051" w:right="118"/>
        <w:jc w:val="center"/>
        <w:rPr>
          <w:rFonts w:asciiTheme="majorEastAsia" w:hAnsiTheme="majorEastAsia" w:eastAsiaTheme="majorEastAsia"/>
          <w:color w:val="000000" w:themeColor="text1"/>
          <w:szCs w:val="21"/>
        </w:rPr>
      </w:pPr>
      <w:r>
        <w:rPr>
          <w:rFonts w:hint="eastAsia" w:asciiTheme="majorEastAsia" w:hAnsiTheme="majorEastAsia" w:eastAsiaTheme="majorEastAsia"/>
          <w:b/>
          <w:bCs/>
          <w:color w:val="000000" w:themeColor="text1"/>
          <w:szCs w:val="21"/>
        </w:rPr>
        <w:t>（三）近</w:t>
      </w:r>
      <w:r>
        <w:rPr>
          <w:rFonts w:hint="eastAsia" w:asciiTheme="majorEastAsia" w:hAnsiTheme="majorEastAsia" w:eastAsiaTheme="majorEastAsia"/>
          <w:b/>
          <w:bCs/>
          <w:color w:val="000000" w:themeColor="text1"/>
          <w:szCs w:val="21"/>
          <w:lang w:eastAsia="zh-CN"/>
        </w:rPr>
        <w:t>一</w:t>
      </w:r>
      <w:r>
        <w:rPr>
          <w:rFonts w:hint="eastAsia" w:asciiTheme="majorEastAsia" w:hAnsiTheme="majorEastAsia" w:eastAsiaTheme="majorEastAsia"/>
          <w:b/>
          <w:bCs/>
          <w:color w:val="000000" w:themeColor="text1"/>
          <w:szCs w:val="21"/>
        </w:rPr>
        <w:t>年财务状况报告相关材料（复印件加盖单位公章）</w:t>
      </w:r>
    </w:p>
    <w:p>
      <w:pPr>
        <w:jc w:val="center"/>
        <w:outlineLvl w:val="0"/>
        <w:rPr>
          <w:rFonts w:asciiTheme="majorEastAsia" w:hAnsiTheme="majorEastAsia" w:eastAsiaTheme="majorEastAsia"/>
          <w:b/>
          <w:color w:val="000000" w:themeColor="text1"/>
          <w:szCs w:val="21"/>
        </w:rPr>
      </w:pPr>
      <w:r>
        <w:rPr>
          <w:rFonts w:asciiTheme="majorEastAsia" w:hAnsiTheme="majorEastAsia" w:eastAsiaTheme="majorEastAsia"/>
          <w:color w:val="000000" w:themeColor="text1"/>
        </w:rPr>
        <w:br w:type="page"/>
      </w:r>
      <w:bookmarkStart w:id="211" w:name="_Toc31879"/>
      <w:r>
        <w:rPr>
          <w:rFonts w:hint="eastAsia" w:asciiTheme="majorEastAsia" w:hAnsiTheme="majorEastAsia" w:eastAsiaTheme="majorEastAsia"/>
          <w:b/>
          <w:bCs/>
          <w:color w:val="000000" w:themeColor="text1"/>
          <w:sz w:val="36"/>
          <w:szCs w:val="36"/>
        </w:rPr>
        <w:t>八、一般商务条款偏离表</w:t>
      </w:r>
      <w:bookmarkEnd w:id="211"/>
    </w:p>
    <w:p>
      <w:pPr>
        <w:rPr>
          <w:rFonts w:asciiTheme="majorEastAsia" w:hAnsiTheme="majorEastAsia" w:eastAsiaTheme="majorEastAsia"/>
          <w:color w:val="000000" w:themeColor="text1"/>
        </w:rPr>
      </w:pPr>
    </w:p>
    <w:tbl>
      <w:tblPr>
        <w:tblStyle w:val="4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1932"/>
        <w:gridCol w:w="1471"/>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序号</w:t>
            </w:r>
          </w:p>
        </w:tc>
        <w:tc>
          <w:tcPr>
            <w:tcW w:w="2154"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一般商务条款序号</w:t>
            </w:r>
          </w:p>
        </w:tc>
        <w:tc>
          <w:tcPr>
            <w:tcW w:w="1932"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条款内容</w:t>
            </w:r>
          </w:p>
        </w:tc>
        <w:tc>
          <w:tcPr>
            <w:tcW w:w="1471"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是否响应</w:t>
            </w:r>
          </w:p>
        </w:tc>
        <w:tc>
          <w:tcPr>
            <w:tcW w:w="265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1</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2</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3</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4</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5</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6</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7</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8</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9</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10</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11</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12</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13</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14</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15</w:t>
            </w:r>
          </w:p>
        </w:tc>
        <w:tc>
          <w:tcPr>
            <w:tcW w:w="2154" w:type="dxa"/>
            <w:vAlign w:val="center"/>
          </w:tcPr>
          <w:p>
            <w:pPr>
              <w:jc w:val="center"/>
              <w:rPr>
                <w:rFonts w:cs="仿宋" w:asciiTheme="majorEastAsia" w:hAnsiTheme="majorEastAsia" w:eastAsiaTheme="majorEastAsia"/>
                <w:color w:val="000000" w:themeColor="text1"/>
                <w:spacing w:val="-1"/>
                <w:kern w:val="0"/>
                <w:sz w:val="24"/>
              </w:rPr>
            </w:pPr>
          </w:p>
        </w:tc>
        <w:tc>
          <w:tcPr>
            <w:tcW w:w="193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2658" w:type="dxa"/>
            <w:vAlign w:val="center"/>
          </w:tcPr>
          <w:p>
            <w:pPr>
              <w:jc w:val="center"/>
              <w:rPr>
                <w:rFonts w:cs="仿宋" w:asciiTheme="majorEastAsia" w:hAnsiTheme="majorEastAsia" w:eastAsiaTheme="majorEastAsia"/>
                <w:color w:val="000000" w:themeColor="text1"/>
                <w:spacing w:val="-1"/>
                <w:kern w:val="0"/>
                <w:sz w:val="24"/>
              </w:rPr>
            </w:pPr>
          </w:p>
        </w:tc>
      </w:tr>
    </w:tbl>
    <w:p>
      <w:pP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注：请在“偏离说明”栏内扼要说明偏离情况，如无偏离则不需列明。</w:t>
      </w:r>
    </w:p>
    <w:p>
      <w:pPr>
        <w:rPr>
          <w:rFonts w:asciiTheme="majorEastAsia" w:hAnsiTheme="majorEastAsia" w:eastAsiaTheme="majorEastAsia"/>
          <w:color w:val="000000" w:themeColor="text1"/>
          <w:szCs w:val="21"/>
        </w:rPr>
      </w:pPr>
    </w:p>
    <w:p>
      <w:pPr>
        <w:pStyle w:val="2"/>
        <w:kinsoku w:val="0"/>
        <w:overflowPunct w:val="0"/>
        <w:spacing w:before="34" w:line="357" w:lineRule="auto"/>
        <w:ind w:right="126" w:firstLine="480"/>
        <w:jc w:val="center"/>
        <w:rPr>
          <w:rFonts w:asciiTheme="majorEastAsia" w:hAnsiTheme="majorEastAsia" w:eastAsiaTheme="majorEastAsia"/>
          <w:color w:val="000000" w:themeColor="text1"/>
          <w:sz w:val="18"/>
          <w:szCs w:val="18"/>
        </w:rPr>
      </w:pPr>
    </w:p>
    <w:p>
      <w:pPr>
        <w:pStyle w:val="2"/>
        <w:tabs>
          <w:tab w:val="left" w:pos="6736"/>
        </w:tabs>
        <w:kinsoku w:val="0"/>
        <w:overflowPunct w:val="0"/>
        <w:spacing w:before="26" w:line="337" w:lineRule="auto"/>
        <w:ind w:right="1526" w:firstLine="3432" w:firstLineChars="1650"/>
        <w:rPr>
          <w:rFonts w:asciiTheme="majorEastAsia" w:hAnsiTheme="majorEastAsia" w:eastAsiaTheme="majorEastAsia"/>
          <w:color w:val="000000" w:themeColor="text1"/>
          <w:spacing w:val="23"/>
        </w:rPr>
      </w:pPr>
      <w:r>
        <w:rPr>
          <w:rFonts w:hint="eastAsia" w:asciiTheme="majorEastAsia" w:hAnsiTheme="majorEastAsia" w:eastAsiaTheme="majorEastAsia"/>
          <w:color w:val="000000" w:themeColor="text1"/>
          <w:spacing w:val="-1"/>
        </w:rPr>
        <w:t>供应商：</w:t>
      </w:r>
      <w:r>
        <w:rPr>
          <w:rFonts w:hint="eastAsia" w:asciiTheme="majorEastAsia" w:hAnsiTheme="majorEastAsia" w:eastAsiaTheme="majorEastAsia"/>
          <w:color w:val="000000" w:themeColor="text1"/>
          <w:u w:val="single"/>
        </w:rPr>
        <w:t>（公章）</w:t>
      </w:r>
    </w:p>
    <w:p>
      <w:pPr>
        <w:pStyle w:val="2"/>
        <w:tabs>
          <w:tab w:val="left" w:pos="6736"/>
        </w:tabs>
        <w:kinsoku w:val="0"/>
        <w:overflowPunct w:val="0"/>
        <w:spacing w:before="26" w:line="337" w:lineRule="auto"/>
        <w:ind w:right="1526" w:firstLine="2184" w:firstLineChars="1050"/>
        <w:rPr>
          <w:rFonts w:asciiTheme="majorEastAsia" w:hAnsiTheme="majorEastAsia" w:eastAsiaTheme="majorEastAsia"/>
          <w:color w:val="000000" w:themeColor="text1"/>
          <w:sz w:val="9"/>
          <w:szCs w:val="9"/>
        </w:rPr>
      </w:pPr>
      <w:r>
        <w:rPr>
          <w:rFonts w:hint="eastAsia" w:asciiTheme="majorEastAsia" w:hAnsiTheme="majorEastAsia" w:eastAsiaTheme="majorEastAsia"/>
          <w:color w:val="000000" w:themeColor="text1"/>
          <w:spacing w:val="-1"/>
        </w:rPr>
        <w:t>法定代表人或委托人：</w:t>
      </w:r>
      <w:r>
        <w:rPr>
          <w:rFonts w:hint="eastAsia" w:asciiTheme="majorEastAsia" w:hAnsiTheme="majorEastAsia" w:eastAsiaTheme="majorEastAsia"/>
          <w:color w:val="000000" w:themeColor="text1"/>
          <w:u w:val="single"/>
        </w:rPr>
        <w:t>（签字或盖章）</w:t>
      </w:r>
    </w:p>
    <w:p>
      <w:pPr>
        <w:pStyle w:val="2"/>
        <w:tabs>
          <w:tab w:val="left" w:pos="5418"/>
          <w:tab w:val="left" w:pos="6258"/>
          <w:tab w:val="left" w:pos="7098"/>
        </w:tabs>
        <w:kinsoku w:val="0"/>
        <w:overflowPunct w:val="0"/>
        <w:spacing w:before="26"/>
        <w:ind w:left="4697"/>
        <w:rPr>
          <w:rFonts w:asciiTheme="majorEastAsia" w:hAnsiTheme="majorEastAsia" w:eastAsiaTheme="majorEastAsia"/>
          <w:color w:val="000000" w:themeColor="text1"/>
        </w:rPr>
      </w:pPr>
      <w:r>
        <w:rPr>
          <w:rFonts w:asciiTheme="majorEastAsia" w:hAnsiTheme="majorEastAsia" w:eastAsiaTheme="majorEastAsia"/>
          <w:color w:val="000000" w:themeColor="text1"/>
          <w:u w:val="single"/>
        </w:rPr>
        <w:tab/>
      </w:r>
      <w:r>
        <w:rPr>
          <w:rFonts w:hint="eastAsia" w:asciiTheme="majorEastAsia" w:hAnsiTheme="majorEastAsia" w:eastAsiaTheme="majorEastAsia"/>
          <w:color w:val="000000" w:themeColor="text1"/>
          <w:spacing w:val="-1"/>
        </w:rPr>
        <w:t>年</w:t>
      </w:r>
      <w:r>
        <w:rPr>
          <w:rFonts w:asciiTheme="majorEastAsia" w:hAnsiTheme="majorEastAsia" w:eastAsiaTheme="majorEastAsia"/>
          <w:color w:val="000000" w:themeColor="text1"/>
          <w:spacing w:val="-1"/>
          <w:u w:val="single"/>
        </w:rPr>
        <w:tab/>
      </w:r>
      <w:r>
        <w:rPr>
          <w:rFonts w:hint="eastAsia" w:asciiTheme="majorEastAsia" w:hAnsiTheme="majorEastAsia" w:eastAsiaTheme="majorEastAsia"/>
          <w:color w:val="000000" w:themeColor="text1"/>
          <w:spacing w:val="-1"/>
        </w:rPr>
        <w:t>月</w:t>
      </w:r>
      <w:r>
        <w:rPr>
          <w:rFonts w:asciiTheme="majorEastAsia" w:hAnsiTheme="majorEastAsia" w:eastAsiaTheme="majorEastAsia"/>
          <w:color w:val="000000" w:themeColor="text1"/>
          <w:spacing w:val="-1"/>
          <w:u w:val="single"/>
        </w:rPr>
        <w:tab/>
      </w:r>
      <w:r>
        <w:rPr>
          <w:rFonts w:hint="eastAsia" w:asciiTheme="majorEastAsia" w:hAnsiTheme="majorEastAsia" w:eastAsiaTheme="majorEastAsia"/>
          <w:color w:val="000000" w:themeColor="text1"/>
        </w:rPr>
        <w:t>日</w:t>
      </w:r>
    </w:p>
    <w:p>
      <w:pPr>
        <w:pStyle w:val="2"/>
        <w:kinsoku w:val="0"/>
        <w:overflowPunct w:val="0"/>
        <w:spacing w:before="34" w:line="357" w:lineRule="auto"/>
        <w:ind w:right="126" w:firstLine="480"/>
        <w:jc w:val="center"/>
        <w:outlineLvl w:val="0"/>
        <w:rPr>
          <w:rFonts w:asciiTheme="majorEastAsia" w:hAnsiTheme="majorEastAsia" w:eastAsiaTheme="majorEastAsia"/>
          <w:b/>
          <w:bCs/>
          <w:color w:val="000000" w:themeColor="text1"/>
        </w:rPr>
      </w:pPr>
      <w:r>
        <w:rPr>
          <w:rFonts w:asciiTheme="majorEastAsia" w:hAnsiTheme="majorEastAsia" w:eastAsiaTheme="majorEastAsia"/>
          <w:color w:val="000000" w:themeColor="text1"/>
        </w:rPr>
        <w:br w:type="page"/>
      </w:r>
      <w:bookmarkStart w:id="212" w:name="_Toc14504"/>
      <w:r>
        <w:rPr>
          <w:rFonts w:hint="eastAsia" w:asciiTheme="majorEastAsia" w:hAnsiTheme="majorEastAsia" w:eastAsiaTheme="majorEastAsia"/>
          <w:b/>
          <w:bCs/>
          <w:color w:val="000000" w:themeColor="text1"/>
          <w:sz w:val="36"/>
          <w:szCs w:val="36"/>
        </w:rPr>
        <w:t>九、同类项目业绩介绍</w:t>
      </w:r>
      <w:bookmarkEnd w:id="212"/>
    </w:p>
    <w:p>
      <w:pPr>
        <w:pStyle w:val="2"/>
        <w:kinsoku w:val="0"/>
        <w:overflowPunct w:val="0"/>
        <w:rPr>
          <w:rFonts w:asciiTheme="majorEastAsia" w:hAnsiTheme="majorEastAsia" w:eastAsiaTheme="majorEastAsia"/>
          <w:b/>
          <w:bCs/>
          <w:color w:val="000000" w:themeColor="text1"/>
          <w:sz w:val="20"/>
          <w:szCs w:val="20"/>
        </w:rPr>
      </w:pPr>
    </w:p>
    <w:tbl>
      <w:tblPr>
        <w:tblStyle w:val="4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7"/>
        <w:gridCol w:w="3402"/>
        <w:gridCol w:w="147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序号</w:t>
            </w:r>
          </w:p>
        </w:tc>
        <w:tc>
          <w:tcPr>
            <w:tcW w:w="1647"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客户名称</w:t>
            </w:r>
          </w:p>
        </w:tc>
        <w:tc>
          <w:tcPr>
            <w:tcW w:w="3402"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项目名称及合同金额（万元）</w:t>
            </w:r>
          </w:p>
        </w:tc>
        <w:tc>
          <w:tcPr>
            <w:tcW w:w="1471"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实施时间</w:t>
            </w:r>
          </w:p>
        </w:tc>
        <w:tc>
          <w:tcPr>
            <w:tcW w:w="1808"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1</w:t>
            </w:r>
          </w:p>
        </w:tc>
        <w:tc>
          <w:tcPr>
            <w:tcW w:w="1647" w:type="dxa"/>
            <w:vAlign w:val="center"/>
          </w:tcPr>
          <w:p>
            <w:pPr>
              <w:jc w:val="center"/>
              <w:rPr>
                <w:rFonts w:cs="仿宋" w:asciiTheme="majorEastAsia" w:hAnsiTheme="majorEastAsia" w:eastAsiaTheme="majorEastAsia"/>
                <w:color w:val="000000" w:themeColor="text1"/>
                <w:spacing w:val="-1"/>
                <w:kern w:val="0"/>
                <w:sz w:val="24"/>
              </w:rPr>
            </w:pPr>
          </w:p>
        </w:tc>
        <w:tc>
          <w:tcPr>
            <w:tcW w:w="340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180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2</w:t>
            </w:r>
          </w:p>
        </w:tc>
        <w:tc>
          <w:tcPr>
            <w:tcW w:w="1647" w:type="dxa"/>
            <w:vAlign w:val="center"/>
          </w:tcPr>
          <w:p>
            <w:pPr>
              <w:jc w:val="center"/>
              <w:rPr>
                <w:rFonts w:cs="仿宋" w:asciiTheme="majorEastAsia" w:hAnsiTheme="majorEastAsia" w:eastAsiaTheme="majorEastAsia"/>
                <w:color w:val="000000" w:themeColor="text1"/>
                <w:spacing w:val="-1"/>
                <w:kern w:val="0"/>
                <w:sz w:val="24"/>
              </w:rPr>
            </w:pPr>
          </w:p>
        </w:tc>
        <w:tc>
          <w:tcPr>
            <w:tcW w:w="340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180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3</w:t>
            </w:r>
          </w:p>
        </w:tc>
        <w:tc>
          <w:tcPr>
            <w:tcW w:w="1647" w:type="dxa"/>
            <w:vAlign w:val="center"/>
          </w:tcPr>
          <w:p>
            <w:pPr>
              <w:jc w:val="center"/>
              <w:rPr>
                <w:rFonts w:cs="仿宋" w:asciiTheme="majorEastAsia" w:hAnsiTheme="majorEastAsia" w:eastAsiaTheme="majorEastAsia"/>
                <w:color w:val="000000" w:themeColor="text1"/>
                <w:spacing w:val="-1"/>
                <w:kern w:val="0"/>
                <w:sz w:val="24"/>
              </w:rPr>
            </w:pPr>
          </w:p>
        </w:tc>
        <w:tc>
          <w:tcPr>
            <w:tcW w:w="340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1808" w:type="dxa"/>
            <w:vAlign w:val="center"/>
          </w:tcPr>
          <w:p>
            <w:pPr>
              <w:jc w:val="center"/>
              <w:rPr>
                <w:rFonts w:cs="仿宋" w:asciiTheme="majorEastAsia" w:hAnsiTheme="majorEastAsia" w:eastAsiaTheme="majorEastAsia"/>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w:t>
            </w:r>
          </w:p>
        </w:tc>
        <w:tc>
          <w:tcPr>
            <w:tcW w:w="1647" w:type="dxa"/>
            <w:vAlign w:val="center"/>
          </w:tcPr>
          <w:p>
            <w:pPr>
              <w:jc w:val="center"/>
              <w:rPr>
                <w:rFonts w:cs="仿宋" w:asciiTheme="majorEastAsia" w:hAnsiTheme="majorEastAsia" w:eastAsiaTheme="majorEastAsia"/>
                <w:color w:val="000000" w:themeColor="text1"/>
                <w:spacing w:val="-1"/>
                <w:kern w:val="0"/>
                <w:sz w:val="24"/>
              </w:rPr>
            </w:pPr>
          </w:p>
        </w:tc>
        <w:tc>
          <w:tcPr>
            <w:tcW w:w="3402" w:type="dxa"/>
            <w:vAlign w:val="center"/>
          </w:tcPr>
          <w:p>
            <w:pPr>
              <w:jc w:val="center"/>
              <w:rPr>
                <w:rFonts w:cs="仿宋" w:asciiTheme="majorEastAsia" w:hAnsiTheme="majorEastAsia" w:eastAsiaTheme="majorEastAsia"/>
                <w:color w:val="000000" w:themeColor="text1"/>
                <w:spacing w:val="-1"/>
                <w:kern w:val="0"/>
                <w:sz w:val="24"/>
              </w:rPr>
            </w:pPr>
          </w:p>
        </w:tc>
        <w:tc>
          <w:tcPr>
            <w:tcW w:w="1471" w:type="dxa"/>
            <w:vAlign w:val="center"/>
          </w:tcPr>
          <w:p>
            <w:pPr>
              <w:jc w:val="center"/>
              <w:rPr>
                <w:rFonts w:cs="仿宋" w:asciiTheme="majorEastAsia" w:hAnsiTheme="majorEastAsia" w:eastAsiaTheme="majorEastAsia"/>
                <w:color w:val="000000" w:themeColor="text1"/>
                <w:spacing w:val="-1"/>
                <w:kern w:val="0"/>
                <w:sz w:val="24"/>
              </w:rPr>
            </w:pPr>
          </w:p>
        </w:tc>
        <w:tc>
          <w:tcPr>
            <w:tcW w:w="1808" w:type="dxa"/>
            <w:vAlign w:val="center"/>
          </w:tcPr>
          <w:p>
            <w:pPr>
              <w:jc w:val="center"/>
              <w:rPr>
                <w:rFonts w:cs="仿宋" w:asciiTheme="majorEastAsia" w:hAnsiTheme="majorEastAsia" w:eastAsiaTheme="majorEastAsia"/>
                <w:color w:val="000000" w:themeColor="text1"/>
                <w:spacing w:val="-1"/>
                <w:kern w:val="0"/>
                <w:sz w:val="24"/>
              </w:rPr>
            </w:pPr>
          </w:p>
        </w:tc>
      </w:tr>
    </w:tbl>
    <w:p>
      <w:pPr>
        <w:rPr>
          <w:rFonts w:cs="仿宋" w:asciiTheme="majorEastAsia" w:hAnsiTheme="majorEastAsia" w:eastAsiaTheme="majorEastAsia"/>
          <w:color w:val="000000" w:themeColor="text1"/>
          <w:spacing w:val="-1"/>
          <w:kern w:val="0"/>
          <w:sz w:val="24"/>
        </w:rPr>
      </w:pPr>
      <w:r>
        <w:rPr>
          <w:rFonts w:hint="eastAsia" w:cs="仿宋" w:asciiTheme="majorEastAsia" w:hAnsiTheme="majorEastAsia" w:eastAsiaTheme="majorEastAsia"/>
          <w:color w:val="000000" w:themeColor="text1"/>
          <w:spacing w:val="-1"/>
          <w:kern w:val="0"/>
          <w:sz w:val="24"/>
        </w:rPr>
        <w:t>注：根据评审表的要求提交相应资料。</w:t>
      </w:r>
    </w:p>
    <w:p>
      <w:pPr>
        <w:pStyle w:val="2"/>
        <w:kinsoku w:val="0"/>
        <w:overflowPunct w:val="0"/>
        <w:rPr>
          <w:rFonts w:asciiTheme="majorEastAsia" w:hAnsiTheme="majorEastAsia" w:eastAsiaTheme="majorEastAsia"/>
          <w:color w:val="000000" w:themeColor="text1"/>
        </w:rPr>
      </w:pPr>
    </w:p>
    <w:p>
      <w:pPr>
        <w:pStyle w:val="2"/>
        <w:kinsoku w:val="0"/>
        <w:overflowPunct w:val="0"/>
        <w:spacing w:before="10"/>
        <w:rPr>
          <w:rFonts w:asciiTheme="majorEastAsia" w:hAnsiTheme="majorEastAsia" w:eastAsiaTheme="majorEastAsia"/>
          <w:color w:val="000000" w:themeColor="text1"/>
          <w:sz w:val="29"/>
          <w:szCs w:val="29"/>
        </w:rPr>
      </w:pPr>
    </w:p>
    <w:p>
      <w:pPr>
        <w:pStyle w:val="2"/>
        <w:tabs>
          <w:tab w:val="left" w:pos="7078"/>
        </w:tabs>
        <w:kinsoku w:val="0"/>
        <w:overflowPunct w:val="0"/>
        <w:spacing w:line="337" w:lineRule="auto"/>
        <w:ind w:left="3598" w:right="1266" w:firstLine="624" w:firstLineChars="300"/>
        <w:rPr>
          <w:rFonts w:cs="仿宋" w:asciiTheme="majorEastAsia" w:hAnsiTheme="majorEastAsia" w:eastAsiaTheme="majorEastAsia"/>
          <w:color w:val="000000" w:themeColor="text1"/>
          <w:spacing w:val="23"/>
        </w:rPr>
      </w:pPr>
      <w:r>
        <w:rPr>
          <w:rFonts w:hint="eastAsia" w:cs="仿宋" w:asciiTheme="majorEastAsia" w:hAnsiTheme="majorEastAsia" w:eastAsiaTheme="majorEastAsia"/>
          <w:color w:val="000000" w:themeColor="text1"/>
          <w:spacing w:val="-1"/>
        </w:rPr>
        <w:t>供应商：</w:t>
      </w:r>
      <w:r>
        <w:rPr>
          <w:rFonts w:hint="eastAsia" w:cs="仿宋" w:asciiTheme="majorEastAsia" w:hAnsiTheme="majorEastAsia" w:eastAsiaTheme="majorEastAsia"/>
          <w:color w:val="000000" w:themeColor="text1"/>
          <w:u w:val="single"/>
        </w:rPr>
        <w:t>（公章）</w:t>
      </w:r>
    </w:p>
    <w:p>
      <w:pPr>
        <w:pStyle w:val="2"/>
        <w:tabs>
          <w:tab w:val="left" w:pos="7078"/>
        </w:tabs>
        <w:kinsoku w:val="0"/>
        <w:overflowPunct w:val="0"/>
        <w:spacing w:line="337" w:lineRule="auto"/>
        <w:ind w:left="3598" w:right="1266" w:firstLine="416" w:firstLineChars="200"/>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spacing w:val="-1"/>
        </w:rPr>
        <w:t>法定代表人或委托人：</w:t>
      </w:r>
      <w:r>
        <w:rPr>
          <w:rFonts w:hint="eastAsia" w:cs="仿宋" w:asciiTheme="majorEastAsia" w:hAnsiTheme="majorEastAsia" w:eastAsiaTheme="majorEastAsia"/>
          <w:color w:val="000000" w:themeColor="text1"/>
          <w:u w:val="single"/>
        </w:rPr>
        <w:t>（签字或盖章）</w:t>
      </w:r>
    </w:p>
    <w:p>
      <w:pPr>
        <w:pStyle w:val="2"/>
        <w:kinsoku w:val="0"/>
        <w:overflowPunct w:val="0"/>
        <w:spacing w:before="11"/>
        <w:rPr>
          <w:rFonts w:asciiTheme="majorEastAsia" w:hAnsiTheme="majorEastAsia" w:eastAsiaTheme="majorEastAsia"/>
          <w:color w:val="000000" w:themeColor="text1"/>
          <w:sz w:val="9"/>
          <w:szCs w:val="9"/>
        </w:rPr>
      </w:pPr>
    </w:p>
    <w:p>
      <w:pPr>
        <w:pStyle w:val="2"/>
        <w:tabs>
          <w:tab w:val="left" w:pos="5158"/>
          <w:tab w:val="left" w:pos="5998"/>
          <w:tab w:val="left" w:pos="6838"/>
        </w:tabs>
        <w:kinsoku w:val="0"/>
        <w:overflowPunct w:val="0"/>
        <w:spacing w:before="26"/>
        <w:ind w:left="4437" w:right="118"/>
        <w:rPr>
          <w:rFonts w:cs="仿宋" w:asciiTheme="majorEastAsia" w:hAnsiTheme="majorEastAsia" w:eastAsiaTheme="majorEastAsia"/>
          <w:color w:val="000000" w:themeColor="text1"/>
        </w:rPr>
      </w:pPr>
      <w:r>
        <w:rPr>
          <w:rFonts w:hint="eastAsia" w:cs="仿宋" w:asciiTheme="majorEastAsia" w:hAnsiTheme="majorEastAsia" w:eastAsiaTheme="majorEastAsia"/>
          <w:color w:val="000000" w:themeColor="text1"/>
          <w:u w:val="single"/>
        </w:rPr>
        <w:tab/>
      </w:r>
      <w:r>
        <w:rPr>
          <w:rFonts w:hint="eastAsia" w:cs="仿宋" w:asciiTheme="majorEastAsia" w:hAnsiTheme="majorEastAsia" w:eastAsiaTheme="majorEastAsia"/>
          <w:color w:val="000000" w:themeColor="text1"/>
          <w:spacing w:val="-1"/>
        </w:rPr>
        <w:t>年</w:t>
      </w:r>
      <w:r>
        <w:rPr>
          <w:rFonts w:hint="eastAsia" w:cs="仿宋" w:asciiTheme="majorEastAsia" w:hAnsiTheme="majorEastAsia" w:eastAsiaTheme="majorEastAsia"/>
          <w:color w:val="000000" w:themeColor="text1"/>
          <w:spacing w:val="-1"/>
          <w:u w:val="single"/>
        </w:rPr>
        <w:tab/>
      </w:r>
      <w:r>
        <w:rPr>
          <w:rFonts w:hint="eastAsia" w:cs="仿宋" w:asciiTheme="majorEastAsia" w:hAnsiTheme="majorEastAsia" w:eastAsiaTheme="majorEastAsia"/>
          <w:color w:val="000000" w:themeColor="text1"/>
          <w:spacing w:val="-1"/>
        </w:rPr>
        <w:t>月</w:t>
      </w:r>
      <w:r>
        <w:rPr>
          <w:rFonts w:hint="eastAsia" w:cs="仿宋" w:asciiTheme="majorEastAsia" w:hAnsiTheme="majorEastAsia" w:eastAsiaTheme="majorEastAsia"/>
          <w:color w:val="000000" w:themeColor="text1"/>
          <w:spacing w:val="-1"/>
          <w:u w:val="single"/>
        </w:rPr>
        <w:tab/>
      </w:r>
      <w:r>
        <w:rPr>
          <w:rFonts w:hint="eastAsia" w:cs="仿宋" w:asciiTheme="majorEastAsia" w:hAnsiTheme="majorEastAsia" w:eastAsiaTheme="majorEastAsia"/>
          <w:color w:val="000000" w:themeColor="text1"/>
        </w:rPr>
        <w:t>日</w:t>
      </w:r>
    </w:p>
    <w:p>
      <w:pPr>
        <w:pStyle w:val="2"/>
        <w:kinsoku w:val="0"/>
        <w:overflowPunct w:val="0"/>
        <w:spacing w:before="34" w:line="357" w:lineRule="auto"/>
        <w:ind w:right="126" w:firstLine="480"/>
        <w:jc w:val="center"/>
        <w:outlineLvl w:val="0"/>
        <w:rPr>
          <w:rFonts w:asciiTheme="majorEastAsia" w:hAnsiTheme="majorEastAsia" w:eastAsiaTheme="majorEastAsia"/>
          <w:b/>
          <w:bCs/>
          <w:color w:val="000000" w:themeColor="text1"/>
          <w:sz w:val="36"/>
          <w:szCs w:val="36"/>
        </w:rPr>
      </w:pPr>
      <w:r>
        <w:rPr>
          <w:rFonts w:asciiTheme="majorEastAsia" w:hAnsiTheme="majorEastAsia" w:eastAsiaTheme="majorEastAsia"/>
          <w:color w:val="000000" w:themeColor="text1"/>
        </w:rPr>
        <w:br w:type="page"/>
      </w:r>
      <w:bookmarkStart w:id="213" w:name="_Toc13017"/>
      <w:r>
        <w:rPr>
          <w:rFonts w:hint="eastAsia" w:asciiTheme="majorEastAsia" w:hAnsiTheme="majorEastAsia" w:eastAsiaTheme="majorEastAsia"/>
          <w:b/>
          <w:bCs/>
          <w:color w:val="000000" w:themeColor="text1"/>
          <w:sz w:val="36"/>
          <w:szCs w:val="36"/>
        </w:rPr>
        <w:t>十、</w:t>
      </w:r>
      <w:bookmarkEnd w:id="213"/>
      <w:bookmarkStart w:id="214" w:name="_Toc25402"/>
      <w:r>
        <w:rPr>
          <w:rFonts w:hint="eastAsia" w:asciiTheme="majorEastAsia" w:hAnsiTheme="majorEastAsia" w:eastAsiaTheme="majorEastAsia"/>
          <w:b/>
          <w:bCs/>
          <w:color w:val="000000" w:themeColor="text1"/>
          <w:sz w:val="36"/>
          <w:szCs w:val="36"/>
        </w:rPr>
        <w:t>其他商务资格证明资料</w:t>
      </w:r>
      <w:bookmarkEnd w:id="214"/>
    </w:p>
    <w:p>
      <w:pPr>
        <w:spacing w:line="360" w:lineRule="auto"/>
        <w:ind w:firstLine="525" w:firstLineChars="250"/>
        <w:rPr>
          <w:rFonts w:asciiTheme="majorEastAsia" w:hAnsiTheme="majorEastAsia" w:eastAsiaTheme="majorEastAsia"/>
          <w:color w:val="000000" w:themeColor="text1"/>
        </w:rPr>
      </w:pPr>
    </w:p>
    <w:p>
      <w:pPr>
        <w:spacing w:line="360" w:lineRule="auto"/>
        <w:ind w:firstLine="525" w:firstLineChars="250"/>
        <w:rPr>
          <w:rFonts w:asciiTheme="majorEastAsia" w:hAnsiTheme="majorEastAsia" w:eastAsiaTheme="majorEastAsia"/>
          <w:color w:val="000000" w:themeColor="text1"/>
        </w:rPr>
      </w:pPr>
    </w:p>
    <w:p>
      <w:pPr>
        <w:spacing w:line="360" w:lineRule="auto"/>
        <w:ind w:firstLine="525" w:firstLineChars="250"/>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rPr>
        <w:t>（含</w:t>
      </w:r>
      <w:r>
        <w:rPr>
          <w:rFonts w:hint="eastAsia" w:asciiTheme="majorEastAsia" w:hAnsiTheme="majorEastAsia" w:eastAsiaTheme="majorEastAsia"/>
          <w:color w:val="000000" w:themeColor="text1"/>
          <w:szCs w:val="21"/>
        </w:rPr>
        <w:t xml:space="preserve"> “信用中国”网站（WWW.creditchina.gov.cn）、中国政府采购网（www.ccgp.gov.cn）、国家企业信用信息公示系统（http://www.gsxt.gov.cn）、中国裁判文书网（http://wenshu.court.gov.cn/）四个网站的查询结果截图资料）。</w:t>
      </w:r>
    </w:p>
    <w:p>
      <w:pPr>
        <w:pStyle w:val="18"/>
        <w:rPr>
          <w:rFonts w:asciiTheme="majorEastAsia" w:hAnsiTheme="majorEastAsia" w:eastAsiaTheme="majorEastAsia"/>
          <w:color w:val="000000" w:themeColor="text1"/>
        </w:rPr>
      </w:pPr>
    </w:p>
    <w:p>
      <w:pPr>
        <w:pStyle w:val="2"/>
        <w:kinsoku w:val="0"/>
        <w:overflowPunct w:val="0"/>
        <w:spacing w:line="940" w:lineRule="exact"/>
        <w:rPr>
          <w:rFonts w:asciiTheme="majorEastAsia" w:hAnsiTheme="majorEastAsia" w:eastAsiaTheme="majorEastAsia"/>
          <w:color w:val="000000" w:themeColor="text1"/>
        </w:rPr>
      </w:pPr>
      <w:r>
        <w:rPr>
          <w:rFonts w:asciiTheme="majorEastAsia" w:hAnsiTheme="majorEastAsia" w:eastAsiaTheme="majorEastAsia"/>
          <w:color w:val="000000" w:themeColor="text1"/>
        </w:rPr>
        <w:br w:type="page"/>
      </w:r>
    </w:p>
    <w:p>
      <w:pPr>
        <w:pStyle w:val="2"/>
        <w:kinsoku w:val="0"/>
        <w:overflowPunct w:val="0"/>
        <w:spacing w:line="940" w:lineRule="exact"/>
        <w:jc w:val="center"/>
        <w:rPr>
          <w:rFonts w:cs="仿宋" w:asciiTheme="majorEastAsia" w:hAnsiTheme="majorEastAsia" w:eastAsiaTheme="majorEastAsia"/>
          <w:b/>
          <w:bCs/>
          <w:color w:val="000000" w:themeColor="text1"/>
          <w:spacing w:val="2"/>
          <w:sz w:val="44"/>
          <w:szCs w:val="44"/>
        </w:rPr>
      </w:pPr>
    </w:p>
    <w:p>
      <w:pPr>
        <w:pStyle w:val="2"/>
        <w:kinsoku w:val="0"/>
        <w:overflowPunct w:val="0"/>
        <w:spacing w:line="940" w:lineRule="exact"/>
        <w:jc w:val="center"/>
        <w:rPr>
          <w:rFonts w:cs="仿宋" w:asciiTheme="majorEastAsia" w:hAnsiTheme="majorEastAsia" w:eastAsiaTheme="majorEastAsia"/>
          <w:b/>
          <w:bCs/>
          <w:color w:val="000000" w:themeColor="text1"/>
          <w:spacing w:val="2"/>
          <w:sz w:val="44"/>
          <w:szCs w:val="44"/>
        </w:rPr>
      </w:pPr>
    </w:p>
    <w:p>
      <w:pPr>
        <w:pStyle w:val="2"/>
        <w:kinsoku w:val="0"/>
        <w:overflowPunct w:val="0"/>
        <w:spacing w:line="940" w:lineRule="exact"/>
        <w:jc w:val="center"/>
        <w:rPr>
          <w:rFonts w:cs="仿宋" w:asciiTheme="majorEastAsia" w:hAnsiTheme="majorEastAsia" w:eastAsiaTheme="majorEastAsia"/>
          <w:b/>
          <w:bCs/>
          <w:color w:val="000000" w:themeColor="text1"/>
          <w:spacing w:val="2"/>
          <w:sz w:val="44"/>
          <w:szCs w:val="44"/>
        </w:rPr>
      </w:pPr>
    </w:p>
    <w:p>
      <w:pPr>
        <w:pStyle w:val="2"/>
        <w:kinsoku w:val="0"/>
        <w:overflowPunct w:val="0"/>
        <w:spacing w:line="940" w:lineRule="exact"/>
        <w:jc w:val="center"/>
        <w:rPr>
          <w:rFonts w:cs="仿宋" w:asciiTheme="majorEastAsia" w:hAnsiTheme="majorEastAsia" w:eastAsiaTheme="majorEastAsia"/>
          <w:b/>
          <w:bCs/>
          <w:color w:val="000000" w:themeColor="text1"/>
          <w:spacing w:val="2"/>
          <w:sz w:val="44"/>
          <w:szCs w:val="44"/>
        </w:rPr>
      </w:pPr>
    </w:p>
    <w:p>
      <w:pPr>
        <w:pStyle w:val="2"/>
        <w:kinsoku w:val="0"/>
        <w:overflowPunct w:val="0"/>
        <w:spacing w:line="940" w:lineRule="exact"/>
        <w:jc w:val="center"/>
        <w:rPr>
          <w:rFonts w:cs="仿宋" w:asciiTheme="majorEastAsia" w:hAnsiTheme="majorEastAsia" w:eastAsiaTheme="majorEastAsia"/>
          <w:color w:val="000000" w:themeColor="text1"/>
          <w:sz w:val="44"/>
          <w:szCs w:val="44"/>
        </w:rPr>
      </w:pPr>
      <w:r>
        <w:rPr>
          <w:rFonts w:hint="eastAsia" w:cs="仿宋" w:asciiTheme="majorEastAsia" w:hAnsiTheme="majorEastAsia" w:eastAsiaTheme="majorEastAsia"/>
          <w:b/>
          <w:bCs/>
          <w:color w:val="000000" w:themeColor="text1"/>
          <w:spacing w:val="2"/>
          <w:sz w:val="44"/>
          <w:szCs w:val="44"/>
        </w:rPr>
        <w:t>（二）技术部分</w:t>
      </w:r>
    </w:p>
    <w:p>
      <w:pPr>
        <w:pStyle w:val="2"/>
        <w:kinsoku w:val="0"/>
        <w:overflowPunct w:val="0"/>
        <w:spacing w:before="34" w:line="357" w:lineRule="auto"/>
        <w:ind w:right="126" w:firstLine="480"/>
        <w:jc w:val="center"/>
        <w:outlineLvl w:val="0"/>
        <w:rPr>
          <w:rFonts w:asciiTheme="majorEastAsia" w:hAnsiTheme="majorEastAsia" w:eastAsiaTheme="majorEastAsia"/>
          <w:b/>
          <w:bCs/>
          <w:color w:val="000000" w:themeColor="text1"/>
        </w:rPr>
      </w:pPr>
      <w:r>
        <w:rPr>
          <w:rFonts w:hint="eastAsia" w:cs="仿宋" w:asciiTheme="majorEastAsia" w:hAnsiTheme="majorEastAsia" w:eastAsiaTheme="majorEastAsia"/>
          <w:color w:val="000000" w:themeColor="text1"/>
          <w:sz w:val="32"/>
          <w:szCs w:val="32"/>
        </w:rPr>
        <w:br w:type="page"/>
      </w:r>
      <w:bookmarkStart w:id="215" w:name="_Toc24004"/>
      <w:r>
        <w:rPr>
          <w:rFonts w:hint="eastAsia" w:asciiTheme="majorEastAsia" w:hAnsiTheme="majorEastAsia" w:eastAsiaTheme="majorEastAsia"/>
          <w:b/>
          <w:bCs/>
          <w:color w:val="000000" w:themeColor="text1"/>
          <w:sz w:val="36"/>
          <w:szCs w:val="36"/>
        </w:rPr>
        <w:t>十一、项目实施方案</w:t>
      </w:r>
      <w:bookmarkEnd w:id="215"/>
    </w:p>
    <w:p>
      <w:pPr>
        <w:rPr>
          <w:rFonts w:cs="仿宋" w:asciiTheme="majorEastAsia" w:hAnsiTheme="majorEastAsia" w:eastAsiaTheme="majorEastAsia"/>
          <w:b/>
          <w:color w:val="000000" w:themeColor="text1"/>
          <w:kern w:val="0"/>
          <w:sz w:val="24"/>
        </w:rPr>
      </w:pPr>
      <w:r>
        <w:rPr>
          <w:rFonts w:hint="eastAsia" w:cs="仿宋" w:asciiTheme="majorEastAsia" w:hAnsiTheme="majorEastAsia" w:eastAsiaTheme="majorEastAsia"/>
          <w:b/>
          <w:color w:val="000000" w:themeColor="text1"/>
          <w:kern w:val="0"/>
          <w:sz w:val="24"/>
        </w:rPr>
        <w:t>1</w:t>
      </w:r>
      <w:r>
        <w:rPr>
          <w:rFonts w:hint="eastAsia" w:cs="仿宋" w:asciiTheme="majorEastAsia" w:hAnsiTheme="majorEastAsia" w:eastAsiaTheme="majorEastAsia"/>
          <w:b/>
          <w:color w:val="000000" w:themeColor="text1"/>
          <w:kern w:val="0"/>
          <w:sz w:val="24"/>
        </w:rPr>
        <w:tab/>
      </w:r>
      <w:r>
        <w:rPr>
          <w:rFonts w:hint="eastAsia" w:cs="仿宋" w:asciiTheme="majorEastAsia" w:hAnsiTheme="majorEastAsia" w:eastAsiaTheme="majorEastAsia"/>
          <w:b/>
          <w:color w:val="000000" w:themeColor="text1"/>
          <w:kern w:val="0"/>
          <w:sz w:val="24"/>
        </w:rPr>
        <w:t>技术方案</w:t>
      </w:r>
    </w:p>
    <w:p>
      <w:pPr>
        <w:rPr>
          <w:rFonts w:cs="仿宋" w:asciiTheme="majorEastAsia" w:hAnsiTheme="majorEastAsia" w:eastAsiaTheme="majorEastAsia"/>
          <w:b/>
          <w:color w:val="000000" w:themeColor="text1"/>
          <w:kern w:val="0"/>
          <w:sz w:val="24"/>
        </w:rPr>
      </w:pPr>
      <w:r>
        <w:rPr>
          <w:rFonts w:hint="eastAsia" w:cs="仿宋" w:asciiTheme="majorEastAsia" w:hAnsiTheme="majorEastAsia" w:eastAsiaTheme="majorEastAsia"/>
          <w:b/>
          <w:color w:val="000000" w:themeColor="text1"/>
          <w:kern w:val="0"/>
          <w:sz w:val="24"/>
        </w:rPr>
        <w:t>1.1项目具体实施方案</w:t>
      </w:r>
    </w:p>
    <w:p>
      <w:pPr>
        <w:rPr>
          <w:rFonts w:cs="仿宋" w:asciiTheme="majorEastAsia" w:hAnsiTheme="majorEastAsia" w:eastAsiaTheme="majorEastAsia"/>
          <w:b/>
          <w:color w:val="000000" w:themeColor="text1"/>
          <w:kern w:val="0"/>
          <w:sz w:val="24"/>
        </w:rPr>
      </w:pPr>
      <w:r>
        <w:rPr>
          <w:rFonts w:hint="eastAsia" w:cs="仿宋" w:asciiTheme="majorEastAsia" w:hAnsiTheme="majorEastAsia" w:eastAsiaTheme="majorEastAsia"/>
          <w:b/>
          <w:color w:val="000000" w:themeColor="text1"/>
          <w:kern w:val="0"/>
          <w:sz w:val="24"/>
        </w:rPr>
        <w:t>1.2技术参数响应表</w:t>
      </w:r>
    </w:p>
    <w:tbl>
      <w:tblPr>
        <w:tblStyle w:val="4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87"/>
        <w:gridCol w:w="3538"/>
        <w:gridCol w:w="2197"/>
        <w:gridCol w:w="72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序号</w:t>
            </w:r>
          </w:p>
        </w:tc>
        <w:tc>
          <w:tcPr>
            <w:tcW w:w="787"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规格/要求</w:t>
            </w:r>
          </w:p>
        </w:tc>
        <w:tc>
          <w:tcPr>
            <w:tcW w:w="3538"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投标/响应实际参数</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(投标供应商应按响应货物/服务实际数据填写，不能照抄要求)</w:t>
            </w:r>
          </w:p>
        </w:tc>
        <w:tc>
          <w:tcPr>
            <w:tcW w:w="2197"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是否偏离（无偏离/正偏离/负偏离）</w:t>
            </w:r>
          </w:p>
        </w:tc>
        <w:tc>
          <w:tcPr>
            <w:tcW w:w="727"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偏离简述</w:t>
            </w:r>
          </w:p>
        </w:tc>
        <w:tc>
          <w:tcPr>
            <w:tcW w:w="1260"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1</w:t>
            </w:r>
          </w:p>
        </w:tc>
        <w:tc>
          <w:tcPr>
            <w:tcW w:w="787" w:type="dxa"/>
            <w:vAlign w:val="center"/>
          </w:tcPr>
          <w:p>
            <w:pPr>
              <w:rPr>
                <w:rFonts w:cs="仿宋" w:asciiTheme="majorEastAsia" w:hAnsiTheme="majorEastAsia" w:eastAsiaTheme="majorEastAsia"/>
                <w:color w:val="000000" w:themeColor="text1"/>
                <w:kern w:val="0"/>
                <w:sz w:val="24"/>
              </w:rPr>
            </w:pPr>
          </w:p>
        </w:tc>
        <w:tc>
          <w:tcPr>
            <w:tcW w:w="3538" w:type="dxa"/>
            <w:vAlign w:val="center"/>
          </w:tcPr>
          <w:p>
            <w:pPr>
              <w:rPr>
                <w:rFonts w:cs="仿宋" w:asciiTheme="majorEastAsia" w:hAnsiTheme="majorEastAsia" w:eastAsiaTheme="majorEastAsia"/>
                <w:color w:val="000000" w:themeColor="text1"/>
                <w:kern w:val="0"/>
                <w:sz w:val="24"/>
              </w:rPr>
            </w:pPr>
          </w:p>
        </w:tc>
        <w:tc>
          <w:tcPr>
            <w:tcW w:w="2197" w:type="dxa"/>
            <w:vAlign w:val="center"/>
          </w:tcPr>
          <w:p>
            <w:pPr>
              <w:rPr>
                <w:rFonts w:cs="仿宋" w:asciiTheme="majorEastAsia" w:hAnsiTheme="majorEastAsia" w:eastAsiaTheme="majorEastAsia"/>
                <w:color w:val="000000" w:themeColor="text1"/>
                <w:kern w:val="0"/>
                <w:sz w:val="24"/>
              </w:rPr>
            </w:pPr>
          </w:p>
        </w:tc>
        <w:tc>
          <w:tcPr>
            <w:tcW w:w="727" w:type="dxa"/>
            <w:vAlign w:val="center"/>
          </w:tcPr>
          <w:p>
            <w:pPr>
              <w:rPr>
                <w:rFonts w:cs="仿宋" w:asciiTheme="majorEastAsia" w:hAnsiTheme="majorEastAsia" w:eastAsiaTheme="majorEastAsia"/>
                <w:color w:val="000000" w:themeColor="text1"/>
                <w:kern w:val="0"/>
                <w:sz w:val="24"/>
              </w:rPr>
            </w:pPr>
          </w:p>
        </w:tc>
        <w:tc>
          <w:tcPr>
            <w:tcW w:w="1260" w:type="dxa"/>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2</w:t>
            </w:r>
          </w:p>
        </w:tc>
        <w:tc>
          <w:tcPr>
            <w:tcW w:w="787" w:type="dxa"/>
            <w:vAlign w:val="center"/>
          </w:tcPr>
          <w:p>
            <w:pPr>
              <w:rPr>
                <w:rFonts w:cs="仿宋" w:asciiTheme="majorEastAsia" w:hAnsiTheme="majorEastAsia" w:eastAsiaTheme="majorEastAsia"/>
                <w:color w:val="000000" w:themeColor="text1"/>
                <w:kern w:val="0"/>
                <w:sz w:val="24"/>
              </w:rPr>
            </w:pPr>
          </w:p>
        </w:tc>
        <w:tc>
          <w:tcPr>
            <w:tcW w:w="3538" w:type="dxa"/>
            <w:vAlign w:val="center"/>
          </w:tcPr>
          <w:p>
            <w:pPr>
              <w:rPr>
                <w:rFonts w:cs="仿宋" w:asciiTheme="majorEastAsia" w:hAnsiTheme="majorEastAsia" w:eastAsiaTheme="majorEastAsia"/>
                <w:color w:val="000000" w:themeColor="text1"/>
                <w:kern w:val="0"/>
                <w:sz w:val="24"/>
              </w:rPr>
            </w:pPr>
          </w:p>
        </w:tc>
        <w:tc>
          <w:tcPr>
            <w:tcW w:w="2197" w:type="dxa"/>
            <w:vAlign w:val="center"/>
          </w:tcPr>
          <w:p>
            <w:pPr>
              <w:rPr>
                <w:rFonts w:cs="仿宋" w:asciiTheme="majorEastAsia" w:hAnsiTheme="majorEastAsia" w:eastAsiaTheme="majorEastAsia"/>
                <w:color w:val="000000" w:themeColor="text1"/>
                <w:kern w:val="0"/>
                <w:sz w:val="24"/>
              </w:rPr>
            </w:pPr>
          </w:p>
        </w:tc>
        <w:tc>
          <w:tcPr>
            <w:tcW w:w="727" w:type="dxa"/>
            <w:vAlign w:val="center"/>
          </w:tcPr>
          <w:p>
            <w:pPr>
              <w:rPr>
                <w:rFonts w:cs="仿宋" w:asciiTheme="majorEastAsia" w:hAnsiTheme="majorEastAsia" w:eastAsiaTheme="majorEastAsia"/>
                <w:color w:val="000000" w:themeColor="text1"/>
                <w:kern w:val="0"/>
                <w:sz w:val="24"/>
              </w:rPr>
            </w:pPr>
          </w:p>
        </w:tc>
        <w:tc>
          <w:tcPr>
            <w:tcW w:w="1260" w:type="dxa"/>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3</w:t>
            </w:r>
          </w:p>
        </w:tc>
        <w:tc>
          <w:tcPr>
            <w:tcW w:w="787" w:type="dxa"/>
            <w:vAlign w:val="center"/>
          </w:tcPr>
          <w:p>
            <w:pPr>
              <w:rPr>
                <w:rFonts w:cs="仿宋" w:asciiTheme="majorEastAsia" w:hAnsiTheme="majorEastAsia" w:eastAsiaTheme="majorEastAsia"/>
                <w:color w:val="000000" w:themeColor="text1"/>
                <w:kern w:val="0"/>
                <w:sz w:val="24"/>
              </w:rPr>
            </w:pPr>
          </w:p>
        </w:tc>
        <w:tc>
          <w:tcPr>
            <w:tcW w:w="3538" w:type="dxa"/>
            <w:vAlign w:val="center"/>
          </w:tcPr>
          <w:p>
            <w:pPr>
              <w:rPr>
                <w:rFonts w:cs="仿宋" w:asciiTheme="majorEastAsia" w:hAnsiTheme="majorEastAsia" w:eastAsiaTheme="majorEastAsia"/>
                <w:color w:val="000000" w:themeColor="text1"/>
                <w:kern w:val="0"/>
                <w:sz w:val="24"/>
              </w:rPr>
            </w:pPr>
          </w:p>
        </w:tc>
        <w:tc>
          <w:tcPr>
            <w:tcW w:w="2197" w:type="dxa"/>
            <w:vAlign w:val="center"/>
          </w:tcPr>
          <w:p>
            <w:pPr>
              <w:rPr>
                <w:rFonts w:cs="仿宋" w:asciiTheme="majorEastAsia" w:hAnsiTheme="majorEastAsia" w:eastAsiaTheme="majorEastAsia"/>
                <w:color w:val="000000" w:themeColor="text1"/>
                <w:kern w:val="0"/>
                <w:sz w:val="24"/>
              </w:rPr>
            </w:pPr>
          </w:p>
        </w:tc>
        <w:tc>
          <w:tcPr>
            <w:tcW w:w="727" w:type="dxa"/>
            <w:vAlign w:val="center"/>
          </w:tcPr>
          <w:p>
            <w:pPr>
              <w:rPr>
                <w:rFonts w:cs="仿宋" w:asciiTheme="majorEastAsia" w:hAnsiTheme="majorEastAsia" w:eastAsiaTheme="majorEastAsia"/>
                <w:color w:val="000000" w:themeColor="text1"/>
                <w:kern w:val="0"/>
                <w:sz w:val="24"/>
              </w:rPr>
            </w:pPr>
          </w:p>
        </w:tc>
        <w:tc>
          <w:tcPr>
            <w:tcW w:w="1260" w:type="dxa"/>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4</w:t>
            </w:r>
          </w:p>
        </w:tc>
        <w:tc>
          <w:tcPr>
            <w:tcW w:w="787" w:type="dxa"/>
            <w:vAlign w:val="center"/>
          </w:tcPr>
          <w:p>
            <w:pPr>
              <w:rPr>
                <w:rFonts w:cs="仿宋" w:asciiTheme="majorEastAsia" w:hAnsiTheme="majorEastAsia" w:eastAsiaTheme="majorEastAsia"/>
                <w:color w:val="000000" w:themeColor="text1"/>
                <w:kern w:val="0"/>
                <w:sz w:val="24"/>
              </w:rPr>
            </w:pPr>
          </w:p>
        </w:tc>
        <w:tc>
          <w:tcPr>
            <w:tcW w:w="3538" w:type="dxa"/>
            <w:vAlign w:val="center"/>
          </w:tcPr>
          <w:p>
            <w:pPr>
              <w:rPr>
                <w:rFonts w:cs="仿宋" w:asciiTheme="majorEastAsia" w:hAnsiTheme="majorEastAsia" w:eastAsiaTheme="majorEastAsia"/>
                <w:color w:val="000000" w:themeColor="text1"/>
                <w:kern w:val="0"/>
                <w:sz w:val="24"/>
              </w:rPr>
            </w:pPr>
          </w:p>
        </w:tc>
        <w:tc>
          <w:tcPr>
            <w:tcW w:w="2197" w:type="dxa"/>
            <w:vAlign w:val="center"/>
          </w:tcPr>
          <w:p>
            <w:pPr>
              <w:rPr>
                <w:rFonts w:cs="仿宋" w:asciiTheme="majorEastAsia" w:hAnsiTheme="majorEastAsia" w:eastAsiaTheme="majorEastAsia"/>
                <w:color w:val="000000" w:themeColor="text1"/>
                <w:kern w:val="0"/>
                <w:sz w:val="24"/>
              </w:rPr>
            </w:pPr>
          </w:p>
        </w:tc>
        <w:tc>
          <w:tcPr>
            <w:tcW w:w="727" w:type="dxa"/>
            <w:vAlign w:val="center"/>
          </w:tcPr>
          <w:p>
            <w:pPr>
              <w:rPr>
                <w:rFonts w:cs="仿宋" w:asciiTheme="majorEastAsia" w:hAnsiTheme="majorEastAsia" w:eastAsiaTheme="majorEastAsia"/>
                <w:color w:val="000000" w:themeColor="text1"/>
                <w:kern w:val="0"/>
                <w:sz w:val="24"/>
              </w:rPr>
            </w:pPr>
          </w:p>
        </w:tc>
        <w:tc>
          <w:tcPr>
            <w:tcW w:w="1260" w:type="dxa"/>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5</w:t>
            </w:r>
          </w:p>
        </w:tc>
        <w:tc>
          <w:tcPr>
            <w:tcW w:w="787" w:type="dxa"/>
            <w:vAlign w:val="center"/>
          </w:tcPr>
          <w:p>
            <w:pPr>
              <w:rPr>
                <w:rFonts w:cs="仿宋" w:asciiTheme="majorEastAsia" w:hAnsiTheme="majorEastAsia" w:eastAsiaTheme="majorEastAsia"/>
                <w:color w:val="000000" w:themeColor="text1"/>
                <w:kern w:val="0"/>
                <w:sz w:val="24"/>
              </w:rPr>
            </w:pPr>
          </w:p>
        </w:tc>
        <w:tc>
          <w:tcPr>
            <w:tcW w:w="3538" w:type="dxa"/>
            <w:vAlign w:val="center"/>
          </w:tcPr>
          <w:p>
            <w:pPr>
              <w:rPr>
                <w:rFonts w:cs="仿宋" w:asciiTheme="majorEastAsia" w:hAnsiTheme="majorEastAsia" w:eastAsiaTheme="majorEastAsia"/>
                <w:color w:val="000000" w:themeColor="text1"/>
                <w:kern w:val="0"/>
                <w:sz w:val="24"/>
              </w:rPr>
            </w:pPr>
          </w:p>
        </w:tc>
        <w:tc>
          <w:tcPr>
            <w:tcW w:w="2197" w:type="dxa"/>
            <w:vAlign w:val="center"/>
          </w:tcPr>
          <w:p>
            <w:pPr>
              <w:rPr>
                <w:rFonts w:cs="仿宋" w:asciiTheme="majorEastAsia" w:hAnsiTheme="majorEastAsia" w:eastAsiaTheme="majorEastAsia"/>
                <w:color w:val="000000" w:themeColor="text1"/>
                <w:kern w:val="0"/>
                <w:sz w:val="24"/>
              </w:rPr>
            </w:pPr>
          </w:p>
        </w:tc>
        <w:tc>
          <w:tcPr>
            <w:tcW w:w="727" w:type="dxa"/>
            <w:vAlign w:val="center"/>
          </w:tcPr>
          <w:p>
            <w:pPr>
              <w:rPr>
                <w:rFonts w:cs="仿宋" w:asciiTheme="majorEastAsia" w:hAnsiTheme="majorEastAsia" w:eastAsiaTheme="majorEastAsia"/>
                <w:color w:val="000000" w:themeColor="text1"/>
                <w:kern w:val="0"/>
                <w:sz w:val="24"/>
              </w:rPr>
            </w:pPr>
          </w:p>
        </w:tc>
        <w:tc>
          <w:tcPr>
            <w:tcW w:w="1260" w:type="dxa"/>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6</w:t>
            </w:r>
          </w:p>
        </w:tc>
        <w:tc>
          <w:tcPr>
            <w:tcW w:w="787" w:type="dxa"/>
            <w:vAlign w:val="center"/>
          </w:tcPr>
          <w:p>
            <w:pPr>
              <w:rPr>
                <w:rFonts w:cs="仿宋" w:asciiTheme="majorEastAsia" w:hAnsiTheme="majorEastAsia" w:eastAsiaTheme="majorEastAsia"/>
                <w:color w:val="000000" w:themeColor="text1"/>
                <w:kern w:val="0"/>
                <w:sz w:val="24"/>
              </w:rPr>
            </w:pPr>
          </w:p>
        </w:tc>
        <w:tc>
          <w:tcPr>
            <w:tcW w:w="3538" w:type="dxa"/>
            <w:vAlign w:val="center"/>
          </w:tcPr>
          <w:p>
            <w:pPr>
              <w:rPr>
                <w:rFonts w:cs="仿宋" w:asciiTheme="majorEastAsia" w:hAnsiTheme="majorEastAsia" w:eastAsiaTheme="majorEastAsia"/>
                <w:color w:val="000000" w:themeColor="text1"/>
                <w:kern w:val="0"/>
                <w:sz w:val="24"/>
              </w:rPr>
            </w:pPr>
          </w:p>
        </w:tc>
        <w:tc>
          <w:tcPr>
            <w:tcW w:w="2197" w:type="dxa"/>
            <w:vAlign w:val="center"/>
          </w:tcPr>
          <w:p>
            <w:pPr>
              <w:rPr>
                <w:rFonts w:cs="仿宋" w:asciiTheme="majorEastAsia" w:hAnsiTheme="majorEastAsia" w:eastAsiaTheme="majorEastAsia"/>
                <w:color w:val="000000" w:themeColor="text1"/>
                <w:kern w:val="0"/>
                <w:sz w:val="24"/>
              </w:rPr>
            </w:pPr>
          </w:p>
        </w:tc>
        <w:tc>
          <w:tcPr>
            <w:tcW w:w="727" w:type="dxa"/>
            <w:vAlign w:val="center"/>
          </w:tcPr>
          <w:p>
            <w:pPr>
              <w:rPr>
                <w:rFonts w:cs="仿宋" w:asciiTheme="majorEastAsia" w:hAnsiTheme="majorEastAsia" w:eastAsiaTheme="majorEastAsia"/>
                <w:color w:val="000000" w:themeColor="text1"/>
                <w:kern w:val="0"/>
                <w:sz w:val="24"/>
              </w:rPr>
            </w:pPr>
          </w:p>
        </w:tc>
        <w:tc>
          <w:tcPr>
            <w:tcW w:w="1260" w:type="dxa"/>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7</w:t>
            </w:r>
          </w:p>
        </w:tc>
        <w:tc>
          <w:tcPr>
            <w:tcW w:w="787" w:type="dxa"/>
            <w:vAlign w:val="center"/>
          </w:tcPr>
          <w:p>
            <w:pPr>
              <w:rPr>
                <w:rFonts w:cs="仿宋" w:asciiTheme="majorEastAsia" w:hAnsiTheme="majorEastAsia" w:eastAsiaTheme="majorEastAsia"/>
                <w:color w:val="000000" w:themeColor="text1"/>
                <w:kern w:val="0"/>
                <w:sz w:val="24"/>
              </w:rPr>
            </w:pPr>
          </w:p>
        </w:tc>
        <w:tc>
          <w:tcPr>
            <w:tcW w:w="3538" w:type="dxa"/>
            <w:vAlign w:val="center"/>
          </w:tcPr>
          <w:p>
            <w:pPr>
              <w:rPr>
                <w:rFonts w:cs="仿宋" w:asciiTheme="majorEastAsia" w:hAnsiTheme="majorEastAsia" w:eastAsiaTheme="majorEastAsia"/>
                <w:color w:val="000000" w:themeColor="text1"/>
                <w:kern w:val="0"/>
                <w:sz w:val="24"/>
              </w:rPr>
            </w:pPr>
          </w:p>
        </w:tc>
        <w:tc>
          <w:tcPr>
            <w:tcW w:w="2197" w:type="dxa"/>
            <w:vAlign w:val="center"/>
          </w:tcPr>
          <w:p>
            <w:pPr>
              <w:rPr>
                <w:rFonts w:cs="仿宋" w:asciiTheme="majorEastAsia" w:hAnsiTheme="majorEastAsia" w:eastAsiaTheme="majorEastAsia"/>
                <w:color w:val="000000" w:themeColor="text1"/>
                <w:kern w:val="0"/>
                <w:sz w:val="24"/>
              </w:rPr>
            </w:pPr>
          </w:p>
        </w:tc>
        <w:tc>
          <w:tcPr>
            <w:tcW w:w="727" w:type="dxa"/>
            <w:vAlign w:val="center"/>
          </w:tcPr>
          <w:p>
            <w:pPr>
              <w:rPr>
                <w:rFonts w:cs="仿宋" w:asciiTheme="majorEastAsia" w:hAnsiTheme="majorEastAsia" w:eastAsiaTheme="majorEastAsia"/>
                <w:color w:val="000000" w:themeColor="text1"/>
                <w:kern w:val="0"/>
                <w:sz w:val="24"/>
              </w:rPr>
            </w:pPr>
          </w:p>
        </w:tc>
        <w:tc>
          <w:tcPr>
            <w:tcW w:w="1260" w:type="dxa"/>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8</w:t>
            </w:r>
          </w:p>
        </w:tc>
        <w:tc>
          <w:tcPr>
            <w:tcW w:w="787" w:type="dxa"/>
            <w:vAlign w:val="center"/>
          </w:tcPr>
          <w:p>
            <w:pPr>
              <w:rPr>
                <w:rFonts w:cs="仿宋" w:asciiTheme="majorEastAsia" w:hAnsiTheme="majorEastAsia" w:eastAsiaTheme="majorEastAsia"/>
                <w:color w:val="000000" w:themeColor="text1"/>
                <w:kern w:val="0"/>
                <w:sz w:val="24"/>
              </w:rPr>
            </w:pPr>
          </w:p>
        </w:tc>
        <w:tc>
          <w:tcPr>
            <w:tcW w:w="3538" w:type="dxa"/>
            <w:vAlign w:val="center"/>
          </w:tcPr>
          <w:p>
            <w:pPr>
              <w:rPr>
                <w:rFonts w:cs="仿宋" w:asciiTheme="majorEastAsia" w:hAnsiTheme="majorEastAsia" w:eastAsiaTheme="majorEastAsia"/>
                <w:color w:val="000000" w:themeColor="text1"/>
                <w:kern w:val="0"/>
                <w:sz w:val="24"/>
              </w:rPr>
            </w:pPr>
          </w:p>
        </w:tc>
        <w:tc>
          <w:tcPr>
            <w:tcW w:w="2197" w:type="dxa"/>
            <w:vAlign w:val="center"/>
          </w:tcPr>
          <w:p>
            <w:pPr>
              <w:rPr>
                <w:rFonts w:cs="仿宋" w:asciiTheme="majorEastAsia" w:hAnsiTheme="majorEastAsia" w:eastAsiaTheme="majorEastAsia"/>
                <w:color w:val="000000" w:themeColor="text1"/>
                <w:kern w:val="0"/>
                <w:sz w:val="24"/>
              </w:rPr>
            </w:pPr>
          </w:p>
        </w:tc>
        <w:tc>
          <w:tcPr>
            <w:tcW w:w="727" w:type="dxa"/>
            <w:vAlign w:val="center"/>
          </w:tcPr>
          <w:p>
            <w:pPr>
              <w:rPr>
                <w:rFonts w:cs="仿宋" w:asciiTheme="majorEastAsia" w:hAnsiTheme="majorEastAsia" w:eastAsiaTheme="majorEastAsia"/>
                <w:color w:val="000000" w:themeColor="text1"/>
                <w:kern w:val="0"/>
                <w:sz w:val="24"/>
              </w:rPr>
            </w:pPr>
          </w:p>
        </w:tc>
        <w:tc>
          <w:tcPr>
            <w:tcW w:w="1260" w:type="dxa"/>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w:t>
            </w:r>
          </w:p>
        </w:tc>
        <w:tc>
          <w:tcPr>
            <w:tcW w:w="787" w:type="dxa"/>
            <w:vAlign w:val="center"/>
          </w:tcPr>
          <w:p>
            <w:pPr>
              <w:rPr>
                <w:rFonts w:cs="仿宋" w:asciiTheme="majorEastAsia" w:hAnsiTheme="majorEastAsia" w:eastAsiaTheme="majorEastAsia"/>
                <w:color w:val="000000" w:themeColor="text1"/>
                <w:kern w:val="0"/>
                <w:sz w:val="24"/>
              </w:rPr>
            </w:pPr>
          </w:p>
        </w:tc>
        <w:tc>
          <w:tcPr>
            <w:tcW w:w="3538" w:type="dxa"/>
            <w:vAlign w:val="center"/>
          </w:tcPr>
          <w:p>
            <w:pPr>
              <w:rPr>
                <w:rFonts w:cs="仿宋" w:asciiTheme="majorEastAsia" w:hAnsiTheme="majorEastAsia" w:eastAsiaTheme="majorEastAsia"/>
                <w:color w:val="000000" w:themeColor="text1"/>
                <w:kern w:val="0"/>
                <w:sz w:val="24"/>
              </w:rPr>
            </w:pPr>
          </w:p>
        </w:tc>
        <w:tc>
          <w:tcPr>
            <w:tcW w:w="2197" w:type="dxa"/>
            <w:vAlign w:val="center"/>
          </w:tcPr>
          <w:p>
            <w:pPr>
              <w:rPr>
                <w:rFonts w:cs="仿宋" w:asciiTheme="majorEastAsia" w:hAnsiTheme="majorEastAsia" w:eastAsiaTheme="majorEastAsia"/>
                <w:color w:val="000000" w:themeColor="text1"/>
                <w:kern w:val="0"/>
                <w:sz w:val="24"/>
              </w:rPr>
            </w:pPr>
          </w:p>
        </w:tc>
        <w:tc>
          <w:tcPr>
            <w:tcW w:w="727" w:type="dxa"/>
            <w:vAlign w:val="center"/>
          </w:tcPr>
          <w:p>
            <w:pPr>
              <w:rPr>
                <w:rFonts w:cs="仿宋" w:asciiTheme="majorEastAsia" w:hAnsiTheme="majorEastAsia" w:eastAsiaTheme="majorEastAsia"/>
                <w:color w:val="000000" w:themeColor="text1"/>
                <w:kern w:val="0"/>
                <w:sz w:val="24"/>
              </w:rPr>
            </w:pPr>
          </w:p>
        </w:tc>
        <w:tc>
          <w:tcPr>
            <w:tcW w:w="1260" w:type="dxa"/>
          </w:tcPr>
          <w:p>
            <w:pPr>
              <w:rPr>
                <w:rFonts w:cs="仿宋" w:asciiTheme="majorEastAsia" w:hAnsiTheme="majorEastAsia" w:eastAsiaTheme="majorEastAsia"/>
                <w:color w:val="000000" w:themeColor="text1"/>
                <w:kern w:val="0"/>
                <w:sz w:val="24"/>
              </w:rPr>
            </w:pPr>
          </w:p>
        </w:tc>
      </w:tr>
    </w:tbl>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注：1.投标供应商必须对应《招标内容》的内容逐条响应。货物清单必须与《报价明细表》一致。</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2.投标供应商响应招标需求应具体、明确，含糊不清、不确切或伪造、变造证明材料的，按照不完全响应或者完全不响应处理。构成提供虚假材料的，移送监管部门查处。</w:t>
      </w:r>
    </w:p>
    <w:p>
      <w:pPr>
        <w:rPr>
          <w:rFonts w:asciiTheme="majorEastAsia" w:hAnsiTheme="majorEastAsia" w:eastAsiaTheme="majorEastAsia"/>
          <w:color w:val="000000" w:themeColor="text1"/>
          <w:szCs w:val="21"/>
          <w:lang w:val="en-GB"/>
        </w:rPr>
      </w:pPr>
    </w:p>
    <w:p>
      <w:pPr>
        <w:rPr>
          <w:rFonts w:asciiTheme="majorEastAsia" w:hAnsiTheme="majorEastAsia" w:eastAsiaTheme="majorEastAsia"/>
          <w:color w:val="000000" w:themeColor="text1"/>
          <w:szCs w:val="21"/>
          <w:lang w:val="en-GB"/>
        </w:rPr>
      </w:pPr>
    </w:p>
    <w:p>
      <w:pPr>
        <w:rPr>
          <w:rFonts w:asciiTheme="majorEastAsia" w:hAnsiTheme="majorEastAsia" w:eastAsiaTheme="majorEastAsia"/>
          <w:color w:val="000000" w:themeColor="text1"/>
          <w:szCs w:val="21"/>
          <w:lang w:val="en-GB"/>
        </w:rPr>
      </w:pPr>
    </w:p>
    <w:p>
      <w:pPr>
        <w:rPr>
          <w:rFonts w:asciiTheme="majorEastAsia" w:hAnsiTheme="majorEastAsia" w:eastAsiaTheme="majorEastAsia"/>
          <w:color w:val="000000" w:themeColor="text1"/>
          <w:szCs w:val="21"/>
          <w:lang w:val="en-GB"/>
        </w:rPr>
      </w:pPr>
    </w:p>
    <w:p>
      <w:pPr>
        <w:rPr>
          <w:rFonts w:cs="仿宋" w:asciiTheme="majorEastAsia" w:hAnsiTheme="majorEastAsia" w:eastAsiaTheme="majorEastAsia"/>
          <w:b/>
          <w:color w:val="000000" w:themeColor="text1"/>
          <w:kern w:val="0"/>
          <w:sz w:val="24"/>
        </w:rPr>
      </w:pPr>
      <w:r>
        <w:rPr>
          <w:rFonts w:hint="eastAsia" w:cs="仿宋" w:asciiTheme="majorEastAsia" w:hAnsiTheme="majorEastAsia" w:eastAsiaTheme="majorEastAsia"/>
          <w:b/>
          <w:color w:val="000000" w:themeColor="text1"/>
          <w:kern w:val="0"/>
          <w:sz w:val="24"/>
        </w:rPr>
        <w:t>1.3生产、检测设备情况说明</w:t>
      </w:r>
    </w:p>
    <w:p>
      <w:pPr>
        <w:rPr>
          <w:rFonts w:cs="仿宋" w:asciiTheme="majorEastAsia" w:hAnsiTheme="majorEastAsia" w:eastAsiaTheme="majorEastAsia"/>
          <w:b/>
          <w:color w:val="000000" w:themeColor="text1"/>
          <w:kern w:val="0"/>
          <w:sz w:val="24"/>
        </w:rPr>
      </w:pPr>
      <w:r>
        <w:rPr>
          <w:rFonts w:hint="eastAsia" w:cs="仿宋" w:asciiTheme="majorEastAsia" w:hAnsiTheme="majorEastAsia" w:eastAsiaTheme="majorEastAsia"/>
          <w:b/>
          <w:color w:val="000000" w:themeColor="text1"/>
          <w:kern w:val="0"/>
          <w:sz w:val="24"/>
        </w:rPr>
        <w:t>1.4生产设计相关说明</w:t>
      </w:r>
    </w:p>
    <w:p>
      <w:pPr>
        <w:rPr>
          <w:rFonts w:cs="仿宋" w:asciiTheme="majorEastAsia" w:hAnsiTheme="majorEastAsia" w:eastAsiaTheme="majorEastAsia"/>
          <w:b/>
          <w:color w:val="000000" w:themeColor="text1"/>
          <w:kern w:val="0"/>
          <w:sz w:val="24"/>
        </w:rPr>
      </w:pPr>
      <w:r>
        <w:rPr>
          <w:rFonts w:hint="eastAsia" w:cs="仿宋" w:asciiTheme="majorEastAsia" w:hAnsiTheme="majorEastAsia" w:eastAsiaTheme="majorEastAsia"/>
          <w:b/>
          <w:color w:val="000000" w:themeColor="text1"/>
          <w:kern w:val="0"/>
          <w:sz w:val="24"/>
        </w:rPr>
        <w:t>1.5投标供应商认为必要说明的其他内容</w:t>
      </w:r>
    </w:p>
    <w:p>
      <w:pPr>
        <w:rPr>
          <w:rFonts w:asciiTheme="majorEastAsia" w:hAnsiTheme="majorEastAsia" w:eastAsiaTheme="majorEastAsia"/>
          <w:color w:val="000000" w:themeColor="text1"/>
          <w:szCs w:val="21"/>
          <w:lang w:val="en-GB"/>
        </w:rPr>
      </w:pPr>
    </w:p>
    <w:p>
      <w:pPr>
        <w:rPr>
          <w:rFonts w:asciiTheme="majorEastAsia" w:hAnsiTheme="majorEastAsia" w:eastAsiaTheme="majorEastAsia"/>
          <w:color w:val="000000" w:themeColor="text1"/>
          <w:szCs w:val="21"/>
          <w:lang w:val="en-GB"/>
        </w:rPr>
      </w:pPr>
    </w:p>
    <w:p>
      <w:pPr>
        <w:rPr>
          <w:rFonts w:asciiTheme="majorEastAsia" w:hAnsiTheme="majorEastAsia" w:eastAsiaTheme="majorEastAsia"/>
          <w:color w:val="000000" w:themeColor="text1"/>
          <w:szCs w:val="21"/>
          <w:lang w:val="en-GB"/>
        </w:rPr>
      </w:pPr>
    </w:p>
    <w:p>
      <w:pPr>
        <w:rPr>
          <w:rFonts w:asciiTheme="majorEastAsia" w:hAnsiTheme="majorEastAsia" w:eastAsiaTheme="majorEastAsia"/>
          <w:color w:val="000000" w:themeColor="text1"/>
          <w:szCs w:val="21"/>
        </w:rPr>
      </w:pPr>
    </w:p>
    <w:p>
      <w:pPr>
        <w:rPr>
          <w:rFonts w:asciiTheme="majorEastAsia" w:hAnsiTheme="majorEastAsia" w:eastAsiaTheme="majorEastAsia"/>
          <w:b/>
          <w:color w:val="000000" w:themeColor="text1"/>
          <w:szCs w:val="21"/>
        </w:rPr>
      </w:pPr>
      <w:r>
        <w:rPr>
          <w:rFonts w:asciiTheme="majorEastAsia" w:hAnsiTheme="majorEastAsia" w:eastAsiaTheme="majorEastAsia"/>
          <w:b/>
          <w:color w:val="000000" w:themeColor="text1"/>
          <w:szCs w:val="21"/>
        </w:rPr>
        <w:br w:type="page"/>
      </w:r>
      <w:r>
        <w:rPr>
          <w:rFonts w:hint="eastAsia" w:cs="仿宋" w:asciiTheme="majorEastAsia" w:hAnsiTheme="majorEastAsia" w:eastAsiaTheme="majorEastAsia"/>
          <w:b/>
          <w:color w:val="000000" w:themeColor="text1"/>
          <w:kern w:val="0"/>
          <w:sz w:val="24"/>
        </w:rPr>
        <w:t>2</w:t>
      </w:r>
      <w:r>
        <w:rPr>
          <w:rFonts w:hint="eastAsia" w:cs="仿宋" w:asciiTheme="majorEastAsia" w:hAnsiTheme="majorEastAsia" w:eastAsiaTheme="majorEastAsia"/>
          <w:b/>
          <w:color w:val="000000" w:themeColor="text1"/>
          <w:kern w:val="0"/>
          <w:sz w:val="24"/>
        </w:rPr>
        <w:tab/>
      </w:r>
      <w:r>
        <w:rPr>
          <w:rFonts w:hint="eastAsia" w:cs="仿宋" w:asciiTheme="majorEastAsia" w:hAnsiTheme="majorEastAsia" w:eastAsiaTheme="majorEastAsia"/>
          <w:b/>
          <w:color w:val="000000" w:themeColor="text1"/>
          <w:kern w:val="0"/>
          <w:sz w:val="24"/>
        </w:rPr>
        <w:t>拟任执行管理及技术人员情况</w:t>
      </w:r>
    </w:p>
    <w:tbl>
      <w:tblPr>
        <w:tblStyle w:val="4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00"/>
        <w:gridCol w:w="870"/>
        <w:gridCol w:w="2710"/>
        <w:gridCol w:w="697"/>
        <w:gridCol w:w="69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职责分工</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姓名</w:t>
            </w:r>
          </w:p>
        </w:tc>
        <w:tc>
          <w:tcPr>
            <w:tcW w:w="870" w:type="dxa"/>
            <w:tcBorders>
              <w:top w:val="single" w:color="auto" w:sz="4" w:space="0"/>
              <w:left w:val="single" w:color="auto" w:sz="4" w:space="0"/>
              <w:bottom w:val="single" w:color="auto" w:sz="4" w:space="0"/>
            </w:tcBorders>
            <w:vAlign w:val="center"/>
          </w:tcPr>
          <w:p>
            <w:pPr>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现职务</w:t>
            </w:r>
          </w:p>
        </w:tc>
        <w:tc>
          <w:tcPr>
            <w:tcW w:w="2710" w:type="dxa"/>
            <w:tcBorders>
              <w:top w:val="single" w:color="auto" w:sz="4" w:space="0"/>
              <w:bottom w:val="single" w:color="auto" w:sz="4" w:space="0"/>
            </w:tcBorders>
            <w:vAlign w:val="center"/>
          </w:tcPr>
          <w:p>
            <w:pPr>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曾主持/参与的</w:t>
            </w:r>
            <w:r>
              <w:rPr>
                <w:rFonts w:hint="eastAsia" w:cs="仿宋" w:asciiTheme="majorEastAsia" w:hAnsiTheme="majorEastAsia" w:eastAsiaTheme="majorEastAsia"/>
                <w:color w:val="000000" w:themeColor="text1"/>
                <w:kern w:val="0"/>
                <w:sz w:val="24"/>
              </w:rPr>
              <w:br w:type="textWrapping"/>
            </w:r>
            <w:r>
              <w:rPr>
                <w:rFonts w:hint="eastAsia" w:cs="仿宋" w:asciiTheme="majorEastAsia" w:hAnsiTheme="majorEastAsia" w:eastAsiaTheme="majorEastAsia"/>
                <w:color w:val="000000" w:themeColor="text1"/>
                <w:kern w:val="0"/>
                <w:sz w:val="24"/>
              </w:rPr>
              <w:t>同类项目经历</w:t>
            </w:r>
          </w:p>
        </w:tc>
        <w:tc>
          <w:tcPr>
            <w:tcW w:w="697" w:type="dxa"/>
            <w:tcBorders>
              <w:top w:val="single" w:color="auto" w:sz="4" w:space="0"/>
              <w:bottom w:val="single" w:color="auto" w:sz="4" w:space="0"/>
            </w:tcBorders>
            <w:vAlign w:val="center"/>
          </w:tcPr>
          <w:p>
            <w:pPr>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职称</w:t>
            </w:r>
          </w:p>
        </w:tc>
        <w:tc>
          <w:tcPr>
            <w:tcW w:w="697" w:type="dxa"/>
            <w:tcBorders>
              <w:top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专业工龄</w:t>
            </w:r>
          </w:p>
        </w:tc>
        <w:tc>
          <w:tcPr>
            <w:tcW w:w="1567" w:type="dxa"/>
            <w:tcBorders>
              <w:top w:val="single" w:color="auto" w:sz="4" w:space="0"/>
              <w:bottom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tcBorders>
              <w:top w:val="single" w:color="auto" w:sz="4" w:space="0"/>
              <w:left w:val="single" w:color="auto" w:sz="4" w:space="0"/>
              <w:bottom w:val="nil"/>
              <w:right w:val="single" w:color="auto" w:sz="4" w:space="0"/>
            </w:tcBorders>
            <w:vAlign w:val="center"/>
          </w:tcPr>
          <w:p>
            <w:pPr>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总负责人</w:t>
            </w:r>
          </w:p>
        </w:tc>
        <w:tc>
          <w:tcPr>
            <w:tcW w:w="1300" w:type="dxa"/>
            <w:tcBorders>
              <w:top w:val="single" w:color="auto" w:sz="4" w:space="0"/>
              <w:left w:val="single" w:color="auto" w:sz="4" w:space="0"/>
              <w:bottom w:val="nil"/>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870" w:type="dxa"/>
            <w:tcBorders>
              <w:top w:val="single" w:color="auto" w:sz="4" w:space="0"/>
              <w:left w:val="single" w:color="auto" w:sz="4" w:space="0"/>
              <w:bottom w:val="nil"/>
            </w:tcBorders>
            <w:vAlign w:val="center"/>
          </w:tcPr>
          <w:p>
            <w:pPr>
              <w:jc w:val="center"/>
              <w:rPr>
                <w:rFonts w:cs="仿宋" w:asciiTheme="majorEastAsia" w:hAnsiTheme="majorEastAsia" w:eastAsiaTheme="majorEastAsia"/>
                <w:color w:val="000000" w:themeColor="text1"/>
                <w:kern w:val="0"/>
                <w:sz w:val="24"/>
              </w:rPr>
            </w:pPr>
          </w:p>
        </w:tc>
        <w:tc>
          <w:tcPr>
            <w:tcW w:w="2710" w:type="dxa"/>
            <w:tcBorders>
              <w:top w:val="single" w:color="auto" w:sz="4" w:space="0"/>
              <w:bottom w:val="nil"/>
            </w:tcBorders>
            <w:vAlign w:val="center"/>
          </w:tcPr>
          <w:p>
            <w:pPr>
              <w:jc w:val="center"/>
              <w:rPr>
                <w:rFonts w:cs="仿宋" w:asciiTheme="majorEastAsia" w:hAnsiTheme="majorEastAsia" w:eastAsiaTheme="majorEastAsia"/>
                <w:color w:val="000000" w:themeColor="text1"/>
                <w:kern w:val="0"/>
                <w:sz w:val="24"/>
              </w:rPr>
            </w:pPr>
          </w:p>
        </w:tc>
        <w:tc>
          <w:tcPr>
            <w:tcW w:w="697" w:type="dxa"/>
            <w:tcBorders>
              <w:top w:val="single" w:color="auto" w:sz="4" w:space="0"/>
              <w:bottom w:val="nil"/>
            </w:tcBorders>
            <w:vAlign w:val="center"/>
          </w:tcPr>
          <w:p>
            <w:pPr>
              <w:jc w:val="center"/>
              <w:rPr>
                <w:rFonts w:cs="仿宋" w:asciiTheme="majorEastAsia" w:hAnsiTheme="majorEastAsia" w:eastAsiaTheme="majorEastAsia"/>
                <w:color w:val="000000" w:themeColor="text1"/>
                <w:kern w:val="0"/>
                <w:sz w:val="24"/>
              </w:rPr>
            </w:pPr>
          </w:p>
        </w:tc>
        <w:tc>
          <w:tcPr>
            <w:tcW w:w="697" w:type="dxa"/>
            <w:tcBorders>
              <w:top w:val="single" w:color="auto" w:sz="4" w:space="0"/>
              <w:bottom w:val="nil"/>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1567" w:type="dxa"/>
            <w:tcBorders>
              <w:top w:val="single" w:color="auto" w:sz="4" w:space="0"/>
              <w:bottom w:val="nil"/>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restart"/>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其他主要技术人员</w:t>
            </w:r>
          </w:p>
        </w:tc>
        <w:tc>
          <w:tcPr>
            <w:tcW w:w="1300" w:type="dxa"/>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870" w:type="dxa"/>
            <w:tcBorders>
              <w:lef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2710" w:type="dxa"/>
            <w:vAlign w:val="center"/>
          </w:tcPr>
          <w:p>
            <w:pPr>
              <w:jc w:val="center"/>
              <w:rPr>
                <w:rFonts w:cs="仿宋" w:asciiTheme="majorEastAsia" w:hAnsiTheme="majorEastAsia" w:eastAsiaTheme="majorEastAsia"/>
                <w:color w:val="000000" w:themeColor="text1"/>
                <w:kern w:val="0"/>
                <w:sz w:val="24"/>
              </w:rPr>
            </w:pPr>
          </w:p>
        </w:tc>
        <w:tc>
          <w:tcPr>
            <w:tcW w:w="697" w:type="dxa"/>
            <w:vAlign w:val="center"/>
          </w:tcPr>
          <w:p>
            <w:pPr>
              <w:jc w:val="center"/>
              <w:rPr>
                <w:rFonts w:cs="仿宋" w:asciiTheme="majorEastAsia" w:hAnsiTheme="majorEastAsia" w:eastAsiaTheme="majorEastAsia"/>
                <w:color w:val="000000" w:themeColor="text1"/>
                <w:kern w:val="0"/>
                <w:sz w:val="24"/>
              </w:rPr>
            </w:pPr>
          </w:p>
        </w:tc>
        <w:tc>
          <w:tcPr>
            <w:tcW w:w="69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156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1300" w:type="dxa"/>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870" w:type="dxa"/>
            <w:tcBorders>
              <w:lef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2710" w:type="dxa"/>
            <w:vAlign w:val="center"/>
          </w:tcPr>
          <w:p>
            <w:pPr>
              <w:jc w:val="center"/>
              <w:rPr>
                <w:rFonts w:cs="仿宋" w:asciiTheme="majorEastAsia" w:hAnsiTheme="majorEastAsia" w:eastAsiaTheme="majorEastAsia"/>
                <w:color w:val="000000" w:themeColor="text1"/>
                <w:kern w:val="0"/>
                <w:sz w:val="24"/>
              </w:rPr>
            </w:pPr>
          </w:p>
        </w:tc>
        <w:tc>
          <w:tcPr>
            <w:tcW w:w="697" w:type="dxa"/>
            <w:vAlign w:val="center"/>
          </w:tcPr>
          <w:p>
            <w:pPr>
              <w:jc w:val="center"/>
              <w:rPr>
                <w:rFonts w:cs="仿宋" w:asciiTheme="majorEastAsia" w:hAnsiTheme="majorEastAsia" w:eastAsiaTheme="majorEastAsia"/>
                <w:color w:val="000000" w:themeColor="text1"/>
                <w:kern w:val="0"/>
                <w:sz w:val="24"/>
              </w:rPr>
            </w:pPr>
          </w:p>
        </w:tc>
        <w:tc>
          <w:tcPr>
            <w:tcW w:w="69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156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1300" w:type="dxa"/>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870" w:type="dxa"/>
            <w:tcBorders>
              <w:lef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2710" w:type="dxa"/>
            <w:vAlign w:val="center"/>
          </w:tcPr>
          <w:p>
            <w:pPr>
              <w:jc w:val="center"/>
              <w:rPr>
                <w:rFonts w:cs="仿宋" w:asciiTheme="majorEastAsia" w:hAnsiTheme="majorEastAsia" w:eastAsiaTheme="majorEastAsia"/>
                <w:color w:val="000000" w:themeColor="text1"/>
                <w:kern w:val="0"/>
                <w:sz w:val="24"/>
              </w:rPr>
            </w:pPr>
          </w:p>
        </w:tc>
        <w:tc>
          <w:tcPr>
            <w:tcW w:w="697" w:type="dxa"/>
            <w:vAlign w:val="center"/>
          </w:tcPr>
          <w:p>
            <w:pPr>
              <w:jc w:val="center"/>
              <w:rPr>
                <w:rFonts w:cs="仿宋" w:asciiTheme="majorEastAsia" w:hAnsiTheme="majorEastAsia" w:eastAsiaTheme="majorEastAsia"/>
                <w:color w:val="000000" w:themeColor="text1"/>
                <w:kern w:val="0"/>
                <w:sz w:val="24"/>
              </w:rPr>
            </w:pPr>
          </w:p>
        </w:tc>
        <w:tc>
          <w:tcPr>
            <w:tcW w:w="69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156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1300" w:type="dxa"/>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870" w:type="dxa"/>
            <w:tcBorders>
              <w:lef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2710" w:type="dxa"/>
            <w:vAlign w:val="center"/>
          </w:tcPr>
          <w:p>
            <w:pPr>
              <w:jc w:val="center"/>
              <w:rPr>
                <w:rFonts w:cs="仿宋" w:asciiTheme="majorEastAsia" w:hAnsiTheme="majorEastAsia" w:eastAsiaTheme="majorEastAsia"/>
                <w:color w:val="000000" w:themeColor="text1"/>
                <w:kern w:val="0"/>
                <w:sz w:val="24"/>
              </w:rPr>
            </w:pPr>
          </w:p>
        </w:tc>
        <w:tc>
          <w:tcPr>
            <w:tcW w:w="697" w:type="dxa"/>
            <w:vAlign w:val="center"/>
          </w:tcPr>
          <w:p>
            <w:pPr>
              <w:jc w:val="center"/>
              <w:rPr>
                <w:rFonts w:cs="仿宋" w:asciiTheme="majorEastAsia" w:hAnsiTheme="majorEastAsia" w:eastAsiaTheme="majorEastAsia"/>
                <w:color w:val="000000" w:themeColor="text1"/>
                <w:kern w:val="0"/>
                <w:sz w:val="24"/>
              </w:rPr>
            </w:pPr>
          </w:p>
        </w:tc>
        <w:tc>
          <w:tcPr>
            <w:tcW w:w="69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156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1300" w:type="dxa"/>
            <w:tcBorders>
              <w:left w:val="single" w:color="auto" w:sz="4" w:space="0"/>
              <w:right w:val="single" w:color="auto" w:sz="4" w:space="0"/>
            </w:tcBorders>
            <w:vAlign w:val="center"/>
          </w:tcPr>
          <w:p>
            <w:pPr>
              <w:jc w:val="cente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w:t>
            </w:r>
          </w:p>
        </w:tc>
        <w:tc>
          <w:tcPr>
            <w:tcW w:w="870" w:type="dxa"/>
            <w:tcBorders>
              <w:lef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2710" w:type="dxa"/>
            <w:vAlign w:val="center"/>
          </w:tcPr>
          <w:p>
            <w:pPr>
              <w:jc w:val="center"/>
              <w:rPr>
                <w:rFonts w:cs="仿宋" w:asciiTheme="majorEastAsia" w:hAnsiTheme="majorEastAsia" w:eastAsiaTheme="majorEastAsia"/>
                <w:color w:val="000000" w:themeColor="text1"/>
                <w:kern w:val="0"/>
                <w:sz w:val="24"/>
              </w:rPr>
            </w:pPr>
          </w:p>
        </w:tc>
        <w:tc>
          <w:tcPr>
            <w:tcW w:w="697" w:type="dxa"/>
            <w:vAlign w:val="center"/>
          </w:tcPr>
          <w:p>
            <w:pPr>
              <w:jc w:val="center"/>
              <w:rPr>
                <w:rFonts w:cs="仿宋" w:asciiTheme="majorEastAsia" w:hAnsiTheme="majorEastAsia" w:eastAsiaTheme="majorEastAsia"/>
                <w:color w:val="000000" w:themeColor="text1"/>
                <w:kern w:val="0"/>
                <w:sz w:val="24"/>
              </w:rPr>
            </w:pPr>
          </w:p>
        </w:tc>
        <w:tc>
          <w:tcPr>
            <w:tcW w:w="69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c>
          <w:tcPr>
            <w:tcW w:w="1567" w:type="dxa"/>
            <w:tcBorders>
              <w:right w:val="single" w:color="auto" w:sz="4" w:space="0"/>
            </w:tcBorders>
            <w:vAlign w:val="center"/>
          </w:tcPr>
          <w:p>
            <w:pPr>
              <w:jc w:val="center"/>
              <w:rPr>
                <w:rFonts w:cs="仿宋" w:asciiTheme="majorEastAsia" w:hAnsiTheme="majorEastAsia" w:eastAsiaTheme="majorEastAsia"/>
                <w:color w:val="000000" w:themeColor="text1"/>
                <w:kern w:val="0"/>
                <w:sz w:val="24"/>
              </w:rPr>
            </w:pPr>
          </w:p>
        </w:tc>
      </w:tr>
    </w:tbl>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注：根据评审表的要求提交相应资料。</w:t>
      </w:r>
    </w:p>
    <w:p>
      <w:pPr>
        <w:rPr>
          <w:rFonts w:asciiTheme="majorEastAsia" w:hAnsiTheme="majorEastAsia" w:eastAsiaTheme="majorEastAsia"/>
          <w:color w:val="000000" w:themeColor="text1"/>
          <w:szCs w:val="21"/>
          <w:lang w:val="en-GB"/>
        </w:rPr>
      </w:pPr>
    </w:p>
    <w:p>
      <w:pPr>
        <w:rPr>
          <w:rFonts w:cs="仿宋" w:asciiTheme="majorEastAsia" w:hAnsiTheme="majorEastAsia" w:eastAsiaTheme="majorEastAsia"/>
          <w:b/>
          <w:color w:val="000000" w:themeColor="text1"/>
          <w:kern w:val="0"/>
          <w:sz w:val="24"/>
        </w:rPr>
      </w:pPr>
      <w:r>
        <w:rPr>
          <w:rFonts w:hint="eastAsia" w:cs="仿宋" w:asciiTheme="majorEastAsia" w:hAnsiTheme="majorEastAsia" w:eastAsiaTheme="majorEastAsia"/>
          <w:b/>
          <w:color w:val="000000" w:themeColor="text1"/>
          <w:kern w:val="0"/>
          <w:sz w:val="24"/>
        </w:rPr>
        <w:t>3</w:t>
      </w:r>
      <w:r>
        <w:rPr>
          <w:rFonts w:hint="eastAsia" w:cs="仿宋" w:asciiTheme="majorEastAsia" w:hAnsiTheme="majorEastAsia" w:eastAsiaTheme="majorEastAsia"/>
          <w:b/>
          <w:color w:val="000000" w:themeColor="text1"/>
          <w:kern w:val="0"/>
          <w:sz w:val="24"/>
        </w:rPr>
        <w:tab/>
      </w:r>
      <w:r>
        <w:rPr>
          <w:rFonts w:hint="eastAsia" w:cs="仿宋" w:asciiTheme="majorEastAsia" w:hAnsiTheme="majorEastAsia" w:eastAsiaTheme="majorEastAsia"/>
          <w:b/>
          <w:color w:val="000000" w:themeColor="text1"/>
          <w:kern w:val="0"/>
          <w:sz w:val="24"/>
        </w:rPr>
        <w:t>履约进度计划表</w:t>
      </w:r>
    </w:p>
    <w:tbl>
      <w:tblPr>
        <w:tblStyle w:val="4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序号</w:t>
            </w:r>
          </w:p>
        </w:tc>
        <w:tc>
          <w:tcPr>
            <w:tcW w:w="2618"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拟定时间安排</w:t>
            </w:r>
          </w:p>
        </w:tc>
        <w:tc>
          <w:tcPr>
            <w:tcW w:w="3119"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计划完成的工作内容</w:t>
            </w:r>
          </w:p>
        </w:tc>
        <w:tc>
          <w:tcPr>
            <w:tcW w:w="2510"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rPr>
                <w:rFonts w:cs="仿宋" w:asciiTheme="majorEastAsia" w:hAnsiTheme="majorEastAsia" w:eastAsiaTheme="majorEastAsia"/>
                <w:color w:val="000000" w:themeColor="text1"/>
                <w:kern w:val="0"/>
                <w:sz w:val="24"/>
              </w:rPr>
            </w:pPr>
          </w:p>
        </w:tc>
        <w:tc>
          <w:tcPr>
            <w:tcW w:w="2618"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拟定  年  月   日</w:t>
            </w:r>
          </w:p>
        </w:tc>
        <w:tc>
          <w:tcPr>
            <w:tcW w:w="3119"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签定合同并生效</w:t>
            </w:r>
          </w:p>
        </w:tc>
        <w:tc>
          <w:tcPr>
            <w:tcW w:w="2510" w:type="dxa"/>
            <w:vAlign w:val="center"/>
          </w:tcPr>
          <w:p>
            <w:pPr>
              <w:rPr>
                <w:rFonts w:cs="仿宋"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rPr>
                <w:rFonts w:cs="仿宋" w:asciiTheme="majorEastAsia" w:hAnsiTheme="majorEastAsia" w:eastAsiaTheme="majorEastAsia"/>
                <w:color w:val="000000" w:themeColor="text1"/>
                <w:kern w:val="0"/>
                <w:sz w:val="24"/>
              </w:rPr>
            </w:pPr>
          </w:p>
        </w:tc>
        <w:tc>
          <w:tcPr>
            <w:tcW w:w="2618"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月   日—   月   日</w:t>
            </w:r>
          </w:p>
        </w:tc>
        <w:tc>
          <w:tcPr>
            <w:tcW w:w="3119" w:type="dxa"/>
            <w:vAlign w:val="center"/>
          </w:tcPr>
          <w:p>
            <w:pPr>
              <w:rPr>
                <w:rFonts w:cs="仿宋" w:asciiTheme="majorEastAsia" w:hAnsiTheme="majorEastAsia" w:eastAsiaTheme="majorEastAsia"/>
                <w:color w:val="000000" w:themeColor="text1"/>
                <w:kern w:val="0"/>
                <w:sz w:val="24"/>
              </w:rPr>
            </w:pPr>
          </w:p>
        </w:tc>
        <w:tc>
          <w:tcPr>
            <w:tcW w:w="2510" w:type="dxa"/>
            <w:vAlign w:val="center"/>
          </w:tcPr>
          <w:p>
            <w:pPr>
              <w:rPr>
                <w:rFonts w:cs="仿宋"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rPr>
                <w:rFonts w:cs="仿宋" w:asciiTheme="majorEastAsia" w:hAnsiTheme="majorEastAsia" w:eastAsiaTheme="majorEastAsia"/>
                <w:color w:val="000000" w:themeColor="text1"/>
                <w:kern w:val="0"/>
                <w:sz w:val="24"/>
              </w:rPr>
            </w:pPr>
          </w:p>
        </w:tc>
        <w:tc>
          <w:tcPr>
            <w:tcW w:w="2618"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月   日—   月   日</w:t>
            </w:r>
          </w:p>
        </w:tc>
        <w:tc>
          <w:tcPr>
            <w:tcW w:w="3119" w:type="dxa"/>
            <w:vAlign w:val="center"/>
          </w:tcPr>
          <w:p>
            <w:pPr>
              <w:rPr>
                <w:rFonts w:cs="仿宋" w:asciiTheme="majorEastAsia" w:hAnsiTheme="majorEastAsia" w:eastAsiaTheme="majorEastAsia"/>
                <w:color w:val="000000" w:themeColor="text1"/>
                <w:kern w:val="0"/>
                <w:sz w:val="24"/>
              </w:rPr>
            </w:pPr>
          </w:p>
        </w:tc>
        <w:tc>
          <w:tcPr>
            <w:tcW w:w="2510" w:type="dxa"/>
            <w:vAlign w:val="center"/>
          </w:tcPr>
          <w:p>
            <w:pPr>
              <w:rPr>
                <w:rFonts w:cs="仿宋"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rPr>
                <w:rFonts w:cs="仿宋" w:asciiTheme="majorEastAsia" w:hAnsiTheme="majorEastAsia" w:eastAsiaTheme="majorEastAsia"/>
                <w:color w:val="000000" w:themeColor="text1"/>
                <w:kern w:val="0"/>
                <w:sz w:val="24"/>
              </w:rPr>
            </w:pPr>
          </w:p>
        </w:tc>
        <w:tc>
          <w:tcPr>
            <w:tcW w:w="2618"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月   日—   月   日</w:t>
            </w:r>
          </w:p>
        </w:tc>
        <w:tc>
          <w:tcPr>
            <w:tcW w:w="3119" w:type="dxa"/>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质保期</w:t>
            </w:r>
          </w:p>
        </w:tc>
        <w:tc>
          <w:tcPr>
            <w:tcW w:w="2510" w:type="dxa"/>
            <w:vAlign w:val="center"/>
          </w:tcPr>
          <w:p>
            <w:pPr>
              <w:rPr>
                <w:rFonts w:cs="仿宋" w:asciiTheme="majorEastAsia" w:hAnsiTheme="majorEastAsia" w:eastAsiaTheme="majorEastAsia"/>
                <w:color w:val="000000" w:themeColor="text1"/>
                <w:kern w:val="0"/>
                <w:sz w:val="24"/>
              </w:rPr>
            </w:pPr>
          </w:p>
        </w:tc>
      </w:tr>
    </w:tbl>
    <w:p>
      <w:pPr>
        <w:rPr>
          <w:rFonts w:asciiTheme="majorEastAsia" w:hAnsiTheme="majorEastAsia" w:eastAsiaTheme="majorEastAsia"/>
          <w:color w:val="000000" w:themeColor="text1"/>
          <w:szCs w:val="21"/>
        </w:rPr>
      </w:pPr>
    </w:p>
    <w:p>
      <w:pPr>
        <w:rPr>
          <w:rFonts w:cs="仿宋" w:asciiTheme="majorEastAsia" w:hAnsiTheme="majorEastAsia" w:eastAsiaTheme="majorEastAsia"/>
          <w:b/>
          <w:color w:val="000000" w:themeColor="text1"/>
          <w:kern w:val="0"/>
          <w:sz w:val="24"/>
        </w:rPr>
      </w:pPr>
      <w:r>
        <w:rPr>
          <w:rFonts w:hint="eastAsia" w:cs="仿宋" w:asciiTheme="majorEastAsia" w:hAnsiTheme="majorEastAsia" w:eastAsiaTheme="majorEastAsia"/>
          <w:b/>
          <w:color w:val="000000" w:themeColor="text1"/>
          <w:kern w:val="0"/>
          <w:sz w:val="24"/>
        </w:rPr>
        <w:t>4</w:t>
      </w:r>
      <w:r>
        <w:rPr>
          <w:rFonts w:hint="eastAsia" w:cs="仿宋" w:asciiTheme="majorEastAsia" w:hAnsiTheme="majorEastAsia" w:eastAsiaTheme="majorEastAsia"/>
          <w:b/>
          <w:color w:val="000000" w:themeColor="text1"/>
          <w:kern w:val="0"/>
          <w:sz w:val="24"/>
        </w:rPr>
        <w:tab/>
      </w:r>
      <w:r>
        <w:rPr>
          <w:rFonts w:hint="eastAsia" w:cs="仿宋" w:asciiTheme="majorEastAsia" w:hAnsiTheme="majorEastAsia" w:eastAsiaTheme="majorEastAsia"/>
          <w:b/>
          <w:color w:val="000000" w:themeColor="text1"/>
          <w:kern w:val="0"/>
          <w:sz w:val="24"/>
        </w:rPr>
        <w:t>售后服务方案</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售后服务须包括但不限于以下内容，主要根据《用户需求书》的要求（格式自定）</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4.1.免费保修期；</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4.2.应急维修时间安排；</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4.3.维修地点、地址、联系电话及技术服务人员（包括厂商认证工程师等人员）；</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4.4.维修服务收费标准；</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4.5.制造商的技术支持；</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4.6.其它服务承诺；</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4.7.培训计划。</w:t>
      </w:r>
    </w:p>
    <w:p>
      <w:pPr>
        <w:rPr>
          <w:rFonts w:cs="仿宋" w:asciiTheme="majorEastAsia" w:hAnsiTheme="majorEastAsia" w:eastAsiaTheme="majorEastAsia"/>
          <w:color w:val="000000" w:themeColor="text1"/>
          <w:kern w:val="0"/>
          <w:sz w:val="24"/>
        </w:rPr>
      </w:pPr>
    </w:p>
    <w:p>
      <w:pPr>
        <w:rPr>
          <w:rFonts w:cs="仿宋" w:asciiTheme="majorEastAsia" w:hAnsiTheme="majorEastAsia" w:eastAsiaTheme="majorEastAsia"/>
          <w:b/>
          <w:color w:val="000000" w:themeColor="text1"/>
          <w:kern w:val="0"/>
          <w:sz w:val="24"/>
        </w:rPr>
      </w:pPr>
      <w:r>
        <w:rPr>
          <w:rFonts w:hint="eastAsia" w:cs="仿宋" w:asciiTheme="majorEastAsia" w:hAnsiTheme="majorEastAsia" w:eastAsiaTheme="majorEastAsia"/>
          <w:b/>
          <w:color w:val="000000" w:themeColor="text1"/>
          <w:kern w:val="0"/>
          <w:sz w:val="24"/>
        </w:rPr>
        <w:t>5</w:t>
      </w:r>
      <w:r>
        <w:rPr>
          <w:rFonts w:hint="eastAsia" w:cs="仿宋" w:asciiTheme="majorEastAsia" w:hAnsiTheme="majorEastAsia" w:eastAsiaTheme="majorEastAsia"/>
          <w:b/>
          <w:color w:val="000000" w:themeColor="text1"/>
          <w:kern w:val="0"/>
          <w:sz w:val="24"/>
        </w:rPr>
        <w:tab/>
      </w:r>
      <w:r>
        <w:rPr>
          <w:rFonts w:hint="eastAsia" w:cs="仿宋" w:asciiTheme="majorEastAsia" w:hAnsiTheme="majorEastAsia" w:eastAsiaTheme="majorEastAsia"/>
          <w:b/>
          <w:color w:val="000000" w:themeColor="text1"/>
          <w:kern w:val="0"/>
          <w:sz w:val="24"/>
        </w:rPr>
        <w:t>需要采购人提供的附加条件</w:t>
      </w:r>
    </w:p>
    <w:tbl>
      <w:tblPr>
        <w:tblStyle w:val="40"/>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序号</w:t>
            </w:r>
          </w:p>
        </w:tc>
        <w:tc>
          <w:tcPr>
            <w:tcW w:w="7212"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投标人需要采购人提供的附加条件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rPr>
            </w:pPr>
          </w:p>
        </w:tc>
        <w:tc>
          <w:tcPr>
            <w:tcW w:w="7212"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rPr>
            </w:pPr>
          </w:p>
        </w:tc>
        <w:tc>
          <w:tcPr>
            <w:tcW w:w="7212"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rPr>
            </w:pPr>
          </w:p>
        </w:tc>
        <w:tc>
          <w:tcPr>
            <w:tcW w:w="7212" w:type="dxa"/>
            <w:tcBorders>
              <w:top w:val="single" w:color="auto" w:sz="4" w:space="0"/>
              <w:left w:val="single" w:color="auto" w:sz="4" w:space="0"/>
              <w:bottom w:val="single" w:color="auto" w:sz="4" w:space="0"/>
              <w:right w:val="single" w:color="auto" w:sz="4" w:space="0"/>
            </w:tcBorders>
            <w:vAlign w:val="center"/>
          </w:tcPr>
          <w:p>
            <w:pPr>
              <w:rPr>
                <w:rFonts w:cs="仿宋" w:asciiTheme="majorEastAsia" w:hAnsiTheme="majorEastAsia" w:eastAsiaTheme="majorEastAsia"/>
                <w:color w:val="000000" w:themeColor="text1"/>
                <w:kern w:val="0"/>
                <w:sz w:val="24"/>
              </w:rPr>
            </w:pPr>
          </w:p>
        </w:tc>
      </w:tr>
    </w:tbl>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注：投标人完成本项目需要采购人配合或提供的条件必须在上表列出，否则将视为投标人同意按现有条件完成本项目。如上表所列附加条件含有采购人不能接受的，将被视为投标无效。</w:t>
      </w:r>
    </w:p>
    <w:p>
      <w:pPr>
        <w:rPr>
          <w:rFonts w:cs="仿宋" w:asciiTheme="majorEastAsia" w:hAnsiTheme="majorEastAsia" w:eastAsiaTheme="majorEastAsia"/>
          <w:b/>
          <w:color w:val="000000" w:themeColor="text1"/>
          <w:kern w:val="0"/>
          <w:sz w:val="24"/>
        </w:rPr>
      </w:pPr>
    </w:p>
    <w:p>
      <w:pPr>
        <w:rPr>
          <w:rFonts w:cs="仿宋" w:asciiTheme="majorEastAsia" w:hAnsiTheme="majorEastAsia" w:eastAsiaTheme="majorEastAsia"/>
          <w:b/>
          <w:color w:val="000000" w:themeColor="text1"/>
          <w:kern w:val="0"/>
          <w:sz w:val="24"/>
        </w:rPr>
      </w:pPr>
      <w:r>
        <w:rPr>
          <w:rFonts w:hint="eastAsia" w:cs="仿宋" w:asciiTheme="majorEastAsia" w:hAnsiTheme="majorEastAsia" w:eastAsiaTheme="majorEastAsia"/>
          <w:b/>
          <w:color w:val="000000" w:themeColor="text1"/>
          <w:kern w:val="0"/>
          <w:sz w:val="24"/>
        </w:rPr>
        <w:t>6</w:t>
      </w:r>
      <w:r>
        <w:rPr>
          <w:rFonts w:hint="eastAsia" w:cs="仿宋" w:asciiTheme="majorEastAsia" w:hAnsiTheme="majorEastAsia" w:eastAsiaTheme="majorEastAsia"/>
          <w:b/>
          <w:color w:val="000000" w:themeColor="text1"/>
          <w:kern w:val="0"/>
          <w:sz w:val="24"/>
        </w:rPr>
        <w:tab/>
      </w:r>
      <w:r>
        <w:rPr>
          <w:rFonts w:hint="eastAsia" w:cs="仿宋" w:asciiTheme="majorEastAsia" w:hAnsiTheme="majorEastAsia" w:eastAsiaTheme="majorEastAsia"/>
          <w:b/>
          <w:color w:val="000000" w:themeColor="text1"/>
          <w:kern w:val="0"/>
          <w:sz w:val="24"/>
        </w:rPr>
        <w:t>其它重要事项说明及承诺</w:t>
      </w:r>
    </w:p>
    <w:p>
      <w:pPr>
        <w:rPr>
          <w:rFonts w:cs="仿宋" w:asciiTheme="majorEastAsia" w:hAnsiTheme="majorEastAsia" w:eastAsiaTheme="majorEastAsia"/>
          <w:color w:val="000000" w:themeColor="text1"/>
          <w:kern w:val="0"/>
          <w:sz w:val="24"/>
        </w:rPr>
      </w:pPr>
      <w:r>
        <w:rPr>
          <w:rFonts w:hint="eastAsia" w:cs="仿宋" w:asciiTheme="majorEastAsia" w:hAnsiTheme="majorEastAsia" w:eastAsiaTheme="majorEastAsia"/>
          <w:color w:val="000000" w:themeColor="text1"/>
          <w:kern w:val="0"/>
          <w:sz w:val="24"/>
        </w:rPr>
        <w:t>（如有，请扼要叙述）</w:t>
      </w:r>
    </w:p>
    <w:p>
      <w:pPr>
        <w:overflowPunct w:val="0"/>
        <w:spacing w:line="500" w:lineRule="exact"/>
        <w:jc w:val="center"/>
        <w:outlineLvl w:val="0"/>
        <w:rPr>
          <w:rFonts w:cs="仿宋_GB2312" w:asciiTheme="majorEastAsia" w:hAnsiTheme="majorEastAsia" w:eastAsiaTheme="majorEastAsia"/>
          <w:b/>
          <w:color w:val="000000" w:themeColor="text1"/>
          <w:sz w:val="36"/>
          <w:szCs w:val="36"/>
        </w:rPr>
      </w:pPr>
      <w:bookmarkStart w:id="216" w:name="_Toc27473"/>
      <w:r>
        <w:rPr>
          <w:rFonts w:hint="eastAsia" w:cs="仿宋_GB2312" w:asciiTheme="majorEastAsia" w:hAnsiTheme="majorEastAsia" w:eastAsiaTheme="majorEastAsia"/>
          <w:b/>
          <w:color w:val="000000" w:themeColor="text1"/>
          <w:sz w:val="36"/>
          <w:szCs w:val="36"/>
        </w:rPr>
        <w:t>十二、</w:t>
      </w:r>
      <w:r>
        <w:rPr>
          <w:rFonts w:cs="仿宋_GB2312" w:asciiTheme="majorEastAsia" w:hAnsiTheme="majorEastAsia" w:eastAsiaTheme="majorEastAsia"/>
          <w:b/>
          <w:color w:val="000000" w:themeColor="text1"/>
          <w:sz w:val="36"/>
          <w:szCs w:val="36"/>
        </w:rPr>
        <w:t>货物质量及售后服务承诺书</w:t>
      </w:r>
      <w:bookmarkEnd w:id="216"/>
    </w:p>
    <w:p>
      <w:pPr>
        <w:overflowPunct w:val="0"/>
        <w:spacing w:line="500" w:lineRule="exact"/>
        <w:jc w:val="center"/>
        <w:rPr>
          <w:rFonts w:cs="仿宋_GB2312" w:asciiTheme="majorEastAsia" w:hAnsiTheme="majorEastAsia" w:eastAsiaTheme="majorEastAsia"/>
          <w:b/>
          <w:bCs/>
          <w:color w:val="000000" w:themeColor="text1"/>
          <w:sz w:val="28"/>
          <w:szCs w:val="28"/>
        </w:rPr>
      </w:pPr>
    </w:p>
    <w:p>
      <w:pPr>
        <w:pStyle w:val="2"/>
        <w:kinsoku w:val="0"/>
        <w:overflowPunct w:val="0"/>
        <w:spacing w:before="34" w:line="357" w:lineRule="auto"/>
        <w:ind w:right="126" w:firstLine="480"/>
        <w:rPr>
          <w:rFonts w:cs="仿宋_GB2312" w:asciiTheme="majorEastAsia" w:hAnsiTheme="majorEastAsia" w:eastAsiaTheme="majorEastAsia"/>
          <w:color w:val="000000" w:themeColor="text1"/>
        </w:rPr>
      </w:pPr>
      <w:r>
        <w:rPr>
          <w:rFonts w:hint="eastAsia" w:cs="仿宋" w:asciiTheme="majorEastAsia" w:hAnsiTheme="majorEastAsia" w:eastAsiaTheme="majorEastAsia"/>
          <w:bCs/>
          <w:color w:val="000000" w:themeColor="text1"/>
          <w:sz w:val="24"/>
        </w:rPr>
        <w:t>该承诺书格式由投标商自行确定，主要对投标设备质量、到货期、生产期、满足要求的安装验收、技术支持、售后服务、质保期(列明整机和部件)及质保期后设备每年所需的维修保养费用以及其它投标人能做出的优惠做出明确承诺：（基本要求：1、生产厂家或经销商必须在新疆维吾尔自治区设有办事处或售后服务机构，并列出售后服务工程师姓名及联系方式；2、免费为采购人培训3名以上操作技术人员，使其能够熟悉设备操作及维护，并能独立上岗;3、我方提供设备为全新设备，如采购人在使用期间发现是经过翻新或改造等非全新的设备，造成的直接及间接损失由我方承担，并承担相应的法律责任；4、设备如在维修设备期间不能正常使用，需免费提供相同的备用设备，供采购人免费使用，保证采购人的工作顺利进行，直至维修设备重新被采购人使用。如未能按时提供备用设备，造成的损失由我方承担；5.维修响应时间：接到故障电话后1小时内响应用户要求、8小时内派员上门现场维护，费用由供应商负责。保修期间产品的一切质量问题，更换部件及产品本身质量原因造成的直接经济损失应全部由供应商自行负责。有责任向用户说明故障的解决方法，提供优惠的配件供应，配件到达日期：不超过2天到达现场，每超过1天，按该机日均检查额累计赔偿。</w:t>
      </w:r>
    </w:p>
    <w:p>
      <w:pPr>
        <w:overflowPunct w:val="0"/>
        <w:spacing w:line="360" w:lineRule="auto"/>
        <w:rPr>
          <w:rFonts w:cs="仿宋_GB2312" w:asciiTheme="majorEastAsia" w:hAnsiTheme="majorEastAsia" w:eastAsiaTheme="majorEastAsia"/>
          <w:color w:val="000000" w:themeColor="text1"/>
          <w:sz w:val="24"/>
        </w:rPr>
      </w:pPr>
    </w:p>
    <w:p>
      <w:pPr>
        <w:overflowPunct w:val="0"/>
        <w:spacing w:line="360" w:lineRule="auto"/>
        <w:ind w:firstLine="482" w:firstLineChars="200"/>
        <w:rPr>
          <w:rFonts w:cs="仿宋_GB2312" w:asciiTheme="majorEastAsia" w:hAnsiTheme="majorEastAsia" w:eastAsiaTheme="majorEastAsia"/>
          <w:b/>
          <w:bCs/>
          <w:color w:val="000000" w:themeColor="text1"/>
          <w:sz w:val="24"/>
        </w:rPr>
      </w:pPr>
      <w:r>
        <w:rPr>
          <w:rFonts w:hint="eastAsia" w:cs="仿宋_GB2312" w:asciiTheme="majorEastAsia" w:hAnsiTheme="majorEastAsia" w:eastAsiaTheme="majorEastAsia"/>
          <w:b/>
          <w:bCs/>
          <w:color w:val="000000" w:themeColor="text1"/>
          <w:sz w:val="24"/>
        </w:rPr>
        <w:t>后需附：1、保修期内免费服务项目明细表（格式自拟）</w:t>
      </w:r>
    </w:p>
    <w:p>
      <w:pPr>
        <w:overflowPunct w:val="0"/>
        <w:spacing w:line="360" w:lineRule="auto"/>
        <w:ind w:firstLine="482" w:firstLineChars="200"/>
        <w:rPr>
          <w:rFonts w:cs="仿宋_GB2312" w:asciiTheme="majorEastAsia" w:hAnsiTheme="majorEastAsia" w:eastAsiaTheme="majorEastAsia"/>
          <w:b/>
          <w:bCs/>
          <w:color w:val="000000" w:themeColor="text1"/>
          <w:sz w:val="24"/>
        </w:rPr>
      </w:pPr>
      <w:r>
        <w:rPr>
          <w:rFonts w:hint="eastAsia" w:cs="仿宋_GB2312" w:asciiTheme="majorEastAsia" w:hAnsiTheme="majorEastAsia" w:eastAsiaTheme="majorEastAsia"/>
          <w:b/>
          <w:bCs/>
          <w:color w:val="000000" w:themeColor="text1"/>
          <w:sz w:val="24"/>
        </w:rPr>
        <w:t xml:space="preserve">      2、后期所需零配件目录及价格明细表（格式自拟）</w:t>
      </w:r>
    </w:p>
    <w:p>
      <w:pPr>
        <w:overflowPunct w:val="0"/>
        <w:spacing w:line="360" w:lineRule="auto"/>
        <w:rPr>
          <w:rFonts w:cs="仿宋_GB2312" w:asciiTheme="majorEastAsia" w:hAnsiTheme="majorEastAsia" w:eastAsiaTheme="majorEastAsia"/>
          <w:color w:val="000000" w:themeColor="text1"/>
          <w:sz w:val="24"/>
        </w:rPr>
      </w:pPr>
    </w:p>
    <w:p>
      <w:pPr>
        <w:overflowPunct w:val="0"/>
        <w:spacing w:line="360" w:lineRule="auto"/>
        <w:ind w:firstLine="480" w:firstLineChars="200"/>
        <w:rPr>
          <w:rFonts w:cs="仿宋_GB2312" w:asciiTheme="majorEastAsia" w:hAnsiTheme="majorEastAsia" w:eastAsiaTheme="majorEastAsia"/>
          <w:color w:val="000000" w:themeColor="text1"/>
          <w:sz w:val="24"/>
        </w:rPr>
      </w:pPr>
      <w:r>
        <w:rPr>
          <w:rFonts w:cs="仿宋_GB2312" w:asciiTheme="majorEastAsia" w:hAnsiTheme="majorEastAsia" w:eastAsiaTheme="majorEastAsia"/>
          <w:color w:val="000000" w:themeColor="text1"/>
          <w:sz w:val="24"/>
        </w:rPr>
        <w:t>投标人盖章：</w:t>
      </w:r>
    </w:p>
    <w:p>
      <w:pPr>
        <w:overflowPunct w:val="0"/>
        <w:spacing w:line="360" w:lineRule="auto"/>
        <w:ind w:firstLine="480" w:firstLineChars="200"/>
        <w:rPr>
          <w:rFonts w:cs="仿宋_GB2312" w:asciiTheme="majorEastAsia" w:hAnsiTheme="majorEastAsia" w:eastAsiaTheme="majorEastAsia"/>
          <w:color w:val="000000" w:themeColor="text1"/>
          <w:sz w:val="24"/>
        </w:rPr>
      </w:pPr>
    </w:p>
    <w:p>
      <w:pPr>
        <w:overflowPunct w:val="0"/>
        <w:spacing w:line="360" w:lineRule="auto"/>
        <w:ind w:firstLine="480" w:firstLineChars="200"/>
        <w:rPr>
          <w:rFonts w:cs="仿宋_GB2312" w:asciiTheme="majorEastAsia" w:hAnsiTheme="majorEastAsia" w:eastAsiaTheme="majorEastAsia"/>
          <w:color w:val="000000" w:themeColor="text1"/>
          <w:sz w:val="24"/>
        </w:rPr>
      </w:pPr>
      <w:r>
        <w:rPr>
          <w:rFonts w:cs="仿宋_GB2312" w:asciiTheme="majorEastAsia" w:hAnsiTheme="majorEastAsia" w:eastAsiaTheme="majorEastAsia"/>
          <w:color w:val="000000" w:themeColor="text1"/>
          <w:sz w:val="24"/>
        </w:rPr>
        <w:t>投标人法人或授权代表签字：</w:t>
      </w:r>
    </w:p>
    <w:p>
      <w:pPr>
        <w:overflowPunct w:val="0"/>
        <w:spacing w:line="360" w:lineRule="auto"/>
        <w:rPr>
          <w:rFonts w:cs="仿宋_GB2312" w:asciiTheme="majorEastAsia" w:hAnsiTheme="majorEastAsia" w:eastAsiaTheme="majorEastAsia"/>
          <w:color w:val="000000" w:themeColor="text1"/>
          <w:sz w:val="24"/>
        </w:rPr>
      </w:pPr>
    </w:p>
    <w:p>
      <w:pPr>
        <w:overflowPunct w:val="0"/>
        <w:spacing w:line="360" w:lineRule="auto"/>
        <w:rPr>
          <w:rFonts w:cs="仿宋_GB2312" w:asciiTheme="majorEastAsia" w:hAnsiTheme="majorEastAsia" w:eastAsiaTheme="majorEastAsia"/>
          <w:color w:val="000000" w:themeColor="text1"/>
          <w:sz w:val="24"/>
        </w:rPr>
      </w:pPr>
    </w:p>
    <w:p>
      <w:pPr>
        <w:overflowPunct w:val="0"/>
        <w:spacing w:line="360" w:lineRule="auto"/>
        <w:ind w:firstLine="5760" w:firstLineChars="2400"/>
        <w:rPr>
          <w:rFonts w:cs="仿宋_GB2312" w:asciiTheme="majorEastAsia" w:hAnsiTheme="majorEastAsia" w:eastAsiaTheme="majorEastAsia"/>
          <w:color w:val="000000" w:themeColor="text1"/>
          <w:sz w:val="24"/>
        </w:rPr>
      </w:pPr>
      <w:r>
        <w:rPr>
          <w:rFonts w:cs="仿宋_GB2312" w:asciiTheme="majorEastAsia" w:hAnsiTheme="majorEastAsia" w:eastAsiaTheme="majorEastAsia"/>
          <w:color w:val="000000" w:themeColor="text1"/>
          <w:sz w:val="24"/>
        </w:rPr>
        <w:t>年   月  日</w:t>
      </w:r>
    </w:p>
    <w:p>
      <w:pPr>
        <w:overflowPunct w:val="0"/>
        <w:spacing w:line="360" w:lineRule="auto"/>
        <w:rPr>
          <w:rFonts w:cs="仿宋_GB2312" w:asciiTheme="majorEastAsia" w:hAnsiTheme="majorEastAsia" w:eastAsiaTheme="majorEastAsia"/>
          <w:color w:val="000000" w:themeColor="text1"/>
          <w:sz w:val="24"/>
        </w:rPr>
      </w:pPr>
    </w:p>
    <w:p>
      <w:pPr>
        <w:pStyle w:val="118"/>
        <w:spacing w:line="360" w:lineRule="auto"/>
        <w:ind w:left="-19" w:leftChars="-9" w:firstLine="376" w:firstLineChars="157"/>
        <w:rPr>
          <w:rFonts w:cs="仿宋_GB2312" w:asciiTheme="majorEastAsia" w:hAnsiTheme="majorEastAsia" w:eastAsiaTheme="majorEastAsia"/>
          <w:color w:val="000000" w:themeColor="text1"/>
        </w:rPr>
        <w:sectPr>
          <w:pgSz w:w="11906" w:h="16838"/>
          <w:pgMar w:top="1440" w:right="1287" w:bottom="1440" w:left="1440" w:header="851" w:footer="992" w:gutter="0"/>
          <w:cols w:space="720" w:num="1"/>
          <w:docGrid w:type="lines" w:linePitch="312" w:charSpace="0"/>
        </w:sectPr>
      </w:pPr>
    </w:p>
    <w:p>
      <w:pPr>
        <w:pStyle w:val="2"/>
        <w:kinsoku w:val="0"/>
        <w:overflowPunct w:val="0"/>
        <w:spacing w:before="34" w:line="357" w:lineRule="auto"/>
        <w:ind w:left="105" w:leftChars="50" w:right="126"/>
        <w:jc w:val="center"/>
        <w:outlineLvl w:val="0"/>
        <w:rPr>
          <w:rFonts w:asciiTheme="majorEastAsia" w:hAnsiTheme="majorEastAsia" w:eastAsiaTheme="majorEastAsia"/>
          <w:b/>
          <w:bCs/>
          <w:color w:val="000000" w:themeColor="text1"/>
          <w:sz w:val="36"/>
          <w:szCs w:val="36"/>
        </w:rPr>
      </w:pPr>
      <w:bookmarkStart w:id="217" w:name="_Toc1431"/>
    </w:p>
    <w:p>
      <w:pPr>
        <w:pStyle w:val="2"/>
        <w:kinsoku w:val="0"/>
        <w:overflowPunct w:val="0"/>
        <w:spacing w:before="34" w:line="357" w:lineRule="auto"/>
        <w:ind w:left="105" w:leftChars="50" w:right="126"/>
        <w:jc w:val="center"/>
        <w:outlineLvl w:val="0"/>
        <w:rPr>
          <w:rFonts w:asciiTheme="majorEastAsia" w:hAnsiTheme="majorEastAsia" w:eastAsiaTheme="majorEastAsia"/>
          <w:b/>
          <w:bCs/>
          <w:color w:val="000000" w:themeColor="text1"/>
          <w:sz w:val="36"/>
          <w:szCs w:val="36"/>
        </w:rPr>
      </w:pPr>
    </w:p>
    <w:p>
      <w:pPr>
        <w:pStyle w:val="2"/>
        <w:kinsoku w:val="0"/>
        <w:overflowPunct w:val="0"/>
        <w:spacing w:before="34" w:line="357" w:lineRule="auto"/>
        <w:ind w:left="105" w:leftChars="50" w:right="126"/>
        <w:jc w:val="center"/>
        <w:outlineLvl w:val="0"/>
        <w:rPr>
          <w:rFonts w:asciiTheme="majorEastAsia" w:hAnsiTheme="majorEastAsia" w:eastAsiaTheme="majorEastAsia"/>
          <w:b/>
          <w:bCs/>
          <w:color w:val="000000" w:themeColor="text1"/>
          <w:sz w:val="36"/>
          <w:szCs w:val="36"/>
        </w:rPr>
      </w:pPr>
    </w:p>
    <w:p>
      <w:pPr>
        <w:pStyle w:val="2"/>
        <w:kinsoku w:val="0"/>
        <w:overflowPunct w:val="0"/>
        <w:spacing w:before="34" w:line="357" w:lineRule="auto"/>
        <w:ind w:left="105" w:leftChars="50" w:right="126"/>
        <w:jc w:val="center"/>
        <w:outlineLvl w:val="0"/>
        <w:rPr>
          <w:rFonts w:asciiTheme="majorEastAsia" w:hAnsiTheme="majorEastAsia" w:eastAsiaTheme="majorEastAsia"/>
          <w:b/>
          <w:bCs/>
          <w:color w:val="000000" w:themeColor="text1"/>
          <w:sz w:val="36"/>
          <w:szCs w:val="36"/>
        </w:rPr>
      </w:pPr>
    </w:p>
    <w:p>
      <w:pPr>
        <w:pStyle w:val="2"/>
        <w:kinsoku w:val="0"/>
        <w:overflowPunct w:val="0"/>
        <w:spacing w:before="34" w:line="357" w:lineRule="auto"/>
        <w:ind w:left="105" w:leftChars="50" w:right="126"/>
        <w:jc w:val="center"/>
        <w:outlineLvl w:val="0"/>
        <w:rPr>
          <w:rFonts w:asciiTheme="majorEastAsia" w:hAnsiTheme="majorEastAsia" w:eastAsiaTheme="majorEastAsia"/>
          <w:b/>
          <w:bCs/>
          <w:color w:val="000000" w:themeColor="text1"/>
          <w:sz w:val="36"/>
          <w:szCs w:val="36"/>
        </w:rPr>
      </w:pPr>
      <w:r>
        <w:rPr>
          <w:rFonts w:hint="eastAsia" w:asciiTheme="majorEastAsia" w:hAnsiTheme="majorEastAsia" w:eastAsiaTheme="majorEastAsia"/>
          <w:b/>
          <w:bCs/>
          <w:color w:val="000000" w:themeColor="text1"/>
          <w:sz w:val="36"/>
          <w:szCs w:val="36"/>
        </w:rPr>
        <w:t>十三、供应商认为需要提交的技术资料</w:t>
      </w:r>
      <w:bookmarkEnd w:id="217"/>
    </w:p>
    <w:p>
      <w:pPr>
        <w:pStyle w:val="2"/>
        <w:kinsoku w:val="0"/>
        <w:overflowPunct w:val="0"/>
        <w:spacing w:before="34" w:line="357" w:lineRule="auto"/>
        <w:ind w:right="126"/>
        <w:jc w:val="center"/>
        <w:rPr>
          <w:rFonts w:asciiTheme="majorEastAsia" w:hAnsiTheme="majorEastAsia" w:eastAsiaTheme="majorEastAsia"/>
          <w:b/>
          <w:bCs/>
          <w:color w:val="000000" w:themeColor="text1"/>
          <w:sz w:val="36"/>
          <w:szCs w:val="36"/>
        </w:rPr>
      </w:pPr>
    </w:p>
    <w:p>
      <w:pPr>
        <w:pStyle w:val="2"/>
        <w:kinsoku w:val="0"/>
        <w:overflowPunct w:val="0"/>
        <w:spacing w:before="34" w:line="357" w:lineRule="auto"/>
        <w:ind w:right="126"/>
        <w:jc w:val="center"/>
        <w:rPr>
          <w:rFonts w:asciiTheme="majorEastAsia" w:hAnsiTheme="majorEastAsia" w:eastAsiaTheme="majorEastAsia"/>
          <w:b/>
          <w:bCs/>
          <w:color w:val="000000" w:themeColor="text1"/>
          <w:sz w:val="36"/>
          <w:szCs w:val="36"/>
        </w:rPr>
      </w:pPr>
    </w:p>
    <w:p>
      <w:pPr>
        <w:pStyle w:val="2"/>
        <w:kinsoku w:val="0"/>
        <w:overflowPunct w:val="0"/>
        <w:spacing w:before="34" w:line="357" w:lineRule="auto"/>
        <w:ind w:right="126"/>
        <w:jc w:val="center"/>
        <w:rPr>
          <w:rFonts w:asciiTheme="majorEastAsia" w:hAnsiTheme="majorEastAsia" w:eastAsiaTheme="majorEastAsia"/>
          <w:b/>
          <w:bCs/>
          <w:color w:val="000000" w:themeColor="text1"/>
          <w:sz w:val="36"/>
          <w:szCs w:val="36"/>
        </w:rPr>
      </w:pPr>
    </w:p>
    <w:p>
      <w:pPr>
        <w:pStyle w:val="2"/>
        <w:kinsoku w:val="0"/>
        <w:overflowPunct w:val="0"/>
        <w:spacing w:before="34" w:line="357" w:lineRule="auto"/>
        <w:ind w:right="126"/>
        <w:jc w:val="center"/>
        <w:rPr>
          <w:rFonts w:asciiTheme="majorEastAsia" w:hAnsiTheme="majorEastAsia" w:eastAsiaTheme="majorEastAsia"/>
          <w:b/>
          <w:bCs/>
          <w:color w:val="000000" w:themeColor="text1"/>
          <w:sz w:val="36"/>
          <w:szCs w:val="36"/>
        </w:rPr>
      </w:pPr>
    </w:p>
    <w:p>
      <w:pPr>
        <w:pStyle w:val="2"/>
        <w:kinsoku w:val="0"/>
        <w:overflowPunct w:val="0"/>
        <w:spacing w:before="34" w:line="357" w:lineRule="auto"/>
        <w:ind w:right="126"/>
        <w:jc w:val="center"/>
        <w:rPr>
          <w:rFonts w:asciiTheme="majorEastAsia" w:hAnsiTheme="majorEastAsia" w:eastAsiaTheme="majorEastAsia"/>
          <w:b/>
          <w:bCs/>
          <w:color w:val="000000" w:themeColor="text1"/>
          <w:sz w:val="36"/>
          <w:szCs w:val="36"/>
        </w:rPr>
      </w:pPr>
    </w:p>
    <w:p>
      <w:pPr>
        <w:rPr>
          <w:rFonts w:asciiTheme="majorEastAsia" w:hAnsiTheme="majorEastAsia" w:eastAsiaTheme="majorEastAsia"/>
          <w:color w:val="000000" w:themeColor="text1"/>
        </w:rPr>
      </w:pPr>
    </w:p>
    <w:p>
      <w:pPr>
        <w:rPr>
          <w:rFonts w:hint="default" w:cs="Arial" w:asciiTheme="majorEastAsia" w:hAnsiTheme="majorEastAsia" w:eastAsiaTheme="majorEastAsia"/>
          <w:color w:val="000000" w:themeColor="text1"/>
          <w:sz w:val="15"/>
          <w:szCs w:val="15"/>
          <w:lang w:val="en-US" w:eastAsia="zh-CN"/>
        </w:rPr>
      </w:pPr>
    </w:p>
    <w:sectPr>
      <w:footerReference r:id="rId15" w:type="first"/>
      <w:footerReference r:id="rId14" w:type="default"/>
      <w:pgSz w:w="11910" w:h="16840"/>
      <w:pgMar w:top="1040" w:right="1137" w:bottom="960" w:left="1080" w:header="763" w:footer="766"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pict>
        <v:shape id="文本框 131" o:spid="_x0000_s2053"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t9IQIAACIEAAAOAAAAZHJzL2Uyb0RvYy54bWysU8uO0zAU3SPxD5b3NO20HUHUdFRmVIRU&#10;MSMVxNp1nCbCL9luk+ED4A9YsWHPd/U7OHabdgSsEJubG99z3+fObjolyV443xhd0NFgSInQ3JSN&#10;3hb0w/vli5eU+MB0yaTRoqCPwtOb+fNns9bm4srURpbCEQTRPm9tQesQbJ5lntdCMT8wVmgYK+MU&#10;C/h126x0rEV0JbOr4fA6a40rrTNceI/Xu6ORzlP8qhI83FeVF4HIgqK2kKRLchNlNp+xfOuYrRt+&#10;KoP9QxWKNRpJz6HuWGBk55o/QqmGO+NNFQbcqMxUVcNF6gHdjIa/dbOumRWpFwzH2/OY/P8Ly9/t&#10;HxxpSuxuPKJEM4UlHb59PXz/efjxhcRHjKi1PgdybYEN3WvTAZ7a9XZl+CcPSPYEc3TwQMeRdJVT&#10;8YtmCRyxhcfz5EUXCI/RRpNX4yklHCbknEymMW12cbbOhzfCKBKVgjosNhXA9isfjtAeEnNps2yk&#10;xDvLpSZtQa/H02FyOFsQXOpT3cdSYweh23Rwi+rGlI/o15kjabzlywbJV8yHB+bAEnQC5od7iEoa&#10;JDEnjZLauM9/e494LA9WSlqwrqAaZ0GJfKux1EjQXnG9sukVvVO3BjTGmlBLUuHgguzVyhn1Eeew&#10;iDlgYpojU0FDr96GI/NxTlwsFgkEGloWVnpt+WWpi13AANNcL5M4zQpETJs5HU1k+tP/hLqc9vwX&#10;AAAA//8DAFBLAwQUAAYACAAAACEAZNyoDtsAAAADAQAADwAAAGRycy9kb3ducmV2LnhtbEyPwWrD&#10;MBBE74X+g9hCbo0cJ7TG9TqYQA6BXhr30N4Ua2ObWithKYmbr6/SS3tZGGaYeVusJzOIM42+t4yw&#10;mCcgiBure24R3uvtYwbCB8VaDZYJ4Zs8rMv7u0Ll2l74jc770IpYwj5XCF0ILpfSNx0Z5efWEUfv&#10;aEejQpRjK/WoLrHcDDJNkidpVM9xoVOONh01X/uTQQg7l6VVe1251+vnsa6rpV99LBFnD1P1AiLQ&#10;FP7CcMOP6FBGpoM9sfZiQIiPhN9787IFiANCmjyDLAv5n738AQAA//8DAFBLAQItABQABgAIAAAA&#10;IQC2gziS/gAAAOEBAAATAAAAAAAAAAAAAAAAAAAAAABbQ29udGVudF9UeXBlc10ueG1sUEsBAi0A&#10;FAAGAAgAAAAhADj9If/WAAAAlAEAAAsAAAAAAAAAAAAAAAAALwEAAF9yZWxzLy5yZWxzUEsBAi0A&#10;FAAGAAgAAAAhAPlQ630hAgAAIgQAAA4AAAAAAAAAAAAAAAAALgIAAGRycy9lMm9Eb2MueG1sUEsB&#10;Ai0AFAAGAAgAAAAhAGTcqA7bAAAAAwEAAA8AAAAAAAAAAAAAAAAAewQAAGRycy9kb3ducmV2Lnht&#10;bFBLBQYAAAAABAAEAPMAAACDBQAAAAA=&#10;">
          <v:path arrowok="t"/>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32" o:spid="_x0000_s2052" o:spt="202" type="#_x0000_t202" style="position:absolute;left:0pt;margin-top:0pt;height:10.35pt;width:9.0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aSJwIAACkEAAAOAAAAZHJzL2Uyb0RvYy54bWysU82O0zAQviPxDpbvNEl/VhA1XZVdFSFV&#10;7EoFcXYdp4mwPZbtNikPAG/AiQt3nqvPwdhp2hVwQlyciefzzHzfzMxvOyXJQVjXgC5oNkopEZpD&#10;2ehdQT+8X714SYnzTJdMghYFPQpHbxfPn81bk4sx1CBLYQkG0S5vTUFr702eJI7XQjE3AiM0Oiuw&#10;inn8tbuktKzF6Eom4zS9SVqwpbHAhXN4e9876SLGryrB/UNVOeGJLCjW5uNp47kNZ7KYs3xnmakb&#10;fi6D/UMVijUak15C3TPPyN42f4RSDbfgoPIjDiqBqmq4iByQTZb+xmZTMyMiFxTHmYtM7v+F5e8O&#10;j5Y0JfZuMqZEM4VNOn37evr+8/TjCwmXKFFrXI7IjUGs715Dh/BI15k18E8OIckTTP/AITpI0lVW&#10;hS+SJfgQu3C8KC86T3iIlk1fTWaUcHRlk2w6nYW0yfWxsc6/EaBIMApqsbGxAHZYO99DB0jIpWHV&#10;SIn3LJeatAW9mczS+ODiweBSn+vuSw0MfLftejkG3lsoj0jbQj87zvBVgzWsmfOPzOKwICFcAP+A&#10;RyUBc8HZoqQG+/lv9wGPPUQvJS0OX0E1bgcl8q3G3oY5HQw7GNvB0Ht1BzjNGS6W4dHEB9bLwaws&#10;qI+4FcuQA11Mc8xUUD+Yd75fANwqLpbLCMJpNMyv9cbwa2+Xe486RnmDNr0SZ8lwHmODzrsTBv7p&#10;f0RdN3zxCwAA//8DAFBLAwQUAAYACAAAACEAZNyoDtsAAAADAQAADwAAAGRycy9kb3ducmV2Lnht&#10;bEyPwWrDMBBE74X+g9hCbo0cJ7TG9TqYQA6BXhr30N4Ua2ObWithKYmbr6/SS3tZGGaYeVusJzOI&#10;M42+t4ywmCcgiBure24R3uvtYwbCB8VaDZYJ4Zs8rMv7u0Ll2l74jc770IpYwj5XCF0ILpfSNx0Z&#10;5efWEUfvaEejQpRjK/WoLrHcDDJNkidpVM9xoVOONh01X/uTQQg7l6VVe1251+vnsa6rpV99LBFn&#10;D1P1AiLQFP7CcMOP6FBGpoM9sfZiQIiPhN9787IFiANCmjyDLAv5n738AQAA//8DAFBLAQItABQA&#10;BgAIAAAAIQC2gziS/gAAAOEBAAATAAAAAAAAAAAAAAAAAAAAAABbQ29udGVudF9UeXBlc10ueG1s&#10;UEsBAi0AFAAGAAgAAAAhADj9If/WAAAAlAEAAAsAAAAAAAAAAAAAAAAALwEAAF9yZWxzLy5yZWxz&#10;UEsBAi0AFAAGAAgAAAAhAMtMRpInAgAAKQQAAA4AAAAAAAAAAAAAAAAALgIAAGRycy9lMm9Eb2Mu&#10;eG1sUEsBAi0AFAAGAAgAAAAhAGTcqA7bAAAAAwEAAA8AAAAAAAAAAAAAAAAAgQQAAGRycy9kb3du&#10;cmV2LnhtbFBLBQYAAAAABAAEAPMAAACJBQAAAAA=&#10;">
          <v:path arrowok="t"/>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45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33" o:spid="_x0000_s2051" o:spt="202" type="#_x0000_t202" style="position:absolute;left:0pt;margin-top:0pt;height:10.35pt;width:9.0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2cKAIAACkEAAAOAAAAZHJzL2Uyb0RvYy54bWysU82O0zAQviPxDpbvNEl/VhA1XZVdFSFV&#10;7EoFcXYdp4mwPZbtNikPAG/AiQt3nqvPwdhp2hVwQlyciefzzHzfzMxvOyXJQVjXgC5oNkopEZpD&#10;2ehdQT+8X714SYnzTJdMghYFPQpHbxfPn81bk4sx1CBLYQkG0S5vTUFr702eJI7XQjE3AiM0Oiuw&#10;inn8tbuktKzF6Eom4zS9SVqwpbHAhXN4e9876SLGryrB/UNVOeGJLCjW5uNp47kNZ7KYs3xnmakb&#10;fi6D/UMVijUak15C3TPPyN42f4RSDbfgoPIjDiqBqmq4iByQTZb+xmZTMyMiFxTHmYtM7v+F5e8O&#10;j5Y0JfZuMqFEM4VNOn37evr+8/TjCwmXKFFrXI7IjUGs715Dh/BI15k18E8OIckTTP/AITpI0lVW&#10;hS+SJfgQu3C8KC86T3iIlk1fTWaUcHRlk2w6nYW0yfWxsc6/EaBIMApqsbGxAHZYO99DB0jIpWHV&#10;SIn3LJeatAW9mczS+ODiweBSn+vuSw0MfLftohzjgfcWyiPSttDPjjN81WANa+b8I7M4LEgIF8A/&#10;4FFJwFxwtiipwX7+233AYw/RS0mLw1dQjdtBiXyrsbdhTgfDDsZ2MPRe3QFOc4aLZXg08YH1cjAr&#10;C+ojbsUy5EAX0xwzFdQP5p3vFwC3iovlMoJwGg3za70x/Nrb5d6jjlHeoE2vxFkynMfYoPPuhIF/&#10;+h9R1w1f/AIAAP//AwBQSwMEFAAGAAgAAAAhAGTcqA7bAAAAAwEAAA8AAABkcnMvZG93bnJldi54&#10;bWxMj8FqwzAQRO+F/oPYQm6NHCe0xvU6mEAOgV4a99DeFGtjm1orYSmJm6+v0kt7WRhmmHlbrCcz&#10;iDONvreMsJgnIIgbq3tuEd7r7WMGwgfFWg2WCeGbPKzL+7tC5dpe+I3O+9CKWMI+VwhdCC6X0jcd&#10;GeXn1hFH72hHo0KUYyv1qC6x3AwyTZInaVTPcaFTjjYdNV/7k0EIO5elVXtdudfr57Guq6VffSwR&#10;Zw9T9QIi0BT+wnDDj+hQRqaDPbH2YkCIj4Tfe/OyBYgDQpo8gywL+Z+9/AEAAP//AwBQSwECLQAU&#10;AAYACAAAACEAtoM4kv4AAADhAQAAEwAAAAAAAAAAAAAAAAAAAAAAW0NvbnRlbnRfVHlwZXNdLnht&#10;bFBLAQItABQABgAIAAAAIQA4/SH/1gAAAJQBAAALAAAAAAAAAAAAAAAAAC8BAABfcmVscy8ucmVs&#10;c1BLAQItABQABgAIAAAAIQCbk02cKAIAACkEAAAOAAAAAAAAAAAAAAAAAC4CAABkcnMvZTJvRG9j&#10;LnhtbFBLAQItABQABgAIAAAAIQBk3KgO2wAAAAMBAAAPAAAAAAAAAAAAAAAAAIIEAABkcnMvZG93&#10;bnJldi54bWxQSwUGAAAAAAQABADzAAAAigUAAAAA&#10;">
          <v:path arrowok="t"/>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109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4"/>
        <w:szCs w:val="24"/>
      </w:rPr>
    </w:pPr>
    <w:r>
      <w:rPr>
        <w:sz w:val="24"/>
      </w:rPr>
      <w:pict>
        <v:shape id="文本框 135"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zqIwIAACsEAAAOAAAAZHJzL2Uyb0RvYy54bWysU82O0zAQviPxDpbvNGmrXVVR01XZVRFS&#10;xa5UEGfXsZsI22PZbpPyAPAGnLhw57n6HIydpl0BJ8TFHnu++ftmZn7XaUUOwvkGTEnHo5wSYThU&#10;jdmV9MP71asZJT4wUzEFRpT0KDy9W7x8MW9tISZQg6qEI+jE+KK1Ja1DsEWWeV4LzfwIrDColOA0&#10;C/h0u6xyrEXvWmWTPL/NWnCVdcCF9/j70CvpIvmXUvDwKKUXgaiSYm4hnS6d23hmizkrdo7ZuuHn&#10;NNg/ZKFZYzDoxdUDC4zsXfOHK91wBx5kGHHQGUjZcJFqwGrG+W/VbGpmRaoFyfH2QpP/f275u8OT&#10;I02FvZveUGKYxiadvn09ff95+vGFxE+kqLW+QOTGIjZ0r6FDeCrX2zXwTx4h2TNMb+ARHSnppNPx&#10;xmIJGmIXjhfmRRcIj95mk9ksRxVH3fCIXq/m1vnwRoAmUSipw9amFNhh7UMPHSAxmoFVoxT+s0IZ&#10;0pb0dnqTJ4OLBp0rc868TzbWELptlwiZDpVvoTpi4Q766fGWrxrMYc18eGIOxwXzxhUIj3hIBRgL&#10;zhIlNbjPf/uPeOwiailpcfxKanA/KFFvDXY3TuoguEHYDoLZ63vAeR7jalmeRDRwQQ2idKA/4l4s&#10;YwxUMcMxUknDIN6HfgVwr7hYLhMI59GysDYby6/dXe4D8pjojdz0TJwpw4lMDTpvTxz55++Euu74&#10;4hcAAAD//wMAUEsDBBQABgAIAAAAIQB11Lk82gAAAAUBAAAPAAAAZHJzL2Rvd25yZXYueG1sTI9B&#10;a8MwDIXvg/4Ho8Juq9O0jJDFKaHQw2CXNTtsNzdWk9BYNrHbZv3108Zguwg9nnj6XrGZ7CAuOIbe&#10;kYLlIgGB1DjTU6vgrd49ZCBC1GT04AgVfGKATTm7K3Ru3JVe8bKPreAQCrlW0MXocylD06HVYeE8&#10;EntHN1odWY6tNKO+crgdZJokj9LqnvhDpz1uO2xO+7NVEJ99llbtbe1fbh/Huq5WYf2+Uup+PlVP&#10;ICJO8e8YvvEZHUpmOrgzmSAGBVwk/kz20ixjefhdZFnI//TlFwAAAP//AwBQSwECLQAUAAYACAAA&#10;ACEAtoM4kv4AAADhAQAAEwAAAAAAAAAAAAAAAAAAAAAAW0NvbnRlbnRfVHlwZXNdLnhtbFBLAQIt&#10;ABQABgAIAAAAIQA4/SH/1gAAAJQBAAALAAAAAAAAAAAAAAAAAC8BAABfcmVscy8ucmVsc1BLAQIt&#10;ABQABgAIAAAAIQBTXxzqIwIAACsEAAAOAAAAAAAAAAAAAAAAAC4CAABkcnMvZTJvRG9jLnhtbFBL&#10;AQItABQABgAIAAAAIQB11Lk82gAAAAUBAAAPAAAAAAAAAAAAAAAAAH0EAABkcnMvZG93bnJldi54&#10;bWxQSwUGAAAAAAQABADzAAAAhAUAAAAA&#10;">
          <v:path arrowok="t"/>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p>
    <w:pPr>
      <w:pStyle w:val="26"/>
      <w:rPr>
        <w:rFonts w:ascii="仿宋" w:hAnsi="仿宋" w:eastAsia="仿宋" w:cs="仿宋"/>
        <w:sz w:val="21"/>
        <w:szCs w:val="21"/>
      </w:rPr>
    </w:pPr>
    <w:r>
      <w:rPr>
        <w:rFonts w:hint="eastAsia" w:ascii="仿宋" w:hAnsi="仿宋" w:eastAsia="仿宋" w:cs="仿宋"/>
        <w:sz w:val="21"/>
        <w:szCs w:val="21"/>
      </w:rPr>
      <w:t>法正项目管理集团有限公司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36" o:spid="_x0000_s2049" o:spt="202" type="#_x0000_t202" style="position:absolute;left:0pt;margin-top:0pt;height:10.35pt;width:9.0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biKAIAACkEAAAOAAAAZHJzL2Uyb0RvYy54bWysU82O0zAQviPxDpbvNMn2RxA1XZVdFSFV&#10;7EoFcXYdp4mwPZbtNikPAG/AiQt3nqvPwdhp2hVwQlyciefzzHzfzMxvOyXJQVjXgC5oNkopEZpD&#10;2ehdQT+8X714SYnzTJdMghYFPQpHbxfPn81bk4sbqEGWwhIMol3emoLW3ps8SRyvhWJuBEZodFZg&#10;FfP4a3dJaVmL0ZVMbtJ0lrRgS2OBC+fw9r530kWMX1WC+4eqcsITWVCszcfTxnMbzmQxZ/nOMlM3&#10;/FwG+4cqFGs0Jr2Eumeekb1t/gilGm7BQeVHHFQCVdVwETkgmyz9jc2mZkZELiiOMxeZ3P8Ly98d&#10;Hi1pSuzdeEaJZgqbdPr29fT95+nHFxIuUaLWuByRG4NY372GDuGRrjNr4J8cQpInmP6BQ3SQpKus&#10;Cl8kS/AhduF4UV50nvAQLZu8Gk8p4ejKxtlkMg1pk+tjY51/I0CRYBTUYmNjAeywdr6HDpCQS8Oq&#10;kRLvWS41aQs6G0/T+ODiweBSn+vuSw0MfLftohyTgfcWyiPSttDPjjN81WANa+b8I7M4LEgIF8A/&#10;4FFJwFxwtiipwX7+233AYw/RS0mLw1dQjdtBiXyrsbdhTgfDDsZ2MPRe3QFOc4aLZXg08YH1cjAr&#10;C+ojbsUy5EAX0xwzFdQP5p3vFwC3iovlMoJwGg3za70x/Nrb5d6jjlHeoE2vxFkynMfYoPPuhIF/&#10;+h9R1w1f/AIAAP//AwBQSwMEFAAGAAgAAAAhAGTcqA7bAAAAAwEAAA8AAABkcnMvZG93bnJldi54&#10;bWxMj8FqwzAQRO+F/oPYQm6NHCe0xvU6mEAOgV4a99DeFGtjm1orYSmJm6+v0kt7WRhmmHlbrCcz&#10;iDONvreMsJgnIIgbq3tuEd7r7WMGwgfFWg2WCeGbPKzL+7tC5dpe+I3O+9CKWMI+VwhdCC6X0jcd&#10;GeXn1hFH72hHo0KUYyv1qC6x3AwyTZInaVTPcaFTjjYdNV/7k0EIO5elVXtdudfr57Guq6VffSwR&#10;Zw9T9QIi0BT+wnDDj+hQRqaDPbH2YkCIj4Tfe/OyBYgDQpo8gywL+Z+9/AEAAP//AwBQSwECLQAU&#10;AAYACAAAACEAtoM4kv4AAADhAQAAEwAAAAAAAAAAAAAAAAAAAAAAW0NvbnRlbnRfVHlwZXNdLnht&#10;bFBLAQItABQABgAIAAAAIQA4/SH/1gAAAJQBAAALAAAAAAAAAAAAAAAAAC8BAABfcmVscy8ucmVs&#10;c1BLAQItABQABgAIAAAAIQDPlVbiKAIAACkEAAAOAAAAAAAAAAAAAAAAAC4CAABkcnMvZTJvRG9j&#10;LnhtbFBLAQItABQABgAIAAAAIQBk3KgO2wAAAAMBAAAPAAAAAAAAAAAAAAAAAIIEAABkcnMvZG93&#10;bnJldi54bWxQSwUGAAAAAAQABADzAAAAigUAAAAA&#10;">
          <v:path arrowok="t"/>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6D55B"/>
    <w:multiLevelType w:val="singleLevel"/>
    <w:tmpl w:val="8736D55B"/>
    <w:lvl w:ilvl="0" w:tentative="0">
      <w:start w:val="1"/>
      <w:numFmt w:val="chineseCounting"/>
      <w:suff w:val="nothing"/>
      <w:lvlText w:val="%1、"/>
      <w:lvlJc w:val="left"/>
      <w:rPr>
        <w:rFonts w:hint="eastAsia"/>
      </w:rPr>
    </w:lvl>
  </w:abstractNum>
  <w:abstractNum w:abstractNumId="1">
    <w:nsid w:val="8FA13B79"/>
    <w:multiLevelType w:val="multilevel"/>
    <w:tmpl w:val="8FA13B79"/>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B95A8FFC"/>
    <w:multiLevelType w:val="multilevel"/>
    <w:tmpl w:val="B95A8FFC"/>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BE7184F1"/>
    <w:multiLevelType w:val="multilevel"/>
    <w:tmpl w:val="BE7184F1"/>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C6B249BF"/>
    <w:multiLevelType w:val="singleLevel"/>
    <w:tmpl w:val="C6B249BF"/>
    <w:lvl w:ilvl="0" w:tentative="0">
      <w:start w:val="5"/>
      <w:numFmt w:val="chineseCounting"/>
      <w:suff w:val="space"/>
      <w:lvlText w:val="第%1章"/>
      <w:lvlJc w:val="left"/>
      <w:rPr>
        <w:rFonts w:hint="eastAsia"/>
      </w:rPr>
    </w:lvl>
  </w:abstractNum>
  <w:abstractNum w:abstractNumId="5">
    <w:nsid w:val="DA84B741"/>
    <w:multiLevelType w:val="singleLevel"/>
    <w:tmpl w:val="DA84B741"/>
    <w:lvl w:ilvl="0" w:tentative="0">
      <w:start w:val="2"/>
      <w:numFmt w:val="chineseCounting"/>
      <w:suff w:val="space"/>
      <w:lvlText w:val="第%1章"/>
      <w:lvlJc w:val="left"/>
      <w:rPr>
        <w:rFonts w:hint="eastAsia"/>
      </w:rPr>
    </w:lvl>
  </w:abstractNum>
  <w:abstractNum w:abstractNumId="6">
    <w:nsid w:val="F4C52773"/>
    <w:multiLevelType w:val="multilevel"/>
    <w:tmpl w:val="F4C52773"/>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8">
    <w:nsid w:val="00000004"/>
    <w:multiLevelType w:val="multilevel"/>
    <w:tmpl w:val="00000004"/>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0053208E"/>
    <w:multiLevelType w:val="multilevel"/>
    <w:tmpl w:val="0053208E"/>
    <w:lvl w:ilvl="0" w:tentative="0">
      <w:start w:val="3"/>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05E95F49"/>
    <w:multiLevelType w:val="multilevel"/>
    <w:tmpl w:val="05E95F49"/>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B7C5218"/>
    <w:multiLevelType w:val="multilevel"/>
    <w:tmpl w:val="0B7C5218"/>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DBF7B01"/>
    <w:multiLevelType w:val="multilevel"/>
    <w:tmpl w:val="0DBF7B01"/>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9A263A5"/>
    <w:multiLevelType w:val="multilevel"/>
    <w:tmpl w:val="19A263A5"/>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B73527A"/>
    <w:multiLevelType w:val="multilevel"/>
    <w:tmpl w:val="1B73527A"/>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B76866A"/>
    <w:multiLevelType w:val="multilevel"/>
    <w:tmpl w:val="1B76866A"/>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CC0301C"/>
    <w:multiLevelType w:val="multilevel"/>
    <w:tmpl w:val="1CC0301C"/>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D4B6E10"/>
    <w:multiLevelType w:val="multilevel"/>
    <w:tmpl w:val="1D4B6E10"/>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DD51A60"/>
    <w:multiLevelType w:val="multilevel"/>
    <w:tmpl w:val="1DD51A60"/>
    <w:lvl w:ilvl="0" w:tentative="0">
      <w:start w:val="1"/>
      <w:numFmt w:val="decimal"/>
      <w:lvlText w:val="%1)"/>
      <w:lvlJc w:val="left"/>
      <w:pPr>
        <w:ind w:left="680" w:hanging="420"/>
      </w:pPr>
      <w:rPr>
        <w:rFonts w:hint="eastAsia"/>
      </w:rPr>
    </w:lvl>
    <w:lvl w:ilvl="1" w:tentative="0">
      <w:start w:val="0"/>
      <w:numFmt w:val="bullet"/>
      <w:lvlText w:val="★"/>
      <w:lvlJc w:val="left"/>
      <w:pPr>
        <w:ind w:left="1040" w:hanging="360"/>
      </w:pPr>
      <w:rPr>
        <w:rFonts w:hint="eastAsia" w:ascii="宋体" w:hAnsi="宋体" w:eastAsia="宋体" w:cs="Times New Roman"/>
      </w:rPr>
    </w:lvl>
    <w:lvl w:ilvl="2" w:tentative="0">
      <w:start w:val="1"/>
      <w:numFmt w:val="lowerRoman"/>
      <w:lvlText w:val="%3."/>
      <w:lvlJc w:val="right"/>
      <w:pPr>
        <w:ind w:left="1520" w:hanging="420"/>
      </w:pPr>
    </w:lvl>
    <w:lvl w:ilvl="3" w:tentative="0">
      <w:start w:val="1"/>
      <w:numFmt w:val="decimal"/>
      <w:lvlText w:val="%4."/>
      <w:lvlJc w:val="left"/>
      <w:pPr>
        <w:ind w:left="1940" w:hanging="420"/>
      </w:pPr>
    </w:lvl>
    <w:lvl w:ilvl="4" w:tentative="0">
      <w:start w:val="1"/>
      <w:numFmt w:val="lowerLetter"/>
      <w:lvlText w:val="%5)"/>
      <w:lvlJc w:val="left"/>
      <w:pPr>
        <w:ind w:left="2360" w:hanging="420"/>
      </w:pPr>
    </w:lvl>
    <w:lvl w:ilvl="5" w:tentative="0">
      <w:start w:val="1"/>
      <w:numFmt w:val="lowerRoman"/>
      <w:lvlText w:val="%6."/>
      <w:lvlJc w:val="right"/>
      <w:pPr>
        <w:ind w:left="2780" w:hanging="420"/>
      </w:pPr>
    </w:lvl>
    <w:lvl w:ilvl="6" w:tentative="0">
      <w:start w:val="1"/>
      <w:numFmt w:val="decimal"/>
      <w:lvlText w:val="%7."/>
      <w:lvlJc w:val="left"/>
      <w:pPr>
        <w:ind w:left="3200" w:hanging="420"/>
      </w:pPr>
    </w:lvl>
    <w:lvl w:ilvl="7" w:tentative="0">
      <w:start w:val="1"/>
      <w:numFmt w:val="lowerLetter"/>
      <w:lvlText w:val="%8)"/>
      <w:lvlJc w:val="left"/>
      <w:pPr>
        <w:ind w:left="3620" w:hanging="420"/>
      </w:pPr>
    </w:lvl>
    <w:lvl w:ilvl="8" w:tentative="0">
      <w:start w:val="1"/>
      <w:numFmt w:val="lowerRoman"/>
      <w:lvlText w:val="%9."/>
      <w:lvlJc w:val="right"/>
      <w:pPr>
        <w:ind w:left="4040" w:hanging="420"/>
      </w:pPr>
    </w:lvl>
  </w:abstractNum>
  <w:abstractNum w:abstractNumId="19">
    <w:nsid w:val="20CE3E22"/>
    <w:multiLevelType w:val="multilevel"/>
    <w:tmpl w:val="20CE3E22"/>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1C403B9"/>
    <w:multiLevelType w:val="multilevel"/>
    <w:tmpl w:val="21C403B9"/>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246F68A4"/>
    <w:multiLevelType w:val="multilevel"/>
    <w:tmpl w:val="246F68A4"/>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69D0E14"/>
    <w:multiLevelType w:val="multilevel"/>
    <w:tmpl w:val="269D0E14"/>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2A6512E1"/>
    <w:multiLevelType w:val="multilevel"/>
    <w:tmpl w:val="2A6512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F30AA4"/>
    <w:multiLevelType w:val="multilevel"/>
    <w:tmpl w:val="2CF30AA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40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5">
    <w:nsid w:val="30A866DC"/>
    <w:multiLevelType w:val="multilevel"/>
    <w:tmpl w:val="30A866DC"/>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4721BD6"/>
    <w:multiLevelType w:val="multilevel"/>
    <w:tmpl w:val="34721BD6"/>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422E32BF"/>
    <w:multiLevelType w:val="multilevel"/>
    <w:tmpl w:val="422E32BF"/>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4D561DD4"/>
    <w:multiLevelType w:val="multilevel"/>
    <w:tmpl w:val="4D561DD4"/>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4DA166C7"/>
    <w:multiLevelType w:val="multilevel"/>
    <w:tmpl w:val="4DA166C7"/>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4EC5337D"/>
    <w:multiLevelType w:val="multilevel"/>
    <w:tmpl w:val="4EC5337D"/>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513E9295"/>
    <w:multiLevelType w:val="multilevel"/>
    <w:tmpl w:val="513E9295"/>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52D61F57"/>
    <w:multiLevelType w:val="multilevel"/>
    <w:tmpl w:val="52D61F57"/>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5A3CD190"/>
    <w:multiLevelType w:val="singleLevel"/>
    <w:tmpl w:val="5A3CD190"/>
    <w:lvl w:ilvl="0" w:tentative="0">
      <w:start w:val="1"/>
      <w:numFmt w:val="decimal"/>
      <w:suff w:val="nothing"/>
      <w:lvlText w:val="（%1）"/>
      <w:lvlJc w:val="left"/>
      <w:rPr>
        <w:rFonts w:cs="Times New Roman"/>
      </w:rPr>
    </w:lvl>
  </w:abstractNum>
  <w:abstractNum w:abstractNumId="34">
    <w:nsid w:val="5A460490"/>
    <w:multiLevelType w:val="singleLevel"/>
    <w:tmpl w:val="5A460490"/>
    <w:lvl w:ilvl="0" w:tentative="0">
      <w:start w:val="1"/>
      <w:numFmt w:val="decimal"/>
      <w:suff w:val="nothing"/>
      <w:lvlText w:val="（%1）"/>
      <w:lvlJc w:val="left"/>
      <w:rPr>
        <w:rFonts w:cs="Times New Roman"/>
      </w:rPr>
    </w:lvl>
  </w:abstractNum>
  <w:abstractNum w:abstractNumId="35">
    <w:nsid w:val="5A4604BA"/>
    <w:multiLevelType w:val="singleLevel"/>
    <w:tmpl w:val="5A4604BA"/>
    <w:lvl w:ilvl="0" w:tentative="0">
      <w:start w:val="1"/>
      <w:numFmt w:val="decimal"/>
      <w:suff w:val="nothing"/>
      <w:lvlText w:val="（%1）"/>
      <w:lvlJc w:val="left"/>
      <w:rPr>
        <w:rFonts w:cs="Times New Roman"/>
      </w:rPr>
    </w:lvl>
  </w:abstractNum>
  <w:abstractNum w:abstractNumId="36">
    <w:nsid w:val="5F7F6896"/>
    <w:multiLevelType w:val="multilevel"/>
    <w:tmpl w:val="5F7F6896"/>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5FA1771C"/>
    <w:multiLevelType w:val="multilevel"/>
    <w:tmpl w:val="5FA1771C"/>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8">
    <w:nsid w:val="6496F1CA"/>
    <w:multiLevelType w:val="singleLevel"/>
    <w:tmpl w:val="6496F1CA"/>
    <w:lvl w:ilvl="0" w:tentative="0">
      <w:start w:val="1"/>
      <w:numFmt w:val="decimal"/>
      <w:suff w:val="nothing"/>
      <w:lvlText w:val="%1、"/>
      <w:lvlJc w:val="left"/>
    </w:lvl>
  </w:abstractNum>
  <w:abstractNum w:abstractNumId="39">
    <w:nsid w:val="69540890"/>
    <w:multiLevelType w:val="multilevel"/>
    <w:tmpl w:val="69540890"/>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6C40234D"/>
    <w:multiLevelType w:val="multilevel"/>
    <w:tmpl w:val="6C40234D"/>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6D8CDAE6"/>
    <w:multiLevelType w:val="singleLevel"/>
    <w:tmpl w:val="6D8CDAE6"/>
    <w:lvl w:ilvl="0" w:tentative="0">
      <w:start w:val="2"/>
      <w:numFmt w:val="decimal"/>
      <w:lvlText w:val="%1."/>
      <w:lvlJc w:val="left"/>
      <w:pPr>
        <w:tabs>
          <w:tab w:val="left" w:pos="312"/>
        </w:tabs>
      </w:pPr>
    </w:lvl>
  </w:abstractNum>
  <w:abstractNum w:abstractNumId="42">
    <w:nsid w:val="6FC52A7F"/>
    <w:multiLevelType w:val="multilevel"/>
    <w:tmpl w:val="6FC52A7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3">
    <w:nsid w:val="77A11D5A"/>
    <w:multiLevelType w:val="multilevel"/>
    <w:tmpl w:val="77A11D5A"/>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78727EC3"/>
    <w:multiLevelType w:val="multilevel"/>
    <w:tmpl w:val="78727EC3"/>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7F2205CD"/>
    <w:multiLevelType w:val="multilevel"/>
    <w:tmpl w:val="7F2205CD"/>
    <w:lvl w:ilvl="0" w:tentative="0">
      <w:start w:val="1"/>
      <w:numFmt w:val="decimal"/>
      <w:lvlText w:val="%1)"/>
      <w:lvlJc w:val="left"/>
      <w:pPr>
        <w:ind w:left="840" w:hanging="420"/>
      </w:pPr>
      <w:rPr>
        <w:rFonts w:hint="eastAsia"/>
      </w:r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4"/>
  </w:num>
  <w:num w:numId="2">
    <w:abstractNumId w:val="5"/>
  </w:num>
  <w:num w:numId="3">
    <w:abstractNumId w:val="38"/>
  </w:num>
  <w:num w:numId="4">
    <w:abstractNumId w:val="34"/>
  </w:num>
  <w:num w:numId="5">
    <w:abstractNumId w:val="35"/>
  </w:num>
  <w:num w:numId="6">
    <w:abstractNumId w:val="33"/>
  </w:num>
  <w:num w:numId="7">
    <w:abstractNumId w:val="4"/>
  </w:num>
  <w:num w:numId="8">
    <w:abstractNumId w:val="42"/>
  </w:num>
  <w:num w:numId="9">
    <w:abstractNumId w:val="37"/>
  </w:num>
  <w:num w:numId="10">
    <w:abstractNumId w:val="16"/>
  </w:num>
  <w:num w:numId="11">
    <w:abstractNumId w:val="43"/>
  </w:num>
  <w:num w:numId="12">
    <w:abstractNumId w:val="44"/>
  </w:num>
  <w:num w:numId="13">
    <w:abstractNumId w:val="11"/>
  </w:num>
  <w:num w:numId="14">
    <w:abstractNumId w:val="32"/>
  </w:num>
  <w:num w:numId="15">
    <w:abstractNumId w:val="28"/>
  </w:num>
  <w:num w:numId="16">
    <w:abstractNumId w:val="19"/>
  </w:num>
  <w:num w:numId="17">
    <w:abstractNumId w:val="31"/>
  </w:num>
  <w:num w:numId="18">
    <w:abstractNumId w:val="2"/>
  </w:num>
  <w:num w:numId="19">
    <w:abstractNumId w:val="26"/>
  </w:num>
  <w:num w:numId="20">
    <w:abstractNumId w:val="40"/>
  </w:num>
  <w:num w:numId="21">
    <w:abstractNumId w:val="45"/>
  </w:num>
  <w:num w:numId="22">
    <w:abstractNumId w:val="22"/>
  </w:num>
  <w:num w:numId="23">
    <w:abstractNumId w:val="10"/>
  </w:num>
  <w:num w:numId="24">
    <w:abstractNumId w:val="6"/>
  </w:num>
  <w:num w:numId="25">
    <w:abstractNumId w:val="30"/>
  </w:num>
  <w:num w:numId="26">
    <w:abstractNumId w:val="15"/>
  </w:num>
  <w:num w:numId="27">
    <w:abstractNumId w:val="3"/>
  </w:num>
  <w:num w:numId="28">
    <w:abstractNumId w:val="1"/>
  </w:num>
  <w:num w:numId="29">
    <w:abstractNumId w:val="13"/>
  </w:num>
  <w:num w:numId="30">
    <w:abstractNumId w:val="17"/>
  </w:num>
  <w:num w:numId="31">
    <w:abstractNumId w:val="39"/>
  </w:num>
  <w:num w:numId="32">
    <w:abstractNumId w:val="27"/>
  </w:num>
  <w:num w:numId="33">
    <w:abstractNumId w:val="18"/>
  </w:num>
  <w:num w:numId="34">
    <w:abstractNumId w:val="14"/>
  </w:num>
  <w:num w:numId="35">
    <w:abstractNumId w:val="12"/>
  </w:num>
  <w:num w:numId="36">
    <w:abstractNumId w:val="25"/>
  </w:num>
  <w:num w:numId="37">
    <w:abstractNumId w:val="29"/>
  </w:num>
  <w:num w:numId="38">
    <w:abstractNumId w:val="21"/>
  </w:num>
  <w:num w:numId="39">
    <w:abstractNumId w:val="23"/>
  </w:num>
  <w:num w:numId="40">
    <w:abstractNumId w:val="36"/>
  </w:num>
  <w:num w:numId="41">
    <w:abstractNumId w:val="20"/>
  </w:num>
  <w:num w:numId="42">
    <w:abstractNumId w:val="0"/>
  </w:num>
  <w:num w:numId="43">
    <w:abstractNumId w:val="7"/>
  </w:num>
  <w:num w:numId="44">
    <w:abstractNumId w:val="8"/>
  </w:num>
  <w:num w:numId="45">
    <w:abstractNumId w:val="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NkN2Q3ZmM3NDYxOTQ1M2JjNjI1YTBmODI2M2Q5ODgifQ=="/>
  </w:docVars>
  <w:rsids>
    <w:rsidRoot w:val="00802E7C"/>
    <w:rsid w:val="00000DBF"/>
    <w:rsid w:val="0000224F"/>
    <w:rsid w:val="000055EA"/>
    <w:rsid w:val="000070FA"/>
    <w:rsid w:val="000076B3"/>
    <w:rsid w:val="00007E68"/>
    <w:rsid w:val="0001145D"/>
    <w:rsid w:val="000117DC"/>
    <w:rsid w:val="00011BC4"/>
    <w:rsid w:val="0001237D"/>
    <w:rsid w:val="000138F4"/>
    <w:rsid w:val="00013EAE"/>
    <w:rsid w:val="0001413B"/>
    <w:rsid w:val="0001469F"/>
    <w:rsid w:val="00014C40"/>
    <w:rsid w:val="00017E07"/>
    <w:rsid w:val="0002157F"/>
    <w:rsid w:val="00024891"/>
    <w:rsid w:val="00025B31"/>
    <w:rsid w:val="00031089"/>
    <w:rsid w:val="00031D17"/>
    <w:rsid w:val="00031E8A"/>
    <w:rsid w:val="00033A2F"/>
    <w:rsid w:val="00034662"/>
    <w:rsid w:val="0003594B"/>
    <w:rsid w:val="00037552"/>
    <w:rsid w:val="00043927"/>
    <w:rsid w:val="00044284"/>
    <w:rsid w:val="00050251"/>
    <w:rsid w:val="00054A54"/>
    <w:rsid w:val="00054C9B"/>
    <w:rsid w:val="0005594F"/>
    <w:rsid w:val="00055C23"/>
    <w:rsid w:val="00057203"/>
    <w:rsid w:val="00060AFE"/>
    <w:rsid w:val="00060E21"/>
    <w:rsid w:val="0006107B"/>
    <w:rsid w:val="00061183"/>
    <w:rsid w:val="00061AF7"/>
    <w:rsid w:val="000624D1"/>
    <w:rsid w:val="00062E6A"/>
    <w:rsid w:val="00064D5F"/>
    <w:rsid w:val="00065124"/>
    <w:rsid w:val="00066873"/>
    <w:rsid w:val="00067378"/>
    <w:rsid w:val="0006771F"/>
    <w:rsid w:val="00070CF5"/>
    <w:rsid w:val="00070F4E"/>
    <w:rsid w:val="00071F9E"/>
    <w:rsid w:val="000720D2"/>
    <w:rsid w:val="00073212"/>
    <w:rsid w:val="00073D93"/>
    <w:rsid w:val="00073E71"/>
    <w:rsid w:val="00074AB4"/>
    <w:rsid w:val="0007682C"/>
    <w:rsid w:val="00076D8D"/>
    <w:rsid w:val="000774FC"/>
    <w:rsid w:val="00080B88"/>
    <w:rsid w:val="00081B64"/>
    <w:rsid w:val="000835C0"/>
    <w:rsid w:val="00083901"/>
    <w:rsid w:val="00084440"/>
    <w:rsid w:val="00085668"/>
    <w:rsid w:val="00085BD6"/>
    <w:rsid w:val="00091F3F"/>
    <w:rsid w:val="00094329"/>
    <w:rsid w:val="000951B4"/>
    <w:rsid w:val="000968AE"/>
    <w:rsid w:val="00097AA9"/>
    <w:rsid w:val="00097D55"/>
    <w:rsid w:val="000A0040"/>
    <w:rsid w:val="000A48CC"/>
    <w:rsid w:val="000A5C53"/>
    <w:rsid w:val="000B00FE"/>
    <w:rsid w:val="000B14CD"/>
    <w:rsid w:val="000B207C"/>
    <w:rsid w:val="000B29D4"/>
    <w:rsid w:val="000B32FC"/>
    <w:rsid w:val="000B7243"/>
    <w:rsid w:val="000B76FC"/>
    <w:rsid w:val="000C08BC"/>
    <w:rsid w:val="000C3E4B"/>
    <w:rsid w:val="000C48F0"/>
    <w:rsid w:val="000C4B3D"/>
    <w:rsid w:val="000C594A"/>
    <w:rsid w:val="000C7E7A"/>
    <w:rsid w:val="000D1135"/>
    <w:rsid w:val="000D2892"/>
    <w:rsid w:val="000D6104"/>
    <w:rsid w:val="000D62F4"/>
    <w:rsid w:val="000D70F2"/>
    <w:rsid w:val="000D7C6D"/>
    <w:rsid w:val="000E0B9B"/>
    <w:rsid w:val="000E2091"/>
    <w:rsid w:val="000E2131"/>
    <w:rsid w:val="000E2350"/>
    <w:rsid w:val="000E42C3"/>
    <w:rsid w:val="000E44DB"/>
    <w:rsid w:val="000E4D32"/>
    <w:rsid w:val="000E5860"/>
    <w:rsid w:val="000E75B2"/>
    <w:rsid w:val="000F12BE"/>
    <w:rsid w:val="000F6964"/>
    <w:rsid w:val="001013F9"/>
    <w:rsid w:val="00102ABC"/>
    <w:rsid w:val="00102DA9"/>
    <w:rsid w:val="00103E96"/>
    <w:rsid w:val="001055CE"/>
    <w:rsid w:val="001057C3"/>
    <w:rsid w:val="0010674E"/>
    <w:rsid w:val="001079BF"/>
    <w:rsid w:val="00111BA1"/>
    <w:rsid w:val="001126B7"/>
    <w:rsid w:val="00112F10"/>
    <w:rsid w:val="00113C69"/>
    <w:rsid w:val="0011462A"/>
    <w:rsid w:val="001207AB"/>
    <w:rsid w:val="00121511"/>
    <w:rsid w:val="00122907"/>
    <w:rsid w:val="0012505E"/>
    <w:rsid w:val="001258C6"/>
    <w:rsid w:val="00125937"/>
    <w:rsid w:val="00125EEB"/>
    <w:rsid w:val="001272DA"/>
    <w:rsid w:val="00127C96"/>
    <w:rsid w:val="0013104F"/>
    <w:rsid w:val="00132240"/>
    <w:rsid w:val="001325ED"/>
    <w:rsid w:val="001336E3"/>
    <w:rsid w:val="00133A66"/>
    <w:rsid w:val="0013756C"/>
    <w:rsid w:val="00142072"/>
    <w:rsid w:val="0014477E"/>
    <w:rsid w:val="00145A86"/>
    <w:rsid w:val="001463F5"/>
    <w:rsid w:val="00146876"/>
    <w:rsid w:val="00146B93"/>
    <w:rsid w:val="00147B3A"/>
    <w:rsid w:val="00147C54"/>
    <w:rsid w:val="001501C8"/>
    <w:rsid w:val="00151E3B"/>
    <w:rsid w:val="001542FA"/>
    <w:rsid w:val="00154739"/>
    <w:rsid w:val="001555A9"/>
    <w:rsid w:val="00156523"/>
    <w:rsid w:val="00157B90"/>
    <w:rsid w:val="00161024"/>
    <w:rsid w:val="00161184"/>
    <w:rsid w:val="00161EDA"/>
    <w:rsid w:val="00163E53"/>
    <w:rsid w:val="00163E72"/>
    <w:rsid w:val="0016603D"/>
    <w:rsid w:val="00166A81"/>
    <w:rsid w:val="00167C0B"/>
    <w:rsid w:val="0017056F"/>
    <w:rsid w:val="00171ED9"/>
    <w:rsid w:val="00174CEA"/>
    <w:rsid w:val="001766B6"/>
    <w:rsid w:val="00180083"/>
    <w:rsid w:val="00181159"/>
    <w:rsid w:val="0018230C"/>
    <w:rsid w:val="00187CAD"/>
    <w:rsid w:val="00190254"/>
    <w:rsid w:val="00197C7E"/>
    <w:rsid w:val="001A04B8"/>
    <w:rsid w:val="001A0D73"/>
    <w:rsid w:val="001A0F98"/>
    <w:rsid w:val="001A23FC"/>
    <w:rsid w:val="001A450A"/>
    <w:rsid w:val="001A4D00"/>
    <w:rsid w:val="001A546B"/>
    <w:rsid w:val="001A5C9E"/>
    <w:rsid w:val="001A7850"/>
    <w:rsid w:val="001B103E"/>
    <w:rsid w:val="001B1143"/>
    <w:rsid w:val="001B1753"/>
    <w:rsid w:val="001B5352"/>
    <w:rsid w:val="001B571D"/>
    <w:rsid w:val="001B6BDF"/>
    <w:rsid w:val="001B72E4"/>
    <w:rsid w:val="001C21F7"/>
    <w:rsid w:val="001C307B"/>
    <w:rsid w:val="001C696D"/>
    <w:rsid w:val="001D2884"/>
    <w:rsid w:val="001D52A0"/>
    <w:rsid w:val="001D5A00"/>
    <w:rsid w:val="001D5AC9"/>
    <w:rsid w:val="001D5CE0"/>
    <w:rsid w:val="001D6DE2"/>
    <w:rsid w:val="001D7CF8"/>
    <w:rsid w:val="001E0F5E"/>
    <w:rsid w:val="001E3A2E"/>
    <w:rsid w:val="001E3CD4"/>
    <w:rsid w:val="001E565D"/>
    <w:rsid w:val="001E6154"/>
    <w:rsid w:val="001E628B"/>
    <w:rsid w:val="001F00D3"/>
    <w:rsid w:val="001F1209"/>
    <w:rsid w:val="001F22C5"/>
    <w:rsid w:val="001F37D2"/>
    <w:rsid w:val="001F5C77"/>
    <w:rsid w:val="001F5F29"/>
    <w:rsid w:val="001F6F25"/>
    <w:rsid w:val="001F6FEF"/>
    <w:rsid w:val="001F78B5"/>
    <w:rsid w:val="0020097F"/>
    <w:rsid w:val="0020138C"/>
    <w:rsid w:val="002022FB"/>
    <w:rsid w:val="0020233A"/>
    <w:rsid w:val="00203690"/>
    <w:rsid w:val="0020452C"/>
    <w:rsid w:val="00205329"/>
    <w:rsid w:val="00211327"/>
    <w:rsid w:val="00213D00"/>
    <w:rsid w:val="00215658"/>
    <w:rsid w:val="002204F3"/>
    <w:rsid w:val="0022286E"/>
    <w:rsid w:val="00222D8C"/>
    <w:rsid w:val="002243C5"/>
    <w:rsid w:val="00225917"/>
    <w:rsid w:val="00226853"/>
    <w:rsid w:val="002278EC"/>
    <w:rsid w:val="00230ABC"/>
    <w:rsid w:val="002334FD"/>
    <w:rsid w:val="00235875"/>
    <w:rsid w:val="00236263"/>
    <w:rsid w:val="002373D4"/>
    <w:rsid w:val="0023782C"/>
    <w:rsid w:val="002431B8"/>
    <w:rsid w:val="00243585"/>
    <w:rsid w:val="00244BFA"/>
    <w:rsid w:val="00244F67"/>
    <w:rsid w:val="00245C6A"/>
    <w:rsid w:val="0024619E"/>
    <w:rsid w:val="00250812"/>
    <w:rsid w:val="00254026"/>
    <w:rsid w:val="00254956"/>
    <w:rsid w:val="00254D13"/>
    <w:rsid w:val="002551DE"/>
    <w:rsid w:val="00256280"/>
    <w:rsid w:val="00260344"/>
    <w:rsid w:val="00260831"/>
    <w:rsid w:val="00260DAC"/>
    <w:rsid w:val="002638B9"/>
    <w:rsid w:val="00263C08"/>
    <w:rsid w:val="00263EE9"/>
    <w:rsid w:val="00264B92"/>
    <w:rsid w:val="002651C5"/>
    <w:rsid w:val="00265783"/>
    <w:rsid w:val="00267238"/>
    <w:rsid w:val="002672FA"/>
    <w:rsid w:val="00270437"/>
    <w:rsid w:val="00271E51"/>
    <w:rsid w:val="00272683"/>
    <w:rsid w:val="00274BB3"/>
    <w:rsid w:val="002779BD"/>
    <w:rsid w:val="002802B4"/>
    <w:rsid w:val="00282DEA"/>
    <w:rsid w:val="00284321"/>
    <w:rsid w:val="002861D2"/>
    <w:rsid w:val="0028640D"/>
    <w:rsid w:val="002864B1"/>
    <w:rsid w:val="00287448"/>
    <w:rsid w:val="0029123A"/>
    <w:rsid w:val="0029269A"/>
    <w:rsid w:val="00293D43"/>
    <w:rsid w:val="00294227"/>
    <w:rsid w:val="00295841"/>
    <w:rsid w:val="002965FB"/>
    <w:rsid w:val="002A05A8"/>
    <w:rsid w:val="002A2DF1"/>
    <w:rsid w:val="002A44D8"/>
    <w:rsid w:val="002A5D41"/>
    <w:rsid w:val="002A6544"/>
    <w:rsid w:val="002A66F2"/>
    <w:rsid w:val="002A676D"/>
    <w:rsid w:val="002A7870"/>
    <w:rsid w:val="002A788C"/>
    <w:rsid w:val="002A7CEB"/>
    <w:rsid w:val="002B064F"/>
    <w:rsid w:val="002B394F"/>
    <w:rsid w:val="002B77CE"/>
    <w:rsid w:val="002C1EA6"/>
    <w:rsid w:val="002C2B15"/>
    <w:rsid w:val="002D035C"/>
    <w:rsid w:val="002D26A4"/>
    <w:rsid w:val="002D3DA3"/>
    <w:rsid w:val="002D463D"/>
    <w:rsid w:val="002D52F6"/>
    <w:rsid w:val="002D79E6"/>
    <w:rsid w:val="002E1782"/>
    <w:rsid w:val="002E3762"/>
    <w:rsid w:val="002E38D4"/>
    <w:rsid w:val="002E4874"/>
    <w:rsid w:val="002E498E"/>
    <w:rsid w:val="002E5B04"/>
    <w:rsid w:val="002E68CA"/>
    <w:rsid w:val="002E777E"/>
    <w:rsid w:val="002E7CB1"/>
    <w:rsid w:val="002F03E8"/>
    <w:rsid w:val="002F0501"/>
    <w:rsid w:val="002F0EAA"/>
    <w:rsid w:val="002F18F5"/>
    <w:rsid w:val="002F2B43"/>
    <w:rsid w:val="002F4847"/>
    <w:rsid w:val="0030151A"/>
    <w:rsid w:val="00305991"/>
    <w:rsid w:val="00305CE6"/>
    <w:rsid w:val="00305DFE"/>
    <w:rsid w:val="00307127"/>
    <w:rsid w:val="003075D1"/>
    <w:rsid w:val="003103F3"/>
    <w:rsid w:val="003109F6"/>
    <w:rsid w:val="00310B3A"/>
    <w:rsid w:val="00312DE7"/>
    <w:rsid w:val="003131D3"/>
    <w:rsid w:val="003137A6"/>
    <w:rsid w:val="00313F51"/>
    <w:rsid w:val="00314670"/>
    <w:rsid w:val="00314AD9"/>
    <w:rsid w:val="00315278"/>
    <w:rsid w:val="00322BFC"/>
    <w:rsid w:val="00323381"/>
    <w:rsid w:val="0032391F"/>
    <w:rsid w:val="00326C88"/>
    <w:rsid w:val="00327483"/>
    <w:rsid w:val="00327E7D"/>
    <w:rsid w:val="00330167"/>
    <w:rsid w:val="003306C0"/>
    <w:rsid w:val="0033147B"/>
    <w:rsid w:val="00331B6D"/>
    <w:rsid w:val="00331E6C"/>
    <w:rsid w:val="003328DD"/>
    <w:rsid w:val="00333651"/>
    <w:rsid w:val="003362C1"/>
    <w:rsid w:val="00337111"/>
    <w:rsid w:val="00337700"/>
    <w:rsid w:val="0033793D"/>
    <w:rsid w:val="003433D5"/>
    <w:rsid w:val="003440CA"/>
    <w:rsid w:val="0034566B"/>
    <w:rsid w:val="0034600E"/>
    <w:rsid w:val="00347526"/>
    <w:rsid w:val="00352654"/>
    <w:rsid w:val="0035294D"/>
    <w:rsid w:val="003543E8"/>
    <w:rsid w:val="003555AD"/>
    <w:rsid w:val="003574D1"/>
    <w:rsid w:val="003662E9"/>
    <w:rsid w:val="00367B8F"/>
    <w:rsid w:val="00367DA6"/>
    <w:rsid w:val="00370E34"/>
    <w:rsid w:val="003710CB"/>
    <w:rsid w:val="003711E6"/>
    <w:rsid w:val="00371721"/>
    <w:rsid w:val="003727D6"/>
    <w:rsid w:val="00376E97"/>
    <w:rsid w:val="00380FF7"/>
    <w:rsid w:val="00382438"/>
    <w:rsid w:val="00383239"/>
    <w:rsid w:val="00384DB8"/>
    <w:rsid w:val="00387BC0"/>
    <w:rsid w:val="0039258D"/>
    <w:rsid w:val="00392EA1"/>
    <w:rsid w:val="00393A7A"/>
    <w:rsid w:val="00393CAB"/>
    <w:rsid w:val="003945CC"/>
    <w:rsid w:val="00395735"/>
    <w:rsid w:val="00395E06"/>
    <w:rsid w:val="003A01EB"/>
    <w:rsid w:val="003A302B"/>
    <w:rsid w:val="003A6F05"/>
    <w:rsid w:val="003A7DCF"/>
    <w:rsid w:val="003B4250"/>
    <w:rsid w:val="003B54A4"/>
    <w:rsid w:val="003B6229"/>
    <w:rsid w:val="003B7514"/>
    <w:rsid w:val="003B75B8"/>
    <w:rsid w:val="003C2E5F"/>
    <w:rsid w:val="003C3A43"/>
    <w:rsid w:val="003D05AD"/>
    <w:rsid w:val="003D07EC"/>
    <w:rsid w:val="003D6C87"/>
    <w:rsid w:val="003D6E58"/>
    <w:rsid w:val="003E0714"/>
    <w:rsid w:val="003E1207"/>
    <w:rsid w:val="003E1889"/>
    <w:rsid w:val="003E21BB"/>
    <w:rsid w:val="003E5181"/>
    <w:rsid w:val="003E551E"/>
    <w:rsid w:val="003E5728"/>
    <w:rsid w:val="003E7B88"/>
    <w:rsid w:val="003F0A54"/>
    <w:rsid w:val="003F1A51"/>
    <w:rsid w:val="003F1B86"/>
    <w:rsid w:val="003F2EB2"/>
    <w:rsid w:val="003F4337"/>
    <w:rsid w:val="003F4979"/>
    <w:rsid w:val="003F7B62"/>
    <w:rsid w:val="00400530"/>
    <w:rsid w:val="0040142D"/>
    <w:rsid w:val="00401C30"/>
    <w:rsid w:val="00403AA8"/>
    <w:rsid w:val="00405F17"/>
    <w:rsid w:val="0040651A"/>
    <w:rsid w:val="00406D26"/>
    <w:rsid w:val="00407688"/>
    <w:rsid w:val="00407731"/>
    <w:rsid w:val="004107C0"/>
    <w:rsid w:val="00410975"/>
    <w:rsid w:val="00410D73"/>
    <w:rsid w:val="00411097"/>
    <w:rsid w:val="00411408"/>
    <w:rsid w:val="004115BE"/>
    <w:rsid w:val="00413274"/>
    <w:rsid w:val="00413F67"/>
    <w:rsid w:val="00414BF3"/>
    <w:rsid w:val="00414D06"/>
    <w:rsid w:val="004166BA"/>
    <w:rsid w:val="004179A4"/>
    <w:rsid w:val="00421289"/>
    <w:rsid w:val="00421299"/>
    <w:rsid w:val="0042195E"/>
    <w:rsid w:val="004219D3"/>
    <w:rsid w:val="0042252F"/>
    <w:rsid w:val="00423074"/>
    <w:rsid w:val="004239AF"/>
    <w:rsid w:val="00426D1F"/>
    <w:rsid w:val="0043362E"/>
    <w:rsid w:val="00433810"/>
    <w:rsid w:val="0043396E"/>
    <w:rsid w:val="00433D8C"/>
    <w:rsid w:val="00433DE1"/>
    <w:rsid w:val="0043418D"/>
    <w:rsid w:val="00434B6A"/>
    <w:rsid w:val="00435619"/>
    <w:rsid w:val="00436324"/>
    <w:rsid w:val="00436E63"/>
    <w:rsid w:val="00437209"/>
    <w:rsid w:val="0044462D"/>
    <w:rsid w:val="0044497A"/>
    <w:rsid w:val="00444B06"/>
    <w:rsid w:val="00445958"/>
    <w:rsid w:val="00450F71"/>
    <w:rsid w:val="00450FC7"/>
    <w:rsid w:val="004511E7"/>
    <w:rsid w:val="00451672"/>
    <w:rsid w:val="00453538"/>
    <w:rsid w:val="00454CD2"/>
    <w:rsid w:val="0045548E"/>
    <w:rsid w:val="00457FC3"/>
    <w:rsid w:val="0046273A"/>
    <w:rsid w:val="00462C3C"/>
    <w:rsid w:val="004634AF"/>
    <w:rsid w:val="00465667"/>
    <w:rsid w:val="00465949"/>
    <w:rsid w:val="00467285"/>
    <w:rsid w:val="004704F1"/>
    <w:rsid w:val="004714D1"/>
    <w:rsid w:val="00471A02"/>
    <w:rsid w:val="00473B9A"/>
    <w:rsid w:val="00473BED"/>
    <w:rsid w:val="00474F45"/>
    <w:rsid w:val="00477249"/>
    <w:rsid w:val="004773C9"/>
    <w:rsid w:val="00482D90"/>
    <w:rsid w:val="004847A5"/>
    <w:rsid w:val="00485B5E"/>
    <w:rsid w:val="0048662E"/>
    <w:rsid w:val="0048793B"/>
    <w:rsid w:val="00487BCA"/>
    <w:rsid w:val="00487BCB"/>
    <w:rsid w:val="00491E00"/>
    <w:rsid w:val="00492FF3"/>
    <w:rsid w:val="00493153"/>
    <w:rsid w:val="00495BDA"/>
    <w:rsid w:val="0049662F"/>
    <w:rsid w:val="004A0052"/>
    <w:rsid w:val="004A1BEB"/>
    <w:rsid w:val="004A21C8"/>
    <w:rsid w:val="004A2E5B"/>
    <w:rsid w:val="004A6CF1"/>
    <w:rsid w:val="004A797B"/>
    <w:rsid w:val="004A7C5B"/>
    <w:rsid w:val="004A7ECD"/>
    <w:rsid w:val="004B6B37"/>
    <w:rsid w:val="004C0E74"/>
    <w:rsid w:val="004C165C"/>
    <w:rsid w:val="004C6A11"/>
    <w:rsid w:val="004C6C0E"/>
    <w:rsid w:val="004C6E2D"/>
    <w:rsid w:val="004C7999"/>
    <w:rsid w:val="004C7BAE"/>
    <w:rsid w:val="004D0475"/>
    <w:rsid w:val="004D0497"/>
    <w:rsid w:val="004D05CE"/>
    <w:rsid w:val="004D27D4"/>
    <w:rsid w:val="004D325C"/>
    <w:rsid w:val="004D3CB7"/>
    <w:rsid w:val="004D4E64"/>
    <w:rsid w:val="004D738F"/>
    <w:rsid w:val="004E025B"/>
    <w:rsid w:val="004E0A5D"/>
    <w:rsid w:val="004E208E"/>
    <w:rsid w:val="004E228D"/>
    <w:rsid w:val="004E4423"/>
    <w:rsid w:val="004F035C"/>
    <w:rsid w:val="004F06EF"/>
    <w:rsid w:val="004F2ED2"/>
    <w:rsid w:val="004F497B"/>
    <w:rsid w:val="004F4E6A"/>
    <w:rsid w:val="004F52E3"/>
    <w:rsid w:val="00500DB7"/>
    <w:rsid w:val="00501BFA"/>
    <w:rsid w:val="0050469A"/>
    <w:rsid w:val="00504A9C"/>
    <w:rsid w:val="005059B1"/>
    <w:rsid w:val="00505BEA"/>
    <w:rsid w:val="00506D10"/>
    <w:rsid w:val="00510F4E"/>
    <w:rsid w:val="005117DA"/>
    <w:rsid w:val="00511E77"/>
    <w:rsid w:val="0051258F"/>
    <w:rsid w:val="00512938"/>
    <w:rsid w:val="005129C8"/>
    <w:rsid w:val="00513261"/>
    <w:rsid w:val="0051326C"/>
    <w:rsid w:val="00514299"/>
    <w:rsid w:val="005158F2"/>
    <w:rsid w:val="00516598"/>
    <w:rsid w:val="005175B2"/>
    <w:rsid w:val="00520BD3"/>
    <w:rsid w:val="00522403"/>
    <w:rsid w:val="00522447"/>
    <w:rsid w:val="00523906"/>
    <w:rsid w:val="005241AE"/>
    <w:rsid w:val="005254A5"/>
    <w:rsid w:val="00525571"/>
    <w:rsid w:val="005302A3"/>
    <w:rsid w:val="00530E02"/>
    <w:rsid w:val="00530F9A"/>
    <w:rsid w:val="0053204B"/>
    <w:rsid w:val="00533325"/>
    <w:rsid w:val="0053458D"/>
    <w:rsid w:val="00534E3C"/>
    <w:rsid w:val="0054292A"/>
    <w:rsid w:val="0054689E"/>
    <w:rsid w:val="0054784E"/>
    <w:rsid w:val="0055048A"/>
    <w:rsid w:val="00550D3F"/>
    <w:rsid w:val="00552D3E"/>
    <w:rsid w:val="00555C68"/>
    <w:rsid w:val="005561D1"/>
    <w:rsid w:val="005565DA"/>
    <w:rsid w:val="00557428"/>
    <w:rsid w:val="005577D1"/>
    <w:rsid w:val="005603E6"/>
    <w:rsid w:val="00561655"/>
    <w:rsid w:val="00561ED7"/>
    <w:rsid w:val="00562178"/>
    <w:rsid w:val="00562C51"/>
    <w:rsid w:val="00562D83"/>
    <w:rsid w:val="005633B9"/>
    <w:rsid w:val="005648A1"/>
    <w:rsid w:val="005657EA"/>
    <w:rsid w:val="00571899"/>
    <w:rsid w:val="00573A55"/>
    <w:rsid w:val="00573A9B"/>
    <w:rsid w:val="005745BD"/>
    <w:rsid w:val="00574F19"/>
    <w:rsid w:val="00575F7D"/>
    <w:rsid w:val="0057602E"/>
    <w:rsid w:val="005810C9"/>
    <w:rsid w:val="00582625"/>
    <w:rsid w:val="005836C2"/>
    <w:rsid w:val="005849F2"/>
    <w:rsid w:val="00585D66"/>
    <w:rsid w:val="005863C4"/>
    <w:rsid w:val="00587747"/>
    <w:rsid w:val="005900D3"/>
    <w:rsid w:val="00590AA7"/>
    <w:rsid w:val="00591364"/>
    <w:rsid w:val="00592264"/>
    <w:rsid w:val="00595592"/>
    <w:rsid w:val="00595F0E"/>
    <w:rsid w:val="0059762F"/>
    <w:rsid w:val="005A0CAA"/>
    <w:rsid w:val="005A6599"/>
    <w:rsid w:val="005B08DE"/>
    <w:rsid w:val="005B12B9"/>
    <w:rsid w:val="005B142C"/>
    <w:rsid w:val="005B2806"/>
    <w:rsid w:val="005B4ACD"/>
    <w:rsid w:val="005B4D42"/>
    <w:rsid w:val="005B5D5A"/>
    <w:rsid w:val="005B7360"/>
    <w:rsid w:val="005B750F"/>
    <w:rsid w:val="005B76BF"/>
    <w:rsid w:val="005C4D31"/>
    <w:rsid w:val="005C5E34"/>
    <w:rsid w:val="005C5FA4"/>
    <w:rsid w:val="005C6692"/>
    <w:rsid w:val="005D211C"/>
    <w:rsid w:val="005D2FB9"/>
    <w:rsid w:val="005D45C4"/>
    <w:rsid w:val="005D5DE5"/>
    <w:rsid w:val="005D6981"/>
    <w:rsid w:val="005D7121"/>
    <w:rsid w:val="005D780C"/>
    <w:rsid w:val="005D7F2C"/>
    <w:rsid w:val="005E2463"/>
    <w:rsid w:val="005E2B85"/>
    <w:rsid w:val="005E5318"/>
    <w:rsid w:val="005E5BB1"/>
    <w:rsid w:val="005E5E01"/>
    <w:rsid w:val="005F2A17"/>
    <w:rsid w:val="005F7584"/>
    <w:rsid w:val="005F7657"/>
    <w:rsid w:val="005F7FDE"/>
    <w:rsid w:val="006013FF"/>
    <w:rsid w:val="00601C5E"/>
    <w:rsid w:val="006027C4"/>
    <w:rsid w:val="00614CB1"/>
    <w:rsid w:val="00615134"/>
    <w:rsid w:val="00620222"/>
    <w:rsid w:val="00620ACF"/>
    <w:rsid w:val="00623FC7"/>
    <w:rsid w:val="0062458D"/>
    <w:rsid w:val="0062518C"/>
    <w:rsid w:val="00625B81"/>
    <w:rsid w:val="00631587"/>
    <w:rsid w:val="006336EF"/>
    <w:rsid w:val="0063430E"/>
    <w:rsid w:val="00635DB8"/>
    <w:rsid w:val="00636CA1"/>
    <w:rsid w:val="00637A1D"/>
    <w:rsid w:val="0064003E"/>
    <w:rsid w:val="006407CE"/>
    <w:rsid w:val="006418F5"/>
    <w:rsid w:val="006431C4"/>
    <w:rsid w:val="00646526"/>
    <w:rsid w:val="00646A13"/>
    <w:rsid w:val="006527C7"/>
    <w:rsid w:val="00654020"/>
    <w:rsid w:val="006572FE"/>
    <w:rsid w:val="00657A3A"/>
    <w:rsid w:val="00657FC1"/>
    <w:rsid w:val="006600F5"/>
    <w:rsid w:val="00663771"/>
    <w:rsid w:val="00665309"/>
    <w:rsid w:val="00665603"/>
    <w:rsid w:val="00670AFE"/>
    <w:rsid w:val="00675593"/>
    <w:rsid w:val="00675AD1"/>
    <w:rsid w:val="00681ACE"/>
    <w:rsid w:val="0068242E"/>
    <w:rsid w:val="00683917"/>
    <w:rsid w:val="00683EFB"/>
    <w:rsid w:val="00685059"/>
    <w:rsid w:val="00685603"/>
    <w:rsid w:val="00685DC6"/>
    <w:rsid w:val="00690B78"/>
    <w:rsid w:val="00691B96"/>
    <w:rsid w:val="006925E7"/>
    <w:rsid w:val="00693C83"/>
    <w:rsid w:val="00694E87"/>
    <w:rsid w:val="00695D00"/>
    <w:rsid w:val="006973F9"/>
    <w:rsid w:val="006A033C"/>
    <w:rsid w:val="006A0F39"/>
    <w:rsid w:val="006A1C96"/>
    <w:rsid w:val="006A316F"/>
    <w:rsid w:val="006A3CA0"/>
    <w:rsid w:val="006A3E3D"/>
    <w:rsid w:val="006A5059"/>
    <w:rsid w:val="006A6586"/>
    <w:rsid w:val="006A6FCD"/>
    <w:rsid w:val="006B135F"/>
    <w:rsid w:val="006B156D"/>
    <w:rsid w:val="006B5BDE"/>
    <w:rsid w:val="006B7D2B"/>
    <w:rsid w:val="006C0320"/>
    <w:rsid w:val="006C3ED9"/>
    <w:rsid w:val="006C4DB2"/>
    <w:rsid w:val="006C5237"/>
    <w:rsid w:val="006C59E9"/>
    <w:rsid w:val="006D0A23"/>
    <w:rsid w:val="006D12F1"/>
    <w:rsid w:val="006D2B20"/>
    <w:rsid w:val="006D2B4F"/>
    <w:rsid w:val="006D348F"/>
    <w:rsid w:val="006D57C1"/>
    <w:rsid w:val="006D6813"/>
    <w:rsid w:val="006D7988"/>
    <w:rsid w:val="006E19BA"/>
    <w:rsid w:val="006E1D98"/>
    <w:rsid w:val="006E28A9"/>
    <w:rsid w:val="006E2991"/>
    <w:rsid w:val="006E2ED1"/>
    <w:rsid w:val="006E4A30"/>
    <w:rsid w:val="006E685F"/>
    <w:rsid w:val="006F03B5"/>
    <w:rsid w:val="006F1237"/>
    <w:rsid w:val="006F1B30"/>
    <w:rsid w:val="006F1FED"/>
    <w:rsid w:val="006F23C0"/>
    <w:rsid w:val="006F35D7"/>
    <w:rsid w:val="006F487A"/>
    <w:rsid w:val="006F5427"/>
    <w:rsid w:val="006F5834"/>
    <w:rsid w:val="006F68B2"/>
    <w:rsid w:val="006F6F6F"/>
    <w:rsid w:val="006F7073"/>
    <w:rsid w:val="006F72D6"/>
    <w:rsid w:val="006F73E7"/>
    <w:rsid w:val="006F7418"/>
    <w:rsid w:val="00700181"/>
    <w:rsid w:val="00702220"/>
    <w:rsid w:val="00703F54"/>
    <w:rsid w:val="00704A0E"/>
    <w:rsid w:val="007101CE"/>
    <w:rsid w:val="00711575"/>
    <w:rsid w:val="00712E3F"/>
    <w:rsid w:val="00713F4C"/>
    <w:rsid w:val="0071504C"/>
    <w:rsid w:val="00716C78"/>
    <w:rsid w:val="00717FC0"/>
    <w:rsid w:val="00722496"/>
    <w:rsid w:val="00724F17"/>
    <w:rsid w:val="00725070"/>
    <w:rsid w:val="00726A7E"/>
    <w:rsid w:val="00731163"/>
    <w:rsid w:val="0074118D"/>
    <w:rsid w:val="00741A11"/>
    <w:rsid w:val="00741E3D"/>
    <w:rsid w:val="0074341A"/>
    <w:rsid w:val="00743E4F"/>
    <w:rsid w:val="007469DA"/>
    <w:rsid w:val="00747BF4"/>
    <w:rsid w:val="007515FA"/>
    <w:rsid w:val="00751FED"/>
    <w:rsid w:val="00753C2E"/>
    <w:rsid w:val="007541DC"/>
    <w:rsid w:val="00754800"/>
    <w:rsid w:val="00755128"/>
    <w:rsid w:val="00755C72"/>
    <w:rsid w:val="00756524"/>
    <w:rsid w:val="00756CC3"/>
    <w:rsid w:val="007601A9"/>
    <w:rsid w:val="00761A9A"/>
    <w:rsid w:val="00762EAA"/>
    <w:rsid w:val="007630C9"/>
    <w:rsid w:val="00763342"/>
    <w:rsid w:val="00763946"/>
    <w:rsid w:val="00763E72"/>
    <w:rsid w:val="00764543"/>
    <w:rsid w:val="00765EF7"/>
    <w:rsid w:val="00767DD1"/>
    <w:rsid w:val="007707A1"/>
    <w:rsid w:val="007718F0"/>
    <w:rsid w:val="00772DC8"/>
    <w:rsid w:val="00775AC3"/>
    <w:rsid w:val="00775B26"/>
    <w:rsid w:val="00775ED7"/>
    <w:rsid w:val="00777D29"/>
    <w:rsid w:val="007801ED"/>
    <w:rsid w:val="00780381"/>
    <w:rsid w:val="0078106C"/>
    <w:rsid w:val="00782332"/>
    <w:rsid w:val="007829E0"/>
    <w:rsid w:val="00783748"/>
    <w:rsid w:val="007934E3"/>
    <w:rsid w:val="00794831"/>
    <w:rsid w:val="00794DF6"/>
    <w:rsid w:val="00795149"/>
    <w:rsid w:val="00797292"/>
    <w:rsid w:val="007A0E74"/>
    <w:rsid w:val="007A0FBB"/>
    <w:rsid w:val="007A227C"/>
    <w:rsid w:val="007A23C8"/>
    <w:rsid w:val="007A48A8"/>
    <w:rsid w:val="007A5ADC"/>
    <w:rsid w:val="007A6373"/>
    <w:rsid w:val="007B02E8"/>
    <w:rsid w:val="007B06AD"/>
    <w:rsid w:val="007B1203"/>
    <w:rsid w:val="007B309E"/>
    <w:rsid w:val="007B342C"/>
    <w:rsid w:val="007B3B62"/>
    <w:rsid w:val="007B4B79"/>
    <w:rsid w:val="007B560B"/>
    <w:rsid w:val="007B5A91"/>
    <w:rsid w:val="007C058A"/>
    <w:rsid w:val="007C205C"/>
    <w:rsid w:val="007C3FCC"/>
    <w:rsid w:val="007C6798"/>
    <w:rsid w:val="007D0DE1"/>
    <w:rsid w:val="007D1CB0"/>
    <w:rsid w:val="007D1E89"/>
    <w:rsid w:val="007D21F4"/>
    <w:rsid w:val="007D291F"/>
    <w:rsid w:val="007D4D29"/>
    <w:rsid w:val="007D4DAD"/>
    <w:rsid w:val="007D516F"/>
    <w:rsid w:val="007D53A1"/>
    <w:rsid w:val="007D6E82"/>
    <w:rsid w:val="007D7A28"/>
    <w:rsid w:val="007E31A6"/>
    <w:rsid w:val="007E4E4C"/>
    <w:rsid w:val="007E5FCB"/>
    <w:rsid w:val="007E6A32"/>
    <w:rsid w:val="007E6A7E"/>
    <w:rsid w:val="007F10DE"/>
    <w:rsid w:val="007F1835"/>
    <w:rsid w:val="007F3587"/>
    <w:rsid w:val="007F4DC9"/>
    <w:rsid w:val="007F7C93"/>
    <w:rsid w:val="00800564"/>
    <w:rsid w:val="00802E7C"/>
    <w:rsid w:val="008038BA"/>
    <w:rsid w:val="00803A6C"/>
    <w:rsid w:val="00803CE2"/>
    <w:rsid w:val="00803DF2"/>
    <w:rsid w:val="0080526A"/>
    <w:rsid w:val="00805FD0"/>
    <w:rsid w:val="0080787E"/>
    <w:rsid w:val="00810544"/>
    <w:rsid w:val="008146D5"/>
    <w:rsid w:val="00816FF5"/>
    <w:rsid w:val="00817076"/>
    <w:rsid w:val="00821A85"/>
    <w:rsid w:val="00822676"/>
    <w:rsid w:val="00827481"/>
    <w:rsid w:val="00827D5D"/>
    <w:rsid w:val="00830795"/>
    <w:rsid w:val="008325E0"/>
    <w:rsid w:val="008340BD"/>
    <w:rsid w:val="00835462"/>
    <w:rsid w:val="00836195"/>
    <w:rsid w:val="00836CC3"/>
    <w:rsid w:val="00836EEA"/>
    <w:rsid w:val="0084086A"/>
    <w:rsid w:val="00840E72"/>
    <w:rsid w:val="008418D9"/>
    <w:rsid w:val="00841B62"/>
    <w:rsid w:val="00841FB4"/>
    <w:rsid w:val="008433EA"/>
    <w:rsid w:val="00843721"/>
    <w:rsid w:val="008443B2"/>
    <w:rsid w:val="00847211"/>
    <w:rsid w:val="00847CC3"/>
    <w:rsid w:val="00851EC3"/>
    <w:rsid w:val="00852013"/>
    <w:rsid w:val="0085236B"/>
    <w:rsid w:val="008526C6"/>
    <w:rsid w:val="008543DE"/>
    <w:rsid w:val="00854451"/>
    <w:rsid w:val="0085538F"/>
    <w:rsid w:val="008558B6"/>
    <w:rsid w:val="00856339"/>
    <w:rsid w:val="00856413"/>
    <w:rsid w:val="00856BF3"/>
    <w:rsid w:val="0085748A"/>
    <w:rsid w:val="008575B2"/>
    <w:rsid w:val="0085763E"/>
    <w:rsid w:val="00860553"/>
    <w:rsid w:val="0086285A"/>
    <w:rsid w:val="008639FF"/>
    <w:rsid w:val="00866DC0"/>
    <w:rsid w:val="00867F12"/>
    <w:rsid w:val="0087027B"/>
    <w:rsid w:val="00870ED2"/>
    <w:rsid w:val="008728AC"/>
    <w:rsid w:val="00872A1D"/>
    <w:rsid w:val="00873CB7"/>
    <w:rsid w:val="0087411E"/>
    <w:rsid w:val="008747F8"/>
    <w:rsid w:val="00874ED5"/>
    <w:rsid w:val="008774B9"/>
    <w:rsid w:val="0087758D"/>
    <w:rsid w:val="00877774"/>
    <w:rsid w:val="0088040B"/>
    <w:rsid w:val="00882341"/>
    <w:rsid w:val="00885DE2"/>
    <w:rsid w:val="008862BF"/>
    <w:rsid w:val="00892430"/>
    <w:rsid w:val="008926CB"/>
    <w:rsid w:val="00895CAE"/>
    <w:rsid w:val="00896A51"/>
    <w:rsid w:val="008971EC"/>
    <w:rsid w:val="0089798D"/>
    <w:rsid w:val="008A14C8"/>
    <w:rsid w:val="008A1B71"/>
    <w:rsid w:val="008A31B8"/>
    <w:rsid w:val="008A47C1"/>
    <w:rsid w:val="008A781F"/>
    <w:rsid w:val="008A7BE6"/>
    <w:rsid w:val="008B1F71"/>
    <w:rsid w:val="008B2C5E"/>
    <w:rsid w:val="008B4491"/>
    <w:rsid w:val="008B6566"/>
    <w:rsid w:val="008B657D"/>
    <w:rsid w:val="008C03A8"/>
    <w:rsid w:val="008C155E"/>
    <w:rsid w:val="008C19BB"/>
    <w:rsid w:val="008C24FC"/>
    <w:rsid w:val="008C27F9"/>
    <w:rsid w:val="008C4B84"/>
    <w:rsid w:val="008C5AEF"/>
    <w:rsid w:val="008C719C"/>
    <w:rsid w:val="008C71B3"/>
    <w:rsid w:val="008C7304"/>
    <w:rsid w:val="008C79FE"/>
    <w:rsid w:val="008D0C9A"/>
    <w:rsid w:val="008D1C9A"/>
    <w:rsid w:val="008D20BC"/>
    <w:rsid w:val="008D2345"/>
    <w:rsid w:val="008D6379"/>
    <w:rsid w:val="008D7AD6"/>
    <w:rsid w:val="008E10E1"/>
    <w:rsid w:val="008E2531"/>
    <w:rsid w:val="008E2670"/>
    <w:rsid w:val="008E296D"/>
    <w:rsid w:val="008E2D92"/>
    <w:rsid w:val="008E4A03"/>
    <w:rsid w:val="008E64D0"/>
    <w:rsid w:val="008E77EF"/>
    <w:rsid w:val="008E7978"/>
    <w:rsid w:val="008E7CCF"/>
    <w:rsid w:val="008F0A8B"/>
    <w:rsid w:val="008F1164"/>
    <w:rsid w:val="008F1404"/>
    <w:rsid w:val="008F1A1E"/>
    <w:rsid w:val="008F1A2F"/>
    <w:rsid w:val="008F2D0C"/>
    <w:rsid w:val="008F3438"/>
    <w:rsid w:val="008F39D7"/>
    <w:rsid w:val="008F4F69"/>
    <w:rsid w:val="008F5A71"/>
    <w:rsid w:val="00901740"/>
    <w:rsid w:val="00903145"/>
    <w:rsid w:val="00906C4B"/>
    <w:rsid w:val="00910099"/>
    <w:rsid w:val="009118A5"/>
    <w:rsid w:val="0091406A"/>
    <w:rsid w:val="00917518"/>
    <w:rsid w:val="00917901"/>
    <w:rsid w:val="00922525"/>
    <w:rsid w:val="009244E9"/>
    <w:rsid w:val="00924938"/>
    <w:rsid w:val="009277E3"/>
    <w:rsid w:val="009326B2"/>
    <w:rsid w:val="00933060"/>
    <w:rsid w:val="009338C1"/>
    <w:rsid w:val="00933DBB"/>
    <w:rsid w:val="00936B10"/>
    <w:rsid w:val="0093734D"/>
    <w:rsid w:val="00940F2D"/>
    <w:rsid w:val="009414C9"/>
    <w:rsid w:val="00943030"/>
    <w:rsid w:val="00943D8A"/>
    <w:rsid w:val="00943E8A"/>
    <w:rsid w:val="00944B47"/>
    <w:rsid w:val="0094524D"/>
    <w:rsid w:val="00945906"/>
    <w:rsid w:val="0094602D"/>
    <w:rsid w:val="0094640E"/>
    <w:rsid w:val="0094649C"/>
    <w:rsid w:val="00950A98"/>
    <w:rsid w:val="00951A1D"/>
    <w:rsid w:val="00951A75"/>
    <w:rsid w:val="0095275E"/>
    <w:rsid w:val="009536D9"/>
    <w:rsid w:val="009548B0"/>
    <w:rsid w:val="00955CBA"/>
    <w:rsid w:val="00961DF0"/>
    <w:rsid w:val="009636DB"/>
    <w:rsid w:val="009643AA"/>
    <w:rsid w:val="009644C1"/>
    <w:rsid w:val="0096470B"/>
    <w:rsid w:val="0096490B"/>
    <w:rsid w:val="009675B0"/>
    <w:rsid w:val="009702E5"/>
    <w:rsid w:val="0097181B"/>
    <w:rsid w:val="0097248C"/>
    <w:rsid w:val="00972852"/>
    <w:rsid w:val="00972A2C"/>
    <w:rsid w:val="00972D5D"/>
    <w:rsid w:val="009733F6"/>
    <w:rsid w:val="00973E71"/>
    <w:rsid w:val="00974093"/>
    <w:rsid w:val="00974190"/>
    <w:rsid w:val="00975814"/>
    <w:rsid w:val="00975882"/>
    <w:rsid w:val="009759BD"/>
    <w:rsid w:val="009759F1"/>
    <w:rsid w:val="00975F72"/>
    <w:rsid w:val="00981652"/>
    <w:rsid w:val="0098279A"/>
    <w:rsid w:val="00983AC0"/>
    <w:rsid w:val="00983B07"/>
    <w:rsid w:val="00983B9E"/>
    <w:rsid w:val="009847C2"/>
    <w:rsid w:val="00984815"/>
    <w:rsid w:val="00985FA5"/>
    <w:rsid w:val="0098623F"/>
    <w:rsid w:val="00986A84"/>
    <w:rsid w:val="00992731"/>
    <w:rsid w:val="00993C98"/>
    <w:rsid w:val="00993D13"/>
    <w:rsid w:val="00994B00"/>
    <w:rsid w:val="00995569"/>
    <w:rsid w:val="00995E8F"/>
    <w:rsid w:val="00996CAF"/>
    <w:rsid w:val="009979F1"/>
    <w:rsid w:val="009A098B"/>
    <w:rsid w:val="009A0A5D"/>
    <w:rsid w:val="009A1729"/>
    <w:rsid w:val="009A18F0"/>
    <w:rsid w:val="009A5034"/>
    <w:rsid w:val="009A55B0"/>
    <w:rsid w:val="009B0EFF"/>
    <w:rsid w:val="009B1390"/>
    <w:rsid w:val="009B44C0"/>
    <w:rsid w:val="009B568A"/>
    <w:rsid w:val="009B5932"/>
    <w:rsid w:val="009B5FFE"/>
    <w:rsid w:val="009B6040"/>
    <w:rsid w:val="009C153F"/>
    <w:rsid w:val="009C19F6"/>
    <w:rsid w:val="009C1F36"/>
    <w:rsid w:val="009C20FD"/>
    <w:rsid w:val="009C2A76"/>
    <w:rsid w:val="009C61BB"/>
    <w:rsid w:val="009D4085"/>
    <w:rsid w:val="009D782D"/>
    <w:rsid w:val="009E060F"/>
    <w:rsid w:val="009E07E2"/>
    <w:rsid w:val="009E2E18"/>
    <w:rsid w:val="009E58A5"/>
    <w:rsid w:val="009E78A9"/>
    <w:rsid w:val="009E7D30"/>
    <w:rsid w:val="009E7E42"/>
    <w:rsid w:val="009F2349"/>
    <w:rsid w:val="009F2F51"/>
    <w:rsid w:val="009F3799"/>
    <w:rsid w:val="009F4385"/>
    <w:rsid w:val="009F561A"/>
    <w:rsid w:val="009F5BEA"/>
    <w:rsid w:val="009F5CB5"/>
    <w:rsid w:val="009F5EAA"/>
    <w:rsid w:val="009F6705"/>
    <w:rsid w:val="009F6CBF"/>
    <w:rsid w:val="009F7733"/>
    <w:rsid w:val="009F7B92"/>
    <w:rsid w:val="009F7E07"/>
    <w:rsid w:val="00A0069E"/>
    <w:rsid w:val="00A01053"/>
    <w:rsid w:val="00A02A63"/>
    <w:rsid w:val="00A03E01"/>
    <w:rsid w:val="00A04367"/>
    <w:rsid w:val="00A059E7"/>
    <w:rsid w:val="00A05E88"/>
    <w:rsid w:val="00A06EC4"/>
    <w:rsid w:val="00A07692"/>
    <w:rsid w:val="00A1287E"/>
    <w:rsid w:val="00A12FE8"/>
    <w:rsid w:val="00A153E8"/>
    <w:rsid w:val="00A155E7"/>
    <w:rsid w:val="00A16307"/>
    <w:rsid w:val="00A169C9"/>
    <w:rsid w:val="00A172FB"/>
    <w:rsid w:val="00A17440"/>
    <w:rsid w:val="00A17943"/>
    <w:rsid w:val="00A20104"/>
    <w:rsid w:val="00A20514"/>
    <w:rsid w:val="00A206BA"/>
    <w:rsid w:val="00A21A9F"/>
    <w:rsid w:val="00A21C0A"/>
    <w:rsid w:val="00A220C5"/>
    <w:rsid w:val="00A22235"/>
    <w:rsid w:val="00A225A9"/>
    <w:rsid w:val="00A232B4"/>
    <w:rsid w:val="00A26BFB"/>
    <w:rsid w:val="00A27D06"/>
    <w:rsid w:val="00A31B3B"/>
    <w:rsid w:val="00A33452"/>
    <w:rsid w:val="00A33D6E"/>
    <w:rsid w:val="00A35AC7"/>
    <w:rsid w:val="00A37768"/>
    <w:rsid w:val="00A40A17"/>
    <w:rsid w:val="00A41251"/>
    <w:rsid w:val="00A412C9"/>
    <w:rsid w:val="00A41C70"/>
    <w:rsid w:val="00A45EBF"/>
    <w:rsid w:val="00A4789D"/>
    <w:rsid w:val="00A51EA2"/>
    <w:rsid w:val="00A533DC"/>
    <w:rsid w:val="00A54CEF"/>
    <w:rsid w:val="00A55EA1"/>
    <w:rsid w:val="00A5772D"/>
    <w:rsid w:val="00A61B57"/>
    <w:rsid w:val="00A63A92"/>
    <w:rsid w:val="00A63C31"/>
    <w:rsid w:val="00A640F3"/>
    <w:rsid w:val="00A64ACC"/>
    <w:rsid w:val="00A64F2C"/>
    <w:rsid w:val="00A6777B"/>
    <w:rsid w:val="00A70C75"/>
    <w:rsid w:val="00A715BB"/>
    <w:rsid w:val="00A73560"/>
    <w:rsid w:val="00A75136"/>
    <w:rsid w:val="00A77471"/>
    <w:rsid w:val="00A7758F"/>
    <w:rsid w:val="00A8092B"/>
    <w:rsid w:val="00A81A82"/>
    <w:rsid w:val="00A8249A"/>
    <w:rsid w:val="00A825FF"/>
    <w:rsid w:val="00A83619"/>
    <w:rsid w:val="00A83DA5"/>
    <w:rsid w:val="00A843C0"/>
    <w:rsid w:val="00A8442E"/>
    <w:rsid w:val="00A848B3"/>
    <w:rsid w:val="00A84FA3"/>
    <w:rsid w:val="00A8566B"/>
    <w:rsid w:val="00A872DE"/>
    <w:rsid w:val="00A906FD"/>
    <w:rsid w:val="00A90768"/>
    <w:rsid w:val="00A93FB7"/>
    <w:rsid w:val="00A94250"/>
    <w:rsid w:val="00A94C20"/>
    <w:rsid w:val="00A94CF5"/>
    <w:rsid w:val="00A951D4"/>
    <w:rsid w:val="00A95D12"/>
    <w:rsid w:val="00AA0343"/>
    <w:rsid w:val="00AA0D8D"/>
    <w:rsid w:val="00AA0EB2"/>
    <w:rsid w:val="00AA11B9"/>
    <w:rsid w:val="00AA290D"/>
    <w:rsid w:val="00AA2E1D"/>
    <w:rsid w:val="00AA3608"/>
    <w:rsid w:val="00AA4036"/>
    <w:rsid w:val="00AA54E7"/>
    <w:rsid w:val="00AA67A3"/>
    <w:rsid w:val="00AA71FB"/>
    <w:rsid w:val="00AA7C59"/>
    <w:rsid w:val="00AB1E93"/>
    <w:rsid w:val="00AB2E26"/>
    <w:rsid w:val="00AB43E0"/>
    <w:rsid w:val="00AB47F7"/>
    <w:rsid w:val="00AB52A5"/>
    <w:rsid w:val="00AB62CD"/>
    <w:rsid w:val="00AC3EB7"/>
    <w:rsid w:val="00AC4513"/>
    <w:rsid w:val="00AC4EBF"/>
    <w:rsid w:val="00AC5D61"/>
    <w:rsid w:val="00AC6CEC"/>
    <w:rsid w:val="00AC7AEE"/>
    <w:rsid w:val="00AD0436"/>
    <w:rsid w:val="00AD198B"/>
    <w:rsid w:val="00AD3621"/>
    <w:rsid w:val="00AD48CF"/>
    <w:rsid w:val="00AD4F63"/>
    <w:rsid w:val="00AD4F6A"/>
    <w:rsid w:val="00AD7D7E"/>
    <w:rsid w:val="00AD7D8D"/>
    <w:rsid w:val="00AE0C5E"/>
    <w:rsid w:val="00AE13EC"/>
    <w:rsid w:val="00AE2430"/>
    <w:rsid w:val="00AE3463"/>
    <w:rsid w:val="00AE47B2"/>
    <w:rsid w:val="00AE5AB0"/>
    <w:rsid w:val="00AE7988"/>
    <w:rsid w:val="00AF1CC5"/>
    <w:rsid w:val="00AF2C9C"/>
    <w:rsid w:val="00AF3C31"/>
    <w:rsid w:val="00AF402F"/>
    <w:rsid w:val="00B003FF"/>
    <w:rsid w:val="00B0118F"/>
    <w:rsid w:val="00B04A92"/>
    <w:rsid w:val="00B0630F"/>
    <w:rsid w:val="00B07038"/>
    <w:rsid w:val="00B07CC4"/>
    <w:rsid w:val="00B10B92"/>
    <w:rsid w:val="00B141C1"/>
    <w:rsid w:val="00B14A10"/>
    <w:rsid w:val="00B15512"/>
    <w:rsid w:val="00B16144"/>
    <w:rsid w:val="00B16A67"/>
    <w:rsid w:val="00B20BC6"/>
    <w:rsid w:val="00B20D7C"/>
    <w:rsid w:val="00B21701"/>
    <w:rsid w:val="00B238C6"/>
    <w:rsid w:val="00B251CD"/>
    <w:rsid w:val="00B27113"/>
    <w:rsid w:val="00B31828"/>
    <w:rsid w:val="00B31DEE"/>
    <w:rsid w:val="00B32406"/>
    <w:rsid w:val="00B332B9"/>
    <w:rsid w:val="00B34B01"/>
    <w:rsid w:val="00B367B0"/>
    <w:rsid w:val="00B37C4E"/>
    <w:rsid w:val="00B40FA4"/>
    <w:rsid w:val="00B41FAD"/>
    <w:rsid w:val="00B42C32"/>
    <w:rsid w:val="00B42DE4"/>
    <w:rsid w:val="00B43223"/>
    <w:rsid w:val="00B4478B"/>
    <w:rsid w:val="00B46AD1"/>
    <w:rsid w:val="00B470BF"/>
    <w:rsid w:val="00B4720D"/>
    <w:rsid w:val="00B5075D"/>
    <w:rsid w:val="00B51009"/>
    <w:rsid w:val="00B51D68"/>
    <w:rsid w:val="00B51F0B"/>
    <w:rsid w:val="00B535CB"/>
    <w:rsid w:val="00B56C9B"/>
    <w:rsid w:val="00B7114C"/>
    <w:rsid w:val="00B730C2"/>
    <w:rsid w:val="00B754D7"/>
    <w:rsid w:val="00B82717"/>
    <w:rsid w:val="00B860FF"/>
    <w:rsid w:val="00B90DDC"/>
    <w:rsid w:val="00B90EE1"/>
    <w:rsid w:val="00B9165D"/>
    <w:rsid w:val="00B91B75"/>
    <w:rsid w:val="00B93006"/>
    <w:rsid w:val="00B94A05"/>
    <w:rsid w:val="00B94CA0"/>
    <w:rsid w:val="00B95E40"/>
    <w:rsid w:val="00B96044"/>
    <w:rsid w:val="00B96E98"/>
    <w:rsid w:val="00B9716F"/>
    <w:rsid w:val="00B97CAC"/>
    <w:rsid w:val="00BA09F4"/>
    <w:rsid w:val="00BA19E7"/>
    <w:rsid w:val="00BA1C7F"/>
    <w:rsid w:val="00BA3092"/>
    <w:rsid w:val="00BA3464"/>
    <w:rsid w:val="00BA462A"/>
    <w:rsid w:val="00BA5983"/>
    <w:rsid w:val="00BA5ED1"/>
    <w:rsid w:val="00BA67FF"/>
    <w:rsid w:val="00BB0A50"/>
    <w:rsid w:val="00BB55A9"/>
    <w:rsid w:val="00BB57FF"/>
    <w:rsid w:val="00BB5AB2"/>
    <w:rsid w:val="00BB5F31"/>
    <w:rsid w:val="00BB7BCE"/>
    <w:rsid w:val="00BC0E48"/>
    <w:rsid w:val="00BC2C13"/>
    <w:rsid w:val="00BC3E8E"/>
    <w:rsid w:val="00BC3FB5"/>
    <w:rsid w:val="00BC41E5"/>
    <w:rsid w:val="00BC63D3"/>
    <w:rsid w:val="00BC6B85"/>
    <w:rsid w:val="00BC6BD0"/>
    <w:rsid w:val="00BD10DD"/>
    <w:rsid w:val="00BD1EF1"/>
    <w:rsid w:val="00BD2A13"/>
    <w:rsid w:val="00BD33FB"/>
    <w:rsid w:val="00BD3F6C"/>
    <w:rsid w:val="00BD45DB"/>
    <w:rsid w:val="00BD49FE"/>
    <w:rsid w:val="00BD4A42"/>
    <w:rsid w:val="00BD4DC0"/>
    <w:rsid w:val="00BD5F3D"/>
    <w:rsid w:val="00BD680C"/>
    <w:rsid w:val="00BD7979"/>
    <w:rsid w:val="00BE1CB8"/>
    <w:rsid w:val="00BE2375"/>
    <w:rsid w:val="00BE2824"/>
    <w:rsid w:val="00BE287D"/>
    <w:rsid w:val="00BE7A73"/>
    <w:rsid w:val="00BF0EC2"/>
    <w:rsid w:val="00BF44F1"/>
    <w:rsid w:val="00BF588C"/>
    <w:rsid w:val="00C011A8"/>
    <w:rsid w:val="00C0167E"/>
    <w:rsid w:val="00C01985"/>
    <w:rsid w:val="00C02AFE"/>
    <w:rsid w:val="00C03424"/>
    <w:rsid w:val="00C0382F"/>
    <w:rsid w:val="00C05A96"/>
    <w:rsid w:val="00C06895"/>
    <w:rsid w:val="00C07224"/>
    <w:rsid w:val="00C07779"/>
    <w:rsid w:val="00C11633"/>
    <w:rsid w:val="00C1163B"/>
    <w:rsid w:val="00C1357A"/>
    <w:rsid w:val="00C13EA3"/>
    <w:rsid w:val="00C14741"/>
    <w:rsid w:val="00C1545F"/>
    <w:rsid w:val="00C16571"/>
    <w:rsid w:val="00C17109"/>
    <w:rsid w:val="00C1737D"/>
    <w:rsid w:val="00C20732"/>
    <w:rsid w:val="00C21268"/>
    <w:rsid w:val="00C21B85"/>
    <w:rsid w:val="00C21CB0"/>
    <w:rsid w:val="00C22246"/>
    <w:rsid w:val="00C223A9"/>
    <w:rsid w:val="00C23477"/>
    <w:rsid w:val="00C24D37"/>
    <w:rsid w:val="00C31268"/>
    <w:rsid w:val="00C31F26"/>
    <w:rsid w:val="00C32233"/>
    <w:rsid w:val="00C32340"/>
    <w:rsid w:val="00C3235D"/>
    <w:rsid w:val="00C32DDA"/>
    <w:rsid w:val="00C362D3"/>
    <w:rsid w:val="00C46F44"/>
    <w:rsid w:val="00C507F1"/>
    <w:rsid w:val="00C50CF0"/>
    <w:rsid w:val="00C51E12"/>
    <w:rsid w:val="00C5229F"/>
    <w:rsid w:val="00C53497"/>
    <w:rsid w:val="00C53894"/>
    <w:rsid w:val="00C5405A"/>
    <w:rsid w:val="00C54902"/>
    <w:rsid w:val="00C54A54"/>
    <w:rsid w:val="00C551B5"/>
    <w:rsid w:val="00C56E96"/>
    <w:rsid w:val="00C57095"/>
    <w:rsid w:val="00C572AE"/>
    <w:rsid w:val="00C60367"/>
    <w:rsid w:val="00C604CE"/>
    <w:rsid w:val="00C60957"/>
    <w:rsid w:val="00C61009"/>
    <w:rsid w:val="00C62420"/>
    <w:rsid w:val="00C665AA"/>
    <w:rsid w:val="00C70CA7"/>
    <w:rsid w:val="00C71C5B"/>
    <w:rsid w:val="00C75889"/>
    <w:rsid w:val="00C764F0"/>
    <w:rsid w:val="00C80080"/>
    <w:rsid w:val="00C81229"/>
    <w:rsid w:val="00C819BE"/>
    <w:rsid w:val="00C84531"/>
    <w:rsid w:val="00C851FD"/>
    <w:rsid w:val="00C85D78"/>
    <w:rsid w:val="00C85E36"/>
    <w:rsid w:val="00C86176"/>
    <w:rsid w:val="00C86F49"/>
    <w:rsid w:val="00C91D5C"/>
    <w:rsid w:val="00C91DDB"/>
    <w:rsid w:val="00C950A2"/>
    <w:rsid w:val="00CA039B"/>
    <w:rsid w:val="00CA1345"/>
    <w:rsid w:val="00CA1B82"/>
    <w:rsid w:val="00CA2117"/>
    <w:rsid w:val="00CA290F"/>
    <w:rsid w:val="00CA41E2"/>
    <w:rsid w:val="00CA431B"/>
    <w:rsid w:val="00CA4B6C"/>
    <w:rsid w:val="00CA5EBA"/>
    <w:rsid w:val="00CA6787"/>
    <w:rsid w:val="00CA763A"/>
    <w:rsid w:val="00CB056D"/>
    <w:rsid w:val="00CB0C9F"/>
    <w:rsid w:val="00CB0DB2"/>
    <w:rsid w:val="00CB2969"/>
    <w:rsid w:val="00CB3CFC"/>
    <w:rsid w:val="00CB3EF5"/>
    <w:rsid w:val="00CB45AD"/>
    <w:rsid w:val="00CB596E"/>
    <w:rsid w:val="00CB5FD6"/>
    <w:rsid w:val="00CB6861"/>
    <w:rsid w:val="00CB689C"/>
    <w:rsid w:val="00CB7598"/>
    <w:rsid w:val="00CC0278"/>
    <w:rsid w:val="00CC1302"/>
    <w:rsid w:val="00CC2EA2"/>
    <w:rsid w:val="00CC485E"/>
    <w:rsid w:val="00CC5C0F"/>
    <w:rsid w:val="00CC5ED8"/>
    <w:rsid w:val="00CC7E97"/>
    <w:rsid w:val="00CD10E2"/>
    <w:rsid w:val="00CD22C4"/>
    <w:rsid w:val="00CD324C"/>
    <w:rsid w:val="00CD6FF9"/>
    <w:rsid w:val="00CD7963"/>
    <w:rsid w:val="00CE05A3"/>
    <w:rsid w:val="00CE078A"/>
    <w:rsid w:val="00CE46FD"/>
    <w:rsid w:val="00CE499E"/>
    <w:rsid w:val="00CE4F36"/>
    <w:rsid w:val="00CE5A9C"/>
    <w:rsid w:val="00CE5C85"/>
    <w:rsid w:val="00CE69AA"/>
    <w:rsid w:val="00CE7655"/>
    <w:rsid w:val="00CF13CC"/>
    <w:rsid w:val="00CF1AB0"/>
    <w:rsid w:val="00CF1B30"/>
    <w:rsid w:val="00CF1E44"/>
    <w:rsid w:val="00CF23CA"/>
    <w:rsid w:val="00CF2409"/>
    <w:rsid w:val="00CF39BB"/>
    <w:rsid w:val="00CF4A90"/>
    <w:rsid w:val="00CF4EF4"/>
    <w:rsid w:val="00CF58D5"/>
    <w:rsid w:val="00CF5A87"/>
    <w:rsid w:val="00CF7433"/>
    <w:rsid w:val="00CF78BD"/>
    <w:rsid w:val="00CF7A10"/>
    <w:rsid w:val="00D01322"/>
    <w:rsid w:val="00D02388"/>
    <w:rsid w:val="00D02C53"/>
    <w:rsid w:val="00D02FF2"/>
    <w:rsid w:val="00D03F0C"/>
    <w:rsid w:val="00D05FEC"/>
    <w:rsid w:val="00D10DC9"/>
    <w:rsid w:val="00D110A8"/>
    <w:rsid w:val="00D135D1"/>
    <w:rsid w:val="00D13718"/>
    <w:rsid w:val="00D1392B"/>
    <w:rsid w:val="00D13AC9"/>
    <w:rsid w:val="00D14620"/>
    <w:rsid w:val="00D14CBA"/>
    <w:rsid w:val="00D15589"/>
    <w:rsid w:val="00D1680D"/>
    <w:rsid w:val="00D172F4"/>
    <w:rsid w:val="00D17636"/>
    <w:rsid w:val="00D178FB"/>
    <w:rsid w:val="00D2022D"/>
    <w:rsid w:val="00D20A5D"/>
    <w:rsid w:val="00D20B22"/>
    <w:rsid w:val="00D21121"/>
    <w:rsid w:val="00D227A9"/>
    <w:rsid w:val="00D229AD"/>
    <w:rsid w:val="00D22B35"/>
    <w:rsid w:val="00D22C9A"/>
    <w:rsid w:val="00D237AE"/>
    <w:rsid w:val="00D238B7"/>
    <w:rsid w:val="00D239E2"/>
    <w:rsid w:val="00D23DCB"/>
    <w:rsid w:val="00D2467B"/>
    <w:rsid w:val="00D24B6B"/>
    <w:rsid w:val="00D267F2"/>
    <w:rsid w:val="00D31854"/>
    <w:rsid w:val="00D326D8"/>
    <w:rsid w:val="00D361F0"/>
    <w:rsid w:val="00D366E1"/>
    <w:rsid w:val="00D378E2"/>
    <w:rsid w:val="00D4138E"/>
    <w:rsid w:val="00D4186E"/>
    <w:rsid w:val="00D451BF"/>
    <w:rsid w:val="00D4544D"/>
    <w:rsid w:val="00D458CE"/>
    <w:rsid w:val="00D4617E"/>
    <w:rsid w:val="00D5129D"/>
    <w:rsid w:val="00D52EAC"/>
    <w:rsid w:val="00D54C9B"/>
    <w:rsid w:val="00D54E3A"/>
    <w:rsid w:val="00D54EE1"/>
    <w:rsid w:val="00D5591C"/>
    <w:rsid w:val="00D567E2"/>
    <w:rsid w:val="00D575F8"/>
    <w:rsid w:val="00D63BD7"/>
    <w:rsid w:val="00D679D5"/>
    <w:rsid w:val="00D729D8"/>
    <w:rsid w:val="00D7600C"/>
    <w:rsid w:val="00D812B6"/>
    <w:rsid w:val="00D81574"/>
    <w:rsid w:val="00D81DA2"/>
    <w:rsid w:val="00D82086"/>
    <w:rsid w:val="00D8435B"/>
    <w:rsid w:val="00D871DF"/>
    <w:rsid w:val="00D9035B"/>
    <w:rsid w:val="00D91EF2"/>
    <w:rsid w:val="00D9226C"/>
    <w:rsid w:val="00D922F4"/>
    <w:rsid w:val="00D9491C"/>
    <w:rsid w:val="00D9661F"/>
    <w:rsid w:val="00D96FB7"/>
    <w:rsid w:val="00DA2AD1"/>
    <w:rsid w:val="00DA3FCE"/>
    <w:rsid w:val="00DA4167"/>
    <w:rsid w:val="00DA49F9"/>
    <w:rsid w:val="00DA5111"/>
    <w:rsid w:val="00DA6381"/>
    <w:rsid w:val="00DA67C4"/>
    <w:rsid w:val="00DA7A30"/>
    <w:rsid w:val="00DB1E9D"/>
    <w:rsid w:val="00DB3D02"/>
    <w:rsid w:val="00DB5650"/>
    <w:rsid w:val="00DB5E02"/>
    <w:rsid w:val="00DB5F5E"/>
    <w:rsid w:val="00DB675A"/>
    <w:rsid w:val="00DB6A35"/>
    <w:rsid w:val="00DC1DCE"/>
    <w:rsid w:val="00DC2F74"/>
    <w:rsid w:val="00DC3641"/>
    <w:rsid w:val="00DC3CA2"/>
    <w:rsid w:val="00DC3E97"/>
    <w:rsid w:val="00DC5DE4"/>
    <w:rsid w:val="00DC6607"/>
    <w:rsid w:val="00DC7B46"/>
    <w:rsid w:val="00DD0379"/>
    <w:rsid w:val="00DD1000"/>
    <w:rsid w:val="00DD1A4A"/>
    <w:rsid w:val="00DD4544"/>
    <w:rsid w:val="00DD652D"/>
    <w:rsid w:val="00DD7594"/>
    <w:rsid w:val="00DE02E9"/>
    <w:rsid w:val="00DE0832"/>
    <w:rsid w:val="00DE3D8B"/>
    <w:rsid w:val="00DE5ACD"/>
    <w:rsid w:val="00DE5C61"/>
    <w:rsid w:val="00DE5EF4"/>
    <w:rsid w:val="00DF09F0"/>
    <w:rsid w:val="00DF0B08"/>
    <w:rsid w:val="00DF23C7"/>
    <w:rsid w:val="00DF2EDC"/>
    <w:rsid w:val="00DF3120"/>
    <w:rsid w:val="00DF3354"/>
    <w:rsid w:val="00E005A7"/>
    <w:rsid w:val="00E01743"/>
    <w:rsid w:val="00E0286F"/>
    <w:rsid w:val="00E02A88"/>
    <w:rsid w:val="00E06550"/>
    <w:rsid w:val="00E07A90"/>
    <w:rsid w:val="00E07B31"/>
    <w:rsid w:val="00E1056D"/>
    <w:rsid w:val="00E10E9A"/>
    <w:rsid w:val="00E131C8"/>
    <w:rsid w:val="00E13281"/>
    <w:rsid w:val="00E13BF2"/>
    <w:rsid w:val="00E14163"/>
    <w:rsid w:val="00E1473B"/>
    <w:rsid w:val="00E20976"/>
    <w:rsid w:val="00E20ACE"/>
    <w:rsid w:val="00E20D65"/>
    <w:rsid w:val="00E210B6"/>
    <w:rsid w:val="00E21587"/>
    <w:rsid w:val="00E23262"/>
    <w:rsid w:val="00E23957"/>
    <w:rsid w:val="00E23EC0"/>
    <w:rsid w:val="00E24C0F"/>
    <w:rsid w:val="00E251E2"/>
    <w:rsid w:val="00E26103"/>
    <w:rsid w:val="00E26A1C"/>
    <w:rsid w:val="00E27A47"/>
    <w:rsid w:val="00E27AD7"/>
    <w:rsid w:val="00E30A87"/>
    <w:rsid w:val="00E30D9C"/>
    <w:rsid w:val="00E313B5"/>
    <w:rsid w:val="00E31F1E"/>
    <w:rsid w:val="00E32C37"/>
    <w:rsid w:val="00E34161"/>
    <w:rsid w:val="00E34A2D"/>
    <w:rsid w:val="00E34E7A"/>
    <w:rsid w:val="00E36B31"/>
    <w:rsid w:val="00E36E4C"/>
    <w:rsid w:val="00E36EB9"/>
    <w:rsid w:val="00E40294"/>
    <w:rsid w:val="00E4198D"/>
    <w:rsid w:val="00E42523"/>
    <w:rsid w:val="00E42EB6"/>
    <w:rsid w:val="00E430A5"/>
    <w:rsid w:val="00E43583"/>
    <w:rsid w:val="00E43EF7"/>
    <w:rsid w:val="00E4442F"/>
    <w:rsid w:val="00E46B3C"/>
    <w:rsid w:val="00E50CF7"/>
    <w:rsid w:val="00E50EFD"/>
    <w:rsid w:val="00E51C32"/>
    <w:rsid w:val="00E53876"/>
    <w:rsid w:val="00E54D44"/>
    <w:rsid w:val="00E56B82"/>
    <w:rsid w:val="00E573BC"/>
    <w:rsid w:val="00E61A7E"/>
    <w:rsid w:val="00E6225A"/>
    <w:rsid w:val="00E62CBF"/>
    <w:rsid w:val="00E63BB2"/>
    <w:rsid w:val="00E6436F"/>
    <w:rsid w:val="00E64C3F"/>
    <w:rsid w:val="00E65112"/>
    <w:rsid w:val="00E67FB6"/>
    <w:rsid w:val="00E73094"/>
    <w:rsid w:val="00E74122"/>
    <w:rsid w:val="00E75219"/>
    <w:rsid w:val="00E755E7"/>
    <w:rsid w:val="00E76C32"/>
    <w:rsid w:val="00E82F94"/>
    <w:rsid w:val="00E83541"/>
    <w:rsid w:val="00E862DE"/>
    <w:rsid w:val="00E87818"/>
    <w:rsid w:val="00E8798A"/>
    <w:rsid w:val="00E9218D"/>
    <w:rsid w:val="00E92B8D"/>
    <w:rsid w:val="00E940E7"/>
    <w:rsid w:val="00E9612B"/>
    <w:rsid w:val="00E969C1"/>
    <w:rsid w:val="00E96DC6"/>
    <w:rsid w:val="00E970A9"/>
    <w:rsid w:val="00EA0639"/>
    <w:rsid w:val="00EA1208"/>
    <w:rsid w:val="00EA1F1F"/>
    <w:rsid w:val="00EA2B7B"/>
    <w:rsid w:val="00EA56B3"/>
    <w:rsid w:val="00EB0674"/>
    <w:rsid w:val="00EB1011"/>
    <w:rsid w:val="00EB101A"/>
    <w:rsid w:val="00EB107C"/>
    <w:rsid w:val="00EB2C14"/>
    <w:rsid w:val="00EB3604"/>
    <w:rsid w:val="00EB3682"/>
    <w:rsid w:val="00EB3EAD"/>
    <w:rsid w:val="00EB568A"/>
    <w:rsid w:val="00EB6205"/>
    <w:rsid w:val="00EB71A6"/>
    <w:rsid w:val="00EB7BBE"/>
    <w:rsid w:val="00EC0CFD"/>
    <w:rsid w:val="00EC3481"/>
    <w:rsid w:val="00EC3926"/>
    <w:rsid w:val="00EC540B"/>
    <w:rsid w:val="00EC6330"/>
    <w:rsid w:val="00EC6643"/>
    <w:rsid w:val="00EC7A1B"/>
    <w:rsid w:val="00ED162B"/>
    <w:rsid w:val="00ED171F"/>
    <w:rsid w:val="00ED361D"/>
    <w:rsid w:val="00ED44C5"/>
    <w:rsid w:val="00ED6104"/>
    <w:rsid w:val="00ED67C9"/>
    <w:rsid w:val="00EE028C"/>
    <w:rsid w:val="00EE174A"/>
    <w:rsid w:val="00EE46A2"/>
    <w:rsid w:val="00EE581E"/>
    <w:rsid w:val="00EE5AE7"/>
    <w:rsid w:val="00EE7AB2"/>
    <w:rsid w:val="00EF09CB"/>
    <w:rsid w:val="00EF313F"/>
    <w:rsid w:val="00EF42B3"/>
    <w:rsid w:val="00EF4FF8"/>
    <w:rsid w:val="00EF6160"/>
    <w:rsid w:val="00EF651E"/>
    <w:rsid w:val="00EF7746"/>
    <w:rsid w:val="00EF7A29"/>
    <w:rsid w:val="00F00002"/>
    <w:rsid w:val="00F01015"/>
    <w:rsid w:val="00F023F9"/>
    <w:rsid w:val="00F034B0"/>
    <w:rsid w:val="00F035B0"/>
    <w:rsid w:val="00F03BCF"/>
    <w:rsid w:val="00F03DA2"/>
    <w:rsid w:val="00F0528D"/>
    <w:rsid w:val="00F06415"/>
    <w:rsid w:val="00F10562"/>
    <w:rsid w:val="00F1116A"/>
    <w:rsid w:val="00F129D2"/>
    <w:rsid w:val="00F15F49"/>
    <w:rsid w:val="00F161B3"/>
    <w:rsid w:val="00F1697D"/>
    <w:rsid w:val="00F170B9"/>
    <w:rsid w:val="00F2026D"/>
    <w:rsid w:val="00F20FA9"/>
    <w:rsid w:val="00F214BC"/>
    <w:rsid w:val="00F222A7"/>
    <w:rsid w:val="00F2433A"/>
    <w:rsid w:val="00F2552E"/>
    <w:rsid w:val="00F30062"/>
    <w:rsid w:val="00F30D9C"/>
    <w:rsid w:val="00F3278D"/>
    <w:rsid w:val="00F34F1C"/>
    <w:rsid w:val="00F358DE"/>
    <w:rsid w:val="00F36FD2"/>
    <w:rsid w:val="00F37D06"/>
    <w:rsid w:val="00F37EF2"/>
    <w:rsid w:val="00F41E37"/>
    <w:rsid w:val="00F429C4"/>
    <w:rsid w:val="00F42F23"/>
    <w:rsid w:val="00F4301D"/>
    <w:rsid w:val="00F43F47"/>
    <w:rsid w:val="00F4447E"/>
    <w:rsid w:val="00F46EC7"/>
    <w:rsid w:val="00F477BB"/>
    <w:rsid w:val="00F51C4D"/>
    <w:rsid w:val="00F54403"/>
    <w:rsid w:val="00F5691E"/>
    <w:rsid w:val="00F57874"/>
    <w:rsid w:val="00F6105D"/>
    <w:rsid w:val="00F61421"/>
    <w:rsid w:val="00F6313A"/>
    <w:rsid w:val="00F6371C"/>
    <w:rsid w:val="00F63CEC"/>
    <w:rsid w:val="00F660AD"/>
    <w:rsid w:val="00F668B3"/>
    <w:rsid w:val="00F675DB"/>
    <w:rsid w:val="00F7096D"/>
    <w:rsid w:val="00F71650"/>
    <w:rsid w:val="00F731E4"/>
    <w:rsid w:val="00F7398D"/>
    <w:rsid w:val="00F73E94"/>
    <w:rsid w:val="00F74B32"/>
    <w:rsid w:val="00F763FB"/>
    <w:rsid w:val="00F81A6A"/>
    <w:rsid w:val="00F81D77"/>
    <w:rsid w:val="00F820F9"/>
    <w:rsid w:val="00F824DB"/>
    <w:rsid w:val="00F83345"/>
    <w:rsid w:val="00F8359A"/>
    <w:rsid w:val="00F838FB"/>
    <w:rsid w:val="00F8397C"/>
    <w:rsid w:val="00F83D72"/>
    <w:rsid w:val="00F84BB4"/>
    <w:rsid w:val="00F852B1"/>
    <w:rsid w:val="00F9257D"/>
    <w:rsid w:val="00F9353A"/>
    <w:rsid w:val="00F96D46"/>
    <w:rsid w:val="00F96ED0"/>
    <w:rsid w:val="00FA009E"/>
    <w:rsid w:val="00FA2B8A"/>
    <w:rsid w:val="00FA66B8"/>
    <w:rsid w:val="00FA686B"/>
    <w:rsid w:val="00FB06A3"/>
    <w:rsid w:val="00FB0FEE"/>
    <w:rsid w:val="00FB1056"/>
    <w:rsid w:val="00FB1A88"/>
    <w:rsid w:val="00FB1C77"/>
    <w:rsid w:val="00FB2439"/>
    <w:rsid w:val="00FB4454"/>
    <w:rsid w:val="00FB601A"/>
    <w:rsid w:val="00FB7816"/>
    <w:rsid w:val="00FC1071"/>
    <w:rsid w:val="00FC2E9E"/>
    <w:rsid w:val="00FC3281"/>
    <w:rsid w:val="00FC465C"/>
    <w:rsid w:val="00FC4732"/>
    <w:rsid w:val="00FC4BC7"/>
    <w:rsid w:val="00FC6E06"/>
    <w:rsid w:val="00FC77E3"/>
    <w:rsid w:val="00FD4256"/>
    <w:rsid w:val="00FD4E50"/>
    <w:rsid w:val="00FD5793"/>
    <w:rsid w:val="00FE0B4A"/>
    <w:rsid w:val="00FE0FC4"/>
    <w:rsid w:val="00FE25B8"/>
    <w:rsid w:val="00FE3D5B"/>
    <w:rsid w:val="00FE462C"/>
    <w:rsid w:val="00FE4BCA"/>
    <w:rsid w:val="00FE4F2E"/>
    <w:rsid w:val="00FE5206"/>
    <w:rsid w:val="00FE5B0D"/>
    <w:rsid w:val="00FE7DEF"/>
    <w:rsid w:val="00FF67D9"/>
    <w:rsid w:val="00FF7658"/>
    <w:rsid w:val="01193EBC"/>
    <w:rsid w:val="01830E94"/>
    <w:rsid w:val="018464AB"/>
    <w:rsid w:val="022E4413"/>
    <w:rsid w:val="028932E6"/>
    <w:rsid w:val="02F12424"/>
    <w:rsid w:val="03757B28"/>
    <w:rsid w:val="03821B65"/>
    <w:rsid w:val="03D00B9D"/>
    <w:rsid w:val="0492678A"/>
    <w:rsid w:val="04C00E57"/>
    <w:rsid w:val="053F115C"/>
    <w:rsid w:val="058B7FC0"/>
    <w:rsid w:val="05A032A3"/>
    <w:rsid w:val="05DF2704"/>
    <w:rsid w:val="061612F9"/>
    <w:rsid w:val="069359C9"/>
    <w:rsid w:val="06CF792D"/>
    <w:rsid w:val="07081279"/>
    <w:rsid w:val="07E61E68"/>
    <w:rsid w:val="07F52DCB"/>
    <w:rsid w:val="085C2F48"/>
    <w:rsid w:val="088F48F8"/>
    <w:rsid w:val="08AD760A"/>
    <w:rsid w:val="08F442E1"/>
    <w:rsid w:val="09B434E5"/>
    <w:rsid w:val="0A263E36"/>
    <w:rsid w:val="0A904119"/>
    <w:rsid w:val="0AD14CDF"/>
    <w:rsid w:val="0B1E2CF3"/>
    <w:rsid w:val="0BE97EFE"/>
    <w:rsid w:val="0BFD77A1"/>
    <w:rsid w:val="0C38346D"/>
    <w:rsid w:val="0C91130F"/>
    <w:rsid w:val="0CEA39DE"/>
    <w:rsid w:val="0D5A43A4"/>
    <w:rsid w:val="0DAB4740"/>
    <w:rsid w:val="0DAE227A"/>
    <w:rsid w:val="0DD84F05"/>
    <w:rsid w:val="0E0F7AD2"/>
    <w:rsid w:val="0E7375EB"/>
    <w:rsid w:val="0E9B355D"/>
    <w:rsid w:val="0F60098A"/>
    <w:rsid w:val="0F7A6A9A"/>
    <w:rsid w:val="0FF454B9"/>
    <w:rsid w:val="10BA6B6F"/>
    <w:rsid w:val="10FC366A"/>
    <w:rsid w:val="120C530F"/>
    <w:rsid w:val="12932265"/>
    <w:rsid w:val="12FC7352"/>
    <w:rsid w:val="13434F3B"/>
    <w:rsid w:val="13613FFE"/>
    <w:rsid w:val="13D44784"/>
    <w:rsid w:val="14604860"/>
    <w:rsid w:val="14BD7762"/>
    <w:rsid w:val="14C57C8A"/>
    <w:rsid w:val="14E42C49"/>
    <w:rsid w:val="157E0E30"/>
    <w:rsid w:val="15D77B51"/>
    <w:rsid w:val="16550C64"/>
    <w:rsid w:val="16BD7C0A"/>
    <w:rsid w:val="16D004C5"/>
    <w:rsid w:val="17557A23"/>
    <w:rsid w:val="179C5730"/>
    <w:rsid w:val="181E567F"/>
    <w:rsid w:val="18A0301B"/>
    <w:rsid w:val="19010A92"/>
    <w:rsid w:val="199547AC"/>
    <w:rsid w:val="19F640AC"/>
    <w:rsid w:val="1A820EFB"/>
    <w:rsid w:val="1A86062E"/>
    <w:rsid w:val="1B183AE5"/>
    <w:rsid w:val="1B1D5A0F"/>
    <w:rsid w:val="1B931F8C"/>
    <w:rsid w:val="1BB36E69"/>
    <w:rsid w:val="1BE64CD0"/>
    <w:rsid w:val="1C0F4794"/>
    <w:rsid w:val="1C531BBE"/>
    <w:rsid w:val="1C7D4290"/>
    <w:rsid w:val="1DAF3415"/>
    <w:rsid w:val="1E572BD7"/>
    <w:rsid w:val="1E794B6C"/>
    <w:rsid w:val="1EE7180F"/>
    <w:rsid w:val="1F374BDB"/>
    <w:rsid w:val="1F676B2A"/>
    <w:rsid w:val="1F6B31DF"/>
    <w:rsid w:val="1F6B41EE"/>
    <w:rsid w:val="210B18C1"/>
    <w:rsid w:val="2114370F"/>
    <w:rsid w:val="21313124"/>
    <w:rsid w:val="21362D32"/>
    <w:rsid w:val="217A4E7B"/>
    <w:rsid w:val="2180452F"/>
    <w:rsid w:val="223F09B3"/>
    <w:rsid w:val="22E633A0"/>
    <w:rsid w:val="23A90EBD"/>
    <w:rsid w:val="23B87B80"/>
    <w:rsid w:val="24C2033C"/>
    <w:rsid w:val="252C0395"/>
    <w:rsid w:val="2570196D"/>
    <w:rsid w:val="25CF6646"/>
    <w:rsid w:val="268B15D0"/>
    <w:rsid w:val="26DE1EDF"/>
    <w:rsid w:val="27E91B4B"/>
    <w:rsid w:val="28CF5223"/>
    <w:rsid w:val="29237E32"/>
    <w:rsid w:val="2960418F"/>
    <w:rsid w:val="2A1E7E5E"/>
    <w:rsid w:val="2A6646FA"/>
    <w:rsid w:val="2AC901ED"/>
    <w:rsid w:val="2B3073B2"/>
    <w:rsid w:val="2BCB4A81"/>
    <w:rsid w:val="2C017A6E"/>
    <w:rsid w:val="2C066EFA"/>
    <w:rsid w:val="2C675738"/>
    <w:rsid w:val="2C72343C"/>
    <w:rsid w:val="2CA41AD3"/>
    <w:rsid w:val="2CE26BE9"/>
    <w:rsid w:val="2D2710F7"/>
    <w:rsid w:val="2D717B76"/>
    <w:rsid w:val="2E86223B"/>
    <w:rsid w:val="2EAA2A37"/>
    <w:rsid w:val="2EAC071C"/>
    <w:rsid w:val="30324C0F"/>
    <w:rsid w:val="309C411D"/>
    <w:rsid w:val="314F57A5"/>
    <w:rsid w:val="330D758E"/>
    <w:rsid w:val="333B73E0"/>
    <w:rsid w:val="33881640"/>
    <w:rsid w:val="33E44B64"/>
    <w:rsid w:val="340A4173"/>
    <w:rsid w:val="34160633"/>
    <w:rsid w:val="343706EB"/>
    <w:rsid w:val="344717C2"/>
    <w:rsid w:val="357D388C"/>
    <w:rsid w:val="35CE71FD"/>
    <w:rsid w:val="362505B4"/>
    <w:rsid w:val="36D17804"/>
    <w:rsid w:val="37421C09"/>
    <w:rsid w:val="38220352"/>
    <w:rsid w:val="388B1675"/>
    <w:rsid w:val="393B0F3D"/>
    <w:rsid w:val="39764E9F"/>
    <w:rsid w:val="39DD0704"/>
    <w:rsid w:val="3A9220E7"/>
    <w:rsid w:val="3AE64349"/>
    <w:rsid w:val="3AF659F0"/>
    <w:rsid w:val="3B032A93"/>
    <w:rsid w:val="3B2B2D1D"/>
    <w:rsid w:val="3B9C50D5"/>
    <w:rsid w:val="3C017A45"/>
    <w:rsid w:val="3C244557"/>
    <w:rsid w:val="3C58236E"/>
    <w:rsid w:val="3C941CD7"/>
    <w:rsid w:val="3CEC3949"/>
    <w:rsid w:val="3D2E203E"/>
    <w:rsid w:val="3D423CB5"/>
    <w:rsid w:val="3D607E07"/>
    <w:rsid w:val="3E2D66DC"/>
    <w:rsid w:val="3EFE00C0"/>
    <w:rsid w:val="3F820BDF"/>
    <w:rsid w:val="3FF12E03"/>
    <w:rsid w:val="40594B80"/>
    <w:rsid w:val="40AA4AE5"/>
    <w:rsid w:val="414854D9"/>
    <w:rsid w:val="41C053DF"/>
    <w:rsid w:val="422B54E7"/>
    <w:rsid w:val="42D26954"/>
    <w:rsid w:val="42E95D61"/>
    <w:rsid w:val="43427AEA"/>
    <w:rsid w:val="43635AE7"/>
    <w:rsid w:val="439060FA"/>
    <w:rsid w:val="4398724F"/>
    <w:rsid w:val="44246A0A"/>
    <w:rsid w:val="455917AC"/>
    <w:rsid w:val="456C4C82"/>
    <w:rsid w:val="459344EF"/>
    <w:rsid w:val="45E67D5B"/>
    <w:rsid w:val="461125FB"/>
    <w:rsid w:val="47272960"/>
    <w:rsid w:val="47503B46"/>
    <w:rsid w:val="47A51EEF"/>
    <w:rsid w:val="47BF537F"/>
    <w:rsid w:val="47C86417"/>
    <w:rsid w:val="48324D26"/>
    <w:rsid w:val="48C05E50"/>
    <w:rsid w:val="49C04A33"/>
    <w:rsid w:val="4ACA3C0F"/>
    <w:rsid w:val="4AD036B3"/>
    <w:rsid w:val="4AD256CE"/>
    <w:rsid w:val="4B83303B"/>
    <w:rsid w:val="4C203837"/>
    <w:rsid w:val="4CF10148"/>
    <w:rsid w:val="4CFF2151"/>
    <w:rsid w:val="4D6F17F8"/>
    <w:rsid w:val="4E0B07A7"/>
    <w:rsid w:val="4EB23099"/>
    <w:rsid w:val="4EBE1740"/>
    <w:rsid w:val="4EEA477C"/>
    <w:rsid w:val="4F035910"/>
    <w:rsid w:val="4F1067A1"/>
    <w:rsid w:val="4FA86031"/>
    <w:rsid w:val="503D2110"/>
    <w:rsid w:val="513B0C15"/>
    <w:rsid w:val="51860643"/>
    <w:rsid w:val="52ED12D8"/>
    <w:rsid w:val="538A7141"/>
    <w:rsid w:val="545E380D"/>
    <w:rsid w:val="54843081"/>
    <w:rsid w:val="54E34CD9"/>
    <w:rsid w:val="557F62AC"/>
    <w:rsid w:val="55CC6BA1"/>
    <w:rsid w:val="56105BB5"/>
    <w:rsid w:val="56386FBA"/>
    <w:rsid w:val="565A1112"/>
    <w:rsid w:val="56B443C7"/>
    <w:rsid w:val="571B6DE8"/>
    <w:rsid w:val="57520916"/>
    <w:rsid w:val="58FC273E"/>
    <w:rsid w:val="598B260D"/>
    <w:rsid w:val="59AC3E71"/>
    <w:rsid w:val="59FD0867"/>
    <w:rsid w:val="5A192095"/>
    <w:rsid w:val="5A286F70"/>
    <w:rsid w:val="5A5D6A75"/>
    <w:rsid w:val="5A6E7078"/>
    <w:rsid w:val="5AC60D47"/>
    <w:rsid w:val="5B23194B"/>
    <w:rsid w:val="5B8863D9"/>
    <w:rsid w:val="5B9564E3"/>
    <w:rsid w:val="5BB67455"/>
    <w:rsid w:val="5BE57428"/>
    <w:rsid w:val="5C036F81"/>
    <w:rsid w:val="5C2E7375"/>
    <w:rsid w:val="5C5E5DE0"/>
    <w:rsid w:val="5CA76D5C"/>
    <w:rsid w:val="5CFA2C77"/>
    <w:rsid w:val="5D187F14"/>
    <w:rsid w:val="5D366006"/>
    <w:rsid w:val="5E98619E"/>
    <w:rsid w:val="5F4624A1"/>
    <w:rsid w:val="5FFA28BF"/>
    <w:rsid w:val="6000759F"/>
    <w:rsid w:val="602476D2"/>
    <w:rsid w:val="602E272E"/>
    <w:rsid w:val="60503789"/>
    <w:rsid w:val="60D6516A"/>
    <w:rsid w:val="60E64762"/>
    <w:rsid w:val="611C3F8A"/>
    <w:rsid w:val="615A682D"/>
    <w:rsid w:val="61605CC6"/>
    <w:rsid w:val="61E82610"/>
    <w:rsid w:val="62313A1F"/>
    <w:rsid w:val="62626B68"/>
    <w:rsid w:val="62C83817"/>
    <w:rsid w:val="630D2BC2"/>
    <w:rsid w:val="635B1B17"/>
    <w:rsid w:val="63A474DA"/>
    <w:rsid w:val="63C97026"/>
    <w:rsid w:val="642F050F"/>
    <w:rsid w:val="64500E7E"/>
    <w:rsid w:val="64B477ED"/>
    <w:rsid w:val="6556467B"/>
    <w:rsid w:val="655E2192"/>
    <w:rsid w:val="656A58D1"/>
    <w:rsid w:val="65C63494"/>
    <w:rsid w:val="65F17BF7"/>
    <w:rsid w:val="667874ED"/>
    <w:rsid w:val="668441ED"/>
    <w:rsid w:val="669D07DA"/>
    <w:rsid w:val="6761234C"/>
    <w:rsid w:val="679305D0"/>
    <w:rsid w:val="67DA3DD1"/>
    <w:rsid w:val="67EF4C2B"/>
    <w:rsid w:val="68492920"/>
    <w:rsid w:val="684A7E00"/>
    <w:rsid w:val="684D34AC"/>
    <w:rsid w:val="69036414"/>
    <w:rsid w:val="698C3794"/>
    <w:rsid w:val="69926B5F"/>
    <w:rsid w:val="69952440"/>
    <w:rsid w:val="69CB5226"/>
    <w:rsid w:val="69CD7A52"/>
    <w:rsid w:val="6A064015"/>
    <w:rsid w:val="6A4279C0"/>
    <w:rsid w:val="6ADA3D5A"/>
    <w:rsid w:val="6AFA4AF2"/>
    <w:rsid w:val="6B9916F8"/>
    <w:rsid w:val="6B9F7B64"/>
    <w:rsid w:val="6C6172CD"/>
    <w:rsid w:val="6CEE00EB"/>
    <w:rsid w:val="6DA1021D"/>
    <w:rsid w:val="6DF2753D"/>
    <w:rsid w:val="6E533EFF"/>
    <w:rsid w:val="6E5955B2"/>
    <w:rsid w:val="6E8E090D"/>
    <w:rsid w:val="6FFF6D4A"/>
    <w:rsid w:val="71D52C52"/>
    <w:rsid w:val="71EE2ABC"/>
    <w:rsid w:val="723B3DAE"/>
    <w:rsid w:val="736F2E62"/>
    <w:rsid w:val="73E8121C"/>
    <w:rsid w:val="741A0B00"/>
    <w:rsid w:val="74FE5CD5"/>
    <w:rsid w:val="751B684F"/>
    <w:rsid w:val="752D219E"/>
    <w:rsid w:val="75622B13"/>
    <w:rsid w:val="75BD2DF1"/>
    <w:rsid w:val="76AC0BD3"/>
    <w:rsid w:val="76B4174A"/>
    <w:rsid w:val="778F1B31"/>
    <w:rsid w:val="789E78B0"/>
    <w:rsid w:val="78B36B05"/>
    <w:rsid w:val="790C032D"/>
    <w:rsid w:val="792F052B"/>
    <w:rsid w:val="79971DD1"/>
    <w:rsid w:val="79C66218"/>
    <w:rsid w:val="79DA6908"/>
    <w:rsid w:val="7A1A5B7A"/>
    <w:rsid w:val="7AC62DB2"/>
    <w:rsid w:val="7AD64090"/>
    <w:rsid w:val="7AFB3EE8"/>
    <w:rsid w:val="7B4B4DB2"/>
    <w:rsid w:val="7BC84294"/>
    <w:rsid w:val="7C195116"/>
    <w:rsid w:val="7C42092C"/>
    <w:rsid w:val="7C5A7B44"/>
    <w:rsid w:val="7CCF1551"/>
    <w:rsid w:val="7CDE4CF6"/>
    <w:rsid w:val="7CE8603D"/>
    <w:rsid w:val="7DCA6AAE"/>
    <w:rsid w:val="7E82623A"/>
    <w:rsid w:val="7E9116C6"/>
    <w:rsid w:val="7FA80BB8"/>
    <w:rsid w:val="7FBF6C4C"/>
    <w:rsid w:val="7FC33455"/>
    <w:rsid w:val="7FE9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9"/>
    <w:pPr>
      <w:keepNext/>
      <w:keepLines/>
      <w:spacing w:line="360" w:lineRule="auto"/>
      <w:outlineLvl w:val="0"/>
    </w:pPr>
    <w:rPr>
      <w:b/>
      <w:bCs/>
      <w:kern w:val="44"/>
      <w:sz w:val="32"/>
      <w:szCs w:val="44"/>
    </w:rPr>
  </w:style>
  <w:style w:type="paragraph" w:styleId="5">
    <w:name w:val="heading 2"/>
    <w:basedOn w:val="1"/>
    <w:next w:val="1"/>
    <w:link w:val="53"/>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4"/>
    <w:qFormat/>
    <w:uiPriority w:val="0"/>
    <w:pPr>
      <w:keepNext/>
      <w:keepLines/>
      <w:spacing w:line="360" w:lineRule="auto"/>
      <w:outlineLvl w:val="2"/>
    </w:pPr>
    <w:rPr>
      <w:b/>
      <w:bCs/>
      <w:sz w:val="24"/>
      <w:szCs w:val="32"/>
    </w:rPr>
  </w:style>
  <w:style w:type="paragraph" w:styleId="7">
    <w:name w:val="heading 4"/>
    <w:basedOn w:val="1"/>
    <w:next w:val="1"/>
    <w:link w:val="55"/>
    <w:qFormat/>
    <w:uiPriority w:val="0"/>
    <w:pPr>
      <w:keepNext/>
      <w:keepLines/>
      <w:spacing w:line="360" w:lineRule="auto"/>
      <w:outlineLvl w:val="3"/>
    </w:pPr>
    <w:rPr>
      <w:rFonts w:ascii="Arial" w:hAnsi="Arial"/>
      <w:b/>
      <w:bCs/>
      <w:szCs w:val="28"/>
    </w:rPr>
  </w:style>
  <w:style w:type="paragraph" w:styleId="8">
    <w:name w:val="heading 5"/>
    <w:basedOn w:val="1"/>
    <w:next w:val="9"/>
    <w:semiHidden/>
    <w:unhideWhenUsed/>
    <w:qFormat/>
    <w:uiPriority w:val="0"/>
    <w:pPr>
      <w:keepNext/>
      <w:keepLines/>
      <w:numPr>
        <w:ilvl w:val="4"/>
        <w:numId w:val="1"/>
      </w:numPr>
      <w:spacing w:before="40" w:after="50" w:line="420" w:lineRule="exact"/>
      <w:jc w:val="left"/>
      <w:outlineLvl w:val="4"/>
    </w:pPr>
    <w:rPr>
      <w:rFonts w:eastAsia="仿宋" w:asciiTheme="minorHAnsi" w:hAnsiTheme="minorHAnsi" w:cstheme="minorBidi"/>
      <w:bCs/>
      <w:sz w:val="28"/>
      <w:szCs w:val="28"/>
    </w:rPr>
  </w:style>
  <w:style w:type="paragraph" w:styleId="10">
    <w:name w:val="heading 6"/>
    <w:basedOn w:val="1"/>
    <w:next w:val="9"/>
    <w:link w:val="56"/>
    <w:qFormat/>
    <w:uiPriority w:val="0"/>
    <w:pPr>
      <w:keepNext/>
      <w:tabs>
        <w:tab w:val="left" w:pos="383"/>
        <w:tab w:val="left" w:pos="1575"/>
      </w:tabs>
      <w:spacing w:line="440" w:lineRule="exact"/>
      <w:ind w:left="2100" w:hanging="405"/>
      <w:outlineLvl w:val="5"/>
    </w:pPr>
    <w:rPr>
      <w:sz w:val="28"/>
      <w:szCs w:val="20"/>
    </w:rPr>
  </w:style>
  <w:style w:type="paragraph" w:styleId="11">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qFormat/>
    <w:uiPriority w:val="0"/>
  </w:style>
  <w:style w:type="paragraph" w:styleId="3">
    <w:name w:val="Body Text Indent"/>
    <w:basedOn w:val="1"/>
    <w:next w:val="1"/>
    <w:link w:val="50"/>
    <w:qFormat/>
    <w:uiPriority w:val="99"/>
  </w:style>
  <w:style w:type="paragraph" w:styleId="9">
    <w:name w:val="Normal Indent"/>
    <w:basedOn w:val="1"/>
    <w:qFormat/>
    <w:uiPriority w:val="0"/>
    <w:pPr>
      <w:ind w:firstLine="420"/>
    </w:pPr>
    <w:rPr>
      <w:szCs w:val="20"/>
    </w:rPr>
  </w:style>
  <w:style w:type="paragraph" w:styleId="12">
    <w:name w:val="toc 7"/>
    <w:basedOn w:val="1"/>
    <w:next w:val="1"/>
    <w:qFormat/>
    <w:uiPriority w:val="39"/>
    <w:pPr>
      <w:ind w:left="1050"/>
      <w:jc w:val="left"/>
    </w:pPr>
    <w:rPr>
      <w:sz w:val="20"/>
      <w:szCs w:val="20"/>
    </w:rPr>
  </w:style>
  <w:style w:type="paragraph" w:styleId="13">
    <w:name w:val="Document Map"/>
    <w:basedOn w:val="1"/>
    <w:link w:val="58"/>
    <w:qFormat/>
    <w:uiPriority w:val="99"/>
    <w:pPr>
      <w:shd w:val="clear" w:color="auto" w:fill="000080"/>
    </w:pPr>
  </w:style>
  <w:style w:type="paragraph" w:styleId="14">
    <w:name w:val="annotation text"/>
    <w:basedOn w:val="1"/>
    <w:link w:val="59"/>
    <w:qFormat/>
    <w:uiPriority w:val="0"/>
    <w:pPr>
      <w:jc w:val="left"/>
    </w:pPr>
  </w:style>
  <w:style w:type="paragraph" w:styleId="15">
    <w:name w:val="Salutation"/>
    <w:basedOn w:val="1"/>
    <w:next w:val="1"/>
    <w:link w:val="60"/>
    <w:qFormat/>
    <w:uiPriority w:val="0"/>
    <w:rPr>
      <w:sz w:val="24"/>
      <w:szCs w:val="20"/>
    </w:rPr>
  </w:style>
  <w:style w:type="paragraph" w:styleId="16">
    <w:name w:val="Body Text 3"/>
    <w:basedOn w:val="1"/>
    <w:link w:val="61"/>
    <w:qFormat/>
    <w:uiPriority w:val="0"/>
    <w:pPr>
      <w:spacing w:after="120"/>
    </w:pPr>
    <w:rPr>
      <w:sz w:val="16"/>
      <w:szCs w:val="20"/>
    </w:rPr>
  </w:style>
  <w:style w:type="paragraph" w:styleId="17">
    <w:name w:val="Block Text"/>
    <w:basedOn w:val="18"/>
    <w:next w:val="18"/>
    <w:qFormat/>
    <w:uiPriority w:val="0"/>
    <w:pPr>
      <w:spacing w:before="120"/>
    </w:p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9">
    <w:name w:val="toc 5"/>
    <w:basedOn w:val="1"/>
    <w:next w:val="1"/>
    <w:qFormat/>
    <w:uiPriority w:val="39"/>
    <w:pPr>
      <w:ind w:left="630"/>
      <w:jc w:val="left"/>
    </w:pPr>
    <w:rPr>
      <w:sz w:val="20"/>
      <w:szCs w:val="20"/>
    </w:rPr>
  </w:style>
  <w:style w:type="paragraph" w:styleId="20">
    <w:name w:val="toc 3"/>
    <w:basedOn w:val="1"/>
    <w:next w:val="1"/>
    <w:qFormat/>
    <w:uiPriority w:val="39"/>
    <w:pPr>
      <w:ind w:left="840" w:leftChars="400"/>
    </w:pPr>
  </w:style>
  <w:style w:type="paragraph" w:styleId="21">
    <w:name w:val="Plain Text"/>
    <w:basedOn w:val="1"/>
    <w:link w:val="63"/>
    <w:qFormat/>
    <w:uiPriority w:val="0"/>
    <w:rPr>
      <w:rFonts w:ascii="宋体" w:hAnsi="Courier New"/>
      <w:szCs w:val="20"/>
    </w:rPr>
  </w:style>
  <w:style w:type="paragraph" w:styleId="22">
    <w:name w:val="toc 8"/>
    <w:basedOn w:val="1"/>
    <w:next w:val="1"/>
    <w:qFormat/>
    <w:uiPriority w:val="39"/>
    <w:pPr>
      <w:ind w:left="1260"/>
      <w:jc w:val="left"/>
    </w:pPr>
    <w:rPr>
      <w:sz w:val="20"/>
      <w:szCs w:val="20"/>
    </w:rPr>
  </w:style>
  <w:style w:type="paragraph" w:styleId="23">
    <w:name w:val="Date"/>
    <w:basedOn w:val="1"/>
    <w:next w:val="1"/>
    <w:link w:val="64"/>
    <w:qFormat/>
    <w:uiPriority w:val="99"/>
    <w:rPr>
      <w:rFonts w:ascii="宋体"/>
      <w:szCs w:val="20"/>
    </w:rPr>
  </w:style>
  <w:style w:type="paragraph" w:styleId="24">
    <w:name w:val="Body Text Indent 2"/>
    <w:basedOn w:val="1"/>
    <w:link w:val="65"/>
    <w:qFormat/>
    <w:uiPriority w:val="0"/>
    <w:pPr>
      <w:spacing w:line="432" w:lineRule="auto"/>
      <w:ind w:left="360"/>
    </w:pPr>
    <w:rPr>
      <w:rFonts w:ascii="宋体" w:hAnsi="华文细黑"/>
      <w:szCs w:val="20"/>
    </w:rPr>
  </w:style>
  <w:style w:type="paragraph" w:styleId="25">
    <w:name w:val="Balloon Text"/>
    <w:basedOn w:val="1"/>
    <w:link w:val="66"/>
    <w:qFormat/>
    <w:uiPriority w:val="99"/>
    <w:rPr>
      <w:sz w:val="18"/>
      <w:szCs w:val="18"/>
    </w:rPr>
  </w:style>
  <w:style w:type="paragraph" w:styleId="26">
    <w:name w:val="footer"/>
    <w:basedOn w:val="1"/>
    <w:link w:val="67"/>
    <w:qFormat/>
    <w:uiPriority w:val="0"/>
    <w:pPr>
      <w:tabs>
        <w:tab w:val="center" w:pos="4153"/>
        <w:tab w:val="right" w:pos="8306"/>
      </w:tabs>
      <w:snapToGrid w:val="0"/>
      <w:jc w:val="left"/>
    </w:pPr>
    <w:rPr>
      <w:sz w:val="18"/>
      <w:szCs w:val="18"/>
    </w:rPr>
  </w:style>
  <w:style w:type="paragraph" w:styleId="27">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39"/>
    <w:pPr>
      <w:ind w:left="420"/>
      <w:jc w:val="left"/>
    </w:pPr>
    <w:rPr>
      <w:sz w:val="20"/>
      <w:szCs w:val="20"/>
    </w:rPr>
  </w:style>
  <w:style w:type="paragraph" w:styleId="30">
    <w:name w:val="Subtitle"/>
    <w:basedOn w:val="1"/>
    <w:next w:val="1"/>
    <w:link w:val="69"/>
    <w:qFormat/>
    <w:uiPriority w:val="11"/>
    <w:pPr>
      <w:widowControl/>
      <w:spacing w:before="240" w:after="60" w:line="312" w:lineRule="auto"/>
      <w:jc w:val="center"/>
      <w:outlineLvl w:val="1"/>
    </w:pPr>
    <w:rPr>
      <w:rFonts w:ascii="Calibri Light" w:hAnsi="Calibri Light"/>
      <w:b/>
      <w:bCs/>
      <w:kern w:val="28"/>
      <w:sz w:val="32"/>
      <w:szCs w:val="32"/>
    </w:rPr>
  </w:style>
  <w:style w:type="paragraph" w:styleId="31">
    <w:name w:val="toc 6"/>
    <w:basedOn w:val="1"/>
    <w:next w:val="1"/>
    <w:qFormat/>
    <w:uiPriority w:val="39"/>
    <w:pPr>
      <w:ind w:left="840"/>
      <w:jc w:val="left"/>
    </w:pPr>
    <w:rPr>
      <w:sz w:val="20"/>
      <w:szCs w:val="20"/>
    </w:rPr>
  </w:style>
  <w:style w:type="paragraph" w:styleId="32">
    <w:name w:val="Body Text Indent 3"/>
    <w:basedOn w:val="1"/>
    <w:link w:val="70"/>
    <w:qFormat/>
    <w:uiPriority w:val="0"/>
    <w:pPr>
      <w:spacing w:after="120"/>
      <w:ind w:left="420" w:leftChars="200"/>
    </w:pPr>
    <w:rPr>
      <w:sz w:val="16"/>
      <w:szCs w:val="20"/>
    </w:rPr>
  </w:style>
  <w:style w:type="paragraph" w:styleId="33">
    <w:name w:val="toc 2"/>
    <w:basedOn w:val="1"/>
    <w:next w:val="1"/>
    <w:qFormat/>
    <w:uiPriority w:val="39"/>
    <w:pPr>
      <w:ind w:left="420" w:leftChars="200"/>
    </w:pPr>
  </w:style>
  <w:style w:type="paragraph" w:styleId="34">
    <w:name w:val="toc 9"/>
    <w:basedOn w:val="1"/>
    <w:next w:val="1"/>
    <w:qFormat/>
    <w:uiPriority w:val="39"/>
    <w:pPr>
      <w:ind w:left="1470"/>
      <w:jc w:val="left"/>
    </w:pPr>
    <w:rPr>
      <w:sz w:val="20"/>
      <w:szCs w:val="20"/>
    </w:rPr>
  </w:style>
  <w:style w:type="paragraph" w:styleId="35">
    <w:name w:val="Body Text 2"/>
    <w:basedOn w:val="1"/>
    <w:link w:val="71"/>
    <w:qFormat/>
    <w:uiPriority w:val="0"/>
    <w:pPr>
      <w:spacing w:after="120" w:line="480" w:lineRule="auto"/>
    </w:pPr>
    <w:rPr>
      <w:szCs w:val="20"/>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link w:val="72"/>
    <w:qFormat/>
    <w:uiPriority w:val="10"/>
    <w:pPr>
      <w:spacing w:before="240" w:after="60"/>
      <w:jc w:val="center"/>
      <w:outlineLvl w:val="0"/>
    </w:pPr>
    <w:rPr>
      <w:rFonts w:ascii="Arial" w:hAnsi="Arial"/>
      <w:b/>
      <w:bCs/>
      <w:sz w:val="32"/>
      <w:szCs w:val="32"/>
    </w:rPr>
  </w:style>
  <w:style w:type="paragraph" w:styleId="38">
    <w:name w:val="annotation subject"/>
    <w:basedOn w:val="14"/>
    <w:next w:val="14"/>
    <w:link w:val="73"/>
    <w:qFormat/>
    <w:uiPriority w:val="99"/>
    <w:rPr>
      <w:b/>
      <w:bCs/>
    </w:rPr>
  </w:style>
  <w:style w:type="paragraph" w:styleId="39">
    <w:name w:val="Body Text First Indent 2"/>
    <w:basedOn w:val="3"/>
    <w:link w:val="51"/>
    <w:qFormat/>
    <w:uiPriority w:val="99"/>
    <w:pPr>
      <w:ind w:firstLine="420" w:firstLineChars="200"/>
    </w:p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22"/>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Hyperlink"/>
    <w:basedOn w:val="42"/>
    <w:qFormat/>
    <w:uiPriority w:val="99"/>
    <w:rPr>
      <w:color w:val="0000FF"/>
      <w:u w:val="single"/>
    </w:rPr>
  </w:style>
  <w:style w:type="character" w:styleId="47">
    <w:name w:val="annotation reference"/>
    <w:qFormat/>
    <w:uiPriority w:val="0"/>
    <w:rPr>
      <w:sz w:val="21"/>
      <w:szCs w:val="21"/>
    </w:rPr>
  </w:style>
  <w:style w:type="character" w:styleId="48">
    <w:name w:val="HTML Sample"/>
    <w:basedOn w:val="42"/>
    <w:unhideWhenUsed/>
    <w:qFormat/>
    <w:uiPriority w:val="99"/>
    <w:rPr>
      <w:rFonts w:ascii="宋体" w:hAnsi="宋体" w:eastAsia="宋体" w:cs="宋体"/>
    </w:rPr>
  </w:style>
  <w:style w:type="paragraph" w:customStyle="1" w:styleId="49">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正文文本缩进 Char"/>
    <w:link w:val="3"/>
    <w:qFormat/>
    <w:uiPriority w:val="99"/>
    <w:rPr>
      <w:rFonts w:ascii="黑体" w:eastAsia="黑体"/>
    </w:rPr>
  </w:style>
  <w:style w:type="character" w:customStyle="1" w:styleId="51">
    <w:name w:val="正文首行缩进 2 Char"/>
    <w:basedOn w:val="50"/>
    <w:link w:val="39"/>
    <w:qFormat/>
    <w:uiPriority w:val="99"/>
    <w:rPr>
      <w:kern w:val="2"/>
      <w:sz w:val="21"/>
      <w:szCs w:val="24"/>
    </w:rPr>
  </w:style>
  <w:style w:type="character" w:customStyle="1" w:styleId="52">
    <w:name w:val="标题 1 Char"/>
    <w:link w:val="4"/>
    <w:qFormat/>
    <w:uiPriority w:val="9"/>
    <w:rPr>
      <w:b/>
      <w:bCs/>
      <w:kern w:val="44"/>
      <w:sz w:val="32"/>
      <w:szCs w:val="44"/>
    </w:rPr>
  </w:style>
  <w:style w:type="character" w:customStyle="1" w:styleId="53">
    <w:name w:val="标题 2 Char"/>
    <w:link w:val="5"/>
    <w:qFormat/>
    <w:uiPriority w:val="0"/>
    <w:rPr>
      <w:rFonts w:ascii="Cambria" w:hAnsi="Cambria" w:eastAsia="宋体" w:cs="Times New Roman"/>
      <w:b/>
      <w:bCs/>
      <w:kern w:val="2"/>
      <w:sz w:val="32"/>
      <w:szCs w:val="32"/>
    </w:rPr>
  </w:style>
  <w:style w:type="character" w:customStyle="1" w:styleId="54">
    <w:name w:val="标题 3 Char"/>
    <w:link w:val="6"/>
    <w:qFormat/>
    <w:uiPriority w:val="0"/>
    <w:rPr>
      <w:b/>
      <w:bCs/>
      <w:kern w:val="2"/>
      <w:sz w:val="24"/>
      <w:szCs w:val="32"/>
    </w:rPr>
  </w:style>
  <w:style w:type="character" w:customStyle="1" w:styleId="55">
    <w:name w:val="标题 4 Char"/>
    <w:link w:val="7"/>
    <w:qFormat/>
    <w:uiPriority w:val="0"/>
    <w:rPr>
      <w:rFonts w:ascii="Arial" w:hAnsi="Arial"/>
      <w:b/>
      <w:bCs/>
      <w:kern w:val="2"/>
      <w:sz w:val="21"/>
      <w:szCs w:val="28"/>
    </w:rPr>
  </w:style>
  <w:style w:type="character" w:customStyle="1" w:styleId="56">
    <w:name w:val="标题 6 Char"/>
    <w:link w:val="10"/>
    <w:qFormat/>
    <w:uiPriority w:val="0"/>
    <w:rPr>
      <w:kern w:val="2"/>
      <w:sz w:val="28"/>
    </w:rPr>
  </w:style>
  <w:style w:type="character" w:customStyle="1" w:styleId="57">
    <w:name w:val="标题 9 Char"/>
    <w:link w:val="11"/>
    <w:qFormat/>
    <w:uiPriority w:val="0"/>
    <w:rPr>
      <w:rFonts w:ascii="Arial" w:hAnsi="Arial" w:eastAsia="黑体"/>
      <w:kern w:val="2"/>
      <w:sz w:val="21"/>
      <w:szCs w:val="21"/>
    </w:rPr>
  </w:style>
  <w:style w:type="character" w:customStyle="1" w:styleId="58">
    <w:name w:val="文档结构图 Char"/>
    <w:link w:val="13"/>
    <w:qFormat/>
    <w:uiPriority w:val="99"/>
    <w:rPr>
      <w:kern w:val="2"/>
      <w:sz w:val="21"/>
      <w:szCs w:val="24"/>
      <w:shd w:val="clear" w:color="auto" w:fill="000080"/>
    </w:rPr>
  </w:style>
  <w:style w:type="character" w:customStyle="1" w:styleId="59">
    <w:name w:val="批注文字 Char"/>
    <w:link w:val="14"/>
    <w:qFormat/>
    <w:uiPriority w:val="0"/>
    <w:rPr>
      <w:kern w:val="2"/>
      <w:sz w:val="21"/>
      <w:szCs w:val="24"/>
    </w:rPr>
  </w:style>
  <w:style w:type="character" w:customStyle="1" w:styleId="60">
    <w:name w:val="称呼 Char"/>
    <w:link w:val="15"/>
    <w:qFormat/>
    <w:uiPriority w:val="0"/>
    <w:rPr>
      <w:kern w:val="2"/>
      <w:sz w:val="24"/>
    </w:rPr>
  </w:style>
  <w:style w:type="character" w:customStyle="1" w:styleId="61">
    <w:name w:val="正文文本 3 Char"/>
    <w:link w:val="16"/>
    <w:qFormat/>
    <w:uiPriority w:val="0"/>
    <w:rPr>
      <w:kern w:val="2"/>
      <w:sz w:val="16"/>
    </w:rPr>
  </w:style>
  <w:style w:type="character" w:customStyle="1" w:styleId="62">
    <w:name w:val="正文文本 Char"/>
    <w:link w:val="2"/>
    <w:qFormat/>
    <w:uiPriority w:val="0"/>
    <w:rPr>
      <w:rFonts w:ascii="黑体" w:eastAsia="黑体"/>
    </w:rPr>
  </w:style>
  <w:style w:type="character" w:customStyle="1" w:styleId="63">
    <w:name w:val="纯文本 Char"/>
    <w:link w:val="21"/>
    <w:qFormat/>
    <w:uiPriority w:val="0"/>
    <w:rPr>
      <w:rFonts w:ascii="宋体" w:hAnsi="Courier New"/>
      <w:kern w:val="2"/>
      <w:sz w:val="21"/>
    </w:rPr>
  </w:style>
  <w:style w:type="character" w:customStyle="1" w:styleId="64">
    <w:name w:val="日期 Char"/>
    <w:link w:val="23"/>
    <w:qFormat/>
    <w:uiPriority w:val="99"/>
    <w:rPr>
      <w:rFonts w:ascii="宋体"/>
      <w:kern w:val="2"/>
      <w:sz w:val="21"/>
    </w:rPr>
  </w:style>
  <w:style w:type="character" w:customStyle="1" w:styleId="65">
    <w:name w:val="正文文本缩进 2 Char"/>
    <w:link w:val="24"/>
    <w:qFormat/>
    <w:uiPriority w:val="0"/>
    <w:rPr>
      <w:rFonts w:ascii="宋体" w:hAnsi="华文细黑"/>
      <w:kern w:val="2"/>
      <w:sz w:val="21"/>
    </w:rPr>
  </w:style>
  <w:style w:type="character" w:customStyle="1" w:styleId="66">
    <w:name w:val="批注框文本 Char"/>
    <w:link w:val="25"/>
    <w:qFormat/>
    <w:uiPriority w:val="99"/>
    <w:rPr>
      <w:kern w:val="2"/>
      <w:sz w:val="18"/>
      <w:szCs w:val="18"/>
    </w:rPr>
  </w:style>
  <w:style w:type="character" w:customStyle="1" w:styleId="67">
    <w:name w:val="页脚 Char"/>
    <w:link w:val="26"/>
    <w:qFormat/>
    <w:uiPriority w:val="0"/>
    <w:rPr>
      <w:kern w:val="2"/>
      <w:sz w:val="18"/>
      <w:szCs w:val="18"/>
    </w:rPr>
  </w:style>
  <w:style w:type="character" w:customStyle="1" w:styleId="68">
    <w:name w:val="页眉 Char"/>
    <w:link w:val="27"/>
    <w:qFormat/>
    <w:uiPriority w:val="0"/>
    <w:rPr>
      <w:kern w:val="2"/>
      <w:sz w:val="18"/>
      <w:szCs w:val="18"/>
    </w:rPr>
  </w:style>
  <w:style w:type="character" w:customStyle="1" w:styleId="69">
    <w:name w:val="副标题 Char"/>
    <w:link w:val="30"/>
    <w:qFormat/>
    <w:uiPriority w:val="11"/>
    <w:rPr>
      <w:rFonts w:ascii="Calibri Light" w:hAnsi="Calibri Light"/>
      <w:b/>
      <w:bCs/>
      <w:kern w:val="28"/>
      <w:sz w:val="32"/>
      <w:szCs w:val="32"/>
    </w:rPr>
  </w:style>
  <w:style w:type="character" w:customStyle="1" w:styleId="70">
    <w:name w:val="正文文本缩进 3 Char"/>
    <w:link w:val="32"/>
    <w:qFormat/>
    <w:uiPriority w:val="0"/>
    <w:rPr>
      <w:kern w:val="2"/>
      <w:sz w:val="16"/>
    </w:rPr>
  </w:style>
  <w:style w:type="character" w:customStyle="1" w:styleId="71">
    <w:name w:val="正文文本 2 Char"/>
    <w:link w:val="35"/>
    <w:qFormat/>
    <w:uiPriority w:val="0"/>
    <w:rPr>
      <w:kern w:val="2"/>
      <w:sz w:val="21"/>
    </w:rPr>
  </w:style>
  <w:style w:type="character" w:customStyle="1" w:styleId="72">
    <w:name w:val="标题 Char"/>
    <w:link w:val="37"/>
    <w:qFormat/>
    <w:uiPriority w:val="10"/>
    <w:rPr>
      <w:rFonts w:ascii="Arial" w:hAnsi="Arial" w:cs="Arial"/>
      <w:b/>
      <w:bCs/>
      <w:kern w:val="2"/>
      <w:sz w:val="32"/>
      <w:szCs w:val="32"/>
    </w:rPr>
  </w:style>
  <w:style w:type="character" w:customStyle="1" w:styleId="73">
    <w:name w:val="批注主题 Char"/>
    <w:link w:val="38"/>
    <w:qFormat/>
    <w:uiPriority w:val="99"/>
    <w:rPr>
      <w:b/>
      <w:bCs/>
      <w:kern w:val="2"/>
      <w:sz w:val="21"/>
      <w:szCs w:val="24"/>
    </w:rPr>
  </w:style>
  <w:style w:type="character" w:customStyle="1" w:styleId="74">
    <w:name w:val="标题2 Char Char"/>
    <w:qFormat/>
    <w:uiPriority w:val="0"/>
    <w:rPr>
      <w:rFonts w:ascii="宋体" w:hAnsi="宋体" w:eastAsia="宋体" w:cs="Times New Roman"/>
      <w:b/>
      <w:bCs/>
      <w:sz w:val="28"/>
      <w:szCs w:val="28"/>
    </w:rPr>
  </w:style>
  <w:style w:type="character" w:customStyle="1" w:styleId="75">
    <w:name w:val="15"/>
    <w:qFormat/>
    <w:uiPriority w:val="0"/>
    <w:rPr>
      <w:rFonts w:hint="default" w:ascii="Times New Roman" w:hAnsi="Times New Roman" w:cs="Times New Roman"/>
      <w:color w:val="464445"/>
      <w:u w:val="none"/>
    </w:rPr>
  </w:style>
  <w:style w:type="character" w:customStyle="1" w:styleId="76">
    <w:name w:val="标题2 Char"/>
    <w:link w:val="77"/>
    <w:qFormat/>
    <w:uiPriority w:val="0"/>
    <w:rPr>
      <w:rFonts w:ascii="Cambria" w:hAnsi="Cambria"/>
      <w:b/>
      <w:bCs/>
      <w:kern w:val="2"/>
      <w:sz w:val="30"/>
      <w:szCs w:val="24"/>
    </w:rPr>
  </w:style>
  <w:style w:type="paragraph" w:customStyle="1" w:styleId="77">
    <w:name w:val="标题2"/>
    <w:basedOn w:val="37"/>
    <w:link w:val="76"/>
    <w:qFormat/>
    <w:uiPriority w:val="0"/>
    <w:pPr>
      <w:spacing w:after="240"/>
      <w:jc w:val="left"/>
    </w:pPr>
    <w:rPr>
      <w:rFonts w:ascii="Cambria" w:hAnsi="Cambria"/>
      <w:sz w:val="30"/>
      <w:szCs w:val="24"/>
    </w:rPr>
  </w:style>
  <w:style w:type="character" w:customStyle="1" w:styleId="78">
    <w:name w:val="样式 Arial"/>
    <w:qFormat/>
    <w:uiPriority w:val="0"/>
    <w:rPr>
      <w:rFonts w:ascii="Arial" w:hAnsi="Arial" w:eastAsia="宋体"/>
      <w:sz w:val="21"/>
    </w:rPr>
  </w:style>
  <w:style w:type="character" w:customStyle="1" w:styleId="79">
    <w:name w:val="副标题 Char1"/>
    <w:qFormat/>
    <w:uiPriority w:val="0"/>
    <w:rPr>
      <w:rFonts w:ascii="Cambria" w:hAnsi="Cambria" w:cs="Times New Roman"/>
      <w:b/>
      <w:bCs/>
      <w:kern w:val="28"/>
      <w:sz w:val="32"/>
      <w:szCs w:val="32"/>
    </w:rPr>
  </w:style>
  <w:style w:type="character" w:customStyle="1" w:styleId="80">
    <w:name w:val="正文1 Char1"/>
    <w:link w:val="81"/>
    <w:qFormat/>
    <w:uiPriority w:val="0"/>
    <w:rPr>
      <w:rFonts w:cs="宋体"/>
      <w:kern w:val="2"/>
      <w:sz w:val="24"/>
    </w:rPr>
  </w:style>
  <w:style w:type="paragraph" w:customStyle="1" w:styleId="81">
    <w:name w:val="正文1"/>
    <w:basedOn w:val="1"/>
    <w:link w:val="80"/>
    <w:qFormat/>
    <w:uiPriority w:val="0"/>
    <w:pPr>
      <w:spacing w:line="440" w:lineRule="exact"/>
      <w:ind w:firstLine="480" w:firstLineChars="200"/>
    </w:pPr>
    <w:rPr>
      <w:sz w:val="24"/>
      <w:szCs w:val="20"/>
    </w:rPr>
  </w:style>
  <w:style w:type="character" w:customStyle="1" w:styleId="82">
    <w:name w:val="标题3 Char"/>
    <w:link w:val="83"/>
    <w:qFormat/>
    <w:uiPriority w:val="0"/>
    <w:rPr>
      <w:rFonts w:ascii="宋体" w:hAnsi="宋体"/>
      <w:b/>
      <w:bCs/>
      <w:kern w:val="44"/>
      <w:sz w:val="24"/>
      <w:szCs w:val="24"/>
    </w:rPr>
  </w:style>
  <w:style w:type="paragraph" w:customStyle="1" w:styleId="83">
    <w:name w:val="标题3"/>
    <w:basedOn w:val="4"/>
    <w:link w:val="82"/>
    <w:qFormat/>
    <w:uiPriority w:val="0"/>
    <w:pPr>
      <w:spacing w:beforeLines="50" w:afterLines="50" w:line="400" w:lineRule="exact"/>
    </w:pPr>
    <w:rPr>
      <w:rFonts w:ascii="宋体" w:hAnsi="宋体"/>
      <w:sz w:val="24"/>
      <w:szCs w:val="24"/>
    </w:rPr>
  </w:style>
  <w:style w:type="character" w:customStyle="1" w:styleId="84">
    <w:name w:val="105v1"/>
    <w:qFormat/>
    <w:uiPriority w:val="0"/>
    <w:rPr>
      <w:rFonts w:hint="default" w:ascii="ˎ̥" w:hAnsi="ˎ̥"/>
      <w:sz w:val="21"/>
      <w:szCs w:val="21"/>
    </w:rPr>
  </w:style>
  <w:style w:type="paragraph" w:customStyle="1" w:styleId="85">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86">
    <w:name w:val="tiaonoa"/>
    <w:basedOn w:val="1"/>
    <w:qFormat/>
    <w:uiPriority w:val="0"/>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87">
    <w:name w:val="Definition List"/>
    <w:basedOn w:val="1"/>
    <w:next w:val="88"/>
    <w:qFormat/>
    <w:uiPriority w:val="0"/>
    <w:pPr>
      <w:autoSpaceDE w:val="0"/>
      <w:autoSpaceDN w:val="0"/>
      <w:adjustRightInd w:val="0"/>
      <w:ind w:left="360"/>
      <w:jc w:val="left"/>
    </w:pPr>
    <w:rPr>
      <w:kern w:val="0"/>
      <w:sz w:val="24"/>
      <w:szCs w:val="20"/>
    </w:rPr>
  </w:style>
  <w:style w:type="paragraph" w:customStyle="1" w:styleId="88">
    <w:name w:val="Definition Term"/>
    <w:basedOn w:val="1"/>
    <w:next w:val="87"/>
    <w:qFormat/>
    <w:uiPriority w:val="0"/>
    <w:pPr>
      <w:autoSpaceDE w:val="0"/>
      <w:autoSpaceDN w:val="0"/>
      <w:adjustRightInd w:val="0"/>
      <w:jc w:val="left"/>
    </w:pPr>
    <w:rPr>
      <w:kern w:val="0"/>
      <w:sz w:val="24"/>
      <w:szCs w:val="20"/>
    </w:rPr>
  </w:style>
  <w:style w:type="paragraph" w:customStyle="1" w:styleId="89">
    <w:name w:val="tiao"/>
    <w:basedOn w:val="1"/>
    <w:qFormat/>
    <w:uiPriority w:val="0"/>
    <w:pPr>
      <w:widowControl/>
      <w:shd w:val="clear" w:color="auto" w:fill="AFEEEE"/>
      <w:spacing w:before="100" w:beforeAutospacing="1" w:after="100" w:afterAutospacing="1"/>
      <w:jc w:val="left"/>
    </w:pPr>
    <w:rPr>
      <w:rFonts w:ascii="宋体" w:hAnsi="宋体" w:cs="宋体"/>
      <w:i/>
      <w:iCs/>
      <w:smallCaps/>
      <w:color w:val="6600CC"/>
      <w:kern w:val="0"/>
      <w:sz w:val="20"/>
      <w:szCs w:val="20"/>
    </w:rPr>
  </w:style>
  <w:style w:type="paragraph" w:customStyle="1" w:styleId="90">
    <w:name w:val="p17"/>
    <w:basedOn w:val="1"/>
    <w:qFormat/>
    <w:uiPriority w:val="0"/>
    <w:pPr>
      <w:widowControl/>
    </w:pPr>
    <w:rPr>
      <w:kern w:val="0"/>
      <w:szCs w:val="21"/>
    </w:rPr>
  </w:style>
  <w:style w:type="paragraph" w:customStyle="1" w:styleId="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92">
    <w:name w:val="stitle"/>
    <w:basedOn w:val="1"/>
    <w:qFormat/>
    <w:uiPriority w:val="0"/>
    <w:pPr>
      <w:widowControl/>
      <w:spacing w:before="100" w:beforeAutospacing="1" w:after="100" w:afterAutospacing="1"/>
      <w:jc w:val="left"/>
    </w:pPr>
    <w:rPr>
      <w:rFonts w:ascii="宋体" w:hAnsi="宋体" w:cs="宋体"/>
      <w:smallCaps/>
      <w:color w:val="000000"/>
      <w:kern w:val="0"/>
      <w:sz w:val="20"/>
      <w:szCs w:val="20"/>
    </w:rPr>
  </w:style>
  <w:style w:type="paragraph" w:customStyle="1" w:styleId="93">
    <w:name w:val="_Style 16"/>
    <w:basedOn w:val="1"/>
    <w:next w:val="3"/>
    <w:qFormat/>
    <w:uiPriority w:val="0"/>
    <w:pPr>
      <w:ind w:firstLine="540"/>
    </w:pPr>
    <w:rPr>
      <w:sz w:val="28"/>
      <w:szCs w:val="20"/>
    </w:rPr>
  </w:style>
  <w:style w:type="paragraph" w:customStyle="1" w:styleId="94">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95">
    <w:name w:val="默认段落字体 Para Char Char Char Char"/>
    <w:basedOn w:val="1"/>
    <w:qFormat/>
    <w:uiPriority w:val="0"/>
    <w:rPr>
      <w:szCs w:val="20"/>
    </w:rPr>
  </w:style>
  <w:style w:type="paragraph" w:customStyle="1" w:styleId="96">
    <w:name w:val="正文 t"/>
    <w:basedOn w:val="1"/>
    <w:qFormat/>
    <w:uiPriority w:val="0"/>
    <w:pPr>
      <w:spacing w:before="120" w:after="120" w:line="240" w:lineRule="atLeast"/>
    </w:pPr>
    <w:rPr>
      <w:rFonts w:ascii="Arial" w:hAnsi="Arial"/>
      <w:sz w:val="24"/>
      <w:szCs w:val="20"/>
    </w:rPr>
  </w:style>
  <w:style w:type="paragraph" w:customStyle="1" w:styleId="97">
    <w:name w:val="content"/>
    <w:basedOn w:val="1"/>
    <w:qFormat/>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98">
    <w:name w:val="mnotes"/>
    <w:basedOn w:val="1"/>
    <w:qFormat/>
    <w:uiPriority w:val="0"/>
    <w:pPr>
      <w:widowControl/>
      <w:shd w:val="clear" w:color="auto" w:fill="AFEEEE"/>
      <w:spacing w:before="100" w:beforeAutospacing="1" w:after="100" w:afterAutospacing="1" w:line="336" w:lineRule="auto"/>
      <w:jc w:val="left"/>
    </w:pPr>
    <w:rPr>
      <w:rFonts w:ascii="宋体" w:hAnsi="宋体" w:cs="宋体"/>
      <w:smallCaps/>
      <w:color w:val="008080"/>
      <w:kern w:val="0"/>
      <w:sz w:val="20"/>
      <w:szCs w:val="20"/>
    </w:rPr>
  </w:style>
  <w:style w:type="paragraph" w:customStyle="1" w:styleId="99">
    <w:name w:val="Char1"/>
    <w:basedOn w:val="13"/>
    <w:qFormat/>
    <w:uiPriority w:val="0"/>
    <w:pPr>
      <w:tabs>
        <w:tab w:val="left" w:pos="0"/>
      </w:tabs>
      <w:ind w:firstLine="200" w:firstLineChars="200"/>
    </w:pPr>
    <w:rPr>
      <w:rFonts w:ascii="Tahoma" w:hAnsi="Tahoma"/>
      <w:sz w:val="24"/>
    </w:rPr>
  </w:style>
  <w:style w:type="paragraph" w:customStyle="1" w:styleId="100">
    <w:name w:val="tiaoyin"/>
    <w:basedOn w:val="1"/>
    <w:qFormat/>
    <w:uiPriority w:val="0"/>
    <w:pPr>
      <w:widowControl/>
      <w:spacing w:before="100" w:beforeAutospacing="1" w:after="100" w:afterAutospacing="1"/>
      <w:jc w:val="left"/>
    </w:pPr>
    <w:rPr>
      <w:rFonts w:ascii="宋体" w:hAnsi="宋体" w:cs="宋体"/>
      <w:smallCaps/>
      <w:color w:val="FF0000"/>
      <w:kern w:val="0"/>
      <w:sz w:val="20"/>
      <w:szCs w:val="20"/>
    </w:rPr>
  </w:style>
  <w:style w:type="paragraph" w:customStyle="1" w:styleId="101">
    <w:name w:val="TOC 标题1"/>
    <w:basedOn w:val="4"/>
    <w:next w:val="1"/>
    <w:qFormat/>
    <w:uiPriority w:val="0"/>
    <w:pPr>
      <w:spacing w:before="340" w:after="330" w:line="578" w:lineRule="auto"/>
      <w:outlineLvl w:val="9"/>
    </w:pPr>
    <w:rPr>
      <w:sz w:val="44"/>
    </w:rPr>
  </w:style>
  <w:style w:type="paragraph" w:customStyle="1" w:styleId="102">
    <w:name w:val="Char Char Char1 Char Char Char Char Char Char Char"/>
    <w:basedOn w:val="1"/>
    <w:qFormat/>
    <w:uiPriority w:val="0"/>
    <w:pPr>
      <w:spacing w:line="360" w:lineRule="auto"/>
      <w:ind w:firstLine="200" w:firstLineChars="200"/>
    </w:pPr>
    <w:rPr>
      <w:kern w:val="0"/>
      <w:sz w:val="20"/>
      <w:szCs w:val="20"/>
    </w:rPr>
  </w:style>
  <w:style w:type="paragraph" w:customStyle="1" w:styleId="103">
    <w:name w:val="_Style 15"/>
    <w:basedOn w:val="1"/>
    <w:next w:val="3"/>
    <w:qFormat/>
    <w:uiPriority w:val="0"/>
    <w:pPr>
      <w:ind w:firstLine="540"/>
    </w:pPr>
    <w:rPr>
      <w:sz w:val="28"/>
      <w:szCs w:val="20"/>
    </w:rPr>
  </w:style>
  <w:style w:type="paragraph" w:customStyle="1" w:styleId="104">
    <w:name w:val="Char"/>
    <w:basedOn w:val="13"/>
    <w:qFormat/>
    <w:uiPriority w:val="0"/>
    <w:pPr>
      <w:keepNext/>
      <w:spacing w:beforeLines="100"/>
    </w:pPr>
    <w:rPr>
      <w:rFonts w:ascii="Tahoma" w:hAnsi="Tahoma"/>
      <w:sz w:val="24"/>
    </w:rPr>
  </w:style>
  <w:style w:type="paragraph" w:customStyle="1" w:styleId="105">
    <w:name w:val="p0"/>
    <w:basedOn w:val="1"/>
    <w:qFormat/>
    <w:uiPriority w:val="0"/>
    <w:pPr>
      <w:widowControl/>
    </w:pPr>
    <w:rPr>
      <w:kern w:val="0"/>
      <w:szCs w:val="21"/>
    </w:rPr>
  </w:style>
  <w:style w:type="paragraph" w:customStyle="1" w:styleId="106">
    <w:name w:val="样式 Arial 行距: 1.5 倍行距"/>
    <w:basedOn w:val="1"/>
    <w:qFormat/>
    <w:uiPriority w:val="0"/>
    <w:pPr>
      <w:widowControl/>
      <w:spacing w:after="200" w:line="360" w:lineRule="auto"/>
      <w:ind w:firstLine="440" w:firstLineChars="200"/>
      <w:jc w:val="left"/>
    </w:pPr>
    <w:rPr>
      <w:rFonts w:ascii="Arial" w:hAnsi="Arial" w:cs="宋体"/>
      <w:kern w:val="0"/>
      <w:szCs w:val="20"/>
      <w:lang w:eastAsia="en-US" w:bidi="en-US"/>
    </w:rPr>
  </w:style>
  <w:style w:type="paragraph" w:customStyle="1" w:styleId="107">
    <w:name w:val="Char21"/>
    <w:basedOn w:val="1"/>
    <w:qFormat/>
    <w:uiPriority w:val="0"/>
    <w:pPr>
      <w:ind w:firstLine="200" w:firstLineChars="200"/>
    </w:pPr>
    <w:rPr>
      <w:rFonts w:ascii="Tahoma" w:hAnsi="Tahoma"/>
      <w:sz w:val="24"/>
      <w:szCs w:val="20"/>
    </w:rPr>
  </w:style>
  <w:style w:type="paragraph" w:customStyle="1" w:styleId="108">
    <w:name w:val="样式2"/>
    <w:basedOn w:val="5"/>
    <w:qFormat/>
    <w:uiPriority w:val="0"/>
  </w:style>
  <w:style w:type="paragraph" w:customStyle="1" w:styleId="109">
    <w:name w:val="样式1"/>
    <w:basedOn w:val="1"/>
    <w:next w:val="7"/>
    <w:qFormat/>
    <w:uiPriority w:val="0"/>
    <w:pPr>
      <w:spacing w:line="360" w:lineRule="auto"/>
      <w:ind w:firstLine="420" w:firstLineChars="200"/>
    </w:pPr>
    <w:rPr>
      <w:rFonts w:ascii="宋体" w:hAnsi="宋体"/>
      <w:szCs w:val="21"/>
    </w:rPr>
  </w:style>
  <w:style w:type="paragraph" w:customStyle="1" w:styleId="110">
    <w:name w:val="mtitle"/>
    <w:basedOn w:val="1"/>
    <w:qFormat/>
    <w:uiPriority w:val="0"/>
    <w:pPr>
      <w:widowControl/>
      <w:spacing w:before="100" w:beforeAutospacing="1" w:after="100" w:afterAutospacing="1" w:line="336" w:lineRule="auto"/>
      <w:jc w:val="left"/>
    </w:pPr>
    <w:rPr>
      <w:rFonts w:ascii="宋体" w:hAnsi="宋体" w:cs="宋体"/>
      <w:b/>
      <w:bCs/>
      <w:smallCaps/>
      <w:color w:val="000000"/>
      <w:kern w:val="0"/>
      <w:sz w:val="20"/>
      <w:szCs w:val="20"/>
    </w:rPr>
  </w:style>
  <w:style w:type="paragraph" w:customStyle="1" w:styleId="111">
    <w:name w:val="缺省文本"/>
    <w:basedOn w:val="1"/>
    <w:qFormat/>
    <w:uiPriority w:val="0"/>
    <w:pPr>
      <w:autoSpaceDE w:val="0"/>
      <w:autoSpaceDN w:val="0"/>
      <w:adjustRightInd w:val="0"/>
      <w:jc w:val="left"/>
    </w:pPr>
    <w:rPr>
      <w:kern w:val="0"/>
      <w:sz w:val="24"/>
      <w:szCs w:val="20"/>
    </w:rPr>
  </w:style>
  <w:style w:type="paragraph" w:customStyle="1" w:styleId="112">
    <w:name w:val="Char2"/>
    <w:basedOn w:val="1"/>
    <w:qFormat/>
    <w:uiPriority w:val="0"/>
    <w:pPr>
      <w:adjustRightInd w:val="0"/>
      <w:spacing w:line="360" w:lineRule="auto"/>
    </w:pPr>
    <w:rPr>
      <w:kern w:val="0"/>
      <w:sz w:val="24"/>
      <w:szCs w:val="20"/>
    </w:rPr>
  </w:style>
  <w:style w:type="character" w:customStyle="1" w:styleId="113">
    <w:name w:val="纯文本 Char2"/>
    <w:qFormat/>
    <w:uiPriority w:val="0"/>
    <w:rPr>
      <w:rFonts w:ascii="宋体" w:hAnsi="Courier New" w:eastAsia="宋体" w:cs="Times New Roman"/>
      <w:szCs w:val="20"/>
    </w:rPr>
  </w:style>
  <w:style w:type="character" w:customStyle="1" w:styleId="114">
    <w:name w:val="Hyperlink1"/>
    <w:qFormat/>
    <w:uiPriority w:val="0"/>
    <w:rPr>
      <w:rFonts w:ascii="宋体" w:hAnsi="宋体" w:eastAsia="宋体" w:cs="Times New Roman"/>
      <w:color w:val="0000FF"/>
      <w:u w:val="single"/>
    </w:rPr>
  </w:style>
  <w:style w:type="paragraph" w:customStyle="1" w:styleId="11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列出段落1"/>
    <w:basedOn w:val="1"/>
    <w:qFormat/>
    <w:uiPriority w:val="0"/>
    <w:pPr>
      <w:ind w:firstLine="420" w:firstLineChars="200"/>
    </w:pPr>
  </w:style>
  <w:style w:type="table" w:customStyle="1" w:styleId="117">
    <w:name w:val="网格型1"/>
    <w:basedOn w:val="4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8">
    <w:name w:val="List Paragraph"/>
    <w:basedOn w:val="1"/>
    <w:qFormat/>
    <w:uiPriority w:val="99"/>
    <w:pPr>
      <w:ind w:firstLine="420" w:firstLineChars="200"/>
    </w:pPr>
    <w:rPr>
      <w:rFonts w:ascii="Calibri" w:hAnsi="Calibri"/>
      <w:sz w:val="24"/>
      <w:szCs w:val="22"/>
    </w:rPr>
  </w:style>
  <w:style w:type="paragraph" w:customStyle="1" w:styleId="119">
    <w:name w:val="Table Paragraph"/>
    <w:basedOn w:val="1"/>
    <w:qFormat/>
    <w:uiPriority w:val="1"/>
    <w:pPr>
      <w:jc w:val="left"/>
    </w:pPr>
    <w:rPr>
      <w:rFonts w:ascii="Calibri" w:hAnsi="Calibri"/>
      <w:kern w:val="0"/>
      <w:sz w:val="22"/>
      <w:szCs w:val="22"/>
      <w:lang w:eastAsia="en-US"/>
    </w:rPr>
  </w:style>
  <w:style w:type="paragraph" w:customStyle="1" w:styleId="120">
    <w:name w:val="Ri正文"/>
    <w:basedOn w:val="1"/>
    <w:qFormat/>
    <w:uiPriority w:val="0"/>
    <w:pPr>
      <w:widowControl/>
      <w:spacing w:before="100" w:beforeAutospacing="1" w:after="100" w:afterAutospacing="1"/>
      <w:ind w:firstLine="200" w:firstLineChars="200"/>
      <w:jc w:val="left"/>
    </w:pPr>
    <w:rPr>
      <w:rFonts w:cs="宋体"/>
      <w:kern w:val="0"/>
      <w:lang w:val="zh-CN"/>
    </w:rPr>
  </w:style>
  <w:style w:type="character" w:customStyle="1" w:styleId="121">
    <w:name w:val="NormalCharacter"/>
    <w:semiHidden/>
    <w:qFormat/>
    <w:uiPriority w:val="0"/>
  </w:style>
  <w:style w:type="paragraph" w:customStyle="1" w:styleId="122">
    <w:name w:val="标题 81"/>
    <w:basedOn w:val="1"/>
    <w:qFormat/>
    <w:uiPriority w:val="1"/>
    <w:pPr>
      <w:autoSpaceDE w:val="0"/>
      <w:autoSpaceDN w:val="0"/>
      <w:adjustRightInd w:val="0"/>
      <w:spacing w:before="14"/>
      <w:ind w:left="118"/>
      <w:jc w:val="left"/>
      <w:outlineLvl w:val="7"/>
    </w:pPr>
    <w:rPr>
      <w:rFonts w:ascii="仿宋" w:eastAsia="仿宋" w:cs="仿宋"/>
      <w:b/>
      <w:bCs/>
      <w:kern w:val="0"/>
      <w:sz w:val="28"/>
      <w:szCs w:val="28"/>
    </w:rPr>
  </w:style>
  <w:style w:type="paragraph" w:customStyle="1" w:styleId="123">
    <w:name w:val="标题 11"/>
    <w:basedOn w:val="1"/>
    <w:qFormat/>
    <w:uiPriority w:val="1"/>
    <w:pPr>
      <w:autoSpaceDE w:val="0"/>
      <w:autoSpaceDN w:val="0"/>
      <w:adjustRightInd w:val="0"/>
      <w:ind w:left="82"/>
      <w:jc w:val="left"/>
      <w:outlineLvl w:val="0"/>
    </w:pPr>
    <w:rPr>
      <w:rFonts w:ascii="宋体" w:cs="宋体"/>
      <w:b/>
      <w:bCs/>
      <w:kern w:val="0"/>
      <w:sz w:val="32"/>
      <w:szCs w:val="32"/>
    </w:rPr>
  </w:style>
  <w:style w:type="paragraph" w:customStyle="1" w:styleId="124">
    <w:name w:val="标题 41"/>
    <w:basedOn w:val="1"/>
    <w:qFormat/>
    <w:uiPriority w:val="1"/>
    <w:pPr>
      <w:autoSpaceDE w:val="0"/>
      <w:autoSpaceDN w:val="0"/>
      <w:adjustRightInd w:val="0"/>
      <w:ind w:left="120"/>
      <w:jc w:val="left"/>
      <w:outlineLvl w:val="3"/>
    </w:pPr>
    <w:rPr>
      <w:rFonts w:ascii="宋体" w:cs="宋体"/>
      <w:b/>
      <w:bCs/>
      <w:kern w:val="0"/>
      <w:szCs w:val="21"/>
    </w:rPr>
  </w:style>
  <w:style w:type="paragraph" w:customStyle="1" w:styleId="125">
    <w:name w:val="标题 21"/>
    <w:basedOn w:val="1"/>
    <w:qFormat/>
    <w:uiPriority w:val="1"/>
    <w:pPr>
      <w:autoSpaceDE w:val="0"/>
      <w:autoSpaceDN w:val="0"/>
      <w:adjustRightInd w:val="0"/>
      <w:jc w:val="left"/>
      <w:outlineLvl w:val="1"/>
    </w:pPr>
    <w:rPr>
      <w:rFonts w:ascii="仿宋" w:eastAsia="仿宋" w:cs="仿宋"/>
      <w:b/>
      <w:bCs/>
      <w:kern w:val="0"/>
      <w:sz w:val="72"/>
      <w:szCs w:val="72"/>
    </w:rPr>
  </w:style>
  <w:style w:type="paragraph" w:customStyle="1" w:styleId="126">
    <w:name w:val="WPSOffice手动目录 1"/>
    <w:qFormat/>
    <w:uiPriority w:val="0"/>
    <w:rPr>
      <w:rFonts w:ascii="Times New Roman" w:hAnsi="Times New Roman" w:eastAsia="宋体" w:cs="Times New Roman"/>
      <w:lang w:val="en-US" w:eastAsia="zh-CN" w:bidi="ar-SA"/>
    </w:rPr>
  </w:style>
  <w:style w:type="character" w:customStyle="1" w:styleId="127">
    <w:name w:val="bookmark-item"/>
    <w:basedOn w:val="42"/>
    <w:qFormat/>
    <w:uiPriority w:val="0"/>
  </w:style>
  <w:style w:type="paragraph" w:customStyle="1" w:styleId="1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9">
    <w:name w:val="_Style 50"/>
    <w:basedOn w:val="1"/>
    <w:next w:val="1"/>
    <w:qFormat/>
    <w:uiPriority w:val="0"/>
    <w:pPr>
      <w:pBdr>
        <w:bottom w:val="single" w:color="auto" w:sz="6" w:space="1"/>
      </w:pBdr>
      <w:jc w:val="center"/>
    </w:pPr>
    <w:rPr>
      <w:rFonts w:ascii="Arial"/>
      <w:vanish/>
      <w:sz w:val="16"/>
    </w:rPr>
  </w:style>
  <w:style w:type="character" w:customStyle="1" w:styleId="130">
    <w:name w:val="font51"/>
    <w:basedOn w:val="42"/>
    <w:qFormat/>
    <w:uiPriority w:val="0"/>
    <w:rPr>
      <w:rFonts w:hint="default" w:ascii="等线" w:hAnsi="等线" w:eastAsia="等线" w:cs="等线"/>
      <w:color w:val="000000"/>
      <w:sz w:val="22"/>
      <w:szCs w:val="22"/>
      <w:u w:val="none"/>
    </w:rPr>
  </w:style>
  <w:style w:type="paragraph" w:customStyle="1" w:styleId="131">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3"/>
    <customShpInfo spid="_x0000_s2052"/>
    <customShpInfo spid="_x0000_s2051"/>
    <customShpInfo spid="_x0000_s2050"/>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6"/>
    <customShpInfo spid="_x0000_s1039"/>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8"/>
    <customShpInfo spid="_x0000_s1107"/>
  </customShpExts>
</s:customData>
</file>

<file path=customXml/item2.xml><?xml version="1.0" encoding="utf-8"?>
<p:properties xmlns:p="http://schemas.microsoft.com/office/2006/metadata/properties" xmlns:xsi="http://www.w3.org/2001/XMLSchema-instance">
  <documentManagement>
    <_x8d1f__x8d23__x4eba_ xmlns="e8662122-972c-4cd5-ab65-a926c1021498">
      <UserInfo>
        <DisplayName/>
        <AccountId xsi:nil="true"/>
        <AccountType/>
      </UserInfo>
    </_x8d1f__x8d23__x4eba_>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68646C20CCE2A4594A1FDE1349BD2C9" ma:contentTypeVersion="25" ma:contentTypeDescription="新建文档。" ma:contentTypeScope="" ma:versionID="da5e5e42a95a96e924e3e12d77bc3a65">
  <xsd:schema xmlns:xsd="http://www.w3.org/2001/XMLSchema" xmlns:p="http://schemas.microsoft.com/office/2006/metadata/properties" xmlns:ns2="e8662122-972c-4cd5-ab65-a926c1021498" targetNamespace="http://schemas.microsoft.com/office/2006/metadata/properties" ma:root="true" ma:fieldsID="a6bb58b7ff129c5a8a62aebc8f527ed3" ns2:_="">
    <xsd:import namespace="e8662122-972c-4cd5-ab65-a926c1021498"/>
    <xsd:element name="properties">
      <xsd:complexType>
        <xsd:sequence>
          <xsd:element name="documentManagement">
            <xsd:complexType>
              <xsd:all>
                <xsd:element ref="ns2:_x8d1f__x8d23__x4eba_" minOccurs="0"/>
              </xsd:all>
            </xsd:complexType>
          </xsd:element>
        </xsd:sequence>
      </xsd:complexType>
    </xsd:element>
  </xsd:schema>
  <xsd:schema xmlns:xsd="http://www.w3.org/2001/XMLSchema" xmlns:dms="http://schemas.microsoft.com/office/2006/documentManagement/types" targetNamespace="e8662122-972c-4cd5-ab65-a926c1021498" elementFormDefault="qualified">
    <xsd:import namespace="http://schemas.microsoft.com/office/2006/documentManagement/types"/>
    <xsd:element name="_x8d1f__x8d23__x4eba_" ma:index="8" nillable="true" ma:displayName="负责人" ma:list="UserInfo" ma:internalName="_x8d1f__x8d23__x4eba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0FB0F-16E8-44FE-A10E-1F120B106E58}">
  <ds:schemaRefs/>
</ds:datastoreItem>
</file>

<file path=customXml/itemProps3.xml><?xml version="1.0" encoding="utf-8"?>
<ds:datastoreItem xmlns:ds="http://schemas.openxmlformats.org/officeDocument/2006/customXml" ds:itemID="{DEE1A29E-5C08-472F-83EE-D61B966668B9}">
  <ds:schemaRefs/>
</ds:datastoreItem>
</file>

<file path=customXml/itemProps4.xml><?xml version="1.0" encoding="utf-8"?>
<ds:datastoreItem xmlns:ds="http://schemas.openxmlformats.org/officeDocument/2006/customXml" ds:itemID="{4DB491A7-7699-43B8-82DF-7546360513B4}">
  <ds:schemaRefs/>
</ds:datastoreItem>
</file>

<file path=customXml/itemProps5.xml><?xml version="1.0" encoding="utf-8"?>
<ds:datastoreItem xmlns:ds="http://schemas.openxmlformats.org/officeDocument/2006/customXml" ds:itemID="{ABFF17F6-B15B-4480-9A12-772800343D15}">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92</Pages>
  <Words>53068</Words>
  <Characters>57098</Characters>
  <Lines>613</Lines>
  <Paragraphs>172</Paragraphs>
  <TotalTime>0</TotalTime>
  <ScaleCrop>false</ScaleCrop>
  <LinksUpToDate>false</LinksUpToDate>
  <CharactersWithSpaces>58491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2017-07-11T03:04:00Z</dcterms:created>
  <dc:creator>梁</dc:creator>
  <cp:lastModifiedBy>Administrator</cp:lastModifiedBy>
  <cp:lastPrinted>2021-06-16T06:43:00Z</cp:lastPrinted>
  <dcterms:modified xsi:type="dcterms:W3CDTF">2022-08-15T05:32:30Z</dcterms:modified>
  <dc:title>招  标  文  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
    <vt:lpwstr>文档</vt:lpwstr>
  </property>
  <property fmtid="{D5CDD505-2E9C-101B-9397-08002B2CF9AE}" pid="4" name="负责人0">
    <vt:lpwstr/>
  </property>
  <property fmtid="{D5CDD505-2E9C-101B-9397-08002B2CF9AE}" pid="5" name="KSOProductBuildVer">
    <vt:lpwstr>2052-11.1.0.12313</vt:lpwstr>
  </property>
  <property fmtid="{D5CDD505-2E9C-101B-9397-08002B2CF9AE}" pid="6" name="ICV">
    <vt:lpwstr>BB96BB11A5B74D0787DD6652FB4D57E8</vt:lpwstr>
  </property>
</Properties>
</file>