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jc w:val="center"/>
        <w:rPr>
          <w:rFonts w:ascii="宋体" w:cs="Times New Roman"/>
          <w:b/>
          <w:bCs/>
          <w:sz w:val="48"/>
          <w:szCs w:val="48"/>
        </w:rPr>
      </w:pPr>
    </w:p>
    <w:p>
      <w:pPr>
        <w:adjustRightInd w:val="0"/>
        <w:snapToGrid w:val="0"/>
        <w:spacing w:line="480" w:lineRule="exact"/>
        <w:jc w:val="center"/>
        <w:rPr>
          <w:rFonts w:ascii="宋体" w:cs="Times New Roman"/>
          <w:b/>
          <w:bCs/>
          <w:sz w:val="48"/>
          <w:szCs w:val="48"/>
        </w:rPr>
      </w:pPr>
      <w:r>
        <w:rPr>
          <w:rFonts w:hint="eastAsia" w:ascii="宋体" w:hAnsi="宋体" w:cs="宋体"/>
          <w:b/>
          <w:bCs/>
          <w:sz w:val="48"/>
          <w:szCs w:val="48"/>
        </w:rPr>
        <w:t>竞争性磋商文件</w:t>
      </w:r>
    </w:p>
    <w:p>
      <w:pPr>
        <w:adjustRightInd w:val="0"/>
        <w:snapToGrid w:val="0"/>
        <w:spacing w:line="480" w:lineRule="exact"/>
        <w:jc w:val="center"/>
        <w:rPr>
          <w:rFonts w:hint="eastAsia" w:ascii="宋体" w:hAnsi="宋体" w:cs="宋体"/>
          <w:sz w:val="36"/>
          <w:szCs w:val="36"/>
        </w:rPr>
      </w:pPr>
    </w:p>
    <w:p>
      <w:pPr>
        <w:adjustRightInd w:val="0"/>
        <w:snapToGrid w:val="0"/>
        <w:spacing w:line="480" w:lineRule="exact"/>
        <w:jc w:val="center"/>
        <w:rPr>
          <w:rFonts w:ascii="宋体" w:cs="Times New Roman"/>
          <w:sz w:val="36"/>
          <w:szCs w:val="36"/>
        </w:rPr>
      </w:pPr>
      <w:r>
        <w:rPr>
          <w:rFonts w:hint="eastAsia" w:ascii="宋体" w:hAnsi="宋体" w:cs="宋体"/>
          <w:sz w:val="36"/>
          <w:szCs w:val="36"/>
        </w:rPr>
        <w:t>（采购）</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ind w:right="3400" w:rightChars="0" w:firstLine="480" w:firstLineChars="200"/>
        <w:jc w:val="center"/>
        <w:textAlignment w:val="auto"/>
        <w:rPr>
          <w:rFonts w:hint="eastAsia" w:ascii="宋体" w:hAnsi="宋体" w:cs="宋体"/>
          <w:kern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ind w:right="3400" w:rightChars="0" w:firstLine="480" w:firstLineChars="200"/>
        <w:jc w:val="center"/>
        <w:textAlignment w:val="auto"/>
        <w:rPr>
          <w:rFonts w:hint="eastAsia" w:ascii="宋体" w:hAnsi="宋体" w:cs="宋体"/>
          <w:kern w:val="0"/>
          <w:sz w:val="24"/>
          <w:szCs w:val="24"/>
          <w:lang w:val="en-US" w:eastAsia="zh-CN"/>
        </w:rPr>
      </w:pPr>
      <w:r>
        <w:rPr>
          <w:rFonts w:hint="eastAsia" w:ascii="宋体" w:hAnsi="宋体" w:cs="宋体"/>
          <w:kern w:val="0"/>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ind w:right="3400" w:rightChars="0" w:firstLine="480" w:firstLineChars="200"/>
        <w:jc w:val="center"/>
        <w:textAlignment w:val="auto"/>
        <w:rPr>
          <w:rFonts w:hint="default" w:ascii="宋体" w:hAnsi="宋体" w:eastAsia="宋体" w:cs="宋体"/>
          <w:b/>
          <w:bCs/>
          <w:color w:val="auto"/>
          <w:sz w:val="21"/>
          <w:szCs w:val="21"/>
          <w:lang w:val="en-US" w:eastAsia="zh-CN"/>
        </w:rPr>
      </w:pPr>
      <w:r>
        <w:rPr>
          <w:rFonts w:hint="eastAsia" w:ascii="宋体" w:hAnsi="宋体" w:cs="宋体"/>
          <w:kern w:val="0"/>
          <w:sz w:val="24"/>
          <w:szCs w:val="24"/>
          <w:lang w:val="en-US" w:eastAsia="zh-CN"/>
        </w:rPr>
        <w:t xml:space="preserve">                        </w:t>
      </w:r>
      <w:r>
        <w:rPr>
          <w:rFonts w:hint="eastAsia" w:ascii="宋体" w:hAnsi="宋体" w:cs="宋体"/>
          <w:kern w:val="0"/>
          <w:sz w:val="24"/>
          <w:szCs w:val="24"/>
        </w:rPr>
        <w:t>项目编号：</w:t>
      </w:r>
      <w:r>
        <w:rPr>
          <w:rFonts w:hint="eastAsia" w:ascii="宋体" w:hAnsi="宋体" w:eastAsia="宋体" w:cs="宋体"/>
          <w:b/>
          <w:bCs/>
          <w:color w:val="auto"/>
          <w:sz w:val="21"/>
          <w:szCs w:val="21"/>
          <w:lang w:val="en-US" w:eastAsia="zh-CN"/>
        </w:rPr>
        <w:t>YL（CS）YC2019-</w:t>
      </w:r>
      <w:r>
        <w:rPr>
          <w:rFonts w:hint="eastAsia" w:ascii="宋体" w:hAnsi="宋体" w:cs="宋体"/>
          <w:b/>
          <w:bCs/>
          <w:color w:val="auto"/>
          <w:sz w:val="21"/>
          <w:szCs w:val="21"/>
          <w:lang w:val="en-US" w:eastAsia="zh-CN"/>
        </w:rPr>
        <w:t>30</w:t>
      </w:r>
    </w:p>
    <w:p>
      <w:pPr>
        <w:widowControl/>
        <w:spacing w:line="360" w:lineRule="auto"/>
        <w:ind w:firstLine="480" w:firstLineChars="200"/>
        <w:jc w:val="center"/>
        <w:rPr>
          <w:rFonts w:hint="eastAsia" w:ascii="宋体" w:hAnsi="宋体" w:eastAsia="宋体" w:cs="宋体"/>
          <w:color w:val="000000"/>
          <w:kern w:val="0"/>
          <w:sz w:val="24"/>
          <w:szCs w:val="24"/>
          <w:lang w:val="en-US" w:eastAsia="zh-CN"/>
        </w:rPr>
      </w:pPr>
    </w:p>
    <w:p>
      <w:pPr>
        <w:adjustRightInd w:val="0"/>
        <w:snapToGrid w:val="0"/>
        <w:spacing w:line="480" w:lineRule="exact"/>
        <w:rPr>
          <w:rFonts w:ascii="宋体" w:cs="Times New Roman"/>
          <w:sz w:val="32"/>
          <w:szCs w:val="32"/>
        </w:rPr>
      </w:pPr>
    </w:p>
    <w:p>
      <w:pPr>
        <w:widowControl/>
        <w:spacing w:line="360" w:lineRule="auto"/>
        <w:ind w:firstLine="1120" w:firstLineChars="400"/>
        <w:jc w:val="both"/>
        <w:rPr>
          <w:rFonts w:hint="eastAsia" w:ascii="宋体" w:hAnsi="宋体" w:cs="宋体"/>
          <w:kern w:val="0"/>
          <w:sz w:val="28"/>
          <w:szCs w:val="28"/>
        </w:rPr>
      </w:pPr>
      <w:r>
        <w:rPr>
          <w:rFonts w:hint="eastAsia" w:ascii="宋体" w:hAnsi="宋体" w:cs="宋体"/>
          <w:kern w:val="0"/>
          <w:sz w:val="28"/>
          <w:szCs w:val="28"/>
        </w:rPr>
        <w:t>项目名称：</w:t>
      </w:r>
      <w:r>
        <w:rPr>
          <w:rFonts w:hint="eastAsia" w:ascii="宋体" w:hAnsi="宋体" w:cs="宋体"/>
          <w:kern w:val="0"/>
          <w:sz w:val="28"/>
          <w:szCs w:val="28"/>
          <w:lang w:eastAsia="zh-CN"/>
        </w:rPr>
        <w:t>伊犁师范大学低值易耗及危化品业务管理平台项目</w:t>
      </w:r>
    </w:p>
    <w:p>
      <w:pPr>
        <w:ind w:right="-191" w:rightChars="-91"/>
        <w:rPr>
          <w:rFonts w:ascii="宋体" w:hAnsi="宋体" w:cs="宋体"/>
          <w:kern w:val="0"/>
          <w:sz w:val="28"/>
          <w:szCs w:val="28"/>
        </w:rPr>
      </w:pPr>
    </w:p>
    <w:p>
      <w:pPr>
        <w:widowControl/>
        <w:spacing w:line="360" w:lineRule="auto"/>
        <w:ind w:firstLine="1120" w:firstLineChars="400"/>
        <w:jc w:val="left"/>
        <w:rPr>
          <w:rFonts w:ascii="宋体" w:hAnsi="宋体" w:cs="宋体"/>
          <w:kern w:val="0"/>
          <w:sz w:val="28"/>
          <w:szCs w:val="28"/>
        </w:rPr>
      </w:pPr>
      <w:r>
        <w:rPr>
          <w:rFonts w:hint="eastAsia" w:ascii="宋体" w:hAnsi="宋体" w:cs="宋体"/>
          <w:kern w:val="0"/>
          <w:sz w:val="28"/>
          <w:szCs w:val="28"/>
        </w:rPr>
        <w:t>招标人</w:t>
      </w:r>
      <w:r>
        <w:rPr>
          <w:rFonts w:ascii="宋体" w:hAnsi="宋体" w:cs="宋体"/>
          <w:kern w:val="0"/>
          <w:sz w:val="28"/>
          <w:szCs w:val="28"/>
        </w:rPr>
        <w:t>(</w:t>
      </w:r>
      <w:r>
        <w:rPr>
          <w:rFonts w:hint="eastAsia" w:ascii="宋体" w:hAnsi="宋体" w:cs="宋体"/>
          <w:kern w:val="0"/>
          <w:sz w:val="28"/>
          <w:szCs w:val="28"/>
        </w:rPr>
        <w:t>盖章</w:t>
      </w:r>
      <w:r>
        <w:rPr>
          <w:rFonts w:ascii="宋体" w:hAnsi="宋体" w:cs="宋体"/>
          <w:kern w:val="0"/>
          <w:sz w:val="28"/>
          <w:szCs w:val="28"/>
        </w:rPr>
        <w:t>)</w:t>
      </w:r>
      <w:r>
        <w:rPr>
          <w:rFonts w:hint="eastAsia" w:ascii="宋体" w:hAnsi="宋体" w:cs="宋体"/>
          <w:kern w:val="0"/>
          <w:sz w:val="28"/>
          <w:szCs w:val="28"/>
        </w:rPr>
        <w:t>：</w:t>
      </w:r>
      <w:r>
        <w:rPr>
          <w:rFonts w:hint="eastAsia" w:ascii="宋体" w:hAnsi="宋体" w:cs="宋体"/>
          <w:kern w:val="0"/>
          <w:sz w:val="28"/>
          <w:szCs w:val="28"/>
          <w:lang w:eastAsia="zh-CN"/>
        </w:rPr>
        <w:t>伊犁师范大学</w:t>
      </w:r>
    </w:p>
    <w:p>
      <w:pPr>
        <w:adjustRightInd w:val="0"/>
        <w:snapToGrid w:val="0"/>
        <w:spacing w:line="480" w:lineRule="exact"/>
        <w:jc w:val="both"/>
        <w:rPr>
          <w:rFonts w:ascii="宋体" w:cs="Times New Roman"/>
          <w:sz w:val="28"/>
          <w:szCs w:val="28"/>
        </w:rPr>
      </w:pPr>
    </w:p>
    <w:p>
      <w:pPr>
        <w:adjustRightInd w:val="0"/>
        <w:snapToGrid w:val="0"/>
        <w:spacing w:line="480" w:lineRule="exact"/>
        <w:ind w:firstLine="1120" w:firstLineChars="400"/>
        <w:rPr>
          <w:rFonts w:hint="eastAsia" w:ascii="宋体" w:hAnsi="宋体" w:eastAsia="宋体" w:cs="宋体"/>
          <w:color w:val="auto"/>
          <w:kern w:val="0"/>
          <w:sz w:val="28"/>
          <w:szCs w:val="28"/>
          <w:lang w:val="en-US" w:eastAsia="zh-CN"/>
        </w:rPr>
      </w:pPr>
      <w:r>
        <w:rPr>
          <w:rFonts w:hint="eastAsia" w:ascii="宋体" w:hAnsi="宋体" w:cs="宋体"/>
          <w:sz w:val="28"/>
          <w:szCs w:val="28"/>
        </w:rPr>
        <w:t>联系人：</w:t>
      </w:r>
      <w:r>
        <w:rPr>
          <w:rFonts w:hint="eastAsia" w:ascii="宋体" w:hAnsi="宋体" w:cs="宋体"/>
          <w:sz w:val="28"/>
          <w:szCs w:val="28"/>
          <w:lang w:eastAsia="zh-CN"/>
        </w:rPr>
        <w:t>王老师</w:t>
      </w:r>
    </w:p>
    <w:p>
      <w:pPr>
        <w:adjustRightInd w:val="0"/>
        <w:snapToGrid w:val="0"/>
        <w:spacing w:line="480" w:lineRule="exact"/>
        <w:jc w:val="center"/>
        <w:rPr>
          <w:rFonts w:ascii="宋体" w:cs="Times New Roman"/>
          <w:sz w:val="28"/>
          <w:szCs w:val="28"/>
        </w:rPr>
      </w:pPr>
    </w:p>
    <w:p>
      <w:pPr>
        <w:widowControl/>
        <w:spacing w:line="360" w:lineRule="auto"/>
        <w:ind w:firstLine="1120" w:firstLineChars="400"/>
        <w:jc w:val="left"/>
        <w:rPr>
          <w:rFonts w:hint="eastAsia" w:ascii="宋体" w:hAnsi="宋体" w:cs="宋体"/>
          <w:color w:val="000000"/>
          <w:kern w:val="0"/>
          <w:sz w:val="24"/>
          <w:szCs w:val="24"/>
        </w:rPr>
      </w:pPr>
      <w:r>
        <w:rPr>
          <w:rFonts w:hint="eastAsia" w:ascii="宋体" w:hAnsi="宋体" w:cs="宋体"/>
          <w:kern w:val="0"/>
          <w:sz w:val="28"/>
          <w:szCs w:val="28"/>
        </w:rPr>
        <w:t>电话</w:t>
      </w:r>
      <w:r>
        <w:rPr>
          <w:rFonts w:hint="eastAsia" w:ascii="宋体" w:hAnsi="宋体" w:cs="宋体"/>
          <w:sz w:val="28"/>
          <w:szCs w:val="28"/>
        </w:rPr>
        <w:t>：</w:t>
      </w:r>
      <w:r>
        <w:rPr>
          <w:rFonts w:hint="eastAsia" w:ascii="宋体" w:hAnsi="宋体" w:eastAsia="宋体" w:cs="宋体"/>
          <w:sz w:val="28"/>
          <w:szCs w:val="28"/>
          <w:lang w:val="en-US" w:eastAsia="zh-CN"/>
        </w:rPr>
        <w:t>18299260502</w:t>
      </w:r>
    </w:p>
    <w:p>
      <w:pPr>
        <w:widowControl/>
        <w:spacing w:line="360" w:lineRule="auto"/>
        <w:jc w:val="left"/>
        <w:rPr>
          <w:rFonts w:hint="default" w:ascii="宋体" w:hAnsi="宋体" w:eastAsia="宋体" w:cs="宋体"/>
          <w:color w:val="000000"/>
          <w:kern w:val="0"/>
          <w:sz w:val="24"/>
          <w:szCs w:val="24"/>
          <w:lang w:val="en-US" w:eastAsia="zh-CN"/>
        </w:rPr>
      </w:pPr>
    </w:p>
    <w:p>
      <w:pPr>
        <w:adjustRightInd w:val="0"/>
        <w:snapToGrid w:val="0"/>
        <w:spacing w:line="480" w:lineRule="exact"/>
        <w:rPr>
          <w:rFonts w:ascii="宋体" w:cs="Times New Roman"/>
          <w:kern w:val="0"/>
          <w:sz w:val="28"/>
          <w:szCs w:val="28"/>
        </w:rPr>
      </w:pPr>
    </w:p>
    <w:p>
      <w:pPr>
        <w:adjustRightInd w:val="0"/>
        <w:snapToGrid w:val="0"/>
        <w:spacing w:line="480" w:lineRule="exact"/>
        <w:ind w:firstLine="1120" w:firstLineChars="400"/>
        <w:rPr>
          <w:rFonts w:ascii="宋体" w:cs="Times New Roman"/>
          <w:kern w:val="0"/>
          <w:sz w:val="28"/>
          <w:szCs w:val="28"/>
        </w:rPr>
      </w:pPr>
      <w:r>
        <w:rPr>
          <w:rFonts w:ascii="宋体" w:hAnsi="宋体" w:cs="宋体"/>
          <w:kern w:val="0"/>
          <w:sz w:val="28"/>
          <w:szCs w:val="28"/>
        </w:rPr>
        <w:t>—————————————————————————</w:t>
      </w:r>
    </w:p>
    <w:p>
      <w:pPr>
        <w:adjustRightInd w:val="0"/>
        <w:snapToGrid w:val="0"/>
        <w:spacing w:line="480" w:lineRule="exact"/>
        <w:jc w:val="center"/>
        <w:rPr>
          <w:rFonts w:ascii="宋体" w:cs="Times New Roman"/>
          <w:sz w:val="28"/>
          <w:szCs w:val="28"/>
        </w:rPr>
      </w:pPr>
    </w:p>
    <w:p>
      <w:pPr>
        <w:adjustRightInd w:val="0"/>
        <w:snapToGrid w:val="0"/>
        <w:spacing w:line="480" w:lineRule="exact"/>
        <w:ind w:firstLine="1120" w:firstLineChars="400"/>
        <w:rPr>
          <w:rFonts w:hint="eastAsia" w:ascii="宋体" w:eastAsia="宋体" w:cs="Times New Roman"/>
          <w:sz w:val="28"/>
          <w:szCs w:val="28"/>
          <w:lang w:eastAsia="zh-CN"/>
        </w:rPr>
      </w:pPr>
      <w:r>
        <w:rPr>
          <w:rFonts w:hint="eastAsia" w:ascii="宋体" w:hAnsi="宋体" w:cs="宋体"/>
          <w:sz w:val="28"/>
          <w:szCs w:val="28"/>
        </w:rPr>
        <w:t>招标代理机构</w:t>
      </w:r>
      <w:r>
        <w:rPr>
          <w:rFonts w:ascii="宋体" w:hAnsi="宋体" w:cs="宋体"/>
          <w:sz w:val="28"/>
          <w:szCs w:val="28"/>
        </w:rPr>
        <w:t>(</w:t>
      </w:r>
      <w:r>
        <w:rPr>
          <w:rFonts w:hint="eastAsia" w:ascii="宋体" w:hAnsi="宋体" w:cs="宋体"/>
          <w:sz w:val="28"/>
          <w:szCs w:val="28"/>
        </w:rPr>
        <w:t>盖章</w:t>
      </w:r>
      <w:r>
        <w:rPr>
          <w:rFonts w:ascii="宋体" w:hAnsi="宋体" w:cs="宋体"/>
          <w:sz w:val="28"/>
          <w:szCs w:val="28"/>
        </w:rPr>
        <w:t>)</w:t>
      </w:r>
      <w:r>
        <w:rPr>
          <w:rFonts w:hint="eastAsia" w:ascii="宋体" w:hAnsi="宋体" w:cs="宋体"/>
          <w:sz w:val="28"/>
          <w:szCs w:val="28"/>
        </w:rPr>
        <w:t>：</w:t>
      </w:r>
      <w:r>
        <w:rPr>
          <w:rFonts w:hint="eastAsia" w:ascii="宋体" w:hAnsi="宋体" w:cs="宋体"/>
          <w:sz w:val="28"/>
          <w:szCs w:val="28"/>
          <w:lang w:eastAsia="zh-CN"/>
        </w:rPr>
        <w:t>新疆谊诚工程项目管理咨询有限公司</w:t>
      </w:r>
    </w:p>
    <w:p>
      <w:pPr>
        <w:adjustRightInd w:val="0"/>
        <w:snapToGrid w:val="0"/>
        <w:spacing w:line="480" w:lineRule="exact"/>
        <w:jc w:val="both"/>
        <w:rPr>
          <w:rFonts w:ascii="宋体" w:cs="Times New Roman"/>
          <w:sz w:val="28"/>
          <w:szCs w:val="28"/>
        </w:rPr>
      </w:pPr>
    </w:p>
    <w:p>
      <w:pPr>
        <w:adjustRightInd w:val="0"/>
        <w:snapToGrid w:val="0"/>
        <w:spacing w:line="480" w:lineRule="exact"/>
        <w:ind w:firstLine="1120" w:firstLineChars="400"/>
        <w:rPr>
          <w:rFonts w:hint="eastAsia" w:ascii="宋体" w:eastAsia="宋体" w:cs="Times New Roman"/>
          <w:sz w:val="28"/>
          <w:szCs w:val="28"/>
          <w:lang w:eastAsia="zh-CN"/>
        </w:rPr>
      </w:pPr>
      <w:r>
        <w:rPr>
          <w:rFonts w:hint="eastAsia" w:ascii="宋体" w:hAnsi="宋体" w:cs="宋体"/>
          <w:sz w:val="28"/>
          <w:szCs w:val="28"/>
        </w:rPr>
        <w:t>联系人：</w:t>
      </w:r>
      <w:r>
        <w:rPr>
          <w:rFonts w:hint="eastAsia" w:ascii="宋体" w:hAnsi="宋体" w:cs="宋体"/>
          <w:sz w:val="28"/>
          <w:szCs w:val="28"/>
          <w:lang w:eastAsia="zh-CN"/>
        </w:rPr>
        <w:t>王丽华</w:t>
      </w:r>
    </w:p>
    <w:p>
      <w:pPr>
        <w:adjustRightInd w:val="0"/>
        <w:snapToGrid w:val="0"/>
        <w:spacing w:line="480" w:lineRule="exact"/>
        <w:rPr>
          <w:rFonts w:ascii="宋体" w:cs="Times New Roman"/>
          <w:sz w:val="28"/>
          <w:szCs w:val="28"/>
        </w:rPr>
      </w:pPr>
    </w:p>
    <w:p>
      <w:pPr>
        <w:keepNext w:val="0"/>
        <w:keepLines w:val="0"/>
        <w:pageBreakBefore w:val="0"/>
        <w:widowControl/>
        <w:tabs>
          <w:tab w:val="left" w:pos="2940"/>
        </w:tabs>
        <w:kinsoku/>
        <w:wordWrap/>
        <w:overflowPunct/>
        <w:topLinePunct w:val="0"/>
        <w:autoSpaceDE/>
        <w:autoSpaceDN/>
        <w:bidi w:val="0"/>
        <w:adjustRightInd/>
        <w:snapToGrid/>
        <w:spacing w:after="0" w:line="280" w:lineRule="exact"/>
        <w:ind w:firstLine="1120" w:firstLineChars="400"/>
        <w:textAlignment w:val="auto"/>
        <w:rPr>
          <w:rFonts w:hint="eastAsia" w:ascii="宋体" w:hAnsi="宋体" w:eastAsia="宋体" w:cs="宋体"/>
          <w:sz w:val="28"/>
          <w:szCs w:val="28"/>
          <w:lang w:val="en-US" w:eastAsia="zh-CN"/>
        </w:rPr>
      </w:pPr>
      <w:r>
        <w:rPr>
          <w:rFonts w:hint="eastAsia" w:ascii="宋体" w:hAnsi="宋体" w:cs="宋体"/>
          <w:kern w:val="0"/>
          <w:sz w:val="28"/>
          <w:szCs w:val="28"/>
        </w:rPr>
        <w:t>电话</w:t>
      </w:r>
      <w:r>
        <w:rPr>
          <w:rFonts w:hint="eastAsia" w:ascii="宋体" w:hAnsi="宋体" w:cs="宋体"/>
          <w:sz w:val="28"/>
          <w:szCs w:val="28"/>
        </w:rPr>
        <w:t>：</w:t>
      </w:r>
      <w:r>
        <w:rPr>
          <w:rFonts w:hint="eastAsia" w:ascii="宋体" w:hAnsi="宋体" w:eastAsia="宋体" w:cs="宋体"/>
          <w:sz w:val="28"/>
          <w:szCs w:val="28"/>
          <w:lang w:val="en-US" w:eastAsia="zh-CN"/>
        </w:rPr>
        <w:t>0999-8139579/17799361259</w:t>
      </w:r>
    </w:p>
    <w:p>
      <w:pPr>
        <w:adjustRightInd w:val="0"/>
        <w:snapToGrid w:val="0"/>
        <w:spacing w:line="480" w:lineRule="exact"/>
        <w:rPr>
          <w:rFonts w:hint="default" w:ascii="宋体" w:eastAsia="宋体" w:cs="Times New Roman"/>
          <w:sz w:val="28"/>
          <w:szCs w:val="28"/>
          <w:lang w:val="en-US" w:eastAsia="zh-CN"/>
        </w:rPr>
      </w:pPr>
    </w:p>
    <w:p>
      <w:pPr>
        <w:adjustRightInd w:val="0"/>
        <w:snapToGrid w:val="0"/>
        <w:spacing w:line="480" w:lineRule="exact"/>
        <w:jc w:val="center"/>
        <w:rPr>
          <w:rFonts w:ascii="宋体" w:cs="Times New Roman"/>
          <w:sz w:val="28"/>
          <w:szCs w:val="28"/>
        </w:rPr>
      </w:pPr>
    </w:p>
    <w:p>
      <w:pPr>
        <w:pStyle w:val="10"/>
        <w:tabs>
          <w:tab w:val="right" w:leader="dot" w:pos="9746"/>
        </w:tabs>
        <w:jc w:val="center"/>
        <w:rPr>
          <w:rFonts w:hint="eastAsia" w:ascii="宋体" w:hAnsi="宋体" w:cs="宋体"/>
          <w:b/>
          <w:bCs/>
          <w:sz w:val="24"/>
          <w:szCs w:val="24"/>
          <w:lang w:eastAsia="zh-CN"/>
        </w:rPr>
        <w:sectPr>
          <w:headerReference r:id="rId3" w:type="default"/>
          <w:footerReference r:id="rId4" w:type="default"/>
          <w:pgSz w:w="11906" w:h="16838"/>
          <w:pgMar w:top="1440" w:right="1080" w:bottom="1440" w:left="1080" w:header="851" w:footer="992" w:gutter="0"/>
          <w:pgNumType w:start="1"/>
          <w:cols w:space="720" w:num="1"/>
          <w:docGrid w:type="lines" w:linePitch="312" w:charSpace="0"/>
        </w:sectPr>
      </w:pPr>
    </w:p>
    <w:p>
      <w:pPr>
        <w:pStyle w:val="10"/>
        <w:tabs>
          <w:tab w:val="right" w:leader="dot" w:pos="9746"/>
        </w:tabs>
        <w:jc w:val="center"/>
      </w:pPr>
      <w:r>
        <w:rPr>
          <w:rFonts w:hint="eastAsia" w:ascii="宋体" w:hAnsi="宋体" w:cs="宋体"/>
          <w:b/>
          <w:bCs/>
          <w:sz w:val="24"/>
          <w:szCs w:val="24"/>
          <w:lang w:eastAsia="zh-CN"/>
        </w:rPr>
        <w:t>目录</w:t>
      </w:r>
    </w:p>
    <w:p>
      <w:pPr>
        <w:pStyle w:val="10"/>
        <w:tabs>
          <w:tab w:val="right" w:leader="dot" w:pos="9746"/>
        </w:tabs>
        <w:rPr>
          <w:rFonts w:ascii="宋体" w:hAnsi="宋体" w:cs="宋体"/>
          <w:bCs/>
          <w:szCs w:val="24"/>
        </w:rPr>
      </w:pPr>
    </w:p>
    <w:p>
      <w:pPr>
        <w:pStyle w:val="10"/>
        <w:tabs>
          <w:tab w:val="right" w:leader="dot" w:pos="9746"/>
        </w:tabs>
      </w:pPr>
      <w:r>
        <w:rPr>
          <w:rFonts w:ascii="宋体" w:hAnsi="宋体" w:cs="宋体"/>
          <w:bCs/>
          <w:szCs w:val="24"/>
        </w:rPr>
        <w:fldChar w:fldCharType="begin"/>
      </w:r>
      <w:r>
        <w:rPr>
          <w:rFonts w:ascii="宋体" w:hAnsi="宋体" w:cs="宋体"/>
          <w:bCs/>
          <w:szCs w:val="24"/>
        </w:rPr>
        <w:instrText xml:space="preserve"> HYPERLINK \l _Toc7920 </w:instrText>
      </w:r>
      <w:r>
        <w:rPr>
          <w:rFonts w:ascii="宋体" w:hAnsi="宋体" w:cs="宋体"/>
          <w:bCs/>
          <w:szCs w:val="24"/>
        </w:rPr>
        <w:fldChar w:fldCharType="separate"/>
      </w:r>
      <w:r>
        <w:rPr>
          <w:rFonts w:hint="eastAsia"/>
          <w:szCs w:val="16"/>
        </w:rPr>
        <w:t>第一章供应商须知</w:t>
      </w:r>
      <w:r>
        <w:tab/>
      </w:r>
      <w:r>
        <w:fldChar w:fldCharType="begin"/>
      </w:r>
      <w:r>
        <w:instrText xml:space="preserve"> PAGEREF _Toc7920 </w:instrText>
      </w:r>
      <w:r>
        <w:fldChar w:fldCharType="separate"/>
      </w:r>
      <w:r>
        <w:t>7</w:t>
      </w:r>
      <w:r>
        <w:fldChar w:fldCharType="end"/>
      </w:r>
      <w:r>
        <w:rPr>
          <w:rFonts w:ascii="宋体" w:hAnsi="宋体" w:cs="宋体"/>
          <w:bCs/>
          <w:szCs w:val="24"/>
        </w:rPr>
        <w:fldChar w:fldCharType="end"/>
      </w:r>
    </w:p>
    <w:p>
      <w:pPr>
        <w:pStyle w:val="10"/>
        <w:tabs>
          <w:tab w:val="right" w:leader="dot" w:pos="9746"/>
        </w:tabs>
      </w:pPr>
      <w:r>
        <w:rPr>
          <w:rFonts w:ascii="宋体" w:hAnsi="宋体" w:cs="宋体"/>
          <w:bCs/>
          <w:szCs w:val="24"/>
        </w:rPr>
        <w:fldChar w:fldCharType="begin"/>
      </w:r>
      <w:r>
        <w:rPr>
          <w:rFonts w:ascii="宋体" w:hAnsi="宋体" w:cs="宋体"/>
          <w:bCs/>
          <w:szCs w:val="24"/>
        </w:rPr>
        <w:instrText xml:space="preserve"> HYPERLINK \l _Toc9935 </w:instrText>
      </w:r>
      <w:r>
        <w:rPr>
          <w:rFonts w:ascii="宋体" w:hAnsi="宋体" w:cs="宋体"/>
          <w:bCs/>
          <w:szCs w:val="24"/>
        </w:rPr>
        <w:fldChar w:fldCharType="separate"/>
      </w:r>
      <w:r>
        <w:rPr>
          <w:rFonts w:hint="eastAsia"/>
          <w:szCs w:val="16"/>
        </w:rPr>
        <w:t>第二章评标办法（综合评分法）</w:t>
      </w:r>
      <w:r>
        <w:tab/>
      </w:r>
      <w:r>
        <w:fldChar w:fldCharType="begin"/>
      </w:r>
      <w:r>
        <w:instrText xml:space="preserve"> PAGEREF _Toc9935 </w:instrText>
      </w:r>
      <w:r>
        <w:fldChar w:fldCharType="separate"/>
      </w:r>
      <w:r>
        <w:t>17</w:t>
      </w:r>
      <w:r>
        <w:fldChar w:fldCharType="end"/>
      </w:r>
      <w:r>
        <w:rPr>
          <w:rFonts w:ascii="宋体" w:hAnsi="宋体" w:cs="宋体"/>
          <w:bCs/>
          <w:szCs w:val="24"/>
        </w:rPr>
        <w:fldChar w:fldCharType="end"/>
      </w:r>
    </w:p>
    <w:p>
      <w:pPr>
        <w:pStyle w:val="10"/>
        <w:tabs>
          <w:tab w:val="right" w:leader="dot" w:pos="9746"/>
        </w:tabs>
      </w:pPr>
      <w:r>
        <w:rPr>
          <w:rFonts w:ascii="宋体" w:hAnsi="宋体" w:cs="宋体"/>
          <w:bCs/>
          <w:szCs w:val="24"/>
        </w:rPr>
        <w:fldChar w:fldCharType="begin"/>
      </w:r>
      <w:r>
        <w:rPr>
          <w:rFonts w:ascii="宋体" w:hAnsi="宋体" w:cs="宋体"/>
          <w:bCs/>
          <w:szCs w:val="24"/>
        </w:rPr>
        <w:instrText xml:space="preserve"> HYPERLINK \l _Toc5 </w:instrText>
      </w:r>
      <w:r>
        <w:rPr>
          <w:rFonts w:ascii="宋体" w:hAnsi="宋体" w:cs="宋体"/>
          <w:bCs/>
          <w:szCs w:val="24"/>
        </w:rPr>
        <w:fldChar w:fldCharType="separate"/>
      </w:r>
      <w:r>
        <w:rPr>
          <w:rFonts w:hint="eastAsia"/>
          <w:szCs w:val="16"/>
        </w:rPr>
        <w:t>第三章 合同附件格式及条款</w:t>
      </w:r>
      <w:r>
        <w:tab/>
      </w:r>
      <w:r>
        <w:fldChar w:fldCharType="begin"/>
      </w:r>
      <w:r>
        <w:instrText xml:space="preserve"> PAGEREF _Toc5 </w:instrText>
      </w:r>
      <w:r>
        <w:fldChar w:fldCharType="separate"/>
      </w:r>
      <w:r>
        <w:t>25</w:t>
      </w:r>
      <w:r>
        <w:fldChar w:fldCharType="end"/>
      </w:r>
      <w:r>
        <w:rPr>
          <w:rFonts w:ascii="宋体" w:hAnsi="宋体" w:cs="宋体"/>
          <w:bCs/>
          <w:szCs w:val="24"/>
        </w:rPr>
        <w:fldChar w:fldCharType="end"/>
      </w:r>
    </w:p>
    <w:p>
      <w:pPr>
        <w:pStyle w:val="10"/>
        <w:tabs>
          <w:tab w:val="right" w:leader="dot" w:pos="9746"/>
        </w:tabs>
      </w:pPr>
      <w:r>
        <w:rPr>
          <w:rFonts w:ascii="宋体" w:hAnsi="宋体" w:cs="宋体"/>
          <w:bCs/>
          <w:szCs w:val="24"/>
        </w:rPr>
        <w:fldChar w:fldCharType="begin"/>
      </w:r>
      <w:r>
        <w:rPr>
          <w:rFonts w:ascii="宋体" w:hAnsi="宋体" w:cs="宋体"/>
          <w:bCs/>
          <w:szCs w:val="24"/>
        </w:rPr>
        <w:instrText xml:space="preserve"> HYPERLINK \l _Toc9576 </w:instrText>
      </w:r>
      <w:r>
        <w:rPr>
          <w:rFonts w:ascii="宋体" w:hAnsi="宋体" w:cs="宋体"/>
          <w:bCs/>
          <w:szCs w:val="24"/>
        </w:rPr>
        <w:fldChar w:fldCharType="separate"/>
      </w:r>
      <w:r>
        <w:rPr>
          <w:rFonts w:hint="eastAsia"/>
          <w:szCs w:val="16"/>
          <w:lang w:eastAsia="zh-CN"/>
        </w:rPr>
        <w:t>第四章：</w:t>
      </w:r>
      <w:r>
        <w:rPr>
          <w:rFonts w:hint="eastAsia"/>
          <w:szCs w:val="16"/>
          <w:lang w:val="en-US" w:eastAsia="zh-CN"/>
        </w:rPr>
        <w:t xml:space="preserve"> </w:t>
      </w:r>
      <w:r>
        <w:rPr>
          <w:rFonts w:hint="eastAsia"/>
          <w:szCs w:val="16"/>
          <w:lang w:eastAsia="zh-CN"/>
        </w:rPr>
        <w:t>采购需求</w:t>
      </w:r>
      <w:r>
        <w:tab/>
      </w:r>
      <w:r>
        <w:fldChar w:fldCharType="begin"/>
      </w:r>
      <w:r>
        <w:instrText xml:space="preserve"> PAGEREF _Toc9576 </w:instrText>
      </w:r>
      <w:r>
        <w:fldChar w:fldCharType="separate"/>
      </w:r>
      <w:r>
        <w:t>30</w:t>
      </w:r>
      <w:r>
        <w:fldChar w:fldCharType="end"/>
      </w:r>
      <w:r>
        <w:rPr>
          <w:rFonts w:ascii="宋体" w:hAnsi="宋体" w:cs="宋体"/>
          <w:bCs/>
          <w:szCs w:val="24"/>
        </w:rPr>
        <w:fldChar w:fldCharType="end"/>
      </w:r>
    </w:p>
    <w:p>
      <w:pPr>
        <w:pStyle w:val="10"/>
        <w:tabs>
          <w:tab w:val="right" w:leader="dot" w:pos="9746"/>
        </w:tabs>
      </w:pPr>
      <w:r>
        <w:rPr>
          <w:rFonts w:ascii="宋体" w:hAnsi="宋体" w:cs="宋体"/>
          <w:bCs/>
          <w:szCs w:val="24"/>
        </w:rPr>
        <w:fldChar w:fldCharType="begin"/>
      </w:r>
      <w:r>
        <w:rPr>
          <w:rFonts w:ascii="宋体" w:hAnsi="宋体" w:cs="宋体"/>
          <w:bCs/>
          <w:szCs w:val="24"/>
        </w:rPr>
        <w:instrText xml:space="preserve"> HYPERLINK \l _Toc26024 </w:instrText>
      </w:r>
      <w:r>
        <w:rPr>
          <w:rFonts w:ascii="宋体" w:hAnsi="宋体" w:cs="宋体"/>
          <w:bCs/>
          <w:szCs w:val="24"/>
        </w:rPr>
        <w:fldChar w:fldCharType="separate"/>
      </w:r>
      <w:r>
        <w:rPr>
          <w:rFonts w:hint="eastAsia"/>
          <w:szCs w:val="16"/>
          <w:lang w:eastAsia="zh-CN"/>
        </w:rPr>
        <w:t>第五章</w:t>
      </w:r>
      <w:r>
        <w:rPr>
          <w:rFonts w:hint="eastAsia"/>
          <w:szCs w:val="16"/>
        </w:rPr>
        <w:t>磋商响应文件格式</w:t>
      </w:r>
      <w:r>
        <w:tab/>
      </w:r>
      <w:r>
        <w:fldChar w:fldCharType="begin"/>
      </w:r>
      <w:r>
        <w:instrText xml:space="preserve"> PAGEREF _Toc26024 </w:instrText>
      </w:r>
      <w:r>
        <w:fldChar w:fldCharType="separate"/>
      </w:r>
      <w:r>
        <w:t>34</w:t>
      </w:r>
      <w:r>
        <w:fldChar w:fldCharType="end"/>
      </w:r>
      <w:r>
        <w:rPr>
          <w:rFonts w:ascii="宋体" w:hAnsi="宋体" w:cs="宋体"/>
          <w:bCs/>
          <w:szCs w:val="24"/>
        </w:rPr>
        <w:fldChar w:fldCharType="end"/>
      </w:r>
    </w:p>
    <w:p>
      <w:pPr>
        <w:pStyle w:val="10"/>
        <w:tabs>
          <w:tab w:val="right" w:leader="dot" w:pos="9746"/>
        </w:tabs>
        <w:rPr>
          <w:rFonts w:ascii="宋体" w:hAnsi="宋体" w:cs="宋体"/>
          <w:b/>
          <w:bCs/>
          <w:sz w:val="24"/>
          <w:szCs w:val="24"/>
        </w:rPr>
      </w:pPr>
      <w:r>
        <w:rPr>
          <w:rFonts w:ascii="宋体" w:hAnsi="宋体" w:cs="宋体"/>
          <w:bCs/>
          <w:szCs w:val="24"/>
        </w:rPr>
        <w:fldChar w:fldCharType="begin"/>
      </w:r>
      <w:r>
        <w:rPr>
          <w:rFonts w:ascii="宋体" w:hAnsi="宋体" w:cs="宋体"/>
          <w:bCs/>
          <w:szCs w:val="24"/>
        </w:rPr>
        <w:instrText xml:space="preserve"> HYPERLINK \l _Toc569 </w:instrText>
      </w:r>
      <w:r>
        <w:rPr>
          <w:rFonts w:ascii="宋体" w:hAnsi="宋体" w:cs="宋体"/>
          <w:bCs/>
          <w:szCs w:val="24"/>
        </w:rPr>
        <w:fldChar w:fldCharType="separate"/>
      </w:r>
      <w:r>
        <w:rPr>
          <w:rFonts w:hint="eastAsia"/>
          <w:szCs w:val="16"/>
        </w:rPr>
        <w:t>第</w:t>
      </w:r>
      <w:r>
        <w:rPr>
          <w:rFonts w:hint="eastAsia"/>
          <w:szCs w:val="16"/>
          <w:lang w:eastAsia="zh-CN"/>
        </w:rPr>
        <w:t>六</w:t>
      </w:r>
      <w:r>
        <w:rPr>
          <w:rFonts w:hint="eastAsia"/>
          <w:szCs w:val="16"/>
        </w:rPr>
        <w:t>章</w:t>
      </w:r>
      <w:r>
        <w:rPr>
          <w:szCs w:val="16"/>
        </w:rPr>
        <w:t xml:space="preserve"> </w:t>
      </w:r>
      <w:r>
        <w:rPr>
          <w:rFonts w:hint="eastAsia"/>
          <w:szCs w:val="16"/>
        </w:rPr>
        <w:t>补充条款</w:t>
      </w:r>
      <w:r>
        <w:tab/>
      </w:r>
      <w:r>
        <w:fldChar w:fldCharType="begin"/>
      </w:r>
      <w:r>
        <w:instrText xml:space="preserve"> PAGEREF _Toc569 </w:instrText>
      </w:r>
      <w:r>
        <w:fldChar w:fldCharType="separate"/>
      </w:r>
      <w:r>
        <w:t>48</w:t>
      </w:r>
      <w:r>
        <w:fldChar w:fldCharType="end"/>
      </w:r>
      <w:r>
        <w:rPr>
          <w:rFonts w:ascii="宋体" w:hAnsi="宋体" w:cs="宋体"/>
          <w:bCs/>
          <w:szCs w:val="24"/>
        </w:rPr>
        <w:fldChar w:fldCharType="end"/>
      </w:r>
      <w:r>
        <w:rPr>
          <w:rFonts w:ascii="宋体" w:hAnsi="宋体" w:cs="宋体"/>
          <w:bCs/>
          <w:szCs w:val="24"/>
        </w:rPr>
        <w:fldChar w:fldCharType="begin"/>
      </w:r>
      <w:r>
        <w:rPr>
          <w:rFonts w:ascii="宋体" w:hAnsi="宋体" w:cs="宋体"/>
          <w:bCs/>
          <w:szCs w:val="24"/>
        </w:rPr>
        <w:instrText xml:space="preserve"> HYPERLINK \l _Toc11580 </w:instrText>
      </w:r>
      <w:r>
        <w:rPr>
          <w:rFonts w:ascii="宋体" w:hAnsi="宋体" w:cs="宋体"/>
          <w:bCs/>
          <w:szCs w:val="24"/>
        </w:rPr>
        <w:fldChar w:fldCharType="separate"/>
      </w:r>
      <w:r>
        <w:fldChar w:fldCharType="begin"/>
      </w:r>
      <w:r>
        <w:instrText xml:space="preserve"> PAGEREF _Toc11580 </w:instrText>
      </w:r>
      <w:r>
        <w:fldChar w:fldCharType="separate"/>
      </w:r>
      <w:r>
        <w:t>48</w:t>
      </w:r>
      <w:r>
        <w:fldChar w:fldCharType="end"/>
      </w:r>
      <w:r>
        <w:rPr>
          <w:rFonts w:ascii="宋体" w:hAnsi="宋体" w:cs="宋体"/>
          <w:bCs/>
          <w:szCs w:val="24"/>
        </w:rPr>
        <w:fldChar w:fldCharType="end"/>
      </w:r>
    </w:p>
    <w:p>
      <w:pPr>
        <w:bidi w:val="0"/>
        <w:rPr>
          <w:rFonts w:ascii="Calibri" w:hAnsi="Calibri" w:eastAsia="宋体" w:cs="Calibri"/>
          <w:kern w:val="2"/>
          <w:sz w:val="21"/>
          <w:szCs w:val="21"/>
          <w:lang w:val="en-US" w:eastAsia="zh-CN" w:bidi="ar-SA"/>
        </w:rPr>
      </w:pPr>
    </w:p>
    <w:p>
      <w:pPr>
        <w:bidi w:val="0"/>
        <w:rPr>
          <w:lang w:val="en-US" w:eastAsia="zh-CN"/>
        </w:rPr>
      </w:pPr>
    </w:p>
    <w:p>
      <w:pPr>
        <w:bidi w:val="0"/>
        <w:rPr>
          <w:lang w:val="en-US" w:eastAsia="zh-CN"/>
        </w:rPr>
      </w:pPr>
    </w:p>
    <w:p>
      <w:pPr>
        <w:tabs>
          <w:tab w:val="left" w:pos="3129"/>
        </w:tabs>
        <w:bidi w:val="0"/>
        <w:jc w:val="left"/>
        <w:rPr>
          <w:lang w:val="en-US" w:eastAsia="zh-CN"/>
        </w:rPr>
        <w:sectPr>
          <w:footerReference r:id="rId5" w:type="default"/>
          <w:pgSz w:w="11906" w:h="16838"/>
          <w:pgMar w:top="1440" w:right="1080" w:bottom="1440" w:left="1080" w:header="851" w:footer="992" w:gutter="0"/>
          <w:pgNumType w:fmt="decimal" w:start="1"/>
          <w:cols w:space="720" w:num="1"/>
          <w:docGrid w:type="lines" w:linePitch="312" w:charSpace="0"/>
        </w:sectPr>
      </w:pPr>
      <w:r>
        <w:rPr>
          <w:rFonts w:hint="eastAsia"/>
          <w:lang w:val="en-US" w:eastAsia="zh-CN"/>
        </w:rPr>
        <w:tab/>
      </w:r>
      <w:r>
        <w:rPr>
          <w:sz w:val="24"/>
          <w:szCs w:val="24"/>
        </w:rPr>
        <w:tab/>
      </w:r>
    </w:p>
    <w:p>
      <w:pPr>
        <w:spacing w:after="0" w:line="320" w:lineRule="exact"/>
        <w:ind w:right="60"/>
        <w:jc w:val="center"/>
        <w:rPr>
          <w:rFonts w:hint="eastAsia" w:ascii="宋体" w:hAnsi="宋体" w:eastAsia="宋体" w:cs="宋体"/>
          <w:b/>
          <w:bCs/>
          <w:color w:val="auto"/>
          <w:sz w:val="28"/>
          <w:szCs w:val="28"/>
        </w:rPr>
      </w:pPr>
      <w:bookmarkStart w:id="0" w:name="_Toc5615145"/>
      <w:r>
        <w:rPr>
          <w:rFonts w:hint="eastAsia" w:ascii="宋体" w:hAnsi="宋体" w:eastAsia="宋体" w:cs="宋体"/>
          <w:b/>
          <w:bCs/>
          <w:color w:val="auto"/>
          <w:sz w:val="28"/>
          <w:szCs w:val="28"/>
        </w:rPr>
        <w:t>伊犁师范大学低值易耗及危化品业务管理平台项目</w:t>
      </w:r>
    </w:p>
    <w:p>
      <w:pPr>
        <w:spacing w:after="0" w:line="320" w:lineRule="exact"/>
        <w:ind w:right="60"/>
        <w:jc w:val="center"/>
        <w:rPr>
          <w:color w:val="auto"/>
          <w:sz w:val="20"/>
          <w:szCs w:val="20"/>
        </w:rPr>
      </w:pPr>
      <w:r>
        <w:rPr>
          <w:rFonts w:ascii="宋体" w:hAnsi="宋体" w:eastAsia="宋体" w:cs="宋体"/>
          <w:b/>
          <w:bCs/>
          <w:color w:val="auto"/>
          <w:sz w:val="28"/>
          <w:szCs w:val="28"/>
        </w:rPr>
        <w:t>竞争性磋商公告</w:t>
      </w:r>
    </w:p>
    <w:p>
      <w:pPr>
        <w:spacing w:after="0" w:line="200" w:lineRule="exact"/>
        <w:rPr>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exact"/>
        <w:textAlignment w:val="auto"/>
        <w:rPr>
          <w:color w:val="auto"/>
          <w:sz w:val="20"/>
          <w:szCs w:val="20"/>
        </w:rPr>
      </w:pPr>
    </w:p>
    <w:p>
      <w:pPr>
        <w:keepNext w:val="0"/>
        <w:keepLines w:val="0"/>
        <w:pageBreakBefore w:val="0"/>
        <w:kinsoku/>
        <w:wordWrap/>
        <w:overflowPunct/>
        <w:topLinePunct w:val="0"/>
        <w:autoSpaceDE/>
        <w:autoSpaceDN/>
        <w:bidi w:val="0"/>
        <w:adjustRightInd/>
        <w:snapToGrid/>
        <w:spacing w:after="0" w:line="240" w:lineRule="auto"/>
        <w:ind w:right="60" w:firstLine="42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新疆谊诚工程项目管理咨询有限公司</w:t>
      </w:r>
      <w:r>
        <w:rPr>
          <w:rFonts w:hint="eastAsia" w:ascii="宋体" w:hAnsi="宋体" w:eastAsia="宋体" w:cs="宋体"/>
          <w:color w:val="auto"/>
          <w:sz w:val="21"/>
          <w:szCs w:val="21"/>
        </w:rPr>
        <w:t>受</w:t>
      </w:r>
      <w:r>
        <w:rPr>
          <w:rFonts w:hint="eastAsia" w:ascii="宋体" w:hAnsi="宋体" w:eastAsia="宋体" w:cs="宋体"/>
          <w:color w:val="auto"/>
          <w:sz w:val="21"/>
          <w:szCs w:val="21"/>
          <w:lang w:eastAsia="zh-CN"/>
        </w:rPr>
        <w:t>伊犁师范大学</w:t>
      </w:r>
      <w:r>
        <w:rPr>
          <w:rFonts w:hint="eastAsia" w:ascii="宋体" w:hAnsi="宋体" w:eastAsia="宋体" w:cs="宋体"/>
          <w:color w:val="auto"/>
          <w:sz w:val="21"/>
          <w:szCs w:val="21"/>
        </w:rPr>
        <w:t>的委托，根据《中华人民共和国政府采购法》及其相关法律、法规等，对</w:t>
      </w:r>
      <w:r>
        <w:rPr>
          <w:rFonts w:hint="eastAsia" w:ascii="宋体" w:hAnsi="宋体" w:eastAsia="宋体" w:cs="宋体"/>
          <w:color w:val="auto"/>
          <w:sz w:val="21"/>
          <w:szCs w:val="21"/>
          <w:lang w:eastAsia="zh-CN"/>
        </w:rPr>
        <w:t>伊犁师范大学低值易耗及危化品业务管理平台项</w:t>
      </w:r>
    </w:p>
    <w:p>
      <w:pPr>
        <w:keepNext w:val="0"/>
        <w:keepLines w:val="0"/>
        <w:pageBreakBefore w:val="0"/>
        <w:kinsoku/>
        <w:wordWrap/>
        <w:overflowPunct/>
        <w:topLinePunct w:val="0"/>
        <w:autoSpaceDE/>
        <w:autoSpaceDN/>
        <w:bidi w:val="0"/>
        <w:adjustRightInd/>
        <w:snapToGrid/>
        <w:spacing w:after="0" w:line="240" w:lineRule="auto"/>
        <w:ind w:right="6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目</w:t>
      </w:r>
      <w:r>
        <w:rPr>
          <w:rFonts w:hint="eastAsia" w:ascii="宋体" w:hAnsi="宋体" w:eastAsia="宋体" w:cs="宋体"/>
          <w:color w:val="auto"/>
          <w:sz w:val="21"/>
          <w:szCs w:val="21"/>
        </w:rPr>
        <w:t>进行采购，采购方式为竞争性磋商，请符合资格要求的供应商到</w:t>
      </w:r>
      <w:r>
        <w:rPr>
          <w:rFonts w:hint="eastAsia" w:ascii="宋体" w:hAnsi="宋体" w:eastAsia="宋体" w:cs="宋体"/>
          <w:color w:val="auto"/>
          <w:sz w:val="21"/>
          <w:szCs w:val="21"/>
          <w:lang w:eastAsia="zh-CN"/>
        </w:rPr>
        <w:t>新疆谊诚工程项目管理咨询有限公司</w:t>
      </w:r>
      <w:r>
        <w:rPr>
          <w:rFonts w:hint="eastAsia" w:ascii="宋体" w:hAnsi="宋体" w:eastAsia="宋体" w:cs="宋体"/>
          <w:color w:val="auto"/>
          <w:sz w:val="21"/>
          <w:szCs w:val="21"/>
        </w:rPr>
        <w:t>报名，参与投标。</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3400" w:rightChars="0"/>
        <w:textAlignment w:val="auto"/>
        <w:rPr>
          <w:rFonts w:hint="eastAsia" w:ascii="宋体" w:hAnsi="宋体" w:eastAsia="宋体" w:cs="宋体"/>
          <w:b/>
          <w:bCs/>
          <w:color w:val="auto"/>
          <w:sz w:val="21"/>
          <w:szCs w:val="21"/>
        </w:rPr>
      </w:pPr>
    </w:p>
    <w:p>
      <w:pPr>
        <w:keepNext w:val="0"/>
        <w:keepLines w:val="0"/>
        <w:pageBreakBefore w:val="0"/>
        <w:kinsoku/>
        <w:wordWrap/>
        <w:overflowPunct/>
        <w:topLinePunct w:val="0"/>
        <w:autoSpaceDE/>
        <w:autoSpaceDN/>
        <w:bidi w:val="0"/>
        <w:adjustRightInd/>
        <w:snapToGrid/>
        <w:spacing w:after="0" w:line="240" w:lineRule="auto"/>
        <w:ind w:right="60" w:firstLine="422" w:firstLineChars="200"/>
        <w:jc w:val="both"/>
        <w:textAlignment w:val="auto"/>
        <w:rPr>
          <w:rFonts w:hint="eastAsia" w:ascii="宋体" w:hAnsi="宋体" w:eastAsia="宋体" w:cs="宋体"/>
          <w:b/>
          <w:bCs/>
          <w:color w:val="auto"/>
          <w:sz w:val="28"/>
          <w:szCs w:val="28"/>
        </w:rPr>
      </w:pPr>
      <w:r>
        <w:rPr>
          <w:rFonts w:hint="eastAsia" w:ascii="宋体" w:hAnsi="宋体" w:eastAsia="宋体" w:cs="宋体"/>
          <w:b/>
          <w:bCs/>
          <w:color w:val="auto"/>
          <w:sz w:val="21"/>
          <w:szCs w:val="21"/>
          <w:lang w:eastAsia="zh-CN"/>
        </w:rPr>
        <w:t>一、</w:t>
      </w:r>
      <w:r>
        <w:rPr>
          <w:rFonts w:hint="eastAsia" w:ascii="宋体" w:hAnsi="宋体" w:eastAsia="宋体" w:cs="宋体"/>
          <w:b/>
          <w:bCs/>
          <w:color w:val="auto"/>
          <w:sz w:val="21"/>
          <w:szCs w:val="21"/>
        </w:rPr>
        <w:t>项目名称：伊犁师范大学低值易耗及危化品业务管理平台项目</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3400" w:rightChars="0"/>
        <w:textAlignment w:val="auto"/>
        <w:rPr>
          <w:rFonts w:hint="eastAsia" w:ascii="宋体" w:hAnsi="宋体" w:eastAsia="宋体" w:cs="宋体"/>
          <w:b/>
          <w:bCs/>
          <w:color w:val="FF000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3400" w:rightChars="0" w:firstLine="422" w:firstLineChars="200"/>
        <w:textAlignment w:val="auto"/>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rPr>
        <w:t>二、项目编号：</w:t>
      </w:r>
      <w:r>
        <w:rPr>
          <w:rFonts w:hint="eastAsia" w:ascii="宋体" w:hAnsi="宋体" w:eastAsia="宋体" w:cs="宋体"/>
          <w:b/>
          <w:bCs/>
          <w:color w:val="auto"/>
          <w:sz w:val="21"/>
          <w:szCs w:val="21"/>
          <w:lang w:val="en-US" w:eastAsia="zh-CN"/>
        </w:rPr>
        <w:t>YL（CS）YC2019-30</w:t>
      </w:r>
    </w:p>
    <w:p>
      <w:pPr>
        <w:keepNext w:val="0"/>
        <w:keepLines w:val="0"/>
        <w:pageBreakBefore w:val="0"/>
        <w:widowControl/>
        <w:kinsoku/>
        <w:wordWrap/>
        <w:overflowPunct/>
        <w:topLinePunct w:val="0"/>
        <w:autoSpaceDE/>
        <w:autoSpaceDN/>
        <w:bidi w:val="0"/>
        <w:adjustRightInd/>
        <w:snapToGrid/>
        <w:spacing w:after="0" w:line="240" w:lineRule="auto"/>
        <w:ind w:left="460"/>
        <w:textAlignment w:val="auto"/>
        <w:rPr>
          <w:rFonts w:hint="eastAsia" w:ascii="宋体" w:hAnsi="宋体" w:eastAsia="宋体" w:cs="宋体"/>
          <w:b/>
          <w:bCs/>
          <w:color w:val="auto"/>
          <w:sz w:val="21"/>
          <w:szCs w:val="21"/>
        </w:rPr>
      </w:pPr>
    </w:p>
    <w:p>
      <w:pPr>
        <w:keepNext w:val="0"/>
        <w:keepLines w:val="0"/>
        <w:pageBreakBefore w:val="0"/>
        <w:widowControl/>
        <w:kinsoku/>
        <w:wordWrap/>
        <w:overflowPunct/>
        <w:topLinePunct w:val="0"/>
        <w:autoSpaceDE/>
        <w:autoSpaceDN/>
        <w:bidi w:val="0"/>
        <w:adjustRightInd/>
        <w:snapToGrid/>
        <w:spacing w:after="0" w:line="240" w:lineRule="auto"/>
        <w:ind w:left="460"/>
        <w:textAlignment w:val="auto"/>
        <w:rPr>
          <w:rFonts w:hint="default" w:ascii="宋体" w:hAnsi="宋体" w:eastAsia="宋体" w:cs="宋体"/>
          <w:color w:val="auto"/>
          <w:sz w:val="21"/>
          <w:szCs w:val="21"/>
          <w:lang w:val="en-US" w:eastAsia="zh-CN"/>
        </w:rPr>
      </w:pPr>
      <w:r>
        <w:rPr>
          <w:rFonts w:hint="eastAsia" w:ascii="宋体" w:hAnsi="宋体" w:eastAsia="宋体" w:cs="宋体"/>
          <w:b/>
          <w:bCs/>
          <w:color w:val="auto"/>
          <w:sz w:val="21"/>
          <w:szCs w:val="21"/>
        </w:rPr>
        <w:t>三、采购</w:t>
      </w:r>
      <w:r>
        <w:rPr>
          <w:rFonts w:hint="eastAsia" w:ascii="宋体" w:hAnsi="宋体" w:eastAsia="宋体" w:cs="宋体"/>
          <w:b/>
          <w:bCs/>
          <w:color w:val="auto"/>
          <w:sz w:val="21"/>
          <w:szCs w:val="21"/>
          <w:lang w:eastAsia="zh-CN"/>
        </w:rPr>
        <w:t>预算</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eastAsia="zh-CN"/>
        </w:rPr>
        <w:t>19.63</w:t>
      </w:r>
      <w:r>
        <w:rPr>
          <w:rFonts w:hint="eastAsia" w:ascii="宋体" w:hAnsi="宋体" w:eastAsia="宋体" w:cs="宋体"/>
          <w:b/>
          <w:bCs/>
          <w:color w:val="auto"/>
          <w:sz w:val="21"/>
          <w:szCs w:val="21"/>
          <w:lang w:val="en-US" w:eastAsia="zh-CN"/>
        </w:rPr>
        <w:t>万元</w:t>
      </w:r>
    </w:p>
    <w:p>
      <w:pPr>
        <w:keepNext w:val="0"/>
        <w:keepLines w:val="0"/>
        <w:pageBreakBefore w:val="0"/>
        <w:widowControl/>
        <w:kinsoku/>
        <w:wordWrap/>
        <w:overflowPunct/>
        <w:topLinePunct w:val="0"/>
        <w:autoSpaceDE/>
        <w:autoSpaceDN/>
        <w:bidi w:val="0"/>
        <w:adjustRightInd/>
        <w:snapToGrid/>
        <w:spacing w:after="0" w:line="240" w:lineRule="auto"/>
        <w:ind w:left="40"/>
        <w:textAlignment w:val="auto"/>
        <w:rPr>
          <w:rFonts w:hint="eastAsia" w:ascii="宋体" w:hAnsi="宋体" w:eastAsia="宋体" w:cs="宋体"/>
          <w:b/>
          <w:bCs/>
          <w:color w:val="auto"/>
          <w:sz w:val="21"/>
          <w:szCs w:val="21"/>
        </w:rPr>
      </w:pPr>
      <w:r>
        <w:rPr>
          <w:rFonts w:hint="eastAsia" w:ascii="宋体" w:hAnsi="宋体" w:eastAsia="宋体" w:cs="宋体"/>
          <w:color w:val="auto"/>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46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四、投标供应商资格要求：</w:t>
      </w:r>
    </w:p>
    <w:p>
      <w:pPr>
        <w:pStyle w:val="17"/>
        <w:keepNext w:val="0"/>
        <w:keepLines w:val="0"/>
        <w:pageBreakBefore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（1）符合《中华人民共和国政府采购法》第二十二条的相关规定；</w:t>
      </w:r>
    </w:p>
    <w:p>
      <w:pPr>
        <w:pStyle w:val="17"/>
        <w:keepNext w:val="0"/>
        <w:keepLines w:val="0"/>
        <w:pageBreakBefore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（2）在中华人民共和国境内依法注册的、具有独立承担民事责任的能力；</w:t>
      </w:r>
    </w:p>
    <w:p>
      <w:pPr>
        <w:pStyle w:val="17"/>
        <w:keepNext w:val="0"/>
        <w:keepLines w:val="0"/>
        <w:pageBreakBefore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（3）有效的“三证合一”的营业执照，且具备所投标的经营范围；</w:t>
      </w:r>
    </w:p>
    <w:p>
      <w:pPr>
        <w:pStyle w:val="17"/>
        <w:keepNext w:val="0"/>
        <w:keepLines w:val="0"/>
        <w:pageBreakBefore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（4）具有履行合同所必须的设备和专业技术能力；</w:t>
      </w:r>
    </w:p>
    <w:p>
      <w:pPr>
        <w:pStyle w:val="17"/>
        <w:keepNext w:val="0"/>
        <w:keepLines w:val="0"/>
        <w:pageBreakBefore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（5）具有良好的商业信誉和健全的财务会计制度；</w:t>
      </w:r>
    </w:p>
    <w:p>
      <w:pPr>
        <w:pStyle w:val="17"/>
        <w:keepNext w:val="0"/>
        <w:keepLines w:val="0"/>
        <w:pageBreakBefore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（6）具有依法缴纳税收和社会保证资金的良好记录；</w:t>
      </w:r>
    </w:p>
    <w:p>
      <w:pPr>
        <w:pStyle w:val="17"/>
        <w:keepNext w:val="0"/>
        <w:keepLines w:val="0"/>
        <w:pageBreakBefore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（7）近三年内，在经营活动中没有重大违法记录；</w:t>
      </w:r>
    </w:p>
    <w:p>
      <w:pPr>
        <w:pStyle w:val="17"/>
        <w:keepNext w:val="0"/>
        <w:keepLines w:val="0"/>
        <w:pageBreakBefore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8）经信用中国（www.creditchina.gov.cn）、中国政府采购网（www.ccgp.gov.cn）等渠道查询后，列入失信被执行人、重大税收违法案件当事人名单、政府采购严重违法失信行为记录名单的，取消投标资格。（提供“信用中国”网站无任何不良记录的查询截图并加盖公章，时间为投标截止时间前20天内）；</w:t>
      </w:r>
    </w:p>
    <w:p>
      <w:pPr>
        <w:pStyle w:val="14"/>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（9）本项目不允许以任何形式进行分包、转包；</w:t>
      </w:r>
    </w:p>
    <w:p>
      <w:pPr>
        <w:pStyle w:val="14"/>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（10）本项目不接受联合体投标。</w:t>
      </w:r>
    </w:p>
    <w:p>
      <w:pPr>
        <w:keepNext w:val="0"/>
        <w:keepLines w:val="0"/>
        <w:pageBreakBefore w:val="0"/>
        <w:widowControl/>
        <w:kinsoku/>
        <w:wordWrap/>
        <w:overflowPunct/>
        <w:topLinePunct w:val="0"/>
        <w:autoSpaceDE/>
        <w:autoSpaceDN/>
        <w:bidi w:val="0"/>
        <w:adjustRightInd/>
        <w:snapToGrid/>
        <w:spacing w:after="0" w:line="240" w:lineRule="auto"/>
        <w:ind w:firstLine="422" w:firstLineChars="200"/>
        <w:textAlignment w:val="auto"/>
        <w:rPr>
          <w:rFonts w:hint="eastAsia" w:ascii="宋体" w:hAnsi="宋体" w:eastAsia="宋体" w:cs="宋体"/>
          <w:b/>
          <w:bCs/>
          <w:color w:val="auto"/>
          <w:sz w:val="21"/>
          <w:szCs w:val="21"/>
        </w:rPr>
      </w:pPr>
    </w:p>
    <w:p>
      <w:pPr>
        <w:keepNext w:val="0"/>
        <w:keepLines w:val="0"/>
        <w:pageBreakBefore w:val="0"/>
        <w:widowControl/>
        <w:kinsoku/>
        <w:wordWrap/>
        <w:overflowPunct/>
        <w:topLinePunct w:val="0"/>
        <w:autoSpaceDE/>
        <w:autoSpaceDN/>
        <w:bidi w:val="0"/>
        <w:adjustRightInd/>
        <w:snapToGrid/>
        <w:spacing w:after="0" w:line="240" w:lineRule="auto"/>
        <w:ind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五、竞争性磋商文件的获取：</w:t>
      </w:r>
    </w:p>
    <w:p>
      <w:pPr>
        <w:keepNext w:val="0"/>
        <w:keepLines w:val="0"/>
        <w:pageBreakBefore w:val="0"/>
        <w:widowControl/>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1.报名时间：2019 年</w:t>
      </w: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25</w:t>
      </w:r>
      <w:r>
        <w:rPr>
          <w:rFonts w:hint="eastAsia" w:ascii="宋体" w:hAnsi="宋体" w:eastAsia="宋体" w:cs="宋体"/>
          <w:color w:val="auto"/>
          <w:sz w:val="21"/>
          <w:szCs w:val="21"/>
        </w:rPr>
        <w:t xml:space="preserve">日至 2019 年 </w:t>
      </w: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29</w:t>
      </w:r>
      <w:r>
        <w:rPr>
          <w:rFonts w:hint="eastAsia" w:ascii="宋体" w:hAnsi="宋体" w:eastAsia="宋体" w:cs="宋体"/>
          <w:color w:val="auto"/>
          <w:sz w:val="21"/>
          <w:szCs w:val="21"/>
        </w:rPr>
        <w:t>日（每天 10：00 至</w:t>
      </w:r>
      <w:r>
        <w:rPr>
          <w:rFonts w:hint="eastAsia" w:ascii="宋体" w:hAnsi="宋体" w:eastAsia="宋体" w:cs="宋体"/>
          <w:color w:val="auto"/>
          <w:sz w:val="21"/>
          <w:szCs w:val="21"/>
          <w:lang w:val="en-US" w:eastAsia="zh-CN"/>
        </w:rPr>
        <w:t>14</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00</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30</w:t>
      </w:r>
      <w:r>
        <w:rPr>
          <w:rFonts w:hint="eastAsia" w:ascii="宋体" w:hAnsi="宋体" w:eastAsia="宋体" w:cs="宋体"/>
          <w:color w:val="auto"/>
          <w:sz w:val="21"/>
          <w:szCs w:val="21"/>
        </w:rPr>
        <w:t xml:space="preserve"> 至 </w:t>
      </w:r>
      <w:r>
        <w:rPr>
          <w:rFonts w:hint="eastAsia" w:ascii="宋体" w:hAnsi="宋体" w:eastAsia="宋体" w:cs="宋体"/>
          <w:color w:val="auto"/>
          <w:sz w:val="21"/>
          <w:szCs w:val="21"/>
          <w:lang w:val="en-US" w:eastAsia="zh-CN"/>
        </w:rPr>
        <w:t>19</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30</w:t>
      </w:r>
      <w:r>
        <w:rPr>
          <w:rFonts w:hint="eastAsia" w:ascii="宋体" w:hAnsi="宋体" w:eastAsia="宋体" w:cs="宋体"/>
          <w:color w:val="auto"/>
          <w:sz w:val="21"/>
          <w:szCs w:val="21"/>
        </w:rPr>
        <w:t>，节假日除外）。</w:t>
      </w:r>
    </w:p>
    <w:p>
      <w:pPr>
        <w:keepNext w:val="0"/>
        <w:keepLines w:val="0"/>
        <w:pageBreakBefore w:val="0"/>
        <w:widowControl/>
        <w:kinsoku/>
        <w:wordWrap/>
        <w:overflowPunct/>
        <w:topLinePunct w:val="0"/>
        <w:autoSpaceDE/>
        <w:autoSpaceDN/>
        <w:bidi w:val="0"/>
        <w:adjustRightInd/>
        <w:snapToGrid/>
        <w:spacing w:after="0" w:line="240" w:lineRule="auto"/>
        <w:ind w:firstLine="420" w:firstLineChars="200"/>
        <w:textAlignment w:val="auto"/>
        <w:rPr>
          <w:rFonts w:hint="default" w:ascii="宋体" w:hAnsi="宋体" w:eastAsia="宋体" w:cs="宋体"/>
          <w:color w:val="auto"/>
          <w:sz w:val="21"/>
          <w:szCs w:val="21"/>
        </w:rPr>
      </w:pPr>
      <w:r>
        <w:rPr>
          <w:rFonts w:hint="eastAsia" w:ascii="宋体" w:hAnsi="宋体" w:eastAsia="宋体" w:cs="宋体"/>
          <w:color w:val="auto"/>
          <w:sz w:val="21"/>
          <w:szCs w:val="21"/>
          <w:lang w:val="en-US" w:eastAsia="zh-CN"/>
        </w:rPr>
        <w:t>2.报名时携带营业执照原件，法定代表人身份证明及身份证原件，委托代理人应携带法定代表授权委托书及身份证原件，</w:t>
      </w:r>
      <w:r>
        <w:rPr>
          <w:rFonts w:hint="default" w:ascii="宋体" w:hAnsi="宋体" w:eastAsia="宋体" w:cs="宋体"/>
          <w:color w:val="auto"/>
          <w:sz w:val="21"/>
          <w:szCs w:val="21"/>
        </w:rPr>
        <w:t>在“信用中国”及“中国政府采购网”上未被列入失信被执行人、重大税收违法案件当事人 名单以及政府采购严重违法失信行为查询结果加盖企业公章。</w:t>
      </w:r>
      <w:r>
        <w:rPr>
          <w:rFonts w:hint="eastAsia" w:ascii="宋体" w:hAnsi="宋体" w:eastAsia="宋体" w:cs="宋体"/>
          <w:color w:val="auto"/>
          <w:kern w:val="2"/>
          <w:sz w:val="21"/>
          <w:szCs w:val="21"/>
          <w:lang w:val="en-US" w:eastAsia="zh-CN" w:bidi="ar-SA"/>
        </w:rPr>
        <w:t>（提供“信用中国”网站无任何不良记录的查询截图并加盖公章，时间为投标截止时间前20天内）</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注：上述资料报名须提供原件及复印件加盖企业公章一套。</w:t>
      </w:r>
    </w:p>
    <w:p>
      <w:pPr>
        <w:keepNext w:val="0"/>
        <w:keepLines w:val="0"/>
        <w:pageBreakBefore w:val="0"/>
        <w:widowControl/>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3.报名地址：</w:t>
      </w:r>
      <w:r>
        <w:rPr>
          <w:rFonts w:hint="eastAsia" w:ascii="宋体" w:hAnsi="宋体" w:eastAsia="宋体" w:cs="宋体"/>
          <w:color w:val="auto"/>
          <w:sz w:val="21"/>
          <w:szCs w:val="21"/>
          <w:lang w:eastAsia="zh-CN"/>
        </w:rPr>
        <w:t>新疆谊诚工程项目管理咨询有限公司</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伊宁市福安国际城六楼</w:t>
      </w:r>
      <w:r>
        <w:rPr>
          <w:rFonts w:hint="eastAsia" w:ascii="宋体" w:hAnsi="宋体" w:eastAsia="宋体" w:cs="宋体"/>
          <w:color w:val="auto"/>
          <w:sz w:val="21"/>
          <w:szCs w:val="21"/>
        </w:rPr>
        <w:t>）</w:t>
      </w:r>
      <w:r>
        <w:rPr>
          <w:rFonts w:hint="eastAsia" w:ascii="宋体" w:hAnsi="宋体" w:eastAsia="宋体" w:cs="宋体"/>
          <w:color w:val="auto"/>
          <w:sz w:val="21"/>
          <w:szCs w:val="21"/>
        </w:rPr>
        <mc:AlternateContent>
          <mc:Choice Requires="wps">
            <w:drawing>
              <wp:anchor distT="0" distB="0" distL="114300" distR="114300" simplePos="0" relativeHeight="251658240" behindDoc="1" locked="0" layoutInCell="0" allowOverlap="1">
                <wp:simplePos x="0" y="0"/>
                <wp:positionH relativeFrom="column">
                  <wp:posOffset>10795</wp:posOffset>
                </wp:positionH>
                <wp:positionV relativeFrom="paragraph">
                  <wp:posOffset>32385</wp:posOffset>
                </wp:positionV>
                <wp:extent cx="5883910" cy="254635"/>
                <wp:effectExtent l="0" t="0" r="2540" b="12065"/>
                <wp:wrapNone/>
                <wp:docPr id="15" name="Shape 15"/>
                <wp:cNvGraphicFramePr/>
                <a:graphic xmlns:a="http://schemas.openxmlformats.org/drawingml/2006/main">
                  <a:graphicData uri="http://schemas.microsoft.com/office/word/2010/wordprocessingShape">
                    <wps:wsp>
                      <wps:cNvSpPr/>
                      <wps:spPr>
                        <a:xfrm>
                          <a:off x="0" y="0"/>
                          <a:ext cx="5883910" cy="254635"/>
                        </a:xfrm>
                        <a:prstGeom prst="rect">
                          <a:avLst/>
                        </a:prstGeom>
                        <a:solidFill>
                          <a:srgbClr val="FEFEFE"/>
                        </a:solidFill>
                      </wps:spPr>
                      <wps:bodyPr/>
                    </wps:wsp>
                  </a:graphicData>
                </a:graphic>
              </wp:anchor>
            </w:drawing>
          </mc:Choice>
          <mc:Fallback>
            <w:pict>
              <v:rect id="Shape 15" o:spid="_x0000_s1026" o:spt="1" style="position:absolute;left:0pt;margin-left:0.85pt;margin-top:2.55pt;height:20.05pt;width:463.3pt;z-index:-251658240;mso-width-relative:page;mso-height-relative:page;" fillcolor="#FEFEFE" filled="t" stroked="f" coordsize="21600,21600" o:allowincell="f" o:gfxdata="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">
                <v:fill on="t" focussize="0,0"/>
                <v:stroke on="f"/>
                <v:imagedata o:title=""/>
                <o:lock v:ext="edit" aspectratio="f"/>
              </v:rect>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4.竞争性磋商文件售价：</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00.00 元（竞争性磋商文件一经售出概不退还）。</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after="0" w:line="240" w:lineRule="auto"/>
        <w:ind w:left="46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六、响应文件的递交及相关事宜：</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after="0" w:line="240" w:lineRule="auto"/>
        <w:ind w:left="460"/>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1.响应文件递交的截止时间及开标时间：2019 年</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日 11 时 00 分，投标人应于响应文件递</w:t>
      </w:r>
      <w:bookmarkStart w:id="1" w:name="page5"/>
      <w:bookmarkEnd w:id="1"/>
      <w:r>
        <w:rPr>
          <w:rFonts w:hint="eastAsia" w:ascii="宋体" w:hAnsi="宋体" w:eastAsia="宋体" w:cs="宋体"/>
          <w:color w:val="auto"/>
          <w:sz w:val="21"/>
          <w:szCs w:val="21"/>
        </w:rPr>
        <w:t>交截止时间之前将响应文件递交至</w:t>
      </w:r>
      <w:r>
        <w:rPr>
          <w:rFonts w:hint="eastAsia" w:ascii="宋体" w:hAnsi="宋体" w:eastAsia="宋体" w:cs="宋体"/>
          <w:color w:val="auto"/>
          <w:sz w:val="21"/>
          <w:szCs w:val="21"/>
          <w:lang w:eastAsia="zh-CN"/>
        </w:rPr>
        <w:t>新疆谊诚工程项目管理咨询有限公司</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伊宁市福安国际城六楼</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240" w:lineRule="auto"/>
        <w:ind w:left="46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2.逾期送达的或者未送达指定地点的响应文件，招标人不予受理。</w:t>
      </w:r>
    </w:p>
    <w:p>
      <w:pPr>
        <w:keepNext w:val="0"/>
        <w:keepLines w:val="0"/>
        <w:pageBreakBefore w:val="0"/>
        <w:widowControl/>
        <w:kinsoku/>
        <w:wordWrap/>
        <w:overflowPunct/>
        <w:topLinePunct w:val="0"/>
        <w:autoSpaceDE/>
        <w:autoSpaceDN/>
        <w:bidi w:val="0"/>
        <w:adjustRightInd/>
        <w:snapToGrid/>
        <w:spacing w:after="0" w:line="240" w:lineRule="auto"/>
        <w:ind w:left="460"/>
        <w:textAlignment w:val="auto"/>
        <w:rPr>
          <w:rFonts w:hint="eastAsia" w:ascii="宋体" w:hAnsi="宋体" w:eastAsia="宋体" w:cs="宋体"/>
          <w:b/>
          <w:bCs/>
          <w:color w:val="auto"/>
          <w:sz w:val="21"/>
          <w:szCs w:val="21"/>
        </w:rPr>
      </w:pPr>
    </w:p>
    <w:p>
      <w:pPr>
        <w:keepNext w:val="0"/>
        <w:keepLines w:val="0"/>
        <w:pageBreakBefore w:val="0"/>
        <w:widowControl/>
        <w:kinsoku/>
        <w:wordWrap/>
        <w:overflowPunct/>
        <w:topLinePunct w:val="0"/>
        <w:autoSpaceDE/>
        <w:autoSpaceDN/>
        <w:bidi w:val="0"/>
        <w:adjustRightInd/>
        <w:snapToGrid/>
        <w:spacing w:after="0" w:line="240" w:lineRule="auto"/>
        <w:ind w:left="46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七、发布公告的媒介：</w:t>
      </w:r>
      <w:r>
        <w:rPr>
          <w:rFonts w:hint="eastAsia" w:ascii="宋体" w:hAnsi="宋体" w:eastAsia="宋体" w:cs="宋体"/>
          <w:color w:val="auto"/>
          <w:sz w:val="21"/>
          <w:szCs w:val="21"/>
        </w:rPr>
        <w:t>新疆政府采购网</w:t>
      </w:r>
      <w:r>
        <w:rPr>
          <w:rFonts w:hint="eastAsia" w:ascii="宋体" w:hAnsi="宋体" w:eastAsia="宋体" w:cs="宋体"/>
          <w:color w:val="auto"/>
          <w:sz w:val="21"/>
          <w:szCs w:val="21"/>
          <w:lang w:eastAsia="zh-CN"/>
        </w:rPr>
        <w:t>和伊犁师范大学官网。</w:t>
      </w:r>
      <w:r>
        <w:rPr>
          <w:rFonts w:hint="eastAsia" w:ascii="宋体" w:hAnsi="宋体" w:eastAsia="宋体" w:cs="宋体"/>
          <w:color w:val="auto"/>
          <w:sz w:val="21"/>
          <w:szCs w:val="21"/>
        </w:rPr>
        <mc:AlternateContent>
          <mc:Choice Requires="wps">
            <w:drawing>
              <wp:anchor distT="0" distB="0" distL="114300" distR="114300" simplePos="0" relativeHeight="251658240" behindDoc="1" locked="0" layoutInCell="0" allowOverlap="1">
                <wp:simplePos x="0" y="0"/>
                <wp:positionH relativeFrom="column">
                  <wp:posOffset>10795</wp:posOffset>
                </wp:positionH>
                <wp:positionV relativeFrom="paragraph">
                  <wp:posOffset>22225</wp:posOffset>
                </wp:positionV>
                <wp:extent cx="5883910" cy="254000"/>
                <wp:effectExtent l="0" t="0" r="2540" b="12700"/>
                <wp:wrapNone/>
                <wp:docPr id="19" name="Shape 19"/>
                <wp:cNvGraphicFramePr/>
                <a:graphic xmlns:a="http://schemas.openxmlformats.org/drawingml/2006/main">
                  <a:graphicData uri="http://schemas.microsoft.com/office/word/2010/wordprocessingShape">
                    <wps:wsp>
                      <wps:cNvSpPr/>
                      <wps:spPr>
                        <a:xfrm>
                          <a:off x="0" y="0"/>
                          <a:ext cx="5883910" cy="254000"/>
                        </a:xfrm>
                        <a:prstGeom prst="rect">
                          <a:avLst/>
                        </a:prstGeom>
                        <a:solidFill>
                          <a:srgbClr val="FEFEFE"/>
                        </a:solidFill>
                      </wps:spPr>
                      <wps:bodyPr/>
                    </wps:wsp>
                  </a:graphicData>
                </a:graphic>
              </wp:anchor>
            </w:drawing>
          </mc:Choice>
          <mc:Fallback>
            <w:pict>
              <v:rect id="Shape 19" o:spid="_x0000_s1026" o:spt="1" style="position:absolute;left:0pt;margin-left:0.85pt;margin-top:1.75pt;height:20pt;width:463.3pt;z-index:-251658240;mso-width-relative:page;mso-height-relative:page;" fillcolor="#FEFEFE" filled="t" stroked="f" coordsize="21600,21600" o:allowincell="f" o:gfxdata="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">
                <v:fill on="t" focussize="0,0"/>
                <v:stroke on="f"/>
                <v:imagedata o:title=""/>
                <o:lock v:ext="edit" aspectratio="f"/>
              </v:rect>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ind w:left="460"/>
        <w:textAlignment w:val="auto"/>
        <w:rPr>
          <w:rFonts w:hint="eastAsia" w:ascii="宋体" w:hAnsi="宋体" w:eastAsia="宋体" w:cs="宋体"/>
          <w:b/>
          <w:bCs/>
          <w:color w:val="auto"/>
          <w:sz w:val="21"/>
          <w:szCs w:val="21"/>
        </w:rPr>
      </w:pPr>
    </w:p>
    <w:p>
      <w:pPr>
        <w:keepNext w:val="0"/>
        <w:keepLines w:val="0"/>
        <w:pageBreakBefore w:val="0"/>
        <w:widowControl/>
        <w:kinsoku/>
        <w:wordWrap/>
        <w:overflowPunct/>
        <w:topLinePunct w:val="0"/>
        <w:autoSpaceDE/>
        <w:autoSpaceDN/>
        <w:bidi w:val="0"/>
        <w:adjustRightInd/>
        <w:snapToGrid/>
        <w:spacing w:after="0" w:line="240" w:lineRule="auto"/>
        <w:ind w:left="46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八、联系方式：</w:t>
      </w:r>
    </w:p>
    <w:p>
      <w:pPr>
        <w:keepNext w:val="0"/>
        <w:keepLines w:val="0"/>
        <w:pageBreakBefore w:val="0"/>
        <w:widowControl/>
        <w:kinsoku/>
        <w:wordWrap/>
        <w:overflowPunct/>
        <w:topLinePunct w:val="0"/>
        <w:autoSpaceDE/>
        <w:autoSpaceDN/>
        <w:bidi w:val="0"/>
        <w:adjustRightInd/>
        <w:snapToGrid/>
        <w:spacing w:after="0" w:line="240" w:lineRule="auto"/>
        <w:ind w:left="46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采 购 人：</w:t>
      </w:r>
      <w:r>
        <w:rPr>
          <w:rFonts w:hint="eastAsia" w:ascii="宋体" w:hAnsi="宋体" w:eastAsia="宋体" w:cs="宋体"/>
          <w:color w:val="auto"/>
          <w:sz w:val="21"/>
          <w:szCs w:val="21"/>
          <w:lang w:eastAsia="zh-CN"/>
        </w:rPr>
        <w:t>伊犁师范大学</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color w:val="auto"/>
          <w:sz w:val="21"/>
          <w:szCs w:val="21"/>
        </w:rPr>
      </w:pPr>
    </w:p>
    <w:p>
      <w:pPr>
        <w:keepNext w:val="0"/>
        <w:keepLines w:val="0"/>
        <w:pageBreakBefore w:val="0"/>
        <w:widowControl/>
        <w:tabs>
          <w:tab w:val="left" w:pos="1080"/>
        </w:tabs>
        <w:kinsoku/>
        <w:wordWrap/>
        <w:overflowPunct/>
        <w:topLinePunct w:val="0"/>
        <w:autoSpaceDE/>
        <w:autoSpaceDN/>
        <w:bidi w:val="0"/>
        <w:adjustRightInd/>
        <w:snapToGrid/>
        <w:spacing w:after="0" w:line="240" w:lineRule="auto"/>
        <w:ind w:left="46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地</w:t>
      </w:r>
      <w:r>
        <w:rPr>
          <w:rFonts w:hint="eastAsia" w:ascii="宋体" w:hAnsi="宋体" w:eastAsia="宋体" w:cs="宋体"/>
          <w:color w:val="auto"/>
          <w:sz w:val="21"/>
          <w:szCs w:val="21"/>
        </w:rPr>
        <w:tab/>
      </w:r>
      <w:r>
        <w:rPr>
          <w:rFonts w:hint="eastAsia" w:ascii="宋体" w:hAnsi="宋体" w:eastAsia="宋体" w:cs="宋体"/>
          <w:color w:val="auto"/>
          <w:sz w:val="21"/>
          <w:szCs w:val="21"/>
        </w:rPr>
        <w:t>址：</w:t>
      </w:r>
      <w:r>
        <w:rPr>
          <w:rFonts w:hint="eastAsia" w:ascii="宋体" w:hAnsi="宋体" w:eastAsia="宋体" w:cs="宋体"/>
          <w:color w:val="auto"/>
          <w:sz w:val="21"/>
          <w:szCs w:val="21"/>
          <w:lang w:eastAsia="zh-CN"/>
        </w:rPr>
        <w:t>新疆伊宁市解放西路</w:t>
      </w:r>
      <w:r>
        <w:rPr>
          <w:rFonts w:hint="eastAsia" w:ascii="宋体" w:hAnsi="宋体" w:eastAsia="宋体" w:cs="宋体"/>
          <w:color w:val="auto"/>
          <w:sz w:val="21"/>
          <w:szCs w:val="21"/>
          <w:lang w:val="en-US" w:eastAsia="zh-CN"/>
        </w:rPr>
        <w:t>448号</w:t>
      </w:r>
    </w:p>
    <w:p>
      <w:pPr>
        <w:keepNext w:val="0"/>
        <w:keepLines w:val="0"/>
        <w:pageBreakBefore w:val="0"/>
        <w:widowControl/>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color w:val="auto"/>
          <w:sz w:val="21"/>
          <w:szCs w:val="21"/>
          <w:lang w:eastAsia="zh-CN"/>
        </w:rPr>
      </w:pPr>
    </w:p>
    <w:p>
      <w:pPr>
        <w:keepNext w:val="0"/>
        <w:keepLines w:val="0"/>
        <w:pageBreakBefore w:val="0"/>
        <w:widowControl/>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联系人</w:t>
      </w:r>
      <w:r>
        <w:rPr>
          <w:rFonts w:hint="eastAsia" w:ascii="宋体" w:hAnsi="宋体" w:eastAsia="宋体" w:cs="宋体"/>
          <w:color w:val="auto"/>
          <w:sz w:val="21"/>
          <w:szCs w:val="21"/>
          <w:lang w:val="en-US" w:eastAsia="zh-CN"/>
        </w:rPr>
        <w:t>:王老师  电话:18299260502</w:t>
      </w:r>
    </w:p>
    <w:p>
      <w:pPr>
        <w:keepNext w:val="0"/>
        <w:keepLines w:val="0"/>
        <w:pageBreakBefore w:val="0"/>
        <w:widowControl/>
        <w:kinsoku/>
        <w:wordWrap/>
        <w:overflowPunct/>
        <w:topLinePunct w:val="0"/>
        <w:autoSpaceDE/>
        <w:autoSpaceDN/>
        <w:bidi w:val="0"/>
        <w:adjustRightInd/>
        <w:snapToGrid/>
        <w:spacing w:after="0" w:line="240" w:lineRule="auto"/>
        <w:ind w:left="460"/>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after="0" w:line="240" w:lineRule="auto"/>
        <w:ind w:left="46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招标代理：</w:t>
      </w:r>
      <w:r>
        <w:rPr>
          <w:rFonts w:hint="eastAsia" w:ascii="宋体" w:hAnsi="宋体" w:eastAsia="宋体" w:cs="宋体"/>
          <w:color w:val="auto"/>
          <w:sz w:val="21"/>
          <w:szCs w:val="21"/>
          <w:lang w:eastAsia="zh-CN"/>
        </w:rPr>
        <w:t>新疆谊诚工程项目管理咨询有限公司</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color w:val="auto"/>
          <w:sz w:val="21"/>
          <w:szCs w:val="21"/>
        </w:rPr>
      </w:pPr>
    </w:p>
    <w:p>
      <w:pPr>
        <w:keepNext w:val="0"/>
        <w:keepLines w:val="0"/>
        <w:pageBreakBefore w:val="0"/>
        <w:widowControl/>
        <w:tabs>
          <w:tab w:val="left" w:pos="1080"/>
        </w:tabs>
        <w:kinsoku/>
        <w:wordWrap/>
        <w:overflowPunct/>
        <w:topLinePunct w:val="0"/>
        <w:autoSpaceDE/>
        <w:autoSpaceDN/>
        <w:bidi w:val="0"/>
        <w:adjustRightInd/>
        <w:snapToGrid/>
        <w:spacing w:after="0" w:line="240" w:lineRule="auto"/>
        <w:ind w:left="46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w:t>
      </w:r>
      <w:r>
        <w:rPr>
          <w:rFonts w:hint="eastAsia" w:ascii="宋体" w:hAnsi="宋体" w:eastAsia="宋体" w:cs="宋体"/>
          <w:color w:val="auto"/>
          <w:sz w:val="21"/>
          <w:szCs w:val="21"/>
        </w:rPr>
        <w:tab/>
      </w:r>
      <w:r>
        <w:rPr>
          <w:rFonts w:hint="eastAsia" w:ascii="宋体" w:hAnsi="宋体" w:eastAsia="宋体" w:cs="宋体"/>
          <w:color w:val="auto"/>
          <w:sz w:val="21"/>
          <w:szCs w:val="21"/>
        </w:rPr>
        <w:t>址：</w:t>
      </w:r>
      <w:r>
        <w:rPr>
          <w:rFonts w:hint="eastAsia" w:ascii="宋体" w:hAnsi="宋体" w:eastAsia="宋体" w:cs="宋体"/>
          <w:color w:val="auto"/>
          <w:sz w:val="21"/>
          <w:szCs w:val="21"/>
          <w:lang w:eastAsia="zh-CN"/>
        </w:rPr>
        <w:t>伊宁市福安国际城六楼</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after="0" w:line="240" w:lineRule="auto"/>
        <w:ind w:left="46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招标代理联系人：</w:t>
      </w:r>
      <w:r>
        <w:rPr>
          <w:rFonts w:hint="eastAsia" w:ascii="宋体" w:hAnsi="宋体" w:eastAsia="宋体" w:cs="宋体"/>
          <w:color w:val="auto"/>
          <w:sz w:val="21"/>
          <w:szCs w:val="21"/>
          <w:lang w:eastAsia="zh-CN"/>
        </w:rPr>
        <w:t>王丽华</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color w:val="auto"/>
          <w:sz w:val="21"/>
          <w:szCs w:val="21"/>
        </w:rPr>
      </w:pPr>
    </w:p>
    <w:p>
      <w:pPr>
        <w:keepNext w:val="0"/>
        <w:keepLines w:val="0"/>
        <w:pageBreakBefore w:val="0"/>
        <w:widowControl/>
        <w:tabs>
          <w:tab w:val="left" w:pos="2940"/>
        </w:tabs>
        <w:kinsoku/>
        <w:wordWrap/>
        <w:overflowPunct/>
        <w:topLinePunct w:val="0"/>
        <w:autoSpaceDE/>
        <w:autoSpaceDN/>
        <w:bidi w:val="0"/>
        <w:adjustRightInd/>
        <w:snapToGrid/>
        <w:spacing w:after="0" w:line="240" w:lineRule="auto"/>
        <w:ind w:left="46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联系电话：</w:t>
      </w:r>
      <w:r>
        <w:rPr>
          <w:rFonts w:hint="eastAsia" w:ascii="宋体" w:hAnsi="宋体" w:eastAsia="宋体" w:cs="宋体"/>
          <w:color w:val="auto"/>
          <w:sz w:val="21"/>
          <w:szCs w:val="21"/>
          <w:lang w:val="en-US" w:eastAsia="zh-CN"/>
        </w:rPr>
        <w:t>0999-8139579/17799361259</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after="0" w:line="240" w:lineRule="auto"/>
        <w:ind w:left="6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2019 年</w:t>
      </w: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 xml:space="preserve">月 </w:t>
      </w: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rPr>
        <w:t xml:space="preserve"> 日</w:t>
      </w:r>
    </w:p>
    <w:p>
      <w:pPr>
        <w:keepNext w:val="0"/>
        <w:keepLines w:val="0"/>
        <w:pageBreakBefore w:val="0"/>
        <w:kinsoku/>
        <w:wordWrap/>
        <w:overflowPunct/>
        <w:topLinePunct w:val="0"/>
        <w:autoSpaceDE/>
        <w:autoSpaceDN/>
        <w:bidi w:val="0"/>
        <w:adjustRightInd/>
        <w:snapToGrid/>
        <w:spacing w:line="240" w:lineRule="auto"/>
        <w:jc w:val="center"/>
        <w:textAlignment w:val="auto"/>
        <w:rPr>
          <w:b/>
          <w:bCs/>
          <w:sz w:val="32"/>
          <w:szCs w:val="40"/>
        </w:rPr>
      </w:pPr>
    </w:p>
    <w:p/>
    <w:p/>
    <w:p>
      <w:pPr>
        <w:jc w:val="center"/>
        <w:rPr>
          <w:b/>
          <w:bCs/>
          <w:sz w:val="32"/>
          <w:szCs w:val="40"/>
        </w:rPr>
      </w:pPr>
    </w:p>
    <w:p/>
    <w:p/>
    <w:p>
      <w:pPr>
        <w:jc w:val="center"/>
        <w:rPr>
          <w:b/>
          <w:bCs/>
          <w:sz w:val="32"/>
          <w:szCs w:val="40"/>
        </w:rPr>
      </w:pPr>
    </w:p>
    <w:p/>
    <w:p>
      <w:pPr>
        <w:spacing w:line="360" w:lineRule="exact"/>
        <w:jc w:val="center"/>
        <w:rPr>
          <w:rFonts w:ascii="宋体" w:hAnsi="宋体"/>
          <w:b/>
          <w:szCs w:val="21"/>
        </w:rPr>
      </w:pPr>
    </w:p>
    <w:p/>
    <w:p>
      <w:pPr>
        <w:spacing w:line="440" w:lineRule="exact"/>
        <w:jc w:val="center"/>
        <w:outlineLvl w:val="0"/>
        <w:rPr>
          <w:rFonts w:hint="eastAsia" w:ascii="宋体" w:hAnsi="宋体" w:cs="宋体"/>
          <w:b/>
          <w:bCs/>
          <w:sz w:val="24"/>
          <w:szCs w:val="24"/>
        </w:rPr>
      </w:pPr>
    </w:p>
    <w:p>
      <w:pPr>
        <w:spacing w:line="440" w:lineRule="exact"/>
        <w:jc w:val="center"/>
        <w:outlineLvl w:val="0"/>
        <w:rPr>
          <w:rFonts w:hint="eastAsia" w:ascii="宋体" w:hAnsi="宋体" w:cs="宋体"/>
          <w:b/>
          <w:bCs/>
          <w:sz w:val="24"/>
          <w:szCs w:val="24"/>
        </w:rPr>
      </w:pPr>
    </w:p>
    <w:p>
      <w:pPr>
        <w:spacing w:line="440" w:lineRule="exact"/>
        <w:jc w:val="center"/>
        <w:outlineLvl w:val="0"/>
        <w:rPr>
          <w:rFonts w:hint="eastAsia" w:ascii="宋体" w:hAnsi="宋体" w:cs="宋体"/>
          <w:b/>
          <w:bCs/>
          <w:sz w:val="24"/>
          <w:szCs w:val="24"/>
        </w:rPr>
      </w:pPr>
    </w:p>
    <w:p>
      <w:pPr>
        <w:spacing w:line="440" w:lineRule="exact"/>
        <w:jc w:val="center"/>
        <w:outlineLvl w:val="0"/>
        <w:rPr>
          <w:rFonts w:hint="eastAsia" w:ascii="宋体" w:hAnsi="宋体" w:cs="宋体"/>
          <w:b/>
          <w:bCs/>
          <w:sz w:val="24"/>
          <w:szCs w:val="24"/>
        </w:rPr>
      </w:pPr>
    </w:p>
    <w:p>
      <w:pPr>
        <w:spacing w:line="440" w:lineRule="exact"/>
        <w:jc w:val="center"/>
        <w:outlineLvl w:val="0"/>
        <w:rPr>
          <w:rFonts w:hint="eastAsia" w:ascii="宋体" w:hAnsi="宋体" w:cs="宋体"/>
          <w:b/>
          <w:bCs/>
          <w:sz w:val="24"/>
          <w:szCs w:val="24"/>
        </w:rPr>
      </w:pPr>
    </w:p>
    <w:p>
      <w:pPr>
        <w:pStyle w:val="2"/>
        <w:rPr>
          <w:rFonts w:hint="eastAsia"/>
        </w:rPr>
      </w:pPr>
    </w:p>
    <w:p>
      <w:pPr>
        <w:spacing w:line="440" w:lineRule="exact"/>
        <w:jc w:val="center"/>
        <w:outlineLvl w:val="0"/>
        <w:rPr>
          <w:rFonts w:hint="eastAsia" w:ascii="宋体" w:hAnsi="宋体" w:cs="宋体"/>
          <w:b/>
          <w:bCs/>
          <w:sz w:val="24"/>
          <w:szCs w:val="24"/>
        </w:rPr>
      </w:pPr>
    </w:p>
    <w:p>
      <w:pPr>
        <w:pStyle w:val="2"/>
        <w:rPr>
          <w:rFonts w:hint="eastAsia"/>
        </w:rPr>
      </w:pPr>
    </w:p>
    <w:p>
      <w:pPr>
        <w:pStyle w:val="2"/>
        <w:rPr>
          <w:rFonts w:hint="eastAsia"/>
        </w:rPr>
      </w:pPr>
    </w:p>
    <w:p>
      <w:pPr>
        <w:pStyle w:val="2"/>
        <w:rPr>
          <w:rFonts w:hint="eastAsia"/>
        </w:rPr>
      </w:pPr>
    </w:p>
    <w:p>
      <w:pPr>
        <w:spacing w:line="440" w:lineRule="exact"/>
        <w:jc w:val="center"/>
        <w:outlineLvl w:val="0"/>
        <w:rPr>
          <w:rFonts w:hint="eastAsia" w:ascii="宋体" w:hAnsi="宋体" w:cs="宋体"/>
          <w:b/>
          <w:bCs/>
          <w:sz w:val="24"/>
          <w:szCs w:val="24"/>
        </w:rPr>
      </w:pPr>
    </w:p>
    <w:p>
      <w:pPr>
        <w:spacing w:line="440" w:lineRule="exact"/>
        <w:jc w:val="center"/>
        <w:outlineLvl w:val="0"/>
        <w:rPr>
          <w:rFonts w:ascii="宋体" w:cs="Times New Roman"/>
          <w:b/>
          <w:bCs/>
          <w:sz w:val="24"/>
          <w:szCs w:val="24"/>
        </w:rPr>
      </w:pPr>
      <w:bookmarkStart w:id="2" w:name="_Toc31878"/>
      <w:r>
        <w:rPr>
          <w:rFonts w:hint="eastAsia" w:ascii="宋体" w:hAnsi="宋体" w:cs="宋体"/>
          <w:b/>
          <w:bCs/>
          <w:sz w:val="24"/>
          <w:szCs w:val="24"/>
        </w:rPr>
        <w:t>供应商须知前附表</w:t>
      </w:r>
      <w:bookmarkEnd w:id="0"/>
      <w:bookmarkEnd w:id="2"/>
    </w:p>
    <w:tbl>
      <w:tblPr>
        <w:tblStyle w:val="11"/>
        <w:tblW w:w="91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
      <w:tblGrid>
        <w:gridCol w:w="599"/>
        <w:gridCol w:w="1600"/>
        <w:gridCol w:w="6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134" w:hRule="atLeast"/>
          <w:jc w:val="center"/>
        </w:trPr>
        <w:tc>
          <w:tcPr>
            <w:tcW w:w="599" w:type="dxa"/>
            <w:vAlign w:val="center"/>
          </w:tcPr>
          <w:p>
            <w:pPr>
              <w:jc w:val="center"/>
              <w:rPr>
                <w:rFonts w:ascii="宋体" w:cs="宋体"/>
                <w:b/>
                <w:bCs/>
                <w:kern w:val="0"/>
              </w:rPr>
            </w:pPr>
            <w:r>
              <w:rPr>
                <w:rFonts w:hint="eastAsia" w:ascii="宋体" w:hAnsi="宋体" w:cs="宋体"/>
                <w:b/>
                <w:bCs/>
                <w:kern w:val="0"/>
              </w:rPr>
              <w:t>项号</w:t>
            </w:r>
          </w:p>
        </w:tc>
        <w:tc>
          <w:tcPr>
            <w:tcW w:w="8520" w:type="dxa"/>
            <w:gridSpan w:val="2"/>
          </w:tcPr>
          <w:p>
            <w:pPr>
              <w:jc w:val="center"/>
              <w:rPr>
                <w:rFonts w:ascii="宋体" w:cs="宋体"/>
                <w:b/>
                <w:bCs/>
                <w:kern w:val="0"/>
              </w:rPr>
            </w:pPr>
            <w:r>
              <w:rPr>
                <w:rFonts w:hint="eastAsia" w:ascii="宋体" w:hAnsi="宋体" w:cs="宋体"/>
                <w:b/>
                <w:bCs/>
                <w:kern w:val="0"/>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00" w:hRule="atLeast"/>
          <w:jc w:val="center"/>
        </w:trPr>
        <w:tc>
          <w:tcPr>
            <w:tcW w:w="599" w:type="dxa"/>
            <w:vMerge w:val="restart"/>
            <w:vAlign w:val="center"/>
          </w:tcPr>
          <w:p>
            <w:pPr>
              <w:jc w:val="center"/>
              <w:rPr>
                <w:rFonts w:ascii="宋体" w:hAnsi="宋体" w:cs="宋体"/>
                <w:kern w:val="0"/>
              </w:rPr>
            </w:pPr>
            <w:r>
              <w:rPr>
                <w:rFonts w:ascii="宋体" w:hAnsi="宋体" w:cs="宋体"/>
                <w:kern w:val="0"/>
              </w:rPr>
              <w:t>1</w:t>
            </w:r>
          </w:p>
        </w:tc>
        <w:tc>
          <w:tcPr>
            <w:tcW w:w="1600" w:type="dxa"/>
            <w:vAlign w:val="center"/>
          </w:tcPr>
          <w:p>
            <w:pPr>
              <w:keepNext/>
              <w:widowControl/>
              <w:jc w:val="distribute"/>
              <w:rPr>
                <w:rFonts w:ascii="宋体" w:cs="宋体"/>
                <w:color w:val="000000"/>
                <w:kern w:val="0"/>
              </w:rPr>
            </w:pPr>
            <w:r>
              <w:rPr>
                <w:rFonts w:hint="eastAsia" w:ascii="宋体" w:hAnsi="宋体" w:cs="宋体"/>
                <w:color w:val="000000"/>
                <w:kern w:val="0"/>
              </w:rPr>
              <w:t>项目名称</w:t>
            </w:r>
          </w:p>
        </w:tc>
        <w:tc>
          <w:tcPr>
            <w:tcW w:w="6920" w:type="dxa"/>
            <w:vAlign w:val="center"/>
          </w:tcPr>
          <w:p>
            <w:pPr>
              <w:keepNext w:val="0"/>
              <w:keepLines w:val="0"/>
              <w:pageBreakBefore w:val="0"/>
              <w:kinsoku/>
              <w:wordWrap/>
              <w:overflowPunct/>
              <w:topLinePunct w:val="0"/>
              <w:autoSpaceDE/>
              <w:autoSpaceDN/>
              <w:bidi w:val="0"/>
              <w:adjustRightInd/>
              <w:snapToGrid/>
              <w:spacing w:after="0" w:line="240" w:lineRule="auto"/>
              <w:ind w:right="60"/>
              <w:jc w:val="both"/>
              <w:textAlignment w:val="auto"/>
              <w:rPr>
                <w:rFonts w:ascii="宋体" w:hAnsi="宋体" w:cs="宋体"/>
                <w:color w:val="000000"/>
                <w:kern w:val="0"/>
                <w:sz w:val="24"/>
                <w:szCs w:val="24"/>
                <w:u w:val="single"/>
              </w:rPr>
            </w:pPr>
            <w:r>
              <w:rPr>
                <w:rFonts w:hint="eastAsia" w:ascii="宋体" w:hAnsi="宋体" w:cs="宋体"/>
                <w:color w:val="000000"/>
                <w:kern w:val="0"/>
                <w:lang w:eastAsia="zh-CN"/>
              </w:rPr>
              <w:t>伊犁师范大学低值易耗及危化品业务管理平台项目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00" w:hRule="atLeast"/>
          <w:jc w:val="center"/>
        </w:trPr>
        <w:tc>
          <w:tcPr>
            <w:tcW w:w="599" w:type="dxa"/>
            <w:vMerge w:val="continue"/>
            <w:vAlign w:val="center"/>
          </w:tcPr>
          <w:p>
            <w:pPr>
              <w:jc w:val="center"/>
              <w:rPr>
                <w:rFonts w:ascii="宋体" w:cs="宋体"/>
                <w:kern w:val="0"/>
              </w:rPr>
            </w:pPr>
          </w:p>
        </w:tc>
        <w:tc>
          <w:tcPr>
            <w:tcW w:w="1600" w:type="dxa"/>
            <w:vAlign w:val="center"/>
          </w:tcPr>
          <w:p>
            <w:pPr>
              <w:keepNext/>
              <w:widowControl/>
              <w:jc w:val="distribute"/>
              <w:rPr>
                <w:rFonts w:ascii="宋体" w:cs="宋体"/>
                <w:color w:val="000000"/>
                <w:kern w:val="0"/>
              </w:rPr>
            </w:pPr>
            <w:r>
              <w:rPr>
                <w:rFonts w:hint="eastAsia" w:ascii="宋体" w:hAnsi="宋体" w:cs="宋体"/>
                <w:color w:val="000000"/>
                <w:kern w:val="0"/>
              </w:rPr>
              <w:t>项目编号</w:t>
            </w:r>
          </w:p>
        </w:tc>
        <w:tc>
          <w:tcPr>
            <w:tcW w:w="6920" w:type="dxa"/>
            <w:vAlign w:val="center"/>
          </w:tcPr>
          <w:p>
            <w:pPr>
              <w:widowControl/>
              <w:spacing w:line="360" w:lineRule="auto"/>
              <w:jc w:val="left"/>
              <w:rPr>
                <w:rFonts w:hint="default" w:ascii="宋体" w:hAnsi="宋体" w:eastAsia="宋体" w:cs="宋体"/>
                <w:color w:val="000000"/>
                <w:kern w:val="0"/>
                <w:lang w:val="en-US" w:eastAsia="zh-CN"/>
              </w:rPr>
            </w:pPr>
            <w:r>
              <w:rPr>
                <w:rFonts w:hint="eastAsia" w:ascii="宋体" w:hAnsi="宋体" w:cs="宋体"/>
                <w:color w:val="000000"/>
                <w:kern w:val="0"/>
                <w:lang w:eastAsia="zh-CN"/>
              </w:rPr>
              <w:t>YL（CS）YC2019-</w:t>
            </w:r>
            <w:r>
              <w:rPr>
                <w:rFonts w:hint="eastAsia" w:ascii="宋体" w:hAnsi="宋体" w:cs="宋体"/>
                <w:color w:val="000000"/>
                <w:kern w:val="0"/>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00" w:hRule="atLeast"/>
          <w:jc w:val="center"/>
        </w:trPr>
        <w:tc>
          <w:tcPr>
            <w:tcW w:w="599" w:type="dxa"/>
            <w:vMerge w:val="continue"/>
            <w:vAlign w:val="center"/>
          </w:tcPr>
          <w:p>
            <w:pPr>
              <w:jc w:val="center"/>
              <w:rPr>
                <w:rFonts w:ascii="宋体" w:cs="宋体"/>
                <w:kern w:val="0"/>
              </w:rPr>
            </w:pPr>
          </w:p>
        </w:tc>
        <w:tc>
          <w:tcPr>
            <w:tcW w:w="1600" w:type="dxa"/>
            <w:vAlign w:val="center"/>
          </w:tcPr>
          <w:p>
            <w:pPr>
              <w:keepNext/>
              <w:widowControl/>
              <w:jc w:val="distribute"/>
              <w:rPr>
                <w:rFonts w:ascii="宋体" w:cs="宋体"/>
                <w:color w:val="000000"/>
                <w:kern w:val="0"/>
              </w:rPr>
            </w:pPr>
            <w:r>
              <w:rPr>
                <w:rFonts w:hint="eastAsia" w:ascii="宋体" w:hAnsi="宋体" w:cs="宋体"/>
                <w:color w:val="000000"/>
                <w:kern w:val="0"/>
              </w:rPr>
              <w:t>招标人</w:t>
            </w:r>
          </w:p>
        </w:tc>
        <w:tc>
          <w:tcPr>
            <w:tcW w:w="6920" w:type="dxa"/>
            <w:vAlign w:val="center"/>
          </w:tcPr>
          <w:p>
            <w:pPr>
              <w:widowControl/>
              <w:spacing w:line="360" w:lineRule="auto"/>
              <w:jc w:val="left"/>
              <w:rPr>
                <w:rFonts w:ascii="宋体" w:hAnsi="宋体" w:cs="宋体"/>
                <w:color w:val="000000"/>
                <w:kern w:val="0"/>
              </w:rPr>
            </w:pPr>
            <w:r>
              <w:rPr>
                <w:rFonts w:hint="eastAsia" w:ascii="宋体" w:hAnsi="宋体" w:cs="宋体"/>
                <w:color w:val="000000"/>
                <w:kern w:val="0"/>
                <w:lang w:eastAsia="zh-CN"/>
              </w:rPr>
              <w:t>伊犁师范大学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00" w:hRule="atLeast"/>
          <w:jc w:val="center"/>
        </w:trPr>
        <w:tc>
          <w:tcPr>
            <w:tcW w:w="599" w:type="dxa"/>
            <w:vMerge w:val="continue"/>
            <w:vAlign w:val="center"/>
          </w:tcPr>
          <w:p>
            <w:pPr>
              <w:jc w:val="center"/>
              <w:rPr>
                <w:rFonts w:ascii="宋体" w:cs="宋体"/>
                <w:kern w:val="0"/>
              </w:rPr>
            </w:pPr>
          </w:p>
        </w:tc>
        <w:tc>
          <w:tcPr>
            <w:tcW w:w="1600" w:type="dxa"/>
            <w:vAlign w:val="center"/>
          </w:tcPr>
          <w:p>
            <w:pPr>
              <w:keepNext/>
              <w:widowControl/>
              <w:jc w:val="distribute"/>
              <w:rPr>
                <w:rFonts w:ascii="宋体" w:cs="宋体"/>
                <w:color w:val="000000"/>
                <w:kern w:val="0"/>
              </w:rPr>
            </w:pPr>
            <w:r>
              <w:rPr>
                <w:rFonts w:hint="eastAsia" w:ascii="宋体" w:hAnsi="宋体" w:cs="宋体"/>
                <w:color w:val="000000"/>
                <w:kern w:val="0"/>
              </w:rPr>
              <w:t>招标代理机构</w:t>
            </w:r>
          </w:p>
        </w:tc>
        <w:tc>
          <w:tcPr>
            <w:tcW w:w="6920" w:type="dxa"/>
            <w:vAlign w:val="center"/>
          </w:tcPr>
          <w:p>
            <w:pPr>
              <w:keepNext/>
              <w:widowControl/>
              <w:jc w:val="left"/>
              <w:rPr>
                <w:rFonts w:hint="eastAsia" w:ascii="宋体" w:eastAsia="宋体" w:cs="Times New Roman"/>
                <w:color w:val="000000"/>
                <w:kern w:val="0"/>
                <w:lang w:eastAsia="zh-CN"/>
              </w:rPr>
            </w:pPr>
            <w:r>
              <w:rPr>
                <w:rFonts w:hint="eastAsia" w:ascii="宋体" w:hAnsi="宋体" w:cs="宋体"/>
                <w:color w:val="000000"/>
                <w:kern w:val="0"/>
                <w:lang w:eastAsia="zh-CN"/>
              </w:rPr>
              <w:t>新疆谊诚工程项目管理咨询有限公司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00" w:hRule="atLeast"/>
          <w:jc w:val="center"/>
        </w:trPr>
        <w:tc>
          <w:tcPr>
            <w:tcW w:w="599" w:type="dxa"/>
            <w:vMerge w:val="continue"/>
            <w:vAlign w:val="center"/>
          </w:tcPr>
          <w:p>
            <w:pPr>
              <w:jc w:val="center"/>
              <w:rPr>
                <w:rFonts w:ascii="宋体" w:cs="宋体"/>
                <w:kern w:val="0"/>
              </w:rPr>
            </w:pPr>
          </w:p>
        </w:tc>
        <w:tc>
          <w:tcPr>
            <w:tcW w:w="1600" w:type="dxa"/>
            <w:vAlign w:val="center"/>
          </w:tcPr>
          <w:p>
            <w:pPr>
              <w:keepNext/>
              <w:widowControl/>
              <w:jc w:val="distribute"/>
              <w:rPr>
                <w:rFonts w:ascii="宋体" w:cs="宋体"/>
                <w:color w:val="000000"/>
                <w:kern w:val="0"/>
              </w:rPr>
            </w:pPr>
            <w:r>
              <w:rPr>
                <w:rFonts w:hint="eastAsia" w:ascii="宋体" w:hAnsi="宋体" w:cs="宋体"/>
                <w:color w:val="000000"/>
                <w:kern w:val="0"/>
              </w:rPr>
              <w:t>项目地点</w:t>
            </w:r>
          </w:p>
        </w:tc>
        <w:tc>
          <w:tcPr>
            <w:tcW w:w="6920" w:type="dxa"/>
            <w:vAlign w:val="center"/>
          </w:tcPr>
          <w:p>
            <w:pPr>
              <w:keepNext/>
              <w:widowControl/>
              <w:jc w:val="left"/>
              <w:rPr>
                <w:rFonts w:hint="eastAsia" w:ascii="宋体" w:eastAsia="宋体" w:cs="宋体"/>
                <w:color w:val="000000"/>
                <w:kern w:val="0"/>
                <w:lang w:eastAsia="zh-CN"/>
              </w:rPr>
            </w:pPr>
            <w:r>
              <w:rPr>
                <w:rFonts w:hint="eastAsia" w:ascii="宋体" w:hAnsi="宋体" w:cs="宋体"/>
                <w:color w:val="000000"/>
                <w:kern w:val="0"/>
                <w:lang w:eastAsia="zh-CN"/>
              </w:rPr>
              <w:t>伊犁师范大学校内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00" w:hRule="atLeast"/>
          <w:jc w:val="center"/>
        </w:trPr>
        <w:tc>
          <w:tcPr>
            <w:tcW w:w="599" w:type="dxa"/>
            <w:vMerge w:val="continue"/>
            <w:vAlign w:val="center"/>
          </w:tcPr>
          <w:p>
            <w:pPr>
              <w:jc w:val="center"/>
              <w:rPr>
                <w:rFonts w:ascii="宋体" w:cs="宋体"/>
                <w:kern w:val="0"/>
                <w:sz w:val="20"/>
                <w:szCs w:val="20"/>
              </w:rPr>
            </w:pPr>
          </w:p>
        </w:tc>
        <w:tc>
          <w:tcPr>
            <w:tcW w:w="1600" w:type="dxa"/>
            <w:vAlign w:val="center"/>
          </w:tcPr>
          <w:p>
            <w:pPr>
              <w:keepNext/>
              <w:widowControl/>
              <w:jc w:val="distribute"/>
              <w:rPr>
                <w:rFonts w:ascii="宋体" w:cs="宋体"/>
                <w:color w:val="000000"/>
                <w:kern w:val="0"/>
              </w:rPr>
            </w:pPr>
            <w:r>
              <w:rPr>
                <w:rFonts w:hint="eastAsia" w:ascii="宋体" w:hAnsi="宋体" w:cs="宋体"/>
                <w:color w:val="000000"/>
                <w:kern w:val="0"/>
              </w:rPr>
              <w:t>资金来源</w:t>
            </w:r>
          </w:p>
        </w:tc>
        <w:tc>
          <w:tcPr>
            <w:tcW w:w="6920" w:type="dxa"/>
            <w:vAlign w:val="center"/>
          </w:tcPr>
          <w:p>
            <w:pPr>
              <w:keepNext/>
              <w:widowControl/>
              <w:jc w:val="left"/>
              <w:rPr>
                <w:rFonts w:hint="eastAsia" w:ascii="宋体" w:eastAsia="宋体" w:cs="宋体"/>
                <w:color w:val="000000"/>
                <w:kern w:val="0"/>
                <w:lang w:eastAsia="zh-CN"/>
              </w:rPr>
            </w:pPr>
            <w:r>
              <w:rPr>
                <w:rFonts w:hint="eastAsia" w:ascii="宋体" w:cs="宋体"/>
                <w:color w:val="0000FF"/>
                <w:kern w:val="0"/>
                <w:lang w:eastAsia="zh-CN"/>
              </w:rPr>
              <w:t>自筹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00" w:hRule="atLeast"/>
          <w:jc w:val="center"/>
        </w:trPr>
        <w:tc>
          <w:tcPr>
            <w:tcW w:w="599" w:type="dxa"/>
            <w:vMerge w:val="continue"/>
            <w:vAlign w:val="center"/>
          </w:tcPr>
          <w:p>
            <w:pPr>
              <w:jc w:val="center"/>
              <w:rPr>
                <w:rFonts w:ascii="宋体" w:cs="宋体"/>
                <w:kern w:val="0"/>
              </w:rPr>
            </w:pPr>
          </w:p>
        </w:tc>
        <w:tc>
          <w:tcPr>
            <w:tcW w:w="1600" w:type="dxa"/>
            <w:vAlign w:val="center"/>
          </w:tcPr>
          <w:p>
            <w:pPr>
              <w:keepNext/>
              <w:widowControl/>
              <w:jc w:val="distribute"/>
              <w:rPr>
                <w:rFonts w:ascii="宋体" w:cs="宋体"/>
                <w:kern w:val="0"/>
              </w:rPr>
            </w:pPr>
            <w:r>
              <w:rPr>
                <w:rFonts w:hint="eastAsia" w:ascii="宋体" w:hAnsi="宋体" w:cs="宋体"/>
                <w:kern w:val="0"/>
              </w:rPr>
              <w:t>采购预算</w:t>
            </w:r>
          </w:p>
        </w:tc>
        <w:tc>
          <w:tcPr>
            <w:tcW w:w="6920" w:type="dxa"/>
            <w:vAlign w:val="center"/>
          </w:tcPr>
          <w:p>
            <w:pPr>
              <w:keepNext/>
              <w:widowControl/>
              <w:jc w:val="left"/>
              <w:rPr>
                <w:rFonts w:ascii="宋体" w:cs="宋体"/>
                <w:kern w:val="0"/>
                <w:sz w:val="20"/>
                <w:szCs w:val="20"/>
              </w:rPr>
            </w:pPr>
            <w:r>
              <w:rPr>
                <w:rFonts w:hint="eastAsia" w:ascii="宋体" w:hAnsi="宋体" w:cs="宋体"/>
                <w:kern w:val="0"/>
                <w:lang w:val="en-US" w:eastAsia="zh-CN"/>
              </w:rPr>
              <w:t>19.63万</w:t>
            </w:r>
            <w:r>
              <w:rPr>
                <w:rFonts w:hint="eastAsia" w:ascii="宋体" w:hAnsi="宋体" w:eastAsia="宋体" w:cs="宋体"/>
                <w:kern w:val="0"/>
                <w:lang w:val="en-US"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00" w:hRule="atLeast"/>
          <w:jc w:val="center"/>
        </w:trPr>
        <w:tc>
          <w:tcPr>
            <w:tcW w:w="599" w:type="dxa"/>
            <w:vMerge w:val="continue"/>
            <w:vAlign w:val="center"/>
          </w:tcPr>
          <w:p>
            <w:pPr>
              <w:jc w:val="center"/>
              <w:rPr>
                <w:rFonts w:ascii="宋体" w:cs="宋体"/>
                <w:kern w:val="0"/>
              </w:rPr>
            </w:pPr>
          </w:p>
        </w:tc>
        <w:tc>
          <w:tcPr>
            <w:tcW w:w="1600" w:type="dxa"/>
            <w:vAlign w:val="center"/>
          </w:tcPr>
          <w:p>
            <w:pPr>
              <w:keepNext/>
              <w:widowControl/>
              <w:jc w:val="distribute"/>
              <w:rPr>
                <w:rFonts w:ascii="宋体" w:cs="宋体"/>
                <w:color w:val="000000"/>
                <w:kern w:val="0"/>
              </w:rPr>
            </w:pPr>
            <w:r>
              <w:rPr>
                <w:rFonts w:hint="eastAsia" w:ascii="宋体" w:hAnsi="宋体" w:cs="宋体"/>
                <w:color w:val="000000"/>
                <w:kern w:val="0"/>
              </w:rPr>
              <w:t>采购内容</w:t>
            </w:r>
          </w:p>
        </w:tc>
        <w:tc>
          <w:tcPr>
            <w:tcW w:w="6920" w:type="dxa"/>
            <w:vAlign w:val="center"/>
          </w:tcPr>
          <w:p>
            <w:pPr>
              <w:widowControl/>
              <w:spacing w:line="360" w:lineRule="exact"/>
              <w:rPr>
                <w:rFonts w:hint="eastAsia" w:ascii="宋体" w:eastAsia="宋体" w:cs="宋体"/>
                <w:color w:val="000000"/>
                <w:kern w:val="0"/>
                <w:lang w:val="en-US" w:eastAsia="zh-CN"/>
              </w:rPr>
            </w:pPr>
            <w:r>
              <w:rPr>
                <w:rFonts w:hint="eastAsia" w:ascii="宋体" w:hAnsi="宋体" w:eastAsia="宋体" w:cs="宋体"/>
                <w:kern w:val="0"/>
                <w:lang w:val="en-US" w:eastAsia="zh-CN"/>
              </w:rPr>
              <w:t>低值易耗及危化品的业务管理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196" w:hRule="atLeast"/>
          <w:jc w:val="center"/>
        </w:trPr>
        <w:tc>
          <w:tcPr>
            <w:tcW w:w="599" w:type="dxa"/>
            <w:vMerge w:val="restart"/>
            <w:vAlign w:val="center"/>
          </w:tcPr>
          <w:p>
            <w:pPr>
              <w:jc w:val="center"/>
              <w:rPr>
                <w:rFonts w:ascii="宋体" w:hAnsi="宋体" w:cs="宋体"/>
                <w:kern w:val="0"/>
              </w:rPr>
            </w:pPr>
            <w:r>
              <w:rPr>
                <w:rFonts w:ascii="宋体" w:hAnsi="宋体" w:cs="宋体"/>
                <w:kern w:val="0"/>
              </w:rPr>
              <w:t>2</w:t>
            </w:r>
          </w:p>
        </w:tc>
        <w:tc>
          <w:tcPr>
            <w:tcW w:w="1600" w:type="dxa"/>
            <w:vAlign w:val="center"/>
          </w:tcPr>
          <w:p>
            <w:pPr>
              <w:keepNext/>
              <w:widowControl/>
              <w:jc w:val="distribute"/>
              <w:rPr>
                <w:rFonts w:ascii="宋体" w:cs="宋体"/>
                <w:color w:val="000000"/>
                <w:kern w:val="0"/>
              </w:rPr>
            </w:pPr>
            <w:r>
              <w:rPr>
                <w:rFonts w:hint="eastAsia" w:ascii="宋体" w:hAnsi="宋体" w:cs="宋体"/>
                <w:color w:val="000000"/>
                <w:kern w:val="0"/>
              </w:rPr>
              <w:t>服务地点</w:t>
            </w:r>
          </w:p>
        </w:tc>
        <w:tc>
          <w:tcPr>
            <w:tcW w:w="6920" w:type="dxa"/>
            <w:vAlign w:val="center"/>
          </w:tcPr>
          <w:p>
            <w:pPr>
              <w:keepNext/>
              <w:widowControl/>
              <w:jc w:val="left"/>
              <w:rPr>
                <w:rFonts w:ascii="宋体" w:cs="宋体"/>
                <w:color w:val="000000"/>
                <w:kern w:val="0"/>
              </w:rPr>
            </w:pPr>
            <w:r>
              <w:rPr>
                <w:rFonts w:hint="eastAsia" w:ascii="宋体" w:hAnsi="宋体" w:cs="宋体"/>
                <w:color w:val="000000"/>
                <w:kern w:val="0"/>
              </w:rPr>
              <w:t>甲方指定地点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196" w:hRule="atLeast"/>
          <w:jc w:val="center"/>
        </w:trPr>
        <w:tc>
          <w:tcPr>
            <w:tcW w:w="599" w:type="dxa"/>
            <w:vMerge w:val="continue"/>
            <w:vAlign w:val="center"/>
          </w:tcPr>
          <w:p>
            <w:pPr>
              <w:jc w:val="center"/>
              <w:rPr>
                <w:rFonts w:ascii="宋体" w:hAnsi="宋体" w:cs="宋体"/>
                <w:kern w:val="0"/>
              </w:rPr>
            </w:pPr>
          </w:p>
        </w:tc>
        <w:tc>
          <w:tcPr>
            <w:tcW w:w="1600" w:type="dxa"/>
            <w:vAlign w:val="center"/>
          </w:tcPr>
          <w:p>
            <w:pPr>
              <w:keepNext/>
              <w:widowControl/>
              <w:jc w:val="distribute"/>
              <w:rPr>
                <w:rFonts w:hint="eastAsia" w:ascii="宋体" w:hAnsi="宋体" w:eastAsia="宋体" w:cs="宋体"/>
                <w:color w:val="000000"/>
                <w:kern w:val="0"/>
                <w:lang w:eastAsia="zh-CN"/>
              </w:rPr>
            </w:pPr>
            <w:r>
              <w:rPr>
                <w:rFonts w:hint="eastAsia" w:ascii="宋体" w:hAnsi="宋体" w:cs="宋体"/>
                <w:color w:val="000000"/>
                <w:kern w:val="0"/>
                <w:lang w:eastAsia="zh-CN"/>
              </w:rPr>
              <w:t>交货时间</w:t>
            </w:r>
          </w:p>
        </w:tc>
        <w:tc>
          <w:tcPr>
            <w:tcW w:w="6920" w:type="dxa"/>
            <w:vAlign w:val="center"/>
          </w:tcPr>
          <w:p>
            <w:pPr>
              <w:keepNext/>
              <w:widowControl/>
              <w:jc w:val="left"/>
              <w:rPr>
                <w:rFonts w:hint="eastAsia" w:ascii="宋体" w:hAnsi="宋体" w:cs="宋体"/>
                <w:color w:val="000000"/>
                <w:kern w:val="0"/>
              </w:rPr>
            </w:pPr>
            <w:r>
              <w:rPr>
                <w:rFonts w:hint="eastAsia" w:ascii="宋体" w:hAnsi="宋体" w:eastAsia="宋体" w:cs="宋体"/>
                <w:color w:val="000000"/>
                <w:kern w:val="0"/>
              </w:rPr>
              <w:t>中标公示结束后15日历日内完成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00" w:hRule="atLeast"/>
          <w:jc w:val="center"/>
        </w:trPr>
        <w:tc>
          <w:tcPr>
            <w:tcW w:w="599" w:type="dxa"/>
            <w:vAlign w:val="center"/>
          </w:tcPr>
          <w:p>
            <w:pPr>
              <w:jc w:val="center"/>
              <w:rPr>
                <w:rFonts w:ascii="宋体" w:hAnsi="宋体" w:cs="宋体"/>
                <w:kern w:val="0"/>
              </w:rPr>
            </w:pPr>
            <w:r>
              <w:rPr>
                <w:rFonts w:ascii="宋体" w:hAnsi="宋体" w:cs="宋体"/>
                <w:kern w:val="0"/>
              </w:rPr>
              <w:t>3</w:t>
            </w:r>
          </w:p>
        </w:tc>
        <w:tc>
          <w:tcPr>
            <w:tcW w:w="1600" w:type="dxa"/>
            <w:vAlign w:val="center"/>
          </w:tcPr>
          <w:p>
            <w:pPr>
              <w:keepNext/>
              <w:widowControl/>
              <w:jc w:val="distribute"/>
              <w:rPr>
                <w:rFonts w:ascii="宋体" w:cs="宋体"/>
                <w:color w:val="000000"/>
                <w:kern w:val="0"/>
              </w:rPr>
            </w:pPr>
            <w:r>
              <w:rPr>
                <w:rFonts w:hint="eastAsia" w:ascii="宋体" w:hAnsi="宋体" w:cs="宋体"/>
                <w:color w:val="000000"/>
                <w:kern w:val="0"/>
              </w:rPr>
              <w:t>招标方式</w:t>
            </w:r>
          </w:p>
        </w:tc>
        <w:tc>
          <w:tcPr>
            <w:tcW w:w="6920" w:type="dxa"/>
            <w:vAlign w:val="center"/>
          </w:tcPr>
          <w:p>
            <w:pPr>
              <w:keepNext/>
              <w:widowControl/>
              <w:jc w:val="left"/>
              <w:rPr>
                <w:rFonts w:ascii="宋体" w:cs="宋体"/>
                <w:color w:val="000000"/>
                <w:kern w:val="0"/>
              </w:rPr>
            </w:pPr>
            <w:r>
              <w:rPr>
                <w:rFonts w:hint="eastAsia" w:ascii="宋体" w:hAnsi="宋体" w:cs="宋体"/>
                <w:color w:val="000000"/>
                <w:kern w:val="0"/>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00" w:hRule="atLeast"/>
          <w:jc w:val="center"/>
        </w:trPr>
        <w:tc>
          <w:tcPr>
            <w:tcW w:w="599" w:type="dxa"/>
            <w:vAlign w:val="center"/>
          </w:tcPr>
          <w:p>
            <w:pPr>
              <w:jc w:val="center"/>
              <w:rPr>
                <w:rFonts w:ascii="宋体" w:hAnsi="宋体" w:cs="宋体"/>
                <w:kern w:val="0"/>
              </w:rPr>
            </w:pPr>
            <w:r>
              <w:rPr>
                <w:rFonts w:ascii="宋体" w:hAnsi="宋体" w:cs="宋体"/>
                <w:kern w:val="0"/>
              </w:rPr>
              <w:t>4</w:t>
            </w:r>
          </w:p>
        </w:tc>
        <w:tc>
          <w:tcPr>
            <w:tcW w:w="1600" w:type="dxa"/>
            <w:vAlign w:val="center"/>
          </w:tcPr>
          <w:p>
            <w:pPr>
              <w:keepNext/>
              <w:widowControl/>
              <w:jc w:val="distribute"/>
              <w:rPr>
                <w:rFonts w:ascii="宋体" w:cs="宋体"/>
                <w:color w:val="000000"/>
                <w:kern w:val="0"/>
              </w:rPr>
            </w:pPr>
            <w:r>
              <w:rPr>
                <w:rFonts w:hint="eastAsia" w:ascii="宋体" w:hAnsi="宋体" w:cs="宋体"/>
                <w:color w:val="000000"/>
                <w:kern w:val="0"/>
              </w:rPr>
              <w:t>评标办法</w:t>
            </w:r>
          </w:p>
        </w:tc>
        <w:tc>
          <w:tcPr>
            <w:tcW w:w="6920" w:type="dxa"/>
            <w:vAlign w:val="center"/>
          </w:tcPr>
          <w:p>
            <w:pPr>
              <w:keepNext/>
              <w:widowControl/>
              <w:jc w:val="left"/>
              <w:rPr>
                <w:rFonts w:ascii="宋体" w:cs="宋体"/>
                <w:color w:val="000000"/>
                <w:kern w:val="0"/>
              </w:rPr>
            </w:pPr>
            <w:r>
              <w:rPr>
                <w:rFonts w:hint="eastAsia" w:ascii="宋体" w:hAnsi="宋体" w:cs="宋体"/>
                <w:color w:val="000000"/>
                <w:kern w:val="0"/>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189" w:hRule="atLeast"/>
          <w:jc w:val="center"/>
        </w:trPr>
        <w:tc>
          <w:tcPr>
            <w:tcW w:w="599" w:type="dxa"/>
            <w:vAlign w:val="center"/>
          </w:tcPr>
          <w:p>
            <w:pPr>
              <w:jc w:val="center"/>
              <w:rPr>
                <w:rFonts w:ascii="宋体" w:hAnsi="宋体" w:cs="宋体"/>
                <w:kern w:val="0"/>
              </w:rPr>
            </w:pPr>
            <w:r>
              <w:rPr>
                <w:rFonts w:ascii="宋体" w:hAnsi="宋体" w:cs="宋体"/>
                <w:kern w:val="0"/>
              </w:rPr>
              <w:t>5</w:t>
            </w:r>
          </w:p>
        </w:tc>
        <w:tc>
          <w:tcPr>
            <w:tcW w:w="1600" w:type="dxa"/>
            <w:vAlign w:val="center"/>
          </w:tcPr>
          <w:p>
            <w:pPr>
              <w:keepNext/>
              <w:widowControl/>
              <w:jc w:val="distribute"/>
              <w:rPr>
                <w:rFonts w:ascii="宋体" w:cs="宋体"/>
                <w:color w:val="000000"/>
                <w:kern w:val="0"/>
              </w:rPr>
            </w:pPr>
            <w:r>
              <w:rPr>
                <w:rFonts w:hint="eastAsia" w:ascii="宋体" w:hAnsi="宋体" w:cs="宋体"/>
                <w:color w:val="000000"/>
                <w:kern w:val="0"/>
              </w:rPr>
              <w:t>供应商资格条件和能力</w:t>
            </w:r>
          </w:p>
        </w:tc>
        <w:tc>
          <w:tcPr>
            <w:tcW w:w="6920" w:type="dxa"/>
            <w:vAlign w:val="center"/>
          </w:tcPr>
          <w:p>
            <w:pPr>
              <w:keepNext w:val="0"/>
              <w:keepLines w:val="0"/>
              <w:pageBreakBefore w:val="0"/>
              <w:widowControl/>
              <w:kinsoku/>
              <w:wordWrap/>
              <w:overflowPunct/>
              <w:topLinePunct w:val="0"/>
              <w:autoSpaceDE/>
              <w:autoSpaceDN/>
              <w:bidi w:val="0"/>
              <w:adjustRightInd/>
              <w:snapToGrid/>
              <w:spacing w:after="0" w:line="280" w:lineRule="exact"/>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投标供应商资格要求：</w:t>
            </w:r>
          </w:p>
          <w:p>
            <w:pPr>
              <w:pStyle w:val="17"/>
              <w:spacing w:line="440" w:lineRule="exact"/>
              <w:ind w:left="0" w:leftChars="0"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（1）符合《中华人民共和国政府采购法》第二十二条的相关规定；</w:t>
            </w:r>
          </w:p>
          <w:p>
            <w:pPr>
              <w:pStyle w:val="17"/>
              <w:spacing w:line="440" w:lineRule="exact"/>
              <w:ind w:left="0" w:leftChars="0"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（2）在中华人民共和国境内依法注册的、具有独立承担民事责任的能力；</w:t>
            </w:r>
          </w:p>
          <w:p>
            <w:pPr>
              <w:pStyle w:val="17"/>
              <w:spacing w:line="440" w:lineRule="exact"/>
              <w:ind w:left="0" w:leftChars="0"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（3）有效的“三证合一”的营业执照，且具备所投标的经营范围；</w:t>
            </w:r>
          </w:p>
          <w:p>
            <w:pPr>
              <w:pStyle w:val="17"/>
              <w:spacing w:line="440" w:lineRule="exact"/>
              <w:ind w:left="0" w:leftChars="0"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（4）具有履行合同所必须的设备和专业技术能力；</w:t>
            </w:r>
          </w:p>
          <w:p>
            <w:pPr>
              <w:pStyle w:val="17"/>
              <w:spacing w:line="440" w:lineRule="exact"/>
              <w:ind w:left="0" w:leftChars="0"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（5）具有良好的商业信誉和健全的财务会计制度；</w:t>
            </w:r>
          </w:p>
          <w:p>
            <w:pPr>
              <w:pStyle w:val="17"/>
              <w:spacing w:line="440" w:lineRule="exact"/>
              <w:ind w:left="0" w:leftChars="0"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（6）具有依法缴纳税收和社会保证资金的良好记录；</w:t>
            </w:r>
          </w:p>
          <w:p>
            <w:pPr>
              <w:pStyle w:val="17"/>
              <w:spacing w:line="440" w:lineRule="exact"/>
              <w:ind w:left="0" w:leftChars="0"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（7）近三年内，在经营活动中没有重大违法记录；</w:t>
            </w:r>
          </w:p>
          <w:p>
            <w:pPr>
              <w:pStyle w:val="17"/>
              <w:spacing w:line="440" w:lineRule="exact"/>
              <w:ind w:left="0" w:leftChars="0"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8）经信用中国（www.creditchina.gov.cn）、中国政府采购网（www.ccgp.gov.cn）等渠道查询后，列入失信被执行人、重大税收违法案件当事人名单、政府采购严重违法失信行为记录名单的，取消投标资格。（提供“信用中国”网站无任何不良记录的查询截图并加盖公章，时间为投标截止时间前20天内）；</w:t>
            </w:r>
          </w:p>
          <w:p>
            <w:pPr>
              <w:pStyle w:val="1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（9）本项目不允许以任何形式进行分包、转包；</w:t>
            </w:r>
          </w:p>
          <w:p>
            <w:pPr>
              <w:pStyle w:val="1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（10）本项目不接受联合体投标。</w:t>
            </w:r>
          </w:p>
          <w:p>
            <w:pPr>
              <w:keepNext w:val="0"/>
              <w:keepLines w:val="0"/>
              <w:pageBreakBefore w:val="0"/>
              <w:widowControl/>
              <w:kinsoku/>
              <w:wordWrap/>
              <w:overflowPunct/>
              <w:topLinePunct w:val="0"/>
              <w:autoSpaceDE/>
              <w:autoSpaceDN/>
              <w:bidi w:val="0"/>
              <w:adjustRightInd/>
              <w:snapToGrid/>
              <w:spacing w:after="0" w:line="280" w:lineRule="exact"/>
              <w:textAlignment w:val="auto"/>
              <w:rPr>
                <w:rFonts w:ascii="宋体" w:hAnsi="宋体" w:cs="宋体"/>
                <w:color w:val="00000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00" w:hRule="atLeast"/>
          <w:jc w:val="center"/>
        </w:trPr>
        <w:tc>
          <w:tcPr>
            <w:tcW w:w="599" w:type="dxa"/>
            <w:vAlign w:val="center"/>
          </w:tcPr>
          <w:p>
            <w:pPr>
              <w:jc w:val="center"/>
              <w:rPr>
                <w:rFonts w:ascii="宋体" w:hAnsi="宋体" w:cs="宋体"/>
                <w:kern w:val="0"/>
              </w:rPr>
            </w:pPr>
            <w:r>
              <w:rPr>
                <w:rFonts w:ascii="宋体" w:hAnsi="宋体" w:cs="宋体"/>
                <w:kern w:val="0"/>
              </w:rPr>
              <w:t>6</w:t>
            </w:r>
          </w:p>
        </w:tc>
        <w:tc>
          <w:tcPr>
            <w:tcW w:w="1600" w:type="dxa"/>
            <w:vAlign w:val="center"/>
          </w:tcPr>
          <w:p>
            <w:pPr>
              <w:keepNext/>
              <w:widowControl/>
              <w:jc w:val="distribute"/>
              <w:rPr>
                <w:rFonts w:ascii="宋体" w:cs="宋体"/>
                <w:color w:val="000000"/>
                <w:kern w:val="0"/>
              </w:rPr>
            </w:pPr>
            <w:r>
              <w:rPr>
                <w:rFonts w:hint="eastAsia" w:ascii="宋体" w:hAnsi="宋体" w:cs="宋体"/>
                <w:color w:val="000000"/>
                <w:kern w:val="0"/>
              </w:rPr>
              <w:t>现场踏勘</w:t>
            </w:r>
          </w:p>
        </w:tc>
        <w:tc>
          <w:tcPr>
            <w:tcW w:w="6920" w:type="dxa"/>
            <w:vAlign w:val="center"/>
          </w:tcPr>
          <w:p>
            <w:pPr>
              <w:keepNext/>
              <w:widowControl/>
              <w:jc w:val="left"/>
              <w:rPr>
                <w:rFonts w:hint="eastAsia" w:ascii="宋体" w:eastAsia="宋体" w:cs="宋体"/>
                <w:color w:val="000000"/>
                <w:kern w:val="0"/>
                <w:lang w:eastAsia="zh-CN"/>
              </w:rPr>
            </w:pPr>
            <w:r>
              <w:rPr>
                <w:rFonts w:hint="eastAsia" w:ascii="宋体" w:cs="宋体"/>
                <w:color w:val="000000"/>
                <w:kern w:val="0"/>
                <w:lang w:eastAsia="zh-CN"/>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500" w:hRule="atLeast"/>
          <w:jc w:val="center"/>
        </w:trPr>
        <w:tc>
          <w:tcPr>
            <w:tcW w:w="599" w:type="dxa"/>
            <w:vAlign w:val="center"/>
          </w:tcPr>
          <w:p>
            <w:pPr>
              <w:jc w:val="center"/>
              <w:rPr>
                <w:rFonts w:ascii="宋体" w:cs="Times New Roman"/>
                <w:kern w:val="0"/>
              </w:rPr>
            </w:pPr>
            <w:r>
              <w:rPr>
                <w:rFonts w:ascii="宋体" w:hAnsi="宋体" w:cs="宋体"/>
                <w:kern w:val="0"/>
              </w:rPr>
              <w:t>7</w:t>
            </w:r>
          </w:p>
        </w:tc>
        <w:tc>
          <w:tcPr>
            <w:tcW w:w="1600" w:type="dxa"/>
            <w:vAlign w:val="center"/>
          </w:tcPr>
          <w:p>
            <w:pPr>
              <w:keepNext/>
              <w:widowControl/>
              <w:jc w:val="distribute"/>
              <w:rPr>
                <w:rFonts w:ascii="宋体" w:cs="宋体"/>
                <w:color w:val="000000"/>
                <w:kern w:val="0"/>
              </w:rPr>
            </w:pPr>
            <w:r>
              <w:rPr>
                <w:rFonts w:hint="eastAsia" w:ascii="宋体" w:hAnsi="宋体" w:cs="宋体"/>
                <w:color w:val="000000"/>
                <w:kern w:val="0"/>
              </w:rPr>
              <w:t>招标答疑</w:t>
            </w:r>
          </w:p>
        </w:tc>
        <w:tc>
          <w:tcPr>
            <w:tcW w:w="6920" w:type="dxa"/>
            <w:vAlign w:val="center"/>
          </w:tcPr>
          <w:p>
            <w:pPr>
              <w:rPr>
                <w:rFonts w:ascii="宋体" w:cs="宋体"/>
                <w:kern w:val="0"/>
              </w:rPr>
            </w:pPr>
            <w:r>
              <w:rPr>
                <w:rFonts w:hint="eastAsia" w:ascii="宋体" w:hAnsi="宋体" w:cs="宋体"/>
                <w:kern w:val="0"/>
              </w:rPr>
              <w:t>对竞争性磋商文件有异议的应在磋商响应文件递交截止时间</w:t>
            </w:r>
            <w:r>
              <w:rPr>
                <w:rFonts w:ascii="宋体" w:hAnsi="宋体" w:cs="宋体"/>
                <w:kern w:val="0"/>
              </w:rPr>
              <w:t>7</w:t>
            </w:r>
            <w:r>
              <w:rPr>
                <w:rFonts w:hint="eastAsia" w:ascii="宋体" w:hAnsi="宋体" w:cs="宋体"/>
                <w:kern w:val="0"/>
              </w:rPr>
              <w:t>日前以书面形式加盖公章递交至</w:t>
            </w:r>
            <w:r>
              <w:rPr>
                <w:rFonts w:hint="eastAsia" w:ascii="宋体" w:hAnsi="宋体" w:cs="宋体"/>
                <w:color w:val="000000"/>
                <w:kern w:val="0"/>
                <w:lang w:eastAsia="zh-CN"/>
              </w:rPr>
              <w:t>新疆谊诚工程项目管理咨询有限公司</w:t>
            </w:r>
            <w:r>
              <w:rPr>
                <w:rFonts w:hint="eastAsia" w:ascii="宋体" w:hAnsi="宋体" w:cs="宋体"/>
                <w:kern w:val="0"/>
              </w:rPr>
              <w:t>，否则招标人不作任何解释。</w:t>
            </w:r>
          </w:p>
          <w:p>
            <w:pPr>
              <w:keepNext/>
              <w:widowControl/>
              <w:jc w:val="left"/>
              <w:rPr>
                <w:rFonts w:ascii="宋体" w:cs="宋体"/>
                <w:color w:val="000000"/>
                <w:kern w:val="0"/>
              </w:rPr>
            </w:pPr>
            <w:r>
              <w:rPr>
                <w:rFonts w:hint="eastAsia" w:ascii="宋体" w:hAnsi="宋体" w:cs="宋体"/>
                <w:kern w:val="0"/>
              </w:rPr>
              <w:t>澄清修改内容可能影响磋商响应文件编制的，应当在投标截止时间至少</w:t>
            </w:r>
            <w:r>
              <w:rPr>
                <w:rFonts w:ascii="宋体" w:hAnsi="宋体" w:cs="宋体"/>
                <w:kern w:val="0"/>
              </w:rPr>
              <w:t>5</w:t>
            </w:r>
            <w:r>
              <w:rPr>
                <w:rFonts w:hint="eastAsia" w:ascii="宋体" w:hAnsi="宋体" w:cs="宋体"/>
                <w:kern w:val="0"/>
              </w:rPr>
              <w:t>日前，以书面形式通知所有获取竞争性磋商文件的潜在供应商。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968" w:hRule="atLeast"/>
          <w:jc w:val="center"/>
        </w:trPr>
        <w:tc>
          <w:tcPr>
            <w:tcW w:w="599" w:type="dxa"/>
            <w:vAlign w:val="center"/>
          </w:tcPr>
          <w:p>
            <w:pPr>
              <w:jc w:val="center"/>
              <w:rPr>
                <w:rFonts w:ascii="宋体" w:hAnsi="宋体" w:cs="宋体"/>
                <w:kern w:val="0"/>
              </w:rPr>
            </w:pPr>
            <w:r>
              <w:rPr>
                <w:rFonts w:ascii="宋体" w:hAnsi="宋体" w:cs="宋体"/>
                <w:kern w:val="0"/>
              </w:rPr>
              <w:t>9</w:t>
            </w:r>
          </w:p>
        </w:tc>
        <w:tc>
          <w:tcPr>
            <w:tcW w:w="1600" w:type="dxa"/>
            <w:vAlign w:val="center"/>
          </w:tcPr>
          <w:p>
            <w:pPr>
              <w:keepNext/>
              <w:widowControl/>
              <w:jc w:val="distribute"/>
              <w:rPr>
                <w:rFonts w:ascii="宋体" w:cs="宋体"/>
                <w:color w:val="000000"/>
                <w:kern w:val="0"/>
              </w:rPr>
            </w:pPr>
            <w:r>
              <w:rPr>
                <w:rFonts w:hint="eastAsia" w:ascii="宋体" w:hAnsi="宋体" w:cs="宋体"/>
                <w:color w:val="000000"/>
                <w:kern w:val="0"/>
              </w:rPr>
              <w:t>投标保证金</w:t>
            </w:r>
          </w:p>
        </w:tc>
        <w:tc>
          <w:tcPr>
            <w:tcW w:w="6920" w:type="dxa"/>
            <w:vAlign w:val="center"/>
          </w:tcPr>
          <w:p>
            <w:pPr>
              <w:keepNext/>
              <w:widowControl/>
              <w:jc w:val="left"/>
              <w:rPr>
                <w:rFonts w:hint="eastAsia" w:ascii="宋体" w:hAnsi="宋体" w:cs="宋体"/>
                <w:kern w:val="0"/>
                <w:lang w:eastAsia="zh-CN"/>
              </w:rPr>
            </w:pPr>
            <w:r>
              <w:rPr>
                <w:rFonts w:hint="eastAsia" w:ascii="宋体" w:hAnsi="宋体" w:cs="宋体"/>
                <w:kern w:val="0"/>
              </w:rPr>
              <w:t>投标保证金：</w:t>
            </w:r>
            <w:r>
              <w:rPr>
                <w:rFonts w:hint="eastAsia" w:ascii="宋体" w:hAnsi="宋体" w:cs="宋体"/>
                <w:kern w:val="0"/>
                <w:lang w:val="en-US" w:eastAsia="zh-CN"/>
              </w:rPr>
              <w:t>5000.00元（</w:t>
            </w:r>
            <w:r>
              <w:rPr>
                <w:rFonts w:hint="eastAsia" w:ascii="宋体" w:hAnsi="宋体" w:cs="宋体"/>
                <w:kern w:val="0"/>
                <w:lang w:eastAsia="zh-CN"/>
              </w:rPr>
              <w:t>伍仟元整</w:t>
            </w:r>
            <w:r>
              <w:rPr>
                <w:rFonts w:hint="eastAsia" w:ascii="宋体" w:hAnsi="宋体" w:cs="宋体"/>
                <w:kern w:val="0"/>
                <w:lang w:val="en-US" w:eastAsia="zh-CN"/>
              </w:rPr>
              <w:t>）</w:t>
            </w:r>
          </w:p>
          <w:p>
            <w:pPr>
              <w:keepNext/>
              <w:widowControl/>
              <w:jc w:val="left"/>
              <w:rPr>
                <w:rFonts w:ascii="宋体" w:cs="宋体"/>
                <w:color w:val="000000"/>
                <w:kern w:val="0"/>
              </w:rPr>
            </w:pPr>
            <w:r>
              <w:rPr>
                <w:rFonts w:hint="eastAsia" w:ascii="宋体" w:hAnsi="宋体" w:cs="宋体"/>
                <w:kern w:val="0"/>
              </w:rPr>
              <w:t>投标保证金的缴纳形式：供应商在磋商响应文件递交截止时间前一个工作日</w:t>
            </w:r>
            <w:r>
              <w:rPr>
                <w:rFonts w:ascii="宋体" w:hAnsi="宋体" w:cs="宋体"/>
                <w:kern w:val="0"/>
              </w:rPr>
              <w:t>18</w:t>
            </w:r>
            <w:r>
              <w:rPr>
                <w:rFonts w:hint="eastAsia" w:ascii="宋体" w:hAnsi="宋体" w:cs="宋体"/>
                <w:kern w:val="0"/>
              </w:rPr>
              <w:t>：</w:t>
            </w:r>
            <w:r>
              <w:rPr>
                <w:rFonts w:ascii="宋体" w:hAnsi="宋体" w:cs="宋体"/>
                <w:kern w:val="0"/>
              </w:rPr>
              <w:t>00</w:t>
            </w:r>
            <w:r>
              <w:rPr>
                <w:rFonts w:hint="eastAsia" w:ascii="宋体" w:hAnsi="宋体" w:cs="宋体"/>
                <w:kern w:val="0"/>
              </w:rPr>
              <w:t>分之前汇入</w:t>
            </w:r>
            <w:r>
              <w:rPr>
                <w:rFonts w:hint="eastAsia" w:ascii="宋体" w:hAnsi="宋体" w:cs="宋体"/>
                <w:color w:val="000000"/>
                <w:kern w:val="0"/>
              </w:rPr>
              <w:t>指定账户，到代理公司开具投标保证金收据，以招标代理公司开具的投标保证金收据为准。（需考虑资金在途时间）。</w:t>
            </w:r>
          </w:p>
          <w:p>
            <w:pPr>
              <w:spacing w:after="0" w:line="280" w:lineRule="exact"/>
              <w:jc w:val="both"/>
              <w:rPr>
                <w:rFonts w:hint="eastAsia" w:ascii="Tahoma" w:hAnsi="Tahoma" w:eastAsia="宋体" w:cs="Tahoma"/>
                <w:b/>
                <w:color w:val="auto"/>
                <w:sz w:val="21"/>
                <w:szCs w:val="21"/>
              </w:rPr>
            </w:pPr>
            <w:r>
              <w:rPr>
                <w:rFonts w:hint="eastAsia" w:ascii="Tahoma" w:hAnsi="Tahoma" w:eastAsia="宋体" w:cs="Tahoma"/>
                <w:b/>
                <w:color w:val="auto"/>
                <w:sz w:val="21"/>
                <w:szCs w:val="21"/>
              </w:rPr>
              <w:t>收款单位：新疆谊诚工程项目管理咨询有限公司</w:t>
            </w:r>
          </w:p>
          <w:p>
            <w:pPr>
              <w:spacing w:after="0" w:line="280" w:lineRule="exact"/>
              <w:jc w:val="both"/>
              <w:rPr>
                <w:rFonts w:hint="eastAsia" w:ascii="Tahoma" w:hAnsi="Tahoma" w:eastAsia="宋体" w:cs="Tahoma"/>
                <w:b/>
                <w:color w:val="auto"/>
                <w:sz w:val="21"/>
                <w:szCs w:val="21"/>
              </w:rPr>
            </w:pPr>
            <w:r>
              <w:rPr>
                <w:rFonts w:hint="eastAsia" w:ascii="Tahoma" w:hAnsi="Tahoma" w:eastAsia="宋体" w:cs="Tahoma"/>
                <w:b/>
                <w:color w:val="auto"/>
                <w:sz w:val="21"/>
                <w:szCs w:val="21"/>
              </w:rPr>
              <w:t>账号：65001613200052510997</w:t>
            </w:r>
          </w:p>
          <w:p>
            <w:pPr>
              <w:spacing w:after="0" w:line="280" w:lineRule="exact"/>
              <w:jc w:val="both"/>
              <w:rPr>
                <w:rFonts w:hint="eastAsia" w:ascii="Tahoma" w:hAnsi="Tahoma" w:eastAsia="宋体" w:cs="Tahoma"/>
                <w:b/>
                <w:color w:val="auto"/>
                <w:sz w:val="21"/>
                <w:szCs w:val="21"/>
                <w:lang w:eastAsia="zh-CN"/>
              </w:rPr>
            </w:pPr>
            <w:r>
              <w:rPr>
                <w:rFonts w:hint="eastAsia" w:ascii="Tahoma" w:hAnsi="Tahoma" w:eastAsia="宋体" w:cs="Tahoma"/>
                <w:b/>
                <w:color w:val="auto"/>
                <w:sz w:val="21"/>
                <w:szCs w:val="21"/>
              </w:rPr>
              <w:t>行号：10588100029</w:t>
            </w:r>
            <w:r>
              <w:rPr>
                <w:rFonts w:hint="eastAsia" w:ascii="Tahoma" w:hAnsi="Tahoma" w:cs="Tahoma"/>
                <w:b/>
                <w:color w:val="auto"/>
                <w:sz w:val="21"/>
                <w:szCs w:val="21"/>
                <w:lang w:val="en-US" w:eastAsia="zh-CN"/>
              </w:rPr>
              <w:t>6</w:t>
            </w:r>
          </w:p>
          <w:p>
            <w:pPr>
              <w:spacing w:after="0" w:line="280" w:lineRule="exact"/>
              <w:jc w:val="both"/>
              <w:rPr>
                <w:rFonts w:hint="eastAsia" w:ascii="Tahoma" w:hAnsi="Tahoma" w:eastAsia="宋体" w:cs="Tahoma"/>
                <w:b/>
                <w:color w:val="auto"/>
                <w:sz w:val="21"/>
                <w:szCs w:val="21"/>
              </w:rPr>
            </w:pPr>
            <w:r>
              <w:rPr>
                <w:rFonts w:hint="eastAsia" w:ascii="Tahoma" w:hAnsi="Tahoma" w:eastAsia="宋体" w:cs="Tahoma"/>
                <w:b/>
                <w:color w:val="auto"/>
                <w:sz w:val="21"/>
                <w:szCs w:val="21"/>
              </w:rPr>
              <w:t>开户行：中国建设银行股份有限公司乌鲁木齐扬子江路支行</w:t>
            </w:r>
          </w:p>
          <w:p>
            <w:pPr>
              <w:keepNext/>
              <w:widowControl/>
              <w:jc w:val="left"/>
              <w:rPr>
                <w:rFonts w:ascii="宋体" w:cs="宋体"/>
                <w:kern w:val="0"/>
              </w:rPr>
            </w:pPr>
            <w:r>
              <w:rPr>
                <w:rFonts w:hint="eastAsia" w:ascii="宋体" w:hAnsi="宋体" w:cs="宋体"/>
                <w:color w:val="000000"/>
                <w:kern w:val="0"/>
              </w:rPr>
              <w:t>若供应商未按照上述规定缴</w:t>
            </w:r>
            <w:r>
              <w:rPr>
                <w:rFonts w:hint="eastAsia" w:ascii="宋体" w:hAnsi="宋体" w:cs="宋体"/>
                <w:kern w:val="0"/>
              </w:rPr>
              <w:t>纳投标保证金</w:t>
            </w:r>
            <w:r>
              <w:rPr>
                <w:rFonts w:ascii="宋体" w:hAnsi="宋体" w:cs="宋体"/>
                <w:kern w:val="0"/>
              </w:rPr>
              <w:t>,</w:t>
            </w:r>
            <w:r>
              <w:rPr>
                <w:rFonts w:hint="eastAsia" w:ascii="宋体" w:hAnsi="宋体" w:cs="宋体"/>
                <w:kern w:val="0"/>
              </w:rPr>
              <w:t>磋商响应文件将被拒绝评审。</w:t>
            </w:r>
          </w:p>
          <w:p>
            <w:pPr>
              <w:keepNext/>
              <w:widowControl/>
              <w:jc w:val="left"/>
              <w:rPr>
                <w:rFonts w:ascii="宋体" w:cs="宋体"/>
                <w:color w:val="000000"/>
                <w:kern w:val="0"/>
              </w:rPr>
            </w:pPr>
            <w:r>
              <w:rPr>
                <w:rFonts w:hint="eastAsia" w:ascii="宋体" w:hAnsi="宋体" w:cs="宋体"/>
                <w:color w:val="000000"/>
                <w:kern w:val="0"/>
              </w:rPr>
              <w:t>退还投标保证金时，请携带我公司收据、开户许可证复印件进行办理。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25" w:hRule="atLeast"/>
          <w:jc w:val="center"/>
        </w:trPr>
        <w:tc>
          <w:tcPr>
            <w:tcW w:w="599" w:type="dxa"/>
            <w:vAlign w:val="center"/>
          </w:tcPr>
          <w:p>
            <w:pPr>
              <w:jc w:val="center"/>
              <w:rPr>
                <w:rFonts w:ascii="宋体" w:hAnsi="宋体" w:cs="宋体"/>
                <w:kern w:val="0"/>
              </w:rPr>
            </w:pPr>
            <w:r>
              <w:rPr>
                <w:rFonts w:ascii="宋体" w:hAnsi="宋体" w:cs="宋体"/>
                <w:kern w:val="0"/>
              </w:rPr>
              <w:t>10</w:t>
            </w:r>
          </w:p>
        </w:tc>
        <w:tc>
          <w:tcPr>
            <w:tcW w:w="1600" w:type="dxa"/>
            <w:vAlign w:val="center"/>
          </w:tcPr>
          <w:p>
            <w:pPr>
              <w:keepNext/>
              <w:widowControl/>
              <w:jc w:val="distribute"/>
              <w:rPr>
                <w:rFonts w:ascii="宋体" w:cs="宋体"/>
                <w:color w:val="000000"/>
                <w:kern w:val="0"/>
              </w:rPr>
            </w:pPr>
            <w:r>
              <w:rPr>
                <w:rFonts w:hint="eastAsia" w:ascii="宋体" w:hAnsi="宋体" w:cs="宋体"/>
                <w:color w:val="000000"/>
                <w:kern w:val="0"/>
              </w:rPr>
              <w:t>磋商响应文件份数</w:t>
            </w:r>
          </w:p>
        </w:tc>
        <w:tc>
          <w:tcPr>
            <w:tcW w:w="6920" w:type="dxa"/>
            <w:vAlign w:val="center"/>
          </w:tcPr>
          <w:p>
            <w:pPr>
              <w:jc w:val="left"/>
              <w:rPr>
                <w:rFonts w:ascii="宋体" w:cs="宋体"/>
                <w:color w:val="000000"/>
                <w:kern w:val="0"/>
              </w:rPr>
            </w:pPr>
            <w:r>
              <w:rPr>
                <w:rFonts w:hint="eastAsia" w:ascii="宋体" w:hAnsi="宋体" w:cs="宋体"/>
                <w:kern w:val="0"/>
              </w:rPr>
              <w:t>壹份正本，叁份副本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25" w:hRule="atLeast"/>
          <w:jc w:val="center"/>
        </w:trPr>
        <w:tc>
          <w:tcPr>
            <w:tcW w:w="599" w:type="dxa"/>
            <w:vAlign w:val="center"/>
          </w:tcPr>
          <w:p>
            <w:pPr>
              <w:jc w:val="center"/>
              <w:rPr>
                <w:rFonts w:ascii="宋体" w:hAnsi="宋体" w:cs="宋体"/>
                <w:kern w:val="0"/>
              </w:rPr>
            </w:pPr>
            <w:r>
              <w:rPr>
                <w:rFonts w:ascii="宋体" w:hAnsi="宋体" w:cs="宋体"/>
                <w:kern w:val="0"/>
              </w:rPr>
              <w:t>11</w:t>
            </w:r>
          </w:p>
        </w:tc>
        <w:tc>
          <w:tcPr>
            <w:tcW w:w="1600" w:type="dxa"/>
            <w:vAlign w:val="center"/>
          </w:tcPr>
          <w:p>
            <w:pPr>
              <w:keepNext/>
              <w:widowControl/>
              <w:jc w:val="left"/>
              <w:rPr>
                <w:rFonts w:ascii="宋体" w:cs="宋体"/>
                <w:color w:val="000000"/>
                <w:kern w:val="0"/>
              </w:rPr>
            </w:pPr>
            <w:r>
              <w:rPr>
                <w:rFonts w:hint="eastAsia" w:ascii="宋体" w:hAnsi="宋体" w:cs="宋体"/>
                <w:color w:val="000000"/>
                <w:kern w:val="0"/>
              </w:rPr>
              <w:t>磋商响应文件递交</w:t>
            </w:r>
          </w:p>
        </w:tc>
        <w:tc>
          <w:tcPr>
            <w:tcW w:w="6920" w:type="dxa"/>
            <w:vAlign w:val="center"/>
          </w:tcPr>
          <w:p>
            <w:pPr>
              <w:keepNext/>
              <w:widowControl/>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截止时间：2019年</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lang w:eastAsia="zh-CN"/>
              </w:rPr>
              <w:t>月</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日上午</w:t>
            </w: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lang w:eastAsia="zh-CN"/>
              </w:rPr>
              <w:t>:00(北京时间)</w:t>
            </w:r>
          </w:p>
          <w:p>
            <w:pPr>
              <w:keepNext/>
              <w:widowControl/>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递交地点：伊宁市福安国际售楼部六楼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25" w:hRule="atLeast"/>
          <w:jc w:val="center"/>
        </w:trPr>
        <w:tc>
          <w:tcPr>
            <w:tcW w:w="599" w:type="dxa"/>
            <w:vAlign w:val="center"/>
          </w:tcPr>
          <w:p>
            <w:pPr>
              <w:jc w:val="center"/>
              <w:rPr>
                <w:rFonts w:ascii="宋体" w:hAnsi="宋体" w:cs="宋体"/>
                <w:kern w:val="0"/>
              </w:rPr>
            </w:pPr>
            <w:r>
              <w:rPr>
                <w:rFonts w:ascii="宋体" w:hAnsi="宋体" w:cs="宋体"/>
                <w:kern w:val="0"/>
              </w:rPr>
              <w:t>12</w:t>
            </w:r>
          </w:p>
        </w:tc>
        <w:tc>
          <w:tcPr>
            <w:tcW w:w="1600" w:type="dxa"/>
            <w:vAlign w:val="center"/>
          </w:tcPr>
          <w:p>
            <w:pPr>
              <w:keepNext/>
              <w:widowControl/>
              <w:jc w:val="distribute"/>
              <w:rPr>
                <w:rFonts w:ascii="宋体" w:cs="宋体"/>
                <w:color w:val="000000"/>
                <w:kern w:val="0"/>
              </w:rPr>
            </w:pPr>
            <w:r>
              <w:rPr>
                <w:rFonts w:hint="eastAsia" w:ascii="宋体" w:hAnsi="宋体" w:cs="宋体"/>
                <w:color w:val="000000"/>
                <w:kern w:val="0"/>
              </w:rPr>
              <w:t>开标时间及地点</w:t>
            </w:r>
          </w:p>
        </w:tc>
        <w:tc>
          <w:tcPr>
            <w:tcW w:w="6920" w:type="dxa"/>
            <w:vAlign w:val="center"/>
          </w:tcPr>
          <w:p>
            <w:pPr>
              <w:keepNext/>
              <w:widowControl/>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时间：2019年</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lang w:eastAsia="zh-CN"/>
              </w:rPr>
              <w:t>月</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日上午</w:t>
            </w: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lang w:eastAsia="zh-CN"/>
              </w:rPr>
              <w:t>:00(北京时间)</w:t>
            </w:r>
          </w:p>
          <w:p>
            <w:pPr>
              <w:keepNext/>
              <w:widowControl/>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地点：伊宁市福安国际售楼部六楼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1401" w:hRule="atLeast"/>
          <w:jc w:val="center"/>
        </w:trPr>
        <w:tc>
          <w:tcPr>
            <w:tcW w:w="599" w:type="dxa"/>
            <w:vAlign w:val="center"/>
          </w:tcPr>
          <w:p>
            <w:pPr>
              <w:jc w:val="center"/>
              <w:rPr>
                <w:rFonts w:hint="default" w:ascii="宋体" w:hAnsi="宋体" w:eastAsia="宋体" w:cs="宋体"/>
                <w:kern w:val="0"/>
                <w:lang w:val="en-US" w:eastAsia="zh-CN"/>
              </w:rPr>
            </w:pPr>
            <w:r>
              <w:rPr>
                <w:rFonts w:hint="eastAsia" w:ascii="宋体" w:hAnsi="宋体" w:cs="宋体"/>
                <w:kern w:val="0"/>
                <w:lang w:val="en-US" w:eastAsia="zh-CN"/>
              </w:rPr>
              <w:t>13</w:t>
            </w:r>
          </w:p>
        </w:tc>
        <w:tc>
          <w:tcPr>
            <w:tcW w:w="1600" w:type="dxa"/>
            <w:vAlign w:val="center"/>
          </w:tcPr>
          <w:p>
            <w:pPr>
              <w:keepNext/>
              <w:widowControl/>
              <w:jc w:val="distribute"/>
              <w:rPr>
                <w:rFonts w:hint="eastAsia" w:ascii="宋体" w:hAnsi="宋体" w:eastAsia="宋体" w:cs="宋体"/>
                <w:color w:val="000000"/>
                <w:kern w:val="0"/>
                <w:lang w:eastAsia="zh-CN"/>
              </w:rPr>
            </w:pPr>
            <w:r>
              <w:rPr>
                <w:rFonts w:hint="eastAsia" w:ascii="宋体" w:hAnsi="宋体" w:cs="宋体"/>
                <w:color w:val="000000"/>
                <w:kern w:val="0"/>
                <w:lang w:eastAsia="zh-CN"/>
              </w:rPr>
              <w:t>投标人必备资质</w:t>
            </w:r>
          </w:p>
        </w:tc>
        <w:tc>
          <w:tcPr>
            <w:tcW w:w="6920" w:type="dxa"/>
            <w:vAlign w:val="center"/>
          </w:tcPr>
          <w:p>
            <w:pPr>
              <w:keepNext/>
              <w:widowControl/>
              <w:jc w:val="left"/>
              <w:rPr>
                <w:rFonts w:hint="eastAsia"/>
                <w:lang w:val="en-US" w:eastAsia="zh-CN"/>
              </w:rPr>
            </w:pPr>
            <w:r>
              <w:rPr>
                <w:rFonts w:hint="eastAsia"/>
                <w:lang w:eastAsia="zh-CN"/>
              </w:rPr>
              <w:t>受托人本人携带以下证件原件参加审核</w:t>
            </w:r>
            <w:r>
              <w:rPr>
                <w:rFonts w:hint="eastAsia"/>
                <w:lang w:val="en-US" w:eastAsia="zh-CN"/>
              </w:rPr>
              <w:t>:</w:t>
            </w:r>
          </w:p>
          <w:p>
            <w:pPr>
              <w:keepNext w:val="0"/>
              <w:keepLines w:val="0"/>
              <w:pageBreakBefore w:val="0"/>
              <w:widowControl/>
              <w:kinsoku/>
              <w:wordWrap/>
              <w:overflowPunct/>
              <w:topLinePunct w:val="0"/>
              <w:autoSpaceDE/>
              <w:autoSpaceDN/>
              <w:bidi w:val="0"/>
              <w:adjustRightInd/>
              <w:snapToGrid/>
              <w:spacing w:after="0" w:line="280" w:lineRule="exact"/>
              <w:textAlignment w:val="auto"/>
              <w:rPr>
                <w:rFonts w:hint="eastAsia" w:ascii="宋体" w:hAnsi="宋体" w:eastAsia="宋体" w:cs="宋体"/>
                <w:color w:val="auto"/>
                <w:sz w:val="21"/>
                <w:szCs w:val="21"/>
              </w:rPr>
            </w:pPr>
            <w:r>
              <w:rPr>
                <w:rFonts w:hint="default" w:ascii="宋体" w:hAnsi="宋体" w:eastAsia="宋体" w:cs="宋体"/>
                <w:color w:val="auto"/>
                <w:sz w:val="21"/>
                <w:szCs w:val="21"/>
              </w:rPr>
              <w:t>（1）营业执照原件；</w:t>
            </w:r>
          </w:p>
          <w:p>
            <w:pPr>
              <w:keepNext w:val="0"/>
              <w:keepLines w:val="0"/>
              <w:pageBreakBefore w:val="0"/>
              <w:widowControl/>
              <w:kinsoku/>
              <w:wordWrap/>
              <w:overflowPunct/>
              <w:topLinePunct w:val="0"/>
              <w:autoSpaceDE/>
              <w:autoSpaceDN/>
              <w:bidi w:val="0"/>
              <w:adjustRightInd/>
              <w:snapToGrid/>
              <w:spacing w:after="0" w:line="280" w:lineRule="exact"/>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（2）法定代表人身份证明原件或法人授权委托书原件及经办人身份证原件； </w:t>
            </w:r>
          </w:p>
          <w:p>
            <w:pPr>
              <w:keepNext w:val="0"/>
              <w:keepLines w:val="0"/>
              <w:pageBreakBefore w:val="0"/>
              <w:widowControl/>
              <w:kinsoku/>
              <w:wordWrap/>
              <w:overflowPunct/>
              <w:topLinePunct w:val="0"/>
              <w:autoSpaceDE/>
              <w:autoSpaceDN/>
              <w:bidi w:val="0"/>
              <w:adjustRightInd/>
              <w:snapToGrid/>
              <w:spacing w:after="0" w:line="280" w:lineRule="exact"/>
              <w:textAlignment w:val="auto"/>
              <w:rPr>
                <w:rFonts w:hint="eastAsia" w:ascii="宋体" w:hAnsi="宋体" w:eastAsia="宋体" w:cs="宋体"/>
                <w:color w:val="auto"/>
                <w:sz w:val="21"/>
                <w:szCs w:val="21"/>
                <w:lang w:eastAsia="zh-CN"/>
              </w:rPr>
            </w:pPr>
            <w:r>
              <w:rPr>
                <w:rFonts w:hint="default" w:ascii="宋体" w:hAnsi="宋体" w:eastAsia="宋体" w:cs="宋体"/>
                <w:color w:val="auto"/>
                <w:sz w:val="21"/>
                <w:szCs w:val="21"/>
              </w:rPr>
              <w:t>（</w:t>
            </w:r>
            <w:r>
              <w:rPr>
                <w:rFonts w:hint="eastAsia" w:ascii="宋体" w:hAnsi="宋体" w:cs="宋体"/>
                <w:color w:val="auto"/>
                <w:sz w:val="21"/>
                <w:szCs w:val="21"/>
                <w:lang w:val="en-US" w:eastAsia="zh-CN"/>
              </w:rPr>
              <w:t>3</w:t>
            </w:r>
            <w:r>
              <w:rPr>
                <w:rFonts w:hint="default" w:ascii="宋体" w:hAnsi="宋体" w:eastAsia="宋体" w:cs="宋体"/>
                <w:color w:val="auto"/>
                <w:sz w:val="21"/>
                <w:szCs w:val="21"/>
              </w:rPr>
              <w:t>）在“信用中国”及“中国政府采购网”上未被列入失信被执行人、重大税收违法案件当事人 名单以及政府采购严重违法失信行为查询结果加盖企业公章。</w:t>
            </w:r>
          </w:p>
          <w:p>
            <w:pPr>
              <w:keepNext w:val="0"/>
              <w:keepLines w:val="0"/>
              <w:pageBreakBefore w:val="0"/>
              <w:widowControl/>
              <w:kinsoku/>
              <w:wordWrap/>
              <w:overflowPunct/>
              <w:topLinePunct w:val="0"/>
              <w:autoSpaceDE/>
              <w:autoSpaceDN/>
              <w:bidi w:val="0"/>
              <w:adjustRightInd/>
              <w:snapToGrid/>
              <w:spacing w:after="0" w:line="280" w:lineRule="exact"/>
              <w:textAlignment w:val="auto"/>
              <w:rPr>
                <w:rFonts w:hint="default"/>
                <w:lang w:val="en-US" w:eastAsia="zh-CN"/>
              </w:rPr>
            </w:pPr>
            <w:r>
              <w:rPr>
                <w:rFonts w:hint="default" w:ascii="宋体" w:hAnsi="宋体" w:eastAsia="宋体" w:cs="宋体"/>
                <w:color w:val="auto"/>
                <w:sz w:val="21"/>
                <w:szCs w:val="21"/>
              </w:rPr>
              <w:t>（</w:t>
            </w:r>
            <w:r>
              <w:rPr>
                <w:rFonts w:hint="eastAsia" w:ascii="宋体" w:hAnsi="宋体" w:cs="宋体"/>
                <w:color w:val="auto"/>
                <w:sz w:val="21"/>
                <w:szCs w:val="21"/>
                <w:lang w:val="en-US" w:eastAsia="zh-CN"/>
              </w:rPr>
              <w:t>4</w:t>
            </w:r>
            <w:r>
              <w:rPr>
                <w:rFonts w:hint="default" w:ascii="宋体" w:hAnsi="宋体" w:eastAsia="宋体" w:cs="宋体"/>
                <w:color w:val="auto"/>
                <w:sz w:val="21"/>
                <w:szCs w:val="21"/>
              </w:rPr>
              <w:t>）</w:t>
            </w:r>
            <w:r>
              <w:rPr>
                <w:rFonts w:hint="eastAsia" w:ascii="宋体" w:hAnsi="宋体" w:eastAsia="宋体" w:cs="宋体"/>
                <w:color w:val="auto"/>
                <w:sz w:val="21"/>
                <w:szCs w:val="21"/>
                <w:lang w:eastAsia="zh-CN"/>
              </w:rPr>
              <w:t>投标保证金收据原件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00" w:hRule="atLeast"/>
          <w:jc w:val="center"/>
        </w:trPr>
        <w:tc>
          <w:tcPr>
            <w:tcW w:w="599" w:type="dxa"/>
            <w:vAlign w:val="center"/>
          </w:tcPr>
          <w:p>
            <w:pPr>
              <w:jc w:val="center"/>
              <w:rPr>
                <w:rFonts w:hint="eastAsia" w:ascii="宋体" w:hAnsi="宋体" w:eastAsia="宋体" w:cs="宋体"/>
                <w:kern w:val="0"/>
                <w:lang w:eastAsia="zh-CN"/>
              </w:rPr>
            </w:pPr>
            <w:r>
              <w:rPr>
                <w:rFonts w:ascii="宋体" w:hAnsi="宋体" w:cs="宋体"/>
                <w:kern w:val="0"/>
              </w:rPr>
              <w:t>1</w:t>
            </w:r>
            <w:r>
              <w:rPr>
                <w:rFonts w:hint="eastAsia" w:ascii="宋体" w:hAnsi="宋体" w:cs="宋体"/>
                <w:kern w:val="0"/>
                <w:lang w:val="en-US" w:eastAsia="zh-CN"/>
              </w:rPr>
              <w:t>4</w:t>
            </w:r>
          </w:p>
        </w:tc>
        <w:tc>
          <w:tcPr>
            <w:tcW w:w="1600" w:type="dxa"/>
            <w:vAlign w:val="center"/>
          </w:tcPr>
          <w:p>
            <w:pPr>
              <w:keepNext/>
              <w:widowControl/>
              <w:jc w:val="distribute"/>
              <w:rPr>
                <w:rFonts w:ascii="宋体" w:cs="宋体"/>
                <w:color w:val="000000"/>
                <w:kern w:val="0"/>
              </w:rPr>
            </w:pPr>
            <w:r>
              <w:rPr>
                <w:rFonts w:hint="eastAsia" w:ascii="宋体" w:hAnsi="宋体" w:cs="宋体"/>
                <w:color w:val="000000"/>
                <w:kern w:val="0"/>
              </w:rPr>
              <w:t>投标有效期</w:t>
            </w:r>
          </w:p>
        </w:tc>
        <w:tc>
          <w:tcPr>
            <w:tcW w:w="6920" w:type="dxa"/>
            <w:vAlign w:val="center"/>
          </w:tcPr>
          <w:p>
            <w:pPr>
              <w:keepNext/>
              <w:widowControl/>
              <w:jc w:val="left"/>
              <w:rPr>
                <w:rFonts w:ascii="宋体" w:cs="宋体"/>
                <w:color w:val="000000"/>
                <w:kern w:val="0"/>
              </w:rPr>
            </w:pPr>
            <w:r>
              <w:rPr>
                <w:rFonts w:hint="eastAsia" w:ascii="宋体" w:hAnsi="宋体" w:cs="宋体"/>
                <w:color w:val="000000"/>
                <w:kern w:val="0"/>
              </w:rPr>
              <w:t>自投标截止之日</w:t>
            </w:r>
            <w:r>
              <w:rPr>
                <w:rFonts w:ascii="宋体" w:hAnsi="宋体" w:cs="宋体"/>
                <w:color w:val="000000"/>
                <w:kern w:val="0"/>
              </w:rPr>
              <w:t>90</w:t>
            </w:r>
            <w:r>
              <w:rPr>
                <w:rFonts w:hint="eastAsia" w:ascii="宋体" w:hAnsi="宋体" w:cs="宋体"/>
                <w:color w:val="000000"/>
                <w:kern w:val="0"/>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25" w:hRule="atLeast"/>
          <w:jc w:val="center"/>
        </w:trPr>
        <w:tc>
          <w:tcPr>
            <w:tcW w:w="599" w:type="dxa"/>
            <w:vAlign w:val="center"/>
          </w:tcPr>
          <w:p>
            <w:pPr>
              <w:jc w:val="center"/>
              <w:rPr>
                <w:rFonts w:hint="eastAsia" w:ascii="宋体" w:hAnsi="宋体" w:eastAsia="宋体" w:cs="宋体"/>
                <w:kern w:val="0"/>
                <w:lang w:eastAsia="zh-CN"/>
              </w:rPr>
            </w:pPr>
            <w:r>
              <w:rPr>
                <w:rFonts w:ascii="宋体" w:hAnsi="宋体" w:cs="宋体"/>
                <w:kern w:val="0"/>
              </w:rPr>
              <w:t>1</w:t>
            </w:r>
            <w:r>
              <w:rPr>
                <w:rFonts w:hint="eastAsia" w:ascii="宋体" w:hAnsi="宋体" w:cs="宋体"/>
                <w:kern w:val="0"/>
                <w:lang w:val="en-US" w:eastAsia="zh-CN"/>
              </w:rPr>
              <w:t>5</w:t>
            </w:r>
          </w:p>
        </w:tc>
        <w:tc>
          <w:tcPr>
            <w:tcW w:w="1600" w:type="dxa"/>
            <w:vAlign w:val="center"/>
          </w:tcPr>
          <w:p>
            <w:pPr>
              <w:jc w:val="distribute"/>
              <w:rPr>
                <w:rFonts w:ascii="宋体" w:cs="宋体"/>
                <w:kern w:val="0"/>
              </w:rPr>
            </w:pPr>
            <w:r>
              <w:rPr>
                <w:rFonts w:hint="eastAsia" w:ascii="宋体" w:hAnsi="宋体" w:cs="宋体"/>
                <w:kern w:val="0"/>
              </w:rPr>
              <w:t>招标公告发布媒介</w:t>
            </w:r>
          </w:p>
        </w:tc>
        <w:tc>
          <w:tcPr>
            <w:tcW w:w="6920" w:type="dxa"/>
            <w:vAlign w:val="center"/>
          </w:tcPr>
          <w:p>
            <w:pPr>
              <w:rPr>
                <w:rFonts w:hint="eastAsia" w:ascii="宋体" w:eastAsia="宋体" w:cs="宋体"/>
                <w:kern w:val="0"/>
                <w:u w:val="single"/>
                <w:lang w:eastAsia="zh-CN"/>
              </w:rPr>
            </w:pPr>
            <w:r>
              <w:rPr>
                <w:rFonts w:hint="eastAsia" w:ascii="宋体" w:cs="宋体"/>
                <w:kern w:val="0"/>
                <w:u w:val="single"/>
                <w:lang w:eastAsia="zh-CN"/>
              </w:rPr>
              <w:t>新疆维吾尔自治区政府采购网、伊犁师范大学官网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00" w:hRule="atLeast"/>
          <w:jc w:val="center"/>
        </w:trPr>
        <w:tc>
          <w:tcPr>
            <w:tcW w:w="599" w:type="dxa"/>
            <w:vAlign w:val="center"/>
          </w:tcPr>
          <w:p>
            <w:pPr>
              <w:jc w:val="center"/>
              <w:rPr>
                <w:rFonts w:hint="eastAsia" w:ascii="宋体" w:hAnsi="宋体" w:eastAsia="宋体" w:cs="宋体"/>
                <w:kern w:val="0"/>
                <w:lang w:eastAsia="zh-CN"/>
              </w:rPr>
            </w:pPr>
            <w:r>
              <w:rPr>
                <w:rFonts w:ascii="宋体" w:hAnsi="宋体" w:cs="宋体"/>
                <w:kern w:val="0"/>
              </w:rPr>
              <w:t>1</w:t>
            </w:r>
            <w:r>
              <w:rPr>
                <w:rFonts w:hint="eastAsia" w:ascii="宋体" w:hAnsi="宋体" w:cs="宋体"/>
                <w:kern w:val="0"/>
                <w:lang w:val="en-US" w:eastAsia="zh-CN"/>
              </w:rPr>
              <w:t>6</w:t>
            </w:r>
          </w:p>
        </w:tc>
        <w:tc>
          <w:tcPr>
            <w:tcW w:w="1600" w:type="dxa"/>
            <w:vAlign w:val="center"/>
          </w:tcPr>
          <w:p>
            <w:pPr>
              <w:keepNext/>
              <w:widowControl/>
              <w:jc w:val="distribute"/>
              <w:rPr>
                <w:rFonts w:ascii="宋体" w:cs="宋体"/>
                <w:color w:val="000000"/>
                <w:kern w:val="0"/>
              </w:rPr>
            </w:pPr>
            <w:r>
              <w:rPr>
                <w:rFonts w:hint="eastAsia" w:ascii="宋体" w:hAnsi="宋体" w:cs="宋体"/>
                <w:color w:val="000000"/>
                <w:kern w:val="0"/>
              </w:rPr>
              <w:t>履约保证金</w:t>
            </w:r>
          </w:p>
        </w:tc>
        <w:tc>
          <w:tcPr>
            <w:tcW w:w="6920" w:type="dxa"/>
            <w:vAlign w:val="center"/>
          </w:tcPr>
          <w:p>
            <w:pPr>
              <w:keepNext/>
              <w:widowControl/>
              <w:jc w:val="left"/>
              <w:rPr>
                <w:rFonts w:ascii="宋体" w:hAnsi="宋体" w:cs="宋体"/>
                <w:color w:val="000000"/>
                <w:kern w:val="0"/>
              </w:rPr>
            </w:pPr>
            <w:r>
              <w:rPr>
                <w:rFonts w:hint="eastAsia" w:ascii="宋体" w:hAnsi="宋体" w:cs="Arial"/>
                <w:color w:val="000000"/>
                <w:kern w:val="0"/>
              </w:rPr>
              <w:t>合同价款的10%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49" w:hRule="atLeast"/>
          <w:jc w:val="center"/>
        </w:trPr>
        <w:tc>
          <w:tcPr>
            <w:tcW w:w="599" w:type="dxa"/>
            <w:vAlign w:val="center"/>
          </w:tcPr>
          <w:p>
            <w:pPr>
              <w:jc w:val="center"/>
              <w:rPr>
                <w:rFonts w:hint="eastAsia" w:ascii="宋体" w:hAnsi="宋体" w:eastAsia="宋体" w:cs="宋体"/>
                <w:kern w:val="0"/>
                <w:lang w:eastAsia="zh-CN"/>
              </w:rPr>
            </w:pPr>
            <w:r>
              <w:rPr>
                <w:rFonts w:ascii="宋体" w:hAnsi="宋体" w:cs="宋体"/>
                <w:kern w:val="0"/>
              </w:rPr>
              <w:t>1</w:t>
            </w:r>
            <w:r>
              <w:rPr>
                <w:rFonts w:hint="eastAsia" w:ascii="宋体" w:hAnsi="宋体" w:cs="宋体"/>
                <w:kern w:val="0"/>
                <w:lang w:val="en-US" w:eastAsia="zh-CN"/>
              </w:rPr>
              <w:t>7</w:t>
            </w:r>
          </w:p>
        </w:tc>
        <w:tc>
          <w:tcPr>
            <w:tcW w:w="1600" w:type="dxa"/>
            <w:vAlign w:val="center"/>
          </w:tcPr>
          <w:p>
            <w:pPr>
              <w:keepNext/>
              <w:widowControl/>
              <w:jc w:val="distribute"/>
              <w:rPr>
                <w:rFonts w:ascii="宋体" w:cs="宋体"/>
                <w:color w:val="000000"/>
                <w:kern w:val="0"/>
              </w:rPr>
            </w:pPr>
            <w:r>
              <w:rPr>
                <w:rFonts w:hint="eastAsia" w:ascii="宋体" w:hAnsi="宋体" w:cs="宋体"/>
                <w:color w:val="000000"/>
                <w:kern w:val="0"/>
              </w:rPr>
              <w:t>质保期</w:t>
            </w:r>
          </w:p>
        </w:tc>
        <w:tc>
          <w:tcPr>
            <w:tcW w:w="6920" w:type="dxa"/>
            <w:vAlign w:val="center"/>
          </w:tcPr>
          <w:p>
            <w:pPr>
              <w:keepNext/>
              <w:widowControl/>
              <w:jc w:val="left"/>
              <w:rPr>
                <w:rFonts w:hint="eastAsia" w:ascii="宋体" w:hAnsi="宋体" w:eastAsia="宋体" w:cs="宋体"/>
                <w:color w:val="000000"/>
                <w:kern w:val="0"/>
              </w:rPr>
            </w:pPr>
            <w:r>
              <w:rPr>
                <w:rFonts w:hint="eastAsia" w:ascii="宋体" w:hAnsi="宋体" w:eastAsia="宋体" w:cs="宋体"/>
                <w:color w:val="000000"/>
                <w:kern w:val="0"/>
              </w:rPr>
              <w:t>低值易耗品管理系统</w:t>
            </w:r>
            <w:r>
              <w:rPr>
                <w:rFonts w:hint="eastAsia" w:ascii="宋体" w:hAnsi="宋体" w:eastAsia="宋体" w:cs="宋体"/>
                <w:color w:val="000000"/>
                <w:kern w:val="0"/>
                <w:lang w:val="en-US" w:eastAsia="zh-CN"/>
              </w:rPr>
              <w:t>(</w:t>
            </w:r>
            <w:r>
              <w:rPr>
                <w:rFonts w:hint="eastAsia" w:ascii="宋体" w:hAnsi="宋体" w:eastAsia="宋体" w:cs="宋体"/>
                <w:color w:val="000000"/>
                <w:kern w:val="0"/>
              </w:rPr>
              <w:t>终身质保）</w:t>
            </w:r>
          </w:p>
          <w:p>
            <w:pPr>
              <w:keepNext/>
              <w:widowControl/>
              <w:jc w:val="left"/>
              <w:rPr>
                <w:rFonts w:hint="eastAsia" w:ascii="宋体" w:hAnsi="宋体" w:eastAsia="宋体" w:cs="宋体"/>
                <w:color w:val="000000"/>
                <w:kern w:val="0"/>
              </w:rPr>
            </w:pPr>
            <w:r>
              <w:rPr>
                <w:rFonts w:hint="eastAsia" w:ascii="宋体" w:hAnsi="宋体" w:eastAsia="宋体" w:cs="宋体"/>
                <w:color w:val="000000"/>
                <w:kern w:val="0"/>
              </w:rPr>
              <w:t>危险化学品管理系统</w:t>
            </w:r>
            <w:r>
              <w:rPr>
                <w:rFonts w:hint="eastAsia" w:ascii="宋体" w:hAnsi="宋体" w:eastAsia="宋体" w:cs="宋体"/>
                <w:color w:val="000000"/>
                <w:kern w:val="0"/>
                <w:lang w:val="en-US" w:eastAsia="zh-CN"/>
              </w:rPr>
              <w:t>(</w:t>
            </w:r>
            <w:r>
              <w:rPr>
                <w:rFonts w:hint="eastAsia" w:ascii="宋体" w:hAnsi="宋体" w:eastAsia="宋体" w:cs="宋体"/>
                <w:color w:val="000000"/>
                <w:kern w:val="0"/>
              </w:rPr>
              <w:t>终身质保）</w:t>
            </w:r>
          </w:p>
          <w:p>
            <w:pPr>
              <w:pStyle w:val="2"/>
              <w:rPr>
                <w:rFonts w:hint="eastAsia" w:asciiTheme="majorEastAsia" w:hAnsiTheme="majorEastAsia" w:eastAsiaTheme="majorEastAsia"/>
                <w:b/>
                <w:sz w:val="28"/>
                <w:szCs w:val="28"/>
              </w:rPr>
            </w:pPr>
            <w:r>
              <w:rPr>
                <w:rFonts w:hint="eastAsia" w:ascii="宋体" w:hAnsi="宋体" w:eastAsia="宋体" w:cs="宋体"/>
                <w:color w:val="000000"/>
                <w:kern w:val="0"/>
                <w:sz w:val="21"/>
                <w:szCs w:val="21"/>
                <w:lang w:val="en-US" w:eastAsia="zh-CN" w:bidi="ar-SA"/>
              </w:rPr>
              <w:t>平台配套硬件设备(质保一年）</w:t>
            </w:r>
          </w:p>
          <w:p>
            <w:pPr>
              <w:keepNext/>
              <w:widowControl/>
              <w:jc w:val="left"/>
              <w:rPr>
                <w:rFonts w:hint="default" w:ascii="宋体" w:eastAsia="宋体" w:cs="宋体"/>
                <w:color w:val="FF0000"/>
                <w:kern w:val="0"/>
                <w:lang w:val="en-US" w:eastAsia="zh-CN"/>
              </w:rPr>
            </w:pPr>
            <w:r>
              <w:rPr>
                <w:rFonts w:hint="eastAsia" w:ascii="宋体" w:hAnsi="宋体" w:cs="宋体"/>
                <w:b/>
                <w:bCs/>
                <w:color w:val="FF0000"/>
                <w:kern w:val="0"/>
                <w:lang w:val="en-US" w:eastAsia="zh-CN"/>
              </w:rPr>
              <w:t>(具体细节内容合同中约定)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28" w:hRule="atLeast"/>
          <w:jc w:val="center"/>
        </w:trPr>
        <w:tc>
          <w:tcPr>
            <w:tcW w:w="599" w:type="dxa"/>
            <w:vAlign w:val="center"/>
          </w:tcPr>
          <w:p>
            <w:pPr>
              <w:jc w:val="center"/>
              <w:rPr>
                <w:rFonts w:hint="eastAsia" w:ascii="宋体" w:hAnsi="宋体" w:eastAsia="宋体" w:cs="宋体"/>
                <w:kern w:val="0"/>
                <w:lang w:eastAsia="zh-CN"/>
              </w:rPr>
            </w:pPr>
            <w:r>
              <w:rPr>
                <w:rFonts w:ascii="宋体" w:hAnsi="宋体" w:cs="宋体"/>
                <w:kern w:val="0"/>
              </w:rPr>
              <w:t>1</w:t>
            </w:r>
            <w:r>
              <w:rPr>
                <w:rFonts w:hint="eastAsia" w:ascii="宋体" w:hAnsi="宋体" w:cs="宋体"/>
                <w:kern w:val="0"/>
                <w:lang w:val="en-US" w:eastAsia="zh-CN"/>
              </w:rPr>
              <w:t>8</w:t>
            </w:r>
          </w:p>
        </w:tc>
        <w:tc>
          <w:tcPr>
            <w:tcW w:w="1600" w:type="dxa"/>
            <w:vAlign w:val="center"/>
          </w:tcPr>
          <w:p>
            <w:pPr>
              <w:keepNext/>
              <w:widowControl/>
              <w:jc w:val="distribute"/>
              <w:rPr>
                <w:rFonts w:ascii="宋体" w:cs="宋体"/>
                <w:color w:val="000000"/>
                <w:kern w:val="0"/>
              </w:rPr>
            </w:pPr>
            <w:r>
              <w:rPr>
                <w:rFonts w:hint="eastAsia" w:ascii="宋体" w:hAnsi="宋体" w:cs="宋体"/>
                <w:color w:val="000000"/>
                <w:kern w:val="0"/>
              </w:rPr>
              <w:t>投标报价</w:t>
            </w:r>
          </w:p>
        </w:tc>
        <w:tc>
          <w:tcPr>
            <w:tcW w:w="6920" w:type="dxa"/>
            <w:vAlign w:val="center"/>
          </w:tcPr>
          <w:p>
            <w:pPr>
              <w:keepNext/>
              <w:widowControl/>
              <w:jc w:val="left"/>
              <w:rPr>
                <w:rFonts w:ascii="宋体" w:cs="宋体"/>
                <w:b/>
                <w:bCs/>
                <w:color w:val="000000"/>
                <w:kern w:val="0"/>
              </w:rPr>
            </w:pPr>
            <w:r>
              <w:rPr>
                <w:rFonts w:hint="eastAsia" w:ascii="宋体" w:hAnsi="宋体" w:cs="宋体"/>
                <w:b/>
                <w:bCs/>
                <w:color w:val="000000"/>
                <w:kern w:val="0"/>
              </w:rPr>
              <w:t>磋商响应文件中的报价为一次报价，各投标单位进行二次报价（磋商），投标报价评审以二次报价为准，最终中标价以二次报价为准。</w:t>
            </w:r>
          </w:p>
        </w:tc>
      </w:tr>
    </w:tbl>
    <w:p>
      <w:pPr>
        <w:rPr>
          <w:rFonts w:ascii="宋体" w:cs="Times New Roman"/>
          <w:kern w:val="0"/>
          <w:sz w:val="24"/>
          <w:szCs w:val="24"/>
        </w:rPr>
      </w:pPr>
    </w:p>
    <w:p>
      <w:pPr>
        <w:spacing w:line="440" w:lineRule="exact"/>
        <w:jc w:val="center"/>
        <w:outlineLvl w:val="0"/>
        <w:rPr>
          <w:rFonts w:ascii="宋体" w:cs="Times New Roman"/>
          <w:b/>
          <w:bCs/>
          <w:sz w:val="24"/>
          <w:szCs w:val="24"/>
        </w:rPr>
      </w:pPr>
      <w:bookmarkStart w:id="3" w:name="_BookMark_3"/>
      <w:bookmarkEnd w:id="3"/>
      <w:r>
        <w:rPr>
          <w:rFonts w:ascii="宋体" w:cs="Times New Roman"/>
          <w:color w:val="000000"/>
          <w:kern w:val="0"/>
          <w:sz w:val="24"/>
          <w:szCs w:val="24"/>
        </w:rPr>
        <w:br w:type="page"/>
      </w:r>
      <w:bookmarkStart w:id="4" w:name="_Toc7920"/>
      <w:bookmarkStart w:id="5" w:name="_Toc23246_WPSOffice_Level1"/>
      <w:bookmarkStart w:id="6" w:name="_Toc5615146"/>
      <w:r>
        <w:rPr>
          <w:rStyle w:val="15"/>
          <w:rFonts w:hint="eastAsia"/>
          <w:sz w:val="32"/>
          <w:szCs w:val="16"/>
        </w:rPr>
        <w:t>第一章供应商须知</w:t>
      </w:r>
      <w:bookmarkEnd w:id="4"/>
      <w:bookmarkEnd w:id="5"/>
      <w:bookmarkEnd w:id="6"/>
      <w:bookmarkStart w:id="7" w:name="_BookMark_2"/>
      <w:bookmarkEnd w:id="7"/>
    </w:p>
    <w:p>
      <w:pPr>
        <w:tabs>
          <w:tab w:val="center" w:pos="4832"/>
          <w:tab w:val="left" w:pos="7140"/>
        </w:tabs>
        <w:spacing w:line="360" w:lineRule="auto"/>
        <w:ind w:firstLine="472" w:firstLineChars="196"/>
        <w:jc w:val="left"/>
        <w:outlineLvl w:val="1"/>
        <w:rPr>
          <w:rFonts w:ascii="宋体" w:cs="Times New Roman"/>
          <w:b/>
          <w:bCs/>
          <w:sz w:val="24"/>
          <w:szCs w:val="24"/>
        </w:rPr>
      </w:pPr>
      <w:bookmarkStart w:id="8" w:name="_Toc5615147"/>
      <w:bookmarkStart w:id="9" w:name="_Toc30576"/>
      <w:r>
        <w:rPr>
          <w:rFonts w:ascii="宋体" w:hAnsi="宋体" w:cs="宋体"/>
          <w:b/>
          <w:bCs/>
          <w:sz w:val="24"/>
          <w:szCs w:val="24"/>
        </w:rPr>
        <w:t>1</w:t>
      </w:r>
      <w:r>
        <w:rPr>
          <w:rFonts w:hint="eastAsia" w:ascii="宋体" w:hAnsi="宋体" w:cs="宋体"/>
          <w:b/>
          <w:bCs/>
          <w:sz w:val="24"/>
          <w:szCs w:val="24"/>
        </w:rPr>
        <w:t>．总则</w:t>
      </w:r>
      <w:bookmarkEnd w:id="8"/>
      <w:bookmarkEnd w:id="9"/>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1.1 </w:t>
      </w:r>
      <w:r>
        <w:rPr>
          <w:rFonts w:hint="eastAsia" w:ascii="宋体" w:hAnsi="宋体" w:cs="宋体"/>
          <w:color w:val="000000"/>
          <w:kern w:val="0"/>
          <w:sz w:val="24"/>
          <w:szCs w:val="24"/>
        </w:rPr>
        <w:t>招标项目概况</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1.1.1 </w:t>
      </w:r>
      <w:r>
        <w:rPr>
          <w:rFonts w:hint="eastAsia" w:ascii="宋体" w:hAnsi="宋体" w:cs="宋体"/>
          <w:color w:val="000000"/>
          <w:kern w:val="0"/>
          <w:sz w:val="24"/>
          <w:szCs w:val="24"/>
        </w:rPr>
        <w:t>项目名称：见供应商须知前附表。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1.1.2 </w:t>
      </w:r>
      <w:r>
        <w:rPr>
          <w:rFonts w:hint="eastAsia" w:ascii="宋体" w:hAnsi="宋体" w:cs="宋体"/>
          <w:color w:val="000000"/>
          <w:kern w:val="0"/>
          <w:sz w:val="24"/>
          <w:szCs w:val="24"/>
        </w:rPr>
        <w:t>招标人：见供应商须知前附表。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1.1.3 </w:t>
      </w:r>
      <w:r>
        <w:rPr>
          <w:rFonts w:hint="eastAsia" w:ascii="宋体" w:hAnsi="宋体" w:cs="宋体"/>
          <w:color w:val="000000"/>
          <w:kern w:val="0"/>
          <w:sz w:val="24"/>
          <w:szCs w:val="24"/>
        </w:rPr>
        <w:t>招标代理机构：见供应商须知前附表。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1.1.4 </w:t>
      </w:r>
      <w:r>
        <w:rPr>
          <w:rFonts w:hint="eastAsia" w:ascii="宋体" w:hAnsi="宋体" w:cs="宋体"/>
          <w:color w:val="000000"/>
          <w:kern w:val="0"/>
          <w:sz w:val="24"/>
          <w:szCs w:val="24"/>
        </w:rPr>
        <w:t>建设地点：见供应商须知前附表。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1.1.5 </w:t>
      </w:r>
      <w:r>
        <w:rPr>
          <w:rFonts w:hint="eastAsia" w:ascii="宋体" w:hAnsi="宋体" w:cs="宋体"/>
          <w:color w:val="000000"/>
          <w:kern w:val="0"/>
          <w:sz w:val="24"/>
          <w:szCs w:val="24"/>
        </w:rPr>
        <w:t>采购预算：见供应商须知前附表。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1.1.6 </w:t>
      </w:r>
      <w:r>
        <w:rPr>
          <w:rFonts w:hint="eastAsia" w:ascii="宋体" w:hAnsi="宋体" w:cs="宋体"/>
          <w:color w:val="000000"/>
          <w:kern w:val="0"/>
          <w:sz w:val="24"/>
          <w:szCs w:val="24"/>
        </w:rPr>
        <w:t>资金来源：见供应商须知前附表。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1.1.7 </w:t>
      </w:r>
      <w:r>
        <w:rPr>
          <w:rFonts w:hint="eastAsia" w:ascii="宋体" w:hAnsi="宋体" w:cs="宋体"/>
          <w:color w:val="000000"/>
          <w:kern w:val="0"/>
          <w:sz w:val="24"/>
          <w:szCs w:val="24"/>
        </w:rPr>
        <w:t>招标范围：见供应商须知前附表。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1.2 </w:t>
      </w:r>
      <w:r>
        <w:rPr>
          <w:rFonts w:hint="eastAsia" w:ascii="宋体" w:hAnsi="宋体" w:cs="宋体"/>
          <w:color w:val="000000"/>
          <w:kern w:val="0"/>
          <w:sz w:val="24"/>
          <w:szCs w:val="24"/>
        </w:rPr>
        <w:t>供货周期和供货地点</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1.2.1 </w:t>
      </w:r>
      <w:r>
        <w:rPr>
          <w:rFonts w:hint="eastAsia" w:ascii="宋体" w:hAnsi="宋体" w:cs="宋体"/>
          <w:color w:val="000000"/>
          <w:kern w:val="0"/>
          <w:sz w:val="24"/>
          <w:szCs w:val="24"/>
        </w:rPr>
        <w:t>供货周期：见供应商须知前附表。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1.2.2 </w:t>
      </w:r>
      <w:r>
        <w:rPr>
          <w:rFonts w:hint="eastAsia" w:ascii="宋体" w:hAnsi="宋体" w:cs="宋体"/>
          <w:color w:val="000000"/>
          <w:kern w:val="0"/>
          <w:sz w:val="24"/>
          <w:szCs w:val="24"/>
        </w:rPr>
        <w:t>供货地点：见供应商须知前附表。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1.2.3 </w:t>
      </w:r>
      <w:r>
        <w:rPr>
          <w:rFonts w:hint="eastAsia" w:ascii="宋体" w:hAnsi="宋体" w:cs="宋体"/>
          <w:color w:val="000000"/>
          <w:kern w:val="0"/>
          <w:sz w:val="24"/>
          <w:szCs w:val="24"/>
        </w:rPr>
        <w:t>质保期：见供应商须知前附表。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1.3 </w:t>
      </w:r>
      <w:r>
        <w:rPr>
          <w:rFonts w:hint="eastAsia" w:ascii="宋体" w:hAnsi="宋体" w:cs="宋体"/>
          <w:color w:val="000000"/>
          <w:kern w:val="0"/>
          <w:sz w:val="24"/>
          <w:szCs w:val="24"/>
        </w:rPr>
        <w:t>招标方式和资格审查方式</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1.3.1 </w:t>
      </w:r>
      <w:r>
        <w:rPr>
          <w:rFonts w:hint="eastAsia" w:ascii="宋体" w:hAnsi="宋体" w:cs="宋体"/>
          <w:color w:val="000000"/>
          <w:kern w:val="0"/>
          <w:sz w:val="24"/>
          <w:szCs w:val="24"/>
        </w:rPr>
        <w:t>招标方式：见供应商须知前附表。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1.3.2 </w:t>
      </w:r>
      <w:r>
        <w:rPr>
          <w:rFonts w:hint="eastAsia" w:ascii="宋体" w:hAnsi="宋体" w:cs="宋体"/>
          <w:color w:val="000000"/>
          <w:kern w:val="0"/>
          <w:sz w:val="24"/>
          <w:szCs w:val="24"/>
        </w:rPr>
        <w:t>资格审查方式：见供应商须知前附表。</w:t>
      </w:r>
    </w:p>
    <w:p>
      <w:pPr>
        <w:widowControl/>
        <w:shd w:val="clear" w:color="auto" w:fill="FFFFFF"/>
        <w:snapToGrid w:val="0"/>
        <w:spacing w:line="360" w:lineRule="auto"/>
        <w:ind w:firstLine="480" w:firstLineChars="200"/>
        <w:rPr>
          <w:rFonts w:ascii="宋体" w:cs="Times New Roman"/>
          <w:kern w:val="0"/>
          <w:sz w:val="24"/>
          <w:szCs w:val="24"/>
        </w:rPr>
      </w:pPr>
      <w:r>
        <w:rPr>
          <w:rFonts w:ascii="宋体" w:hAnsi="宋体" w:cs="宋体"/>
          <w:kern w:val="0"/>
          <w:sz w:val="24"/>
          <w:szCs w:val="24"/>
        </w:rPr>
        <w:t xml:space="preserve">1.4 </w:t>
      </w:r>
      <w:r>
        <w:rPr>
          <w:rFonts w:hint="eastAsia" w:ascii="宋体" w:hAnsi="宋体" w:cs="宋体"/>
          <w:kern w:val="0"/>
          <w:sz w:val="24"/>
          <w:szCs w:val="24"/>
        </w:rPr>
        <w:t>评标办法及定标方法</w:t>
      </w:r>
    </w:p>
    <w:p>
      <w:pPr>
        <w:widowControl/>
        <w:shd w:val="clear" w:color="auto" w:fill="FFFFFF"/>
        <w:snapToGrid w:val="0"/>
        <w:spacing w:line="360" w:lineRule="auto"/>
        <w:ind w:firstLine="480" w:firstLineChars="200"/>
        <w:rPr>
          <w:rFonts w:ascii="宋体" w:cs="Times New Roman"/>
          <w:kern w:val="0"/>
          <w:sz w:val="24"/>
          <w:szCs w:val="24"/>
        </w:rPr>
      </w:pPr>
      <w:r>
        <w:rPr>
          <w:rFonts w:ascii="宋体" w:hAnsi="宋体" w:cs="宋体"/>
          <w:kern w:val="0"/>
          <w:sz w:val="24"/>
          <w:szCs w:val="24"/>
        </w:rPr>
        <w:t xml:space="preserve">1.4.1 </w:t>
      </w:r>
      <w:r>
        <w:rPr>
          <w:rFonts w:hint="eastAsia" w:ascii="宋体" w:hAnsi="宋体" w:cs="宋体"/>
          <w:kern w:val="0"/>
          <w:sz w:val="24"/>
          <w:szCs w:val="24"/>
        </w:rPr>
        <w:t>评标办法：见供应商须知前附表。</w:t>
      </w:r>
    </w:p>
    <w:p>
      <w:pPr>
        <w:widowControl/>
        <w:shd w:val="clear" w:color="auto" w:fill="FFFFFF"/>
        <w:snapToGrid w:val="0"/>
        <w:spacing w:line="360" w:lineRule="auto"/>
        <w:ind w:firstLine="480" w:firstLineChars="200"/>
        <w:rPr>
          <w:rFonts w:ascii="宋体" w:cs="Times New Roman"/>
          <w:kern w:val="0"/>
          <w:sz w:val="24"/>
          <w:szCs w:val="24"/>
        </w:rPr>
      </w:pPr>
      <w:r>
        <w:rPr>
          <w:rFonts w:ascii="宋体" w:hAnsi="宋体" w:cs="宋体"/>
          <w:kern w:val="0"/>
          <w:sz w:val="24"/>
          <w:szCs w:val="24"/>
        </w:rPr>
        <w:t xml:space="preserve">1.4.2 </w:t>
      </w:r>
      <w:r>
        <w:rPr>
          <w:rFonts w:hint="eastAsia" w:ascii="宋体" w:hAnsi="宋体" w:cs="宋体"/>
          <w:kern w:val="0"/>
          <w:sz w:val="24"/>
          <w:szCs w:val="24"/>
        </w:rPr>
        <w:t>定标方法：见供应商须知前附表。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1.5 </w:t>
      </w:r>
      <w:r>
        <w:rPr>
          <w:rFonts w:hint="eastAsia" w:ascii="宋体" w:hAnsi="宋体" w:cs="宋体"/>
          <w:color w:val="000000"/>
          <w:kern w:val="0"/>
          <w:sz w:val="24"/>
          <w:szCs w:val="24"/>
        </w:rPr>
        <w:t>供应商资格条件和能力要求</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1.5.1 </w:t>
      </w:r>
      <w:r>
        <w:rPr>
          <w:rFonts w:hint="eastAsia" w:ascii="宋体" w:hAnsi="宋体" w:cs="宋体"/>
          <w:color w:val="000000"/>
          <w:kern w:val="0"/>
          <w:sz w:val="24"/>
          <w:szCs w:val="24"/>
        </w:rPr>
        <w:t>供应商应具备承担本招标项目的资格条件和能力，具体要求见供应商须知前附表。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1.5.2</w:t>
      </w:r>
      <w:r>
        <w:rPr>
          <w:rFonts w:hint="eastAsia" w:ascii="宋体" w:hAnsi="宋体" w:cs="宋体"/>
          <w:color w:val="000000"/>
          <w:kern w:val="0"/>
          <w:sz w:val="24"/>
          <w:szCs w:val="24"/>
        </w:rPr>
        <w:t>供应商不得存在下列情形之一，否则相关投标均应被否决：</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）与招标人存在利害关系可能影响招标公正性的法人、其他组织或者个人的；</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）单位负责人为同一人或者存在控股、管理关系的不同单位，参加同一标段投标或者未划分标段的同一招标项目投标的；</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）法定代表人为同一个人的两个及两个以上法人，母公司、全资子公司及其控股公司，参加同一标段投标或者未划分标段的同一招标项目投标的；</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4</w:t>
      </w:r>
      <w:r>
        <w:rPr>
          <w:rFonts w:hint="eastAsia" w:ascii="宋体" w:hAnsi="宋体" w:cs="宋体"/>
          <w:color w:val="000000"/>
          <w:kern w:val="0"/>
          <w:sz w:val="24"/>
          <w:szCs w:val="24"/>
        </w:rPr>
        <w:t>）被责令停业的；</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5</w:t>
      </w:r>
      <w:r>
        <w:rPr>
          <w:rFonts w:hint="eastAsia" w:ascii="宋体" w:hAnsi="宋体" w:cs="宋体"/>
          <w:color w:val="000000"/>
          <w:kern w:val="0"/>
          <w:sz w:val="24"/>
          <w:szCs w:val="24"/>
        </w:rPr>
        <w:t>）被暂停或取消投标资格的；</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6</w:t>
      </w:r>
      <w:r>
        <w:rPr>
          <w:rFonts w:hint="eastAsia" w:ascii="宋体" w:hAnsi="宋体" w:cs="宋体"/>
          <w:color w:val="000000"/>
          <w:kern w:val="0"/>
          <w:sz w:val="24"/>
          <w:szCs w:val="24"/>
        </w:rPr>
        <w:t>）财产被接管或冻结的；</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7</w:t>
      </w:r>
      <w:r>
        <w:rPr>
          <w:rFonts w:hint="eastAsia" w:ascii="宋体" w:hAnsi="宋体" w:cs="宋体"/>
          <w:color w:val="000000"/>
          <w:kern w:val="0"/>
          <w:sz w:val="24"/>
          <w:szCs w:val="24"/>
        </w:rPr>
        <w:t>）在最近三年内有骗取中标或严重违约或重大质量问题的；</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8</w:t>
      </w:r>
      <w:r>
        <w:rPr>
          <w:rFonts w:hint="eastAsia" w:ascii="宋体" w:hAnsi="宋体" w:cs="宋体"/>
          <w:color w:val="000000"/>
          <w:kern w:val="0"/>
          <w:sz w:val="24"/>
          <w:szCs w:val="24"/>
        </w:rPr>
        <w:t>）法律规定的其他情形。</w:t>
      </w:r>
    </w:p>
    <w:p>
      <w:pPr>
        <w:widowControl/>
        <w:shd w:val="clear" w:color="auto" w:fill="FFFFFF"/>
        <w:snapToGrid w:val="0"/>
        <w:spacing w:line="360" w:lineRule="auto"/>
        <w:ind w:firstLine="480" w:firstLineChars="200"/>
        <w:rPr>
          <w:rFonts w:ascii="宋体" w:cs="Times New Roman"/>
          <w:color w:val="000000"/>
          <w:kern w:val="0"/>
          <w:sz w:val="24"/>
          <w:szCs w:val="24"/>
        </w:rPr>
      </w:pPr>
      <w:bookmarkStart w:id="10" w:name="_BookMark_5"/>
      <w:bookmarkEnd w:id="10"/>
      <w:r>
        <w:rPr>
          <w:rFonts w:ascii="宋体" w:hAnsi="宋体" w:cs="宋体"/>
          <w:color w:val="000000"/>
          <w:kern w:val="0"/>
          <w:sz w:val="24"/>
          <w:szCs w:val="24"/>
        </w:rPr>
        <w:t xml:space="preserve">1.6 </w:t>
      </w:r>
      <w:r>
        <w:rPr>
          <w:rFonts w:hint="eastAsia" w:ascii="宋体" w:hAnsi="宋体" w:cs="宋体"/>
          <w:color w:val="000000"/>
          <w:kern w:val="0"/>
          <w:sz w:val="24"/>
          <w:szCs w:val="24"/>
        </w:rPr>
        <w:t>费用承担</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供应商应承担其编制磋商响应文件与递交磋商响应文件所涉及的一切费用，无论投标结果如何，招标人对上述费用不作任何补偿。招标代理咨询费由中标人支付。</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1.7 </w:t>
      </w:r>
      <w:r>
        <w:rPr>
          <w:rFonts w:hint="eastAsia" w:ascii="宋体" w:hAnsi="宋体" w:cs="宋体"/>
          <w:color w:val="000000"/>
          <w:kern w:val="0"/>
          <w:sz w:val="24"/>
          <w:szCs w:val="24"/>
        </w:rPr>
        <w:t>保密</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参与招标投标活动的各方应当对竞争性磋商文件和磋商响应文件中的商业和技术等秘密保密，否则应当承担相应的法律责任。</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1.8 </w:t>
      </w:r>
      <w:r>
        <w:rPr>
          <w:rFonts w:hint="eastAsia" w:ascii="宋体" w:hAnsi="宋体" w:cs="宋体"/>
          <w:color w:val="000000"/>
          <w:kern w:val="0"/>
          <w:sz w:val="24"/>
          <w:szCs w:val="24"/>
        </w:rPr>
        <w:t>语言文字</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除专用术语外，与招标投标有关的语言均应当使用中文。必要时专用术语应附有中文注释。</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1.9 </w:t>
      </w:r>
      <w:r>
        <w:rPr>
          <w:rFonts w:hint="eastAsia" w:ascii="宋体" w:hAnsi="宋体" w:cs="宋体"/>
          <w:color w:val="000000"/>
          <w:kern w:val="0"/>
          <w:sz w:val="24"/>
          <w:szCs w:val="24"/>
        </w:rPr>
        <w:t>计量单位</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所有计量均采用中华人民共和国法定计量单位。</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1.10 </w:t>
      </w:r>
      <w:r>
        <w:rPr>
          <w:rFonts w:hint="eastAsia" w:ascii="宋体" w:hAnsi="宋体" w:cs="宋体"/>
          <w:color w:val="000000"/>
          <w:kern w:val="0"/>
          <w:sz w:val="24"/>
          <w:szCs w:val="24"/>
        </w:rPr>
        <w:t>踏勘现场</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1.10.1 </w:t>
      </w:r>
      <w:r>
        <w:rPr>
          <w:rFonts w:hint="eastAsia" w:ascii="宋体" w:hAnsi="宋体" w:cs="宋体"/>
          <w:color w:val="000000"/>
          <w:kern w:val="0"/>
          <w:sz w:val="24"/>
          <w:szCs w:val="24"/>
        </w:rPr>
        <w:t>供应商须知前附表规定组织踏勘现场的，招标人按供应商须知前附表规定的时间、地点组织供应商踏勘项目现场。</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1.10.2 </w:t>
      </w:r>
      <w:r>
        <w:rPr>
          <w:rFonts w:hint="eastAsia" w:ascii="宋体" w:hAnsi="宋体" w:cs="宋体"/>
          <w:color w:val="000000"/>
          <w:kern w:val="0"/>
          <w:sz w:val="24"/>
          <w:szCs w:val="24"/>
        </w:rPr>
        <w:t>供应商踏勘现场发生的费用自理。</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1.10.3 </w:t>
      </w:r>
      <w:r>
        <w:rPr>
          <w:rFonts w:hint="eastAsia" w:ascii="宋体" w:hAnsi="宋体" w:cs="宋体"/>
          <w:color w:val="000000"/>
          <w:kern w:val="0"/>
          <w:sz w:val="24"/>
          <w:szCs w:val="24"/>
        </w:rPr>
        <w:t>除招标人的原因外，供应商自行负责在踏勘现场中所发生的人员伤亡和财产损失。</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1.10.4 </w:t>
      </w:r>
      <w:r>
        <w:rPr>
          <w:rFonts w:hint="eastAsia" w:ascii="宋体" w:hAnsi="宋体" w:cs="宋体"/>
          <w:color w:val="000000"/>
          <w:kern w:val="0"/>
          <w:sz w:val="24"/>
          <w:szCs w:val="24"/>
        </w:rPr>
        <w:t>招标人在踏勘现场中介绍的工程场地和相关的周边环境情况，供供应商在编制磋商响应文件时参考，招标人不对供应商据此作出的判断和决策负责。</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1.11 </w:t>
      </w:r>
      <w:r>
        <w:rPr>
          <w:rFonts w:hint="eastAsia" w:ascii="宋体" w:hAnsi="宋体" w:cs="宋体"/>
          <w:color w:val="000000"/>
          <w:kern w:val="0"/>
          <w:sz w:val="24"/>
          <w:szCs w:val="24"/>
        </w:rPr>
        <w:t>招标答疑会和招标澄清答疑要求</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1.11.1 </w:t>
      </w:r>
      <w:r>
        <w:rPr>
          <w:rFonts w:hint="eastAsia" w:ascii="宋体" w:hAnsi="宋体" w:cs="宋体"/>
          <w:color w:val="000000"/>
          <w:kern w:val="0"/>
          <w:sz w:val="24"/>
          <w:szCs w:val="24"/>
        </w:rPr>
        <w:t>供应商须知前附表规定召开招标答疑会的，招标人按照供应商须知前附表规定的时间和地点召开招标答疑会，澄清供应商提出的问题。</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1.11.2 </w:t>
      </w:r>
      <w:r>
        <w:rPr>
          <w:rFonts w:hint="eastAsia" w:ascii="宋体" w:hAnsi="宋体" w:cs="宋体"/>
          <w:color w:val="000000"/>
          <w:kern w:val="0"/>
          <w:sz w:val="24"/>
          <w:szCs w:val="24"/>
        </w:rPr>
        <w:t>供应商若有疑问，应按供应商须知前附表规定的时间、方式向招标人提出，要求招标人对竞争性磋商文件予以澄清。</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1.11.3 </w:t>
      </w:r>
      <w:r>
        <w:rPr>
          <w:rFonts w:hint="eastAsia" w:ascii="宋体" w:hAnsi="宋体" w:cs="宋体"/>
          <w:color w:val="000000"/>
          <w:kern w:val="0"/>
          <w:sz w:val="24"/>
          <w:szCs w:val="24"/>
        </w:rPr>
        <w:t>招标人将按照供应商须知前附表规定的时间方式对供应商的疑问作出统一的解答。</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1.12 </w:t>
      </w:r>
      <w:r>
        <w:rPr>
          <w:rFonts w:hint="eastAsia" w:ascii="宋体" w:hAnsi="宋体" w:cs="宋体"/>
          <w:color w:val="000000"/>
          <w:kern w:val="0"/>
          <w:sz w:val="24"/>
          <w:szCs w:val="24"/>
        </w:rPr>
        <w:t>偏离</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磋商响应文件与竞争性磋商文件某些要求产生偏离的，偏离应当符合竞争性磋商文件规定的偏离范围和幅度。</w:t>
      </w:r>
    </w:p>
    <w:p>
      <w:pPr>
        <w:tabs>
          <w:tab w:val="center" w:pos="4832"/>
          <w:tab w:val="left" w:pos="7140"/>
        </w:tabs>
        <w:spacing w:line="360" w:lineRule="auto"/>
        <w:ind w:firstLine="472" w:firstLineChars="196"/>
        <w:jc w:val="left"/>
        <w:outlineLvl w:val="1"/>
        <w:rPr>
          <w:rFonts w:ascii="宋体" w:cs="Times New Roman"/>
          <w:b/>
          <w:bCs/>
          <w:sz w:val="24"/>
          <w:szCs w:val="24"/>
        </w:rPr>
      </w:pPr>
      <w:bookmarkStart w:id="11" w:name="_Toc19941"/>
      <w:bookmarkStart w:id="12" w:name="_Toc5615148"/>
      <w:r>
        <w:rPr>
          <w:rFonts w:ascii="宋体" w:hAnsi="宋体" w:cs="宋体"/>
          <w:b/>
          <w:bCs/>
          <w:sz w:val="24"/>
          <w:szCs w:val="24"/>
        </w:rPr>
        <w:t>2</w:t>
      </w:r>
      <w:r>
        <w:rPr>
          <w:rFonts w:hint="eastAsia" w:ascii="宋体" w:hAnsi="宋体" w:cs="宋体"/>
          <w:b/>
          <w:bCs/>
          <w:sz w:val="24"/>
          <w:szCs w:val="24"/>
        </w:rPr>
        <w:t>．竞争性磋商文件</w:t>
      </w:r>
      <w:bookmarkEnd w:id="11"/>
      <w:bookmarkEnd w:id="12"/>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2.1 </w:t>
      </w:r>
      <w:r>
        <w:rPr>
          <w:rFonts w:hint="eastAsia" w:ascii="宋体" w:hAnsi="宋体" w:cs="宋体"/>
          <w:color w:val="000000"/>
          <w:kern w:val="0"/>
          <w:sz w:val="24"/>
          <w:szCs w:val="24"/>
        </w:rPr>
        <w:t>竞争性磋商文件的组成</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）供应商须知；</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）评标办法；</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）合同条款及格式；</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4</w:t>
      </w:r>
      <w:r>
        <w:rPr>
          <w:rFonts w:hint="eastAsia" w:ascii="宋体" w:hAnsi="宋体" w:cs="宋体"/>
          <w:color w:val="000000"/>
          <w:kern w:val="0"/>
          <w:sz w:val="24"/>
          <w:szCs w:val="24"/>
        </w:rPr>
        <w:t>）技术标准和要求；</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5</w:t>
      </w:r>
      <w:r>
        <w:rPr>
          <w:rFonts w:hint="eastAsia" w:ascii="宋体" w:hAnsi="宋体" w:cs="宋体"/>
          <w:color w:val="000000"/>
          <w:kern w:val="0"/>
          <w:sz w:val="24"/>
          <w:szCs w:val="24"/>
        </w:rPr>
        <w:t>）磋商响应文件格式；</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6</w:t>
      </w:r>
      <w:r>
        <w:rPr>
          <w:rFonts w:hint="eastAsia" w:ascii="宋体" w:hAnsi="宋体" w:cs="宋体"/>
          <w:color w:val="000000"/>
          <w:kern w:val="0"/>
          <w:sz w:val="24"/>
          <w:szCs w:val="24"/>
        </w:rPr>
        <w:t>）补充条款。</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根据本章第</w:t>
      </w:r>
      <w:r>
        <w:rPr>
          <w:rFonts w:ascii="宋体" w:hAnsi="宋体" w:cs="宋体"/>
          <w:color w:val="000000"/>
          <w:kern w:val="0"/>
          <w:sz w:val="24"/>
          <w:szCs w:val="24"/>
        </w:rPr>
        <w:t>2.4</w:t>
      </w:r>
      <w:r>
        <w:rPr>
          <w:rFonts w:hint="eastAsia" w:ascii="宋体" w:hAnsi="宋体" w:cs="宋体"/>
          <w:color w:val="000000"/>
          <w:kern w:val="0"/>
          <w:sz w:val="24"/>
          <w:szCs w:val="24"/>
        </w:rPr>
        <w:t>款和第</w:t>
      </w:r>
      <w:r>
        <w:rPr>
          <w:rFonts w:ascii="宋体" w:hAnsi="宋体" w:cs="宋体"/>
          <w:color w:val="000000"/>
          <w:kern w:val="0"/>
          <w:sz w:val="24"/>
          <w:szCs w:val="24"/>
        </w:rPr>
        <w:t>2.5</w:t>
      </w:r>
      <w:r>
        <w:rPr>
          <w:rFonts w:hint="eastAsia" w:ascii="宋体" w:hAnsi="宋体" w:cs="宋体"/>
          <w:color w:val="000000"/>
          <w:kern w:val="0"/>
          <w:sz w:val="24"/>
          <w:szCs w:val="24"/>
        </w:rPr>
        <w:t>款对竞争性磋商文件所作的澄清、修改，构成竞争性磋商文件的组成部分。</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2.2 </w:t>
      </w:r>
      <w:r>
        <w:rPr>
          <w:rFonts w:hint="eastAsia" w:ascii="宋体" w:hAnsi="宋体" w:cs="宋体"/>
          <w:color w:val="000000"/>
          <w:kern w:val="0"/>
          <w:sz w:val="24"/>
          <w:szCs w:val="24"/>
        </w:rPr>
        <w:t>竞争性磋商文件费用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见供应商须知前附表。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2.3 </w:t>
      </w:r>
      <w:r>
        <w:rPr>
          <w:rFonts w:hint="eastAsia" w:ascii="宋体" w:hAnsi="宋体" w:cs="宋体"/>
          <w:color w:val="000000"/>
          <w:kern w:val="0"/>
          <w:sz w:val="24"/>
          <w:szCs w:val="24"/>
        </w:rPr>
        <w:t>竞争性磋商文件的获取</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凡有意参加并符合供应商须知前附表“供应商资格条件和能力”的供应商，均可在招标代理机构获取竞争性磋商文件。</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2.4 </w:t>
      </w:r>
      <w:r>
        <w:rPr>
          <w:rFonts w:hint="eastAsia" w:ascii="宋体" w:hAnsi="宋体" w:cs="宋体"/>
          <w:color w:val="000000"/>
          <w:kern w:val="0"/>
          <w:sz w:val="24"/>
          <w:szCs w:val="24"/>
        </w:rPr>
        <w:t>竞争性磋商文件的澄清</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2.4.1 </w:t>
      </w:r>
      <w:r>
        <w:rPr>
          <w:rFonts w:hint="eastAsia" w:ascii="宋体" w:hAnsi="宋体" w:cs="宋体"/>
          <w:color w:val="000000"/>
          <w:kern w:val="0"/>
          <w:sz w:val="24"/>
          <w:szCs w:val="24"/>
        </w:rPr>
        <w:t>供应商应当仔细阅读和检查竞争性磋商文件的全部内容。如发现缺页或附件不全，应当及时向招标人提出，以便补齐。如有疑问，应当在供应商须知前附表规定的时间、方式向招标人提出，要求招标人对竞争性磋商文件予以澄清。</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2.4.2 </w:t>
      </w:r>
      <w:r>
        <w:rPr>
          <w:rFonts w:hint="eastAsia" w:ascii="宋体" w:hAnsi="宋体" w:cs="宋体"/>
          <w:color w:val="000000"/>
          <w:kern w:val="0"/>
          <w:sz w:val="24"/>
          <w:szCs w:val="24"/>
        </w:rPr>
        <w:t>竞争性磋商文件的澄清将按照供应商须知前附表规定的时间、方式发布，但不指明澄清问题的来源。</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2.5</w:t>
      </w:r>
      <w:r>
        <w:rPr>
          <w:rFonts w:hint="eastAsia" w:ascii="宋体" w:hAnsi="宋体" w:cs="宋体"/>
          <w:color w:val="000000"/>
          <w:kern w:val="0"/>
          <w:sz w:val="24"/>
          <w:szCs w:val="24"/>
        </w:rPr>
        <w:t>竞争性磋商文件的修改</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2.5.1 </w:t>
      </w:r>
      <w:r>
        <w:rPr>
          <w:rFonts w:hint="eastAsia" w:ascii="宋体" w:hAnsi="宋体" w:cs="宋体"/>
          <w:color w:val="000000"/>
          <w:kern w:val="0"/>
          <w:sz w:val="24"/>
          <w:szCs w:val="24"/>
        </w:rPr>
        <w:t>竞争性磋商文件的修改将按照供应商须知前附表规定的时间、方式发布，但不指明澄清问题的来源。</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2.5.2 </w:t>
      </w:r>
      <w:r>
        <w:rPr>
          <w:rFonts w:hint="eastAsia" w:ascii="宋体" w:hAnsi="宋体" w:cs="宋体"/>
          <w:color w:val="000000"/>
          <w:kern w:val="0"/>
          <w:sz w:val="24"/>
          <w:szCs w:val="24"/>
        </w:rPr>
        <w:t>在供应商须知前附表规定的截止时间前，无论出于何种原因，招标代理机构和招标人可主动地或在解答潜在供应商提出的澄清问题时对竞争性磋商文件进行修改。</w:t>
      </w:r>
    </w:p>
    <w:p>
      <w:pPr>
        <w:widowControl/>
        <w:shd w:val="clear" w:color="auto" w:fill="FFFFFF"/>
        <w:snapToGrid w:val="0"/>
        <w:spacing w:line="360" w:lineRule="auto"/>
        <w:ind w:firstLine="480" w:firstLineChars="200"/>
        <w:rPr>
          <w:rFonts w:ascii="宋体" w:cs="Times New Roman"/>
          <w:kern w:val="0"/>
          <w:sz w:val="24"/>
          <w:szCs w:val="24"/>
        </w:rPr>
      </w:pPr>
      <w:r>
        <w:rPr>
          <w:rFonts w:ascii="宋体" w:hAnsi="宋体" w:cs="宋体"/>
          <w:kern w:val="0"/>
          <w:sz w:val="24"/>
          <w:szCs w:val="24"/>
        </w:rPr>
        <w:t xml:space="preserve">2.5.3 </w:t>
      </w:r>
      <w:r>
        <w:rPr>
          <w:rFonts w:hint="eastAsia" w:ascii="宋体" w:hAnsi="宋体" w:cs="宋体"/>
          <w:kern w:val="0"/>
          <w:sz w:val="24"/>
          <w:szCs w:val="24"/>
        </w:rPr>
        <w:t>竞争性磋商文件的修改部分是竞争性磋商文件的组成部分对供应商具有约束力。</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2.5.4 </w:t>
      </w:r>
      <w:r>
        <w:rPr>
          <w:rFonts w:hint="eastAsia" w:ascii="宋体" w:hAnsi="宋体" w:cs="宋体"/>
          <w:color w:val="000000"/>
          <w:kern w:val="0"/>
          <w:sz w:val="24"/>
          <w:szCs w:val="24"/>
        </w:rPr>
        <w:t>为使供应商准备投标时有充分时间对竞争性磋商文件的修改部分进行研究，招标人可适当推迟投标截止期。</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2.5.5 </w:t>
      </w:r>
      <w:r>
        <w:rPr>
          <w:rFonts w:hint="eastAsia" w:ascii="宋体" w:hAnsi="宋体" w:cs="宋体"/>
          <w:color w:val="000000"/>
          <w:kern w:val="0"/>
          <w:sz w:val="24"/>
          <w:szCs w:val="24"/>
        </w:rPr>
        <w:t>当招标人发放的竞争性磋商文件及竞争性磋商文件的答疑文件、修改文件、补充文件前后不一致，发生矛盾情况时，以最后发出的为准。</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2.5.6 </w:t>
      </w:r>
      <w:r>
        <w:rPr>
          <w:rFonts w:hint="eastAsia" w:ascii="宋体" w:hAnsi="宋体" w:cs="宋体"/>
          <w:color w:val="000000"/>
          <w:kern w:val="0"/>
          <w:sz w:val="24"/>
          <w:szCs w:val="24"/>
        </w:rPr>
        <w:t>如果竞争性磋商文件各个组成部分之间出现歧义或相互矛盾，或任何文件中呈现明显的或不符合逻辑等的错误，或在文件编写过程中经常出现的打印错误等，供应商应将需要澄清的内容在供应商须知前附表规定的时间之前提出。根据合同条款中的相关约定，如果供应商在投标过程中未能发现并对有关歧义、矛盾或错误提出澄清请求，而在中标后发现并提出，中标人将必须接受由招标人依据合同有关条款而做出的书面澄清。</w:t>
      </w:r>
    </w:p>
    <w:p>
      <w:pPr>
        <w:tabs>
          <w:tab w:val="center" w:pos="4832"/>
          <w:tab w:val="left" w:pos="7140"/>
        </w:tabs>
        <w:spacing w:line="360" w:lineRule="auto"/>
        <w:ind w:firstLine="472" w:firstLineChars="196"/>
        <w:jc w:val="left"/>
        <w:outlineLvl w:val="1"/>
        <w:rPr>
          <w:rFonts w:ascii="宋体" w:cs="Times New Roman"/>
          <w:b/>
          <w:bCs/>
          <w:sz w:val="24"/>
          <w:szCs w:val="24"/>
        </w:rPr>
      </w:pPr>
      <w:bookmarkStart w:id="13" w:name="_BookMark_6"/>
      <w:bookmarkEnd w:id="13"/>
      <w:bookmarkStart w:id="14" w:name="_Toc5615149"/>
      <w:bookmarkStart w:id="15" w:name="_Toc3350"/>
      <w:r>
        <w:rPr>
          <w:rFonts w:ascii="宋体" w:hAnsi="宋体" w:cs="宋体"/>
          <w:b/>
          <w:bCs/>
          <w:sz w:val="24"/>
          <w:szCs w:val="24"/>
        </w:rPr>
        <w:t>3</w:t>
      </w:r>
      <w:r>
        <w:rPr>
          <w:rFonts w:hint="eastAsia" w:ascii="宋体" w:hAnsi="宋体" w:cs="宋体"/>
          <w:b/>
          <w:bCs/>
          <w:sz w:val="24"/>
          <w:szCs w:val="24"/>
        </w:rPr>
        <w:t>．磋商响应文件</w:t>
      </w:r>
      <w:bookmarkEnd w:id="14"/>
      <w:bookmarkEnd w:id="15"/>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3.1 </w:t>
      </w:r>
      <w:r>
        <w:rPr>
          <w:rFonts w:hint="eastAsia" w:ascii="宋体" w:hAnsi="宋体" w:cs="宋体"/>
          <w:color w:val="000000"/>
          <w:kern w:val="0"/>
          <w:sz w:val="24"/>
          <w:szCs w:val="24"/>
        </w:rPr>
        <w:t>磋商响应文件的组成</w:t>
      </w:r>
    </w:p>
    <w:p>
      <w:pPr>
        <w:widowControl/>
        <w:shd w:val="clear" w:color="auto" w:fill="FFFFFF"/>
        <w:snapToGrid w:val="0"/>
        <w:spacing w:line="360" w:lineRule="auto"/>
        <w:ind w:firstLine="480" w:firstLineChars="200"/>
        <w:rPr>
          <w:rFonts w:hint="eastAsia" w:ascii="宋体" w:hAnsi="宋体" w:cs="宋体"/>
          <w:color w:val="000000"/>
          <w:kern w:val="0"/>
          <w:sz w:val="24"/>
          <w:szCs w:val="24"/>
        </w:rPr>
      </w:pPr>
      <w:r>
        <w:rPr>
          <w:rFonts w:ascii="宋体" w:hAnsi="宋体" w:cs="宋体"/>
          <w:color w:val="000000"/>
          <w:kern w:val="0"/>
          <w:sz w:val="24"/>
          <w:szCs w:val="24"/>
        </w:rPr>
        <w:t>3.1.1</w:t>
      </w:r>
      <w:r>
        <w:rPr>
          <w:rFonts w:hint="eastAsia" w:ascii="宋体" w:hAnsi="宋体" w:cs="宋体"/>
          <w:color w:val="000000"/>
          <w:kern w:val="0"/>
          <w:sz w:val="24"/>
          <w:szCs w:val="24"/>
        </w:rPr>
        <w:t>磋商响应文件应包括下列内容：</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w:t>
      </w:r>
      <w:r>
        <w:rPr>
          <w:rFonts w:hint="eastAsia" w:ascii="宋体" w:hAnsi="宋体" w:cs="宋体"/>
          <w:sz w:val="24"/>
          <w:szCs w:val="24"/>
        </w:rPr>
        <w:t>投标一览表、承诺书</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w:t>
      </w:r>
      <w:r>
        <w:rPr>
          <w:rFonts w:hint="eastAsia" w:ascii="宋体" w:hAnsi="宋体" w:cs="宋体"/>
          <w:sz w:val="24"/>
          <w:szCs w:val="24"/>
        </w:rPr>
        <w:t>法定代表人身份证明书</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w:t>
      </w:r>
      <w:r>
        <w:rPr>
          <w:rFonts w:hint="eastAsia" w:ascii="宋体" w:hAnsi="宋体" w:cs="宋体"/>
          <w:sz w:val="24"/>
          <w:szCs w:val="24"/>
        </w:rPr>
        <w:t>法定代表人授权委托书</w:t>
      </w:r>
    </w:p>
    <w:p>
      <w:pPr>
        <w:widowControl/>
        <w:shd w:val="clear" w:color="auto" w:fill="FFFFFF"/>
        <w:snapToGrid w:val="0"/>
        <w:spacing w:line="360" w:lineRule="auto"/>
        <w:ind w:firstLine="480" w:firstLineChars="200"/>
        <w:rPr>
          <w:rFonts w:hint="eastAsia" w:ascii="宋体" w:hAnsi="宋体" w:eastAsia="宋体" w:cs="宋体"/>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4</w:t>
      </w:r>
      <w:r>
        <w:rPr>
          <w:rFonts w:hint="eastAsia" w:ascii="宋体" w:hAnsi="宋体" w:cs="宋体"/>
          <w:color w:val="000000"/>
          <w:kern w:val="0"/>
          <w:sz w:val="24"/>
          <w:szCs w:val="24"/>
        </w:rPr>
        <w:t>）</w:t>
      </w:r>
      <w:r>
        <w:rPr>
          <w:rFonts w:hint="eastAsia" w:ascii="宋体" w:hAnsi="宋体" w:eastAsia="宋体" w:cs="宋体"/>
          <w:sz w:val="24"/>
          <w:szCs w:val="24"/>
        </w:rPr>
        <w:t>技术规格差异表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rPr>
        <w:t>）</w:t>
      </w:r>
      <w:r>
        <w:rPr>
          <w:rFonts w:hint="eastAsia" w:ascii="宋体" w:hAnsi="宋体" w:cs="宋体"/>
          <w:sz w:val="24"/>
          <w:szCs w:val="24"/>
        </w:rPr>
        <w:t>投标人概况</w:t>
      </w:r>
    </w:p>
    <w:p>
      <w:pPr>
        <w:widowControl/>
        <w:shd w:val="clear" w:color="auto" w:fill="FFFFFF"/>
        <w:snapToGrid w:val="0"/>
        <w:spacing w:line="360" w:lineRule="auto"/>
        <w:ind w:firstLine="480" w:firstLineChars="200"/>
        <w:rPr>
          <w:rFonts w:hint="eastAsia" w:ascii="宋体" w:hAnsi="宋体" w:cs="宋体"/>
          <w:sz w:val="24"/>
          <w:szCs w:val="24"/>
        </w:rPr>
      </w:pP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6</w:t>
      </w:r>
      <w:r>
        <w:rPr>
          <w:rFonts w:hint="eastAsia" w:ascii="宋体" w:hAnsi="宋体" w:cs="宋体"/>
          <w:color w:val="000000"/>
          <w:kern w:val="0"/>
          <w:sz w:val="24"/>
          <w:szCs w:val="24"/>
        </w:rPr>
        <w:t>）</w:t>
      </w:r>
      <w:r>
        <w:rPr>
          <w:rFonts w:hint="eastAsia" w:ascii="宋体" w:hAnsi="宋体" w:cs="宋体"/>
          <w:sz w:val="24"/>
          <w:szCs w:val="24"/>
        </w:rPr>
        <w:t>投标人近</w:t>
      </w:r>
      <w:r>
        <w:rPr>
          <w:rFonts w:ascii="宋体" w:hAnsi="宋体" w:cs="宋体"/>
          <w:sz w:val="24"/>
          <w:szCs w:val="24"/>
        </w:rPr>
        <w:t>3</w:t>
      </w:r>
      <w:r>
        <w:rPr>
          <w:rFonts w:hint="eastAsia" w:ascii="宋体" w:hAnsi="宋体" w:cs="宋体"/>
          <w:sz w:val="24"/>
          <w:szCs w:val="24"/>
        </w:rPr>
        <w:t>年来类似</w:t>
      </w:r>
      <w:r>
        <w:rPr>
          <w:rFonts w:hint="eastAsia" w:ascii="宋体" w:hAnsi="宋体" w:cs="宋体"/>
          <w:sz w:val="24"/>
          <w:szCs w:val="24"/>
          <w:lang w:eastAsia="zh-CN"/>
        </w:rPr>
        <w:t>项目</w:t>
      </w:r>
      <w:r>
        <w:rPr>
          <w:rFonts w:hint="eastAsia" w:ascii="宋体" w:hAnsi="宋体" w:cs="宋体"/>
          <w:sz w:val="24"/>
          <w:szCs w:val="24"/>
        </w:rPr>
        <w:t>（提供相关业绩证明材料）</w:t>
      </w:r>
    </w:p>
    <w:p>
      <w:pPr>
        <w:widowControl/>
        <w:shd w:val="clear" w:color="auto" w:fill="FFFFFF"/>
        <w:snapToGrid w:val="0"/>
        <w:spacing w:line="360" w:lineRule="auto"/>
        <w:ind w:firstLine="480" w:firstLineChars="200"/>
        <w:rPr>
          <w:rFonts w:ascii="宋体" w:hAnsi="宋体"/>
          <w:sz w:val="24"/>
          <w:szCs w:val="24"/>
        </w:rPr>
      </w:pPr>
      <w:r>
        <w:rPr>
          <w:rFonts w:hint="eastAsia" w:ascii="宋体" w:hAnsi="宋体" w:cs="Arial"/>
          <w:color w:val="000000"/>
          <w:kern w:val="0"/>
          <w:sz w:val="24"/>
          <w:szCs w:val="24"/>
        </w:rPr>
        <w:t>（</w:t>
      </w:r>
      <w:r>
        <w:rPr>
          <w:rFonts w:hint="eastAsia" w:ascii="宋体" w:hAnsi="宋体" w:cs="Arial"/>
          <w:color w:val="000000"/>
          <w:kern w:val="0"/>
          <w:sz w:val="24"/>
          <w:szCs w:val="24"/>
          <w:lang w:val="en-US" w:eastAsia="zh-CN"/>
        </w:rPr>
        <w:t>7</w:t>
      </w:r>
      <w:r>
        <w:rPr>
          <w:rFonts w:hint="eastAsia" w:ascii="宋体" w:hAnsi="宋体" w:cs="Arial"/>
          <w:color w:val="000000"/>
          <w:kern w:val="0"/>
          <w:sz w:val="24"/>
          <w:szCs w:val="24"/>
        </w:rPr>
        <w:t>）</w:t>
      </w:r>
      <w:r>
        <w:rPr>
          <w:rFonts w:hint="eastAsia" w:ascii="宋体" w:hAnsi="宋体" w:eastAsia="宋体" w:cs="Times New Roman"/>
          <w:sz w:val="24"/>
          <w:szCs w:val="24"/>
        </w:rPr>
        <w:t>售后服务计划</w:t>
      </w:r>
    </w:p>
    <w:p>
      <w:pPr>
        <w:widowControl/>
        <w:shd w:val="clear" w:color="auto" w:fill="FFFFFF"/>
        <w:snapToGrid w:val="0"/>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8</w:t>
      </w:r>
      <w:r>
        <w:rPr>
          <w:rFonts w:hint="eastAsia" w:ascii="宋体" w:hAnsi="宋体"/>
          <w:sz w:val="24"/>
          <w:szCs w:val="24"/>
        </w:rPr>
        <w:t>）</w:t>
      </w:r>
      <w:r>
        <w:rPr>
          <w:rFonts w:hint="eastAsia" w:ascii="宋体" w:hAnsi="宋体" w:eastAsia="宋体" w:cs="Times New Roman"/>
          <w:sz w:val="24"/>
          <w:szCs w:val="24"/>
        </w:rPr>
        <w:t>质量保证书</w:t>
      </w:r>
    </w:p>
    <w:p>
      <w:pPr>
        <w:widowControl/>
        <w:shd w:val="clear" w:color="auto" w:fill="FFFFFF"/>
        <w:snapToGrid w:val="0"/>
        <w:spacing w:line="360" w:lineRule="auto"/>
        <w:ind w:firstLine="480" w:firstLineChars="200"/>
        <w:rPr>
          <w:rFonts w:ascii="宋体" w:hAnsi="宋体" w:eastAsia="宋体" w:cs="Times New Roman"/>
          <w:sz w:val="24"/>
          <w:szCs w:val="24"/>
        </w:rPr>
      </w:pPr>
      <w:r>
        <w:rPr>
          <w:rFonts w:hint="eastAsia" w:ascii="宋体" w:hAnsi="宋体"/>
          <w:sz w:val="24"/>
          <w:szCs w:val="24"/>
        </w:rPr>
        <w:t>（</w:t>
      </w:r>
      <w:r>
        <w:rPr>
          <w:rFonts w:hint="eastAsia" w:ascii="宋体" w:hAnsi="宋体"/>
          <w:sz w:val="24"/>
          <w:szCs w:val="24"/>
          <w:lang w:val="en-US" w:eastAsia="zh-CN"/>
        </w:rPr>
        <w:t>9</w:t>
      </w:r>
      <w:r>
        <w:rPr>
          <w:rFonts w:hint="eastAsia" w:ascii="宋体" w:hAnsi="宋体"/>
          <w:sz w:val="24"/>
          <w:szCs w:val="24"/>
        </w:rPr>
        <w:t>）</w:t>
      </w:r>
      <w:r>
        <w:rPr>
          <w:rFonts w:hint="eastAsia" w:ascii="宋体" w:hAnsi="宋体" w:eastAsia="宋体" w:cs="Times New Roman"/>
          <w:sz w:val="24"/>
          <w:szCs w:val="24"/>
        </w:rPr>
        <w:t>投标货物和服务的质量保障（证）措施及技术支持等</w:t>
      </w:r>
    </w:p>
    <w:p>
      <w:pPr>
        <w:widowControl/>
        <w:shd w:val="clear" w:color="auto" w:fill="FFFFFF"/>
        <w:snapToGrid w:val="0"/>
        <w:spacing w:line="360" w:lineRule="auto"/>
        <w:ind w:firstLine="480" w:firstLineChars="200"/>
        <w:rPr>
          <w:rFonts w:hint="eastAsia" w:ascii="宋体" w:hAnsi="宋体" w:cs="宋体"/>
          <w:sz w:val="24"/>
          <w:szCs w:val="24"/>
        </w:rPr>
      </w:pPr>
      <w:r>
        <w:rPr>
          <w:rFonts w:hint="eastAsia" w:ascii="宋体" w:hAnsi="宋体" w:eastAsia="宋体" w:cs="Times New Roman"/>
          <w:sz w:val="24"/>
          <w:szCs w:val="24"/>
        </w:rPr>
        <w:t>（</w:t>
      </w:r>
      <w:r>
        <w:rPr>
          <w:rFonts w:hint="eastAsia" w:ascii="宋体" w:hAnsi="宋体" w:cs="Times New Roman"/>
          <w:sz w:val="24"/>
          <w:szCs w:val="24"/>
          <w:lang w:val="en-US" w:eastAsia="zh-CN"/>
        </w:rPr>
        <w:t>10</w:t>
      </w:r>
      <w:r>
        <w:rPr>
          <w:rFonts w:hint="eastAsia" w:ascii="宋体" w:hAnsi="宋体" w:eastAsia="宋体" w:cs="Times New Roman"/>
          <w:sz w:val="24"/>
          <w:szCs w:val="24"/>
        </w:rPr>
        <w:t>）优惠条件及承诺</w:t>
      </w:r>
    </w:p>
    <w:p>
      <w:pPr>
        <w:widowControl/>
        <w:shd w:val="clear" w:color="auto" w:fill="FFFFFF"/>
        <w:snapToGrid w:val="0"/>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11</w:t>
      </w:r>
      <w:r>
        <w:rPr>
          <w:rFonts w:hint="eastAsia" w:ascii="宋体" w:hAnsi="宋体" w:cs="宋体"/>
          <w:color w:val="000000"/>
          <w:kern w:val="0"/>
          <w:sz w:val="24"/>
          <w:szCs w:val="24"/>
        </w:rPr>
        <w:t>）其他相关资料</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3.1.2 </w:t>
      </w:r>
      <w:r>
        <w:rPr>
          <w:rFonts w:hint="eastAsia" w:ascii="宋体" w:hAnsi="宋体" w:cs="宋体"/>
          <w:color w:val="000000"/>
          <w:kern w:val="0"/>
          <w:sz w:val="24"/>
          <w:szCs w:val="24"/>
        </w:rPr>
        <w:t>供应商须知前附表规定不接受联合体投标的，或供应商没有组成联合体的，磋商响应文件不包括本章第</w:t>
      </w:r>
      <w:r>
        <w:rPr>
          <w:rFonts w:ascii="宋体" w:hAnsi="宋体" w:cs="宋体"/>
          <w:color w:val="000000"/>
          <w:kern w:val="0"/>
          <w:sz w:val="24"/>
          <w:szCs w:val="24"/>
        </w:rPr>
        <w:t>3.1.1</w:t>
      </w:r>
      <w:r>
        <w:rPr>
          <w:rFonts w:hint="eastAsia" w:ascii="宋体" w:hAnsi="宋体" w:cs="宋体"/>
          <w:color w:val="000000"/>
          <w:kern w:val="0"/>
          <w:sz w:val="24"/>
          <w:szCs w:val="24"/>
        </w:rPr>
        <w:t>（</w:t>
      </w:r>
      <w:r>
        <w:rPr>
          <w:rFonts w:ascii="宋体" w:hAnsi="宋体" w:cs="宋体"/>
          <w:color w:val="000000"/>
          <w:kern w:val="0"/>
          <w:sz w:val="24"/>
          <w:szCs w:val="24"/>
        </w:rPr>
        <w:t>7</w:t>
      </w:r>
      <w:r>
        <w:rPr>
          <w:rFonts w:hint="eastAsia" w:ascii="宋体" w:hAnsi="宋体" w:cs="宋体"/>
          <w:color w:val="000000"/>
          <w:kern w:val="0"/>
          <w:sz w:val="24"/>
          <w:szCs w:val="24"/>
        </w:rPr>
        <w:t>）目所指的联合体协议书。</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3.2 </w:t>
      </w:r>
      <w:r>
        <w:rPr>
          <w:rFonts w:hint="eastAsia" w:ascii="宋体" w:hAnsi="宋体" w:cs="宋体"/>
          <w:color w:val="000000"/>
          <w:kern w:val="0"/>
          <w:sz w:val="24"/>
          <w:szCs w:val="24"/>
        </w:rPr>
        <w:t>投标报价</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3.2.1 </w:t>
      </w:r>
      <w:r>
        <w:rPr>
          <w:rFonts w:hint="eastAsia" w:ascii="宋体" w:hAnsi="宋体" w:cs="宋体"/>
          <w:color w:val="000000"/>
          <w:kern w:val="0"/>
          <w:sz w:val="24"/>
          <w:szCs w:val="24"/>
        </w:rPr>
        <w:t>供应商应当按第四章“技术标准和要求”的规定进行投标报价，并填写第五章“磋商响应文件格式”中的投标报价明细表。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3.2.2 </w:t>
      </w:r>
      <w:r>
        <w:rPr>
          <w:rFonts w:hint="eastAsia" w:ascii="宋体" w:hAnsi="宋体" w:cs="宋体"/>
          <w:color w:val="000000"/>
          <w:kern w:val="0"/>
          <w:sz w:val="24"/>
          <w:szCs w:val="24"/>
        </w:rPr>
        <w:t>供应商的投标报价不能超出本项目采购预算。</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3.2.3</w:t>
      </w:r>
      <w:r>
        <w:rPr>
          <w:rFonts w:hint="eastAsia" w:ascii="宋体" w:hAnsi="宋体" w:cs="宋体"/>
          <w:color w:val="000000"/>
          <w:kern w:val="0"/>
          <w:sz w:val="24"/>
          <w:szCs w:val="24"/>
        </w:rPr>
        <w:t>供应商的货物只允许有一个报价，招标人不接受有任何选择的报价。</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3.2.4 </w:t>
      </w:r>
      <w:r>
        <w:rPr>
          <w:rFonts w:hint="eastAsia" w:ascii="宋体" w:hAnsi="宋体" w:cs="宋体"/>
          <w:color w:val="000000"/>
          <w:kern w:val="0"/>
          <w:sz w:val="24"/>
          <w:szCs w:val="24"/>
        </w:rPr>
        <w:t>供应商在投标截止时间前修改投标函中的投标总价的，应同时修改第五章“磋商响应文件格式”中投标报价明细表中的相应报价。此修改须符合本章第</w:t>
      </w:r>
      <w:r>
        <w:rPr>
          <w:rFonts w:ascii="宋体" w:hAnsi="宋体" w:cs="宋体"/>
          <w:color w:val="000000"/>
          <w:kern w:val="0"/>
          <w:sz w:val="24"/>
          <w:szCs w:val="24"/>
        </w:rPr>
        <w:t>4.3</w:t>
      </w:r>
      <w:r>
        <w:rPr>
          <w:rFonts w:hint="eastAsia" w:ascii="宋体" w:hAnsi="宋体" w:cs="宋体"/>
          <w:color w:val="000000"/>
          <w:kern w:val="0"/>
          <w:sz w:val="24"/>
          <w:szCs w:val="24"/>
        </w:rPr>
        <w:t>款的有关要求。</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3.2.5</w:t>
      </w:r>
      <w:r>
        <w:rPr>
          <w:rFonts w:hint="eastAsia" w:ascii="宋体" w:hAnsi="宋体" w:cs="宋体"/>
          <w:color w:val="000000"/>
          <w:kern w:val="0"/>
          <w:sz w:val="24"/>
          <w:szCs w:val="24"/>
        </w:rPr>
        <w:t>供应商提供的货物和服务一律用人民币报价。</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3.3 </w:t>
      </w:r>
      <w:r>
        <w:rPr>
          <w:rFonts w:hint="eastAsia" w:ascii="宋体" w:hAnsi="宋体" w:cs="宋体"/>
          <w:color w:val="000000"/>
          <w:kern w:val="0"/>
          <w:sz w:val="24"/>
          <w:szCs w:val="24"/>
        </w:rPr>
        <w:t>投标有效期</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3.3.1 </w:t>
      </w:r>
      <w:r>
        <w:rPr>
          <w:rFonts w:hint="eastAsia" w:ascii="宋体" w:hAnsi="宋体" w:cs="宋体"/>
          <w:color w:val="000000"/>
          <w:kern w:val="0"/>
          <w:sz w:val="24"/>
          <w:szCs w:val="24"/>
        </w:rPr>
        <w:t>在供应商须知前附表规定的投标有效期内，供应商不得要求撤销或修改其磋商响应文件。</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3.3.2 </w:t>
      </w:r>
      <w:r>
        <w:rPr>
          <w:rFonts w:hint="eastAsia" w:ascii="宋体" w:hAnsi="宋体" w:cs="宋体"/>
          <w:color w:val="000000"/>
          <w:kern w:val="0"/>
          <w:sz w:val="24"/>
          <w:szCs w:val="24"/>
        </w:rPr>
        <w:t>出现特殊情况需要延长投标有效期的，招标人将通知所有供应商延长投标有效期。供应商同意延长的，应当相应延长其投标保证金的有效期，但不得要求或被允许修改或撤销其磋商响应文件；供应商拒绝延长的，其投标失效，但供应商有权收回其投标保证金。</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3.3.3 </w:t>
      </w:r>
      <w:r>
        <w:rPr>
          <w:rFonts w:hint="eastAsia" w:ascii="宋体" w:hAnsi="宋体" w:cs="宋体"/>
          <w:color w:val="000000"/>
          <w:kern w:val="0"/>
          <w:sz w:val="24"/>
          <w:szCs w:val="24"/>
        </w:rPr>
        <w:t>投标保证金的有效期与投标有效期一致。</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3.4 </w:t>
      </w:r>
      <w:r>
        <w:rPr>
          <w:rFonts w:hint="eastAsia" w:ascii="宋体" w:hAnsi="宋体" w:cs="宋体"/>
          <w:color w:val="000000"/>
          <w:kern w:val="0"/>
          <w:sz w:val="24"/>
          <w:szCs w:val="24"/>
        </w:rPr>
        <w:t>投标保证金</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3.4.1 </w:t>
      </w:r>
      <w:r>
        <w:rPr>
          <w:rFonts w:hint="eastAsia" w:ascii="宋体" w:hAnsi="宋体" w:cs="宋体"/>
          <w:color w:val="000000"/>
          <w:kern w:val="0"/>
          <w:sz w:val="24"/>
          <w:szCs w:val="24"/>
        </w:rPr>
        <w:t>供应商应于投标截止时间前按供应商须知前附表规定数额和要求提交投标保证金，并作为其磋商响应文件的组成部分。</w:t>
      </w:r>
      <w:r>
        <w:rPr>
          <w:rFonts w:hint="eastAsia" w:ascii="宋体" w:hAnsi="宋体" w:cs="宋体"/>
          <w:kern w:val="0"/>
          <w:sz w:val="24"/>
          <w:szCs w:val="24"/>
        </w:rPr>
        <w:t>未</w:t>
      </w:r>
      <w:r>
        <w:rPr>
          <w:rFonts w:hint="eastAsia" w:ascii="宋体" w:hAnsi="宋体" w:cs="宋体"/>
          <w:color w:val="000000"/>
          <w:kern w:val="0"/>
          <w:sz w:val="24"/>
          <w:szCs w:val="24"/>
        </w:rPr>
        <w:t>提交投标保证金的，将被视为非响应性投标而予以拒绝。</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3.4.2 </w:t>
      </w:r>
      <w:r>
        <w:rPr>
          <w:rFonts w:hint="eastAsia" w:ascii="宋体" w:hAnsi="宋体" w:cs="宋体"/>
          <w:color w:val="000000"/>
          <w:kern w:val="0"/>
          <w:sz w:val="24"/>
          <w:szCs w:val="24"/>
        </w:rPr>
        <w:t>投标保证金是为了保护招标人免遭因供应商的行为而蒙受损失。招标人在因供应商的行为受到损害时可根据相关法律规定没收供应商的投标保证金。</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3.4.3 </w:t>
      </w:r>
      <w:r>
        <w:rPr>
          <w:rFonts w:hint="eastAsia" w:ascii="宋体" w:hAnsi="宋体" w:cs="宋体"/>
          <w:color w:val="000000"/>
          <w:kern w:val="0"/>
          <w:sz w:val="24"/>
          <w:szCs w:val="24"/>
        </w:rPr>
        <w:t>未中标的供应商的保证金将在公示期满后</w:t>
      </w:r>
      <w:r>
        <w:rPr>
          <w:rFonts w:ascii="宋体" w:hAnsi="宋体" w:cs="宋体"/>
          <w:color w:val="000000"/>
          <w:kern w:val="0"/>
          <w:sz w:val="24"/>
          <w:szCs w:val="24"/>
        </w:rPr>
        <w:t>5</w:t>
      </w:r>
      <w:r>
        <w:rPr>
          <w:rFonts w:hint="eastAsia" w:ascii="宋体" w:hAnsi="宋体" w:cs="宋体"/>
          <w:color w:val="000000"/>
          <w:kern w:val="0"/>
          <w:sz w:val="24"/>
          <w:szCs w:val="24"/>
        </w:rPr>
        <w:t>个工作日内按相关规定退还给供应商。中标人的投标保证金将在合同签订后</w:t>
      </w:r>
      <w:r>
        <w:rPr>
          <w:rFonts w:ascii="宋体" w:hAnsi="宋体" w:cs="宋体"/>
          <w:color w:val="000000"/>
          <w:kern w:val="0"/>
          <w:sz w:val="24"/>
          <w:szCs w:val="24"/>
        </w:rPr>
        <w:t>5</w:t>
      </w:r>
      <w:r>
        <w:rPr>
          <w:rFonts w:hint="eastAsia" w:ascii="宋体" w:hAnsi="宋体" w:cs="宋体"/>
          <w:color w:val="000000"/>
          <w:kern w:val="0"/>
          <w:sz w:val="24"/>
          <w:szCs w:val="24"/>
        </w:rPr>
        <w:t>日内按相关规定退还。</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3.4.4 </w:t>
      </w:r>
      <w:r>
        <w:rPr>
          <w:rFonts w:hint="eastAsia" w:ascii="宋体" w:hAnsi="宋体" w:cs="宋体"/>
          <w:color w:val="000000"/>
          <w:kern w:val="0"/>
          <w:sz w:val="24"/>
          <w:szCs w:val="24"/>
        </w:rPr>
        <w:t>投标保证金有效期与投标有效期一致。</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3.4.5 </w:t>
      </w:r>
      <w:r>
        <w:rPr>
          <w:rFonts w:hint="eastAsia" w:ascii="宋体" w:hAnsi="宋体" w:cs="宋体"/>
          <w:color w:val="000000"/>
          <w:kern w:val="0"/>
          <w:sz w:val="24"/>
          <w:szCs w:val="24"/>
        </w:rPr>
        <w:t>有下列情形之一的，投标保证金不予退还：</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）供应商在规定的投标有效期内撤销或修改其磋商响应文件的；</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）中标人在收到中标通知书后，无正当理由拒签合同协议书或在签订合同时提出附加条件或者更改合同实质性内容的。</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3.5 </w:t>
      </w:r>
      <w:r>
        <w:rPr>
          <w:rFonts w:hint="eastAsia" w:ascii="宋体" w:hAnsi="宋体" w:cs="宋体"/>
          <w:color w:val="000000"/>
          <w:kern w:val="0"/>
          <w:sz w:val="24"/>
          <w:szCs w:val="24"/>
        </w:rPr>
        <w:t>磋商响应文件的编制</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3.5.1</w:t>
      </w:r>
      <w:r>
        <w:rPr>
          <w:rFonts w:hint="eastAsia" w:ascii="宋体" w:hAnsi="宋体" w:cs="宋体"/>
          <w:color w:val="000000"/>
          <w:kern w:val="0"/>
          <w:sz w:val="24"/>
          <w:szCs w:val="24"/>
        </w:rPr>
        <w:t>磋商响应文件应按第五章“磋商响应文件格式”进行编写，如有必要，可以增加附页，作为磋商响应文件的组成部分。</w:t>
      </w:r>
    </w:p>
    <w:p>
      <w:pPr>
        <w:widowControl/>
        <w:shd w:val="clear" w:color="auto" w:fill="FFFFFF"/>
        <w:snapToGrid w:val="0"/>
        <w:spacing w:line="360" w:lineRule="auto"/>
        <w:ind w:firstLine="480" w:firstLineChars="200"/>
        <w:rPr>
          <w:rFonts w:ascii="宋体" w:cs="Times New Roman"/>
          <w:kern w:val="0"/>
          <w:sz w:val="24"/>
          <w:szCs w:val="24"/>
        </w:rPr>
      </w:pPr>
      <w:r>
        <w:rPr>
          <w:rFonts w:ascii="宋体" w:hAnsi="宋体" w:cs="宋体"/>
          <w:color w:val="000000"/>
          <w:kern w:val="0"/>
          <w:sz w:val="24"/>
          <w:szCs w:val="24"/>
        </w:rPr>
        <w:t>3.5.2</w:t>
      </w:r>
      <w:r>
        <w:rPr>
          <w:rFonts w:hint="eastAsia" w:ascii="宋体" w:hAnsi="宋体" w:cs="宋体"/>
          <w:kern w:val="0"/>
          <w:sz w:val="24"/>
          <w:szCs w:val="24"/>
        </w:rPr>
        <w:t>磋商响应文件应当对竞争性磋商文件有关招标范围、技术与服务要求等实质性内容做出响应。</w:t>
      </w:r>
    </w:p>
    <w:p>
      <w:pPr>
        <w:widowControl/>
        <w:shd w:val="clear" w:color="auto" w:fill="FFFFFF"/>
        <w:snapToGrid w:val="0"/>
        <w:spacing w:line="360" w:lineRule="auto"/>
        <w:ind w:firstLine="480" w:firstLineChars="200"/>
        <w:rPr>
          <w:rFonts w:ascii="宋体" w:cs="Times New Roman"/>
          <w:kern w:val="0"/>
          <w:sz w:val="24"/>
          <w:szCs w:val="24"/>
        </w:rPr>
      </w:pPr>
      <w:r>
        <w:rPr>
          <w:rFonts w:ascii="宋体" w:hAnsi="宋体" w:cs="宋体"/>
          <w:kern w:val="0"/>
          <w:sz w:val="24"/>
          <w:szCs w:val="24"/>
        </w:rPr>
        <w:t xml:space="preserve">3.5.3 </w:t>
      </w:r>
      <w:r>
        <w:rPr>
          <w:rFonts w:hint="eastAsia" w:ascii="宋体" w:hAnsi="宋体" w:cs="宋体"/>
          <w:kern w:val="0"/>
          <w:sz w:val="24"/>
          <w:szCs w:val="24"/>
        </w:rPr>
        <w:t>磋商响应文件要求盖章处均应加盖。</w:t>
      </w:r>
    </w:p>
    <w:p>
      <w:pPr>
        <w:widowControl/>
        <w:shd w:val="clear" w:color="auto" w:fill="FFFFFF"/>
        <w:snapToGrid w:val="0"/>
        <w:spacing w:line="360" w:lineRule="auto"/>
        <w:ind w:firstLine="480" w:firstLineChars="200"/>
        <w:rPr>
          <w:rFonts w:ascii="宋体" w:cs="Times New Roman"/>
          <w:kern w:val="0"/>
          <w:sz w:val="24"/>
          <w:szCs w:val="24"/>
        </w:rPr>
      </w:pPr>
      <w:r>
        <w:rPr>
          <w:rFonts w:ascii="宋体" w:hAnsi="宋体" w:cs="宋体"/>
          <w:kern w:val="0"/>
          <w:sz w:val="24"/>
          <w:szCs w:val="24"/>
        </w:rPr>
        <w:t xml:space="preserve">3.5.4 </w:t>
      </w:r>
      <w:r>
        <w:rPr>
          <w:rFonts w:hint="eastAsia" w:ascii="宋体" w:hAnsi="宋体" w:cs="宋体"/>
          <w:kern w:val="0"/>
          <w:sz w:val="24"/>
          <w:szCs w:val="24"/>
        </w:rPr>
        <w:t>磋商响应文件采用</w:t>
      </w:r>
      <w:r>
        <w:rPr>
          <w:rFonts w:ascii="宋体" w:hAnsi="宋体" w:cs="宋体"/>
          <w:kern w:val="0"/>
          <w:sz w:val="24"/>
          <w:szCs w:val="24"/>
        </w:rPr>
        <w:t>A4</w:t>
      </w:r>
      <w:r>
        <w:rPr>
          <w:rFonts w:hint="eastAsia" w:ascii="宋体" w:hAnsi="宋体" w:cs="宋体"/>
          <w:kern w:val="0"/>
          <w:sz w:val="24"/>
          <w:szCs w:val="24"/>
        </w:rPr>
        <w:t>打印纸。</w:t>
      </w:r>
    </w:p>
    <w:p>
      <w:pPr>
        <w:widowControl/>
        <w:shd w:val="clear" w:color="auto" w:fill="FFFFFF"/>
        <w:snapToGrid w:val="0"/>
        <w:spacing w:line="360" w:lineRule="auto"/>
        <w:ind w:firstLine="480" w:firstLineChars="200"/>
        <w:rPr>
          <w:rFonts w:ascii="宋体" w:cs="Times New Roman"/>
          <w:kern w:val="0"/>
          <w:sz w:val="24"/>
          <w:szCs w:val="24"/>
        </w:rPr>
      </w:pPr>
      <w:r>
        <w:rPr>
          <w:rFonts w:ascii="宋体" w:hAnsi="宋体" w:cs="宋体"/>
          <w:kern w:val="0"/>
          <w:sz w:val="24"/>
          <w:szCs w:val="24"/>
        </w:rPr>
        <w:t>3.5.5</w:t>
      </w:r>
      <w:r>
        <w:rPr>
          <w:rFonts w:hint="eastAsia" w:ascii="宋体" w:hAnsi="宋体" w:cs="宋体"/>
          <w:kern w:val="0"/>
          <w:sz w:val="24"/>
          <w:szCs w:val="24"/>
        </w:rPr>
        <w:t>供应商应按供应商须知前附表规定，编制磋商响应文件“正本”和“副本”份数。封面必须注明“正本”或“副本”字样。</w:t>
      </w:r>
    </w:p>
    <w:p>
      <w:pPr>
        <w:widowControl/>
        <w:shd w:val="clear" w:color="auto" w:fill="FFFFFF"/>
        <w:snapToGrid w:val="0"/>
        <w:spacing w:line="360" w:lineRule="auto"/>
        <w:ind w:firstLine="480" w:firstLineChars="200"/>
        <w:rPr>
          <w:rFonts w:ascii="宋体" w:cs="Times New Roman"/>
          <w:kern w:val="0"/>
          <w:sz w:val="24"/>
          <w:szCs w:val="24"/>
        </w:rPr>
      </w:pPr>
      <w:r>
        <w:rPr>
          <w:rFonts w:ascii="宋体" w:hAnsi="宋体" w:cs="宋体"/>
          <w:kern w:val="0"/>
          <w:sz w:val="24"/>
          <w:szCs w:val="24"/>
        </w:rPr>
        <w:t>3.5.6</w:t>
      </w:r>
      <w:r>
        <w:rPr>
          <w:rFonts w:hint="eastAsia" w:ascii="宋体" w:hAnsi="宋体" w:cs="宋体"/>
          <w:kern w:val="0"/>
          <w:sz w:val="24"/>
          <w:szCs w:val="24"/>
        </w:rPr>
        <w:t>磋商响应文件正本和副本如有不一致之处，以正本为准。</w:t>
      </w:r>
    </w:p>
    <w:p>
      <w:pPr>
        <w:tabs>
          <w:tab w:val="center" w:pos="4832"/>
          <w:tab w:val="left" w:pos="7140"/>
        </w:tabs>
        <w:spacing w:line="360" w:lineRule="auto"/>
        <w:ind w:firstLine="472" w:firstLineChars="196"/>
        <w:jc w:val="left"/>
        <w:outlineLvl w:val="1"/>
        <w:rPr>
          <w:rFonts w:ascii="宋体" w:cs="Times New Roman"/>
          <w:b/>
          <w:bCs/>
          <w:sz w:val="24"/>
          <w:szCs w:val="24"/>
        </w:rPr>
      </w:pPr>
      <w:bookmarkStart w:id="16" w:name="_BookMark_7"/>
      <w:bookmarkEnd w:id="16"/>
      <w:bookmarkStart w:id="17" w:name="_Toc8328"/>
      <w:bookmarkStart w:id="18" w:name="_Toc5615150"/>
      <w:r>
        <w:rPr>
          <w:rFonts w:ascii="宋体" w:hAnsi="宋体" w:cs="宋体"/>
          <w:b/>
          <w:bCs/>
          <w:sz w:val="24"/>
          <w:szCs w:val="24"/>
        </w:rPr>
        <w:t>4</w:t>
      </w:r>
      <w:r>
        <w:rPr>
          <w:rFonts w:hint="eastAsia" w:ascii="宋体" w:hAnsi="宋体" w:cs="宋体"/>
          <w:b/>
          <w:bCs/>
          <w:sz w:val="24"/>
          <w:szCs w:val="24"/>
        </w:rPr>
        <w:t>．投标</w:t>
      </w:r>
      <w:bookmarkEnd w:id="17"/>
      <w:bookmarkEnd w:id="18"/>
    </w:p>
    <w:p>
      <w:pPr>
        <w:widowControl/>
        <w:shd w:val="clear" w:color="auto" w:fill="FFFFFF"/>
        <w:snapToGrid w:val="0"/>
        <w:spacing w:line="360" w:lineRule="auto"/>
        <w:ind w:firstLine="480" w:firstLineChars="200"/>
        <w:rPr>
          <w:rFonts w:ascii="宋体" w:cs="Times New Roman"/>
          <w:kern w:val="0"/>
          <w:sz w:val="24"/>
          <w:szCs w:val="24"/>
        </w:rPr>
      </w:pPr>
      <w:r>
        <w:rPr>
          <w:rFonts w:ascii="宋体" w:hAnsi="宋体" w:cs="宋体"/>
          <w:kern w:val="0"/>
          <w:sz w:val="24"/>
          <w:szCs w:val="24"/>
        </w:rPr>
        <w:t xml:space="preserve">4.1 </w:t>
      </w:r>
      <w:r>
        <w:rPr>
          <w:rFonts w:hint="eastAsia" w:ascii="宋体" w:hAnsi="宋体" w:cs="宋体"/>
          <w:kern w:val="0"/>
          <w:sz w:val="24"/>
          <w:szCs w:val="24"/>
        </w:rPr>
        <w:t>磋商响应文件的密封和标识</w:t>
      </w:r>
    </w:p>
    <w:p>
      <w:pPr>
        <w:widowControl/>
        <w:shd w:val="clear" w:color="auto" w:fill="FFFFFF"/>
        <w:snapToGrid w:val="0"/>
        <w:spacing w:line="360" w:lineRule="auto"/>
        <w:ind w:firstLine="480" w:firstLineChars="200"/>
        <w:rPr>
          <w:rFonts w:ascii="宋体" w:cs="Times New Roman"/>
          <w:kern w:val="0"/>
          <w:sz w:val="24"/>
          <w:szCs w:val="24"/>
        </w:rPr>
      </w:pPr>
      <w:r>
        <w:rPr>
          <w:rFonts w:ascii="宋体" w:hAnsi="宋体" w:cs="宋体"/>
          <w:kern w:val="0"/>
          <w:sz w:val="24"/>
          <w:szCs w:val="24"/>
        </w:rPr>
        <w:t>4.1.1</w:t>
      </w:r>
      <w:r>
        <w:rPr>
          <w:rFonts w:hint="eastAsia" w:ascii="宋体" w:hAnsi="宋体" w:cs="宋体"/>
          <w:kern w:val="0"/>
          <w:sz w:val="24"/>
          <w:szCs w:val="24"/>
        </w:rPr>
        <w:t>、供应商必须将磋商响应文件胶粘并密封装袋，并在封套正面注明：“磋商响应文件”投标字样，即“磋商响应文件”封袋。否则整个磋商响应文件将被视为不响应竞争性磋商文件，而予以拒绝评审。</w:t>
      </w:r>
    </w:p>
    <w:p>
      <w:pPr>
        <w:widowControl/>
        <w:shd w:val="clear" w:color="auto" w:fill="FFFFFF"/>
        <w:snapToGrid w:val="0"/>
        <w:spacing w:line="360" w:lineRule="auto"/>
        <w:ind w:firstLine="480" w:firstLineChars="200"/>
        <w:rPr>
          <w:rFonts w:ascii="宋体" w:cs="Times New Roman"/>
          <w:kern w:val="0"/>
          <w:sz w:val="24"/>
          <w:szCs w:val="24"/>
        </w:rPr>
      </w:pPr>
      <w:r>
        <w:rPr>
          <w:rFonts w:ascii="宋体" w:hAnsi="宋体" w:cs="宋体"/>
          <w:kern w:val="0"/>
          <w:sz w:val="24"/>
          <w:szCs w:val="24"/>
        </w:rPr>
        <w:t>4.1.2</w:t>
      </w:r>
      <w:r>
        <w:rPr>
          <w:rFonts w:hint="eastAsia" w:ascii="宋体" w:hAnsi="宋体" w:cs="宋体"/>
          <w:kern w:val="0"/>
          <w:sz w:val="24"/>
          <w:szCs w:val="24"/>
        </w:rPr>
        <w:t>、磋商响应文件封袋和《开标一览表》袋上必须在开启处密封，并加盖供应商章。否则整个磋商响应文件将被视为不响应竞争性磋商文件，而予以拒绝评审。</w:t>
      </w:r>
    </w:p>
    <w:p>
      <w:pPr>
        <w:widowControl/>
        <w:shd w:val="clear" w:color="auto" w:fill="FFFFFF"/>
        <w:snapToGrid w:val="0"/>
        <w:spacing w:line="360" w:lineRule="auto"/>
        <w:ind w:firstLine="480" w:firstLineChars="200"/>
        <w:rPr>
          <w:rFonts w:ascii="宋体" w:cs="Times New Roman"/>
          <w:kern w:val="0"/>
          <w:sz w:val="24"/>
          <w:szCs w:val="24"/>
        </w:rPr>
      </w:pPr>
      <w:r>
        <w:rPr>
          <w:rFonts w:ascii="宋体" w:hAnsi="宋体" w:cs="宋体"/>
          <w:kern w:val="0"/>
          <w:sz w:val="24"/>
          <w:szCs w:val="24"/>
        </w:rPr>
        <w:t>4.1.3</w:t>
      </w:r>
      <w:r>
        <w:rPr>
          <w:rFonts w:hint="eastAsia" w:ascii="宋体" w:hAnsi="宋体" w:cs="宋体"/>
          <w:kern w:val="0"/>
          <w:sz w:val="24"/>
          <w:szCs w:val="24"/>
        </w:rPr>
        <w:t>、磋商响应文件封袋上和《开标一览表》袋上应写明招标人名称、供应商名称和项目名称。</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4.2 </w:t>
      </w:r>
      <w:r>
        <w:rPr>
          <w:rFonts w:hint="eastAsia" w:ascii="宋体" w:hAnsi="宋体" w:cs="宋体"/>
          <w:color w:val="000000"/>
          <w:kern w:val="0"/>
          <w:sz w:val="24"/>
          <w:szCs w:val="24"/>
        </w:rPr>
        <w:t>磋商响应文件的递交</w:t>
      </w:r>
    </w:p>
    <w:p>
      <w:pPr>
        <w:widowControl/>
        <w:shd w:val="clear" w:color="auto" w:fill="FFFFFF"/>
        <w:snapToGrid w:val="0"/>
        <w:spacing w:line="360" w:lineRule="auto"/>
        <w:ind w:firstLine="480" w:firstLineChars="200"/>
        <w:rPr>
          <w:rFonts w:ascii="宋体" w:cs="Times New Roman"/>
          <w:kern w:val="0"/>
          <w:sz w:val="24"/>
          <w:szCs w:val="24"/>
        </w:rPr>
      </w:pPr>
      <w:bookmarkStart w:id="19" w:name="_Hlk18820304"/>
      <w:bookmarkStart w:id="20" w:name="_Hlk18820306"/>
      <w:bookmarkStart w:id="21" w:name="_Hlk57105549"/>
      <w:bookmarkStart w:id="22" w:name="_Hlk22461105"/>
      <w:bookmarkStart w:id="23" w:name="_Hlk23651229"/>
      <w:bookmarkStart w:id="24" w:name="_Hlk23746208"/>
      <w:bookmarkStart w:id="25" w:name="_Hlk23746209"/>
      <w:bookmarkStart w:id="26" w:name="_Hlk22461103"/>
      <w:bookmarkStart w:id="27" w:name="_Hlk23651228"/>
      <w:bookmarkStart w:id="28" w:name="_Hlk57105548"/>
      <w:bookmarkStart w:id="29" w:name="_Hlk22461104"/>
      <w:bookmarkStart w:id="30" w:name="_Hlk23651230"/>
      <w:bookmarkStart w:id="31" w:name="_Hlk18820305"/>
      <w:bookmarkStart w:id="32" w:name="_Hlk57105547"/>
      <w:bookmarkStart w:id="33" w:name="_Hlk23746210"/>
      <w:r>
        <w:rPr>
          <w:rFonts w:ascii="宋体" w:hAnsi="宋体" w:cs="宋体"/>
          <w:kern w:val="0"/>
          <w:sz w:val="24"/>
          <w:szCs w:val="24"/>
        </w:rPr>
        <w:t>4</w:t>
      </w:r>
      <w:r>
        <w:rPr>
          <w:rFonts w:ascii="宋体" w:cs="宋体"/>
          <w:kern w:val="0"/>
          <w:sz w:val="24"/>
          <w:szCs w:val="24"/>
        </w:rPr>
        <w:t>.</w:t>
      </w:r>
      <w:r>
        <w:rPr>
          <w:rFonts w:ascii="宋体" w:hAnsi="宋体" w:cs="宋体"/>
          <w:kern w:val="0"/>
          <w:sz w:val="24"/>
          <w:szCs w:val="24"/>
        </w:rPr>
        <w:t>2.1</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Fonts w:hint="eastAsia" w:ascii="宋体" w:hAnsi="宋体" w:cs="宋体"/>
          <w:kern w:val="0"/>
          <w:sz w:val="24"/>
          <w:szCs w:val="24"/>
        </w:rPr>
        <w:t>、供应商必须按供应商须知前附表规定，将磋商响应文件在截止时间前送至递交地点。违反的将视为整个磋商响应文件不响应竞争性磋商文件</w:t>
      </w:r>
      <w:r>
        <w:rPr>
          <w:rFonts w:ascii="宋体" w:cs="宋体"/>
          <w:kern w:val="0"/>
          <w:sz w:val="24"/>
          <w:szCs w:val="24"/>
        </w:rPr>
        <w:t>,</w:t>
      </w:r>
      <w:r>
        <w:rPr>
          <w:rFonts w:hint="eastAsia" w:ascii="宋体" w:hAnsi="宋体" w:cs="宋体"/>
          <w:kern w:val="0"/>
          <w:sz w:val="24"/>
          <w:szCs w:val="24"/>
        </w:rPr>
        <w:t>而予以拒绝评审。</w:t>
      </w:r>
    </w:p>
    <w:p>
      <w:pPr>
        <w:widowControl/>
        <w:shd w:val="clear" w:color="auto" w:fill="FFFFFF"/>
        <w:snapToGrid w:val="0"/>
        <w:spacing w:line="360" w:lineRule="auto"/>
        <w:ind w:firstLine="480" w:firstLineChars="200"/>
        <w:rPr>
          <w:rFonts w:ascii="宋体" w:cs="Times New Roman"/>
          <w:kern w:val="0"/>
          <w:sz w:val="24"/>
          <w:szCs w:val="24"/>
        </w:rPr>
      </w:pPr>
      <w:r>
        <w:rPr>
          <w:rFonts w:ascii="宋体" w:hAnsi="宋体" w:cs="宋体"/>
          <w:kern w:val="0"/>
          <w:sz w:val="24"/>
          <w:szCs w:val="24"/>
        </w:rPr>
        <w:t>4</w:t>
      </w:r>
      <w:r>
        <w:rPr>
          <w:rFonts w:ascii="宋体" w:cs="宋体"/>
          <w:kern w:val="0"/>
          <w:sz w:val="24"/>
          <w:szCs w:val="24"/>
        </w:rPr>
        <w:t>.</w:t>
      </w:r>
      <w:r>
        <w:rPr>
          <w:rFonts w:ascii="宋体" w:hAnsi="宋体" w:cs="宋体"/>
          <w:kern w:val="0"/>
          <w:sz w:val="24"/>
          <w:szCs w:val="24"/>
        </w:rPr>
        <w:t>2.2</w:t>
      </w:r>
      <w:r>
        <w:rPr>
          <w:rFonts w:hint="eastAsia" w:ascii="宋体" w:hAnsi="宋体" w:cs="宋体"/>
          <w:kern w:val="0"/>
          <w:sz w:val="24"/>
          <w:szCs w:val="24"/>
        </w:rPr>
        <w:t>、招标人事先约定延长投标截止时间的，招标人与供应商以前的投标截止期方面的全部权利、责任和义务，将适用延长至新的投标截止期。</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4.2.4 </w:t>
      </w:r>
      <w:r>
        <w:rPr>
          <w:rFonts w:hint="eastAsia" w:ascii="宋体" w:hAnsi="宋体" w:cs="宋体"/>
          <w:color w:val="000000"/>
          <w:kern w:val="0"/>
          <w:sz w:val="24"/>
          <w:szCs w:val="24"/>
        </w:rPr>
        <w:t>供应商或其磋商响应文件存在下列情形之一的，招标人对其磋商响应文件不予受理：</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）逾期送达的磋商响应文件；</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）未按本章第</w:t>
      </w:r>
      <w:r>
        <w:rPr>
          <w:rFonts w:ascii="宋体" w:hAnsi="宋体" w:cs="宋体"/>
          <w:color w:val="000000"/>
          <w:kern w:val="0"/>
          <w:sz w:val="24"/>
          <w:szCs w:val="24"/>
        </w:rPr>
        <w:t>4.1</w:t>
      </w:r>
      <w:r>
        <w:rPr>
          <w:rFonts w:hint="eastAsia" w:ascii="宋体" w:hAnsi="宋体" w:cs="宋体"/>
          <w:color w:val="000000"/>
          <w:kern w:val="0"/>
          <w:sz w:val="24"/>
          <w:szCs w:val="24"/>
        </w:rPr>
        <w:t>款要求密封的磋商响应文件。</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4.3 </w:t>
      </w:r>
      <w:r>
        <w:rPr>
          <w:rFonts w:hint="eastAsia" w:ascii="宋体" w:hAnsi="宋体" w:cs="宋体"/>
          <w:color w:val="000000"/>
          <w:kern w:val="0"/>
          <w:sz w:val="24"/>
          <w:szCs w:val="24"/>
        </w:rPr>
        <w:t>磋商响应文件的修改与撤回</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4.3.1 </w:t>
      </w:r>
      <w:r>
        <w:rPr>
          <w:rFonts w:hint="eastAsia" w:ascii="宋体" w:hAnsi="宋体" w:cs="宋体"/>
          <w:color w:val="000000"/>
          <w:kern w:val="0"/>
          <w:sz w:val="24"/>
          <w:szCs w:val="24"/>
        </w:rPr>
        <w:t>供应商递交磋商响应文件后，在规定投标截止时间前，可以书面形式向招标人递交修改或撤回其磋商响应文件的通知。</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4.3.2 </w:t>
      </w:r>
      <w:r>
        <w:rPr>
          <w:rFonts w:hint="eastAsia" w:ascii="宋体" w:hAnsi="宋体" w:cs="宋体"/>
          <w:color w:val="000000"/>
          <w:kern w:val="0"/>
          <w:sz w:val="24"/>
          <w:szCs w:val="24"/>
        </w:rPr>
        <w:t>修改的内容为磋商响应文件的组成部分。修改的磋商响应文件应按照本竞争性磋商文件的规定进行编制、密封、标记和递交，并标明“修改”字样。</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4.4</w:t>
      </w:r>
      <w:r>
        <w:rPr>
          <w:rFonts w:hint="eastAsia" w:ascii="宋体" w:hAnsi="宋体" w:cs="宋体"/>
          <w:color w:val="000000"/>
          <w:kern w:val="0"/>
          <w:sz w:val="24"/>
          <w:szCs w:val="24"/>
        </w:rPr>
        <w:t>磋商响应文件格式</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4.4.1 </w:t>
      </w:r>
      <w:r>
        <w:rPr>
          <w:rFonts w:hint="eastAsia" w:ascii="宋体" w:hAnsi="宋体" w:cs="宋体"/>
          <w:color w:val="000000"/>
          <w:kern w:val="0"/>
          <w:sz w:val="24"/>
          <w:szCs w:val="24"/>
        </w:rPr>
        <w:t>磋商响应文件格式见第五章。</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4.4.2 </w:t>
      </w:r>
      <w:r>
        <w:rPr>
          <w:rFonts w:hint="eastAsia" w:ascii="宋体" w:hAnsi="宋体" w:cs="宋体"/>
          <w:color w:val="000000"/>
          <w:kern w:val="0"/>
          <w:sz w:val="24"/>
          <w:szCs w:val="24"/>
        </w:rPr>
        <w:t>供应商应使用本竞争性磋商文件后面提供的磋商响应文件格式填写，如不够用时，供应商可按同样格式自行编制和填补，如果本竞争性磋商文件未提供格式的，供应商可自行编制。</w:t>
      </w:r>
    </w:p>
    <w:p>
      <w:pPr>
        <w:tabs>
          <w:tab w:val="center" w:pos="4832"/>
          <w:tab w:val="left" w:pos="7140"/>
        </w:tabs>
        <w:spacing w:line="360" w:lineRule="auto"/>
        <w:ind w:firstLine="472" w:firstLineChars="196"/>
        <w:jc w:val="left"/>
        <w:outlineLvl w:val="1"/>
        <w:rPr>
          <w:rFonts w:ascii="宋体" w:cs="Times New Roman"/>
          <w:b/>
          <w:bCs/>
          <w:sz w:val="24"/>
          <w:szCs w:val="24"/>
        </w:rPr>
      </w:pPr>
      <w:bookmarkStart w:id="34" w:name="_BookMark_8"/>
      <w:bookmarkEnd w:id="34"/>
      <w:bookmarkStart w:id="35" w:name="_Toc5615151"/>
      <w:bookmarkStart w:id="36" w:name="_Toc26898"/>
      <w:r>
        <w:rPr>
          <w:rFonts w:ascii="宋体" w:hAnsi="宋体" w:cs="宋体"/>
          <w:b/>
          <w:bCs/>
          <w:sz w:val="24"/>
          <w:szCs w:val="24"/>
        </w:rPr>
        <w:t>5</w:t>
      </w:r>
      <w:r>
        <w:rPr>
          <w:rFonts w:hint="eastAsia" w:ascii="宋体" w:hAnsi="宋体" w:cs="宋体"/>
          <w:b/>
          <w:bCs/>
          <w:sz w:val="24"/>
          <w:szCs w:val="24"/>
        </w:rPr>
        <w:t>．开标</w:t>
      </w:r>
      <w:bookmarkEnd w:id="35"/>
      <w:bookmarkEnd w:id="36"/>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5.1 </w:t>
      </w:r>
      <w:r>
        <w:rPr>
          <w:rFonts w:hint="eastAsia" w:ascii="宋体" w:hAnsi="宋体" w:cs="宋体"/>
          <w:color w:val="000000"/>
          <w:kern w:val="0"/>
          <w:sz w:val="24"/>
          <w:szCs w:val="24"/>
        </w:rPr>
        <w:t>开标时间和地点</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招标人在供应商须知前附表规定的时间、地点公开开标，并邀请所有供应商的法定代表人或其授权委托人准时参加。</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5.2 </w:t>
      </w:r>
      <w:r>
        <w:rPr>
          <w:rFonts w:hint="eastAsia" w:ascii="宋体" w:hAnsi="宋体" w:cs="宋体"/>
          <w:color w:val="000000"/>
          <w:kern w:val="0"/>
          <w:sz w:val="24"/>
          <w:szCs w:val="24"/>
        </w:rPr>
        <w:t>开标注意事项</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strike w:val="0"/>
          <w:dstrike w:val="0"/>
          <w:color w:val="auto"/>
          <w:kern w:val="0"/>
          <w:sz w:val="24"/>
          <w:szCs w:val="24"/>
        </w:rPr>
        <w:t>5.2.1</w:t>
      </w:r>
      <w:r>
        <w:rPr>
          <w:rFonts w:hint="eastAsia" w:ascii="宋体" w:cs="Times New Roman"/>
          <w:color w:val="000000"/>
          <w:kern w:val="0"/>
          <w:sz w:val="24"/>
          <w:szCs w:val="24"/>
        </w:rPr>
        <w:t>供应商法人授权委托人随身携带法定代表人授权委托书、有效身份证明及投标保证金收据，若是法定代表人参加开标会应携带法定代表人身份证明书及有效身份证明以便监标人查验。</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5.3 </w:t>
      </w:r>
      <w:r>
        <w:rPr>
          <w:rFonts w:hint="eastAsia" w:ascii="宋体" w:hAnsi="宋体" w:cs="宋体"/>
          <w:color w:val="000000"/>
          <w:kern w:val="0"/>
          <w:sz w:val="24"/>
          <w:szCs w:val="24"/>
        </w:rPr>
        <w:t>开标程序</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按下列程序进行开标：</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）宣布开标纪律；</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）开标会主持人介绍参加会议的人员；</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）公布在投标截止时间前递交磋商响应文件的供应商名称，并点名确认供应商是否派人到场，由监督人查验供应商法定代表人身份证明书及有效身份证明。</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4</w:t>
      </w:r>
      <w:r>
        <w:rPr>
          <w:rFonts w:hint="eastAsia" w:ascii="宋体" w:hAnsi="宋体" w:cs="宋体"/>
          <w:color w:val="000000"/>
          <w:kern w:val="0"/>
          <w:sz w:val="24"/>
          <w:szCs w:val="24"/>
        </w:rPr>
        <w:t>）由供应商代表检查磋商响应文件的密封情况；</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5</w:t>
      </w:r>
      <w:r>
        <w:rPr>
          <w:rFonts w:hint="eastAsia" w:ascii="宋体" w:hAnsi="宋体" w:cs="宋体"/>
          <w:color w:val="000000"/>
          <w:kern w:val="0"/>
          <w:sz w:val="24"/>
          <w:szCs w:val="24"/>
        </w:rPr>
        <w:t>）按照规定启封磋商响应文件，公布供应商名称、投标报价、供货周期等其他实质性内容，并作记录；</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6</w:t>
      </w:r>
      <w:r>
        <w:rPr>
          <w:rFonts w:hint="eastAsia" w:ascii="宋体" w:hAnsi="宋体" w:cs="宋体"/>
          <w:color w:val="000000"/>
          <w:kern w:val="0"/>
          <w:sz w:val="24"/>
          <w:szCs w:val="24"/>
        </w:rPr>
        <w:t>）相关人员在开标记录表上签字；</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7</w:t>
      </w:r>
      <w:r>
        <w:rPr>
          <w:rFonts w:hint="eastAsia" w:ascii="宋体" w:hAnsi="宋体" w:cs="宋体"/>
          <w:color w:val="000000"/>
          <w:kern w:val="0"/>
          <w:sz w:val="24"/>
          <w:szCs w:val="24"/>
        </w:rPr>
        <w:t>）开标结束。</w:t>
      </w:r>
    </w:p>
    <w:p>
      <w:pPr>
        <w:tabs>
          <w:tab w:val="center" w:pos="4832"/>
          <w:tab w:val="left" w:pos="7140"/>
        </w:tabs>
        <w:spacing w:line="360" w:lineRule="auto"/>
        <w:ind w:firstLine="472" w:firstLineChars="196"/>
        <w:jc w:val="left"/>
        <w:outlineLvl w:val="1"/>
        <w:rPr>
          <w:rFonts w:ascii="宋体" w:cs="Times New Roman"/>
          <w:b/>
          <w:bCs/>
          <w:sz w:val="24"/>
          <w:szCs w:val="24"/>
        </w:rPr>
      </w:pPr>
      <w:bookmarkStart w:id="37" w:name="_BookMark_9"/>
      <w:bookmarkEnd w:id="37"/>
      <w:bookmarkStart w:id="38" w:name="_Toc25857"/>
      <w:bookmarkStart w:id="39" w:name="_Toc5615152"/>
      <w:r>
        <w:rPr>
          <w:rFonts w:ascii="宋体" w:hAnsi="宋体" w:cs="宋体"/>
          <w:b/>
          <w:bCs/>
          <w:sz w:val="24"/>
          <w:szCs w:val="24"/>
        </w:rPr>
        <w:t>6</w:t>
      </w:r>
      <w:r>
        <w:rPr>
          <w:rFonts w:hint="eastAsia" w:ascii="宋体" w:hAnsi="宋体" w:cs="宋体"/>
          <w:b/>
          <w:bCs/>
          <w:sz w:val="24"/>
          <w:szCs w:val="24"/>
        </w:rPr>
        <w:t>．评标</w:t>
      </w:r>
      <w:bookmarkEnd w:id="38"/>
      <w:bookmarkEnd w:id="39"/>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6.1 </w:t>
      </w:r>
      <w:r>
        <w:rPr>
          <w:rFonts w:hint="eastAsia" w:ascii="宋体" w:hAnsi="宋体" w:cs="宋体"/>
          <w:color w:val="000000"/>
          <w:kern w:val="0"/>
          <w:sz w:val="24"/>
          <w:szCs w:val="24"/>
        </w:rPr>
        <w:t>评标委员会</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6.1.1 </w:t>
      </w:r>
      <w:r>
        <w:rPr>
          <w:rFonts w:hint="eastAsia" w:ascii="宋体" w:hAnsi="宋体" w:cs="宋体"/>
          <w:color w:val="000000"/>
          <w:kern w:val="0"/>
          <w:sz w:val="24"/>
          <w:szCs w:val="24"/>
        </w:rPr>
        <w:t>评标由招标人依法组建的评标委员会负责。评标委员会由</w:t>
      </w:r>
      <w:r>
        <w:rPr>
          <w:rFonts w:ascii="宋体" w:hAnsi="宋体" w:cs="宋体"/>
          <w:color w:val="000000"/>
          <w:kern w:val="0"/>
          <w:sz w:val="24"/>
          <w:szCs w:val="24"/>
        </w:rPr>
        <w:t>3</w:t>
      </w:r>
      <w:r>
        <w:rPr>
          <w:rFonts w:hint="eastAsia" w:ascii="宋体" w:hAnsi="宋体" w:cs="宋体"/>
          <w:color w:val="000000"/>
          <w:kern w:val="0"/>
          <w:sz w:val="24"/>
          <w:szCs w:val="24"/>
        </w:rPr>
        <w:t>名以上（含）专家组成。</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6.1.2 </w:t>
      </w:r>
      <w:r>
        <w:rPr>
          <w:rFonts w:hint="eastAsia" w:ascii="宋体" w:hAnsi="宋体" w:cs="宋体"/>
          <w:color w:val="000000"/>
          <w:kern w:val="0"/>
          <w:sz w:val="24"/>
          <w:szCs w:val="24"/>
        </w:rPr>
        <w:t>评标委员会成员有下列情形之一的，应当回避：</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）招标人或供应商的主要负责人的近亲属；</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）项目主管部门或者行政监督部门的人员；</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）与供应商有经济利益关系，可能影响投标公正评审的；</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4</w:t>
      </w:r>
      <w:r>
        <w:rPr>
          <w:rFonts w:hint="eastAsia" w:ascii="宋体" w:hAnsi="宋体" w:cs="宋体"/>
          <w:color w:val="000000"/>
          <w:kern w:val="0"/>
          <w:sz w:val="24"/>
          <w:szCs w:val="24"/>
        </w:rPr>
        <w:t>）曾因在招标、评标以及其他与招标投标有关活动中从事违法行为而受过行政处罚或刑事处罚的。</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6.2 </w:t>
      </w:r>
      <w:r>
        <w:rPr>
          <w:rFonts w:hint="eastAsia" w:ascii="宋体" w:hAnsi="宋体" w:cs="宋体"/>
          <w:color w:val="000000"/>
          <w:kern w:val="0"/>
          <w:sz w:val="24"/>
          <w:szCs w:val="24"/>
        </w:rPr>
        <w:t>评标原则</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评标活动遵循公平、公正、科学和择优的原则。</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6.3 </w:t>
      </w:r>
      <w:r>
        <w:rPr>
          <w:rFonts w:hint="eastAsia" w:ascii="宋体" w:hAnsi="宋体" w:cs="宋体"/>
          <w:color w:val="000000"/>
          <w:kern w:val="0"/>
          <w:sz w:val="24"/>
          <w:szCs w:val="24"/>
        </w:rPr>
        <w:t>评标</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评标委员会按照第二章“评标办法”规定的方法、评审因素、标准和程序对磋商响应文件进行评审。</w:t>
      </w:r>
    </w:p>
    <w:p>
      <w:pPr>
        <w:tabs>
          <w:tab w:val="center" w:pos="4832"/>
          <w:tab w:val="left" w:pos="7140"/>
        </w:tabs>
        <w:spacing w:line="360" w:lineRule="auto"/>
        <w:ind w:firstLine="472" w:firstLineChars="196"/>
        <w:jc w:val="left"/>
        <w:outlineLvl w:val="1"/>
        <w:rPr>
          <w:rFonts w:ascii="宋体" w:cs="Times New Roman"/>
          <w:b/>
          <w:bCs/>
          <w:sz w:val="24"/>
          <w:szCs w:val="24"/>
        </w:rPr>
      </w:pPr>
      <w:bookmarkStart w:id="40" w:name="_BookMark_10"/>
      <w:bookmarkEnd w:id="40"/>
      <w:bookmarkStart w:id="41" w:name="_Toc5615153"/>
      <w:bookmarkStart w:id="42" w:name="_Toc5636"/>
      <w:r>
        <w:rPr>
          <w:rFonts w:ascii="宋体" w:hAnsi="宋体" w:cs="宋体"/>
          <w:b/>
          <w:bCs/>
          <w:sz w:val="24"/>
          <w:szCs w:val="24"/>
        </w:rPr>
        <w:t>7</w:t>
      </w:r>
      <w:r>
        <w:rPr>
          <w:rFonts w:hint="eastAsia" w:ascii="宋体" w:hAnsi="宋体" w:cs="宋体"/>
          <w:b/>
          <w:bCs/>
          <w:sz w:val="24"/>
          <w:szCs w:val="24"/>
        </w:rPr>
        <w:t>．定标及合同授予</w:t>
      </w:r>
      <w:bookmarkEnd w:id="41"/>
      <w:bookmarkEnd w:id="42"/>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7.1 </w:t>
      </w:r>
      <w:r>
        <w:rPr>
          <w:rFonts w:hint="eastAsia" w:ascii="宋体" w:hAnsi="宋体" w:cs="宋体"/>
          <w:color w:val="000000"/>
          <w:kern w:val="0"/>
          <w:sz w:val="24"/>
          <w:szCs w:val="24"/>
        </w:rPr>
        <w:t>定标方法</w:t>
      </w:r>
    </w:p>
    <w:p>
      <w:pPr>
        <w:widowControl/>
        <w:shd w:val="clear" w:color="auto" w:fill="FFFFFF"/>
        <w:snapToGrid w:val="0"/>
        <w:spacing w:line="360" w:lineRule="auto"/>
        <w:ind w:firstLine="480" w:firstLineChars="200"/>
        <w:rPr>
          <w:rFonts w:ascii="宋体" w:cs="Times New Roman"/>
          <w:kern w:val="0"/>
          <w:sz w:val="24"/>
          <w:szCs w:val="24"/>
        </w:rPr>
      </w:pPr>
      <w:r>
        <w:rPr>
          <w:rFonts w:ascii="宋体" w:hAnsi="宋体" w:cs="宋体"/>
          <w:kern w:val="0"/>
          <w:sz w:val="24"/>
          <w:szCs w:val="24"/>
        </w:rPr>
        <w:t xml:space="preserve">7.1.1 </w:t>
      </w:r>
      <w:r>
        <w:rPr>
          <w:rFonts w:hint="eastAsia" w:ascii="宋体" w:hAnsi="宋体" w:cs="宋体"/>
          <w:kern w:val="0"/>
          <w:sz w:val="24"/>
          <w:szCs w:val="24"/>
        </w:rPr>
        <w:t>定标方法：评标活动遵循公平、公正、科学和择优的原则。评标委员会按照最终得分由高到低的顺序推荐中标候选人。招标人依据评标委员会推荐的中标候选人确定中标人。</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7.1.2</w:t>
      </w:r>
      <w:r>
        <w:rPr>
          <w:rFonts w:hint="eastAsia" w:ascii="宋体" w:hAnsi="宋体" w:cs="宋体"/>
          <w:kern w:val="0"/>
          <w:sz w:val="24"/>
          <w:szCs w:val="24"/>
        </w:rPr>
        <w:t>评标委员会对</w:t>
      </w:r>
      <w:r>
        <w:rPr>
          <w:rFonts w:hint="eastAsia" w:ascii="宋体" w:hAnsi="宋体" w:cs="宋体"/>
          <w:color w:val="000000"/>
          <w:kern w:val="0"/>
          <w:sz w:val="24"/>
          <w:szCs w:val="24"/>
        </w:rPr>
        <w:t>进入详细评审的供应商进行综合评分并按分数高低作出排序，如果有两个供应商得分相同时，以投标报价低者排名靠前。</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7.1.3 </w:t>
      </w:r>
      <w:r>
        <w:rPr>
          <w:rFonts w:hint="eastAsia" w:ascii="宋体" w:hAnsi="宋体" w:cs="宋体"/>
          <w:color w:val="000000"/>
          <w:kern w:val="0"/>
          <w:sz w:val="24"/>
          <w:szCs w:val="24"/>
        </w:rPr>
        <w:t>评标委员会推荐中标候选人，综合得分最高的供应商将被确定为第一中标候选人，以此类推，确定出规定数量的的中标候选人。</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7.1.4 </w:t>
      </w:r>
      <w:r>
        <w:rPr>
          <w:rFonts w:hint="eastAsia" w:ascii="宋体" w:hAnsi="宋体" w:cs="宋体"/>
          <w:color w:val="000000"/>
          <w:kern w:val="0"/>
          <w:sz w:val="24"/>
          <w:szCs w:val="24"/>
        </w:rPr>
        <w:t>招标人从中标候选人中确定出中标人的原则：招标人应当确定排名第一的中标候选人为中标人。排名第一的中标候选人放弃中标、因不可抗力不能履行合同，不按照竞争性磋商文件要求提交履约保证金、或者被查实存在影响中标结果的违法行为等情形，不符合中标条件的，招标人可以按照评标委员会提出的中标候选人名单排序依次确定其他中标候选人为中标人。</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7.2 </w:t>
      </w:r>
      <w:r>
        <w:rPr>
          <w:rFonts w:hint="eastAsia" w:ascii="宋体" w:hAnsi="宋体" w:cs="宋体"/>
          <w:color w:val="000000"/>
          <w:kern w:val="0"/>
          <w:sz w:val="24"/>
          <w:szCs w:val="24"/>
        </w:rPr>
        <w:t>中标候选人公示</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在中标通知书发出前，中标候选人的情况将在招标公告发布的媒体上公示，公示期不得少于</w:t>
      </w:r>
      <w:r>
        <w:rPr>
          <w:rFonts w:ascii="宋体" w:hAnsi="宋体" w:cs="宋体"/>
          <w:color w:val="000000"/>
          <w:kern w:val="0"/>
          <w:sz w:val="24"/>
          <w:szCs w:val="24"/>
        </w:rPr>
        <w:t>1</w:t>
      </w:r>
      <w:r>
        <w:rPr>
          <w:rFonts w:hint="eastAsia" w:ascii="宋体" w:hAnsi="宋体" w:cs="宋体"/>
          <w:color w:val="000000"/>
          <w:kern w:val="0"/>
          <w:sz w:val="24"/>
          <w:szCs w:val="24"/>
        </w:rPr>
        <w:t>日。</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7.3 </w:t>
      </w:r>
      <w:r>
        <w:rPr>
          <w:rFonts w:hint="eastAsia" w:ascii="宋体" w:hAnsi="宋体" w:cs="宋体"/>
          <w:color w:val="000000"/>
          <w:kern w:val="0"/>
          <w:sz w:val="24"/>
          <w:szCs w:val="24"/>
        </w:rPr>
        <w:t>中标通知</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公示期满后，招标人以书面形式向中标人发出中标通知书，并及时通知其它供应商中标结果。</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7.4 </w:t>
      </w:r>
      <w:r>
        <w:rPr>
          <w:rFonts w:hint="eastAsia" w:ascii="宋体" w:hAnsi="宋体" w:cs="宋体"/>
          <w:color w:val="000000"/>
          <w:kern w:val="0"/>
          <w:sz w:val="24"/>
          <w:szCs w:val="24"/>
        </w:rPr>
        <w:t>履约保证金</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7.4.1 </w:t>
      </w:r>
      <w:r>
        <w:rPr>
          <w:rFonts w:hint="eastAsia" w:ascii="宋体" w:hAnsi="宋体" w:cs="宋体"/>
          <w:color w:val="000000"/>
          <w:kern w:val="0"/>
          <w:sz w:val="24"/>
          <w:szCs w:val="24"/>
        </w:rPr>
        <w:t>在签订合同前，中标人应按供应商须知前附表规定的金额、形式向招标人提交履约保证金。联合体中标的，其履约保证金由牵头人提交，并应符合供应商须知前附表的规定。</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7.4.2 </w:t>
      </w:r>
      <w:r>
        <w:rPr>
          <w:rFonts w:hint="eastAsia" w:ascii="宋体" w:hAnsi="宋体" w:cs="宋体"/>
          <w:color w:val="000000"/>
          <w:kern w:val="0"/>
          <w:sz w:val="24"/>
          <w:szCs w:val="24"/>
        </w:rPr>
        <w:t>中标人不能按本章第</w:t>
      </w:r>
      <w:r>
        <w:rPr>
          <w:rFonts w:ascii="宋体" w:hAnsi="宋体" w:cs="宋体"/>
          <w:color w:val="000000"/>
          <w:kern w:val="0"/>
          <w:sz w:val="24"/>
          <w:szCs w:val="24"/>
        </w:rPr>
        <w:t>7.4.1</w:t>
      </w:r>
      <w:r>
        <w:rPr>
          <w:rFonts w:hint="eastAsia" w:ascii="宋体" w:hAnsi="宋体" w:cs="宋体"/>
          <w:color w:val="000000"/>
          <w:kern w:val="0"/>
          <w:sz w:val="24"/>
          <w:szCs w:val="24"/>
        </w:rPr>
        <w:t>项要求提交履约保证金的，视为放弃中标，其投标保证金不予退还；给招标人造成的损失超过投标保证金数额的，中标人还应当对超过部分予以赔偿。</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7.5 </w:t>
      </w:r>
      <w:r>
        <w:rPr>
          <w:rFonts w:hint="eastAsia" w:ascii="宋体" w:hAnsi="宋体" w:cs="宋体"/>
          <w:color w:val="000000"/>
          <w:kern w:val="0"/>
          <w:sz w:val="24"/>
          <w:szCs w:val="24"/>
        </w:rPr>
        <w:t>签订合同</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7.5.1</w:t>
      </w:r>
      <w:r>
        <w:rPr>
          <w:rFonts w:hint="eastAsia" w:ascii="宋体" w:hAnsi="宋体" w:cs="宋体"/>
          <w:color w:val="000000"/>
          <w:kern w:val="0"/>
          <w:sz w:val="24"/>
          <w:szCs w:val="24"/>
        </w:rPr>
        <w:t>招标人和中标人应当自中标通知书发出之日起</w:t>
      </w:r>
      <w:r>
        <w:rPr>
          <w:rFonts w:ascii="宋体" w:hAnsi="宋体" w:cs="宋体"/>
          <w:color w:val="000000"/>
          <w:kern w:val="0"/>
          <w:sz w:val="24"/>
          <w:szCs w:val="24"/>
        </w:rPr>
        <w:t>30</w:t>
      </w:r>
      <w:r>
        <w:rPr>
          <w:rFonts w:hint="eastAsia" w:ascii="宋体" w:hAnsi="宋体" w:cs="宋体"/>
          <w:color w:val="000000"/>
          <w:kern w:val="0"/>
          <w:sz w:val="24"/>
          <w:szCs w:val="24"/>
        </w:rPr>
        <w:t>天内，根据竞争性磋商文件和中标人的磋商响应文件订立书面合同。招标人和中标人不得再行订立背离合同实质性内容的其他协议。中标人无正当理由拒签合同的，招标人取消其中标资格，其投标保证金不予退还；给招标人造成的损失超过投标保证金数额的，中标人还应当对超过部分予以赔偿。</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7.5.2 </w:t>
      </w:r>
      <w:r>
        <w:rPr>
          <w:rFonts w:hint="eastAsia" w:ascii="宋体" w:hAnsi="宋体" w:cs="宋体"/>
          <w:color w:val="000000"/>
          <w:kern w:val="0"/>
          <w:sz w:val="24"/>
          <w:szCs w:val="24"/>
        </w:rPr>
        <w:t>发出中标通知书后，招标人无正当理由拒签合同的，给中标人造成损失的，还应当赔偿中标人损失。</w:t>
      </w:r>
    </w:p>
    <w:p>
      <w:pPr>
        <w:tabs>
          <w:tab w:val="center" w:pos="4832"/>
          <w:tab w:val="left" w:pos="7140"/>
        </w:tabs>
        <w:spacing w:line="360" w:lineRule="auto"/>
        <w:ind w:firstLine="472" w:firstLineChars="196"/>
        <w:jc w:val="left"/>
        <w:outlineLvl w:val="1"/>
        <w:rPr>
          <w:rFonts w:ascii="宋体" w:cs="Times New Roman"/>
          <w:b/>
          <w:bCs/>
          <w:sz w:val="24"/>
          <w:szCs w:val="24"/>
        </w:rPr>
      </w:pPr>
      <w:bookmarkStart w:id="43" w:name="_BookMark_11"/>
      <w:bookmarkEnd w:id="43"/>
      <w:bookmarkStart w:id="44" w:name="_Toc5615154"/>
      <w:bookmarkStart w:id="45" w:name="_Toc25656"/>
      <w:r>
        <w:rPr>
          <w:rFonts w:ascii="宋体" w:hAnsi="宋体" w:cs="宋体"/>
          <w:b/>
          <w:bCs/>
          <w:sz w:val="24"/>
          <w:szCs w:val="24"/>
        </w:rPr>
        <w:t>8</w:t>
      </w:r>
      <w:r>
        <w:rPr>
          <w:rFonts w:hint="eastAsia" w:ascii="宋体" w:hAnsi="宋体" w:cs="宋体"/>
          <w:b/>
          <w:bCs/>
          <w:sz w:val="24"/>
          <w:szCs w:val="24"/>
        </w:rPr>
        <w:t>．纪律和监督</w:t>
      </w:r>
      <w:bookmarkEnd w:id="44"/>
      <w:bookmarkEnd w:id="45"/>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8.1 </w:t>
      </w:r>
      <w:r>
        <w:rPr>
          <w:rFonts w:hint="eastAsia" w:ascii="宋体" w:hAnsi="宋体" w:cs="宋体"/>
          <w:color w:val="000000"/>
          <w:kern w:val="0"/>
          <w:sz w:val="24"/>
          <w:szCs w:val="24"/>
        </w:rPr>
        <w:t>对招标人的纪律要求</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招标人不得泄漏招标投标活动中应当保密的情况和资料，不得与供应商串通损害国家利益、社会公共利益或者他人合法权益。</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8.2 </w:t>
      </w:r>
      <w:r>
        <w:rPr>
          <w:rFonts w:hint="eastAsia" w:ascii="宋体" w:hAnsi="宋体" w:cs="宋体"/>
          <w:color w:val="000000"/>
          <w:kern w:val="0"/>
          <w:sz w:val="24"/>
          <w:szCs w:val="24"/>
        </w:rPr>
        <w:t>对供应商的纪律要求</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供应商不得相互串通投标或者与招标人串通投标，不得向招标人或者评标委员会成员行贿谋取中标，不得以他人名义投标或者以其他方式弄虚作假骗取中标；供应商不得以任何方式干扰、影响评标工作。</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8.3 </w:t>
      </w:r>
      <w:r>
        <w:rPr>
          <w:rFonts w:hint="eastAsia" w:ascii="宋体" w:hAnsi="宋体" w:cs="宋体"/>
          <w:color w:val="000000"/>
          <w:kern w:val="0"/>
          <w:sz w:val="24"/>
          <w:szCs w:val="24"/>
        </w:rPr>
        <w:t>对评标委员会成员的纪律要求</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评标委员会成员不得收受他人的财物或者其他好处，不得向他人透漏对磋商响应文件的评审和比较、中标候选人的推荐情况以及评标有关的其他情况。在评标活动中，评标委员会成员不得擅离职守，影响评标程序正常进行，不得使用第二章“评标办法”没有规定的评审因素和标准进行评标。</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8.4 </w:t>
      </w:r>
      <w:r>
        <w:rPr>
          <w:rFonts w:hint="eastAsia" w:ascii="宋体" w:hAnsi="宋体" w:cs="宋体"/>
          <w:color w:val="000000"/>
          <w:kern w:val="0"/>
          <w:sz w:val="24"/>
          <w:szCs w:val="24"/>
        </w:rPr>
        <w:t>对与评标活动有关的工作人员的纪律要求</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与评标活动有关的工作人员不得收受他人的财物或者其他好处，不得向他人透漏对磋商响应文件的评审和比较、中标候选人的推荐情况以及评标有关的其他情况。在评标活动中，与评标活动有关的工作人员不得擅离职守，影响评标程序正常进行。</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8.5 </w:t>
      </w:r>
      <w:r>
        <w:rPr>
          <w:rFonts w:hint="eastAsia" w:ascii="宋体" w:hAnsi="宋体" w:cs="宋体"/>
          <w:color w:val="000000"/>
          <w:kern w:val="0"/>
          <w:sz w:val="24"/>
          <w:szCs w:val="24"/>
        </w:rPr>
        <w:t>监督</w:t>
      </w:r>
    </w:p>
    <w:p>
      <w:pPr>
        <w:widowControl/>
        <w:shd w:val="clear" w:color="auto" w:fill="FFFFFF"/>
        <w:snapToGrid w:val="0"/>
        <w:spacing w:line="360" w:lineRule="auto"/>
        <w:ind w:firstLine="480" w:firstLineChars="200"/>
        <w:rPr>
          <w:rFonts w:ascii="宋体" w:cs="Times New Roman"/>
          <w:color w:val="FF0000"/>
          <w:kern w:val="0"/>
          <w:sz w:val="24"/>
          <w:szCs w:val="24"/>
        </w:rPr>
      </w:pPr>
      <w:r>
        <w:rPr>
          <w:rFonts w:hint="eastAsia" w:ascii="宋体" w:hAnsi="宋体" w:cs="宋体"/>
          <w:color w:val="000000"/>
          <w:kern w:val="0"/>
          <w:sz w:val="24"/>
          <w:szCs w:val="24"/>
        </w:rPr>
        <w:t>本项目的招标投标活动及其相关当事人应当接受有管辖权的监督部门依法实施的监督</w:t>
      </w:r>
      <w:r>
        <w:rPr>
          <w:rFonts w:hint="eastAsia" w:ascii="宋体" w:hAnsi="宋体" w:cs="宋体"/>
          <w:color w:val="FF0000"/>
          <w:kern w:val="0"/>
          <w:sz w:val="24"/>
          <w:szCs w:val="24"/>
        </w:rPr>
        <w:t>。</w:t>
      </w:r>
      <w:bookmarkStart w:id="46" w:name="_BookMark_12"/>
      <w:bookmarkEnd w:id="46"/>
    </w:p>
    <w:p>
      <w:pPr>
        <w:widowControl/>
        <w:shd w:val="clear" w:color="auto" w:fill="FFFFFF"/>
        <w:snapToGrid w:val="0"/>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9.招标代理费</w:t>
      </w:r>
    </w:p>
    <w:p>
      <w:pPr>
        <w:widowControl/>
        <w:shd w:val="clear" w:color="auto" w:fill="FFFFFF"/>
        <w:snapToGrid w:val="0"/>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9.1招标代理费按计价格【20</w:t>
      </w:r>
      <w:r>
        <w:rPr>
          <w:rFonts w:hint="eastAsia" w:ascii="宋体" w:hAnsi="宋体" w:cs="宋体"/>
          <w:color w:val="000000"/>
          <w:kern w:val="0"/>
          <w:sz w:val="24"/>
          <w:szCs w:val="24"/>
          <w:lang w:val="en-US" w:eastAsia="zh-CN"/>
        </w:rPr>
        <w:t>11</w:t>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534</w:t>
      </w:r>
      <w:r>
        <w:rPr>
          <w:rFonts w:hint="eastAsia" w:ascii="宋体" w:hAnsi="宋体" w:cs="宋体"/>
          <w:color w:val="000000"/>
          <w:kern w:val="0"/>
          <w:sz w:val="24"/>
          <w:szCs w:val="24"/>
        </w:rPr>
        <w:t>号收费标准收取。根据招标代理合同，本次招标的招标代理费由</w:t>
      </w:r>
      <w:r>
        <w:rPr>
          <w:rFonts w:hint="eastAsia" w:ascii="宋体" w:hAnsi="宋体" w:cs="宋体"/>
          <w:color w:val="000000"/>
          <w:kern w:val="0"/>
          <w:sz w:val="24"/>
          <w:szCs w:val="24"/>
          <w:lang w:eastAsia="zh-CN"/>
        </w:rPr>
        <w:t>中标</w:t>
      </w:r>
      <w:r>
        <w:rPr>
          <w:rFonts w:hint="eastAsia" w:ascii="宋体" w:hAnsi="宋体" w:cs="宋体"/>
          <w:color w:val="000000"/>
          <w:kern w:val="0"/>
          <w:sz w:val="24"/>
          <w:szCs w:val="24"/>
        </w:rPr>
        <w:t>单位支付。</w:t>
      </w:r>
    </w:p>
    <w:p>
      <w:pPr>
        <w:spacing w:line="440" w:lineRule="exact"/>
        <w:jc w:val="center"/>
        <w:outlineLvl w:val="0"/>
        <w:rPr>
          <w:rFonts w:ascii="宋体" w:cs="Times New Roman"/>
          <w:b/>
          <w:bCs/>
          <w:sz w:val="24"/>
          <w:szCs w:val="24"/>
        </w:rPr>
      </w:pPr>
      <w:r>
        <w:rPr>
          <w:rFonts w:ascii="宋体" w:cs="Times New Roman"/>
          <w:color w:val="000000"/>
          <w:kern w:val="0"/>
          <w:sz w:val="24"/>
          <w:szCs w:val="24"/>
        </w:rPr>
        <w:br w:type="page"/>
      </w:r>
      <w:bookmarkStart w:id="47" w:name="_Toc5615155"/>
      <w:bookmarkStart w:id="48" w:name="_Toc31473_WPSOffice_Level1"/>
      <w:bookmarkStart w:id="49" w:name="_Toc9935"/>
      <w:r>
        <w:rPr>
          <w:rStyle w:val="15"/>
          <w:rFonts w:hint="eastAsia"/>
          <w:sz w:val="32"/>
          <w:szCs w:val="16"/>
        </w:rPr>
        <w:t>第二章评标办法（综合评分法）</w:t>
      </w:r>
      <w:bookmarkEnd w:id="47"/>
      <w:bookmarkEnd w:id="48"/>
      <w:bookmarkEnd w:id="49"/>
    </w:p>
    <w:p>
      <w:pPr>
        <w:tabs>
          <w:tab w:val="center" w:pos="4832"/>
          <w:tab w:val="left" w:pos="7140"/>
        </w:tabs>
        <w:spacing w:line="360" w:lineRule="auto"/>
        <w:jc w:val="center"/>
        <w:outlineLvl w:val="1"/>
        <w:rPr>
          <w:rFonts w:hint="eastAsia" w:ascii="宋体" w:hAnsi="宋体" w:cs="宋体"/>
          <w:b/>
          <w:bCs/>
          <w:sz w:val="24"/>
          <w:szCs w:val="24"/>
        </w:rPr>
      </w:pPr>
      <w:bookmarkStart w:id="50" w:name="_BookMark_1"/>
      <w:bookmarkEnd w:id="50"/>
      <w:bookmarkStart w:id="51" w:name="_Toc5615156"/>
      <w:bookmarkStart w:id="52" w:name="_Toc9382"/>
      <w:r>
        <w:rPr>
          <w:rFonts w:hint="eastAsia" w:ascii="宋体" w:hAnsi="宋体" w:cs="宋体"/>
          <w:b/>
          <w:bCs/>
          <w:sz w:val="24"/>
          <w:szCs w:val="24"/>
        </w:rPr>
        <w:t>评标办法前附表</w:t>
      </w:r>
      <w:bookmarkEnd w:id="51"/>
      <w:bookmarkEnd w:id="52"/>
    </w:p>
    <w:p>
      <w:pPr>
        <w:tabs>
          <w:tab w:val="center" w:pos="4832"/>
          <w:tab w:val="left" w:pos="7140"/>
        </w:tabs>
        <w:spacing w:line="360" w:lineRule="auto"/>
        <w:jc w:val="center"/>
        <w:outlineLvl w:val="1"/>
        <w:rPr>
          <w:rFonts w:ascii="宋体" w:cs="Times New Roman"/>
          <w:b/>
          <w:bCs/>
          <w:sz w:val="24"/>
          <w:szCs w:val="24"/>
        </w:rPr>
      </w:pPr>
      <w:r>
        <w:rPr>
          <w:rFonts w:hint="eastAsia" w:ascii="宋体" w:hAnsi="宋体" w:cs="宋体"/>
          <w:b/>
          <w:bCs/>
          <w:sz w:val="24"/>
          <w:szCs w:val="24"/>
        </w:rPr>
        <w:t>初步评审标准</w:t>
      </w:r>
    </w:p>
    <w:tbl>
      <w:tblPr>
        <w:tblStyle w:val="11"/>
        <w:tblW w:w="9126" w:type="dxa"/>
        <w:jc w:val="center"/>
        <w:tblLayout w:type="fixed"/>
        <w:tblCellMar>
          <w:top w:w="0" w:type="dxa"/>
          <w:left w:w="0" w:type="dxa"/>
          <w:bottom w:w="0" w:type="dxa"/>
          <w:right w:w="0" w:type="dxa"/>
        </w:tblCellMar>
      </w:tblPr>
      <w:tblGrid>
        <w:gridCol w:w="338"/>
        <w:gridCol w:w="8788"/>
      </w:tblGrid>
      <w:tr>
        <w:tblPrEx>
          <w:tblCellMar>
            <w:top w:w="0" w:type="dxa"/>
            <w:left w:w="0" w:type="dxa"/>
            <w:bottom w:w="0" w:type="dxa"/>
            <w:right w:w="0" w:type="dxa"/>
          </w:tblCellMar>
        </w:tblPrEx>
        <w:trPr>
          <w:cantSplit/>
          <w:trHeight w:val="465" w:hRule="atLeast"/>
          <w:jc w:val="center"/>
        </w:trPr>
        <w:tc>
          <w:tcPr>
            <w:tcW w:w="338"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ascii="宋体" w:cs="Times New Roman"/>
                <w:color w:val="000000"/>
                <w:kern w:val="0"/>
                <w:sz w:val="24"/>
                <w:szCs w:val="24"/>
              </w:rPr>
            </w:pPr>
            <w:r>
              <w:rPr>
                <w:rFonts w:hint="eastAsia" w:ascii="宋体" w:hAnsi="宋体" w:cs="宋体"/>
                <w:color w:val="000000"/>
                <w:kern w:val="0"/>
                <w:sz w:val="24"/>
                <w:szCs w:val="24"/>
              </w:rPr>
              <w:t>序号</w:t>
            </w:r>
          </w:p>
        </w:tc>
        <w:tc>
          <w:tcPr>
            <w:tcW w:w="8788"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ascii="宋体" w:cs="Times New Roman"/>
                <w:color w:val="000000"/>
                <w:kern w:val="0"/>
                <w:sz w:val="24"/>
                <w:szCs w:val="24"/>
              </w:rPr>
            </w:pPr>
            <w:r>
              <w:rPr>
                <w:rFonts w:hint="eastAsia" w:ascii="宋体" w:hAnsi="宋体" w:cs="宋体"/>
                <w:color w:val="000000"/>
                <w:kern w:val="0"/>
                <w:sz w:val="24"/>
                <w:szCs w:val="24"/>
              </w:rPr>
              <w:t>评审标准</w:t>
            </w:r>
          </w:p>
        </w:tc>
      </w:tr>
      <w:tr>
        <w:tblPrEx>
          <w:tblCellMar>
            <w:top w:w="0" w:type="dxa"/>
            <w:left w:w="0" w:type="dxa"/>
            <w:bottom w:w="0" w:type="dxa"/>
            <w:right w:w="0" w:type="dxa"/>
          </w:tblCellMar>
        </w:tblPrEx>
        <w:trPr>
          <w:cantSplit/>
          <w:trHeight w:val="20" w:hRule="atLeast"/>
          <w:jc w:val="center"/>
        </w:trPr>
        <w:tc>
          <w:tcPr>
            <w:tcW w:w="338"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ascii="宋体" w:hAnsi="宋体" w:cs="宋体"/>
                <w:color w:val="000000"/>
                <w:kern w:val="0"/>
                <w:sz w:val="24"/>
                <w:szCs w:val="24"/>
              </w:rPr>
            </w:pPr>
            <w:r>
              <w:rPr>
                <w:rFonts w:ascii="宋体" w:hAnsi="宋体" w:cs="宋体"/>
                <w:color w:val="000000"/>
                <w:kern w:val="0"/>
                <w:sz w:val="24"/>
                <w:szCs w:val="24"/>
              </w:rPr>
              <w:t>1</w:t>
            </w:r>
          </w:p>
        </w:tc>
        <w:tc>
          <w:tcPr>
            <w:tcW w:w="8788"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ascii="宋体" w:cs="Times New Roman"/>
                <w:color w:val="000000"/>
                <w:kern w:val="0"/>
                <w:sz w:val="24"/>
                <w:szCs w:val="24"/>
              </w:rPr>
            </w:pPr>
            <w:r>
              <w:rPr>
                <w:rFonts w:hint="eastAsia" w:ascii="宋体" w:hAnsi="宋体" w:cs="宋体"/>
                <w:color w:val="000000"/>
                <w:kern w:val="0"/>
                <w:sz w:val="24"/>
                <w:szCs w:val="24"/>
              </w:rPr>
              <w:t>磋商响应文件要求加盖供应商章、法定代表人章处</w:t>
            </w:r>
            <w:r>
              <w:rPr>
                <w:rFonts w:hint="eastAsia" w:ascii="宋体" w:hAnsi="宋体" w:cs="宋体"/>
                <w:color w:val="000000"/>
                <w:kern w:val="0"/>
                <w:sz w:val="24"/>
                <w:szCs w:val="24"/>
                <w:lang w:eastAsia="zh-CN"/>
              </w:rPr>
              <w:t>未</w:t>
            </w:r>
            <w:r>
              <w:rPr>
                <w:rFonts w:hint="eastAsia" w:ascii="宋体" w:hAnsi="宋体" w:cs="宋体"/>
                <w:color w:val="000000"/>
                <w:kern w:val="0"/>
                <w:sz w:val="24"/>
                <w:szCs w:val="24"/>
              </w:rPr>
              <w:t>加盖的；</w:t>
            </w:r>
          </w:p>
        </w:tc>
      </w:tr>
      <w:tr>
        <w:tblPrEx>
          <w:tblCellMar>
            <w:top w:w="0" w:type="dxa"/>
            <w:left w:w="0" w:type="dxa"/>
            <w:bottom w:w="0" w:type="dxa"/>
            <w:right w:w="0" w:type="dxa"/>
          </w:tblCellMar>
        </w:tblPrEx>
        <w:trPr>
          <w:cantSplit/>
          <w:trHeight w:val="20" w:hRule="atLeast"/>
          <w:jc w:val="center"/>
        </w:trPr>
        <w:tc>
          <w:tcPr>
            <w:tcW w:w="338"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ascii="宋体" w:hAnsi="宋体" w:cs="宋体"/>
                <w:color w:val="000000"/>
                <w:kern w:val="0"/>
                <w:sz w:val="24"/>
                <w:szCs w:val="24"/>
              </w:rPr>
            </w:pPr>
            <w:r>
              <w:rPr>
                <w:rFonts w:ascii="宋体" w:hAnsi="宋体" w:cs="宋体"/>
                <w:color w:val="000000"/>
                <w:kern w:val="0"/>
                <w:sz w:val="24"/>
                <w:szCs w:val="24"/>
              </w:rPr>
              <w:t>2</w:t>
            </w:r>
          </w:p>
        </w:tc>
        <w:tc>
          <w:tcPr>
            <w:tcW w:w="8788"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ascii="宋体" w:cs="Times New Roman"/>
                <w:color w:val="000000"/>
                <w:kern w:val="0"/>
                <w:sz w:val="24"/>
                <w:szCs w:val="24"/>
              </w:rPr>
            </w:pPr>
            <w:r>
              <w:rPr>
                <w:rFonts w:hint="eastAsia" w:ascii="宋体" w:hAnsi="宋体" w:cs="宋体"/>
                <w:color w:val="000000"/>
                <w:kern w:val="0"/>
                <w:sz w:val="24"/>
                <w:szCs w:val="24"/>
              </w:rPr>
              <w:t>磋商响应文件按竞争性磋商文件要求编制，内容不全或字迹模糊、辨认不清的；</w:t>
            </w:r>
          </w:p>
        </w:tc>
      </w:tr>
      <w:tr>
        <w:tblPrEx>
          <w:tblCellMar>
            <w:top w:w="0" w:type="dxa"/>
            <w:left w:w="0" w:type="dxa"/>
            <w:bottom w:w="0" w:type="dxa"/>
            <w:right w:w="0" w:type="dxa"/>
          </w:tblCellMar>
        </w:tblPrEx>
        <w:trPr>
          <w:cantSplit/>
          <w:trHeight w:val="638" w:hRule="atLeast"/>
          <w:jc w:val="center"/>
        </w:trPr>
        <w:tc>
          <w:tcPr>
            <w:tcW w:w="338"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ascii="宋体" w:hAnsi="宋体" w:cs="宋体"/>
                <w:color w:val="000000"/>
                <w:kern w:val="0"/>
                <w:sz w:val="24"/>
                <w:szCs w:val="24"/>
              </w:rPr>
            </w:pPr>
            <w:r>
              <w:rPr>
                <w:rFonts w:ascii="宋体" w:hAnsi="宋体" w:cs="宋体"/>
                <w:color w:val="000000"/>
                <w:kern w:val="0"/>
                <w:sz w:val="24"/>
                <w:szCs w:val="24"/>
              </w:rPr>
              <w:t>3</w:t>
            </w:r>
          </w:p>
        </w:tc>
        <w:tc>
          <w:tcPr>
            <w:tcW w:w="8788" w:type="dxa"/>
            <w:tcBorders>
              <w:top w:val="nil"/>
              <w:left w:val="nil"/>
              <w:bottom w:val="single" w:color="auto" w:sz="8" w:space="0"/>
              <w:right w:val="single" w:color="auto" w:sz="8" w:space="0"/>
            </w:tcBorders>
            <w:tcMar>
              <w:top w:w="0" w:type="dxa"/>
              <w:left w:w="28" w:type="dxa"/>
              <w:bottom w:w="0" w:type="dxa"/>
              <w:right w:w="28" w:type="dxa"/>
            </w:tcMar>
          </w:tcPr>
          <w:p>
            <w:pPr>
              <w:rPr>
                <w:rFonts w:ascii="宋体" w:cs="宋体"/>
                <w:sz w:val="24"/>
                <w:szCs w:val="24"/>
              </w:rPr>
            </w:pPr>
            <w:r>
              <w:rPr>
                <w:rFonts w:hint="eastAsia" w:ascii="宋体" w:hAnsi="宋体" w:cs="宋体"/>
                <w:color w:val="000000"/>
                <w:kern w:val="0"/>
                <w:sz w:val="24"/>
                <w:szCs w:val="24"/>
              </w:rPr>
              <w:t>投标承诺书必须按磋商文件规定格式完整提供，并要盖投标人章、法定代表人章或授权代理人章。</w:t>
            </w:r>
          </w:p>
        </w:tc>
      </w:tr>
      <w:tr>
        <w:tblPrEx>
          <w:tblCellMar>
            <w:top w:w="0" w:type="dxa"/>
            <w:left w:w="0" w:type="dxa"/>
            <w:bottom w:w="0" w:type="dxa"/>
            <w:right w:w="0" w:type="dxa"/>
          </w:tblCellMar>
        </w:tblPrEx>
        <w:trPr>
          <w:cantSplit/>
          <w:trHeight w:val="20" w:hRule="atLeast"/>
          <w:jc w:val="center"/>
        </w:trPr>
        <w:tc>
          <w:tcPr>
            <w:tcW w:w="338"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ascii="宋体" w:hAnsi="宋体" w:cs="宋体"/>
                <w:color w:val="000000"/>
                <w:kern w:val="0"/>
                <w:sz w:val="24"/>
                <w:szCs w:val="24"/>
              </w:rPr>
            </w:pPr>
            <w:r>
              <w:rPr>
                <w:rFonts w:ascii="宋体" w:hAnsi="宋体" w:cs="宋体"/>
                <w:color w:val="000000"/>
                <w:kern w:val="0"/>
                <w:sz w:val="24"/>
                <w:szCs w:val="24"/>
              </w:rPr>
              <w:t>4</w:t>
            </w:r>
          </w:p>
        </w:tc>
        <w:tc>
          <w:tcPr>
            <w:tcW w:w="8788"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ascii="宋体" w:cs="Times New Roman"/>
                <w:color w:val="000000"/>
                <w:kern w:val="0"/>
                <w:sz w:val="24"/>
                <w:szCs w:val="24"/>
              </w:rPr>
            </w:pPr>
            <w:r>
              <w:rPr>
                <w:rFonts w:hint="eastAsia" w:ascii="宋体" w:hAnsi="宋体" w:cs="宋体"/>
                <w:sz w:val="24"/>
                <w:szCs w:val="24"/>
              </w:rPr>
              <w:t>法定代表人身份证明书必须按招标文件规定格式完整提供，并要盖投标人章。</w:t>
            </w:r>
          </w:p>
        </w:tc>
      </w:tr>
      <w:tr>
        <w:tblPrEx>
          <w:tblCellMar>
            <w:top w:w="0" w:type="dxa"/>
            <w:left w:w="0" w:type="dxa"/>
            <w:bottom w:w="0" w:type="dxa"/>
            <w:right w:w="0" w:type="dxa"/>
          </w:tblCellMar>
        </w:tblPrEx>
        <w:trPr>
          <w:cantSplit/>
          <w:trHeight w:val="20" w:hRule="atLeast"/>
          <w:jc w:val="center"/>
        </w:trPr>
        <w:tc>
          <w:tcPr>
            <w:tcW w:w="338"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ascii="宋体" w:hAnsi="宋体" w:cs="宋体"/>
                <w:color w:val="000000"/>
                <w:kern w:val="0"/>
                <w:sz w:val="24"/>
                <w:szCs w:val="24"/>
              </w:rPr>
            </w:pPr>
            <w:r>
              <w:rPr>
                <w:rFonts w:ascii="宋体" w:hAnsi="宋体" w:cs="宋体"/>
                <w:color w:val="000000"/>
                <w:kern w:val="0"/>
                <w:sz w:val="24"/>
                <w:szCs w:val="24"/>
              </w:rPr>
              <w:t>5</w:t>
            </w:r>
          </w:p>
        </w:tc>
        <w:tc>
          <w:tcPr>
            <w:tcW w:w="8788" w:type="dxa"/>
            <w:tcBorders>
              <w:top w:val="nil"/>
              <w:left w:val="nil"/>
              <w:bottom w:val="single" w:color="auto" w:sz="8" w:space="0"/>
              <w:right w:val="single" w:color="auto" w:sz="8" w:space="0"/>
            </w:tcBorders>
            <w:tcMar>
              <w:top w:w="0" w:type="dxa"/>
              <w:left w:w="28" w:type="dxa"/>
              <w:bottom w:w="0" w:type="dxa"/>
              <w:right w:w="28" w:type="dxa"/>
            </w:tcMar>
          </w:tcPr>
          <w:p>
            <w:pPr>
              <w:rPr>
                <w:rFonts w:ascii="宋体" w:cs="宋体"/>
                <w:sz w:val="24"/>
                <w:szCs w:val="24"/>
              </w:rPr>
            </w:pPr>
            <w:r>
              <w:rPr>
                <w:rFonts w:hint="eastAsia" w:ascii="宋体" w:hAnsi="宋体" w:cs="宋体"/>
                <w:sz w:val="24"/>
                <w:szCs w:val="24"/>
              </w:rPr>
              <w:t>法定代表人授权委托书必须按招标文件规定格式完整提供，并要盖投标人章、法定代表人章。</w:t>
            </w:r>
          </w:p>
        </w:tc>
      </w:tr>
      <w:tr>
        <w:tblPrEx>
          <w:tblCellMar>
            <w:top w:w="0" w:type="dxa"/>
            <w:left w:w="0" w:type="dxa"/>
            <w:bottom w:w="0" w:type="dxa"/>
            <w:right w:w="0" w:type="dxa"/>
          </w:tblCellMar>
        </w:tblPrEx>
        <w:trPr>
          <w:cantSplit/>
          <w:trHeight w:val="20" w:hRule="atLeast"/>
          <w:jc w:val="center"/>
        </w:trPr>
        <w:tc>
          <w:tcPr>
            <w:tcW w:w="338"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w:t>
            </w:r>
          </w:p>
        </w:tc>
        <w:tc>
          <w:tcPr>
            <w:tcW w:w="8788" w:type="dxa"/>
            <w:tcBorders>
              <w:top w:val="nil"/>
              <w:left w:val="nil"/>
              <w:bottom w:val="single" w:color="auto" w:sz="8" w:space="0"/>
              <w:right w:val="single" w:color="auto" w:sz="8" w:space="0"/>
            </w:tcBorders>
            <w:tcMar>
              <w:top w:w="0" w:type="dxa"/>
              <w:left w:w="28" w:type="dxa"/>
              <w:bottom w:w="0" w:type="dxa"/>
              <w:right w:w="28" w:type="dxa"/>
            </w:tcMar>
          </w:tcPr>
          <w:p>
            <w:pPr>
              <w:spacing w:line="360" w:lineRule="auto"/>
              <w:rPr>
                <w:rFonts w:ascii="宋体" w:cs="宋体"/>
                <w:sz w:val="24"/>
                <w:szCs w:val="24"/>
              </w:rPr>
            </w:pPr>
            <w:r>
              <w:rPr>
                <w:rFonts w:hint="eastAsia" w:ascii="宋体" w:hAnsi="宋体" w:cs="宋体"/>
                <w:sz w:val="24"/>
                <w:szCs w:val="24"/>
              </w:rPr>
              <w:t>投标人近</w:t>
            </w:r>
            <w:r>
              <w:rPr>
                <w:rFonts w:ascii="宋体" w:hAnsi="宋体" w:cs="宋体"/>
                <w:sz w:val="24"/>
                <w:szCs w:val="24"/>
              </w:rPr>
              <w:t>3</w:t>
            </w:r>
            <w:r>
              <w:rPr>
                <w:rFonts w:hint="eastAsia" w:ascii="宋体" w:hAnsi="宋体" w:cs="宋体"/>
                <w:sz w:val="24"/>
                <w:szCs w:val="24"/>
              </w:rPr>
              <w:t>年来类似</w:t>
            </w:r>
            <w:r>
              <w:rPr>
                <w:rFonts w:hint="eastAsia" w:ascii="宋体" w:hAnsi="宋体" w:cs="宋体"/>
                <w:sz w:val="24"/>
                <w:szCs w:val="24"/>
                <w:lang w:eastAsia="zh-CN"/>
              </w:rPr>
              <w:t>项目业绩</w:t>
            </w:r>
            <w:r>
              <w:rPr>
                <w:rFonts w:hint="eastAsia" w:ascii="宋体" w:hAnsi="宋体" w:cs="宋体"/>
                <w:sz w:val="24"/>
                <w:szCs w:val="24"/>
              </w:rPr>
              <w:t>必须提供。</w:t>
            </w:r>
          </w:p>
        </w:tc>
      </w:tr>
      <w:tr>
        <w:tblPrEx>
          <w:tblCellMar>
            <w:top w:w="0" w:type="dxa"/>
            <w:left w:w="0" w:type="dxa"/>
            <w:bottom w:w="0" w:type="dxa"/>
            <w:right w:w="0" w:type="dxa"/>
          </w:tblCellMar>
        </w:tblPrEx>
        <w:trPr>
          <w:cantSplit/>
          <w:trHeight w:val="20" w:hRule="atLeast"/>
          <w:jc w:val="center"/>
        </w:trPr>
        <w:tc>
          <w:tcPr>
            <w:tcW w:w="338"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7</w:t>
            </w:r>
          </w:p>
        </w:tc>
        <w:tc>
          <w:tcPr>
            <w:tcW w:w="8788" w:type="dxa"/>
            <w:tcBorders>
              <w:top w:val="nil"/>
              <w:left w:val="nil"/>
              <w:bottom w:val="single" w:color="auto" w:sz="8" w:space="0"/>
              <w:right w:val="single" w:color="auto" w:sz="8" w:space="0"/>
            </w:tcBorders>
            <w:tcMar>
              <w:top w:w="0" w:type="dxa"/>
              <w:left w:w="28" w:type="dxa"/>
              <w:bottom w:w="0" w:type="dxa"/>
              <w:right w:w="28" w:type="dxa"/>
            </w:tcMar>
          </w:tcPr>
          <w:p>
            <w:pPr>
              <w:spacing w:line="360" w:lineRule="auto"/>
              <w:rPr>
                <w:rFonts w:ascii="宋体" w:cs="宋体"/>
                <w:sz w:val="24"/>
                <w:szCs w:val="24"/>
              </w:rPr>
            </w:pPr>
            <w:r>
              <w:rPr>
                <w:rFonts w:hint="eastAsia" w:ascii="宋体" w:hAnsi="宋体" w:cs="宋体"/>
                <w:sz w:val="24"/>
                <w:szCs w:val="24"/>
              </w:rPr>
              <w:t>投标文件封面右上角必须注明“正本”或“副本”字样。</w:t>
            </w:r>
          </w:p>
        </w:tc>
      </w:tr>
      <w:tr>
        <w:tblPrEx>
          <w:tblCellMar>
            <w:top w:w="0" w:type="dxa"/>
            <w:left w:w="0" w:type="dxa"/>
            <w:bottom w:w="0" w:type="dxa"/>
            <w:right w:w="0" w:type="dxa"/>
          </w:tblCellMar>
        </w:tblPrEx>
        <w:trPr>
          <w:cantSplit/>
          <w:trHeight w:val="20" w:hRule="atLeast"/>
          <w:jc w:val="center"/>
        </w:trPr>
        <w:tc>
          <w:tcPr>
            <w:tcW w:w="9126" w:type="dxa"/>
            <w:gridSpan w:val="2"/>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ascii="宋体" w:cs="Times New Roman"/>
                <w:color w:val="000000"/>
                <w:kern w:val="0"/>
                <w:sz w:val="24"/>
                <w:szCs w:val="24"/>
              </w:rPr>
            </w:pPr>
            <w:r>
              <w:rPr>
                <w:rFonts w:hint="eastAsia" w:ascii="宋体" w:hAnsi="宋体" w:cs="宋体"/>
                <w:color w:val="000000"/>
                <w:kern w:val="0"/>
                <w:sz w:val="24"/>
                <w:szCs w:val="24"/>
              </w:rPr>
              <w:t>备注：初步评审中有一项不满足评审标准的，评标委员会将认定该供应商不通过初步评审，不得进入下一阶段评审。并且不允许供应商通过修改或撤销其不符合要求的差异或保留，使之成为具有响应性的投标。</w:t>
            </w:r>
          </w:p>
        </w:tc>
      </w:tr>
    </w:tbl>
    <w:p>
      <w:pPr>
        <w:pStyle w:val="2"/>
        <w:rPr>
          <w:rFonts w:hint="eastAsia" w:ascii="宋体" w:hAnsi="宋体" w:cs="宋体"/>
          <w:b/>
          <w:bCs/>
          <w:sz w:val="24"/>
          <w:szCs w:val="24"/>
        </w:rPr>
      </w:pPr>
    </w:p>
    <w:p>
      <w:pPr>
        <w:pStyle w:val="2"/>
        <w:rPr>
          <w:rFonts w:hint="eastAsia" w:ascii="宋体" w:hAnsi="宋体" w:cs="宋体"/>
          <w:b/>
          <w:bCs/>
          <w:sz w:val="24"/>
          <w:szCs w:val="24"/>
        </w:rPr>
      </w:pPr>
    </w:p>
    <w:p>
      <w:pPr>
        <w:pStyle w:val="2"/>
        <w:rPr>
          <w:rFonts w:hint="eastAsia" w:ascii="宋体" w:hAnsi="宋体" w:cs="宋体"/>
          <w:b/>
          <w:bCs/>
          <w:sz w:val="24"/>
          <w:szCs w:val="24"/>
        </w:rPr>
      </w:pPr>
    </w:p>
    <w:p>
      <w:pPr>
        <w:pStyle w:val="2"/>
        <w:rPr>
          <w:rFonts w:hint="eastAsia" w:ascii="宋体" w:hAnsi="宋体" w:cs="宋体"/>
          <w:b/>
          <w:bCs/>
          <w:sz w:val="24"/>
          <w:szCs w:val="24"/>
        </w:rPr>
      </w:pPr>
    </w:p>
    <w:p>
      <w:pPr>
        <w:pStyle w:val="2"/>
        <w:rPr>
          <w:rFonts w:hint="eastAsia" w:ascii="宋体" w:hAnsi="宋体" w:cs="宋体"/>
          <w:b/>
          <w:bCs/>
          <w:sz w:val="24"/>
          <w:szCs w:val="24"/>
        </w:rPr>
      </w:pPr>
    </w:p>
    <w:p>
      <w:pPr>
        <w:pStyle w:val="2"/>
        <w:rPr>
          <w:rFonts w:hint="eastAsia" w:ascii="宋体" w:hAnsi="宋体" w:cs="宋体"/>
          <w:b/>
          <w:bCs/>
          <w:sz w:val="24"/>
          <w:szCs w:val="24"/>
        </w:rPr>
      </w:pPr>
    </w:p>
    <w:p>
      <w:pPr>
        <w:pStyle w:val="2"/>
        <w:rPr>
          <w:rFonts w:hint="eastAsia" w:ascii="宋体" w:hAnsi="宋体" w:cs="宋体"/>
          <w:b/>
          <w:bCs/>
          <w:sz w:val="24"/>
          <w:szCs w:val="24"/>
        </w:rPr>
      </w:pPr>
    </w:p>
    <w:p>
      <w:pPr>
        <w:pStyle w:val="2"/>
        <w:rPr>
          <w:rFonts w:hint="eastAsia" w:ascii="宋体" w:hAnsi="宋体" w:cs="宋体"/>
          <w:b/>
          <w:bCs/>
          <w:sz w:val="24"/>
          <w:szCs w:val="24"/>
        </w:rPr>
      </w:pPr>
    </w:p>
    <w:p>
      <w:pPr>
        <w:pStyle w:val="2"/>
        <w:rPr>
          <w:rFonts w:hint="eastAsia" w:ascii="宋体" w:hAnsi="宋体" w:cs="宋体"/>
          <w:b/>
          <w:bCs/>
          <w:sz w:val="24"/>
          <w:szCs w:val="24"/>
        </w:rPr>
      </w:pPr>
    </w:p>
    <w:p>
      <w:pPr>
        <w:pStyle w:val="2"/>
        <w:rPr>
          <w:rFonts w:hint="eastAsia" w:ascii="宋体" w:hAnsi="宋体" w:cs="宋体"/>
          <w:b/>
          <w:bCs/>
          <w:sz w:val="24"/>
          <w:szCs w:val="24"/>
        </w:rPr>
      </w:pPr>
    </w:p>
    <w:p>
      <w:pPr>
        <w:pStyle w:val="2"/>
        <w:rPr>
          <w:rFonts w:hint="eastAsia" w:ascii="宋体" w:hAnsi="宋体" w:cs="宋体"/>
          <w:b/>
          <w:bCs/>
          <w:sz w:val="24"/>
          <w:szCs w:val="24"/>
        </w:rPr>
      </w:pPr>
    </w:p>
    <w:p>
      <w:pPr>
        <w:pStyle w:val="2"/>
        <w:rPr>
          <w:rFonts w:hint="eastAsia" w:ascii="宋体" w:hAnsi="宋体" w:cs="宋体"/>
          <w:b/>
          <w:bCs/>
          <w:sz w:val="24"/>
          <w:szCs w:val="24"/>
        </w:rPr>
      </w:pPr>
    </w:p>
    <w:p>
      <w:pPr>
        <w:pStyle w:val="2"/>
        <w:rPr>
          <w:rFonts w:hint="eastAsia" w:ascii="宋体" w:hAnsi="宋体" w:cs="宋体"/>
          <w:b/>
          <w:bCs/>
          <w:sz w:val="24"/>
          <w:szCs w:val="24"/>
        </w:rPr>
      </w:pPr>
    </w:p>
    <w:p>
      <w:pPr>
        <w:pStyle w:val="2"/>
        <w:rPr>
          <w:rFonts w:hint="eastAsia" w:ascii="宋体" w:hAnsi="宋体" w:cs="宋体"/>
          <w:b/>
          <w:bCs/>
          <w:sz w:val="24"/>
          <w:szCs w:val="24"/>
        </w:rPr>
      </w:pPr>
    </w:p>
    <w:p>
      <w:pPr>
        <w:pStyle w:val="2"/>
        <w:rPr>
          <w:rFonts w:hint="eastAsia" w:ascii="宋体" w:hAnsi="宋体" w:cs="宋体"/>
          <w:b/>
          <w:bCs/>
          <w:sz w:val="24"/>
          <w:szCs w:val="24"/>
        </w:rPr>
      </w:pPr>
    </w:p>
    <w:p>
      <w:pPr>
        <w:pStyle w:val="2"/>
        <w:rPr>
          <w:rFonts w:hint="eastAsia" w:ascii="宋体" w:hAnsi="宋体" w:cs="宋体"/>
          <w:b/>
          <w:bCs/>
          <w:sz w:val="24"/>
          <w:szCs w:val="24"/>
        </w:rPr>
      </w:pPr>
    </w:p>
    <w:p>
      <w:pPr>
        <w:pStyle w:val="2"/>
        <w:rPr>
          <w:rFonts w:hint="eastAsia" w:ascii="宋体" w:hAnsi="宋体" w:cs="宋体"/>
          <w:b/>
          <w:bCs/>
          <w:sz w:val="24"/>
          <w:szCs w:val="24"/>
        </w:rPr>
      </w:pPr>
    </w:p>
    <w:p>
      <w:pPr>
        <w:pStyle w:val="2"/>
        <w:rPr>
          <w:rFonts w:hint="eastAsia" w:ascii="宋体" w:hAnsi="宋体" w:cs="宋体"/>
          <w:b/>
          <w:bCs/>
          <w:sz w:val="24"/>
          <w:szCs w:val="24"/>
        </w:rPr>
      </w:pPr>
    </w:p>
    <w:p>
      <w:pPr>
        <w:pStyle w:val="2"/>
        <w:rPr>
          <w:rFonts w:hint="eastAsia" w:ascii="宋体" w:hAnsi="宋体" w:cs="宋体"/>
          <w:b/>
          <w:bCs/>
          <w:sz w:val="24"/>
          <w:szCs w:val="24"/>
        </w:rPr>
      </w:pPr>
    </w:p>
    <w:p>
      <w:bookmarkStart w:id="53" w:name="_Toc12989"/>
      <w:bookmarkStart w:id="54" w:name="_Toc5615157"/>
      <w:r>
        <w:rPr>
          <w:rFonts w:hint="eastAsia"/>
        </w:rPr>
        <w:t>附：评分标准</w:t>
      </w: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技术商务部分其他项评分记录明细表（70</w:t>
      </w:r>
      <w:r>
        <w:rPr>
          <w:rFonts w:hint="eastAsia" w:ascii="仿宋_GB2312" w:hAnsi="宋体" w:eastAsia="仿宋_GB2312"/>
          <w:b/>
          <w:sz w:val="32"/>
          <w:szCs w:val="32"/>
          <w:lang w:eastAsia="zh-CN"/>
        </w:rPr>
        <w:t>分</w:t>
      </w:r>
      <w:r>
        <w:rPr>
          <w:rFonts w:hint="eastAsia" w:ascii="仿宋_GB2312" w:hAnsi="宋体" w:eastAsia="仿宋_GB2312"/>
          <w:b/>
          <w:sz w:val="32"/>
          <w:szCs w:val="32"/>
        </w:rPr>
        <w:t>）K1</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7249"/>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jc w:val="center"/>
              <w:rPr>
                <w:b/>
                <w:bCs/>
                <w:szCs w:val="21"/>
              </w:rPr>
            </w:pPr>
            <w:r>
              <w:rPr>
                <w:rFonts w:hint="eastAsia"/>
                <w:b/>
                <w:bCs/>
                <w:szCs w:val="21"/>
              </w:rPr>
              <w:t>评分内容</w:t>
            </w:r>
          </w:p>
        </w:tc>
        <w:tc>
          <w:tcPr>
            <w:tcW w:w="7249" w:type="dxa"/>
            <w:tcBorders>
              <w:top w:val="single" w:color="auto" w:sz="4" w:space="0"/>
              <w:left w:val="single" w:color="auto" w:sz="4" w:space="0"/>
              <w:bottom w:val="single" w:color="auto" w:sz="4" w:space="0"/>
              <w:right w:val="single" w:color="auto" w:sz="4" w:space="0"/>
            </w:tcBorders>
            <w:vAlign w:val="center"/>
          </w:tcPr>
          <w:p>
            <w:pPr>
              <w:jc w:val="center"/>
              <w:rPr>
                <w:b/>
                <w:bCs/>
                <w:szCs w:val="21"/>
              </w:rPr>
            </w:pPr>
            <w:r>
              <w:rPr>
                <w:rFonts w:hint="eastAsia"/>
                <w:b/>
                <w:bCs/>
                <w:szCs w:val="21"/>
              </w:rPr>
              <w:t>评分标准</w:t>
            </w:r>
          </w:p>
        </w:tc>
        <w:tc>
          <w:tcPr>
            <w:tcW w:w="895" w:type="dxa"/>
            <w:tcBorders>
              <w:top w:val="single" w:color="auto" w:sz="4" w:space="0"/>
              <w:left w:val="single" w:color="auto" w:sz="4" w:space="0"/>
              <w:bottom w:val="single" w:color="auto" w:sz="4" w:space="0"/>
              <w:right w:val="single" w:color="auto" w:sz="4" w:space="0"/>
            </w:tcBorders>
            <w:vAlign w:val="center"/>
          </w:tcPr>
          <w:p>
            <w:pPr>
              <w:jc w:val="center"/>
              <w:rPr>
                <w:b/>
                <w:bCs/>
                <w:szCs w:val="21"/>
              </w:rPr>
            </w:pPr>
            <w:r>
              <w:rPr>
                <w:rFonts w:hint="eastAsia"/>
                <w:b/>
                <w:bCs/>
                <w:szCs w:val="21"/>
              </w:rPr>
              <w:t>分值</w:t>
            </w:r>
          </w:p>
          <w:p>
            <w:pPr>
              <w:jc w:val="center"/>
              <w:rPr>
                <w:b/>
                <w:bCs/>
                <w:szCs w:val="21"/>
              </w:rPr>
            </w:pPr>
            <w:r>
              <w:rPr>
                <w:rFonts w:hint="eastAsia"/>
                <w:b/>
                <w:bCs/>
                <w:szCs w:val="21"/>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715"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kern w:val="0"/>
                <w:szCs w:val="21"/>
              </w:rPr>
            </w:pPr>
            <w:r>
              <w:rPr>
                <w:rFonts w:hint="eastAsia" w:ascii="宋体" w:hAnsi="宋体" w:cs="宋体"/>
                <w:szCs w:val="21"/>
              </w:rPr>
              <w:t>技术部分</w:t>
            </w:r>
          </w:p>
        </w:tc>
        <w:tc>
          <w:tcPr>
            <w:tcW w:w="7249"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s="宋体"/>
                <w:szCs w:val="21"/>
              </w:rPr>
            </w:pPr>
            <w:r>
              <w:rPr>
                <w:rFonts w:hint="eastAsia" w:ascii="宋体" w:hAnsi="宋体" w:cs="宋体"/>
                <w:szCs w:val="21"/>
              </w:rPr>
              <w:t>项目技术实施方案：</w:t>
            </w:r>
          </w:p>
          <w:p>
            <w:pPr>
              <w:snapToGrid w:val="0"/>
              <w:jc w:val="left"/>
              <w:rPr>
                <w:rFonts w:hint="eastAsia" w:ascii="宋体" w:hAnsi="宋体" w:cs="宋体"/>
                <w:szCs w:val="21"/>
              </w:rPr>
            </w:pPr>
            <w:r>
              <w:rPr>
                <w:rFonts w:hint="eastAsia" w:ascii="宋体" w:hAnsi="宋体" w:cs="宋体"/>
                <w:szCs w:val="21"/>
              </w:rPr>
              <w:t>1.项目施工进度计划、工期要求：所报工期符合招标文件的要求,有可行的施工进度安排网络图。</w:t>
            </w:r>
          </w:p>
          <w:p>
            <w:pPr>
              <w:snapToGrid w:val="0"/>
              <w:jc w:val="left"/>
              <w:rPr>
                <w:rFonts w:hint="eastAsia" w:ascii="宋体" w:hAnsi="宋体" w:cs="宋体"/>
                <w:szCs w:val="21"/>
              </w:rPr>
            </w:pPr>
            <w:r>
              <w:rPr>
                <w:rFonts w:hint="eastAsia" w:ascii="宋体" w:hAnsi="宋体" w:cs="宋体"/>
                <w:szCs w:val="21"/>
              </w:rPr>
              <w:t>（1）优于招标文件工期要求的得</w:t>
            </w:r>
            <w:r>
              <w:rPr>
                <w:rFonts w:hint="eastAsia" w:ascii="宋体" w:hAnsi="宋体" w:cs="宋体"/>
                <w:szCs w:val="21"/>
                <w:lang w:val="en-US" w:eastAsia="zh-CN"/>
              </w:rPr>
              <w:t>2</w:t>
            </w:r>
            <w:r>
              <w:rPr>
                <w:rFonts w:hint="eastAsia" w:ascii="宋体" w:hAnsi="宋体" w:cs="宋体"/>
                <w:szCs w:val="21"/>
              </w:rPr>
              <w:t>分；（2）等于招标文件工期要求的，得</w:t>
            </w:r>
            <w:r>
              <w:rPr>
                <w:rFonts w:hint="eastAsia" w:ascii="宋体" w:hAnsi="宋体" w:cs="宋体"/>
                <w:szCs w:val="21"/>
                <w:lang w:val="en-US" w:eastAsia="zh-CN"/>
              </w:rPr>
              <w:t>1</w:t>
            </w:r>
            <w:r>
              <w:rPr>
                <w:rFonts w:hint="eastAsia" w:ascii="宋体" w:hAnsi="宋体" w:cs="宋体"/>
                <w:szCs w:val="21"/>
              </w:rPr>
              <w:t>分；（3）低于招标文件工期要求的不得分。</w:t>
            </w:r>
          </w:p>
          <w:p>
            <w:pPr>
              <w:snapToGrid w:val="0"/>
              <w:jc w:val="left"/>
              <w:rPr>
                <w:rFonts w:hint="eastAsia" w:ascii="宋体" w:hAnsi="宋体" w:cs="宋体"/>
                <w:szCs w:val="21"/>
              </w:rPr>
            </w:pPr>
            <w:r>
              <w:rPr>
                <w:rFonts w:hint="eastAsia" w:ascii="宋体" w:hAnsi="宋体" w:cs="宋体"/>
                <w:szCs w:val="21"/>
              </w:rPr>
              <w:t>2.投标企业具有不少于5人的技术服务队伍提供本公司项目实施人员缴纳社保近6个月的证明材料复印件证明（原件备查）</w:t>
            </w:r>
            <w:r>
              <w:rPr>
                <w:rFonts w:hint="eastAsia" w:ascii="宋体" w:hAnsi="宋体" w:cs="宋体"/>
                <w:szCs w:val="21"/>
              </w:rPr>
              <w:t>社保缴纳人员不等低于5个。满分</w:t>
            </w:r>
            <w:r>
              <w:rPr>
                <w:rFonts w:hint="eastAsia" w:ascii="宋体" w:hAnsi="宋体" w:cs="宋体"/>
                <w:szCs w:val="21"/>
                <w:lang w:val="en-US" w:eastAsia="zh-CN"/>
              </w:rPr>
              <w:t>3</w:t>
            </w:r>
            <w:r>
              <w:rPr>
                <w:rFonts w:hint="eastAsia" w:ascii="宋体" w:hAnsi="宋体" w:cs="宋体"/>
                <w:szCs w:val="21"/>
              </w:rPr>
              <w:t>分，具有不少于3人的技术服务队伍得</w:t>
            </w:r>
            <w:r>
              <w:rPr>
                <w:rFonts w:hint="eastAsia" w:ascii="宋体" w:hAnsi="宋体" w:cs="宋体"/>
                <w:szCs w:val="21"/>
                <w:lang w:val="en-US" w:eastAsia="zh-CN"/>
              </w:rPr>
              <w:t>2</w:t>
            </w:r>
            <w:r>
              <w:rPr>
                <w:rFonts w:hint="eastAsia" w:ascii="宋体" w:hAnsi="宋体" w:cs="宋体"/>
                <w:szCs w:val="21"/>
              </w:rPr>
              <w:t>分；（3）少于2人的技术服务队伍不得分。</w:t>
            </w:r>
          </w:p>
        </w:tc>
        <w:tc>
          <w:tcPr>
            <w:tcW w:w="895"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s="宋体"/>
                <w:szCs w:val="21"/>
              </w:rPr>
            </w:pPr>
            <w:r>
              <w:rPr>
                <w:rFonts w:hint="eastAsia" w:ascii="宋体" w:hAnsi="宋体" w:cs="宋体"/>
                <w:szCs w:val="21"/>
              </w:rPr>
              <w:t>满分</w:t>
            </w:r>
          </w:p>
          <w:p>
            <w:pPr>
              <w:snapToGrid w:val="0"/>
              <w:jc w:val="left"/>
              <w:rPr>
                <w:rFonts w:ascii="宋体" w:hAnsi="宋体" w:cs="宋体"/>
                <w:b/>
                <w:szCs w:val="21"/>
              </w:rPr>
            </w:pPr>
            <w:r>
              <w:rPr>
                <w:rFonts w:hint="eastAsia" w:ascii="宋体" w:hAnsi="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15"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p>
        </w:tc>
        <w:tc>
          <w:tcPr>
            <w:tcW w:w="7249"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s="宋体"/>
                <w:szCs w:val="21"/>
              </w:rPr>
            </w:pPr>
            <w:r>
              <w:rPr>
                <w:rFonts w:hint="eastAsia" w:ascii="宋体" w:hAnsi="宋体" w:cs="宋体"/>
                <w:szCs w:val="21"/>
              </w:rPr>
              <w:t>根据投标人响应招标产品技术参数要求的情况和投标人提供的技术证明材料（如：</w:t>
            </w:r>
            <w:r>
              <w:rPr>
                <w:rFonts w:hint="eastAsia" w:ascii="宋体" w:hAnsi="宋体" w:cs="宋体"/>
                <w:szCs w:val="21"/>
              </w:rPr>
              <w:t>软硬件产品介绍），对各项产品技术指标要求进行评审：</w:t>
            </w:r>
          </w:p>
          <w:p>
            <w:pPr>
              <w:snapToGrid w:val="0"/>
              <w:jc w:val="left"/>
              <w:rPr>
                <w:rFonts w:hint="eastAsia" w:ascii="宋体" w:hAnsi="宋体" w:cs="宋体"/>
                <w:szCs w:val="21"/>
              </w:rPr>
            </w:pPr>
            <w:r>
              <w:rPr>
                <w:rFonts w:hint="eastAsia" w:ascii="宋体" w:hAnsi="宋体" w:cs="宋体"/>
                <w:szCs w:val="21"/>
              </w:rPr>
              <w:t>1.技术条款为重要技术指标参数，</w:t>
            </w:r>
            <w:r>
              <w:rPr>
                <w:rFonts w:hint="eastAsia" w:ascii="宋体" w:hAnsi="宋体" w:cs="宋体"/>
                <w:szCs w:val="21"/>
              </w:rPr>
              <w:t>如有一条不满足，则按无效投标处理。</w:t>
            </w:r>
          </w:p>
          <w:p>
            <w:pPr>
              <w:snapToGrid w:val="0"/>
              <w:jc w:val="left"/>
              <w:rPr>
                <w:rFonts w:hint="eastAsia" w:ascii="宋体" w:hAnsi="宋体" w:cs="宋体"/>
                <w:szCs w:val="21"/>
              </w:rPr>
            </w:pPr>
            <w:r>
              <w:rPr>
                <w:rFonts w:hint="eastAsia" w:ascii="宋体" w:hAnsi="宋体" w:cs="宋体"/>
                <w:szCs w:val="21"/>
              </w:rPr>
              <w:t>2.其他技术参数每负偏离1项扣5分；该项扣完为止。</w:t>
            </w:r>
          </w:p>
        </w:tc>
        <w:tc>
          <w:tcPr>
            <w:tcW w:w="8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满分</w:t>
            </w:r>
          </w:p>
          <w:p>
            <w:pPr>
              <w:adjustRightInd w:val="0"/>
              <w:snapToGrid w:val="0"/>
              <w:jc w:val="center"/>
              <w:rPr>
                <w:rFonts w:ascii="宋体" w:hAnsi="宋体" w:cs="宋体"/>
                <w:b/>
                <w:szCs w:val="21"/>
              </w:rPr>
            </w:pPr>
            <w:r>
              <w:rPr>
                <w:rFonts w:hint="eastAsia" w:ascii="宋体" w:hAnsi="宋体" w:cs="宋体"/>
                <w:szCs w:val="21"/>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715"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商务部分</w:t>
            </w:r>
          </w:p>
        </w:tc>
        <w:tc>
          <w:tcPr>
            <w:tcW w:w="7249"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s="宋体"/>
                <w:szCs w:val="21"/>
              </w:rPr>
            </w:pPr>
            <w:r>
              <w:rPr>
                <w:rFonts w:hint="eastAsia" w:ascii="宋体" w:hAnsi="宋体" w:cs="宋体"/>
                <w:szCs w:val="21"/>
              </w:rPr>
              <w:t>综合实力：</w:t>
            </w:r>
          </w:p>
          <w:p>
            <w:pPr>
              <w:snapToGrid w:val="0"/>
              <w:jc w:val="left"/>
              <w:rPr>
                <w:rFonts w:hint="eastAsia" w:ascii="宋体" w:hAnsi="宋体" w:cs="宋体"/>
                <w:szCs w:val="21"/>
              </w:rPr>
            </w:pPr>
            <w:r>
              <w:rPr>
                <w:rFonts w:hint="eastAsia" w:ascii="宋体" w:hAnsi="宋体" w:cs="宋体"/>
                <w:szCs w:val="21"/>
              </w:rPr>
              <w:t>1.证明投标人综合实力提供具有《ISO9001质量管理体系认证证书》等资质，每提供一项1</w:t>
            </w:r>
            <w:r>
              <w:rPr>
                <w:rFonts w:hint="eastAsia" w:ascii="宋体" w:hAnsi="宋体" w:cs="宋体"/>
                <w:szCs w:val="21"/>
              </w:rPr>
              <w:t>分，最多3</w:t>
            </w:r>
            <w:r>
              <w:rPr>
                <w:rFonts w:hint="eastAsia" w:ascii="宋体" w:hAnsi="宋体" w:cs="宋体"/>
                <w:szCs w:val="21"/>
              </w:rPr>
              <w:t>分。（须提供证明材料复印件加盖公章）</w:t>
            </w:r>
          </w:p>
          <w:p>
            <w:pPr>
              <w:snapToGrid w:val="0"/>
              <w:jc w:val="left"/>
              <w:rPr>
                <w:rFonts w:hint="eastAsia" w:ascii="宋体" w:hAnsi="宋体" w:cs="宋体"/>
                <w:szCs w:val="21"/>
              </w:rPr>
            </w:pPr>
            <w:r>
              <w:rPr>
                <w:rFonts w:hint="eastAsia" w:ascii="宋体" w:hAnsi="宋体" w:cs="宋体"/>
                <w:szCs w:val="21"/>
              </w:rPr>
              <w:t>2.投标人能够为校方提供与一卡通对接证明，提供原厂售后服务得4分。</w:t>
            </w:r>
          </w:p>
          <w:p>
            <w:pPr>
              <w:snapToGrid w:val="0"/>
              <w:jc w:val="left"/>
              <w:rPr>
                <w:rFonts w:hint="eastAsia" w:ascii="宋体" w:hAnsi="宋体" w:cs="宋体"/>
                <w:szCs w:val="21"/>
              </w:rPr>
            </w:pPr>
            <w:r>
              <w:rPr>
                <w:rFonts w:hint="eastAsia" w:ascii="宋体" w:hAnsi="宋体" w:cs="宋体"/>
                <w:szCs w:val="21"/>
              </w:rPr>
              <w:t>3.投标人在新疆设有售后服务机构（须提交有关资质证明材料)2</w:t>
            </w:r>
            <w:r>
              <w:rPr>
                <w:rFonts w:hint="eastAsia" w:ascii="宋体" w:hAnsi="宋体" w:cs="宋体"/>
                <w:szCs w:val="21"/>
              </w:rPr>
              <w:t>分。</w:t>
            </w:r>
          </w:p>
        </w:tc>
        <w:tc>
          <w:tcPr>
            <w:tcW w:w="8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满分</w:t>
            </w:r>
          </w:p>
          <w:p>
            <w:pPr>
              <w:adjustRightInd w:val="0"/>
              <w:snapToGrid w:val="0"/>
              <w:jc w:val="center"/>
              <w:rPr>
                <w:rFonts w:ascii="宋体" w:hAnsi="宋体" w:cs="宋体"/>
                <w:szCs w:val="21"/>
              </w:rPr>
            </w:pPr>
            <w:r>
              <w:rPr>
                <w:rFonts w:ascii="宋体" w:hAnsi="宋体" w:cs="宋体"/>
                <w:szCs w:val="21"/>
              </w:rPr>
              <w:t>9</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715" w:type="dxa"/>
            <w:vMerge w:val="continue"/>
            <w:tcBorders>
              <w:left w:val="single" w:color="auto" w:sz="4" w:space="0"/>
              <w:right w:val="single" w:color="auto" w:sz="4" w:space="0"/>
            </w:tcBorders>
            <w:vAlign w:val="center"/>
          </w:tcPr>
          <w:p>
            <w:pPr>
              <w:adjustRightInd w:val="0"/>
              <w:snapToGrid w:val="0"/>
              <w:jc w:val="center"/>
              <w:rPr>
                <w:rFonts w:ascii="宋体" w:hAnsi="宋体" w:cs="宋体"/>
                <w:szCs w:val="21"/>
              </w:rPr>
            </w:pPr>
          </w:p>
        </w:tc>
        <w:tc>
          <w:tcPr>
            <w:tcW w:w="7249"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s="宋体"/>
                <w:szCs w:val="21"/>
              </w:rPr>
            </w:pPr>
            <w:r>
              <w:rPr>
                <w:rFonts w:hint="eastAsia" w:ascii="宋体" w:hAnsi="宋体" w:cs="宋体"/>
                <w:szCs w:val="21"/>
              </w:rPr>
              <w:t>产品相关资质：</w:t>
            </w:r>
          </w:p>
          <w:p>
            <w:pPr>
              <w:snapToGrid w:val="0"/>
              <w:jc w:val="left"/>
              <w:rPr>
                <w:rFonts w:hint="eastAsia" w:ascii="宋体" w:hAnsi="宋体" w:cs="宋体"/>
                <w:szCs w:val="21"/>
              </w:rPr>
            </w:pPr>
            <w:r>
              <w:rPr>
                <w:rFonts w:hint="eastAsia" w:ascii="宋体" w:hAnsi="宋体" w:cs="宋体"/>
                <w:szCs w:val="21"/>
              </w:rPr>
              <w:t>软件需具有软件著作权登记证书、第三方权威检测机构出具的《软件测试报告》，全部提供得5</w:t>
            </w:r>
            <w:r>
              <w:rPr>
                <w:rFonts w:hint="eastAsia" w:ascii="宋体" w:hAnsi="宋体" w:cs="宋体"/>
                <w:szCs w:val="21"/>
              </w:rPr>
              <w:t>分，缺少不得分。</w:t>
            </w:r>
          </w:p>
        </w:tc>
        <w:tc>
          <w:tcPr>
            <w:tcW w:w="8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满分</w:t>
            </w:r>
          </w:p>
          <w:p>
            <w:pPr>
              <w:adjustRightInd w:val="0"/>
              <w:snapToGrid w:val="0"/>
              <w:jc w:val="center"/>
              <w:rPr>
                <w:rFonts w:ascii="宋体" w:hAnsi="宋体" w:cs="宋体"/>
                <w:szCs w:val="21"/>
              </w:rPr>
            </w:pPr>
            <w:r>
              <w:rPr>
                <w:rFonts w:ascii="宋体" w:hAnsi="宋体" w:cs="宋体"/>
                <w:szCs w:val="21"/>
              </w:rPr>
              <w:t>5</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15" w:type="dxa"/>
            <w:vMerge w:val="continue"/>
            <w:tcBorders>
              <w:left w:val="single" w:color="auto" w:sz="4" w:space="0"/>
              <w:right w:val="single" w:color="auto" w:sz="4" w:space="0"/>
            </w:tcBorders>
            <w:vAlign w:val="center"/>
          </w:tcPr>
          <w:p>
            <w:pPr>
              <w:adjustRightInd w:val="0"/>
              <w:snapToGrid w:val="0"/>
              <w:jc w:val="center"/>
              <w:rPr>
                <w:rFonts w:ascii="宋体" w:hAnsi="宋体" w:cs="宋体"/>
                <w:szCs w:val="21"/>
              </w:rPr>
            </w:pPr>
          </w:p>
        </w:tc>
        <w:tc>
          <w:tcPr>
            <w:tcW w:w="7249"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s="宋体"/>
                <w:szCs w:val="21"/>
              </w:rPr>
            </w:pPr>
            <w:r>
              <w:rPr>
                <w:rFonts w:hint="eastAsia" w:ascii="宋体" w:hAnsi="宋体" w:cs="宋体"/>
                <w:szCs w:val="21"/>
              </w:rPr>
              <w:t>同类项目业绩证明：</w:t>
            </w:r>
          </w:p>
          <w:p>
            <w:pPr>
              <w:snapToGrid w:val="0"/>
              <w:jc w:val="left"/>
              <w:rPr>
                <w:rFonts w:hint="eastAsia" w:ascii="宋体" w:hAnsi="宋体" w:cs="宋体"/>
                <w:szCs w:val="21"/>
              </w:rPr>
            </w:pPr>
            <w:r>
              <w:rPr>
                <w:rFonts w:hint="eastAsia" w:ascii="宋体" w:hAnsi="宋体" w:cs="宋体"/>
                <w:szCs w:val="21"/>
              </w:rPr>
              <w:t>投标人近三年（2016年1月1日至今）有承接过的类似项目，提供项目金额在50万元以上的建设项目中标通知书及合同，每提供1项得2分，本项最多得6分。（中标通知书及合同原件现场备查。）</w:t>
            </w:r>
          </w:p>
        </w:tc>
        <w:tc>
          <w:tcPr>
            <w:tcW w:w="8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满分</w:t>
            </w:r>
          </w:p>
          <w:p>
            <w:pPr>
              <w:adjustRightInd w:val="0"/>
              <w:snapToGrid w:val="0"/>
              <w:jc w:val="center"/>
              <w:rPr>
                <w:rFonts w:ascii="宋体" w:hAnsi="宋体" w:cs="宋体"/>
                <w:szCs w:val="21"/>
              </w:rPr>
            </w:pPr>
            <w:r>
              <w:rPr>
                <w:rFonts w:hint="eastAsia" w:ascii="宋体" w:hAnsi="宋体" w:cs="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715"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p>
        </w:tc>
        <w:tc>
          <w:tcPr>
            <w:tcW w:w="724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bCs/>
                <w:spacing w:val="-6"/>
                <w:szCs w:val="21"/>
              </w:rPr>
            </w:pPr>
            <w:r>
              <w:rPr>
                <w:rFonts w:hint="eastAsia" w:ascii="宋体" w:hAnsi="宋体" w:cs="宋体"/>
                <w:b/>
                <w:bCs/>
                <w:spacing w:val="-6"/>
                <w:szCs w:val="21"/>
              </w:rPr>
              <w:t>售后服务：</w:t>
            </w:r>
          </w:p>
          <w:p>
            <w:pPr>
              <w:snapToGrid w:val="0"/>
              <w:jc w:val="left"/>
              <w:rPr>
                <w:rFonts w:ascii="宋体" w:hAnsi="宋体" w:cs="宋体"/>
                <w:szCs w:val="21"/>
              </w:rPr>
            </w:pPr>
            <w:r>
              <w:rPr>
                <w:rFonts w:hint="eastAsia" w:ascii="宋体" w:hAnsi="宋体" w:cs="宋体"/>
                <w:szCs w:val="21"/>
              </w:rPr>
              <w:t>根据投标人售后服务响应时间、售后服务机构分布情况、质量保证期限、质量保证范围、售后人员组成及经验、应急维修响应上门速度及措施等描述情况进行评审，优得</w:t>
            </w:r>
            <w:r>
              <w:rPr>
                <w:rFonts w:ascii="宋体" w:hAnsi="宋体" w:cs="宋体"/>
                <w:szCs w:val="21"/>
              </w:rPr>
              <w:t>5</w:t>
            </w:r>
            <w:r>
              <w:rPr>
                <w:rFonts w:hint="eastAsia" w:ascii="宋体" w:hAnsi="宋体" w:cs="宋体"/>
                <w:szCs w:val="21"/>
              </w:rPr>
              <w:t>分，一般得2分，差不得分。</w:t>
            </w:r>
          </w:p>
        </w:tc>
        <w:tc>
          <w:tcPr>
            <w:tcW w:w="8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满分</w:t>
            </w:r>
          </w:p>
          <w:p>
            <w:pPr>
              <w:adjustRightInd w:val="0"/>
              <w:snapToGrid w:val="0"/>
              <w:jc w:val="center"/>
              <w:rPr>
                <w:rFonts w:ascii="宋体" w:hAnsi="宋体" w:cs="宋体"/>
                <w:szCs w:val="21"/>
              </w:rPr>
            </w:pPr>
            <w:r>
              <w:rPr>
                <w:rFonts w:ascii="宋体" w:hAnsi="宋体" w:cs="宋体"/>
                <w:szCs w:val="21"/>
              </w:rPr>
              <w:t>5</w:t>
            </w:r>
            <w:r>
              <w:rPr>
                <w:rFonts w:hint="eastAsia" w:ascii="宋体" w:hAnsi="宋体" w:cs="宋体"/>
                <w:szCs w:val="21"/>
              </w:rPr>
              <w:t>分</w:t>
            </w:r>
          </w:p>
        </w:tc>
      </w:tr>
    </w:tbl>
    <w:p>
      <w:pPr>
        <w:spacing w:line="360" w:lineRule="auto"/>
        <w:jc w:val="both"/>
        <w:rPr>
          <w:rFonts w:hint="eastAsia" w:ascii="仿宋_GB2312" w:hAnsi="宋体" w:eastAsia="仿宋_GB2312"/>
          <w:b/>
          <w:sz w:val="32"/>
          <w:szCs w:val="32"/>
        </w:rPr>
      </w:pPr>
    </w:p>
    <w:p>
      <w:pPr>
        <w:spacing w:line="360" w:lineRule="auto"/>
        <w:jc w:val="center"/>
        <w:rPr>
          <w:rFonts w:hint="eastAsia"/>
        </w:rPr>
      </w:pPr>
      <w:r>
        <w:rPr>
          <w:rFonts w:hint="eastAsia" w:ascii="仿宋_GB2312" w:hAnsi="宋体" w:eastAsia="仿宋_GB2312"/>
          <w:b/>
          <w:sz w:val="32"/>
          <w:szCs w:val="32"/>
        </w:rPr>
        <w:t>价格评分标准（30分）K2</w:t>
      </w:r>
    </w:p>
    <w:tbl>
      <w:tblPr>
        <w:tblStyle w:val="11"/>
        <w:tblpPr w:leftFromText="180" w:rightFromText="180" w:vertAnchor="text" w:horzAnchor="page" w:tblpX="2094" w:tblpY="203"/>
        <w:tblOverlap w:val="never"/>
        <w:tblW w:w="831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86"/>
        <w:gridCol w:w="6796"/>
        <w:gridCol w:w="9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5" w:hRule="atLeast"/>
        </w:trPr>
        <w:tc>
          <w:tcPr>
            <w:tcW w:w="586" w:type="dxa"/>
            <w:tcBorders>
              <w:top w:val="single" w:color="auto" w:sz="4" w:space="0"/>
              <w:bottom w:val="single" w:color="auto" w:sz="4" w:space="0"/>
            </w:tcBorders>
            <w:vAlign w:val="center"/>
          </w:tcPr>
          <w:p>
            <w:pPr>
              <w:jc w:val="center"/>
              <w:rPr>
                <w:b/>
                <w:bCs/>
                <w:szCs w:val="21"/>
              </w:rPr>
            </w:pPr>
            <w:r>
              <w:rPr>
                <w:rFonts w:hint="eastAsia"/>
                <w:b/>
                <w:bCs/>
                <w:szCs w:val="21"/>
              </w:rPr>
              <w:t>考核项目</w:t>
            </w:r>
          </w:p>
        </w:tc>
        <w:tc>
          <w:tcPr>
            <w:tcW w:w="6796" w:type="dxa"/>
            <w:tcBorders>
              <w:top w:val="single" w:color="auto" w:sz="4" w:space="0"/>
              <w:bottom w:val="single" w:color="auto" w:sz="4" w:space="0"/>
            </w:tcBorders>
            <w:vAlign w:val="center"/>
          </w:tcPr>
          <w:p>
            <w:pPr>
              <w:spacing w:line="440" w:lineRule="exact"/>
              <w:jc w:val="center"/>
              <w:outlineLvl w:val="1"/>
              <w:rPr>
                <w:rFonts w:ascii="宋体" w:hAnsi="宋体"/>
                <w:b/>
                <w:bCs/>
                <w:szCs w:val="21"/>
              </w:rPr>
            </w:pPr>
            <w:r>
              <w:rPr>
                <w:rFonts w:hint="eastAsia" w:ascii="宋体" w:hAnsi="宋体"/>
                <w:b/>
                <w:bCs/>
                <w:szCs w:val="21"/>
              </w:rPr>
              <w:t>评分标准（须作出评估具体依据和理由）</w:t>
            </w:r>
          </w:p>
        </w:tc>
        <w:tc>
          <w:tcPr>
            <w:tcW w:w="937" w:type="dxa"/>
            <w:vAlign w:val="center"/>
          </w:tcPr>
          <w:p>
            <w:pPr>
              <w:spacing w:line="440" w:lineRule="exact"/>
              <w:jc w:val="center"/>
              <w:outlineLvl w:val="1"/>
              <w:rPr>
                <w:rFonts w:ascii="宋体" w:hAnsi="宋体"/>
                <w:b/>
                <w:bCs/>
                <w:szCs w:val="21"/>
              </w:rPr>
            </w:pPr>
            <w:r>
              <w:rPr>
                <w:rFonts w:hint="eastAsia" w:ascii="宋体" w:hAnsi="宋体"/>
                <w:b/>
                <w:bCs/>
                <w:szCs w:val="21"/>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521" w:hRule="atLeast"/>
        </w:trPr>
        <w:tc>
          <w:tcPr>
            <w:tcW w:w="586" w:type="dxa"/>
            <w:tcBorders>
              <w:top w:val="single" w:color="auto" w:sz="4" w:space="0"/>
              <w:bottom w:val="single" w:color="auto" w:sz="4" w:space="0"/>
            </w:tcBorders>
            <w:vAlign w:val="center"/>
          </w:tcPr>
          <w:p>
            <w:pPr>
              <w:spacing w:line="440" w:lineRule="exact"/>
              <w:jc w:val="left"/>
              <w:outlineLvl w:val="1"/>
              <w:rPr>
                <w:rFonts w:ascii="宋体" w:hAnsi="宋体"/>
                <w:szCs w:val="21"/>
              </w:rPr>
            </w:pPr>
            <w:r>
              <w:rPr>
                <w:rFonts w:hint="eastAsia" w:ascii="宋体" w:hAnsi="宋体"/>
                <w:szCs w:val="21"/>
              </w:rPr>
              <w:t>最终报价</w:t>
            </w:r>
          </w:p>
        </w:tc>
        <w:tc>
          <w:tcPr>
            <w:tcW w:w="6796" w:type="dxa"/>
            <w:tcBorders>
              <w:top w:val="single" w:color="auto" w:sz="4" w:space="0"/>
              <w:bottom w:val="single" w:color="auto" w:sz="4" w:space="0"/>
            </w:tcBorders>
            <w:vAlign w:val="center"/>
          </w:tcPr>
          <w:p>
            <w:pPr>
              <w:snapToGrid w:val="0"/>
              <w:jc w:val="left"/>
              <w:rPr>
                <w:rFonts w:ascii="宋体" w:hAnsi="宋体" w:cs="宋体"/>
                <w:szCs w:val="21"/>
              </w:rPr>
            </w:pPr>
            <w:r>
              <w:rPr>
                <w:rFonts w:hint="eastAsia" w:ascii="宋体" w:hAnsi="宋体" w:cs="宋体"/>
                <w:szCs w:val="21"/>
              </w:rPr>
              <w:t>各供应商的价格得分的计算公式：采用低价优先法计算，即满足招标文件要求且投标价格最低的投标报价为评标基准价，其价格分为满分。其他投标人的价格分统一按照下列公式计算：</w:t>
            </w:r>
          </w:p>
          <w:p>
            <w:pPr>
              <w:snapToGrid w:val="0"/>
              <w:jc w:val="left"/>
              <w:rPr>
                <w:rFonts w:ascii="宋体" w:hAnsi="宋体" w:cs="宋体"/>
                <w:szCs w:val="21"/>
              </w:rPr>
            </w:pPr>
            <w:r>
              <w:rPr>
                <w:rFonts w:hint="eastAsia" w:ascii="宋体" w:hAnsi="宋体" w:cs="宋体"/>
                <w:szCs w:val="21"/>
              </w:rPr>
              <w:t>投标报价得分=(评标基准价／修正后投标报价)×价格权值×100。计算分数时四舍五入取小数点后两位,分数最高不超过30分。</w:t>
            </w:r>
          </w:p>
          <w:p>
            <w:pPr>
              <w:snapToGrid w:val="0"/>
              <w:jc w:val="left"/>
              <w:rPr>
                <w:rFonts w:ascii="宋体" w:hAnsi="宋体"/>
                <w:szCs w:val="21"/>
              </w:rPr>
            </w:pPr>
            <w:r>
              <w:rPr>
                <w:rFonts w:hint="eastAsia" w:ascii="宋体" w:hAnsi="宋体" w:cs="宋体"/>
                <w:szCs w:val="21"/>
              </w:rPr>
              <w:t>评估具体依据和理由用其有效报价金额表述。</w:t>
            </w:r>
          </w:p>
        </w:tc>
        <w:tc>
          <w:tcPr>
            <w:tcW w:w="937" w:type="dxa"/>
          </w:tcPr>
          <w:p>
            <w:pPr>
              <w:spacing w:line="440" w:lineRule="exact"/>
              <w:jc w:val="left"/>
              <w:outlineLvl w:val="1"/>
              <w:rPr>
                <w:rFonts w:ascii="宋体" w:hAnsi="宋体"/>
                <w:szCs w:val="21"/>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630" w:firstLineChars="300"/>
      </w:pPr>
      <w:r>
        <w:rPr>
          <w:rFonts w:hint="eastAsia"/>
        </w:rPr>
        <w:t>备注：商务与技术标权重70%（K1），投标报价权重30%（K2），K1+K2=100%</w:t>
      </w:r>
    </w:p>
    <w:bookmarkEnd w:id="53"/>
    <w:bookmarkEnd w:id="54"/>
    <w:p>
      <w:pPr>
        <w:tabs>
          <w:tab w:val="center" w:pos="4832"/>
          <w:tab w:val="left" w:pos="7140"/>
        </w:tabs>
        <w:spacing w:line="360" w:lineRule="auto"/>
        <w:jc w:val="center"/>
        <w:outlineLvl w:val="1"/>
        <w:rPr>
          <w:rFonts w:ascii="宋体" w:cs="Times New Roman"/>
          <w:b/>
          <w:bCs/>
          <w:sz w:val="24"/>
          <w:szCs w:val="24"/>
        </w:rPr>
      </w:pPr>
      <w:bookmarkStart w:id="55" w:name="_Toc5615158"/>
      <w:bookmarkStart w:id="56" w:name="_Toc1033"/>
      <w:bookmarkStart w:id="57" w:name="_Toc515298107"/>
      <w:r>
        <w:rPr>
          <w:rFonts w:hint="eastAsia" w:ascii="宋体" w:hAnsi="宋体" w:cs="宋体"/>
          <w:b/>
          <w:bCs/>
          <w:sz w:val="24"/>
          <w:szCs w:val="24"/>
        </w:rPr>
        <w:t>详细评审标准</w:t>
      </w:r>
      <w:bookmarkEnd w:id="55"/>
      <w:bookmarkEnd w:id="56"/>
      <w:bookmarkEnd w:id="57"/>
    </w:p>
    <w:p>
      <w:pPr>
        <w:tabs>
          <w:tab w:val="center" w:pos="4832"/>
          <w:tab w:val="left" w:pos="7140"/>
        </w:tabs>
        <w:spacing w:line="360" w:lineRule="auto"/>
        <w:ind w:firstLine="472" w:firstLineChars="196"/>
        <w:jc w:val="left"/>
        <w:outlineLvl w:val="1"/>
        <w:rPr>
          <w:rFonts w:ascii="宋体" w:cs="Times New Roman"/>
          <w:b/>
          <w:bCs/>
          <w:sz w:val="24"/>
          <w:szCs w:val="24"/>
        </w:rPr>
      </w:pPr>
      <w:bookmarkStart w:id="58" w:name="_Toc5615159"/>
      <w:bookmarkStart w:id="59" w:name="_Toc10176"/>
      <w:r>
        <w:rPr>
          <w:rFonts w:ascii="宋体" w:hAnsi="宋体" w:cs="宋体"/>
          <w:b/>
          <w:bCs/>
          <w:sz w:val="24"/>
          <w:szCs w:val="24"/>
        </w:rPr>
        <w:t xml:space="preserve">1. </w:t>
      </w:r>
      <w:r>
        <w:rPr>
          <w:rFonts w:hint="eastAsia" w:ascii="宋体" w:hAnsi="宋体" w:cs="宋体"/>
          <w:b/>
          <w:bCs/>
          <w:sz w:val="24"/>
          <w:szCs w:val="24"/>
        </w:rPr>
        <w:t>评标方法</w:t>
      </w:r>
      <w:bookmarkEnd w:id="58"/>
      <w:bookmarkEnd w:id="59"/>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本次评标采用综合评分法。评标委员会对满足竞争性磋商文件实质性要求的磋商响应文件，按照本章规定的评审标准进行评审，并按得分由高到低顺序推荐中标候选人。评标中各评委若发生意见分歧，以少数服从多数原则确定。</w:t>
      </w:r>
    </w:p>
    <w:p>
      <w:pPr>
        <w:tabs>
          <w:tab w:val="center" w:pos="4832"/>
          <w:tab w:val="left" w:pos="7140"/>
        </w:tabs>
        <w:spacing w:line="360" w:lineRule="auto"/>
        <w:ind w:firstLine="472" w:firstLineChars="196"/>
        <w:jc w:val="left"/>
        <w:outlineLvl w:val="1"/>
        <w:rPr>
          <w:rFonts w:ascii="宋体" w:cs="Times New Roman"/>
          <w:b/>
          <w:bCs/>
          <w:sz w:val="24"/>
          <w:szCs w:val="24"/>
        </w:rPr>
      </w:pPr>
      <w:bookmarkStart w:id="60" w:name="_Toc4947"/>
      <w:bookmarkStart w:id="61" w:name="_Toc5615160"/>
      <w:r>
        <w:rPr>
          <w:rFonts w:ascii="宋体" w:hAnsi="宋体" w:cs="宋体"/>
          <w:b/>
          <w:bCs/>
          <w:sz w:val="24"/>
          <w:szCs w:val="24"/>
        </w:rPr>
        <w:t xml:space="preserve">2. </w:t>
      </w:r>
      <w:r>
        <w:rPr>
          <w:rFonts w:hint="eastAsia" w:ascii="宋体" w:hAnsi="宋体" w:cs="宋体"/>
          <w:b/>
          <w:bCs/>
          <w:sz w:val="24"/>
          <w:szCs w:val="24"/>
        </w:rPr>
        <w:t>评审标准</w:t>
      </w:r>
      <w:bookmarkEnd w:id="60"/>
      <w:bookmarkEnd w:id="61"/>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2.1</w:t>
      </w:r>
      <w:r>
        <w:rPr>
          <w:rFonts w:hint="eastAsia" w:ascii="宋体" w:hAnsi="宋体" w:cs="宋体"/>
          <w:color w:val="000000"/>
          <w:kern w:val="0"/>
          <w:sz w:val="24"/>
          <w:szCs w:val="24"/>
        </w:rPr>
        <w:t>初步评审标准：评审因素和评审标准见《初步评审标准》。</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2.2</w:t>
      </w:r>
      <w:r>
        <w:rPr>
          <w:rFonts w:hint="eastAsia" w:ascii="宋体" w:hAnsi="宋体" w:cs="宋体"/>
          <w:color w:val="000000"/>
          <w:kern w:val="0"/>
          <w:sz w:val="24"/>
          <w:szCs w:val="24"/>
          <w:lang w:eastAsia="zh-CN"/>
        </w:rPr>
        <w:t>技术商务</w:t>
      </w:r>
      <w:r>
        <w:rPr>
          <w:rFonts w:hint="eastAsia" w:ascii="宋体" w:hAnsi="宋体" w:cs="宋体"/>
          <w:color w:val="000000"/>
          <w:kern w:val="0"/>
          <w:sz w:val="24"/>
          <w:szCs w:val="24"/>
        </w:rPr>
        <w:t>评审标准：</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2.2.1</w:t>
      </w:r>
      <w:r>
        <w:rPr>
          <w:rFonts w:hint="eastAsia" w:ascii="宋体" w:hAnsi="宋体" w:cs="宋体"/>
          <w:color w:val="000000"/>
          <w:kern w:val="0"/>
          <w:sz w:val="24"/>
          <w:szCs w:val="24"/>
          <w:lang w:eastAsia="zh-CN"/>
        </w:rPr>
        <w:t>技术商务</w:t>
      </w:r>
      <w:r>
        <w:rPr>
          <w:rFonts w:hint="eastAsia" w:ascii="宋体" w:hAnsi="宋体" w:cs="宋体"/>
          <w:color w:val="000000"/>
          <w:kern w:val="0"/>
          <w:sz w:val="24"/>
          <w:szCs w:val="24"/>
        </w:rPr>
        <w:t>评审标准：评审因素和评审标准见《</w:t>
      </w:r>
      <w:r>
        <w:rPr>
          <w:rFonts w:hint="eastAsia" w:ascii="宋体" w:hAnsi="宋体" w:cs="宋体"/>
          <w:color w:val="000000"/>
          <w:kern w:val="0"/>
          <w:sz w:val="24"/>
          <w:szCs w:val="24"/>
          <w:lang w:eastAsia="zh-CN"/>
        </w:rPr>
        <w:t>技术商务</w:t>
      </w:r>
      <w:r>
        <w:rPr>
          <w:rFonts w:hint="eastAsia" w:ascii="宋体" w:hAnsi="宋体" w:cs="宋体"/>
          <w:color w:val="000000"/>
          <w:kern w:val="0"/>
          <w:sz w:val="24"/>
          <w:szCs w:val="24"/>
        </w:rPr>
        <w:t>评审标准》。</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2.2.2 </w:t>
      </w:r>
      <w:r>
        <w:rPr>
          <w:rFonts w:hint="eastAsia" w:ascii="宋体" w:hAnsi="宋体" w:cs="宋体"/>
          <w:color w:val="000000"/>
          <w:kern w:val="0"/>
          <w:sz w:val="24"/>
          <w:szCs w:val="24"/>
        </w:rPr>
        <w:t>投标报价评分标准：</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）分值构成及权重：见评标办法前附表。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）评标基准价计算：见评标办法前附表。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）投标报价的偏差率计算：见评标办法前附表。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4</w:t>
      </w:r>
      <w:r>
        <w:rPr>
          <w:rFonts w:hint="eastAsia" w:ascii="宋体" w:hAnsi="宋体" w:cs="宋体"/>
          <w:color w:val="000000"/>
          <w:kern w:val="0"/>
          <w:sz w:val="24"/>
          <w:szCs w:val="24"/>
        </w:rPr>
        <w:t>）投标报价得分的计算：见评标办法前附表。</w:t>
      </w:r>
    </w:p>
    <w:p>
      <w:pPr>
        <w:tabs>
          <w:tab w:val="center" w:pos="4832"/>
          <w:tab w:val="left" w:pos="7140"/>
        </w:tabs>
        <w:spacing w:line="360" w:lineRule="auto"/>
        <w:ind w:firstLine="472" w:firstLineChars="196"/>
        <w:jc w:val="left"/>
        <w:outlineLvl w:val="1"/>
        <w:rPr>
          <w:rFonts w:ascii="宋体" w:cs="Times New Roman"/>
          <w:b/>
          <w:bCs/>
          <w:sz w:val="24"/>
          <w:szCs w:val="24"/>
        </w:rPr>
      </w:pPr>
      <w:bookmarkStart w:id="62" w:name="_Toc5615161"/>
      <w:bookmarkStart w:id="63" w:name="_Toc6692"/>
      <w:r>
        <w:rPr>
          <w:rFonts w:ascii="宋体" w:hAnsi="宋体" w:cs="宋体"/>
          <w:b/>
          <w:bCs/>
          <w:sz w:val="24"/>
          <w:szCs w:val="24"/>
        </w:rPr>
        <w:t xml:space="preserve">3. </w:t>
      </w:r>
      <w:r>
        <w:rPr>
          <w:rFonts w:hint="eastAsia" w:ascii="宋体" w:hAnsi="宋体" w:cs="宋体"/>
          <w:b/>
          <w:bCs/>
          <w:sz w:val="24"/>
          <w:szCs w:val="24"/>
        </w:rPr>
        <w:t>评标程序</w:t>
      </w:r>
      <w:bookmarkEnd w:id="62"/>
      <w:bookmarkEnd w:id="63"/>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3.1 </w:t>
      </w:r>
      <w:r>
        <w:rPr>
          <w:rFonts w:hint="eastAsia" w:ascii="宋体" w:hAnsi="宋体" w:cs="宋体"/>
          <w:color w:val="000000"/>
          <w:kern w:val="0"/>
          <w:sz w:val="24"/>
          <w:szCs w:val="24"/>
        </w:rPr>
        <w:t>基本程序</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评标活动将按以下步骤进行：</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）评标准备</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）初步评审</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）详细评审</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4</w:t>
      </w:r>
      <w:r>
        <w:rPr>
          <w:rFonts w:hint="eastAsia" w:ascii="宋体" w:hAnsi="宋体" w:cs="宋体"/>
          <w:color w:val="000000"/>
          <w:kern w:val="0"/>
          <w:sz w:val="24"/>
          <w:szCs w:val="24"/>
        </w:rPr>
        <w:t>）澄清、说明或补正</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5</w:t>
      </w:r>
      <w:r>
        <w:rPr>
          <w:rFonts w:hint="eastAsia" w:ascii="宋体" w:hAnsi="宋体" w:cs="宋体"/>
          <w:color w:val="000000"/>
          <w:kern w:val="0"/>
          <w:sz w:val="24"/>
          <w:szCs w:val="24"/>
        </w:rPr>
        <w:t>）推荐中标候选人及提交评标报告</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3.2 </w:t>
      </w:r>
      <w:r>
        <w:rPr>
          <w:rFonts w:hint="eastAsia" w:ascii="宋体" w:hAnsi="宋体" w:cs="宋体"/>
          <w:color w:val="000000"/>
          <w:kern w:val="0"/>
          <w:sz w:val="24"/>
          <w:szCs w:val="24"/>
        </w:rPr>
        <w:t>评标准备</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3.2.1</w:t>
      </w:r>
      <w:r>
        <w:rPr>
          <w:rFonts w:hint="eastAsia" w:ascii="宋体" w:hAnsi="宋体" w:cs="宋体"/>
          <w:color w:val="000000"/>
          <w:kern w:val="0"/>
          <w:sz w:val="24"/>
          <w:szCs w:val="24"/>
        </w:rPr>
        <w:t>评标委员会成员签到</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评标委员会成员到达评标现场时应当在签到表上签到以证明其出席。</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3.2.2 </w:t>
      </w:r>
      <w:r>
        <w:rPr>
          <w:rFonts w:hint="eastAsia" w:ascii="宋体" w:hAnsi="宋体" w:cs="宋体"/>
          <w:color w:val="000000"/>
          <w:kern w:val="0"/>
          <w:sz w:val="24"/>
          <w:szCs w:val="24"/>
        </w:rPr>
        <w:t>评标委员会的分工</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3.2.2.1</w:t>
      </w:r>
      <w:r>
        <w:rPr>
          <w:rFonts w:hint="eastAsia" w:ascii="宋体" w:hAnsi="宋体" w:cs="宋体"/>
          <w:color w:val="000000"/>
          <w:kern w:val="0"/>
          <w:sz w:val="24"/>
          <w:szCs w:val="24"/>
        </w:rPr>
        <w:t>评标委员会首先推选一名评标委员会主任。评标委员会主任负责评标活动的组织领导工作。评标委员会主任与评标委员会其他成员具有同等的评标权力。</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3.2.2.2 </w:t>
      </w:r>
      <w:r>
        <w:rPr>
          <w:rFonts w:hint="eastAsia" w:ascii="宋体" w:hAnsi="宋体" w:cs="宋体"/>
          <w:color w:val="000000"/>
          <w:kern w:val="0"/>
          <w:sz w:val="24"/>
          <w:szCs w:val="24"/>
        </w:rPr>
        <w:t>评标委员会主任除履行自己作为评标委员会成员独立评标的职责外，主要负责以下工作：</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）组织评标委员会成员学习竞争性磋商文件；</w:t>
      </w:r>
    </w:p>
    <w:p>
      <w:pPr>
        <w:widowControl/>
        <w:shd w:val="clear" w:color="auto" w:fill="FFFFFF"/>
        <w:snapToGrid w:val="0"/>
        <w:spacing w:line="360" w:lineRule="auto"/>
        <w:ind w:firstLine="480" w:firstLineChars="200"/>
        <w:rPr>
          <w:rFonts w:ascii="宋体" w:cs="Times New Roman"/>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）汇总各评标委员会成员认为需要供应商澄清、说明或者补正的问题；</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）组织评标委员会对供应商质询并对供应商的答复进行评审；</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4</w:t>
      </w:r>
      <w:r>
        <w:rPr>
          <w:rFonts w:hint="eastAsia" w:ascii="宋体" w:hAnsi="宋体" w:cs="宋体"/>
          <w:color w:val="000000"/>
          <w:kern w:val="0"/>
          <w:sz w:val="24"/>
          <w:szCs w:val="24"/>
        </w:rPr>
        <w:t>）对出现较大争议的事项进行书面记录；</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5</w:t>
      </w:r>
      <w:r>
        <w:rPr>
          <w:rFonts w:hint="eastAsia" w:ascii="宋体" w:hAnsi="宋体" w:cs="宋体"/>
          <w:color w:val="000000"/>
          <w:kern w:val="0"/>
          <w:sz w:val="24"/>
          <w:szCs w:val="24"/>
        </w:rPr>
        <w:t>）组织收回评标过程中使用的文件、表格和评标记录以及其他资料，并查验评标记录的完整性及有效性；</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6</w:t>
      </w:r>
      <w:r>
        <w:rPr>
          <w:rFonts w:hint="eastAsia" w:ascii="宋体" w:hAnsi="宋体" w:cs="宋体"/>
          <w:color w:val="000000"/>
          <w:kern w:val="0"/>
          <w:sz w:val="24"/>
          <w:szCs w:val="24"/>
        </w:rPr>
        <w:t>）组织对评标结论进行复核确认；</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7</w:t>
      </w:r>
      <w:r>
        <w:rPr>
          <w:rFonts w:hint="eastAsia" w:ascii="宋体" w:hAnsi="宋体" w:cs="宋体"/>
          <w:color w:val="000000"/>
          <w:kern w:val="0"/>
          <w:sz w:val="24"/>
          <w:szCs w:val="24"/>
        </w:rPr>
        <w:t>）组织编写评标报告。</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3.2.3 </w:t>
      </w:r>
      <w:r>
        <w:rPr>
          <w:rFonts w:hint="eastAsia" w:ascii="宋体" w:hAnsi="宋体" w:cs="宋体"/>
          <w:color w:val="000000"/>
          <w:kern w:val="0"/>
          <w:sz w:val="24"/>
          <w:szCs w:val="24"/>
        </w:rPr>
        <w:t>熟悉文件资料</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3.2.3.1 </w:t>
      </w:r>
      <w:r>
        <w:rPr>
          <w:rFonts w:hint="eastAsia" w:ascii="宋体" w:hAnsi="宋体" w:cs="宋体"/>
          <w:color w:val="000000"/>
          <w:kern w:val="0"/>
          <w:sz w:val="24"/>
          <w:szCs w:val="24"/>
        </w:rPr>
        <w:t>评标委员会主任应当组织评标委员会成员认真研究竞争性磋商文件，了解和熟悉招标目的、招标范围、主要合同条件、技术标准、质量标准和要求，掌握评标标准和方法，熟悉本章及附件中包括的评标表格的使用，如果本章及附件所附的表格不能满足评标所需时，评标委员会应当补充编制评标所需的表格。</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3.2.3.2 </w:t>
      </w:r>
      <w:r>
        <w:rPr>
          <w:rFonts w:hint="eastAsia" w:ascii="宋体" w:hAnsi="宋体" w:cs="宋体"/>
          <w:color w:val="000000"/>
          <w:kern w:val="0"/>
          <w:sz w:val="24"/>
          <w:szCs w:val="24"/>
        </w:rPr>
        <w:t>招标人或招标代理机构应当向评标委员会提供评标所需的信息和数据，包括：</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）竞争性磋商文件及其澄清修改等竞争性磋商文件补充；</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）未在开标会上当场拒绝的各磋商响应文件；</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）开标会记录；</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4</w:t>
      </w:r>
      <w:r>
        <w:rPr>
          <w:rFonts w:hint="eastAsia" w:ascii="宋体" w:hAnsi="宋体" w:cs="宋体"/>
          <w:color w:val="000000"/>
          <w:kern w:val="0"/>
          <w:sz w:val="24"/>
          <w:szCs w:val="24"/>
        </w:rPr>
        <w:t>）评标表格；</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5</w:t>
      </w:r>
      <w:r>
        <w:rPr>
          <w:rFonts w:hint="eastAsia" w:ascii="宋体" w:hAnsi="宋体" w:cs="宋体"/>
          <w:color w:val="000000"/>
          <w:kern w:val="0"/>
          <w:sz w:val="24"/>
          <w:szCs w:val="24"/>
        </w:rPr>
        <w:t>）其他信息和数据。</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3.3</w:t>
      </w:r>
      <w:r>
        <w:rPr>
          <w:rFonts w:hint="eastAsia" w:ascii="宋体" w:hAnsi="宋体" w:cs="宋体"/>
          <w:color w:val="000000"/>
          <w:kern w:val="0"/>
          <w:sz w:val="24"/>
          <w:szCs w:val="24"/>
        </w:rPr>
        <w:t>初步评审</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3.3.1 </w:t>
      </w:r>
      <w:r>
        <w:rPr>
          <w:rFonts w:hint="eastAsia" w:ascii="宋体" w:hAnsi="宋体" w:cs="宋体"/>
          <w:color w:val="000000"/>
          <w:kern w:val="0"/>
          <w:sz w:val="24"/>
          <w:szCs w:val="24"/>
        </w:rPr>
        <w:t>评标委员会依据本章规定的评审因素和评审标准，对供应商的磋商响应文件进行符合性审查。初步评审有一项未通过审查标准，评标委员会将认定整个磋商响应文件不响应竞争性磋商文件而否决其投标，并且不允许供应商通过修改或撤销其不符合要求的差异或保留，使之成为具有响应性的投标。</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3.3.2 </w:t>
      </w:r>
      <w:r>
        <w:rPr>
          <w:rFonts w:hint="eastAsia" w:ascii="宋体" w:hAnsi="宋体" w:cs="宋体"/>
          <w:color w:val="000000"/>
          <w:kern w:val="0"/>
          <w:sz w:val="24"/>
          <w:szCs w:val="24"/>
        </w:rPr>
        <w:t>初步评审条款是指对本招标项目产生了重大影响的重大偏差，而且纠正此类偏差将会对响应本次招标的其他供应商的竞争地位产生不公正的影响。</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3.3.3</w:t>
      </w:r>
      <w:r>
        <w:rPr>
          <w:rFonts w:hint="eastAsia" w:ascii="宋体" w:hAnsi="宋体" w:cs="宋体"/>
          <w:color w:val="000000"/>
          <w:kern w:val="0"/>
          <w:sz w:val="24"/>
          <w:szCs w:val="24"/>
        </w:rPr>
        <w:t>细微偏差是指磋商响应文件在实质上响应竞争性磋商文件要求，但在个别地方存在疏漏或者提供了不完整的技术信息和数据等情况，并且补正这些遗漏和不完整不会对其他供应商造成不公平的结果。细微偏差不影响磋商响应文件的有效性，评标委员会可要求存在细微偏差的供应商予以补正。</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3.4</w:t>
      </w:r>
      <w:r>
        <w:rPr>
          <w:rFonts w:hint="eastAsia" w:ascii="宋体" w:hAnsi="宋体" w:cs="宋体"/>
          <w:color w:val="000000"/>
          <w:kern w:val="0"/>
          <w:sz w:val="24"/>
          <w:szCs w:val="24"/>
        </w:rPr>
        <w:t>详细评审</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3.4.1.</w:t>
      </w:r>
      <w:r>
        <w:rPr>
          <w:rFonts w:hint="eastAsia" w:ascii="宋体" w:hAnsi="宋体" w:cs="宋体"/>
          <w:color w:val="000000"/>
          <w:kern w:val="0"/>
          <w:sz w:val="24"/>
          <w:szCs w:val="24"/>
        </w:rPr>
        <w:t>只有通过了初步评审的投标方可进入详细评审。</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3.4.2 </w:t>
      </w:r>
      <w:r>
        <w:rPr>
          <w:rFonts w:hint="eastAsia" w:ascii="宋体" w:hAnsi="宋体" w:cs="宋体"/>
          <w:color w:val="000000"/>
          <w:kern w:val="0"/>
          <w:sz w:val="24"/>
          <w:szCs w:val="24"/>
        </w:rPr>
        <w:t>澄清答疑：在不改变供应商磋商响应文件实质性内容的前提下，评标委员会应当对磋商响应文件进行基础性数据分析和整理，从而发现并提取其中可能存在的对招标范围理解的偏差、技术响应偏离、投标报价的算术性错误、错漏项、投标报价构成不合理、不平衡报价等存在明显异常的问题。评标委员会针对需要供应商进行书面澄清、说明或补正的，可向供应商发出书面澄清通知。澄清通知不得向供应商提出带有暗示性或诱导性问题，或向其明确磋商响应文件中的遗漏和错误。供应商接到评标委员会发出的书面澄清通知后，应按评标委员会的要求提供书面澄清资料，并在规定的时间递交到指定地点。</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3.4</w:t>
      </w:r>
      <w:r>
        <w:rPr>
          <w:rFonts w:asci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详细评审：见附表《详细评审标准》。供应商详细评审得分等于评委评分的算术平均值。</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3.4.4 </w:t>
      </w:r>
      <w:r>
        <w:rPr>
          <w:rFonts w:hint="eastAsia" w:ascii="宋体" w:hAnsi="宋体" w:cs="宋体"/>
          <w:color w:val="000000"/>
          <w:kern w:val="0"/>
          <w:sz w:val="24"/>
          <w:szCs w:val="24"/>
        </w:rPr>
        <w:t>算术错误修正：投标报价有算术错误的，评标委员会按以下原则对投标报价进行修正，修正的价格经供应商书面确认后具有约束力。供应商不接受修正价格的，其投标将被否决。</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）磋商响应文件中的大写金额与小写金额不一致的，以大写金额为准；</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）总价金额与依据单价计算出的结果不一致的，以单价金额为准修正总价，但单价金额小数点有明显错误的除外。</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3.4.5 </w:t>
      </w:r>
      <w:r>
        <w:rPr>
          <w:rFonts w:hint="eastAsia" w:ascii="宋体" w:hAnsi="宋体" w:cs="宋体"/>
          <w:color w:val="000000"/>
          <w:kern w:val="0"/>
          <w:sz w:val="24"/>
          <w:szCs w:val="24"/>
        </w:rPr>
        <w:t>评标委员会发现供应商的报价明显低于其他投标报价，使得其投标报价可能低于其个别成本的，应当要求该供应商作出书面说明并提供相应的证明材料。供应商不能合理说明或者不能提供相应证明材料的，由评标委员会认定该供应商以低于成本报价竞标，否决其投标。</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3.4.6 </w:t>
      </w:r>
      <w:r>
        <w:rPr>
          <w:rFonts w:hint="eastAsia" w:ascii="宋体" w:hAnsi="宋体" w:cs="宋体"/>
          <w:color w:val="000000"/>
          <w:kern w:val="0"/>
          <w:sz w:val="24"/>
          <w:szCs w:val="24"/>
        </w:rPr>
        <w:t>投标报价评分：对经过上述评审的有效投标报价进行投标报价得分计算，计算方法详见评标办法前附表。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3.4.7 </w:t>
      </w:r>
      <w:r>
        <w:rPr>
          <w:rFonts w:hint="eastAsia" w:ascii="宋体" w:hAnsi="宋体" w:cs="宋体"/>
          <w:color w:val="000000"/>
          <w:kern w:val="0"/>
          <w:sz w:val="24"/>
          <w:szCs w:val="24"/>
        </w:rPr>
        <w:t>汇总评分结果，评分分值计算保留小数点后两位，小数点后第三位“四舍五入”。</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3.4.8 </w:t>
      </w:r>
      <w:r>
        <w:rPr>
          <w:rFonts w:hint="eastAsia" w:ascii="宋体" w:hAnsi="宋体" w:cs="宋体"/>
          <w:color w:val="000000"/>
          <w:kern w:val="0"/>
          <w:sz w:val="24"/>
          <w:szCs w:val="24"/>
        </w:rPr>
        <w:t>详细评审工作全部结束后，按照详细评审最终得分由高到低的次序对供应商进行排序。如果出现最终得分相同的情况时，以投标报价低者优先。</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3.5</w:t>
      </w:r>
      <w:r>
        <w:rPr>
          <w:rFonts w:hint="eastAsia" w:ascii="宋体" w:hAnsi="宋体" w:cs="宋体"/>
          <w:color w:val="000000"/>
          <w:kern w:val="0"/>
          <w:sz w:val="24"/>
          <w:szCs w:val="24"/>
        </w:rPr>
        <w:t>澄清、说明或补正</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3.5.1</w:t>
      </w:r>
      <w:r>
        <w:rPr>
          <w:rFonts w:hint="eastAsia" w:ascii="宋体" w:hAnsi="宋体" w:cs="宋体"/>
          <w:color w:val="000000"/>
          <w:kern w:val="0"/>
          <w:sz w:val="24"/>
          <w:szCs w:val="24"/>
        </w:rPr>
        <w:t>在评标过程中，评标委员会可以书面形式要求供应商对所提交磋商响应文件中不明确的内容进行书面澄清或说明，或者对细微偏差进行补正。评标委员会不接受供应商主动提出的澄清、说明或补正。</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3.5.2 </w:t>
      </w:r>
      <w:r>
        <w:rPr>
          <w:rFonts w:hint="eastAsia" w:ascii="宋体" w:hAnsi="宋体" w:cs="宋体"/>
          <w:color w:val="000000"/>
          <w:kern w:val="0"/>
          <w:sz w:val="24"/>
          <w:szCs w:val="24"/>
        </w:rPr>
        <w:t>澄清、说明和补正内容不得改变磋商响应文件的实质性内容（算术性错误修正的除外）。供应商的书面澄清、说明和补正属于磋商响应文件的组成部分。</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3.5.3 </w:t>
      </w:r>
      <w:r>
        <w:rPr>
          <w:rFonts w:hint="eastAsia" w:ascii="宋体" w:hAnsi="宋体" w:cs="宋体"/>
          <w:color w:val="000000"/>
          <w:kern w:val="0"/>
          <w:sz w:val="24"/>
          <w:szCs w:val="24"/>
        </w:rPr>
        <w:t>评标委员会对供应商提交的澄清、说明或补正有疑问的，可以要求供应商进一步澄清、说明或补正，直至满足评标委员会的要求。</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3.6</w:t>
      </w:r>
      <w:r>
        <w:rPr>
          <w:rFonts w:hint="eastAsia" w:ascii="宋体" w:hAnsi="宋体" w:cs="宋体"/>
          <w:color w:val="000000"/>
          <w:kern w:val="0"/>
          <w:sz w:val="24"/>
          <w:szCs w:val="24"/>
        </w:rPr>
        <w:t>推荐中标候选人及提交评标报告</w:t>
      </w:r>
    </w:p>
    <w:p>
      <w:pPr>
        <w:widowControl/>
        <w:shd w:val="clear" w:color="auto" w:fill="FFFFFF"/>
        <w:snapToGrid w:val="0"/>
        <w:spacing w:line="360" w:lineRule="auto"/>
        <w:ind w:firstLine="480" w:firstLineChars="200"/>
        <w:rPr>
          <w:rFonts w:ascii="宋体" w:cs="Times New Roman"/>
          <w:kern w:val="0"/>
          <w:sz w:val="24"/>
          <w:szCs w:val="24"/>
        </w:rPr>
      </w:pPr>
      <w:r>
        <w:rPr>
          <w:rFonts w:ascii="宋体" w:hAnsi="宋体" w:cs="宋体"/>
          <w:kern w:val="0"/>
          <w:sz w:val="24"/>
          <w:szCs w:val="24"/>
        </w:rPr>
        <w:t>3.6.1</w:t>
      </w:r>
      <w:r>
        <w:rPr>
          <w:rFonts w:hint="eastAsia" w:ascii="宋体" w:hAnsi="宋体" w:cs="宋体"/>
          <w:kern w:val="0"/>
          <w:sz w:val="24"/>
          <w:szCs w:val="24"/>
        </w:rPr>
        <w:t>评标委员会按照最终得分由高到低的顺序推荐前三名中标候选人。</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3.6.2 </w:t>
      </w:r>
      <w:r>
        <w:rPr>
          <w:rFonts w:hint="eastAsia" w:ascii="宋体" w:hAnsi="宋体" w:cs="宋体"/>
          <w:color w:val="000000"/>
          <w:kern w:val="0"/>
          <w:sz w:val="24"/>
          <w:szCs w:val="24"/>
        </w:rPr>
        <w:t>有效供应商数量少于三个或者所有投标被否决的，招标人应当依法重新招标。</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3.6.3 </w:t>
      </w:r>
      <w:r>
        <w:rPr>
          <w:rFonts w:hint="eastAsia" w:ascii="宋体" w:hAnsi="宋体" w:cs="宋体"/>
          <w:color w:val="000000"/>
          <w:kern w:val="0"/>
          <w:sz w:val="24"/>
          <w:szCs w:val="24"/>
        </w:rPr>
        <w:t>评标委员会完成评标后，应当向招标人提交书面评标报告。</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3.7</w:t>
      </w:r>
      <w:r>
        <w:rPr>
          <w:rFonts w:hint="eastAsia" w:ascii="宋体" w:hAnsi="宋体" w:cs="宋体"/>
          <w:color w:val="000000"/>
          <w:kern w:val="0"/>
          <w:sz w:val="24"/>
          <w:szCs w:val="24"/>
        </w:rPr>
        <w:t>特殊情况的处置程序</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3.7.1 </w:t>
      </w:r>
      <w:r>
        <w:rPr>
          <w:rFonts w:hint="eastAsia" w:ascii="宋体" w:hAnsi="宋体" w:cs="宋体"/>
          <w:color w:val="000000"/>
          <w:kern w:val="0"/>
          <w:sz w:val="24"/>
          <w:szCs w:val="24"/>
        </w:rPr>
        <w:t>关于评标活动暂停</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评标委员会应当执行连续评标的原则，按评标办法中规定的程序、内容、方法、标准完成全部评标工作。只有发生不可抗力导致评标工作无法继续时，评标活动方可暂停。发生评标暂停情况时，应当封存全部磋商响应文件和评标记录，待不可抗力的影响结束且具备继续评标的条件时，由原评标委员会继续评标。</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3.7.2</w:t>
      </w:r>
      <w:r>
        <w:rPr>
          <w:rFonts w:hint="eastAsia" w:ascii="宋体" w:hAnsi="宋体" w:cs="宋体"/>
          <w:color w:val="000000"/>
          <w:kern w:val="0"/>
          <w:sz w:val="24"/>
          <w:szCs w:val="24"/>
        </w:rPr>
        <w:t>关于评标中途更换评委</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3.7.2.1 </w:t>
      </w:r>
      <w:r>
        <w:rPr>
          <w:rFonts w:hint="eastAsia" w:ascii="宋体" w:hAnsi="宋体" w:cs="宋体"/>
          <w:color w:val="000000"/>
          <w:kern w:val="0"/>
          <w:sz w:val="24"/>
          <w:szCs w:val="24"/>
        </w:rPr>
        <w:t>除非发生下列情况之一，评标委员会成员不得在评标中途更换：</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）因不可抗拒的客观原因，不能到场或需在评标中途退出评标活动。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）根据法律法规规定，某个或某几个评标委员会成员需要回避。</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3.7.2.2 </w:t>
      </w:r>
      <w:r>
        <w:rPr>
          <w:rFonts w:hint="eastAsia" w:ascii="宋体" w:hAnsi="宋体" w:cs="宋体"/>
          <w:color w:val="000000"/>
          <w:kern w:val="0"/>
          <w:sz w:val="24"/>
          <w:szCs w:val="24"/>
        </w:rPr>
        <w:t>退出评标的评标委员会成员，其已完成的评标行为无效，由更换的评委进行评标。</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ascii="宋体" w:hAnsi="宋体" w:cs="宋体"/>
          <w:color w:val="000000"/>
          <w:kern w:val="0"/>
          <w:sz w:val="24"/>
          <w:szCs w:val="24"/>
        </w:rPr>
        <w:t xml:space="preserve">3.7.3 </w:t>
      </w:r>
      <w:r>
        <w:rPr>
          <w:rFonts w:hint="eastAsia" w:ascii="宋体" w:hAnsi="宋体" w:cs="宋体"/>
          <w:color w:val="000000"/>
          <w:kern w:val="0"/>
          <w:sz w:val="24"/>
          <w:szCs w:val="24"/>
        </w:rPr>
        <w:t>在评标环节中，需评标委员会就某项定性的评审结论做出表决的，由评标委员会全体成员按照少数服从多数的原则确定。</w:t>
      </w:r>
    </w:p>
    <w:p>
      <w:pPr>
        <w:widowControl/>
        <w:shd w:val="clear" w:color="auto" w:fill="FFFFFF"/>
        <w:snapToGrid w:val="0"/>
        <w:spacing w:line="360" w:lineRule="auto"/>
        <w:jc w:val="center"/>
        <w:rPr>
          <w:rFonts w:ascii="宋体" w:cs="Times New Roman"/>
          <w:b/>
          <w:bCs/>
          <w:sz w:val="24"/>
          <w:szCs w:val="24"/>
        </w:rPr>
      </w:pPr>
      <w:r>
        <w:rPr>
          <w:rFonts w:ascii="宋体" w:cs="Times New Roman"/>
          <w:color w:val="000000"/>
          <w:kern w:val="0"/>
          <w:sz w:val="24"/>
          <w:szCs w:val="24"/>
        </w:rPr>
        <w:br w:type="page"/>
      </w:r>
      <w:bookmarkStart w:id="64" w:name="_Toc485312286"/>
      <w:r>
        <w:rPr>
          <w:rFonts w:hint="eastAsia" w:ascii="宋体" w:hAnsi="宋体" w:cs="宋体"/>
          <w:b/>
          <w:bCs/>
          <w:sz w:val="24"/>
          <w:szCs w:val="24"/>
        </w:rPr>
        <w:t>问题澄清通知</w:t>
      </w:r>
    </w:p>
    <w:p>
      <w:pPr>
        <w:rPr>
          <w:rFonts w:ascii="宋体" w:cs="Times New Roman"/>
          <w:sz w:val="24"/>
          <w:szCs w:val="24"/>
        </w:rPr>
      </w:pPr>
    </w:p>
    <w:p>
      <w:pPr>
        <w:spacing w:line="360" w:lineRule="auto"/>
        <w:rPr>
          <w:rFonts w:ascii="宋体" w:cs="Times New Roman"/>
          <w:color w:val="000000"/>
          <w:kern w:val="0"/>
          <w:sz w:val="24"/>
          <w:szCs w:val="24"/>
        </w:rPr>
      </w:pPr>
      <w:r>
        <w:rPr>
          <w:rFonts w:hint="eastAsia" w:ascii="宋体" w:hAnsi="宋体" w:cs="宋体"/>
          <w:color w:val="000000"/>
          <w:kern w:val="0"/>
          <w:sz w:val="24"/>
          <w:szCs w:val="24"/>
        </w:rPr>
        <w:t>（供应商名称）：</w:t>
      </w:r>
    </w:p>
    <w:p>
      <w:pPr>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（招标项目名称）招标的评标委员会，对你方的磋商响应文件进行了仔细的审查，现需你方对本通知所附质疑问卷中的问题以书面形式予以澄清、说明或者补正。</w:t>
      </w:r>
    </w:p>
    <w:p>
      <w:pPr>
        <w:spacing w:line="360" w:lineRule="auto"/>
        <w:rPr>
          <w:rFonts w:ascii="宋体" w:cs="Times New Roman"/>
          <w:color w:val="000000"/>
          <w:kern w:val="0"/>
          <w:sz w:val="24"/>
          <w:szCs w:val="24"/>
        </w:rPr>
      </w:pPr>
      <w:r>
        <w:rPr>
          <w:rFonts w:hint="eastAsia" w:ascii="宋体" w:hAnsi="宋体" w:cs="宋体"/>
          <w:color w:val="000000"/>
          <w:kern w:val="0"/>
          <w:sz w:val="24"/>
          <w:szCs w:val="24"/>
        </w:rPr>
        <w:t>质疑问题：</w:t>
      </w:r>
    </w:p>
    <w:p>
      <w:pPr>
        <w:spacing w:line="360" w:lineRule="auto"/>
        <w:rPr>
          <w:rFonts w:ascii="宋体" w:cs="Times New Roman"/>
          <w:color w:val="000000"/>
          <w:kern w:val="0"/>
          <w:sz w:val="24"/>
          <w:szCs w:val="24"/>
        </w:rPr>
      </w:pPr>
    </w:p>
    <w:p>
      <w:pPr>
        <w:spacing w:line="360" w:lineRule="auto"/>
        <w:rPr>
          <w:rFonts w:ascii="宋体" w:cs="Times New Roman"/>
          <w:color w:val="000000"/>
          <w:kern w:val="0"/>
          <w:sz w:val="24"/>
          <w:szCs w:val="24"/>
        </w:rPr>
      </w:pPr>
    </w:p>
    <w:p>
      <w:pPr>
        <w:rPr>
          <w:rFonts w:ascii="宋体" w:cs="Times New Roman"/>
          <w:color w:val="000000"/>
          <w:kern w:val="0"/>
          <w:sz w:val="24"/>
          <w:szCs w:val="24"/>
        </w:rPr>
      </w:pPr>
    </w:p>
    <w:p>
      <w:pPr>
        <w:rPr>
          <w:rFonts w:ascii="宋体" w:cs="Times New Roman"/>
          <w:color w:val="000000"/>
          <w:kern w:val="0"/>
          <w:sz w:val="24"/>
          <w:szCs w:val="24"/>
        </w:rPr>
      </w:pPr>
    </w:p>
    <w:p>
      <w:pPr>
        <w:rPr>
          <w:rFonts w:ascii="宋体" w:cs="Times New Roman"/>
          <w:color w:val="000000"/>
          <w:kern w:val="0"/>
          <w:sz w:val="24"/>
          <w:szCs w:val="24"/>
        </w:rPr>
      </w:pPr>
    </w:p>
    <w:p>
      <w:pPr>
        <w:rPr>
          <w:rFonts w:ascii="宋体" w:cs="Times New Roman"/>
          <w:color w:val="000000"/>
          <w:kern w:val="0"/>
          <w:sz w:val="24"/>
          <w:szCs w:val="24"/>
        </w:rPr>
      </w:pPr>
    </w:p>
    <w:p>
      <w:pPr>
        <w:rPr>
          <w:rFonts w:ascii="宋体" w:cs="Times New Roman"/>
          <w:color w:val="000000"/>
          <w:kern w:val="0"/>
          <w:sz w:val="24"/>
          <w:szCs w:val="24"/>
        </w:rPr>
      </w:pPr>
    </w:p>
    <w:p>
      <w:pPr>
        <w:rPr>
          <w:rFonts w:ascii="宋体" w:cs="Times New Roman"/>
          <w:color w:val="000000"/>
          <w:kern w:val="0"/>
          <w:sz w:val="24"/>
          <w:szCs w:val="24"/>
        </w:rPr>
      </w:pPr>
    </w:p>
    <w:p>
      <w:pPr>
        <w:rPr>
          <w:rFonts w:ascii="宋体" w:cs="Times New Roman"/>
          <w:color w:val="000000"/>
          <w:kern w:val="0"/>
          <w:sz w:val="24"/>
          <w:szCs w:val="24"/>
        </w:rPr>
      </w:pPr>
    </w:p>
    <w:p>
      <w:pPr>
        <w:rPr>
          <w:rFonts w:ascii="宋体" w:cs="Times New Roman"/>
          <w:color w:val="000000"/>
          <w:kern w:val="0"/>
          <w:sz w:val="24"/>
          <w:szCs w:val="24"/>
        </w:rPr>
      </w:pPr>
    </w:p>
    <w:p>
      <w:pPr>
        <w:rPr>
          <w:rFonts w:ascii="宋体" w:cs="Times New Roman"/>
          <w:color w:val="000000"/>
          <w:kern w:val="0"/>
          <w:sz w:val="24"/>
          <w:szCs w:val="24"/>
        </w:rPr>
      </w:pPr>
      <w:r>
        <w:rPr>
          <w:rFonts w:hint="eastAsia" w:ascii="宋体" w:hAnsi="宋体" w:cs="宋体"/>
          <w:color w:val="000000"/>
          <w:kern w:val="0"/>
          <w:sz w:val="24"/>
          <w:szCs w:val="24"/>
        </w:rPr>
        <w:t>评标委员会员（签字）：</w:t>
      </w:r>
    </w:p>
    <w:p>
      <w:pPr>
        <w:rPr>
          <w:rFonts w:ascii="宋体" w:cs="Times New Roman"/>
          <w:color w:val="000000"/>
          <w:kern w:val="0"/>
          <w:sz w:val="24"/>
          <w:szCs w:val="24"/>
        </w:rPr>
      </w:pPr>
    </w:p>
    <w:p>
      <w:pPr>
        <w:rPr>
          <w:rFonts w:ascii="宋体" w:cs="Times New Roman"/>
          <w:color w:val="000000"/>
          <w:kern w:val="0"/>
          <w:sz w:val="24"/>
          <w:szCs w:val="24"/>
        </w:rPr>
      </w:pPr>
      <w:r>
        <w:rPr>
          <w:rFonts w:hint="eastAsia" w:ascii="宋体" w:hAnsi="宋体" w:cs="宋体"/>
          <w:color w:val="000000"/>
          <w:kern w:val="0"/>
          <w:sz w:val="24"/>
          <w:szCs w:val="24"/>
        </w:rPr>
        <w:t>日期：年月日</w:t>
      </w:r>
    </w:p>
    <w:p>
      <w:pPr>
        <w:jc w:val="center"/>
        <w:rPr>
          <w:rFonts w:ascii="宋体" w:cs="Times New Roman"/>
          <w:b/>
          <w:bCs/>
          <w:sz w:val="24"/>
          <w:szCs w:val="24"/>
        </w:rPr>
      </w:pPr>
      <w:r>
        <w:rPr>
          <w:rFonts w:ascii="宋体" w:cs="Times New Roman"/>
          <w:color w:val="000000"/>
          <w:kern w:val="0"/>
          <w:sz w:val="24"/>
          <w:szCs w:val="24"/>
        </w:rPr>
        <w:br w:type="page"/>
      </w:r>
      <w:r>
        <w:rPr>
          <w:rFonts w:hint="eastAsia" w:ascii="宋体" w:hAnsi="宋体" w:cs="宋体"/>
          <w:b/>
          <w:bCs/>
          <w:sz w:val="24"/>
          <w:szCs w:val="24"/>
        </w:rPr>
        <w:t>问题的澄清、说明或补正</w:t>
      </w:r>
    </w:p>
    <w:p>
      <w:pPr>
        <w:rPr>
          <w:rFonts w:ascii="宋体" w:cs="Times New Roman"/>
          <w:color w:val="000000"/>
          <w:kern w:val="0"/>
          <w:sz w:val="24"/>
          <w:szCs w:val="24"/>
        </w:rPr>
      </w:pPr>
    </w:p>
    <w:p>
      <w:pPr>
        <w:spacing w:line="360" w:lineRule="auto"/>
        <w:rPr>
          <w:rFonts w:ascii="宋体" w:cs="Times New Roman"/>
          <w:color w:val="000000"/>
          <w:kern w:val="0"/>
          <w:sz w:val="24"/>
          <w:szCs w:val="24"/>
        </w:rPr>
      </w:pPr>
      <w:r>
        <w:rPr>
          <w:rFonts w:hint="eastAsia" w:ascii="宋体" w:hAnsi="宋体" w:cs="宋体"/>
          <w:color w:val="000000"/>
          <w:kern w:val="0"/>
          <w:sz w:val="24"/>
          <w:szCs w:val="24"/>
        </w:rPr>
        <w:t>评标委员会：</w:t>
      </w:r>
    </w:p>
    <w:p>
      <w:pPr>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（招标项目名称）的问题澄清通知已收悉，现澄清、说明或者补正如下：</w:t>
      </w:r>
    </w:p>
    <w:p>
      <w:pPr>
        <w:spacing w:line="360" w:lineRule="auto"/>
        <w:rPr>
          <w:rFonts w:ascii="宋体" w:cs="Times New Roman"/>
          <w:color w:val="000000"/>
          <w:kern w:val="0"/>
          <w:sz w:val="24"/>
          <w:szCs w:val="24"/>
        </w:rPr>
      </w:pPr>
    </w:p>
    <w:p>
      <w:pPr>
        <w:rPr>
          <w:rFonts w:ascii="宋体" w:cs="Times New Roman"/>
          <w:color w:val="000000"/>
          <w:kern w:val="0"/>
          <w:sz w:val="24"/>
          <w:szCs w:val="24"/>
        </w:rPr>
      </w:pPr>
    </w:p>
    <w:p>
      <w:pPr>
        <w:rPr>
          <w:rFonts w:ascii="宋体" w:cs="Times New Roman"/>
          <w:color w:val="000000"/>
          <w:kern w:val="0"/>
          <w:sz w:val="24"/>
          <w:szCs w:val="24"/>
        </w:rPr>
      </w:pPr>
    </w:p>
    <w:p>
      <w:pPr>
        <w:rPr>
          <w:rFonts w:ascii="宋体" w:cs="Times New Roman"/>
          <w:color w:val="000000"/>
          <w:kern w:val="0"/>
          <w:sz w:val="24"/>
          <w:szCs w:val="24"/>
        </w:rPr>
      </w:pPr>
    </w:p>
    <w:p>
      <w:pPr>
        <w:rPr>
          <w:rFonts w:ascii="宋体" w:cs="Times New Roman"/>
          <w:color w:val="000000"/>
          <w:kern w:val="0"/>
          <w:sz w:val="24"/>
          <w:szCs w:val="24"/>
        </w:rPr>
      </w:pPr>
    </w:p>
    <w:p>
      <w:pPr>
        <w:rPr>
          <w:rFonts w:ascii="宋体" w:cs="Times New Roman"/>
          <w:color w:val="000000"/>
          <w:kern w:val="0"/>
          <w:sz w:val="24"/>
          <w:szCs w:val="24"/>
        </w:rPr>
      </w:pPr>
    </w:p>
    <w:p>
      <w:pPr>
        <w:rPr>
          <w:rFonts w:ascii="宋体" w:cs="Times New Roman"/>
          <w:color w:val="000000"/>
          <w:kern w:val="0"/>
          <w:sz w:val="24"/>
          <w:szCs w:val="24"/>
        </w:rPr>
      </w:pPr>
    </w:p>
    <w:p>
      <w:pPr>
        <w:rPr>
          <w:rFonts w:ascii="宋体" w:cs="Times New Roman"/>
          <w:color w:val="000000"/>
          <w:kern w:val="0"/>
          <w:sz w:val="24"/>
          <w:szCs w:val="24"/>
        </w:rPr>
      </w:pPr>
    </w:p>
    <w:p>
      <w:pPr>
        <w:rPr>
          <w:rFonts w:ascii="宋体" w:cs="Times New Roman"/>
          <w:color w:val="000000"/>
          <w:kern w:val="0"/>
          <w:sz w:val="24"/>
          <w:szCs w:val="24"/>
        </w:rPr>
      </w:pPr>
    </w:p>
    <w:p>
      <w:pPr>
        <w:rPr>
          <w:rFonts w:ascii="宋体" w:cs="Times New Roman"/>
          <w:color w:val="000000"/>
          <w:kern w:val="0"/>
          <w:sz w:val="24"/>
          <w:szCs w:val="24"/>
        </w:rPr>
      </w:pPr>
      <w:r>
        <w:rPr>
          <w:rFonts w:hint="eastAsia" w:ascii="宋体" w:hAnsi="宋体" w:cs="宋体"/>
          <w:color w:val="000000"/>
          <w:kern w:val="0"/>
          <w:sz w:val="24"/>
          <w:szCs w:val="24"/>
        </w:rPr>
        <w:t>法定代表人或其授权委托人（签字）：</w:t>
      </w:r>
    </w:p>
    <w:p>
      <w:pPr>
        <w:rPr>
          <w:rFonts w:ascii="宋体" w:cs="Times New Roman"/>
          <w:color w:val="000000"/>
          <w:kern w:val="0"/>
          <w:sz w:val="24"/>
          <w:szCs w:val="24"/>
        </w:rPr>
      </w:pPr>
    </w:p>
    <w:p>
      <w:pPr>
        <w:rPr>
          <w:rFonts w:ascii="宋体" w:cs="Times New Roman"/>
          <w:color w:val="000000"/>
          <w:kern w:val="0"/>
          <w:sz w:val="24"/>
          <w:szCs w:val="24"/>
        </w:rPr>
      </w:pPr>
      <w:r>
        <w:rPr>
          <w:rFonts w:hint="eastAsia" w:ascii="宋体" w:hAnsi="宋体" w:cs="宋体"/>
          <w:color w:val="000000"/>
          <w:kern w:val="0"/>
          <w:sz w:val="24"/>
          <w:szCs w:val="24"/>
        </w:rPr>
        <w:t>日期：年月日</w:t>
      </w:r>
    </w:p>
    <w:p>
      <w:pPr>
        <w:keepNext w:val="0"/>
        <w:keepLines w:val="0"/>
        <w:pageBreakBefore w:val="0"/>
        <w:kinsoku/>
        <w:wordWrap/>
        <w:overflowPunct/>
        <w:topLinePunct w:val="0"/>
        <w:bidi w:val="0"/>
        <w:adjustRightInd/>
        <w:spacing w:line="360" w:lineRule="auto"/>
        <w:ind w:firstLine="480" w:firstLineChars="200"/>
        <w:jc w:val="center"/>
        <w:outlineLvl w:val="0"/>
        <w:rPr>
          <w:rFonts w:ascii="Tahoma" w:hAnsi="Tahoma" w:eastAsia="黑体" w:cs="Tahoma"/>
          <w:b/>
          <w:bCs/>
          <w:kern w:val="0"/>
          <w:sz w:val="28"/>
          <w:szCs w:val="28"/>
        </w:rPr>
      </w:pPr>
      <w:r>
        <w:rPr>
          <w:rFonts w:ascii="宋体" w:cs="Times New Roman"/>
          <w:color w:val="000000"/>
          <w:kern w:val="0"/>
          <w:sz w:val="24"/>
          <w:szCs w:val="24"/>
        </w:rPr>
        <w:br w:type="page"/>
      </w:r>
      <w:bookmarkEnd w:id="64"/>
      <w:bookmarkStart w:id="65" w:name="_Toc2930"/>
      <w:bookmarkStart w:id="66" w:name="_Toc5"/>
      <w:bookmarkStart w:id="67" w:name="_Toc2618_WPSOffice_Level1"/>
      <w:bookmarkStart w:id="68" w:name="_Toc393300381"/>
      <w:bookmarkStart w:id="69" w:name="_Toc451249871"/>
      <w:r>
        <w:rPr>
          <w:rStyle w:val="15"/>
          <w:rFonts w:hint="eastAsia"/>
          <w:sz w:val="32"/>
          <w:szCs w:val="16"/>
        </w:rPr>
        <w:t>第三章 合同</w:t>
      </w:r>
      <w:bookmarkEnd w:id="65"/>
      <w:r>
        <w:rPr>
          <w:rStyle w:val="15"/>
          <w:rFonts w:hint="eastAsia"/>
          <w:sz w:val="32"/>
          <w:szCs w:val="16"/>
        </w:rPr>
        <w:t>附件格式及条款</w:t>
      </w:r>
      <w:bookmarkEnd w:id="66"/>
      <w:bookmarkEnd w:id="67"/>
    </w:p>
    <w:bookmarkEnd w:id="68"/>
    <w:bookmarkEnd w:id="69"/>
    <w:p>
      <w:pPr>
        <w:spacing w:line="360" w:lineRule="auto"/>
        <w:rPr>
          <w:b/>
        </w:rPr>
      </w:pPr>
      <w:r>
        <w:rPr>
          <w:rFonts w:hAnsi="宋体"/>
          <w:b/>
        </w:rPr>
        <w:t>注：本合同条款仅供参考，甲乙双方可根据实际情况进行补充。</w:t>
      </w:r>
    </w:p>
    <w:p>
      <w:pPr>
        <w:spacing w:line="360" w:lineRule="auto"/>
        <w:rPr>
          <w:b/>
          <w:bCs/>
        </w:rPr>
      </w:pPr>
    </w:p>
    <w:p>
      <w:pPr>
        <w:spacing w:line="360" w:lineRule="auto"/>
        <w:jc w:val="center"/>
        <w:rPr>
          <w:b/>
          <w:bCs/>
          <w:sz w:val="32"/>
        </w:rPr>
      </w:pPr>
      <w:r>
        <w:rPr>
          <w:rFonts w:hAnsi="宋体"/>
          <w:b/>
          <w:bCs/>
          <w:sz w:val="32"/>
        </w:rPr>
        <w:t>采购合同（样本）</w:t>
      </w:r>
    </w:p>
    <w:p>
      <w:pPr>
        <w:spacing w:line="360" w:lineRule="auto"/>
        <w:rPr>
          <w:b/>
          <w:bCs/>
          <w:sz w:val="24"/>
        </w:rPr>
      </w:pPr>
    </w:p>
    <w:p>
      <w:pPr>
        <w:spacing w:line="360" w:lineRule="auto"/>
        <w:rPr>
          <w:sz w:val="24"/>
        </w:rPr>
      </w:pPr>
      <w:r>
        <w:rPr>
          <w:rFonts w:hAnsi="宋体"/>
          <w:sz w:val="24"/>
        </w:rPr>
        <w:t>甲方：</w:t>
      </w:r>
      <w:r>
        <w:rPr>
          <w:rFonts w:hint="eastAsia" w:hAnsi="宋体"/>
          <w:sz w:val="24"/>
          <w:lang w:eastAsia="zh-CN"/>
        </w:rPr>
        <w:t>伊犁师范大学</w:t>
      </w:r>
      <w:r>
        <w:rPr>
          <w:sz w:val="24"/>
        </w:rPr>
        <w:t xml:space="preserve">                        </w:t>
      </w:r>
      <w:r>
        <w:rPr>
          <w:rFonts w:hAnsi="宋体"/>
          <w:sz w:val="24"/>
        </w:rPr>
        <w:t>合同编号：</w:t>
      </w:r>
    </w:p>
    <w:p>
      <w:pPr>
        <w:spacing w:line="360" w:lineRule="auto"/>
        <w:rPr>
          <w:sz w:val="24"/>
        </w:rPr>
      </w:pPr>
      <w:r>
        <w:rPr>
          <w:rFonts w:hAnsi="宋体"/>
          <w:sz w:val="24"/>
        </w:rPr>
        <w:t>乙方：（中标人）</w:t>
      </w:r>
      <w:r>
        <w:rPr>
          <w:sz w:val="24"/>
        </w:rPr>
        <w:t xml:space="preserve">                           </w:t>
      </w:r>
      <w:r>
        <w:rPr>
          <w:rFonts w:hAnsi="宋体"/>
          <w:sz w:val="24"/>
        </w:rPr>
        <w:t>签约地点：</w:t>
      </w:r>
    </w:p>
    <w:p>
      <w:pPr>
        <w:spacing w:line="360" w:lineRule="auto"/>
        <w:rPr>
          <w:sz w:val="24"/>
        </w:rPr>
      </w:pPr>
    </w:p>
    <w:p>
      <w:pPr>
        <w:spacing w:after="0" w:line="320" w:lineRule="exact"/>
        <w:ind w:right="80" w:firstLine="480"/>
        <w:jc w:val="center"/>
        <w:rPr>
          <w:rFonts w:hint="eastAsia" w:hAnsi="宋体"/>
          <w:sz w:val="24"/>
        </w:rPr>
      </w:pPr>
      <w:r>
        <w:rPr>
          <w:rFonts w:hAnsi="宋体"/>
          <w:sz w:val="24"/>
        </w:rPr>
        <w:t>根据《中华人民共和国合同法》及</w:t>
      </w: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r>
        <w:rPr>
          <w:rFonts w:hint="eastAsia" w:hAnsi="宋体"/>
          <w:sz w:val="24"/>
        </w:rPr>
        <w:t>新疆谊诚工程项目管理咨</w:t>
      </w:r>
    </w:p>
    <w:p>
      <w:pPr>
        <w:spacing w:after="0" w:line="320" w:lineRule="exact"/>
        <w:ind w:right="80"/>
        <w:jc w:val="both"/>
        <w:rPr>
          <w:sz w:val="24"/>
        </w:rPr>
      </w:pPr>
      <w:r>
        <w:rPr>
          <w:rFonts w:hint="eastAsia" w:hAnsi="宋体"/>
          <w:sz w:val="24"/>
        </w:rPr>
        <w:t>询有限公司</w:t>
      </w:r>
      <w:r>
        <w:rPr>
          <w:rFonts w:hint="eastAsia" w:hAnsi="宋体"/>
          <w:sz w:val="24"/>
          <w:lang w:eastAsia="zh-CN"/>
        </w:rPr>
        <w:t>伊犁师范大学低值易耗及危化品业务管理平台项目</w:t>
      </w:r>
      <w:r>
        <w:rPr>
          <w:rFonts w:hint="eastAsia" w:hAnsi="宋体"/>
          <w:sz w:val="24"/>
        </w:rPr>
        <w:t>的招标结果和</w:t>
      </w:r>
      <w:r>
        <w:rPr>
          <w:rFonts w:hAnsi="宋体"/>
          <w:sz w:val="24"/>
        </w:rPr>
        <w:t>招标文件（</w:t>
      </w:r>
      <w:r>
        <w:rPr>
          <w:rFonts w:hAnsi="宋体"/>
          <w:color w:val="auto"/>
          <w:sz w:val="24"/>
        </w:rPr>
        <w:t>招标</w:t>
      </w:r>
      <w:r>
        <w:rPr>
          <w:rFonts w:hint="eastAsia" w:hAnsi="宋体" w:eastAsia="宋体"/>
          <w:color w:val="auto"/>
          <w:sz w:val="24"/>
          <w:lang w:val="en-US" w:eastAsia="zh-CN"/>
        </w:rPr>
        <w:t>编号：</w:t>
      </w:r>
      <w:r>
        <w:rPr>
          <w:rFonts w:hint="eastAsia" w:hAnsi="宋体" w:eastAsia="宋体"/>
          <w:sz w:val="24"/>
          <w:lang w:val="en-US" w:eastAsia="zh-CN"/>
        </w:rPr>
        <w:t>YL（CS）YC2019-30</w:t>
      </w:r>
      <w:r>
        <w:rPr>
          <w:rFonts w:hint="eastAsia" w:hAnsi="宋体" w:eastAsia="宋体"/>
          <w:sz w:val="24"/>
          <w:lang w:eastAsia="zh-CN"/>
        </w:rPr>
        <w:t>的</w:t>
      </w:r>
      <w:r>
        <w:rPr>
          <w:rFonts w:hAnsi="宋体"/>
          <w:sz w:val="24"/>
        </w:rPr>
        <w:t>要求，经双方协商一致，签订本合同。</w:t>
      </w:r>
    </w:p>
    <w:p>
      <w:pPr>
        <w:pStyle w:val="6"/>
        <w:spacing w:line="360" w:lineRule="auto"/>
        <w:rPr>
          <w:rFonts w:hint="eastAsia" w:eastAsia="宋体"/>
          <w:sz w:val="28"/>
          <w:lang w:eastAsia="zh-CN"/>
        </w:rPr>
      </w:pPr>
      <w:bookmarkStart w:id="70" w:name="_Toc153615301"/>
      <w:bookmarkStart w:id="71" w:name="_Toc19069"/>
      <w:bookmarkStart w:id="72" w:name="_Toc130695604"/>
      <w:bookmarkStart w:id="73" w:name="_Toc185747592"/>
      <w:bookmarkStart w:id="74" w:name="_Toc278958174"/>
      <w:bookmarkStart w:id="75" w:name="_Toc279046881"/>
      <w:bookmarkStart w:id="76" w:name="_Toc130697196"/>
      <w:bookmarkStart w:id="77" w:name="_Toc191353029"/>
      <w:bookmarkStart w:id="78" w:name="_Toc6805"/>
      <w:r>
        <w:rPr>
          <w:sz w:val="28"/>
        </w:rPr>
        <w:t>1</w:t>
      </w:r>
      <w:r>
        <w:rPr>
          <w:rFonts w:hint="eastAsia"/>
          <w:sz w:val="28"/>
        </w:rPr>
        <w:t>、合同</w:t>
      </w:r>
      <w:bookmarkEnd w:id="70"/>
      <w:bookmarkEnd w:id="71"/>
      <w:bookmarkEnd w:id="72"/>
      <w:bookmarkEnd w:id="73"/>
      <w:bookmarkEnd w:id="74"/>
      <w:bookmarkEnd w:id="75"/>
      <w:bookmarkEnd w:id="76"/>
      <w:bookmarkEnd w:id="77"/>
      <w:r>
        <w:rPr>
          <w:rFonts w:hint="eastAsia"/>
          <w:sz w:val="28"/>
          <w:lang w:eastAsia="zh-CN"/>
        </w:rPr>
        <w:t>设备（货物）</w:t>
      </w:r>
      <w:bookmarkEnd w:id="78"/>
    </w:p>
    <w:p>
      <w:pPr>
        <w:spacing w:line="360" w:lineRule="auto"/>
        <w:rPr>
          <w:rFonts w:hint="eastAsia" w:ascii="宋体" w:hAnsi="宋体"/>
          <w:sz w:val="24"/>
        </w:rPr>
      </w:pPr>
      <w:r>
        <w:rPr>
          <w:rFonts w:ascii="宋体" w:hAnsi="宋体"/>
          <w:sz w:val="24"/>
        </w:rPr>
        <w:tab/>
      </w:r>
      <w:r>
        <w:rPr>
          <w:rFonts w:hint="eastAsia" w:ascii="宋体" w:hAnsi="宋体"/>
          <w:sz w:val="24"/>
        </w:rPr>
        <w:t>乙方负责向甲方供应下表中所列</w:t>
      </w:r>
      <w:r>
        <w:rPr>
          <w:rFonts w:hint="eastAsia" w:ascii="宋体" w:hAnsi="宋体"/>
          <w:sz w:val="24"/>
          <w:lang w:eastAsia="zh-CN"/>
        </w:rPr>
        <w:t>设备（货物）</w:t>
      </w:r>
      <w:r>
        <w:rPr>
          <w:rFonts w:hint="eastAsia" w:ascii="宋体" w:hAnsi="宋体"/>
          <w:sz w:val="24"/>
        </w:rPr>
        <w:t>及负责安装调试。</w:t>
      </w:r>
    </w:p>
    <w:tbl>
      <w:tblPr>
        <w:tblStyle w:val="11"/>
        <w:tblW w:w="92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65"/>
        <w:gridCol w:w="829"/>
        <w:gridCol w:w="878"/>
        <w:gridCol w:w="878"/>
        <w:gridCol w:w="878"/>
        <w:gridCol w:w="878"/>
        <w:gridCol w:w="878"/>
        <w:gridCol w:w="878"/>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spacing w:line="360" w:lineRule="auto"/>
              <w:jc w:val="center"/>
              <w:rPr>
                <w:rFonts w:hint="eastAsia" w:ascii="宋体" w:hAnsi="宋体"/>
                <w:sz w:val="24"/>
              </w:rPr>
            </w:pPr>
            <w:r>
              <w:rPr>
                <w:rFonts w:hint="eastAsia" w:ascii="宋体" w:hAnsi="宋体"/>
                <w:sz w:val="24"/>
                <w:lang w:eastAsia="zh-CN"/>
              </w:rPr>
              <w:t>设备（货物）</w:t>
            </w:r>
            <w:r>
              <w:rPr>
                <w:rFonts w:hint="eastAsia" w:ascii="宋体" w:hAnsi="宋体"/>
                <w:sz w:val="24"/>
              </w:rPr>
              <w:t>名称</w:t>
            </w:r>
          </w:p>
        </w:tc>
        <w:tc>
          <w:tcPr>
            <w:tcW w:w="1365" w:type="dxa"/>
            <w:noWrap w:val="0"/>
            <w:vAlign w:val="center"/>
          </w:tcPr>
          <w:p>
            <w:pPr>
              <w:spacing w:line="360" w:lineRule="auto"/>
              <w:jc w:val="center"/>
              <w:rPr>
                <w:rFonts w:hint="eastAsia" w:ascii="宋体" w:hAnsi="宋体"/>
                <w:sz w:val="24"/>
              </w:rPr>
            </w:pPr>
            <w:r>
              <w:rPr>
                <w:rFonts w:hint="eastAsia" w:ascii="宋体" w:hAnsi="宋体"/>
                <w:sz w:val="24"/>
              </w:rPr>
              <w:t>规格型号</w:t>
            </w:r>
          </w:p>
        </w:tc>
        <w:tc>
          <w:tcPr>
            <w:tcW w:w="829" w:type="dxa"/>
            <w:noWrap w:val="0"/>
            <w:vAlign w:val="center"/>
          </w:tcPr>
          <w:p>
            <w:pPr>
              <w:spacing w:line="360" w:lineRule="auto"/>
              <w:jc w:val="center"/>
              <w:rPr>
                <w:rFonts w:hint="eastAsia" w:ascii="宋体" w:hAnsi="宋体"/>
                <w:sz w:val="24"/>
              </w:rPr>
            </w:pPr>
            <w:r>
              <w:rPr>
                <w:rFonts w:hint="eastAsia" w:ascii="宋体" w:hAnsi="宋体"/>
                <w:sz w:val="24"/>
              </w:rPr>
              <w:t>产地厂家</w:t>
            </w:r>
          </w:p>
        </w:tc>
        <w:tc>
          <w:tcPr>
            <w:tcW w:w="878" w:type="dxa"/>
            <w:noWrap w:val="0"/>
            <w:vAlign w:val="center"/>
          </w:tcPr>
          <w:p>
            <w:pPr>
              <w:spacing w:line="360" w:lineRule="auto"/>
              <w:jc w:val="center"/>
              <w:rPr>
                <w:rFonts w:hint="eastAsia" w:ascii="宋体" w:hAnsi="宋体"/>
                <w:sz w:val="24"/>
              </w:rPr>
            </w:pPr>
            <w:r>
              <w:rPr>
                <w:rFonts w:hint="eastAsia" w:ascii="宋体" w:hAnsi="宋体"/>
                <w:sz w:val="24"/>
              </w:rPr>
              <w:t>单位</w:t>
            </w:r>
          </w:p>
        </w:tc>
        <w:tc>
          <w:tcPr>
            <w:tcW w:w="878" w:type="dxa"/>
            <w:noWrap w:val="0"/>
            <w:vAlign w:val="center"/>
          </w:tcPr>
          <w:p>
            <w:pPr>
              <w:spacing w:line="360" w:lineRule="auto"/>
              <w:jc w:val="center"/>
              <w:rPr>
                <w:rFonts w:hint="eastAsia" w:ascii="宋体" w:hAnsi="宋体"/>
                <w:sz w:val="24"/>
              </w:rPr>
            </w:pPr>
            <w:r>
              <w:rPr>
                <w:rFonts w:hint="eastAsia" w:ascii="宋体" w:hAnsi="宋体"/>
                <w:sz w:val="24"/>
              </w:rPr>
              <w:t>数量</w:t>
            </w:r>
          </w:p>
        </w:tc>
        <w:tc>
          <w:tcPr>
            <w:tcW w:w="878" w:type="dxa"/>
            <w:noWrap w:val="0"/>
            <w:vAlign w:val="center"/>
          </w:tcPr>
          <w:p>
            <w:pPr>
              <w:spacing w:line="360" w:lineRule="auto"/>
              <w:jc w:val="center"/>
              <w:rPr>
                <w:rFonts w:hint="eastAsia" w:ascii="宋体" w:hAnsi="宋体"/>
                <w:sz w:val="24"/>
              </w:rPr>
            </w:pPr>
            <w:r>
              <w:rPr>
                <w:rFonts w:hint="eastAsia" w:ascii="宋体" w:hAnsi="宋体"/>
                <w:sz w:val="24"/>
              </w:rPr>
              <w:t>单价</w:t>
            </w:r>
          </w:p>
        </w:tc>
        <w:tc>
          <w:tcPr>
            <w:tcW w:w="878" w:type="dxa"/>
            <w:noWrap w:val="0"/>
            <w:vAlign w:val="center"/>
          </w:tcPr>
          <w:p>
            <w:pPr>
              <w:spacing w:line="360" w:lineRule="auto"/>
              <w:jc w:val="center"/>
              <w:rPr>
                <w:rFonts w:hint="eastAsia" w:ascii="宋体" w:hAnsi="宋体"/>
                <w:sz w:val="24"/>
              </w:rPr>
            </w:pPr>
            <w:r>
              <w:rPr>
                <w:rFonts w:hint="eastAsia" w:ascii="宋体" w:hAnsi="宋体"/>
                <w:sz w:val="24"/>
              </w:rPr>
              <w:t>总价</w:t>
            </w:r>
          </w:p>
        </w:tc>
        <w:tc>
          <w:tcPr>
            <w:tcW w:w="878" w:type="dxa"/>
            <w:noWrap w:val="0"/>
            <w:vAlign w:val="center"/>
          </w:tcPr>
          <w:p>
            <w:pPr>
              <w:spacing w:line="360" w:lineRule="auto"/>
              <w:jc w:val="center"/>
              <w:rPr>
                <w:rFonts w:hint="eastAsia" w:ascii="宋体" w:hAnsi="宋体"/>
                <w:sz w:val="24"/>
              </w:rPr>
            </w:pPr>
            <w:r>
              <w:rPr>
                <w:rFonts w:hint="eastAsia" w:ascii="宋体" w:hAnsi="宋体"/>
                <w:sz w:val="24"/>
              </w:rPr>
              <w:t>随机配件</w:t>
            </w:r>
          </w:p>
        </w:tc>
        <w:tc>
          <w:tcPr>
            <w:tcW w:w="878" w:type="dxa"/>
            <w:noWrap w:val="0"/>
            <w:vAlign w:val="center"/>
          </w:tcPr>
          <w:p>
            <w:pPr>
              <w:spacing w:line="360" w:lineRule="auto"/>
              <w:jc w:val="center"/>
              <w:rPr>
                <w:rFonts w:hint="eastAsia" w:ascii="宋体" w:hAnsi="宋体"/>
                <w:sz w:val="24"/>
              </w:rPr>
            </w:pPr>
            <w:r>
              <w:rPr>
                <w:rFonts w:hint="eastAsia" w:ascii="宋体" w:hAnsi="宋体"/>
                <w:sz w:val="24"/>
              </w:rPr>
              <w:t>交货地点</w:t>
            </w:r>
          </w:p>
        </w:tc>
        <w:tc>
          <w:tcPr>
            <w:tcW w:w="938" w:type="dxa"/>
            <w:noWrap w:val="0"/>
            <w:vAlign w:val="center"/>
          </w:tcPr>
          <w:p>
            <w:pPr>
              <w:spacing w:line="360" w:lineRule="auto"/>
              <w:jc w:val="center"/>
              <w:rPr>
                <w:rFonts w:hint="eastAsia" w:ascii="宋体" w:hAnsi="宋体"/>
                <w:sz w:val="24"/>
              </w:rPr>
            </w:pPr>
            <w:r>
              <w:rPr>
                <w:rFonts w:hint="eastAsia" w:ascii="宋体" w:hAnsi="宋体"/>
                <w:sz w:val="24"/>
              </w:rPr>
              <w:t>交货</w:t>
            </w:r>
            <w:r>
              <w:rPr>
                <w:rFonts w:ascii="宋体" w:hAnsi="宋体"/>
                <w:sz w:val="24"/>
              </w:rPr>
              <w:t xml:space="preserve"> </w:t>
            </w:r>
            <w:r>
              <w:rPr>
                <w:rFonts w:hint="eastAsia" w:ascii="宋体" w:hAnsi="宋体"/>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top"/>
          </w:tcPr>
          <w:p>
            <w:pPr>
              <w:spacing w:line="360" w:lineRule="auto"/>
              <w:rPr>
                <w:rFonts w:hint="eastAsia" w:ascii="宋体" w:hAnsi="宋体"/>
                <w:sz w:val="24"/>
              </w:rPr>
            </w:pPr>
          </w:p>
        </w:tc>
        <w:tc>
          <w:tcPr>
            <w:tcW w:w="1365" w:type="dxa"/>
            <w:noWrap w:val="0"/>
            <w:vAlign w:val="top"/>
          </w:tcPr>
          <w:p>
            <w:pPr>
              <w:spacing w:line="360" w:lineRule="auto"/>
              <w:rPr>
                <w:rFonts w:hint="eastAsia" w:ascii="宋体" w:hAnsi="宋体"/>
                <w:sz w:val="24"/>
              </w:rPr>
            </w:pPr>
          </w:p>
        </w:tc>
        <w:tc>
          <w:tcPr>
            <w:tcW w:w="829" w:type="dxa"/>
            <w:noWrap w:val="0"/>
            <w:vAlign w:val="top"/>
          </w:tcPr>
          <w:p>
            <w:pPr>
              <w:spacing w:line="360" w:lineRule="auto"/>
              <w:rPr>
                <w:rFonts w:hint="eastAsia" w:ascii="宋体" w:hAnsi="宋体"/>
                <w:sz w:val="24"/>
              </w:rPr>
            </w:pPr>
          </w:p>
        </w:tc>
        <w:tc>
          <w:tcPr>
            <w:tcW w:w="878" w:type="dxa"/>
            <w:noWrap w:val="0"/>
            <w:vAlign w:val="top"/>
          </w:tcPr>
          <w:p>
            <w:pPr>
              <w:spacing w:line="360" w:lineRule="auto"/>
              <w:rPr>
                <w:rFonts w:hint="eastAsia" w:ascii="宋体" w:hAnsi="宋体"/>
                <w:sz w:val="24"/>
              </w:rPr>
            </w:pPr>
          </w:p>
        </w:tc>
        <w:tc>
          <w:tcPr>
            <w:tcW w:w="878" w:type="dxa"/>
            <w:noWrap w:val="0"/>
            <w:vAlign w:val="top"/>
          </w:tcPr>
          <w:p>
            <w:pPr>
              <w:spacing w:line="360" w:lineRule="auto"/>
              <w:rPr>
                <w:rFonts w:hint="eastAsia" w:ascii="宋体" w:hAnsi="宋体"/>
                <w:sz w:val="24"/>
              </w:rPr>
            </w:pPr>
          </w:p>
        </w:tc>
        <w:tc>
          <w:tcPr>
            <w:tcW w:w="878" w:type="dxa"/>
            <w:noWrap w:val="0"/>
            <w:vAlign w:val="top"/>
          </w:tcPr>
          <w:p>
            <w:pPr>
              <w:spacing w:line="360" w:lineRule="auto"/>
              <w:rPr>
                <w:rFonts w:hint="eastAsia" w:ascii="宋体" w:hAnsi="宋体"/>
                <w:sz w:val="24"/>
              </w:rPr>
            </w:pPr>
          </w:p>
        </w:tc>
        <w:tc>
          <w:tcPr>
            <w:tcW w:w="878" w:type="dxa"/>
            <w:noWrap w:val="0"/>
            <w:vAlign w:val="top"/>
          </w:tcPr>
          <w:p>
            <w:pPr>
              <w:spacing w:line="360" w:lineRule="auto"/>
              <w:rPr>
                <w:rFonts w:hint="eastAsia" w:ascii="宋体" w:hAnsi="宋体"/>
                <w:sz w:val="24"/>
              </w:rPr>
            </w:pPr>
          </w:p>
        </w:tc>
        <w:tc>
          <w:tcPr>
            <w:tcW w:w="878" w:type="dxa"/>
            <w:noWrap w:val="0"/>
            <w:vAlign w:val="top"/>
          </w:tcPr>
          <w:p>
            <w:pPr>
              <w:spacing w:line="360" w:lineRule="auto"/>
              <w:rPr>
                <w:rFonts w:hint="eastAsia" w:ascii="宋体" w:hAnsi="宋体"/>
                <w:sz w:val="24"/>
              </w:rPr>
            </w:pPr>
          </w:p>
        </w:tc>
        <w:tc>
          <w:tcPr>
            <w:tcW w:w="878" w:type="dxa"/>
            <w:noWrap w:val="0"/>
            <w:vAlign w:val="top"/>
          </w:tcPr>
          <w:p>
            <w:pPr>
              <w:spacing w:line="360" w:lineRule="auto"/>
              <w:rPr>
                <w:rFonts w:hint="eastAsia" w:ascii="宋体" w:hAnsi="宋体"/>
                <w:sz w:val="24"/>
              </w:rPr>
            </w:pPr>
          </w:p>
        </w:tc>
        <w:tc>
          <w:tcPr>
            <w:tcW w:w="938" w:type="dxa"/>
            <w:noWrap w:val="0"/>
            <w:vAlign w:val="top"/>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top"/>
          </w:tcPr>
          <w:p>
            <w:pPr>
              <w:spacing w:line="360" w:lineRule="auto"/>
              <w:jc w:val="center"/>
              <w:rPr>
                <w:rFonts w:hint="eastAsia" w:ascii="宋体" w:hAnsi="宋体"/>
                <w:sz w:val="24"/>
              </w:rPr>
            </w:pPr>
            <w:r>
              <w:rPr>
                <w:rFonts w:hint="eastAsia" w:ascii="宋体" w:hAnsi="宋体"/>
                <w:sz w:val="24"/>
              </w:rPr>
              <w:t>…</w:t>
            </w:r>
          </w:p>
        </w:tc>
        <w:tc>
          <w:tcPr>
            <w:tcW w:w="1365" w:type="dxa"/>
            <w:noWrap w:val="0"/>
            <w:vAlign w:val="top"/>
          </w:tcPr>
          <w:p>
            <w:pPr>
              <w:spacing w:line="360" w:lineRule="auto"/>
              <w:rPr>
                <w:rFonts w:hint="eastAsia" w:ascii="宋体" w:hAnsi="宋体"/>
                <w:sz w:val="24"/>
              </w:rPr>
            </w:pPr>
          </w:p>
        </w:tc>
        <w:tc>
          <w:tcPr>
            <w:tcW w:w="829" w:type="dxa"/>
            <w:noWrap w:val="0"/>
            <w:vAlign w:val="top"/>
          </w:tcPr>
          <w:p>
            <w:pPr>
              <w:spacing w:line="360" w:lineRule="auto"/>
              <w:rPr>
                <w:rFonts w:hint="eastAsia" w:ascii="宋体" w:hAnsi="宋体"/>
                <w:sz w:val="24"/>
              </w:rPr>
            </w:pPr>
          </w:p>
        </w:tc>
        <w:tc>
          <w:tcPr>
            <w:tcW w:w="878" w:type="dxa"/>
            <w:noWrap w:val="0"/>
            <w:vAlign w:val="top"/>
          </w:tcPr>
          <w:p>
            <w:pPr>
              <w:spacing w:line="360" w:lineRule="auto"/>
              <w:rPr>
                <w:rFonts w:hint="eastAsia" w:ascii="宋体" w:hAnsi="宋体"/>
                <w:sz w:val="24"/>
              </w:rPr>
            </w:pPr>
          </w:p>
        </w:tc>
        <w:tc>
          <w:tcPr>
            <w:tcW w:w="878" w:type="dxa"/>
            <w:noWrap w:val="0"/>
            <w:vAlign w:val="top"/>
          </w:tcPr>
          <w:p>
            <w:pPr>
              <w:spacing w:line="360" w:lineRule="auto"/>
              <w:rPr>
                <w:rFonts w:hint="eastAsia" w:ascii="宋体" w:hAnsi="宋体"/>
                <w:sz w:val="24"/>
              </w:rPr>
            </w:pPr>
          </w:p>
        </w:tc>
        <w:tc>
          <w:tcPr>
            <w:tcW w:w="878" w:type="dxa"/>
            <w:noWrap w:val="0"/>
            <w:vAlign w:val="top"/>
          </w:tcPr>
          <w:p>
            <w:pPr>
              <w:spacing w:line="360" w:lineRule="auto"/>
              <w:rPr>
                <w:rFonts w:hint="eastAsia" w:ascii="宋体" w:hAnsi="宋体"/>
                <w:sz w:val="24"/>
              </w:rPr>
            </w:pPr>
          </w:p>
        </w:tc>
        <w:tc>
          <w:tcPr>
            <w:tcW w:w="878" w:type="dxa"/>
            <w:noWrap w:val="0"/>
            <w:vAlign w:val="top"/>
          </w:tcPr>
          <w:p>
            <w:pPr>
              <w:spacing w:line="360" w:lineRule="auto"/>
              <w:rPr>
                <w:rFonts w:hint="eastAsia" w:ascii="宋体" w:hAnsi="宋体"/>
                <w:sz w:val="24"/>
              </w:rPr>
            </w:pPr>
          </w:p>
        </w:tc>
        <w:tc>
          <w:tcPr>
            <w:tcW w:w="878" w:type="dxa"/>
            <w:noWrap w:val="0"/>
            <w:vAlign w:val="top"/>
          </w:tcPr>
          <w:p>
            <w:pPr>
              <w:spacing w:line="360" w:lineRule="auto"/>
              <w:rPr>
                <w:rFonts w:hint="eastAsia" w:ascii="宋体" w:hAnsi="宋体"/>
                <w:sz w:val="24"/>
              </w:rPr>
            </w:pPr>
          </w:p>
        </w:tc>
        <w:tc>
          <w:tcPr>
            <w:tcW w:w="878" w:type="dxa"/>
            <w:noWrap w:val="0"/>
            <w:vAlign w:val="top"/>
          </w:tcPr>
          <w:p>
            <w:pPr>
              <w:spacing w:line="360" w:lineRule="auto"/>
              <w:rPr>
                <w:rFonts w:hint="eastAsia" w:ascii="宋体" w:hAnsi="宋体"/>
                <w:sz w:val="24"/>
              </w:rPr>
            </w:pPr>
          </w:p>
        </w:tc>
        <w:tc>
          <w:tcPr>
            <w:tcW w:w="938" w:type="dxa"/>
            <w:noWrap w:val="0"/>
            <w:vAlign w:val="top"/>
          </w:tcPr>
          <w:p>
            <w:pPr>
              <w:spacing w:line="360" w:lineRule="auto"/>
              <w:rPr>
                <w:rFonts w:hint="eastAsia" w:ascii="宋体" w:hAnsi="宋体"/>
                <w:sz w:val="24"/>
              </w:rPr>
            </w:pPr>
          </w:p>
        </w:tc>
      </w:tr>
    </w:tbl>
    <w:p>
      <w:pPr>
        <w:pStyle w:val="6"/>
        <w:spacing w:line="360" w:lineRule="auto"/>
        <w:rPr>
          <w:rFonts w:hint="eastAsia"/>
        </w:rPr>
      </w:pPr>
      <w:bookmarkStart w:id="79" w:name="_Toc130695605"/>
      <w:bookmarkStart w:id="80" w:name="_Toc29890"/>
      <w:bookmarkStart w:id="81" w:name="_Toc130697197"/>
      <w:bookmarkStart w:id="82" w:name="_Toc153615302"/>
      <w:bookmarkStart w:id="83" w:name="_Toc185747593"/>
      <w:bookmarkStart w:id="84" w:name="_Toc279046882"/>
      <w:bookmarkStart w:id="85" w:name="_Toc17681"/>
      <w:bookmarkStart w:id="86" w:name="_Toc191353030"/>
      <w:bookmarkStart w:id="87" w:name="_Toc278958175"/>
      <w:r>
        <w:rPr>
          <w:sz w:val="28"/>
        </w:rPr>
        <w:t>2</w:t>
      </w:r>
      <w:r>
        <w:rPr>
          <w:rFonts w:hint="eastAsia"/>
          <w:sz w:val="28"/>
        </w:rPr>
        <w:t>、合同总价</w:t>
      </w:r>
      <w:bookmarkEnd w:id="79"/>
      <w:bookmarkEnd w:id="80"/>
      <w:bookmarkEnd w:id="81"/>
      <w:bookmarkEnd w:id="82"/>
      <w:bookmarkEnd w:id="83"/>
      <w:bookmarkEnd w:id="84"/>
      <w:bookmarkEnd w:id="85"/>
      <w:bookmarkEnd w:id="86"/>
      <w:bookmarkEnd w:id="87"/>
    </w:p>
    <w:p>
      <w:pPr>
        <w:spacing w:line="360" w:lineRule="auto"/>
        <w:rPr>
          <w:rFonts w:hint="eastAsia" w:ascii="宋体" w:hAnsi="宋体"/>
          <w:sz w:val="24"/>
        </w:rPr>
      </w:pPr>
      <w:r>
        <w:rPr>
          <w:rFonts w:ascii="宋体" w:hAnsi="宋体"/>
          <w:sz w:val="24"/>
        </w:rPr>
        <w:tab/>
      </w:r>
      <w:r>
        <w:rPr>
          <w:rFonts w:hint="eastAsia" w:ascii="宋体" w:hAnsi="宋体"/>
          <w:sz w:val="24"/>
        </w:rPr>
        <w:t>总价为人民币（大写）：　　</w:t>
      </w:r>
      <w:r>
        <w:rPr>
          <w:rFonts w:ascii="宋体" w:hAnsi="宋体"/>
          <w:sz w:val="24"/>
        </w:rPr>
        <w:t xml:space="preserve">              </w:t>
      </w:r>
      <w:r>
        <w:rPr>
          <w:rFonts w:hint="eastAsia" w:ascii="宋体" w:hAnsi="宋体"/>
          <w:sz w:val="24"/>
        </w:rPr>
        <w:t>，即</w:t>
      </w:r>
      <w:r>
        <w:rPr>
          <w:rFonts w:ascii="宋体" w:hAnsi="宋体"/>
          <w:sz w:val="24"/>
        </w:rPr>
        <w:t>RMB</w:t>
      </w:r>
      <w:r>
        <w:rPr>
          <w:rFonts w:hint="eastAsia" w:ascii="宋体" w:hAnsi="宋体"/>
          <w:sz w:val="24"/>
        </w:rPr>
        <w:t>￥</w:t>
      </w:r>
      <w:r>
        <w:rPr>
          <w:rFonts w:ascii="宋体" w:hAnsi="宋体"/>
          <w:sz w:val="24"/>
        </w:rPr>
        <w:t xml:space="preserve">          </w:t>
      </w:r>
      <w:r>
        <w:rPr>
          <w:rFonts w:hint="eastAsia" w:ascii="宋体" w:hAnsi="宋体"/>
          <w:sz w:val="24"/>
        </w:rPr>
        <w:t>元，该合同总金额是设计、</w:t>
      </w:r>
      <w:r>
        <w:rPr>
          <w:rFonts w:hint="eastAsia" w:ascii="宋体" w:hAnsi="宋体"/>
          <w:sz w:val="24"/>
          <w:lang w:eastAsia="zh-CN"/>
        </w:rPr>
        <w:t>设备（货物）</w:t>
      </w:r>
      <w:r>
        <w:rPr>
          <w:rFonts w:hint="eastAsia" w:ascii="宋体" w:hAnsi="宋体"/>
          <w:sz w:val="24"/>
        </w:rPr>
        <w:t>制造、包装、仓储、运输、装卸、安装及验收合格之前及保修期与备品备件发生的所有含税费用。本合同执行期间合同总金额不变。</w:t>
      </w:r>
    </w:p>
    <w:p>
      <w:pPr>
        <w:pStyle w:val="6"/>
        <w:spacing w:line="360" w:lineRule="auto"/>
        <w:rPr>
          <w:rFonts w:hint="eastAsia"/>
        </w:rPr>
      </w:pPr>
      <w:bookmarkStart w:id="88" w:name="_Toc185747594"/>
      <w:bookmarkStart w:id="89" w:name="_Toc191353031"/>
      <w:bookmarkStart w:id="90" w:name="_Toc32082"/>
      <w:bookmarkStart w:id="91" w:name="_Toc279046883"/>
      <w:bookmarkStart w:id="92" w:name="_Toc27872"/>
      <w:bookmarkStart w:id="93" w:name="_Toc130695606"/>
      <w:bookmarkStart w:id="94" w:name="_Toc130697198"/>
      <w:bookmarkStart w:id="95" w:name="_Toc153615303"/>
      <w:bookmarkStart w:id="96" w:name="_Toc278958176"/>
      <w:r>
        <w:rPr>
          <w:sz w:val="28"/>
        </w:rPr>
        <w:t>3</w:t>
      </w:r>
      <w:r>
        <w:rPr>
          <w:rFonts w:hint="eastAsia"/>
          <w:sz w:val="28"/>
        </w:rPr>
        <w:t>、合同组成</w:t>
      </w:r>
      <w:bookmarkEnd w:id="88"/>
      <w:bookmarkEnd w:id="89"/>
      <w:bookmarkEnd w:id="90"/>
      <w:bookmarkEnd w:id="91"/>
      <w:bookmarkEnd w:id="92"/>
      <w:bookmarkEnd w:id="93"/>
      <w:bookmarkEnd w:id="94"/>
      <w:bookmarkEnd w:id="95"/>
      <w:bookmarkEnd w:id="96"/>
    </w:p>
    <w:p>
      <w:pPr>
        <w:spacing w:line="360" w:lineRule="auto"/>
        <w:rPr>
          <w:rFonts w:hint="eastAsia" w:ascii="宋体" w:hAnsi="宋体"/>
          <w:sz w:val="24"/>
        </w:rPr>
      </w:pPr>
      <w:r>
        <w:rPr>
          <w:rFonts w:ascii="宋体" w:hAnsi="宋体"/>
          <w:sz w:val="24"/>
        </w:rPr>
        <w:tab/>
      </w:r>
      <w:r>
        <w:rPr>
          <w:rFonts w:hint="eastAsia" w:ascii="宋体" w:hAnsi="宋体"/>
          <w:sz w:val="24"/>
        </w:rPr>
        <w:t>详细价格、技术说明及其它有关合同</w:t>
      </w:r>
      <w:r>
        <w:rPr>
          <w:rFonts w:hint="eastAsia" w:ascii="宋体" w:hAnsi="宋体"/>
          <w:sz w:val="24"/>
          <w:lang w:eastAsia="zh-CN"/>
        </w:rPr>
        <w:t>设备（货物）</w:t>
      </w:r>
      <w:r>
        <w:rPr>
          <w:rFonts w:hint="eastAsia" w:ascii="宋体" w:hAnsi="宋体"/>
          <w:sz w:val="24"/>
        </w:rPr>
        <w:t>的特定信息由合同附件说明。所有附件及本项目的招投标文件、会议纪要、协议等均为本合同不可分割之一部分。</w:t>
      </w:r>
    </w:p>
    <w:p>
      <w:pPr>
        <w:pStyle w:val="6"/>
        <w:spacing w:line="360" w:lineRule="auto"/>
        <w:rPr>
          <w:rFonts w:hint="eastAsia"/>
        </w:rPr>
      </w:pPr>
      <w:bookmarkStart w:id="97" w:name="_Toc28285"/>
      <w:bookmarkStart w:id="98" w:name="_Toc130695607"/>
      <w:bookmarkStart w:id="99" w:name="_Toc8265"/>
      <w:bookmarkStart w:id="100" w:name="_Toc130697199"/>
      <w:bookmarkStart w:id="101" w:name="_Toc153615304"/>
      <w:bookmarkStart w:id="102" w:name="_Toc185747595"/>
      <w:bookmarkStart w:id="103" w:name="_Toc191353032"/>
      <w:bookmarkStart w:id="104" w:name="_Toc278958177"/>
      <w:bookmarkStart w:id="105" w:name="_Toc279046884"/>
      <w:r>
        <w:rPr>
          <w:sz w:val="28"/>
        </w:rPr>
        <w:t>4</w:t>
      </w:r>
      <w:r>
        <w:rPr>
          <w:rFonts w:hint="eastAsia"/>
          <w:sz w:val="28"/>
        </w:rPr>
        <w:t>、技术要求</w:t>
      </w:r>
      <w:bookmarkEnd w:id="97"/>
      <w:bookmarkEnd w:id="98"/>
      <w:bookmarkEnd w:id="99"/>
      <w:bookmarkEnd w:id="100"/>
      <w:bookmarkEnd w:id="101"/>
      <w:bookmarkEnd w:id="102"/>
      <w:bookmarkEnd w:id="103"/>
      <w:bookmarkEnd w:id="104"/>
      <w:bookmarkEnd w:id="105"/>
    </w:p>
    <w:p>
      <w:pPr>
        <w:spacing w:line="360" w:lineRule="auto"/>
        <w:rPr>
          <w:rFonts w:hint="eastAsia" w:ascii="宋体" w:hAnsi="宋体"/>
          <w:sz w:val="24"/>
        </w:rPr>
      </w:pPr>
      <w:r>
        <w:rPr>
          <w:rFonts w:ascii="宋体" w:hAnsi="宋体"/>
          <w:sz w:val="24"/>
        </w:rPr>
        <w:tab/>
      </w:r>
      <w:r>
        <w:rPr>
          <w:rFonts w:hint="eastAsia" w:ascii="宋体" w:hAnsi="宋体"/>
          <w:sz w:val="24"/>
        </w:rPr>
        <w:t>乙方所提供</w:t>
      </w:r>
      <w:r>
        <w:rPr>
          <w:rFonts w:hint="eastAsia" w:ascii="宋体" w:hAnsi="宋体"/>
          <w:sz w:val="24"/>
          <w:lang w:eastAsia="zh-CN"/>
        </w:rPr>
        <w:t>设备（货物）</w:t>
      </w:r>
      <w:r>
        <w:rPr>
          <w:rFonts w:hint="eastAsia" w:ascii="宋体" w:hAnsi="宋体"/>
          <w:sz w:val="24"/>
        </w:rPr>
        <w:t>，必须符合国家有关规范和环保要求及甲方的技术要求，并提供</w:t>
      </w:r>
      <w:r>
        <w:rPr>
          <w:rFonts w:hint="eastAsia" w:ascii="宋体" w:hAnsi="宋体"/>
          <w:sz w:val="24"/>
          <w:lang w:eastAsia="zh-CN"/>
        </w:rPr>
        <w:t>设备（货物）</w:t>
      </w:r>
      <w:r>
        <w:rPr>
          <w:rFonts w:hint="eastAsia" w:ascii="宋体" w:hAnsi="宋体"/>
          <w:sz w:val="24"/>
        </w:rPr>
        <w:t>的厂试测验报告。所有</w:t>
      </w:r>
      <w:r>
        <w:rPr>
          <w:rFonts w:hint="eastAsia" w:ascii="宋体" w:hAnsi="宋体"/>
          <w:sz w:val="24"/>
          <w:lang w:eastAsia="zh-CN"/>
        </w:rPr>
        <w:t>设备（货物）</w:t>
      </w:r>
      <w:r>
        <w:rPr>
          <w:rFonts w:hint="eastAsia" w:ascii="宋体" w:hAnsi="宋体"/>
          <w:sz w:val="24"/>
        </w:rPr>
        <w:t>及服务不得侵犯第三方版权、专利、税费等。</w:t>
      </w:r>
    </w:p>
    <w:p>
      <w:pPr>
        <w:pStyle w:val="6"/>
        <w:spacing w:line="360" w:lineRule="auto"/>
        <w:rPr>
          <w:rFonts w:hint="eastAsia"/>
        </w:rPr>
      </w:pPr>
      <w:bookmarkStart w:id="106" w:name="_Toc185747596"/>
      <w:bookmarkStart w:id="107" w:name="_Toc191353033"/>
      <w:bookmarkStart w:id="108" w:name="_Toc278958178"/>
      <w:bookmarkStart w:id="109" w:name="_Toc15258"/>
      <w:bookmarkStart w:id="110" w:name="_Toc279046885"/>
      <w:bookmarkStart w:id="111" w:name="_Toc32628"/>
      <w:bookmarkStart w:id="112" w:name="_Toc130695608"/>
      <w:bookmarkStart w:id="113" w:name="_Toc130697200"/>
      <w:bookmarkStart w:id="114" w:name="_Toc153615305"/>
      <w:r>
        <w:rPr>
          <w:sz w:val="28"/>
        </w:rPr>
        <w:t>5</w:t>
      </w:r>
      <w:r>
        <w:rPr>
          <w:rFonts w:hint="eastAsia"/>
          <w:sz w:val="28"/>
        </w:rPr>
        <w:t>、合同</w:t>
      </w:r>
      <w:r>
        <w:rPr>
          <w:rFonts w:hint="eastAsia"/>
          <w:sz w:val="28"/>
          <w:lang w:eastAsia="zh-CN"/>
        </w:rPr>
        <w:t>货物、设备（货物）的</w:t>
      </w:r>
      <w:r>
        <w:rPr>
          <w:rFonts w:hint="eastAsia"/>
          <w:sz w:val="28"/>
        </w:rPr>
        <w:t>包装、交货、安装、调试及验收</w:t>
      </w:r>
      <w:bookmarkEnd w:id="106"/>
      <w:bookmarkEnd w:id="107"/>
      <w:bookmarkEnd w:id="108"/>
      <w:bookmarkEnd w:id="109"/>
      <w:bookmarkEnd w:id="110"/>
      <w:bookmarkEnd w:id="111"/>
      <w:bookmarkEnd w:id="112"/>
      <w:bookmarkEnd w:id="113"/>
      <w:bookmarkEnd w:id="114"/>
    </w:p>
    <w:p>
      <w:pPr>
        <w:spacing w:line="360" w:lineRule="auto"/>
        <w:rPr>
          <w:rFonts w:hint="eastAsia" w:ascii="宋体" w:hAnsi="宋体"/>
          <w:sz w:val="24"/>
        </w:rPr>
      </w:pPr>
      <w:r>
        <w:rPr>
          <w:rFonts w:ascii="宋体" w:hAnsi="宋体"/>
          <w:sz w:val="24"/>
        </w:rPr>
        <w:t xml:space="preserve">5.1 </w:t>
      </w:r>
      <w:r>
        <w:rPr>
          <w:rFonts w:hint="eastAsia" w:ascii="宋体" w:hAnsi="宋体"/>
          <w:sz w:val="24"/>
        </w:rPr>
        <w:t>合同</w:t>
      </w:r>
      <w:r>
        <w:rPr>
          <w:rFonts w:hint="eastAsia" w:ascii="宋体" w:hAnsi="宋体"/>
          <w:sz w:val="24"/>
          <w:lang w:eastAsia="zh-CN"/>
        </w:rPr>
        <w:t>设备（货物）</w:t>
      </w:r>
      <w:r>
        <w:rPr>
          <w:rFonts w:hint="eastAsia" w:ascii="宋体" w:hAnsi="宋体"/>
          <w:sz w:val="24"/>
        </w:rPr>
        <w:t>的包装</w:t>
      </w:r>
    </w:p>
    <w:p>
      <w:pPr>
        <w:spacing w:line="360" w:lineRule="auto"/>
        <w:ind w:firstLine="480" w:firstLineChars="200"/>
        <w:rPr>
          <w:rFonts w:hint="eastAsia" w:ascii="宋体" w:hAnsi="宋体"/>
          <w:sz w:val="24"/>
        </w:rPr>
      </w:pPr>
      <w:r>
        <w:rPr>
          <w:rFonts w:hint="eastAsia" w:ascii="宋体" w:hAnsi="宋体"/>
          <w:sz w:val="24"/>
          <w:lang w:eastAsia="zh-CN"/>
        </w:rPr>
        <w:t>货物、设备（货物）</w:t>
      </w:r>
      <w:r>
        <w:rPr>
          <w:rFonts w:hint="eastAsia" w:ascii="宋体" w:hAnsi="宋体"/>
          <w:sz w:val="24"/>
        </w:rPr>
        <w:t>的包装均应有良好的防湿、防锈、防潮、防雨、防腐及防碰撞的措施。凡由于包装不良造成的损失和由此产生的费用均由乙方承担。</w:t>
      </w:r>
    </w:p>
    <w:p>
      <w:pPr>
        <w:spacing w:line="360" w:lineRule="auto"/>
        <w:rPr>
          <w:rFonts w:hint="eastAsia" w:ascii="宋体" w:hAnsi="宋体"/>
          <w:sz w:val="24"/>
        </w:rPr>
      </w:pPr>
      <w:r>
        <w:rPr>
          <w:rFonts w:ascii="宋体" w:hAnsi="宋体"/>
          <w:sz w:val="24"/>
        </w:rPr>
        <w:t xml:space="preserve">5.2 </w:t>
      </w:r>
      <w:r>
        <w:rPr>
          <w:rFonts w:hint="eastAsia" w:ascii="宋体" w:hAnsi="宋体"/>
          <w:sz w:val="24"/>
        </w:rPr>
        <w:t>合同</w:t>
      </w:r>
      <w:r>
        <w:rPr>
          <w:rFonts w:hint="eastAsia" w:ascii="宋体" w:hAnsi="宋体"/>
          <w:sz w:val="24"/>
          <w:lang w:eastAsia="zh-CN"/>
        </w:rPr>
        <w:t>设备（货物）</w:t>
      </w:r>
      <w:r>
        <w:rPr>
          <w:rFonts w:hint="eastAsia" w:ascii="宋体" w:hAnsi="宋体"/>
          <w:sz w:val="24"/>
        </w:rPr>
        <w:t>的交货</w:t>
      </w:r>
    </w:p>
    <w:p>
      <w:pPr>
        <w:spacing w:line="360" w:lineRule="auto"/>
        <w:rPr>
          <w:rFonts w:ascii="宋体" w:hAnsi="宋体"/>
          <w:sz w:val="24"/>
        </w:rPr>
      </w:pPr>
      <w:r>
        <w:rPr>
          <w:rFonts w:ascii="宋体" w:hAnsi="宋体"/>
          <w:sz w:val="24"/>
        </w:rPr>
        <w:t xml:space="preserve">5.2.1 </w:t>
      </w:r>
      <w:r>
        <w:rPr>
          <w:rFonts w:hint="eastAsia" w:ascii="宋体" w:hAnsi="宋体"/>
          <w:sz w:val="24"/>
        </w:rPr>
        <w:t>乙方交货时间：</w:t>
      </w:r>
      <w:r>
        <w:rPr>
          <w:rFonts w:hint="eastAsia" w:ascii="宋体" w:hAnsi="宋体"/>
          <w:sz w:val="24"/>
          <w:u w:val="single"/>
          <w:lang w:val="en-US" w:eastAsia="zh-CN"/>
        </w:rPr>
        <w:t xml:space="preserve">                        </w:t>
      </w:r>
      <w:r>
        <w:rPr>
          <w:rFonts w:hint="eastAsia" w:ascii="宋体" w:hAnsi="宋体"/>
          <w:sz w:val="24"/>
        </w:rPr>
        <w:t>。</w:t>
      </w:r>
    </w:p>
    <w:p>
      <w:pPr>
        <w:spacing w:line="360" w:lineRule="auto"/>
        <w:rPr>
          <w:rFonts w:hint="eastAsia" w:ascii="宋体" w:hAnsi="宋体"/>
          <w:sz w:val="24"/>
        </w:rPr>
      </w:pPr>
      <w:r>
        <w:rPr>
          <w:rFonts w:ascii="宋体" w:hAnsi="宋体"/>
          <w:sz w:val="24"/>
        </w:rPr>
        <w:t xml:space="preserve">5.2.2 </w:t>
      </w:r>
      <w:r>
        <w:rPr>
          <w:rFonts w:hint="eastAsia" w:ascii="宋体" w:hAnsi="宋体"/>
          <w:sz w:val="24"/>
        </w:rPr>
        <w:t>乙方交货地点：甲方指定地点。</w:t>
      </w:r>
    </w:p>
    <w:p>
      <w:pPr>
        <w:spacing w:line="360" w:lineRule="auto"/>
        <w:rPr>
          <w:rFonts w:hint="eastAsia" w:ascii="宋体" w:hAnsi="宋体"/>
          <w:sz w:val="24"/>
        </w:rPr>
      </w:pPr>
      <w:r>
        <w:rPr>
          <w:rFonts w:ascii="宋体" w:hAnsi="宋体"/>
          <w:sz w:val="24"/>
        </w:rPr>
        <w:t xml:space="preserve">5.3 </w:t>
      </w:r>
      <w:r>
        <w:rPr>
          <w:rFonts w:hint="eastAsia" w:ascii="宋体" w:hAnsi="宋体"/>
          <w:sz w:val="24"/>
        </w:rPr>
        <w:t>合同</w:t>
      </w:r>
      <w:r>
        <w:rPr>
          <w:rFonts w:hint="eastAsia" w:ascii="宋体" w:hAnsi="宋体"/>
          <w:sz w:val="24"/>
          <w:lang w:eastAsia="zh-CN"/>
        </w:rPr>
        <w:t>设备（货物）</w:t>
      </w:r>
      <w:r>
        <w:rPr>
          <w:rFonts w:hint="eastAsia" w:ascii="宋体" w:hAnsi="宋体"/>
          <w:sz w:val="24"/>
        </w:rPr>
        <w:t>的安装调试</w:t>
      </w:r>
    </w:p>
    <w:p>
      <w:pPr>
        <w:spacing w:line="360" w:lineRule="auto"/>
        <w:rPr>
          <w:rFonts w:hint="eastAsia" w:ascii="宋体" w:hAnsi="宋体"/>
          <w:sz w:val="24"/>
        </w:rPr>
      </w:pPr>
      <w:r>
        <w:rPr>
          <w:rFonts w:ascii="宋体" w:hAnsi="宋体"/>
          <w:sz w:val="24"/>
        </w:rPr>
        <w:t xml:space="preserve">5.3.1 </w:t>
      </w:r>
      <w:r>
        <w:rPr>
          <w:rFonts w:hint="eastAsia" w:ascii="宋体" w:hAnsi="宋体"/>
          <w:sz w:val="24"/>
        </w:rPr>
        <w:t>乙方负责合同项下的安装调试，一切费用由乙方负责。</w:t>
      </w:r>
    </w:p>
    <w:p>
      <w:pPr>
        <w:spacing w:line="360" w:lineRule="auto"/>
        <w:rPr>
          <w:rFonts w:hint="eastAsia" w:ascii="宋体" w:hAnsi="宋体"/>
          <w:sz w:val="24"/>
        </w:rPr>
      </w:pPr>
      <w:r>
        <w:rPr>
          <w:rFonts w:ascii="宋体" w:hAnsi="宋体"/>
          <w:sz w:val="24"/>
        </w:rPr>
        <w:t xml:space="preserve">5.3.2 </w:t>
      </w:r>
      <w:r>
        <w:rPr>
          <w:rFonts w:hint="eastAsia" w:ascii="宋体" w:hAnsi="宋体"/>
          <w:sz w:val="24"/>
        </w:rPr>
        <w:t>乙方安装时须对各安装场地内的其它</w:t>
      </w:r>
      <w:r>
        <w:rPr>
          <w:rFonts w:hint="eastAsia" w:ascii="宋体" w:hAnsi="宋体"/>
          <w:sz w:val="24"/>
          <w:lang w:eastAsia="zh-CN"/>
        </w:rPr>
        <w:t>设备（货物）</w:t>
      </w:r>
      <w:r>
        <w:rPr>
          <w:rFonts w:hint="eastAsia" w:ascii="宋体" w:hAnsi="宋体"/>
          <w:sz w:val="24"/>
        </w:rPr>
        <w:t>、设施有良好保护措施。</w:t>
      </w:r>
    </w:p>
    <w:p>
      <w:pPr>
        <w:spacing w:line="360" w:lineRule="auto"/>
        <w:rPr>
          <w:rFonts w:hint="eastAsia" w:ascii="宋体" w:hAnsi="宋体"/>
          <w:sz w:val="24"/>
        </w:rPr>
      </w:pPr>
      <w:r>
        <w:rPr>
          <w:rFonts w:ascii="宋体" w:hAnsi="宋体"/>
          <w:sz w:val="24"/>
        </w:rPr>
        <w:t xml:space="preserve">5.4  </w:t>
      </w:r>
      <w:r>
        <w:rPr>
          <w:rFonts w:hint="eastAsia" w:ascii="宋体" w:hAnsi="宋体"/>
          <w:sz w:val="24"/>
          <w:lang w:eastAsia="zh-CN"/>
        </w:rPr>
        <w:t>设备（货物）</w:t>
      </w:r>
      <w:r>
        <w:rPr>
          <w:rFonts w:hint="eastAsia" w:ascii="宋体" w:hAnsi="宋体"/>
          <w:sz w:val="24"/>
        </w:rPr>
        <w:t>的验收</w:t>
      </w:r>
    </w:p>
    <w:p>
      <w:pPr>
        <w:spacing w:line="360" w:lineRule="auto"/>
        <w:ind w:left="713" w:right="8" w:rightChars="4" w:hanging="712" w:hangingChars="297"/>
        <w:rPr>
          <w:rFonts w:hint="eastAsia" w:ascii="宋体" w:hAnsi="宋体"/>
          <w:sz w:val="24"/>
        </w:rPr>
      </w:pPr>
      <w:r>
        <w:rPr>
          <w:rFonts w:ascii="宋体" w:hAnsi="宋体"/>
          <w:sz w:val="24"/>
        </w:rPr>
        <w:t xml:space="preserve">5.4.1 </w:t>
      </w:r>
      <w:r>
        <w:rPr>
          <w:rFonts w:hint="eastAsia" w:ascii="宋体" w:hAnsi="宋体"/>
          <w:sz w:val="24"/>
        </w:rPr>
        <w:t>合同</w:t>
      </w:r>
      <w:r>
        <w:rPr>
          <w:rFonts w:hint="eastAsia" w:ascii="宋体" w:hAnsi="宋体"/>
          <w:sz w:val="24"/>
          <w:lang w:eastAsia="zh-CN"/>
        </w:rPr>
        <w:t>设备（货物）</w:t>
      </w:r>
      <w:r>
        <w:rPr>
          <w:rFonts w:hint="eastAsia" w:ascii="宋体" w:hAnsi="宋体"/>
          <w:sz w:val="24"/>
        </w:rPr>
        <w:t>安装调试完成并移交所有资料文档后XX个工作日内验收，验收应在甲乙双方共同参加下进行，验收标准按照国家有关标准。</w:t>
      </w:r>
    </w:p>
    <w:p>
      <w:pPr>
        <w:spacing w:line="360" w:lineRule="auto"/>
        <w:ind w:left="746" w:hanging="746" w:hangingChars="311"/>
        <w:rPr>
          <w:rFonts w:hint="eastAsia" w:ascii="宋体" w:hAnsi="宋体"/>
          <w:sz w:val="24"/>
        </w:rPr>
      </w:pPr>
      <w:r>
        <w:rPr>
          <w:rFonts w:ascii="宋体" w:hAnsi="宋体"/>
          <w:sz w:val="24"/>
        </w:rPr>
        <w:t xml:space="preserve">5.4.2 </w:t>
      </w:r>
      <w:r>
        <w:rPr>
          <w:rFonts w:hint="eastAsia" w:ascii="宋体" w:hAnsi="宋体"/>
          <w:sz w:val="24"/>
        </w:rPr>
        <w:t>验收按国家有关的规定、规范进行。验收时如发现所交付的</w:t>
      </w:r>
      <w:r>
        <w:rPr>
          <w:rFonts w:hint="eastAsia" w:ascii="宋体" w:hAnsi="宋体"/>
          <w:sz w:val="24"/>
          <w:lang w:eastAsia="zh-CN"/>
        </w:rPr>
        <w:t>设备（货物）</w:t>
      </w:r>
      <w:r>
        <w:rPr>
          <w:rFonts w:hint="eastAsia" w:ascii="宋体" w:hAnsi="宋体"/>
          <w:sz w:val="24"/>
        </w:rPr>
        <w:t>有短装、次品、损坏或其它不符合本合同规定之情形者，甲方应做出详尽的现场记录，或由甲乙双方签署备忘录。此现场记录或备忘录可用作补充、缺失和更换损坏部件的有效证据。由此产生的有关费用由乙方承担，验收期限相应后延。</w:t>
      </w:r>
    </w:p>
    <w:p>
      <w:pPr>
        <w:spacing w:line="360" w:lineRule="auto"/>
        <w:ind w:left="746" w:hanging="746" w:hangingChars="311"/>
        <w:rPr>
          <w:rFonts w:ascii="宋体" w:hAnsi="宋体"/>
          <w:sz w:val="24"/>
        </w:rPr>
      </w:pPr>
      <w:r>
        <w:rPr>
          <w:rFonts w:ascii="宋体" w:hAnsi="宋体"/>
          <w:sz w:val="24"/>
        </w:rPr>
        <w:t xml:space="preserve">5.4.3 </w:t>
      </w:r>
      <w:r>
        <w:rPr>
          <w:rFonts w:hint="eastAsia" w:ascii="宋体" w:hAnsi="宋体"/>
          <w:sz w:val="24"/>
        </w:rPr>
        <w:t>如果合同</w:t>
      </w:r>
      <w:r>
        <w:rPr>
          <w:rFonts w:hint="eastAsia" w:ascii="宋体" w:hAnsi="宋体"/>
          <w:sz w:val="24"/>
          <w:lang w:eastAsia="zh-CN"/>
        </w:rPr>
        <w:t>设备（货物）</w:t>
      </w:r>
      <w:r>
        <w:rPr>
          <w:rFonts w:hint="eastAsia" w:ascii="宋体" w:hAnsi="宋体"/>
          <w:sz w:val="24"/>
        </w:rPr>
        <w:t>运输和安装调试过程中因事故造成货物短缺、损坏，乙方应及时安排换装，以保证合同</w:t>
      </w:r>
      <w:r>
        <w:rPr>
          <w:rFonts w:hint="eastAsia" w:ascii="宋体" w:hAnsi="宋体"/>
          <w:sz w:val="24"/>
          <w:lang w:eastAsia="zh-CN"/>
        </w:rPr>
        <w:t>设备（货物）</w:t>
      </w:r>
      <w:r>
        <w:rPr>
          <w:rFonts w:hint="eastAsia" w:ascii="宋体" w:hAnsi="宋体"/>
          <w:sz w:val="24"/>
        </w:rPr>
        <w:t>安装调试的成功完成。换货的相关费用由乙方承担。</w:t>
      </w:r>
    </w:p>
    <w:p>
      <w:pPr>
        <w:spacing w:line="360" w:lineRule="auto"/>
        <w:ind w:left="746" w:hanging="746" w:hangingChars="311"/>
        <w:rPr>
          <w:rFonts w:hint="eastAsia" w:ascii="宋体" w:hAnsi="宋体"/>
          <w:sz w:val="24"/>
        </w:rPr>
      </w:pPr>
      <w:r>
        <w:rPr>
          <w:rFonts w:ascii="宋体" w:hAnsi="宋体"/>
          <w:sz w:val="24"/>
        </w:rPr>
        <w:t xml:space="preserve">5.4.4 </w:t>
      </w:r>
      <w:r>
        <w:rPr>
          <w:rFonts w:hint="eastAsia" w:ascii="宋体" w:hAnsi="宋体"/>
          <w:sz w:val="24"/>
        </w:rPr>
        <w:t>国内产品或合资厂的产品必须具备出厂合格证。</w:t>
      </w:r>
    </w:p>
    <w:p>
      <w:pPr>
        <w:spacing w:line="360" w:lineRule="auto"/>
        <w:ind w:left="746" w:hanging="746" w:hangingChars="311"/>
        <w:rPr>
          <w:rFonts w:hint="eastAsia" w:ascii="宋体" w:hAnsi="宋体"/>
          <w:sz w:val="24"/>
        </w:rPr>
      </w:pPr>
      <w:r>
        <w:rPr>
          <w:rFonts w:ascii="宋体" w:hAnsi="宋体"/>
          <w:sz w:val="24"/>
        </w:rPr>
        <w:t xml:space="preserve">5.4.5 </w:t>
      </w:r>
      <w:r>
        <w:rPr>
          <w:rFonts w:hint="eastAsia" w:ascii="宋体" w:hAnsi="宋体"/>
          <w:sz w:val="24"/>
        </w:rPr>
        <w:t>进口产品必须具备省级（或相当于省级）商检部门的检验证明。</w:t>
      </w:r>
    </w:p>
    <w:p>
      <w:pPr>
        <w:spacing w:line="360" w:lineRule="auto"/>
        <w:ind w:left="629" w:hanging="628" w:hangingChars="262"/>
        <w:rPr>
          <w:rFonts w:hint="eastAsia" w:ascii="宋体" w:hAnsi="宋体"/>
          <w:sz w:val="24"/>
        </w:rPr>
      </w:pPr>
      <w:r>
        <w:rPr>
          <w:rFonts w:hint="eastAsia" w:ascii="宋体" w:hAnsi="宋体"/>
          <w:sz w:val="24"/>
        </w:rPr>
        <w:t>5.5  如乙方没有及时提供相关证件（如商检证等），有可能影响验收进程，所导致的经济损失，由乙方自行承担。</w:t>
      </w:r>
    </w:p>
    <w:p>
      <w:pPr>
        <w:spacing w:line="360" w:lineRule="auto"/>
        <w:ind w:left="629" w:hanging="628" w:hangingChars="262"/>
        <w:rPr>
          <w:rFonts w:hint="eastAsia" w:ascii="宋体" w:hAnsi="宋体"/>
          <w:sz w:val="24"/>
        </w:rPr>
      </w:pPr>
      <w:r>
        <w:rPr>
          <w:rFonts w:ascii="宋体" w:hAnsi="宋体"/>
          <w:sz w:val="24"/>
        </w:rPr>
        <w:t>5.</w:t>
      </w:r>
      <w:r>
        <w:rPr>
          <w:rFonts w:hint="eastAsia" w:ascii="宋体" w:hAnsi="宋体"/>
          <w:sz w:val="24"/>
        </w:rPr>
        <w:t>6</w:t>
      </w:r>
      <w:r>
        <w:rPr>
          <w:rFonts w:ascii="宋体" w:hAnsi="宋体"/>
          <w:sz w:val="24"/>
        </w:rPr>
        <w:t xml:space="preserve">  </w:t>
      </w:r>
      <w:r>
        <w:rPr>
          <w:rFonts w:hint="eastAsia" w:ascii="宋体" w:hAnsi="宋体"/>
          <w:sz w:val="24"/>
        </w:rPr>
        <w:t>乙方保证合同项下提供的</w:t>
      </w:r>
      <w:r>
        <w:rPr>
          <w:rFonts w:hint="eastAsia" w:ascii="宋体" w:hAnsi="宋体"/>
          <w:sz w:val="24"/>
          <w:lang w:eastAsia="zh-CN"/>
        </w:rPr>
        <w:t>设备（货物）</w:t>
      </w:r>
      <w:r>
        <w:rPr>
          <w:rFonts w:hint="eastAsia" w:ascii="宋体" w:hAnsi="宋体"/>
          <w:sz w:val="24"/>
        </w:rPr>
        <w:t>不侵犯任何第三方的专利、商标或版权。否则，乙方须承担对第三方的专利或版权的侵权责任并承担因此而发生的所有费用。</w:t>
      </w:r>
    </w:p>
    <w:p>
      <w:pPr>
        <w:pStyle w:val="6"/>
        <w:spacing w:line="360" w:lineRule="auto"/>
        <w:rPr>
          <w:rFonts w:hint="eastAsia"/>
        </w:rPr>
      </w:pPr>
      <w:bookmarkStart w:id="115" w:name="_Toc191353034"/>
      <w:bookmarkStart w:id="116" w:name="_Toc278958179"/>
      <w:bookmarkStart w:id="117" w:name="_Toc279046886"/>
      <w:bookmarkStart w:id="118" w:name="_Toc18520"/>
      <w:bookmarkStart w:id="119" w:name="_Toc130695609"/>
      <w:bookmarkStart w:id="120" w:name="_Toc28279"/>
      <w:bookmarkStart w:id="121" w:name="_Toc130697201"/>
      <w:bookmarkStart w:id="122" w:name="_Toc153615306"/>
      <w:bookmarkStart w:id="123" w:name="_Toc185747597"/>
      <w:r>
        <w:rPr>
          <w:sz w:val="28"/>
        </w:rPr>
        <w:t>6</w:t>
      </w:r>
      <w:r>
        <w:rPr>
          <w:rFonts w:hint="eastAsia"/>
          <w:sz w:val="28"/>
        </w:rPr>
        <w:t>、质量保证及售后服务</w:t>
      </w:r>
      <w:bookmarkEnd w:id="115"/>
      <w:bookmarkEnd w:id="116"/>
      <w:bookmarkEnd w:id="117"/>
      <w:bookmarkEnd w:id="118"/>
      <w:bookmarkEnd w:id="119"/>
      <w:bookmarkEnd w:id="120"/>
      <w:bookmarkEnd w:id="121"/>
      <w:bookmarkEnd w:id="122"/>
      <w:bookmarkEnd w:id="123"/>
    </w:p>
    <w:p>
      <w:pPr>
        <w:spacing w:line="360" w:lineRule="auto"/>
        <w:ind w:left="479" w:leftChars="228" w:firstLine="0" w:firstLineChars="0"/>
        <w:rPr>
          <w:rFonts w:hint="eastAsia" w:ascii="宋体" w:hAnsi="宋体" w:eastAsia="宋体"/>
          <w:sz w:val="24"/>
        </w:rPr>
      </w:pPr>
      <w:r>
        <w:rPr>
          <w:rFonts w:hint="eastAsia" w:ascii="宋体" w:hAnsi="宋体" w:eastAsia="宋体"/>
          <w:sz w:val="24"/>
          <w:lang w:val="en-US" w:eastAsia="zh-CN"/>
        </w:rPr>
        <w:t>6.</w:t>
      </w:r>
      <w:r>
        <w:rPr>
          <w:rFonts w:hint="eastAsia" w:ascii="宋体" w:hAnsi="宋体"/>
          <w:sz w:val="24"/>
          <w:lang w:val="en-US" w:eastAsia="zh-CN"/>
        </w:rPr>
        <w:t>1</w:t>
      </w:r>
      <w:r>
        <w:rPr>
          <w:rFonts w:hint="eastAsia" w:ascii="宋体" w:hAnsi="宋体" w:eastAsia="宋体"/>
          <w:sz w:val="24"/>
        </w:rPr>
        <w:t>投标人须提供针对</w:t>
      </w:r>
      <w:r>
        <w:rPr>
          <w:rFonts w:hint="eastAsia" w:ascii="宋体" w:hAnsi="宋体" w:eastAsia="宋体"/>
          <w:sz w:val="24"/>
          <w:lang w:eastAsia="zh-CN"/>
        </w:rPr>
        <w:t>该</w:t>
      </w:r>
      <w:r>
        <w:rPr>
          <w:rFonts w:hint="eastAsia" w:ascii="宋体" w:hAnsi="宋体" w:eastAsia="宋体"/>
          <w:sz w:val="24"/>
        </w:rPr>
        <w:t>项目详尽的培训方案。</w:t>
      </w:r>
      <w:r>
        <w:rPr>
          <w:rFonts w:hint="eastAsia" w:ascii="宋体" w:hAnsi="宋体" w:eastAsia="宋体"/>
          <w:sz w:val="24"/>
        </w:rPr>
        <w:br w:type="textWrapping"/>
      </w:r>
      <w:r>
        <w:rPr>
          <w:rFonts w:hint="eastAsia" w:ascii="宋体" w:hAnsi="宋体" w:eastAsia="宋体"/>
          <w:sz w:val="24"/>
          <w:lang w:val="en-US" w:eastAsia="zh-CN"/>
        </w:rPr>
        <w:t>6.</w:t>
      </w:r>
      <w:r>
        <w:rPr>
          <w:rFonts w:hint="eastAsia" w:ascii="宋体" w:hAnsi="宋体"/>
          <w:sz w:val="24"/>
          <w:lang w:val="en-US" w:eastAsia="zh-CN"/>
        </w:rPr>
        <w:t>2</w:t>
      </w:r>
      <w:r>
        <w:rPr>
          <w:rFonts w:hint="eastAsia" w:ascii="宋体" w:hAnsi="宋体" w:eastAsia="宋体"/>
          <w:sz w:val="24"/>
        </w:rPr>
        <w:t>投标应提供的针对此项目详尽的售后服务方案。售后服务方案详细、具体，满足用户要求，故障处理时限短，提供配件损坏或遗失后的相关服务，服务售后服务体系完善</w:t>
      </w:r>
    </w:p>
    <w:p>
      <w:pPr>
        <w:spacing w:line="360" w:lineRule="auto"/>
        <w:ind w:left="480" w:hanging="480" w:hangingChars="200"/>
        <w:rPr>
          <w:rFonts w:hint="eastAsia" w:ascii="宋体" w:hAnsi="宋体"/>
          <w:sz w:val="24"/>
        </w:rPr>
      </w:pPr>
      <w:r>
        <w:rPr>
          <w:rFonts w:hint="eastAsia" w:ascii="宋体" w:hAnsi="宋体" w:eastAsia="宋体"/>
          <w:sz w:val="24"/>
          <w:lang w:val="en-US" w:eastAsia="zh-CN"/>
        </w:rPr>
        <w:t>6.</w:t>
      </w:r>
      <w:r>
        <w:rPr>
          <w:rFonts w:hint="eastAsia" w:ascii="宋体" w:hAnsi="宋体"/>
          <w:sz w:val="24"/>
          <w:lang w:val="en-US" w:eastAsia="zh-CN"/>
        </w:rPr>
        <w:t>3</w:t>
      </w:r>
      <w:r>
        <w:rPr>
          <w:rFonts w:hint="eastAsia" w:ascii="宋体" w:hAnsi="宋体" w:eastAsia="宋体"/>
          <w:sz w:val="24"/>
        </w:rPr>
        <w:t>乙方保证合同</w:t>
      </w:r>
      <w:r>
        <w:rPr>
          <w:rFonts w:hint="eastAsia" w:ascii="宋体" w:hAnsi="宋体" w:eastAsia="宋体"/>
          <w:sz w:val="24"/>
          <w:lang w:eastAsia="zh-CN"/>
        </w:rPr>
        <w:t>货物、设备（货物）</w:t>
      </w:r>
      <w:r>
        <w:rPr>
          <w:rFonts w:hint="eastAsia" w:ascii="宋体" w:hAnsi="宋体" w:eastAsia="宋体"/>
          <w:sz w:val="24"/>
        </w:rPr>
        <w:t>是全新、未曾使用过的，其质量、规格及技术特征符合合同附件的要求。所有</w:t>
      </w:r>
      <w:r>
        <w:rPr>
          <w:rFonts w:hint="eastAsia" w:ascii="宋体" w:hAnsi="宋体" w:eastAsia="宋体"/>
          <w:sz w:val="24"/>
          <w:lang w:eastAsia="zh-CN"/>
        </w:rPr>
        <w:t>设备（货物）</w:t>
      </w:r>
      <w:r>
        <w:rPr>
          <w:rFonts w:hint="eastAsia" w:ascii="宋体" w:hAnsi="宋体" w:eastAsia="宋体"/>
          <w:sz w:val="24"/>
        </w:rPr>
        <w:t>要求原厂商现场验货、安装和测试，并</w:t>
      </w:r>
      <w:r>
        <w:rPr>
          <w:rFonts w:hint="eastAsia" w:ascii="宋体" w:hAnsi="宋体"/>
          <w:sz w:val="24"/>
        </w:rPr>
        <w:t>提供验收证明。每台货物</w:t>
      </w:r>
      <w:r>
        <w:rPr>
          <w:rFonts w:hint="eastAsia" w:ascii="宋体" w:hAnsi="宋体"/>
          <w:sz w:val="24"/>
          <w:lang w:eastAsia="zh-CN"/>
        </w:rPr>
        <w:t>包装</w:t>
      </w:r>
      <w:r>
        <w:rPr>
          <w:rFonts w:hint="eastAsia" w:ascii="宋体" w:hAnsi="宋体"/>
          <w:sz w:val="24"/>
        </w:rPr>
        <w:t>上</w:t>
      </w:r>
      <w:r>
        <w:rPr>
          <w:rFonts w:hint="eastAsia" w:ascii="宋体" w:hAnsi="宋体"/>
          <w:sz w:val="24"/>
          <w:lang w:eastAsia="zh-CN"/>
        </w:rPr>
        <w:t>装订名牌</w:t>
      </w:r>
      <w:r>
        <w:rPr>
          <w:rFonts w:hint="eastAsia" w:ascii="宋体" w:hAnsi="宋体"/>
          <w:sz w:val="24"/>
        </w:rPr>
        <w:t>（内容</w:t>
      </w:r>
      <w:r>
        <w:rPr>
          <w:rFonts w:hint="eastAsia" w:ascii="宋体" w:hAnsi="宋体"/>
          <w:sz w:val="24"/>
          <w:lang w:eastAsia="zh-CN"/>
        </w:rPr>
        <w:t>包</w:t>
      </w:r>
      <w:r>
        <w:rPr>
          <w:rFonts w:hint="eastAsia" w:ascii="宋体" w:hAnsi="宋体"/>
          <w:sz w:val="24"/>
        </w:rPr>
        <w:t>括：制造商、货物名称、型号规格、出厂日期等）并附有产品质量检验合格标志。乙方应提供货物的</w:t>
      </w:r>
      <w:r>
        <w:rPr>
          <w:rFonts w:hint="eastAsia" w:ascii="宋体" w:hAnsi="宋体"/>
          <w:sz w:val="24"/>
          <w:lang w:eastAsia="zh-CN"/>
        </w:rPr>
        <w:t>随箱</w:t>
      </w:r>
      <w:r>
        <w:rPr>
          <w:rFonts w:hint="eastAsia" w:ascii="宋体" w:hAnsi="宋体"/>
          <w:sz w:val="24"/>
        </w:rPr>
        <w:t>清单、用户手册、保修卡（或保修文件）、</w:t>
      </w:r>
      <w:r>
        <w:rPr>
          <w:rFonts w:hint="eastAsia" w:ascii="宋体" w:hAnsi="宋体"/>
          <w:sz w:val="24"/>
          <w:lang w:eastAsia="zh-CN"/>
        </w:rPr>
        <w:t>随机</w:t>
      </w:r>
      <w:r>
        <w:rPr>
          <w:rFonts w:hint="eastAsia" w:ascii="宋体" w:hAnsi="宋体"/>
          <w:sz w:val="24"/>
        </w:rPr>
        <w:t>资料及配件、随机工具等；乙方不能完整交付上述资料的，视为未按合同约定付货。</w:t>
      </w:r>
    </w:p>
    <w:p>
      <w:pPr>
        <w:spacing w:line="360" w:lineRule="auto"/>
        <w:ind w:left="480" w:hanging="480" w:hangingChars="200"/>
        <w:rPr>
          <w:rFonts w:hint="eastAsia" w:ascii="宋体" w:hAnsi="宋体" w:eastAsia="宋体"/>
          <w:sz w:val="24"/>
          <w:lang w:eastAsia="zh-CN"/>
        </w:rPr>
      </w:pPr>
      <w:r>
        <w:rPr>
          <w:rFonts w:hint="eastAsia" w:ascii="宋体" w:hAnsi="宋体" w:eastAsia="宋体"/>
          <w:sz w:val="24"/>
          <w:lang w:val="en-US" w:eastAsia="zh-CN"/>
        </w:rPr>
        <w:t>6.</w:t>
      </w:r>
      <w:r>
        <w:rPr>
          <w:rFonts w:hint="eastAsia" w:ascii="宋体" w:hAnsi="宋体"/>
          <w:sz w:val="24"/>
          <w:lang w:val="en-US" w:eastAsia="zh-CN"/>
        </w:rPr>
        <w:t>4</w:t>
      </w:r>
      <w:r>
        <w:rPr>
          <w:rFonts w:hint="eastAsia" w:ascii="宋体" w:hAnsi="宋体" w:eastAsia="宋体"/>
          <w:sz w:val="24"/>
        </w:rPr>
        <w:t xml:space="preserve"> 产品质保期：低值易耗品管理系统</w:t>
      </w:r>
      <w:r>
        <w:rPr>
          <w:rFonts w:hint="eastAsia" w:ascii="宋体" w:hAnsi="宋体" w:eastAsia="宋体"/>
          <w:sz w:val="24"/>
          <w:lang w:val="en-US" w:eastAsia="zh-CN"/>
        </w:rPr>
        <w:t>(</w:t>
      </w:r>
      <w:r>
        <w:rPr>
          <w:rFonts w:hint="eastAsia" w:ascii="宋体" w:hAnsi="宋体" w:eastAsia="宋体"/>
          <w:sz w:val="24"/>
        </w:rPr>
        <w:t>终身质保）</w:t>
      </w:r>
      <w:r>
        <w:rPr>
          <w:rFonts w:hint="eastAsia" w:ascii="宋体" w:hAnsi="宋体"/>
          <w:sz w:val="24"/>
          <w:lang w:eastAsia="zh-CN"/>
        </w:rPr>
        <w:t>、</w:t>
      </w:r>
      <w:r>
        <w:rPr>
          <w:rFonts w:hint="eastAsia" w:ascii="宋体" w:hAnsi="宋体" w:eastAsia="宋体"/>
          <w:sz w:val="24"/>
        </w:rPr>
        <w:t>危险化学品管理系统</w:t>
      </w:r>
      <w:r>
        <w:rPr>
          <w:rFonts w:hint="eastAsia" w:ascii="宋体" w:hAnsi="宋体" w:eastAsia="宋体"/>
          <w:sz w:val="24"/>
          <w:lang w:val="en-US" w:eastAsia="zh-CN"/>
        </w:rPr>
        <w:t>(</w:t>
      </w:r>
      <w:r>
        <w:rPr>
          <w:rFonts w:hint="eastAsia" w:ascii="宋体" w:hAnsi="宋体" w:eastAsia="宋体"/>
          <w:sz w:val="24"/>
        </w:rPr>
        <w:t>终身质保）</w:t>
      </w:r>
      <w:r>
        <w:rPr>
          <w:rFonts w:hint="eastAsia" w:ascii="宋体" w:hAnsi="宋体"/>
          <w:sz w:val="24"/>
          <w:lang w:eastAsia="zh-CN"/>
        </w:rPr>
        <w:t>、</w:t>
      </w:r>
    </w:p>
    <w:p>
      <w:pPr>
        <w:spacing w:line="360" w:lineRule="auto"/>
        <w:ind w:left="479" w:leftChars="228" w:firstLine="0" w:firstLineChars="0"/>
        <w:rPr>
          <w:rFonts w:hint="eastAsia" w:ascii="宋体" w:hAnsi="宋体" w:eastAsia="宋体"/>
          <w:sz w:val="24"/>
        </w:rPr>
      </w:pPr>
      <w:r>
        <w:rPr>
          <w:rFonts w:hint="eastAsia" w:ascii="宋体" w:hAnsi="宋体" w:eastAsia="宋体"/>
          <w:sz w:val="24"/>
          <w:lang w:val="en-US" w:eastAsia="zh-CN"/>
        </w:rPr>
        <w:t>平台配套硬件设备(质保一年）</w:t>
      </w:r>
      <w:r>
        <w:rPr>
          <w:rFonts w:hint="eastAsia" w:ascii="宋体" w:hAnsi="宋体" w:eastAsia="宋体"/>
          <w:sz w:val="24"/>
        </w:rPr>
        <w:t>。质保期内，中标人免费维修，保养，安检，调换等，对于采购方人为原因造成的故障，中标人只收取维保成本费用。</w:t>
      </w:r>
    </w:p>
    <w:p>
      <w:pPr>
        <w:spacing w:line="360" w:lineRule="auto"/>
        <w:ind w:left="479" w:leftChars="228" w:firstLine="0" w:firstLineChars="0"/>
        <w:rPr>
          <w:rFonts w:hint="eastAsia" w:ascii="宋体" w:hAnsi="宋体" w:eastAsia="宋体"/>
          <w:sz w:val="24"/>
        </w:rPr>
      </w:pPr>
      <w:r>
        <w:rPr>
          <w:rFonts w:hint="eastAsia" w:ascii="宋体" w:hAnsi="宋体" w:eastAsia="宋体"/>
          <w:sz w:val="24"/>
        </w:rPr>
        <w:t>乙方应按采购文件规定的货物性能、技术要求、质量标准向甲方提供未经使用的全新产品。</w:t>
      </w:r>
    </w:p>
    <w:p>
      <w:pPr>
        <w:spacing w:line="360" w:lineRule="auto"/>
        <w:ind w:left="479" w:leftChars="228" w:firstLine="0" w:firstLineChars="0"/>
        <w:rPr>
          <w:rFonts w:hint="eastAsia" w:ascii="宋体" w:hAnsi="宋体" w:eastAsia="宋体"/>
          <w:sz w:val="24"/>
        </w:rPr>
      </w:pPr>
      <w:r>
        <w:rPr>
          <w:rFonts w:hint="eastAsia" w:ascii="宋体" w:hAnsi="宋体" w:eastAsia="宋体"/>
          <w:sz w:val="24"/>
        </w:rPr>
        <w:t>乙方提供的货物在质保期内因货物本身的质量问题发生故障，乙方应负责免费更换。对达不到技术要求者，根据实际情况，经双方协商，可按以下办法处理：</w:t>
      </w:r>
    </w:p>
    <w:p>
      <w:pPr>
        <w:spacing w:line="360" w:lineRule="auto"/>
        <w:ind w:firstLine="480" w:firstLineChars="200"/>
        <w:rPr>
          <w:rFonts w:hint="eastAsia" w:ascii="宋体" w:hAnsi="宋体" w:eastAsia="宋体"/>
          <w:sz w:val="24"/>
        </w:rPr>
      </w:pPr>
      <w:r>
        <w:rPr>
          <w:rFonts w:hint="eastAsia" w:ascii="宋体" w:hAnsi="宋体" w:eastAsia="宋体"/>
          <w:sz w:val="24"/>
        </w:rPr>
        <w:t>⑴更换：由乙方承担所发生的全部费用。</w:t>
      </w:r>
    </w:p>
    <w:p>
      <w:pPr>
        <w:spacing w:line="360" w:lineRule="auto"/>
        <w:ind w:left="479" w:leftChars="228" w:firstLine="0" w:firstLineChars="0"/>
        <w:rPr>
          <w:rFonts w:hint="eastAsia" w:ascii="宋体" w:hAnsi="宋体" w:eastAsia="宋体"/>
          <w:sz w:val="24"/>
        </w:rPr>
      </w:pPr>
      <w:r>
        <w:rPr>
          <w:rFonts w:hint="eastAsia" w:ascii="宋体" w:hAnsi="宋体" w:eastAsia="宋体"/>
          <w:sz w:val="24"/>
        </w:rPr>
        <w:t>⑵贬值处理：由甲乙双方合议定价。</w:t>
      </w:r>
    </w:p>
    <w:p>
      <w:pPr>
        <w:spacing w:line="360" w:lineRule="auto"/>
        <w:ind w:left="479" w:leftChars="228" w:firstLine="0" w:firstLineChars="0"/>
        <w:rPr>
          <w:rFonts w:hint="eastAsia" w:ascii="宋体" w:hAnsi="宋体" w:eastAsia="宋体"/>
          <w:sz w:val="24"/>
        </w:rPr>
      </w:pPr>
      <w:r>
        <w:rPr>
          <w:rFonts w:hint="eastAsia" w:ascii="宋体" w:hAnsi="宋体" w:eastAsia="宋体"/>
          <w:sz w:val="24"/>
        </w:rPr>
        <w:t>⑶退货处理：乙方应退还甲方支付的合同款，同时应承担该货物的直接费用（运输、保险、检验、合同款利息及银行手续费等）</w:t>
      </w:r>
    </w:p>
    <w:p>
      <w:pPr>
        <w:spacing w:line="360" w:lineRule="auto"/>
        <w:ind w:left="479" w:leftChars="228" w:firstLine="0" w:firstLineChars="0"/>
        <w:rPr>
          <w:rFonts w:hint="eastAsia" w:ascii="宋体" w:hAnsi="宋体"/>
          <w:sz w:val="24"/>
        </w:rPr>
      </w:pPr>
      <w:r>
        <w:rPr>
          <w:rFonts w:hint="eastAsia" w:ascii="宋体" w:hAnsi="宋体" w:eastAsia="宋体"/>
          <w:sz w:val="24"/>
          <w:lang w:val="en-US" w:eastAsia="zh-CN"/>
        </w:rPr>
        <w:t>注:以上产品价格包含运费，增值税发票，安装服务费用。</w:t>
      </w:r>
    </w:p>
    <w:p>
      <w:pPr>
        <w:spacing w:line="360" w:lineRule="auto"/>
        <w:rPr>
          <w:rFonts w:hint="eastAsia" w:ascii="宋体" w:hAnsi="宋体"/>
          <w:sz w:val="24"/>
        </w:rPr>
      </w:pPr>
      <w:r>
        <w:rPr>
          <w:rFonts w:ascii="宋体" w:hAnsi="宋体"/>
          <w:sz w:val="24"/>
        </w:rPr>
        <w:tab/>
      </w:r>
      <w:r>
        <w:rPr>
          <w:rFonts w:hint="eastAsia" w:ascii="宋体" w:hAnsi="宋体"/>
          <w:sz w:val="24"/>
        </w:rPr>
        <w:t>下列情况乙方不负责免费</w:t>
      </w:r>
      <w:r>
        <w:rPr>
          <w:rFonts w:hint="eastAsia" w:ascii="宋体" w:hAnsi="宋体"/>
          <w:sz w:val="24"/>
          <w:lang w:eastAsia="zh-CN"/>
        </w:rPr>
        <w:t>维修</w:t>
      </w:r>
      <w:r>
        <w:rPr>
          <w:rFonts w:hint="eastAsia" w:ascii="宋体" w:hAnsi="宋体"/>
          <w:sz w:val="24"/>
        </w:rPr>
        <w:t>：</w:t>
      </w:r>
    </w:p>
    <w:p>
      <w:pPr>
        <w:spacing w:line="360" w:lineRule="auto"/>
        <w:rPr>
          <w:rFonts w:hint="eastAsia" w:ascii="宋体" w:hAnsi="宋体"/>
          <w:sz w:val="24"/>
        </w:rPr>
      </w:pPr>
      <w:r>
        <w:rPr>
          <w:rFonts w:hint="eastAsia" w:ascii="宋体" w:hAnsi="宋体"/>
          <w:sz w:val="24"/>
        </w:rPr>
        <w:t>（</w:t>
      </w:r>
      <w:r>
        <w:rPr>
          <w:rFonts w:ascii="宋体" w:hAnsi="宋体"/>
          <w:sz w:val="24"/>
        </w:rPr>
        <w:t>1</w:t>
      </w:r>
      <w:r>
        <w:rPr>
          <w:rFonts w:hint="eastAsia" w:ascii="宋体" w:hAnsi="宋体"/>
          <w:sz w:val="24"/>
        </w:rPr>
        <w:t>）甲方不按照乙方提供的正确使用方法而引致</w:t>
      </w:r>
      <w:r>
        <w:rPr>
          <w:rFonts w:hint="eastAsia" w:ascii="宋体" w:hAnsi="宋体"/>
          <w:sz w:val="24"/>
          <w:lang w:eastAsia="zh-CN"/>
        </w:rPr>
        <w:t>设备（货物）</w:t>
      </w:r>
      <w:r>
        <w:rPr>
          <w:rFonts w:hint="eastAsia" w:ascii="宋体" w:hAnsi="宋体"/>
          <w:sz w:val="24"/>
        </w:rPr>
        <w:t>故障损坏；</w:t>
      </w:r>
    </w:p>
    <w:p>
      <w:pPr>
        <w:spacing w:line="360" w:lineRule="auto"/>
        <w:rPr>
          <w:rFonts w:hint="eastAsia" w:ascii="宋体" w:hAnsi="宋体"/>
          <w:sz w:val="24"/>
        </w:rPr>
      </w:pPr>
      <w:r>
        <w:rPr>
          <w:rFonts w:hint="eastAsia" w:ascii="宋体" w:hAnsi="宋体"/>
          <w:sz w:val="24"/>
          <w:lang w:val="en-US" w:eastAsia="zh-CN"/>
        </w:rPr>
        <w:t>(</w:t>
      </w:r>
      <w:r>
        <w:rPr>
          <w:rFonts w:ascii="宋体" w:hAnsi="宋体"/>
          <w:sz w:val="24"/>
        </w:rPr>
        <w:t>2</w:t>
      </w:r>
      <w:r>
        <w:rPr>
          <w:rFonts w:hint="eastAsia" w:ascii="宋体" w:hAnsi="宋体"/>
          <w:sz w:val="24"/>
        </w:rPr>
        <w:t>）擅自改装</w:t>
      </w:r>
      <w:r>
        <w:rPr>
          <w:rFonts w:hint="eastAsia" w:ascii="宋体" w:hAnsi="宋体"/>
          <w:sz w:val="24"/>
          <w:lang w:eastAsia="zh-CN"/>
        </w:rPr>
        <w:t>设备（货物）</w:t>
      </w:r>
      <w:r>
        <w:rPr>
          <w:rFonts w:hint="eastAsia" w:ascii="宋体" w:hAnsi="宋体"/>
          <w:sz w:val="24"/>
        </w:rPr>
        <w:t>；</w:t>
      </w:r>
    </w:p>
    <w:p>
      <w:pPr>
        <w:spacing w:line="360" w:lineRule="auto"/>
        <w:ind w:left="480" w:hanging="480" w:hangingChars="200"/>
        <w:rPr>
          <w:rFonts w:hint="eastAsia" w:ascii="宋体" w:hAnsi="宋体"/>
          <w:sz w:val="24"/>
        </w:rPr>
      </w:pPr>
      <w:r>
        <w:rPr>
          <w:rFonts w:hint="eastAsia" w:ascii="宋体" w:hAnsi="宋体"/>
          <w:sz w:val="24"/>
        </w:rPr>
        <w:t>（</w:t>
      </w:r>
      <w:r>
        <w:rPr>
          <w:rFonts w:ascii="宋体" w:hAnsi="宋体"/>
          <w:sz w:val="24"/>
        </w:rPr>
        <w:t>3</w:t>
      </w:r>
      <w:r>
        <w:rPr>
          <w:rFonts w:hint="eastAsia" w:ascii="宋体" w:hAnsi="宋体"/>
          <w:sz w:val="24"/>
        </w:rPr>
        <w:t>）各种人为</w:t>
      </w:r>
      <w:r>
        <w:rPr>
          <w:rFonts w:hint="eastAsia" w:ascii="宋体" w:hAnsi="宋体"/>
          <w:sz w:val="24"/>
          <w:lang w:eastAsia="zh-CN"/>
        </w:rPr>
        <w:t>原因</w:t>
      </w:r>
      <w:r>
        <w:rPr>
          <w:rFonts w:hint="eastAsia" w:ascii="宋体" w:hAnsi="宋体"/>
          <w:sz w:val="24"/>
        </w:rPr>
        <w:t>或天灾等外来因素造成的损坏。</w:t>
      </w:r>
      <w:r>
        <w:rPr>
          <w:rFonts w:hint="eastAsia" w:ascii="宋体" w:hAnsi="宋体"/>
          <w:sz w:val="24"/>
        </w:rPr>
        <w:tab/>
      </w:r>
    </w:p>
    <w:p>
      <w:pPr>
        <w:spacing w:line="360" w:lineRule="auto"/>
        <w:ind w:left="480" w:hanging="480" w:hangingChars="200"/>
        <w:rPr>
          <w:rFonts w:hint="eastAsia" w:ascii="宋体" w:hAnsi="宋体"/>
          <w:sz w:val="24"/>
        </w:rPr>
      </w:pPr>
      <w:r>
        <w:rPr>
          <w:rFonts w:hint="eastAsia" w:ascii="宋体" w:hAnsi="宋体"/>
          <w:sz w:val="24"/>
          <w:lang w:val="en-US" w:eastAsia="zh-CN"/>
        </w:rPr>
        <w:t>6.5</w:t>
      </w:r>
      <w:r>
        <w:rPr>
          <w:rFonts w:hint="eastAsia" w:ascii="宋体" w:hAnsi="宋体"/>
          <w:sz w:val="24"/>
        </w:rPr>
        <w:t xml:space="preserve"> 货物</w:t>
      </w:r>
      <w:r>
        <w:rPr>
          <w:rFonts w:hint="eastAsia" w:ascii="宋体" w:hAnsi="宋体"/>
          <w:sz w:val="24"/>
          <w:lang w:eastAsia="zh-CN"/>
        </w:rPr>
        <w:t>交</w:t>
      </w:r>
      <w:r>
        <w:rPr>
          <w:rFonts w:hint="eastAsia" w:ascii="宋体" w:hAnsi="宋体"/>
          <w:sz w:val="24"/>
        </w:rPr>
        <w:t>付使用后以书面形式承诺</w:t>
      </w:r>
      <w:r>
        <w:rPr>
          <w:rFonts w:hint="eastAsia" w:ascii="宋体" w:hAnsi="宋体"/>
          <w:sz w:val="24"/>
          <w:lang w:eastAsia="zh-CN"/>
        </w:rPr>
        <w:t>售后</w:t>
      </w:r>
      <w:r>
        <w:rPr>
          <w:rFonts w:hint="eastAsia" w:ascii="宋体" w:hAnsi="宋体"/>
          <w:sz w:val="24"/>
        </w:rPr>
        <w:t>服务，实行终身维护：</w:t>
      </w:r>
    </w:p>
    <w:p>
      <w:pPr>
        <w:spacing w:line="360" w:lineRule="auto"/>
        <w:ind w:left="479" w:leftChars="228"/>
        <w:rPr>
          <w:rFonts w:hint="eastAsia" w:ascii="宋体" w:hAnsi="宋体"/>
          <w:sz w:val="24"/>
        </w:rPr>
      </w:pPr>
      <w:r>
        <w:rPr>
          <w:rFonts w:hint="eastAsia" w:ascii="宋体" w:hAnsi="宋体"/>
          <w:sz w:val="24"/>
          <w:lang w:eastAsia="zh-CN"/>
        </w:rPr>
        <w:t>设备（货物）</w:t>
      </w:r>
      <w:r>
        <w:rPr>
          <w:rFonts w:hint="eastAsia" w:ascii="宋体" w:hAnsi="宋体"/>
          <w:sz w:val="24"/>
        </w:rPr>
        <w:t>维修响应时间：①工作时间（10：00-20：00，节假日除外）内为①工作时间（10：00-20：00，节假日除外）1小时内故障响应，</w:t>
      </w:r>
      <w:r>
        <w:rPr>
          <w:rFonts w:hint="eastAsia" w:ascii="宋体" w:hAnsi="宋体"/>
          <w:sz w:val="24"/>
          <w:lang w:val="en-US" w:eastAsia="zh-CN"/>
        </w:rPr>
        <w:t>2</w:t>
      </w:r>
      <w:r>
        <w:rPr>
          <w:rFonts w:hint="eastAsia" w:ascii="宋体" w:hAnsi="宋体"/>
          <w:sz w:val="24"/>
        </w:rPr>
        <w:t>小时内到达现场提供服务，</w:t>
      </w:r>
      <w:r>
        <w:rPr>
          <w:rFonts w:hint="eastAsia" w:ascii="宋体" w:hAnsi="宋体"/>
          <w:sz w:val="24"/>
          <w:lang w:val="en-US" w:eastAsia="zh-CN"/>
        </w:rPr>
        <w:t>4</w:t>
      </w:r>
      <w:r>
        <w:rPr>
          <w:rFonts w:hint="eastAsia" w:ascii="宋体" w:hAnsi="宋体"/>
          <w:sz w:val="24"/>
        </w:rPr>
        <w:t>小时内处理完毕；②非工作时间（工作时间以外的时间）内为</w:t>
      </w:r>
      <w:r>
        <w:rPr>
          <w:rFonts w:hint="eastAsia" w:ascii="宋体" w:hAnsi="宋体"/>
          <w:sz w:val="24"/>
          <w:lang w:val="en-US" w:eastAsia="zh-CN"/>
        </w:rPr>
        <w:t>2</w:t>
      </w:r>
      <w:r>
        <w:rPr>
          <w:rFonts w:hint="eastAsia" w:ascii="宋体" w:hAnsi="宋体"/>
          <w:sz w:val="24"/>
        </w:rPr>
        <w:t>小时内故障响应，</w:t>
      </w:r>
      <w:r>
        <w:rPr>
          <w:rFonts w:hint="eastAsia" w:ascii="宋体" w:hAnsi="宋体"/>
          <w:sz w:val="24"/>
          <w:lang w:val="en-US" w:eastAsia="zh-CN"/>
        </w:rPr>
        <w:t>4</w:t>
      </w:r>
      <w:r>
        <w:rPr>
          <w:rFonts w:hint="eastAsia" w:ascii="宋体" w:hAnsi="宋体"/>
          <w:sz w:val="24"/>
        </w:rPr>
        <w:t>小时内到达现场提供服务，</w:t>
      </w:r>
      <w:r>
        <w:rPr>
          <w:rFonts w:hint="eastAsia" w:ascii="宋体" w:hAnsi="宋体"/>
          <w:sz w:val="24"/>
          <w:lang w:val="en-US" w:eastAsia="zh-CN"/>
        </w:rPr>
        <w:t>24</w:t>
      </w:r>
      <w:r>
        <w:rPr>
          <w:rFonts w:hint="eastAsia" w:ascii="宋体" w:hAnsi="宋体"/>
          <w:sz w:val="24"/>
        </w:rPr>
        <w:t>小时内处理完毕。。</w:t>
      </w:r>
    </w:p>
    <w:p>
      <w:pPr>
        <w:spacing w:line="360" w:lineRule="auto"/>
        <w:ind w:left="480" w:hanging="480" w:hangingChars="200"/>
        <w:rPr>
          <w:rFonts w:hint="eastAsia" w:ascii="宋体" w:hAnsi="宋体"/>
          <w:sz w:val="24"/>
        </w:rPr>
      </w:pPr>
      <w:r>
        <w:rPr>
          <w:rFonts w:hint="eastAsia" w:ascii="宋体" w:hAnsi="宋体"/>
          <w:sz w:val="24"/>
          <w:lang w:val="en-US" w:eastAsia="zh-CN"/>
        </w:rPr>
        <w:t>6.6</w:t>
      </w:r>
      <w:r>
        <w:rPr>
          <w:rFonts w:hint="eastAsia" w:ascii="宋体" w:hAnsi="宋体" w:cs="Arial"/>
          <w:sz w:val="24"/>
          <w:lang w:val="zh-CN"/>
        </w:rPr>
        <w:t>所有保修服务方式均为</w:t>
      </w:r>
      <w:r>
        <w:rPr>
          <w:rFonts w:hint="eastAsia" w:ascii="宋体" w:hAnsi="宋体"/>
          <w:sz w:val="24"/>
        </w:rPr>
        <w:t>乙方</w:t>
      </w:r>
      <w:r>
        <w:rPr>
          <w:rFonts w:hint="eastAsia" w:ascii="宋体" w:hAnsi="宋体" w:cs="Arial"/>
          <w:sz w:val="24"/>
          <w:lang w:val="zh-CN"/>
        </w:rPr>
        <w:t>到现场保修，即</w:t>
      </w:r>
      <w:r>
        <w:rPr>
          <w:rFonts w:hint="eastAsia" w:ascii="宋体" w:hAnsi="宋体"/>
          <w:sz w:val="24"/>
        </w:rPr>
        <w:t>乙方</w:t>
      </w:r>
      <w:r>
        <w:rPr>
          <w:rFonts w:hint="eastAsia" w:ascii="宋体" w:hAnsi="宋体" w:cs="Arial"/>
          <w:sz w:val="24"/>
          <w:lang w:val="zh-CN"/>
        </w:rPr>
        <w:t>派员到甲方设备（货物）使用现场维修，由此产生的一切费用均由</w:t>
      </w:r>
      <w:r>
        <w:rPr>
          <w:rFonts w:hint="eastAsia" w:ascii="宋体" w:hAnsi="宋体"/>
          <w:sz w:val="24"/>
        </w:rPr>
        <w:t>乙方</w:t>
      </w:r>
      <w:r>
        <w:rPr>
          <w:rFonts w:hint="eastAsia" w:ascii="宋体" w:hAnsi="宋体" w:cs="Arial"/>
          <w:sz w:val="24"/>
          <w:lang w:val="zh-CN"/>
        </w:rPr>
        <w:t>承担。</w:t>
      </w:r>
    </w:p>
    <w:p>
      <w:pPr>
        <w:spacing w:line="360" w:lineRule="auto"/>
        <w:ind w:left="480" w:hanging="480" w:hangingChars="200"/>
        <w:rPr>
          <w:rFonts w:hint="eastAsia"/>
        </w:rPr>
      </w:pPr>
      <w:r>
        <w:rPr>
          <w:rFonts w:hint="eastAsia" w:ascii="宋体" w:hAnsi="宋体"/>
          <w:sz w:val="24"/>
        </w:rPr>
        <w:t>6.</w:t>
      </w:r>
      <w:r>
        <w:rPr>
          <w:rFonts w:hint="eastAsia" w:ascii="宋体" w:hAnsi="宋体"/>
          <w:sz w:val="24"/>
          <w:lang w:val="en-US" w:eastAsia="zh-CN"/>
        </w:rPr>
        <w:t>7</w:t>
      </w:r>
      <w:r>
        <w:rPr>
          <w:rFonts w:hint="eastAsia" w:ascii="宋体" w:hAnsi="宋体"/>
          <w:sz w:val="24"/>
        </w:rPr>
        <w:t>因</w:t>
      </w:r>
      <w:r>
        <w:rPr>
          <w:rFonts w:hint="eastAsia" w:ascii="宋体" w:hAnsi="宋体"/>
          <w:sz w:val="24"/>
          <w:lang w:eastAsia="zh-CN"/>
        </w:rPr>
        <w:t>设备（货物）</w:t>
      </w:r>
      <w:r>
        <w:rPr>
          <w:rFonts w:hint="eastAsia" w:ascii="宋体" w:hAnsi="宋体"/>
          <w:sz w:val="24"/>
        </w:rPr>
        <w:t>的质量问题而发生争议，由新疆维吾尔自治区或当地质检部门进行质量鉴定。</w:t>
      </w:r>
      <w:r>
        <w:rPr>
          <w:rFonts w:hint="eastAsia" w:ascii="宋体" w:hAnsi="宋体"/>
          <w:sz w:val="24"/>
          <w:lang w:eastAsia="zh-CN"/>
        </w:rPr>
        <w:t>设备（货物）</w:t>
      </w:r>
      <w:r>
        <w:rPr>
          <w:rFonts w:hint="eastAsia" w:ascii="宋体" w:hAnsi="宋体"/>
          <w:sz w:val="24"/>
        </w:rPr>
        <w:t>符合质量标准的，鉴定费用由甲方承担；</w:t>
      </w:r>
      <w:r>
        <w:rPr>
          <w:rFonts w:hint="eastAsia" w:ascii="宋体" w:hAnsi="宋体"/>
          <w:sz w:val="24"/>
          <w:lang w:eastAsia="zh-CN"/>
        </w:rPr>
        <w:t>设备（货物）</w:t>
      </w:r>
      <w:r>
        <w:rPr>
          <w:rFonts w:hint="eastAsia" w:ascii="宋体" w:hAnsi="宋体"/>
          <w:sz w:val="24"/>
        </w:rPr>
        <w:t>不符合质量标准的，鉴定费用由乙方房担。</w:t>
      </w:r>
    </w:p>
    <w:p>
      <w:pPr>
        <w:pStyle w:val="6"/>
        <w:spacing w:line="360" w:lineRule="auto"/>
        <w:rPr>
          <w:rFonts w:hint="eastAsia"/>
          <w:sz w:val="28"/>
        </w:rPr>
      </w:pPr>
      <w:bookmarkStart w:id="124" w:name="_Toc21282"/>
      <w:bookmarkStart w:id="125" w:name="_Toc278958180"/>
      <w:bookmarkStart w:id="126" w:name="_Toc279046887"/>
      <w:bookmarkStart w:id="127" w:name="_Toc185747598"/>
      <w:bookmarkStart w:id="128" w:name="_Toc708"/>
      <w:bookmarkStart w:id="129" w:name="_Toc153615307"/>
      <w:bookmarkStart w:id="130" w:name="_Toc191353035"/>
      <w:bookmarkStart w:id="131" w:name="_Toc130697202"/>
      <w:bookmarkStart w:id="132" w:name="_Toc130695610"/>
      <w:bookmarkStart w:id="133" w:name="_Toc279046889"/>
      <w:bookmarkStart w:id="134" w:name="_Toc130695611"/>
      <w:bookmarkStart w:id="135" w:name="_Toc130697203"/>
      <w:bookmarkStart w:id="136" w:name="_Toc153615309"/>
      <w:bookmarkStart w:id="137" w:name="_Toc185747600"/>
      <w:bookmarkStart w:id="138" w:name="_Toc191353037"/>
      <w:bookmarkStart w:id="139" w:name="_Toc278958182"/>
      <w:r>
        <w:rPr>
          <w:sz w:val="28"/>
        </w:rPr>
        <w:t>7</w:t>
      </w:r>
      <w:r>
        <w:rPr>
          <w:rFonts w:hint="eastAsia"/>
          <w:sz w:val="28"/>
        </w:rPr>
        <w:t>、培训</w:t>
      </w:r>
      <w:bookmarkEnd w:id="124"/>
      <w:bookmarkEnd w:id="125"/>
      <w:bookmarkEnd w:id="126"/>
      <w:bookmarkEnd w:id="127"/>
      <w:bookmarkEnd w:id="128"/>
      <w:bookmarkEnd w:id="129"/>
      <w:bookmarkEnd w:id="130"/>
    </w:p>
    <w:p>
      <w:pPr>
        <w:pStyle w:val="7"/>
        <w:ind w:left="114" w:firstLine="480" w:firstLineChars="200"/>
        <w:rPr>
          <w:rFonts w:hint="eastAsia" w:ascii="宋体" w:hAnsi="宋体" w:eastAsia="宋体" w:cs="Calibri"/>
          <w:kern w:val="2"/>
          <w:sz w:val="24"/>
          <w:szCs w:val="21"/>
          <w:lang w:val="en-US" w:eastAsia="zh-CN" w:bidi="ar-SA"/>
        </w:rPr>
      </w:pPr>
      <w:r>
        <w:rPr>
          <w:rFonts w:hint="eastAsia" w:ascii="宋体" w:hAnsi="宋体" w:eastAsia="宋体" w:cs="Calibri"/>
          <w:kern w:val="2"/>
          <w:sz w:val="24"/>
          <w:szCs w:val="21"/>
          <w:lang w:val="en-US" w:eastAsia="zh-CN" w:bidi="ar-SA"/>
        </w:rPr>
        <w:t>乙方为甲方提供操作及维护培训，主要内容为设备（货物）的基本结构、性能、主要部件的构造及原理，日常使用操作、保养与管理，常见故障的排除，紧急情况的处理等，培训地点主要在设备（货物）安装现场或按甲乙双方协商安排。</w:t>
      </w:r>
    </w:p>
    <w:p>
      <w:pPr>
        <w:pStyle w:val="6"/>
        <w:spacing w:line="360" w:lineRule="auto"/>
        <w:rPr>
          <w:rFonts w:hint="eastAsia"/>
        </w:rPr>
      </w:pPr>
      <w:bookmarkStart w:id="140" w:name="_Toc15075"/>
      <w:bookmarkStart w:id="141" w:name="_Toc19017"/>
      <w:bookmarkStart w:id="142" w:name="_Toc153615308"/>
      <w:bookmarkStart w:id="143" w:name="_Toc185747599"/>
      <w:bookmarkStart w:id="144" w:name="_Toc278958181"/>
      <w:bookmarkStart w:id="145" w:name="_Toc191353036"/>
      <w:bookmarkStart w:id="146" w:name="_Toc279046888"/>
      <w:r>
        <w:rPr>
          <w:rFonts w:hint="eastAsia"/>
          <w:sz w:val="28"/>
        </w:rPr>
        <w:t>8、付款方式</w:t>
      </w:r>
      <w:bookmarkEnd w:id="131"/>
      <w:bookmarkEnd w:id="132"/>
      <w:bookmarkEnd w:id="140"/>
      <w:bookmarkEnd w:id="141"/>
      <w:bookmarkEnd w:id="142"/>
      <w:bookmarkEnd w:id="143"/>
      <w:bookmarkEnd w:id="144"/>
      <w:bookmarkEnd w:id="145"/>
      <w:bookmarkEnd w:id="146"/>
    </w:p>
    <w:bookmarkEnd w:id="133"/>
    <w:bookmarkEnd w:id="134"/>
    <w:bookmarkEnd w:id="135"/>
    <w:bookmarkEnd w:id="136"/>
    <w:bookmarkEnd w:id="137"/>
    <w:bookmarkEnd w:id="138"/>
    <w:bookmarkEnd w:id="139"/>
    <w:p>
      <w:pPr>
        <w:pStyle w:val="6"/>
        <w:spacing w:line="360" w:lineRule="auto"/>
        <w:ind w:firstLine="480" w:firstLineChars="200"/>
        <w:rPr>
          <w:rFonts w:hint="eastAsia" w:ascii="宋体" w:hAnsi="宋体" w:eastAsia="宋体" w:cs="Calibri"/>
          <w:b w:val="0"/>
          <w:bCs w:val="0"/>
          <w:kern w:val="2"/>
          <w:sz w:val="24"/>
          <w:szCs w:val="21"/>
          <w:lang w:val="en-US" w:eastAsia="zh-CN" w:bidi="ar-SA"/>
        </w:rPr>
      </w:pPr>
      <w:bookmarkStart w:id="147" w:name="_Toc24203"/>
      <w:bookmarkStart w:id="148" w:name="_Toc10318"/>
      <w:r>
        <w:rPr>
          <w:rFonts w:hint="eastAsia" w:ascii="宋体" w:hAnsi="宋体" w:eastAsia="宋体" w:cs="Calibri"/>
          <w:b w:val="0"/>
          <w:bCs w:val="0"/>
          <w:kern w:val="2"/>
          <w:sz w:val="24"/>
          <w:szCs w:val="21"/>
          <w:lang w:val="en-US" w:eastAsia="zh-CN" w:bidi="ar-SA"/>
        </w:rPr>
        <w:t>项目安装完成验收合格后支付95%，一年后支付5%。</w:t>
      </w:r>
    </w:p>
    <w:p>
      <w:pPr>
        <w:pStyle w:val="6"/>
        <w:spacing w:line="360" w:lineRule="auto"/>
        <w:ind w:firstLine="480" w:firstLineChars="200"/>
        <w:rPr>
          <w:rFonts w:hint="eastAsia" w:ascii="宋体" w:hAnsi="宋体" w:eastAsia="宋体" w:cs="Calibri"/>
          <w:b w:val="0"/>
          <w:bCs w:val="0"/>
          <w:kern w:val="2"/>
          <w:sz w:val="24"/>
          <w:szCs w:val="21"/>
          <w:lang w:val="en-US" w:eastAsia="zh-CN" w:bidi="ar-SA"/>
        </w:rPr>
      </w:pPr>
      <w:r>
        <w:rPr>
          <w:rFonts w:hint="eastAsia" w:ascii="宋体" w:hAnsi="宋体" w:eastAsia="宋体" w:cs="Calibri"/>
          <w:b w:val="0"/>
          <w:bCs w:val="0"/>
          <w:kern w:val="2"/>
          <w:sz w:val="24"/>
          <w:szCs w:val="21"/>
          <w:lang w:val="en-US" w:eastAsia="zh-CN" w:bidi="ar-SA"/>
        </w:rPr>
        <w:t>9、技术服务</w:t>
      </w:r>
      <w:bookmarkEnd w:id="147"/>
      <w:bookmarkEnd w:id="148"/>
    </w:p>
    <w:p>
      <w:pPr>
        <w:spacing w:line="360" w:lineRule="auto"/>
        <w:rPr>
          <w:rFonts w:hint="eastAsia" w:ascii="宋体" w:hAnsi="宋体"/>
          <w:sz w:val="24"/>
        </w:rPr>
      </w:pPr>
      <w:r>
        <w:rPr>
          <w:rFonts w:ascii="宋体" w:hAnsi="宋体"/>
          <w:sz w:val="24"/>
        </w:rPr>
        <w:t xml:space="preserve">9.1 </w:t>
      </w:r>
      <w:r>
        <w:rPr>
          <w:rFonts w:hint="eastAsia" w:ascii="宋体" w:hAnsi="宋体"/>
          <w:sz w:val="24"/>
        </w:rPr>
        <w:t>乙方应派员到甲方指定地点配合工作。</w:t>
      </w:r>
    </w:p>
    <w:p>
      <w:pPr>
        <w:spacing w:line="360" w:lineRule="auto"/>
        <w:ind w:left="480" w:hanging="480" w:hangingChars="200"/>
        <w:rPr>
          <w:rFonts w:hint="eastAsia" w:ascii="宋体" w:hAnsi="宋体"/>
          <w:sz w:val="24"/>
        </w:rPr>
      </w:pPr>
      <w:r>
        <w:rPr>
          <w:rFonts w:ascii="宋体" w:hAnsi="宋体"/>
          <w:sz w:val="24"/>
        </w:rPr>
        <w:t xml:space="preserve">9.2 </w:t>
      </w:r>
      <w:r>
        <w:rPr>
          <w:rFonts w:hint="eastAsia" w:ascii="宋体" w:hAnsi="宋体"/>
          <w:sz w:val="24"/>
        </w:rPr>
        <w:t>乙方按甲方提供的合同执行进度计划，再配合甲方及有关单位，以此做好合同执行进度上的配合工作。</w:t>
      </w:r>
    </w:p>
    <w:p>
      <w:pPr>
        <w:pStyle w:val="6"/>
        <w:spacing w:line="360" w:lineRule="auto"/>
        <w:rPr>
          <w:rFonts w:hint="eastAsia"/>
        </w:rPr>
      </w:pPr>
      <w:bookmarkStart w:id="149" w:name="_Toc130697204"/>
      <w:bookmarkStart w:id="150" w:name="_Toc153615310"/>
      <w:bookmarkStart w:id="151" w:name="_Toc191353038"/>
      <w:bookmarkStart w:id="152" w:name="_Toc14611"/>
      <w:bookmarkStart w:id="153" w:name="_Toc185747601"/>
      <w:bookmarkStart w:id="154" w:name="_Toc278958183"/>
      <w:bookmarkStart w:id="155" w:name="_Toc31457"/>
      <w:bookmarkStart w:id="156" w:name="_Toc279046890"/>
      <w:bookmarkStart w:id="157" w:name="_Toc130695612"/>
      <w:r>
        <w:rPr>
          <w:sz w:val="28"/>
        </w:rPr>
        <w:t>10</w:t>
      </w:r>
      <w:r>
        <w:rPr>
          <w:rFonts w:hint="eastAsia"/>
          <w:sz w:val="28"/>
        </w:rPr>
        <w:t>、不可抗力</w:t>
      </w:r>
      <w:bookmarkEnd w:id="149"/>
      <w:bookmarkEnd w:id="150"/>
      <w:bookmarkEnd w:id="151"/>
      <w:bookmarkEnd w:id="152"/>
      <w:bookmarkEnd w:id="153"/>
      <w:bookmarkEnd w:id="154"/>
      <w:bookmarkEnd w:id="155"/>
      <w:bookmarkEnd w:id="156"/>
      <w:bookmarkEnd w:id="157"/>
    </w:p>
    <w:p>
      <w:pPr>
        <w:spacing w:line="360" w:lineRule="auto"/>
        <w:ind w:right="-420" w:rightChars="-200"/>
        <w:rPr>
          <w:rFonts w:hint="eastAsia" w:ascii="宋体" w:hAnsi="宋体"/>
          <w:sz w:val="24"/>
        </w:rPr>
      </w:pPr>
      <w:r>
        <w:rPr>
          <w:rFonts w:ascii="宋体" w:hAnsi="宋体"/>
          <w:sz w:val="24"/>
        </w:rPr>
        <w:t xml:space="preserve">10.1 </w:t>
      </w:r>
      <w:r>
        <w:rPr>
          <w:rFonts w:hint="eastAsia" w:ascii="宋体" w:hAnsi="宋体"/>
          <w:sz w:val="24"/>
        </w:rPr>
        <w:t>不可抗力指战争、严重火灾、洪水、台风、地震等或其它双方认定的不可抗力事件。</w:t>
      </w:r>
    </w:p>
    <w:p>
      <w:pPr>
        <w:spacing w:line="360" w:lineRule="auto"/>
        <w:ind w:left="480" w:right="-200" w:hanging="480" w:hangingChars="200"/>
        <w:rPr>
          <w:rFonts w:hint="eastAsia" w:ascii="宋体" w:hAnsi="宋体"/>
          <w:sz w:val="24"/>
        </w:rPr>
      </w:pPr>
      <w:r>
        <w:rPr>
          <w:rFonts w:ascii="宋体" w:hAnsi="宋体"/>
          <w:sz w:val="24"/>
        </w:rPr>
        <w:t xml:space="preserve">10.2 </w:t>
      </w:r>
      <w:r>
        <w:rPr>
          <w:rFonts w:hint="eastAsia" w:ascii="宋体" w:hAnsi="宋体"/>
          <w:sz w:val="24"/>
        </w:rPr>
        <w:t>签约双方中任何一方由于不可抗力影响合同执行时，发生不可抗力一方应尽快将事故通知另一方。在此情况下，乙方仍然有责任采取必要的措施加速供货，双方应通过友好协商尽快解决本合同的执行问题。</w:t>
      </w:r>
    </w:p>
    <w:p>
      <w:pPr>
        <w:pStyle w:val="6"/>
        <w:spacing w:line="360" w:lineRule="auto"/>
        <w:rPr>
          <w:rFonts w:hint="eastAsia"/>
        </w:rPr>
      </w:pPr>
      <w:bookmarkStart w:id="158" w:name="_Toc130695613"/>
      <w:bookmarkStart w:id="159" w:name="_Toc153615311"/>
      <w:bookmarkStart w:id="160" w:name="_Toc185747602"/>
      <w:bookmarkStart w:id="161" w:name="_Toc278958184"/>
      <w:bookmarkStart w:id="162" w:name="_Toc5701"/>
      <w:bookmarkStart w:id="163" w:name="_Toc130697205"/>
      <w:bookmarkStart w:id="164" w:name="_Toc191353039"/>
      <w:bookmarkStart w:id="165" w:name="_Toc279046891"/>
      <w:bookmarkStart w:id="166" w:name="_Toc24092"/>
      <w:r>
        <w:rPr>
          <w:sz w:val="28"/>
        </w:rPr>
        <w:t>11</w:t>
      </w:r>
      <w:r>
        <w:rPr>
          <w:rFonts w:hint="eastAsia"/>
          <w:sz w:val="28"/>
        </w:rPr>
        <w:t>、索赔</w:t>
      </w:r>
      <w:bookmarkEnd w:id="158"/>
      <w:bookmarkEnd w:id="159"/>
      <w:bookmarkEnd w:id="160"/>
      <w:bookmarkEnd w:id="161"/>
      <w:bookmarkEnd w:id="162"/>
      <w:bookmarkEnd w:id="163"/>
      <w:bookmarkEnd w:id="164"/>
      <w:bookmarkEnd w:id="165"/>
      <w:bookmarkEnd w:id="166"/>
    </w:p>
    <w:p>
      <w:pPr>
        <w:spacing w:line="360" w:lineRule="auto"/>
        <w:rPr>
          <w:rFonts w:hint="eastAsia" w:ascii="宋体" w:hAnsi="宋体"/>
          <w:sz w:val="24"/>
        </w:rPr>
      </w:pPr>
      <w:r>
        <w:rPr>
          <w:rFonts w:ascii="宋体" w:hAnsi="宋体"/>
          <w:sz w:val="24"/>
        </w:rPr>
        <w:t xml:space="preserve">11.1 </w:t>
      </w:r>
      <w:r>
        <w:rPr>
          <w:rFonts w:hint="eastAsia" w:ascii="宋体" w:hAnsi="宋体"/>
          <w:sz w:val="24"/>
        </w:rPr>
        <w:t>如有异议，甲方有权根据有关政府部门的检验结果向乙方提出索赔。</w:t>
      </w:r>
    </w:p>
    <w:p>
      <w:pPr>
        <w:spacing w:line="360" w:lineRule="auto"/>
        <w:ind w:left="720" w:hanging="720" w:hangingChars="300"/>
        <w:rPr>
          <w:rFonts w:hint="eastAsia" w:ascii="宋体" w:hAnsi="宋体"/>
          <w:sz w:val="24"/>
        </w:rPr>
      </w:pPr>
      <w:r>
        <w:rPr>
          <w:rFonts w:ascii="宋体" w:hAnsi="宋体"/>
          <w:sz w:val="24"/>
        </w:rPr>
        <w:t xml:space="preserve">11.2 </w:t>
      </w:r>
      <w:r>
        <w:rPr>
          <w:rFonts w:hint="eastAsia" w:ascii="宋体" w:hAnsi="宋体"/>
          <w:sz w:val="24"/>
        </w:rPr>
        <w:t>在合同执行期间，如果乙方对甲方提出的索赔和差异负有责任，乙方应按照甲方同意的下列一种或多种方式解决索赔事宜：</w:t>
      </w:r>
    </w:p>
    <w:p>
      <w:pPr>
        <w:spacing w:line="360" w:lineRule="auto"/>
        <w:ind w:left="480" w:hanging="480" w:hangingChars="200"/>
        <w:rPr>
          <w:rFonts w:hint="eastAsia" w:ascii="宋体" w:hAnsi="宋体"/>
          <w:sz w:val="24"/>
        </w:rPr>
      </w:pPr>
      <w:r>
        <w:rPr>
          <w:rFonts w:hint="eastAsia" w:ascii="宋体" w:hAnsi="宋体"/>
          <w:sz w:val="24"/>
        </w:rPr>
        <w:t>（</w:t>
      </w:r>
      <w:r>
        <w:rPr>
          <w:rFonts w:ascii="宋体" w:hAnsi="宋体"/>
          <w:sz w:val="24"/>
        </w:rPr>
        <w:t>1</w:t>
      </w:r>
      <w:r>
        <w:rPr>
          <w:rFonts w:hint="eastAsia" w:ascii="宋体" w:hAnsi="宋体"/>
          <w:sz w:val="24"/>
        </w:rPr>
        <w:t>）乙方同意退货，并按合同规定的同种货币将货款退还给甲方，并承担由此发生的一切损失和费用。</w:t>
      </w:r>
    </w:p>
    <w:p>
      <w:pPr>
        <w:spacing w:line="360" w:lineRule="auto"/>
        <w:ind w:left="480" w:hanging="480" w:hangingChars="200"/>
        <w:rPr>
          <w:rFonts w:hint="eastAsia" w:ascii="宋体" w:hAnsi="宋体"/>
          <w:sz w:val="24"/>
        </w:rPr>
      </w:pPr>
      <w:r>
        <w:rPr>
          <w:rFonts w:hint="eastAsia" w:ascii="宋体" w:hAnsi="宋体"/>
          <w:sz w:val="24"/>
        </w:rPr>
        <w:t>（</w:t>
      </w:r>
      <w:r>
        <w:rPr>
          <w:rFonts w:ascii="宋体" w:hAnsi="宋体"/>
          <w:sz w:val="24"/>
        </w:rPr>
        <w:t>2</w:t>
      </w:r>
      <w:r>
        <w:rPr>
          <w:rFonts w:hint="eastAsia" w:ascii="宋体" w:hAnsi="宋体"/>
          <w:sz w:val="24"/>
        </w:rPr>
        <w:t>）根据货物低劣程度、损坏程度以及甲方所遭受损失的数额甲乙双方商定降低货物的价格。</w:t>
      </w:r>
    </w:p>
    <w:p>
      <w:pPr>
        <w:spacing w:line="360" w:lineRule="auto"/>
        <w:ind w:left="638" w:hanging="638" w:hangingChars="266"/>
        <w:rPr>
          <w:rFonts w:hint="eastAsia" w:ascii="宋体" w:hAnsi="宋体"/>
          <w:sz w:val="24"/>
        </w:rPr>
      </w:pPr>
      <w:r>
        <w:rPr>
          <w:rFonts w:hint="eastAsia" w:ascii="宋体" w:hAnsi="宋体"/>
          <w:sz w:val="24"/>
        </w:rPr>
        <w:t>（</w:t>
      </w:r>
      <w:r>
        <w:rPr>
          <w:rFonts w:ascii="宋体" w:hAnsi="宋体"/>
          <w:sz w:val="24"/>
        </w:rPr>
        <w:t>3</w:t>
      </w:r>
      <w:r>
        <w:rPr>
          <w:rFonts w:hint="eastAsia" w:ascii="宋体" w:hAnsi="宋体"/>
          <w:sz w:val="24"/>
        </w:rPr>
        <w:t>）用符合规格、质量和性能要求的新零件、部件或货物来更换有缺陷的部分或修补缺陷的部分，乙方应承担一切费用和风险并负有甲方所发生的一切直接费用。同时，相应延长质量保证期。</w:t>
      </w:r>
    </w:p>
    <w:p>
      <w:pPr>
        <w:spacing w:line="360" w:lineRule="auto"/>
        <w:ind w:left="638" w:hanging="638" w:hangingChars="266"/>
        <w:rPr>
          <w:rFonts w:hint="eastAsia" w:ascii="宋体" w:hAnsi="宋体"/>
          <w:sz w:val="24"/>
        </w:rPr>
      </w:pPr>
      <w:r>
        <w:rPr>
          <w:rFonts w:ascii="宋体" w:hAnsi="宋体"/>
          <w:sz w:val="24"/>
        </w:rPr>
        <w:t xml:space="preserve">11.3 </w:t>
      </w:r>
      <w:r>
        <w:rPr>
          <w:rFonts w:hint="eastAsia" w:ascii="宋体" w:hAnsi="宋体"/>
          <w:sz w:val="24"/>
        </w:rPr>
        <w:t>如果在甲方发出索赔通知后</w:t>
      </w:r>
      <w:r>
        <w:rPr>
          <w:rFonts w:ascii="宋体" w:hAnsi="宋体"/>
          <w:sz w:val="24"/>
          <w:shd w:val="clear" w:color="auto" w:fill="FFFFFF"/>
        </w:rPr>
        <w:t>30</w:t>
      </w:r>
      <w:r>
        <w:rPr>
          <w:rFonts w:hint="eastAsia" w:ascii="宋体" w:hAnsi="宋体"/>
          <w:sz w:val="24"/>
        </w:rPr>
        <w:t>天内，乙方未作答复，上述索赔应视为已被乙方接受。甲方将从合同款项中扣回索赔金额。如果这些金额不足以补偿索赔金额，甲方有权向乙方提出不足部分的补偿。</w:t>
      </w:r>
    </w:p>
    <w:p>
      <w:pPr>
        <w:pStyle w:val="6"/>
        <w:spacing w:line="360" w:lineRule="auto"/>
        <w:rPr>
          <w:rFonts w:hint="eastAsia"/>
        </w:rPr>
      </w:pPr>
      <w:bookmarkStart w:id="167" w:name="_Toc278958185"/>
      <w:bookmarkStart w:id="168" w:name="_Toc130697206"/>
      <w:bookmarkStart w:id="169" w:name="_Toc153615312"/>
      <w:bookmarkStart w:id="170" w:name="_Toc130695614"/>
      <w:bookmarkStart w:id="171" w:name="_Toc185747603"/>
      <w:bookmarkStart w:id="172" w:name="_Toc191353040"/>
      <w:bookmarkStart w:id="173" w:name="_Toc24643"/>
      <w:bookmarkStart w:id="174" w:name="_Toc279046892"/>
      <w:bookmarkStart w:id="175" w:name="_Toc24897"/>
      <w:r>
        <w:rPr>
          <w:sz w:val="28"/>
        </w:rPr>
        <w:t>12</w:t>
      </w:r>
      <w:r>
        <w:rPr>
          <w:rFonts w:hint="eastAsia"/>
          <w:sz w:val="28"/>
        </w:rPr>
        <w:t>、违约与处罚</w:t>
      </w:r>
      <w:bookmarkEnd w:id="167"/>
      <w:bookmarkEnd w:id="168"/>
      <w:bookmarkEnd w:id="169"/>
      <w:bookmarkEnd w:id="170"/>
      <w:bookmarkEnd w:id="171"/>
      <w:bookmarkEnd w:id="172"/>
      <w:bookmarkEnd w:id="173"/>
      <w:bookmarkEnd w:id="174"/>
      <w:bookmarkEnd w:id="175"/>
    </w:p>
    <w:p>
      <w:pPr>
        <w:spacing w:line="360" w:lineRule="auto"/>
        <w:ind w:left="638" w:hanging="638" w:hangingChars="266"/>
        <w:rPr>
          <w:rFonts w:hint="eastAsia" w:ascii="宋体" w:hAnsi="宋体"/>
          <w:sz w:val="24"/>
        </w:rPr>
      </w:pPr>
      <w:r>
        <w:rPr>
          <w:rFonts w:ascii="宋体" w:hAnsi="宋体"/>
          <w:sz w:val="24"/>
        </w:rPr>
        <w:t xml:space="preserve">12.1 </w:t>
      </w:r>
      <w:r>
        <w:rPr>
          <w:rFonts w:hint="eastAsia" w:ascii="宋体" w:hAnsi="宋体"/>
          <w:sz w:val="24"/>
        </w:rPr>
        <w:t>甲方应依合同规定时间内向</w:t>
      </w:r>
      <w:r>
        <w:rPr>
          <w:rFonts w:hint="eastAsia" w:ascii="宋体" w:hAnsi="宋体"/>
          <w:sz w:val="24"/>
          <w:lang w:eastAsia="zh-CN"/>
        </w:rPr>
        <w:t>当地财政部门</w:t>
      </w:r>
      <w:r>
        <w:rPr>
          <w:rFonts w:hint="eastAsia" w:ascii="宋体" w:hAnsi="宋体"/>
          <w:sz w:val="24"/>
        </w:rPr>
        <w:t>申请办理政府集中支付手续，每拖延一天乙方可向甲方加收合同金额的</w:t>
      </w:r>
      <w:r>
        <w:rPr>
          <w:rFonts w:ascii="宋体" w:hAnsi="宋体"/>
          <w:sz w:val="24"/>
          <w:shd w:val="clear" w:color="auto" w:fill="FFFFFF"/>
        </w:rPr>
        <w:t>3</w:t>
      </w:r>
      <w:r>
        <w:rPr>
          <w:rFonts w:hint="eastAsia" w:ascii="宋体" w:hAnsi="宋体"/>
          <w:sz w:val="24"/>
          <w:shd w:val="clear" w:color="auto" w:fill="FFFFFF"/>
        </w:rPr>
        <w:t>‰</w:t>
      </w:r>
      <w:r>
        <w:rPr>
          <w:rFonts w:hint="eastAsia" w:ascii="宋体" w:hAnsi="宋体"/>
          <w:sz w:val="24"/>
        </w:rPr>
        <w:t>的违约金。</w:t>
      </w:r>
    </w:p>
    <w:p>
      <w:pPr>
        <w:spacing w:line="360" w:lineRule="auto"/>
        <w:rPr>
          <w:rFonts w:hint="eastAsia" w:ascii="宋体" w:hAnsi="宋体"/>
          <w:sz w:val="24"/>
        </w:rPr>
      </w:pPr>
      <w:r>
        <w:rPr>
          <w:rFonts w:ascii="宋体" w:hAnsi="宋体"/>
          <w:sz w:val="24"/>
        </w:rPr>
        <w:t xml:space="preserve">12.2 </w:t>
      </w:r>
      <w:r>
        <w:rPr>
          <w:rFonts w:hint="eastAsia" w:ascii="宋体" w:hAnsi="宋体"/>
          <w:sz w:val="24"/>
        </w:rPr>
        <w:t>乙方未能按时交货，每拖延一天，须向甲方支付合同金额的</w:t>
      </w:r>
      <w:r>
        <w:rPr>
          <w:rFonts w:ascii="宋体" w:hAnsi="宋体"/>
          <w:sz w:val="24"/>
          <w:shd w:val="clear" w:color="auto" w:fill="FFFFFF"/>
        </w:rPr>
        <w:t>3</w:t>
      </w:r>
      <w:r>
        <w:rPr>
          <w:rFonts w:hint="eastAsia" w:ascii="宋体" w:hAnsi="宋体"/>
          <w:sz w:val="24"/>
          <w:shd w:val="clear" w:color="auto" w:fill="FFFFFF"/>
        </w:rPr>
        <w:t>‰</w:t>
      </w:r>
      <w:r>
        <w:rPr>
          <w:rFonts w:hint="eastAsia" w:ascii="宋体" w:hAnsi="宋体"/>
          <w:sz w:val="24"/>
        </w:rPr>
        <w:t>的违约金。</w:t>
      </w:r>
    </w:p>
    <w:p>
      <w:pPr>
        <w:spacing w:line="360" w:lineRule="auto"/>
        <w:ind w:left="720" w:hanging="720" w:hangingChars="300"/>
        <w:rPr>
          <w:rFonts w:hint="eastAsia" w:ascii="宋体" w:hAnsi="宋体"/>
          <w:sz w:val="24"/>
        </w:rPr>
      </w:pPr>
      <w:r>
        <w:rPr>
          <w:rFonts w:ascii="宋体" w:hAnsi="宋体"/>
          <w:sz w:val="24"/>
        </w:rPr>
        <w:t xml:space="preserve">12.3 </w:t>
      </w:r>
      <w:r>
        <w:rPr>
          <w:rFonts w:hint="eastAsia" w:ascii="宋体" w:hAnsi="宋体"/>
          <w:sz w:val="24"/>
        </w:rPr>
        <w:t>乙方交付的货物不符合合同规定的，甲方有权拒收，乙方向甲方支付合同金额的</w:t>
      </w:r>
      <w:r>
        <w:rPr>
          <w:rFonts w:ascii="宋体" w:hAnsi="宋体"/>
          <w:sz w:val="24"/>
          <w:shd w:val="clear" w:color="auto" w:fill="FFFFFF"/>
        </w:rPr>
        <w:t>5%</w:t>
      </w:r>
      <w:r>
        <w:rPr>
          <w:rFonts w:hint="eastAsia" w:ascii="宋体" w:hAnsi="宋体"/>
          <w:sz w:val="24"/>
        </w:rPr>
        <w:t>的违约金。</w:t>
      </w:r>
    </w:p>
    <w:p>
      <w:pPr>
        <w:spacing w:line="360" w:lineRule="auto"/>
        <w:rPr>
          <w:rFonts w:hint="eastAsia" w:ascii="宋体" w:hAnsi="宋体"/>
          <w:sz w:val="24"/>
        </w:rPr>
      </w:pPr>
      <w:r>
        <w:rPr>
          <w:rFonts w:ascii="宋体" w:hAnsi="宋体"/>
          <w:sz w:val="24"/>
        </w:rPr>
        <w:t xml:space="preserve">12.4 </w:t>
      </w:r>
      <w:r>
        <w:rPr>
          <w:rFonts w:hint="eastAsia" w:ascii="宋体" w:hAnsi="宋体"/>
          <w:sz w:val="24"/>
        </w:rPr>
        <w:t>甲方无正当理由拒收货物的，甲方向乙方支付合同金额的</w:t>
      </w:r>
      <w:r>
        <w:rPr>
          <w:rFonts w:ascii="宋体" w:hAnsi="宋体"/>
          <w:sz w:val="24"/>
          <w:shd w:val="clear" w:color="auto" w:fill="FFFFFF"/>
        </w:rPr>
        <w:t>5%</w:t>
      </w:r>
      <w:r>
        <w:rPr>
          <w:rFonts w:hint="eastAsia" w:ascii="宋体" w:hAnsi="宋体"/>
          <w:sz w:val="24"/>
        </w:rPr>
        <w:t>的违约金。</w:t>
      </w:r>
    </w:p>
    <w:p>
      <w:pPr>
        <w:spacing w:line="360" w:lineRule="auto"/>
        <w:rPr>
          <w:rFonts w:hint="eastAsia" w:ascii="宋体" w:hAnsi="宋体"/>
          <w:sz w:val="24"/>
        </w:rPr>
      </w:pPr>
      <w:r>
        <w:rPr>
          <w:rFonts w:ascii="宋体" w:hAnsi="宋体"/>
          <w:sz w:val="24"/>
        </w:rPr>
        <w:t xml:space="preserve">12.5 </w:t>
      </w:r>
      <w:r>
        <w:rPr>
          <w:rFonts w:hint="eastAsia" w:ascii="宋体" w:hAnsi="宋体"/>
          <w:sz w:val="24"/>
        </w:rPr>
        <w:t>乙方未能交付货物，则向甲方支付合同金额的</w:t>
      </w:r>
      <w:r>
        <w:rPr>
          <w:rFonts w:ascii="宋体" w:hAnsi="宋体"/>
          <w:sz w:val="24"/>
          <w:shd w:val="clear" w:color="auto" w:fill="FFFFFF"/>
        </w:rPr>
        <w:t>7.5%</w:t>
      </w:r>
      <w:r>
        <w:rPr>
          <w:rFonts w:hint="eastAsia" w:ascii="宋体" w:hAnsi="宋体"/>
          <w:sz w:val="24"/>
        </w:rPr>
        <w:t>的违约金。</w:t>
      </w:r>
    </w:p>
    <w:p>
      <w:pPr>
        <w:pStyle w:val="6"/>
        <w:spacing w:line="360" w:lineRule="auto"/>
        <w:rPr>
          <w:rFonts w:hint="eastAsia"/>
        </w:rPr>
      </w:pPr>
      <w:bookmarkStart w:id="176" w:name="_Toc130695615"/>
      <w:bookmarkStart w:id="177" w:name="_Toc130697207"/>
      <w:bookmarkStart w:id="178" w:name="_Toc278958186"/>
      <w:bookmarkStart w:id="179" w:name="_Toc279046893"/>
      <w:bookmarkStart w:id="180" w:name="_Toc9658"/>
      <w:bookmarkStart w:id="181" w:name="_Toc153615313"/>
      <w:bookmarkStart w:id="182" w:name="_Toc22596"/>
      <w:bookmarkStart w:id="183" w:name="_Toc185747604"/>
      <w:bookmarkStart w:id="184" w:name="_Toc191353041"/>
      <w:r>
        <w:rPr>
          <w:sz w:val="28"/>
        </w:rPr>
        <w:t>13</w:t>
      </w:r>
      <w:r>
        <w:rPr>
          <w:rFonts w:hint="eastAsia"/>
          <w:sz w:val="28"/>
        </w:rPr>
        <w:t>、合同终止</w:t>
      </w:r>
      <w:bookmarkEnd w:id="176"/>
      <w:bookmarkEnd w:id="177"/>
      <w:bookmarkEnd w:id="178"/>
      <w:bookmarkEnd w:id="179"/>
      <w:bookmarkEnd w:id="180"/>
      <w:bookmarkEnd w:id="181"/>
      <w:bookmarkEnd w:id="182"/>
      <w:bookmarkEnd w:id="183"/>
      <w:bookmarkEnd w:id="184"/>
    </w:p>
    <w:p>
      <w:pPr>
        <w:spacing w:line="360" w:lineRule="auto"/>
        <w:rPr>
          <w:rFonts w:hint="eastAsia" w:ascii="宋体" w:hAnsi="宋体"/>
          <w:sz w:val="24"/>
        </w:rPr>
      </w:pPr>
      <w:r>
        <w:rPr>
          <w:rFonts w:ascii="宋体" w:hAnsi="宋体"/>
          <w:sz w:val="24"/>
        </w:rPr>
        <w:tab/>
      </w:r>
      <w:r>
        <w:rPr>
          <w:rFonts w:hint="eastAsia" w:ascii="宋体" w:hAnsi="宋体"/>
          <w:sz w:val="24"/>
        </w:rPr>
        <w:t>如果一方严重违反合同，并在收到对方违约通知书后在</w:t>
      </w:r>
      <w:r>
        <w:rPr>
          <w:rFonts w:ascii="宋体" w:hAnsi="宋体"/>
          <w:sz w:val="24"/>
          <w:shd w:val="clear" w:color="auto" w:fill="FFFFFF"/>
        </w:rPr>
        <w:t>30</w:t>
      </w:r>
      <w:r>
        <w:rPr>
          <w:rFonts w:hint="eastAsia" w:ascii="宋体" w:hAnsi="宋体"/>
          <w:sz w:val="24"/>
        </w:rPr>
        <w:t>天内仍未能改正违约的，另一方可立即终止本合同。</w:t>
      </w:r>
    </w:p>
    <w:p>
      <w:pPr>
        <w:pStyle w:val="6"/>
        <w:spacing w:line="360" w:lineRule="auto"/>
        <w:rPr>
          <w:rFonts w:hint="eastAsia"/>
        </w:rPr>
      </w:pPr>
      <w:bookmarkStart w:id="185" w:name="_Toc130697208"/>
      <w:bookmarkStart w:id="186" w:name="_Toc21100"/>
      <w:bookmarkStart w:id="187" w:name="_Toc130695616"/>
      <w:bookmarkStart w:id="188" w:name="_Toc279046894"/>
      <w:bookmarkStart w:id="189" w:name="_Toc191353042"/>
      <w:bookmarkStart w:id="190" w:name="_Toc7446"/>
      <w:bookmarkStart w:id="191" w:name="_Toc153615314"/>
      <w:bookmarkStart w:id="192" w:name="_Toc185747605"/>
      <w:bookmarkStart w:id="193" w:name="_Toc278958187"/>
      <w:r>
        <w:rPr>
          <w:sz w:val="28"/>
        </w:rPr>
        <w:t>1</w:t>
      </w:r>
      <w:r>
        <w:rPr>
          <w:rFonts w:hint="eastAsia"/>
          <w:sz w:val="28"/>
        </w:rPr>
        <w:t>4、法律诉讼</w:t>
      </w:r>
      <w:bookmarkEnd w:id="185"/>
      <w:bookmarkEnd w:id="186"/>
      <w:bookmarkEnd w:id="187"/>
      <w:bookmarkEnd w:id="188"/>
      <w:bookmarkEnd w:id="189"/>
      <w:bookmarkEnd w:id="190"/>
      <w:bookmarkEnd w:id="191"/>
      <w:bookmarkEnd w:id="192"/>
      <w:bookmarkEnd w:id="193"/>
    </w:p>
    <w:p>
      <w:pPr>
        <w:spacing w:line="360" w:lineRule="auto"/>
        <w:rPr>
          <w:rFonts w:hint="eastAsia" w:ascii="宋体" w:hAnsi="宋体"/>
          <w:sz w:val="24"/>
        </w:rPr>
      </w:pPr>
      <w:r>
        <w:rPr>
          <w:rFonts w:ascii="宋体" w:hAnsi="宋体"/>
          <w:sz w:val="24"/>
        </w:rPr>
        <w:tab/>
      </w:r>
      <w:r>
        <w:rPr>
          <w:rFonts w:hint="eastAsia" w:ascii="宋体" w:hAnsi="宋体"/>
          <w:sz w:val="24"/>
        </w:rPr>
        <w:t>签约双方在履约中发生争执和分歧，双方应通过友好协商解决，若经协商不能达成协议时，则由</w:t>
      </w:r>
      <w:r>
        <w:rPr>
          <w:rFonts w:hint="eastAsia" w:ascii="宋体" w:hAnsi="宋体"/>
          <w:sz w:val="24"/>
          <w:lang w:eastAsia="zh-CN"/>
        </w:rPr>
        <w:t>甲方</w:t>
      </w:r>
      <w:r>
        <w:rPr>
          <w:rFonts w:hint="eastAsia" w:ascii="宋体" w:hAnsi="宋体"/>
          <w:sz w:val="24"/>
        </w:rPr>
        <w:t>所在地人民法院提起诉讼。受理期间，双方应继续执行合同其余部分。</w:t>
      </w:r>
    </w:p>
    <w:p>
      <w:pPr>
        <w:pStyle w:val="6"/>
        <w:spacing w:line="360" w:lineRule="auto"/>
        <w:rPr>
          <w:rFonts w:hint="eastAsia"/>
        </w:rPr>
      </w:pPr>
      <w:bookmarkStart w:id="194" w:name="_Toc24260"/>
      <w:bookmarkStart w:id="195" w:name="_Toc191353043"/>
      <w:bookmarkStart w:id="196" w:name="_Toc278958188"/>
      <w:bookmarkStart w:id="197" w:name="_Toc130695617"/>
      <w:bookmarkStart w:id="198" w:name="_Toc279046895"/>
      <w:bookmarkStart w:id="199" w:name="_Toc153615315"/>
      <w:bookmarkStart w:id="200" w:name="_Toc3962"/>
      <w:bookmarkStart w:id="201" w:name="_Toc130697209"/>
      <w:bookmarkStart w:id="202" w:name="_Toc185747606"/>
      <w:r>
        <w:rPr>
          <w:sz w:val="28"/>
        </w:rPr>
        <w:t>1</w:t>
      </w:r>
      <w:r>
        <w:rPr>
          <w:rFonts w:hint="eastAsia"/>
          <w:sz w:val="28"/>
        </w:rPr>
        <w:t>5、其它</w:t>
      </w:r>
      <w:bookmarkEnd w:id="194"/>
      <w:bookmarkEnd w:id="195"/>
      <w:bookmarkEnd w:id="196"/>
      <w:bookmarkEnd w:id="197"/>
      <w:bookmarkEnd w:id="198"/>
      <w:bookmarkEnd w:id="199"/>
      <w:bookmarkEnd w:id="200"/>
      <w:bookmarkEnd w:id="201"/>
      <w:bookmarkEnd w:id="202"/>
    </w:p>
    <w:p>
      <w:pPr>
        <w:spacing w:line="360" w:lineRule="auto"/>
        <w:rPr>
          <w:rFonts w:hint="eastAsia" w:ascii="宋体" w:hAnsi="宋体"/>
          <w:sz w:val="24"/>
        </w:rPr>
      </w:pPr>
      <w:r>
        <w:rPr>
          <w:rFonts w:ascii="宋体" w:hAnsi="宋体"/>
          <w:sz w:val="24"/>
        </w:rPr>
        <w:t>1</w:t>
      </w:r>
      <w:r>
        <w:rPr>
          <w:rFonts w:hint="eastAsia" w:ascii="宋体" w:hAnsi="宋体"/>
          <w:sz w:val="24"/>
        </w:rPr>
        <w:t>5</w:t>
      </w:r>
      <w:r>
        <w:rPr>
          <w:rFonts w:ascii="宋体" w:hAnsi="宋体"/>
          <w:sz w:val="24"/>
        </w:rPr>
        <w:t>.1</w:t>
      </w:r>
      <w:r>
        <w:rPr>
          <w:rFonts w:hint="eastAsia" w:ascii="宋体" w:hAnsi="宋体"/>
          <w:sz w:val="24"/>
        </w:rPr>
        <w:t>本合同正本六份，具有同等法律效力，甲乙双方各二份，财政局一份，招标代理机构一份。合同自签字之日起即时生效。</w:t>
      </w:r>
    </w:p>
    <w:p>
      <w:pPr>
        <w:spacing w:line="360" w:lineRule="auto"/>
        <w:rPr>
          <w:rFonts w:hint="eastAsia" w:ascii="宋体" w:hAnsi="宋体"/>
          <w:sz w:val="24"/>
        </w:rPr>
      </w:pPr>
      <w:r>
        <w:rPr>
          <w:rFonts w:ascii="宋体" w:hAnsi="宋体"/>
          <w:sz w:val="24"/>
        </w:rPr>
        <w:t>1</w:t>
      </w:r>
      <w:r>
        <w:rPr>
          <w:rFonts w:hint="eastAsia" w:ascii="宋体" w:hAnsi="宋体"/>
          <w:sz w:val="24"/>
        </w:rPr>
        <w:t>5</w:t>
      </w:r>
      <w:r>
        <w:rPr>
          <w:rFonts w:ascii="宋体" w:hAnsi="宋体"/>
          <w:sz w:val="24"/>
        </w:rPr>
        <w:t xml:space="preserve">.2 </w:t>
      </w:r>
      <w:r>
        <w:rPr>
          <w:rFonts w:hint="eastAsia" w:ascii="宋体" w:hAnsi="宋体"/>
          <w:sz w:val="24"/>
        </w:rPr>
        <w:t>本合同未尽事宜，由双方协商处理。</w:t>
      </w:r>
    </w:p>
    <w:p>
      <w:pPr>
        <w:spacing w:line="360" w:lineRule="auto"/>
        <w:rPr>
          <w:rFonts w:hint="eastAsia" w:ascii="宋体" w:hAnsi="宋体"/>
          <w:sz w:val="24"/>
        </w:rPr>
      </w:pPr>
      <w:r>
        <w:rPr>
          <w:rFonts w:hint="eastAsia" w:ascii="宋体" w:hAnsi="宋体"/>
          <w:sz w:val="24"/>
        </w:rPr>
        <w:t>甲方：</w:t>
      </w:r>
      <w:r>
        <w:rPr>
          <w:rFonts w:ascii="宋体" w:hAnsi="宋体"/>
          <w:sz w:val="24"/>
        </w:rPr>
        <w:t xml:space="preserve">                                 </w:t>
      </w:r>
      <w:r>
        <w:rPr>
          <w:rFonts w:hint="eastAsia" w:ascii="宋体" w:hAnsi="宋体"/>
          <w:sz w:val="24"/>
        </w:rPr>
        <w:t>乙方：</w:t>
      </w:r>
    </w:p>
    <w:p>
      <w:pPr>
        <w:spacing w:line="360" w:lineRule="auto"/>
        <w:rPr>
          <w:rFonts w:hint="eastAsia" w:ascii="宋体" w:hAnsi="宋体"/>
          <w:sz w:val="24"/>
        </w:rPr>
      </w:pPr>
      <w:r>
        <w:rPr>
          <w:rFonts w:ascii="宋体" w:hAnsi="宋体"/>
          <w:sz w:val="24"/>
          <w:u w:val="single"/>
        </w:rPr>
        <w:t xml:space="preserve">              </w:t>
      </w:r>
      <w:r>
        <w:rPr>
          <w:rFonts w:hint="eastAsia"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ascii="宋体" w:hAnsi="宋体"/>
          <w:sz w:val="24"/>
          <w:u w:val="single"/>
        </w:rPr>
        <w:t xml:space="preserve">              </w:t>
      </w:r>
    </w:p>
    <w:p>
      <w:pPr>
        <w:spacing w:line="360" w:lineRule="auto"/>
        <w:rPr>
          <w:rFonts w:hint="eastAsia" w:ascii="宋体" w:hAnsi="宋体"/>
          <w:sz w:val="24"/>
        </w:rPr>
      </w:pPr>
      <w:r>
        <w:rPr>
          <w:rFonts w:hint="eastAsia" w:ascii="宋体" w:hAnsi="宋体"/>
          <w:sz w:val="24"/>
        </w:rPr>
        <w:t>签约代表：</w:t>
      </w:r>
      <w:r>
        <w:rPr>
          <w:rFonts w:ascii="宋体" w:hAnsi="宋体"/>
          <w:sz w:val="24"/>
        </w:rPr>
        <w:t xml:space="preserve">                             </w:t>
      </w:r>
      <w:r>
        <w:rPr>
          <w:rFonts w:hint="eastAsia" w:ascii="宋体" w:hAnsi="宋体"/>
          <w:sz w:val="24"/>
        </w:rPr>
        <w:t>签约代表：</w:t>
      </w:r>
    </w:p>
    <w:p>
      <w:pPr>
        <w:spacing w:line="360" w:lineRule="auto"/>
        <w:rPr>
          <w:rFonts w:hint="eastAsia" w:ascii="宋体" w:hAnsi="宋体"/>
          <w:sz w:val="24"/>
        </w:rPr>
      </w:pPr>
      <w:r>
        <w:rPr>
          <w:rFonts w:hint="eastAsia" w:ascii="宋体" w:hAnsi="宋体"/>
          <w:sz w:val="24"/>
        </w:rPr>
        <w:t>地址：</w:t>
      </w:r>
      <w:r>
        <w:rPr>
          <w:rFonts w:ascii="宋体" w:hAnsi="宋体"/>
          <w:sz w:val="24"/>
        </w:rPr>
        <w:t xml:space="preserve">                                 </w:t>
      </w:r>
      <w:r>
        <w:rPr>
          <w:rFonts w:hint="eastAsia" w:ascii="宋体" w:hAnsi="宋体"/>
          <w:sz w:val="24"/>
        </w:rPr>
        <w:t>地址：</w:t>
      </w:r>
    </w:p>
    <w:p>
      <w:pPr>
        <w:spacing w:line="360" w:lineRule="auto"/>
        <w:rPr>
          <w:rFonts w:hint="eastAsia" w:ascii="宋体" w:hAnsi="宋体"/>
          <w:sz w:val="24"/>
        </w:rPr>
      </w:pPr>
      <w:r>
        <w:rPr>
          <w:rFonts w:hint="eastAsia" w:ascii="宋体" w:hAnsi="宋体"/>
          <w:sz w:val="24"/>
        </w:rPr>
        <w:t>电话：　　　</w:t>
      </w:r>
      <w:r>
        <w:rPr>
          <w:rFonts w:ascii="宋体" w:hAnsi="宋体"/>
          <w:sz w:val="24"/>
        </w:rPr>
        <w:t xml:space="preserve">                           </w:t>
      </w:r>
      <w:r>
        <w:rPr>
          <w:rFonts w:hint="eastAsia" w:ascii="宋体" w:hAnsi="宋体"/>
          <w:sz w:val="24"/>
        </w:rPr>
        <w:t>电话：</w:t>
      </w:r>
    </w:p>
    <w:p>
      <w:pPr>
        <w:spacing w:line="360" w:lineRule="auto"/>
        <w:rPr>
          <w:rFonts w:hint="eastAsia" w:ascii="宋体" w:hAnsi="宋体"/>
          <w:sz w:val="24"/>
        </w:rPr>
      </w:pPr>
      <w:r>
        <w:rPr>
          <w:rFonts w:hint="eastAsia" w:ascii="宋体" w:hAnsi="宋体"/>
          <w:sz w:val="24"/>
        </w:rPr>
        <w:t>传真：　　　</w:t>
      </w:r>
      <w:r>
        <w:rPr>
          <w:rFonts w:ascii="宋体" w:hAnsi="宋体"/>
          <w:sz w:val="24"/>
        </w:rPr>
        <w:t xml:space="preserve">                           </w:t>
      </w:r>
      <w:r>
        <w:rPr>
          <w:rFonts w:hint="eastAsia" w:ascii="宋体" w:hAnsi="宋体"/>
          <w:sz w:val="24"/>
        </w:rPr>
        <w:t>传真：</w:t>
      </w:r>
    </w:p>
    <w:p>
      <w:pPr>
        <w:spacing w:line="360" w:lineRule="auto"/>
        <w:rPr>
          <w:rFonts w:hint="eastAsia" w:ascii="宋体" w:hAnsi="宋体"/>
          <w:sz w:val="24"/>
        </w:rPr>
      </w:pPr>
      <w:r>
        <w:rPr>
          <w:rFonts w:hint="eastAsia" w:ascii="宋体" w:hAnsi="宋体"/>
          <w:sz w:val="24"/>
        </w:rPr>
        <w:t xml:space="preserve">签约日期：    </w:t>
      </w:r>
      <w:r>
        <w:rPr>
          <w:rFonts w:ascii="宋体" w:hAnsi="宋体"/>
          <w:sz w:val="24"/>
        </w:rPr>
        <w:t xml:space="preserve">年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 xml:space="preserve">签约日期：    </w:t>
      </w:r>
      <w:r>
        <w:rPr>
          <w:rFonts w:ascii="宋体" w:hAnsi="宋体"/>
          <w:sz w:val="24"/>
        </w:rPr>
        <w:t xml:space="preserve">年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rPr>
          <w:b/>
          <w:bCs/>
          <w:sz w:val="24"/>
        </w:rPr>
        <w:sectPr>
          <w:footerReference r:id="rId6" w:type="default"/>
          <w:pgSz w:w="11906" w:h="16838"/>
          <w:pgMar w:top="1191" w:right="1418" w:bottom="1191" w:left="1418" w:header="737" w:footer="737" w:gutter="0"/>
          <w:pgNumType w:fmt="decimal"/>
          <w:cols w:space="720" w:num="1"/>
          <w:docGrid w:linePitch="312" w:charSpace="0"/>
        </w:sectPr>
      </w:pPr>
      <w:r>
        <w:rPr>
          <w:rFonts w:hint="eastAsia" w:ascii="宋体" w:hAnsi="宋体"/>
          <w:sz w:val="24"/>
        </w:rPr>
        <w:t>签约</w:t>
      </w:r>
    </w:p>
    <w:p>
      <w:pPr>
        <w:pStyle w:val="3"/>
        <w:bidi w:val="0"/>
        <w:jc w:val="center"/>
        <w:rPr>
          <w:rFonts w:hint="eastAsia"/>
          <w:sz w:val="32"/>
          <w:szCs w:val="16"/>
          <w:lang w:eastAsia="zh-CN"/>
        </w:rPr>
      </w:pPr>
      <w:bookmarkStart w:id="203" w:name="_Toc10109_WPSOffice_Level1"/>
      <w:bookmarkStart w:id="204" w:name="_Toc9576"/>
      <w:bookmarkStart w:id="205" w:name="_Toc5615168"/>
      <w:r>
        <w:rPr>
          <w:rFonts w:hint="eastAsia"/>
          <w:sz w:val="32"/>
          <w:szCs w:val="16"/>
          <w:lang w:eastAsia="zh-CN"/>
        </w:rPr>
        <w:t>第四章：</w:t>
      </w:r>
      <w:r>
        <w:rPr>
          <w:rFonts w:hint="eastAsia"/>
          <w:sz w:val="32"/>
          <w:szCs w:val="16"/>
          <w:lang w:val="en-US" w:eastAsia="zh-CN"/>
        </w:rPr>
        <w:t xml:space="preserve"> </w:t>
      </w:r>
      <w:r>
        <w:rPr>
          <w:rFonts w:hint="eastAsia"/>
          <w:sz w:val="32"/>
          <w:szCs w:val="16"/>
          <w:lang w:eastAsia="zh-CN"/>
        </w:rPr>
        <w:t>采购需求</w:t>
      </w:r>
      <w:bookmarkEnd w:id="203"/>
      <w:bookmarkEnd w:id="204"/>
    </w:p>
    <w:p>
      <w:pPr>
        <w:pStyle w:val="17"/>
        <w:spacing w:line="440" w:lineRule="exact"/>
        <w:ind w:firstLine="562"/>
        <w:outlineLvl w:val="1"/>
        <w:rPr>
          <w:rFonts w:hint="eastAsia" w:ascii="宋体" w:hAnsi="宋体" w:eastAsia="宋体" w:cs="宋体"/>
          <w:b/>
          <w:sz w:val="24"/>
          <w:szCs w:val="24"/>
        </w:rPr>
      </w:pPr>
      <w:r>
        <w:rPr>
          <w:rFonts w:hint="eastAsia" w:ascii="宋体" w:hAnsi="宋体" w:eastAsia="宋体" w:cs="宋体"/>
          <w:b/>
          <w:sz w:val="24"/>
          <w:szCs w:val="24"/>
        </w:rPr>
        <w:t>（一）低值易耗品管理系统  1套（终身质保）</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1、申购计划：</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（1）申购计划发布：发布每年度的低值申请公告，学校发布可以所有学院进行申购，学院发布只允许本学院进行申购。</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（2）申购计划申请：学院老师提交申购计划。（可输入或弹出历年度申购计划选择，允许对数量进行修改；申购单包括品名、规格、单位、需求数、类别、备注、价格）。</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（3）申购计划审批：设置自定义流程，可进行金额控制，不同金额审批环节不同。</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（4）申购计划查询：对申购计划进行查询统计。</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2、采购验收：</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（1）采购申请：可直接进行零星采购。</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（2）采购审批：进行采购审批，审批好后进入采购环节。</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（3）验收入库：采购完毕后，根据采购内容进行耗材入库并指定存入仓库、存放位置，生成入库单。提交后入库，增加相应库存，并生成记录。</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（4）采购查询：对采购内容进行查询统计。</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3、领用申请：</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（1）领用申请：学院老师根据课程所需选择需要的耗材并提交。</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（2）领用审批：对了领用单进行审批，审批完成后进行实际领出出库。</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（3）领用出库：经管理员审批后，可到仓库管理员处领取并由管理员提交领用出库单。</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（4）返还入库：如需返还的低值易耗品，在使用完成后必须进行返还入库操作。</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（5）领用查询：对领用记录进行查询统计。</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4、库存管理：</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（1）仓库管理：对学校或学院的低值易耗品仓库进行管理。可以是实际仓库或虚拟仓库。</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 xml:space="preserve">（2）当前库存：对仓库中库存进行管理，库存数量、存放位置等。 </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（3）库存变动监控：可以查看各个仓库的库存变动情况（入库、领用、归还）记录。</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（4）库存预警：当仓库中的物资少于设置的最低值时，发出预警通知。</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5、系统设置：</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系统可设置申购、采购、领用三步骤的审批流程；基础的低值易耗品，根据各个学院来进行分类管理；可管理低值易耗品的供应商；各学院可自设低值易耗品的分类库；具备导入分类、基础物资、库存清单等数据导入功能及教师角色权限管理</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6、查询统计：可查询不同教师采购总费用所占总采购经费的比例；不同分类的低值易耗品的汇总；不同教师在某时间段领用物资内容及价值。</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系统要求同学校现有平台做对接，免费负责对接一卡通及门户网站内做连接等，为了保证数据的无缝对接需提供能够与学校现有一卡通系统对接证明材料。</w:t>
      </w:r>
    </w:p>
    <w:p>
      <w:pPr>
        <w:pStyle w:val="17"/>
        <w:spacing w:line="440" w:lineRule="exact"/>
        <w:ind w:firstLine="560"/>
        <w:rPr>
          <w:rFonts w:hint="eastAsia" w:ascii="宋体" w:hAnsi="宋体" w:eastAsia="宋体" w:cs="宋体"/>
          <w:bCs/>
          <w:color w:val="FF0000"/>
          <w:sz w:val="24"/>
          <w:szCs w:val="24"/>
        </w:rPr>
      </w:pPr>
      <w:r>
        <w:rPr>
          <w:rFonts w:hint="eastAsia" w:ascii="宋体" w:hAnsi="宋体" w:eastAsia="宋体" w:cs="宋体"/>
          <w:bCs/>
          <w:color w:val="FF0000"/>
          <w:sz w:val="24"/>
          <w:szCs w:val="24"/>
        </w:rPr>
        <w:t>软件必须提供：▲提供危化品与物资管理软件著作权证书（厂家盖公章）、登记证书及检测报告。（不提供视为不响应）。非生产企业提供产品授权书及售后服务承诺书。</w:t>
      </w:r>
    </w:p>
    <w:p>
      <w:pPr>
        <w:pStyle w:val="17"/>
        <w:spacing w:line="440" w:lineRule="exact"/>
        <w:ind w:firstLine="562"/>
        <w:outlineLvl w:val="1"/>
        <w:rPr>
          <w:rFonts w:hint="eastAsia" w:ascii="宋体" w:hAnsi="宋体" w:eastAsia="宋体" w:cs="宋体"/>
          <w:b/>
          <w:sz w:val="24"/>
          <w:szCs w:val="24"/>
        </w:rPr>
      </w:pPr>
      <w:r>
        <w:rPr>
          <w:rFonts w:hint="eastAsia" w:ascii="宋体" w:hAnsi="宋体" w:eastAsia="宋体" w:cs="宋体"/>
          <w:b/>
          <w:sz w:val="24"/>
          <w:szCs w:val="24"/>
        </w:rPr>
        <w:t>（二）危险化学品管理系统  1套（终身质保）</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一、基础数据管理</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1.品目管理：包含全国化学品品目数据，其中目前已包含CAS号、品目名称、MSDS汇编说明书内容数据，管理员后期可对品目信息进行维护。</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2.基础物资：基础的化学品，其中能包含了化学品的 MSDS汇编的说明书内容以及化学品的详情数据。</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3.类别库：危险化学品的分类库，各个学院分类可以自行设置。</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4.部门管理：管理学院以及行政单位数据，管理员可在系统中进行维护。</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5.用户管理：管理学生以及教师数据，管理员可在系统中进行维护。</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6.字典管理：管理系统中字典数据</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7.数据导入：实现各类基础数据的导入功能，方便用户进行基础数据的录入工作。</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二、申购/申报计划</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1.集中申购：</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1）申购计划发布：发布每年度的化学品申请公告</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2）申购：申购人提交申购单，可以通过Excel导入、直接输入、也可根据实验项目、课程所关联的使用耗材自动列出所需申购清单。</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3）申购单审批：进行申购单审批，根据申请化学品的类型区分审批流程，审批通过后可打印导出采购清单进行线下采购。</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4）申购单汇总：根据分类、学院等信息自动生成分包或手动分包，生成采购清单，可以打印导出采购清单进行线下采购。</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2.零星申购：</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 xml:space="preserve">1）零星申购：各学院老师根据当前所需化学品填写申购单。 </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2）零星申购审批：根据申请化学品的类型区分审批流程，审批通过后可打印导出采购清单进行线下采购。</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三、验收入库管理</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1.验收入库：采购完毕后，入库可选择入学校总仓库、学院下仓库、实验室仓库或个人。</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2.二维码入库：管制类化学品根据入库单生成二维码标签，可通过二维码扫描入库。</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四、领用管理</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1.领用申请：学院教师可指定学生/用户领用普通化学品；若领用管制类化学品，领用人必须为两位学生/用户，领用时需对2位领用人的身份进行实时认证。</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2.领用出库：经教师申请后，指定领用人可到仓库管理员处领取申请的化学品，并由管理员提交领用出库单。</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五、库存管理</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1.仓库管理：对学校或学院的化学品仓库进行管理。</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2.当前库存：对仓库中库存进行管理，设置某化学品的存放地点等信息。可监控校、院等地点的化学品当前库存。</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3.库存变动监控：可以查看各个仓库的库存变动情况，入库多少，领用多少，归还多少。</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4.库存预警：当仓库中的物资少于设置的最低值时，系统发出采购预警通知。</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六、查询统计</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1.汇总表：</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（1）不同分类的化学品的汇总。</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（2）查询领用人在某个时间段领用了多少化学品及物品价值。</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（3）搜索某个化学品，可以查询到领用人及领用时间等信息。</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2.申购统计：可根据化学品、学院、实验中心、人员进行统计，可统计申购金额、次数、数量。</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3.使用查询：查询使用人领用明细记录，并可根据化学品统计使用情况。</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七、系统设置</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1.审批流程步骤：可自定义设置申购、领用的每一步审批流程。</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2.数据导入：导入分类、基础物资、库存清单。</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3.角色管理：设置各老师所属的角色权限。</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4.初始化数据：对系统进行初始化，一般首次使用时进行设置。</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系统支持计重管理有配套的硬件，提供厂家证明材料。</w:t>
      </w:r>
    </w:p>
    <w:p>
      <w:pPr>
        <w:pStyle w:val="17"/>
        <w:spacing w:line="440" w:lineRule="exact"/>
        <w:ind w:firstLine="560"/>
        <w:rPr>
          <w:rFonts w:hint="eastAsia" w:ascii="宋体" w:hAnsi="宋体" w:eastAsia="宋体" w:cs="宋体"/>
          <w:bCs/>
          <w:color w:val="FF0000"/>
          <w:sz w:val="24"/>
          <w:szCs w:val="24"/>
        </w:rPr>
      </w:pPr>
      <w:r>
        <w:rPr>
          <w:rFonts w:hint="eastAsia" w:ascii="宋体" w:hAnsi="宋体" w:eastAsia="宋体" w:cs="宋体"/>
          <w:bCs/>
          <w:color w:val="FF0000"/>
          <w:sz w:val="24"/>
          <w:szCs w:val="24"/>
        </w:rPr>
        <w:t>软件必须提供：▲提供危化品与物资管理软件著作权证书（厂家盖公章）、登记证书及检测报告。（不提供视为不响应）。非生产企业提供产品授权书及售后服务承诺书。</w:t>
      </w:r>
    </w:p>
    <w:p>
      <w:pPr>
        <w:pStyle w:val="17"/>
        <w:spacing w:line="440" w:lineRule="exact"/>
        <w:ind w:firstLine="562"/>
        <w:outlineLvl w:val="1"/>
        <w:rPr>
          <w:rFonts w:hint="eastAsia" w:ascii="宋体" w:hAnsi="宋体" w:eastAsia="宋体" w:cs="宋体"/>
          <w:b/>
          <w:sz w:val="24"/>
          <w:szCs w:val="24"/>
        </w:rPr>
      </w:pPr>
      <w:r>
        <w:rPr>
          <w:rFonts w:hint="eastAsia" w:ascii="宋体" w:hAnsi="宋体" w:eastAsia="宋体" w:cs="宋体"/>
          <w:b/>
          <w:sz w:val="24"/>
          <w:szCs w:val="24"/>
        </w:rPr>
        <w:t>（三）平台配套硬件设备（质保一年）</w:t>
      </w:r>
    </w:p>
    <w:p>
      <w:pPr>
        <w:pStyle w:val="17"/>
        <w:spacing w:line="440" w:lineRule="exact"/>
        <w:ind w:firstLine="562"/>
        <w:rPr>
          <w:rFonts w:hint="eastAsia" w:ascii="宋体" w:hAnsi="宋体" w:eastAsia="宋体" w:cs="宋体"/>
          <w:b/>
          <w:sz w:val="24"/>
          <w:szCs w:val="24"/>
        </w:rPr>
      </w:pPr>
      <w:r>
        <w:rPr>
          <w:rFonts w:hint="eastAsia" w:ascii="宋体" w:hAnsi="宋体" w:eastAsia="宋体" w:cs="宋体"/>
          <w:b/>
          <w:sz w:val="24"/>
          <w:szCs w:val="24"/>
        </w:rPr>
        <w:t>1）编码管理打印机：1台</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支持条码/二维码高清快速打印，300DPI分辨率,热转印/热敏，8M内存，32位RISC微处理器。</w:t>
      </w:r>
    </w:p>
    <w:p>
      <w:pPr>
        <w:pStyle w:val="17"/>
        <w:spacing w:line="440" w:lineRule="exact"/>
        <w:ind w:firstLine="562"/>
        <w:rPr>
          <w:rFonts w:hint="eastAsia" w:ascii="宋体" w:hAnsi="宋体" w:eastAsia="宋体" w:cs="宋体"/>
          <w:b/>
          <w:sz w:val="24"/>
          <w:szCs w:val="24"/>
        </w:rPr>
      </w:pPr>
      <w:r>
        <w:rPr>
          <w:rFonts w:hint="eastAsia" w:ascii="宋体" w:hAnsi="宋体" w:eastAsia="宋体" w:cs="宋体"/>
          <w:b/>
          <w:sz w:val="24"/>
          <w:szCs w:val="24"/>
        </w:rPr>
        <w:t>2）物品出入库管理扫描枪：1个</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支持条形码/二维码快速扫描。解码能力：1D/2D/PDF417解码能力</w:t>
      </w:r>
      <w:bookmarkStart w:id="223" w:name="_GoBack"/>
      <w:bookmarkEnd w:id="223"/>
      <w:r>
        <w:rPr>
          <w:rFonts w:hint="eastAsia" w:ascii="宋体" w:hAnsi="宋体" w:eastAsia="宋体" w:cs="宋体"/>
          <w:bCs/>
          <w:sz w:val="24"/>
          <w:szCs w:val="24"/>
        </w:rPr>
        <w:t>：1D/2D/PDF41；支持的图像模式：位图, JPEG, TIFF 。</w:t>
      </w:r>
    </w:p>
    <w:p>
      <w:pPr>
        <w:pStyle w:val="17"/>
        <w:spacing w:line="440" w:lineRule="exact"/>
        <w:ind w:firstLine="562"/>
        <w:rPr>
          <w:rFonts w:hint="eastAsia" w:ascii="宋体" w:hAnsi="宋体" w:eastAsia="宋体" w:cs="宋体"/>
          <w:b/>
          <w:sz w:val="24"/>
          <w:szCs w:val="24"/>
        </w:rPr>
      </w:pPr>
      <w:r>
        <w:rPr>
          <w:rFonts w:hint="eastAsia" w:ascii="宋体" w:hAnsi="宋体" w:eastAsia="宋体" w:cs="宋体"/>
          <w:b/>
          <w:sz w:val="24"/>
          <w:szCs w:val="24"/>
        </w:rPr>
        <w:t>3）计算机：1台</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台式机 I5/4g/1T/19.5显示器/DVD光驱 1套</w:t>
      </w:r>
    </w:p>
    <w:p>
      <w:pPr>
        <w:pStyle w:val="17"/>
        <w:spacing w:line="440" w:lineRule="exact"/>
        <w:ind w:firstLine="562"/>
        <w:rPr>
          <w:rFonts w:hint="eastAsia" w:ascii="宋体" w:hAnsi="宋体" w:eastAsia="宋体" w:cs="宋体"/>
          <w:b/>
          <w:sz w:val="24"/>
          <w:szCs w:val="24"/>
        </w:rPr>
      </w:pPr>
      <w:r>
        <w:rPr>
          <w:rFonts w:hint="eastAsia" w:ascii="宋体" w:hAnsi="宋体" w:eastAsia="宋体" w:cs="宋体"/>
          <w:b/>
          <w:sz w:val="24"/>
          <w:szCs w:val="24"/>
        </w:rPr>
        <w:t>4）一卡通读卡器： 1台</w:t>
      </w:r>
    </w:p>
    <w:p>
      <w:pPr>
        <w:pStyle w:val="17"/>
        <w:spacing w:line="440" w:lineRule="exact"/>
        <w:ind w:firstLine="560"/>
        <w:rPr>
          <w:rFonts w:hint="eastAsia" w:ascii="宋体" w:hAnsi="宋体" w:eastAsia="宋体" w:cs="宋体"/>
          <w:bCs/>
          <w:sz w:val="24"/>
          <w:szCs w:val="24"/>
        </w:rPr>
      </w:pPr>
      <w:r>
        <w:rPr>
          <w:rFonts w:hint="eastAsia" w:ascii="宋体" w:hAnsi="宋体" w:eastAsia="宋体" w:cs="宋体"/>
          <w:bCs/>
          <w:sz w:val="24"/>
          <w:szCs w:val="24"/>
        </w:rPr>
        <w:t xml:space="preserve">   同现有一卡通同一品牌，支持采购软件与一卡通数据同步。</w:t>
      </w:r>
    </w:p>
    <w:p>
      <w:pPr>
        <w:pStyle w:val="17"/>
        <w:spacing w:line="440" w:lineRule="exact"/>
        <w:ind w:firstLine="560"/>
        <w:rPr>
          <w:rFonts w:hint="eastAsia" w:ascii="宋体" w:hAnsi="宋体" w:eastAsia="宋体" w:cs="宋体"/>
          <w:bCs/>
          <w:sz w:val="24"/>
          <w:szCs w:val="24"/>
        </w:rPr>
      </w:pPr>
    </w:p>
    <w:p>
      <w:pPr>
        <w:pStyle w:val="17"/>
        <w:numPr>
          <w:ilvl w:val="0"/>
          <w:numId w:val="0"/>
        </w:numPr>
        <w:ind w:leftChars="0"/>
        <w:jc w:val="left"/>
        <w:rPr>
          <w:rFonts w:hint="eastAsia" w:ascii="宋体" w:hAnsi="宋体" w:eastAsia="宋体" w:cs="宋体"/>
          <w:b/>
          <w:sz w:val="24"/>
          <w:szCs w:val="24"/>
        </w:rPr>
      </w:pPr>
    </w:p>
    <w:p>
      <w:pPr>
        <w:jc w:val="left"/>
        <w:rPr>
          <w:rFonts w:hint="default" w:ascii="宋体" w:hAnsi="宋体" w:eastAsia="宋体" w:cs="宋体"/>
          <w:b/>
          <w:bCs/>
          <w:sz w:val="24"/>
          <w:szCs w:val="24"/>
          <w:lang w:val="en-US" w:eastAsia="zh-CN"/>
        </w:rPr>
      </w:pPr>
    </w:p>
    <w:p>
      <w:pPr>
        <w:pStyle w:val="2"/>
        <w:rPr>
          <w:rFonts w:hint="eastAsia"/>
          <w:lang w:val="en-US" w:eastAsia="zh-CN"/>
        </w:rPr>
      </w:pPr>
    </w:p>
    <w:p>
      <w:pPr>
        <w:rPr>
          <w:rFonts w:hint="eastAsia"/>
          <w:lang w:eastAsia="zh-CN"/>
        </w:rPr>
      </w:pPr>
      <w:bookmarkStart w:id="206" w:name="_Toc14156_WPSOffice_Level1"/>
    </w:p>
    <w:p>
      <w:pPr>
        <w:pStyle w:val="3"/>
        <w:bidi w:val="0"/>
        <w:jc w:val="both"/>
        <w:rPr>
          <w:rFonts w:hint="eastAsia"/>
          <w:sz w:val="32"/>
          <w:szCs w:val="16"/>
          <w:lang w:eastAsia="zh-CN"/>
        </w:rPr>
      </w:pPr>
      <w:bookmarkStart w:id="207" w:name="_Toc26024"/>
    </w:p>
    <w:p>
      <w:pPr>
        <w:rPr>
          <w:rFonts w:hint="eastAsia"/>
          <w:sz w:val="32"/>
          <w:szCs w:val="16"/>
          <w:lang w:eastAsia="zh-CN"/>
        </w:rPr>
      </w:pPr>
    </w:p>
    <w:p>
      <w:pPr>
        <w:pStyle w:val="2"/>
        <w:rPr>
          <w:rFonts w:hint="eastAsia"/>
          <w:sz w:val="32"/>
          <w:szCs w:val="16"/>
          <w:lang w:eastAsia="zh-CN"/>
        </w:rPr>
      </w:pPr>
    </w:p>
    <w:p>
      <w:pPr>
        <w:pStyle w:val="2"/>
        <w:rPr>
          <w:rFonts w:hint="eastAsia"/>
          <w:sz w:val="32"/>
          <w:szCs w:val="16"/>
          <w:lang w:eastAsia="zh-CN"/>
        </w:rPr>
      </w:pPr>
    </w:p>
    <w:p>
      <w:pPr>
        <w:pStyle w:val="3"/>
        <w:bidi w:val="0"/>
        <w:jc w:val="center"/>
        <w:rPr>
          <w:sz w:val="32"/>
          <w:szCs w:val="16"/>
        </w:rPr>
      </w:pPr>
      <w:r>
        <w:rPr>
          <w:rFonts w:hint="eastAsia"/>
          <w:sz w:val="32"/>
          <w:szCs w:val="16"/>
          <w:lang w:eastAsia="zh-CN"/>
        </w:rPr>
        <w:t>第五章</w:t>
      </w:r>
      <w:r>
        <w:rPr>
          <w:rFonts w:hint="eastAsia"/>
          <w:sz w:val="32"/>
          <w:szCs w:val="16"/>
        </w:rPr>
        <w:t>磋商响应文件格式</w:t>
      </w:r>
      <w:bookmarkEnd w:id="205"/>
      <w:bookmarkEnd w:id="206"/>
      <w:bookmarkEnd w:id="207"/>
    </w:p>
    <w:p>
      <w:pPr>
        <w:rPr>
          <w:rFonts w:ascii="宋体" w:cs="Times New Roman"/>
          <w:color w:val="000000"/>
          <w:sz w:val="24"/>
          <w:szCs w:val="24"/>
          <w:u w:val="single"/>
        </w:rPr>
      </w:pPr>
      <w:r>
        <w:rPr>
          <w:rFonts w:hint="eastAsia" w:ascii="宋体" w:hAnsi="宋体" w:cs="宋体"/>
          <w:color w:val="000000"/>
          <w:sz w:val="24"/>
          <w:szCs w:val="24"/>
          <w:u w:val="single"/>
        </w:rPr>
        <w:t>磋商响应文件封面示例</w:t>
      </w:r>
    </w:p>
    <w:p>
      <w:pPr>
        <w:spacing w:line="720" w:lineRule="auto"/>
        <w:ind w:right="315"/>
        <w:jc w:val="right"/>
        <w:rPr>
          <w:rFonts w:ascii="宋体" w:cs="Times New Roman"/>
          <w:b/>
          <w:bCs/>
          <w:sz w:val="24"/>
          <w:szCs w:val="24"/>
          <w:bdr w:val="single" w:color="auto" w:sz="4" w:space="0"/>
        </w:rPr>
      </w:pPr>
      <w:bookmarkStart w:id="208" w:name="_Toc13898_WPSOffice_Level1"/>
      <w:r>
        <w:rPr>
          <w:rFonts w:hint="eastAsia" w:ascii="宋体" w:hAnsi="宋体" w:cs="宋体"/>
          <w:b/>
          <w:bCs/>
          <w:sz w:val="24"/>
          <w:szCs w:val="24"/>
          <w:bdr w:val="single" w:color="auto" w:sz="4" w:space="0"/>
        </w:rPr>
        <w:t>正本</w:t>
      </w:r>
      <w:bookmarkEnd w:id="208"/>
    </w:p>
    <w:p>
      <w:pPr>
        <w:spacing w:line="720" w:lineRule="auto"/>
        <w:jc w:val="center"/>
        <w:rPr>
          <w:rFonts w:ascii="宋体" w:cs="Times New Roman"/>
          <w:b/>
          <w:bCs/>
          <w:sz w:val="24"/>
          <w:szCs w:val="24"/>
          <w:u w:val="single"/>
        </w:rPr>
      </w:pPr>
      <w:r>
        <w:rPr>
          <w:rFonts w:hint="eastAsia" w:ascii="宋体" w:hAnsi="宋体" w:cs="宋体"/>
          <w:b/>
          <w:bCs/>
          <w:sz w:val="24"/>
          <w:szCs w:val="24"/>
          <w:u w:val="single"/>
        </w:rPr>
        <w:t>（项目名称）</w:t>
      </w:r>
    </w:p>
    <w:p>
      <w:pPr>
        <w:spacing w:line="300" w:lineRule="exact"/>
        <w:jc w:val="center"/>
        <w:rPr>
          <w:rFonts w:ascii="宋体" w:cs="Times New Roman"/>
          <w:b/>
          <w:bCs/>
          <w:color w:val="000000"/>
          <w:sz w:val="24"/>
          <w:szCs w:val="24"/>
        </w:rPr>
      </w:pPr>
      <w:r>
        <w:rPr>
          <w:rFonts w:hint="eastAsia" w:ascii="宋体" w:hAnsi="宋体" w:cs="宋体"/>
          <w:b/>
          <w:bCs/>
          <w:color w:val="000000"/>
          <w:sz w:val="24"/>
          <w:szCs w:val="24"/>
        </w:rPr>
        <w:t>磋商响应文件</w:t>
      </w:r>
    </w:p>
    <w:p>
      <w:pPr>
        <w:spacing w:line="720" w:lineRule="auto"/>
        <w:rPr>
          <w:rFonts w:ascii="宋体" w:cs="Times New Roman"/>
          <w:sz w:val="24"/>
          <w:szCs w:val="24"/>
        </w:rPr>
      </w:pPr>
    </w:p>
    <w:p>
      <w:pPr>
        <w:spacing w:line="720" w:lineRule="auto"/>
        <w:rPr>
          <w:rFonts w:ascii="宋体" w:cs="Times New Roman"/>
          <w:sz w:val="24"/>
          <w:szCs w:val="24"/>
        </w:rPr>
      </w:pPr>
      <w:r>
        <w:rPr>
          <w:rFonts w:hint="eastAsia" w:ascii="宋体" w:hAnsi="宋体" w:cs="宋体"/>
          <w:sz w:val="24"/>
          <w:szCs w:val="24"/>
        </w:rPr>
        <w:t>供应商：（盖章）</w:t>
      </w:r>
    </w:p>
    <w:p>
      <w:pPr>
        <w:spacing w:line="720" w:lineRule="auto"/>
        <w:rPr>
          <w:rFonts w:ascii="宋体" w:cs="Times New Roman"/>
          <w:sz w:val="24"/>
          <w:szCs w:val="24"/>
        </w:rPr>
      </w:pPr>
      <w:r>
        <w:rPr>
          <w:rFonts w:hint="eastAsia" w:ascii="宋体" w:hAnsi="宋体" w:cs="宋体"/>
          <w:sz w:val="24"/>
          <w:szCs w:val="24"/>
        </w:rPr>
        <w:t>法定代表人：（盖章）</w:t>
      </w:r>
    </w:p>
    <w:p>
      <w:pPr>
        <w:spacing w:line="720" w:lineRule="auto"/>
        <w:rPr>
          <w:rFonts w:ascii="宋体" w:cs="Times New Roman"/>
          <w:sz w:val="24"/>
          <w:szCs w:val="24"/>
        </w:rPr>
      </w:pPr>
      <w:r>
        <w:rPr>
          <w:rFonts w:hint="eastAsia" w:ascii="宋体" w:hAnsi="宋体" w:cs="宋体"/>
          <w:sz w:val="24"/>
          <w:szCs w:val="24"/>
        </w:rPr>
        <w:t>单位地址：</w:t>
      </w:r>
    </w:p>
    <w:p>
      <w:pPr>
        <w:spacing w:line="720" w:lineRule="auto"/>
        <w:rPr>
          <w:rFonts w:ascii="宋体" w:cs="Times New Roman"/>
          <w:sz w:val="24"/>
          <w:szCs w:val="24"/>
        </w:rPr>
      </w:pPr>
      <w:r>
        <w:rPr>
          <w:rFonts w:hint="eastAsia" w:ascii="宋体" w:hAnsi="宋体" w:cs="宋体"/>
          <w:sz w:val="24"/>
          <w:szCs w:val="24"/>
        </w:rPr>
        <w:t>邮政编码：</w:t>
      </w:r>
    </w:p>
    <w:p>
      <w:pPr>
        <w:spacing w:line="720" w:lineRule="auto"/>
        <w:rPr>
          <w:rFonts w:ascii="宋体" w:cs="Times New Roman"/>
          <w:sz w:val="24"/>
          <w:szCs w:val="24"/>
        </w:rPr>
      </w:pPr>
      <w:r>
        <w:rPr>
          <w:rFonts w:hint="eastAsia" w:ascii="宋体" w:hAnsi="宋体" w:cs="宋体"/>
          <w:sz w:val="24"/>
          <w:szCs w:val="24"/>
        </w:rPr>
        <w:t>联系人：</w:t>
      </w:r>
    </w:p>
    <w:p>
      <w:pPr>
        <w:spacing w:line="720" w:lineRule="auto"/>
        <w:rPr>
          <w:rFonts w:ascii="宋体" w:cs="Times New Roman"/>
          <w:sz w:val="24"/>
          <w:szCs w:val="24"/>
        </w:rPr>
      </w:pPr>
      <w:r>
        <w:rPr>
          <w:rFonts w:hint="eastAsia" w:ascii="宋体" w:hAnsi="宋体" w:cs="宋体"/>
          <w:sz w:val="24"/>
          <w:szCs w:val="24"/>
        </w:rPr>
        <w:t>联系电话：</w:t>
      </w:r>
    </w:p>
    <w:p>
      <w:pPr>
        <w:spacing w:line="720" w:lineRule="auto"/>
        <w:ind w:firstLine="2" w:firstLineChars="1"/>
        <w:jc w:val="center"/>
        <w:rPr>
          <w:rFonts w:ascii="宋体" w:cs="Times New Roman"/>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tabs>
          <w:tab w:val="center" w:pos="4832"/>
          <w:tab w:val="left" w:pos="7140"/>
        </w:tabs>
        <w:jc w:val="center"/>
        <w:rPr>
          <w:rFonts w:ascii="宋体" w:cs="Times New Roman"/>
          <w:b/>
          <w:bCs/>
          <w:sz w:val="24"/>
          <w:szCs w:val="24"/>
        </w:rPr>
      </w:pPr>
      <w:r>
        <w:rPr>
          <w:rFonts w:ascii="宋体" w:cs="Times New Roman"/>
          <w:b/>
          <w:bCs/>
          <w:sz w:val="24"/>
          <w:szCs w:val="24"/>
        </w:rPr>
        <w:br w:type="page"/>
      </w:r>
      <w:r>
        <w:rPr>
          <w:rFonts w:hint="eastAsia" w:ascii="宋体" w:hAnsi="宋体" w:cs="宋体"/>
          <w:b/>
          <w:bCs/>
          <w:sz w:val="24"/>
          <w:szCs w:val="24"/>
        </w:rPr>
        <w:t>目录</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w:t>
      </w:r>
      <w:r>
        <w:rPr>
          <w:rFonts w:hint="eastAsia" w:ascii="宋体" w:hAnsi="宋体" w:cs="宋体"/>
          <w:sz w:val="24"/>
          <w:szCs w:val="24"/>
        </w:rPr>
        <w:t>投标一览表、承诺书</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w:t>
      </w:r>
      <w:r>
        <w:rPr>
          <w:rFonts w:hint="eastAsia" w:ascii="宋体" w:hAnsi="宋体" w:cs="宋体"/>
          <w:sz w:val="24"/>
          <w:szCs w:val="24"/>
        </w:rPr>
        <w:t>法定代表人身份证明书</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w:t>
      </w:r>
      <w:r>
        <w:rPr>
          <w:rFonts w:hint="eastAsia" w:ascii="宋体" w:hAnsi="宋体" w:cs="宋体"/>
          <w:sz w:val="24"/>
          <w:szCs w:val="24"/>
        </w:rPr>
        <w:t>法定代表人授权委托书</w:t>
      </w:r>
    </w:p>
    <w:p>
      <w:pPr>
        <w:widowControl/>
        <w:shd w:val="clear" w:color="auto" w:fill="FFFFFF"/>
        <w:snapToGrid w:val="0"/>
        <w:spacing w:line="360" w:lineRule="auto"/>
        <w:ind w:firstLine="480" w:firstLineChars="200"/>
        <w:rPr>
          <w:rFonts w:hint="eastAsia" w:ascii="宋体" w:hAnsi="宋体" w:eastAsia="宋体" w:cs="宋体"/>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4</w:t>
      </w:r>
      <w:r>
        <w:rPr>
          <w:rFonts w:hint="eastAsia" w:ascii="宋体" w:hAnsi="宋体" w:cs="宋体"/>
          <w:color w:val="000000"/>
          <w:kern w:val="0"/>
          <w:sz w:val="24"/>
          <w:szCs w:val="24"/>
        </w:rPr>
        <w:t>）</w:t>
      </w:r>
      <w:r>
        <w:rPr>
          <w:rFonts w:hint="eastAsia" w:ascii="宋体" w:hAnsi="宋体" w:eastAsia="宋体" w:cs="宋体"/>
          <w:sz w:val="24"/>
          <w:szCs w:val="24"/>
        </w:rPr>
        <w:t>技术规格差异表</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rPr>
        <w:t>）</w:t>
      </w:r>
      <w:r>
        <w:rPr>
          <w:rFonts w:hint="eastAsia" w:ascii="宋体" w:hAnsi="宋体" w:cs="宋体"/>
          <w:sz w:val="24"/>
          <w:szCs w:val="24"/>
        </w:rPr>
        <w:t>投标人概况</w:t>
      </w:r>
    </w:p>
    <w:p>
      <w:pPr>
        <w:widowControl/>
        <w:shd w:val="clear" w:color="auto" w:fill="FFFFFF"/>
        <w:snapToGrid w:val="0"/>
        <w:spacing w:line="360" w:lineRule="auto"/>
        <w:ind w:firstLine="480" w:firstLineChars="200"/>
        <w:rPr>
          <w:rFonts w:hint="eastAsia" w:ascii="宋体" w:hAnsi="宋体" w:cs="宋体"/>
          <w:sz w:val="24"/>
          <w:szCs w:val="24"/>
        </w:rPr>
      </w:pP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6</w:t>
      </w:r>
      <w:r>
        <w:rPr>
          <w:rFonts w:hint="eastAsia" w:ascii="宋体" w:hAnsi="宋体" w:cs="宋体"/>
          <w:color w:val="000000"/>
          <w:kern w:val="0"/>
          <w:sz w:val="24"/>
          <w:szCs w:val="24"/>
        </w:rPr>
        <w:t>）</w:t>
      </w:r>
      <w:r>
        <w:rPr>
          <w:rFonts w:hint="eastAsia" w:ascii="宋体" w:hAnsi="宋体" w:cs="宋体"/>
          <w:sz w:val="24"/>
          <w:szCs w:val="24"/>
        </w:rPr>
        <w:t>投标人近</w:t>
      </w:r>
      <w:r>
        <w:rPr>
          <w:rFonts w:ascii="宋体" w:hAnsi="宋体" w:cs="宋体"/>
          <w:sz w:val="24"/>
          <w:szCs w:val="24"/>
        </w:rPr>
        <w:t>3</w:t>
      </w:r>
      <w:r>
        <w:rPr>
          <w:rFonts w:hint="eastAsia" w:ascii="宋体" w:hAnsi="宋体" w:cs="宋体"/>
          <w:sz w:val="24"/>
          <w:szCs w:val="24"/>
        </w:rPr>
        <w:t>年来类似</w:t>
      </w:r>
      <w:r>
        <w:rPr>
          <w:rFonts w:hint="eastAsia" w:ascii="宋体" w:hAnsi="宋体" w:cs="宋体"/>
          <w:sz w:val="24"/>
          <w:szCs w:val="24"/>
          <w:lang w:eastAsia="zh-CN"/>
        </w:rPr>
        <w:t>项目</w:t>
      </w:r>
      <w:r>
        <w:rPr>
          <w:rFonts w:hint="eastAsia" w:ascii="宋体" w:hAnsi="宋体" w:cs="宋体"/>
          <w:sz w:val="24"/>
          <w:szCs w:val="24"/>
        </w:rPr>
        <w:t>（提供相关业绩证明材料）</w:t>
      </w:r>
    </w:p>
    <w:p>
      <w:pPr>
        <w:widowControl/>
        <w:shd w:val="clear" w:color="auto" w:fill="FFFFFF"/>
        <w:snapToGrid w:val="0"/>
        <w:spacing w:line="360" w:lineRule="auto"/>
        <w:ind w:firstLine="480" w:firstLineChars="200"/>
        <w:rPr>
          <w:rFonts w:ascii="宋体" w:hAnsi="宋体"/>
          <w:sz w:val="24"/>
          <w:szCs w:val="24"/>
        </w:rPr>
      </w:pPr>
      <w:r>
        <w:rPr>
          <w:rFonts w:hint="eastAsia" w:ascii="宋体" w:hAnsi="宋体" w:cs="Arial"/>
          <w:color w:val="000000"/>
          <w:kern w:val="0"/>
          <w:sz w:val="24"/>
          <w:szCs w:val="24"/>
        </w:rPr>
        <w:t>（</w:t>
      </w:r>
      <w:r>
        <w:rPr>
          <w:rFonts w:hint="eastAsia" w:ascii="宋体" w:hAnsi="宋体" w:cs="Arial"/>
          <w:color w:val="000000"/>
          <w:kern w:val="0"/>
          <w:sz w:val="24"/>
          <w:szCs w:val="24"/>
          <w:lang w:val="en-US" w:eastAsia="zh-CN"/>
        </w:rPr>
        <w:t>7</w:t>
      </w:r>
      <w:r>
        <w:rPr>
          <w:rFonts w:hint="eastAsia" w:ascii="宋体" w:hAnsi="宋体" w:cs="Arial"/>
          <w:color w:val="000000"/>
          <w:kern w:val="0"/>
          <w:sz w:val="24"/>
          <w:szCs w:val="24"/>
        </w:rPr>
        <w:t>）</w:t>
      </w:r>
      <w:r>
        <w:rPr>
          <w:rFonts w:hint="eastAsia" w:ascii="宋体" w:hAnsi="宋体" w:eastAsia="宋体" w:cs="Times New Roman"/>
          <w:sz w:val="24"/>
          <w:szCs w:val="24"/>
        </w:rPr>
        <w:t>售后服务计划</w:t>
      </w:r>
    </w:p>
    <w:p>
      <w:pPr>
        <w:widowControl/>
        <w:shd w:val="clear" w:color="auto" w:fill="FFFFFF"/>
        <w:snapToGrid w:val="0"/>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8</w:t>
      </w:r>
      <w:r>
        <w:rPr>
          <w:rFonts w:hint="eastAsia" w:ascii="宋体" w:hAnsi="宋体"/>
          <w:sz w:val="24"/>
          <w:szCs w:val="24"/>
        </w:rPr>
        <w:t>）</w:t>
      </w:r>
      <w:r>
        <w:rPr>
          <w:rFonts w:hint="eastAsia" w:ascii="宋体" w:hAnsi="宋体" w:eastAsia="宋体" w:cs="Times New Roman"/>
          <w:sz w:val="24"/>
          <w:szCs w:val="24"/>
        </w:rPr>
        <w:t>质量保证书</w:t>
      </w:r>
    </w:p>
    <w:p>
      <w:pPr>
        <w:widowControl/>
        <w:shd w:val="clear" w:color="auto" w:fill="FFFFFF"/>
        <w:snapToGrid w:val="0"/>
        <w:spacing w:line="360" w:lineRule="auto"/>
        <w:ind w:firstLine="480" w:firstLineChars="200"/>
        <w:rPr>
          <w:rFonts w:ascii="宋体" w:hAnsi="宋体" w:eastAsia="宋体" w:cs="Times New Roman"/>
          <w:sz w:val="24"/>
          <w:szCs w:val="24"/>
        </w:rPr>
      </w:pPr>
      <w:r>
        <w:rPr>
          <w:rFonts w:hint="eastAsia" w:ascii="宋体" w:hAnsi="宋体"/>
          <w:sz w:val="24"/>
          <w:szCs w:val="24"/>
        </w:rPr>
        <w:t>（</w:t>
      </w:r>
      <w:r>
        <w:rPr>
          <w:rFonts w:hint="eastAsia" w:ascii="宋体" w:hAnsi="宋体"/>
          <w:sz w:val="24"/>
          <w:szCs w:val="24"/>
          <w:lang w:val="en-US" w:eastAsia="zh-CN"/>
        </w:rPr>
        <w:t>9</w:t>
      </w:r>
      <w:r>
        <w:rPr>
          <w:rFonts w:hint="eastAsia" w:ascii="宋体" w:hAnsi="宋体"/>
          <w:sz w:val="24"/>
          <w:szCs w:val="24"/>
        </w:rPr>
        <w:t>）</w:t>
      </w:r>
      <w:r>
        <w:rPr>
          <w:rFonts w:hint="eastAsia" w:ascii="宋体" w:hAnsi="宋体" w:eastAsia="宋体" w:cs="Times New Roman"/>
          <w:sz w:val="24"/>
          <w:szCs w:val="24"/>
        </w:rPr>
        <w:t>投标货物和服务的质量保障（证）措施及技术支持等</w:t>
      </w:r>
    </w:p>
    <w:p>
      <w:pPr>
        <w:widowControl/>
        <w:shd w:val="clear" w:color="auto" w:fill="FFFFFF"/>
        <w:snapToGrid w:val="0"/>
        <w:spacing w:line="360" w:lineRule="auto"/>
        <w:ind w:firstLine="480" w:firstLineChars="200"/>
        <w:rPr>
          <w:rFonts w:hint="eastAsia" w:ascii="宋体" w:hAnsi="宋体" w:cs="宋体"/>
          <w:sz w:val="24"/>
          <w:szCs w:val="24"/>
        </w:rPr>
      </w:pPr>
      <w:r>
        <w:rPr>
          <w:rFonts w:hint="eastAsia" w:ascii="宋体" w:hAnsi="宋体" w:eastAsia="宋体" w:cs="Times New Roman"/>
          <w:sz w:val="24"/>
          <w:szCs w:val="24"/>
        </w:rPr>
        <w:t>（</w:t>
      </w:r>
      <w:r>
        <w:rPr>
          <w:rFonts w:hint="eastAsia" w:ascii="宋体" w:hAnsi="宋体" w:cs="Times New Roman"/>
          <w:sz w:val="24"/>
          <w:szCs w:val="24"/>
          <w:lang w:val="en-US" w:eastAsia="zh-CN"/>
        </w:rPr>
        <w:t>10</w:t>
      </w:r>
      <w:r>
        <w:rPr>
          <w:rFonts w:hint="eastAsia" w:ascii="宋体" w:hAnsi="宋体" w:eastAsia="宋体" w:cs="Times New Roman"/>
          <w:sz w:val="24"/>
          <w:szCs w:val="24"/>
        </w:rPr>
        <w:t>）优惠条件及承诺</w:t>
      </w:r>
    </w:p>
    <w:p>
      <w:pPr>
        <w:widowControl/>
        <w:shd w:val="clear" w:color="auto" w:fill="FFFFFF"/>
        <w:snapToGrid w:val="0"/>
        <w:spacing w:line="360" w:lineRule="auto"/>
        <w:ind w:firstLine="480" w:firstLineChars="200"/>
        <w:rPr>
          <w:rFonts w:ascii="宋体" w:cs="Times New Roman"/>
          <w:color w:val="000000"/>
          <w:kern w:val="0"/>
          <w:sz w:val="24"/>
          <w:szCs w:val="24"/>
        </w:rPr>
      </w:pP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11</w:t>
      </w:r>
      <w:r>
        <w:rPr>
          <w:rFonts w:hint="eastAsia" w:ascii="宋体" w:hAnsi="宋体" w:cs="宋体"/>
          <w:color w:val="000000"/>
          <w:kern w:val="0"/>
          <w:sz w:val="24"/>
          <w:szCs w:val="24"/>
        </w:rPr>
        <w:t>）其他相关资料</w:t>
      </w:r>
    </w:p>
    <w:p>
      <w:pPr>
        <w:widowControl/>
        <w:shd w:val="clear" w:color="auto" w:fill="FFFFFF"/>
        <w:snapToGrid w:val="0"/>
        <w:spacing w:line="384" w:lineRule="auto"/>
        <w:ind w:firstLine="420"/>
        <w:jc w:val="left"/>
        <w:rPr>
          <w:rFonts w:ascii="宋体" w:cs="Times New Roman"/>
          <w:color w:val="000000"/>
          <w:kern w:val="0"/>
          <w:sz w:val="24"/>
          <w:szCs w:val="24"/>
        </w:rPr>
      </w:pPr>
      <w:r>
        <w:rPr>
          <w:rFonts w:hint="eastAsia" w:ascii="宋体" w:hAnsi="宋体" w:cs="宋体"/>
          <w:sz w:val="24"/>
          <w:szCs w:val="24"/>
        </w:rPr>
        <w:t>注：为了便于查找，请按上述顺序编制投标文件内容，并在目录中标明每项内容的起始页码。</w:t>
      </w:r>
    </w:p>
    <w:p>
      <w:pPr>
        <w:spacing w:line="360" w:lineRule="auto"/>
        <w:ind w:firstLine="3542" w:firstLineChars="1470"/>
        <w:rPr>
          <w:rFonts w:ascii="宋体" w:cs="Times New Roman"/>
          <w:b/>
          <w:bCs/>
          <w:sz w:val="24"/>
          <w:szCs w:val="24"/>
        </w:rPr>
      </w:pPr>
      <w:r>
        <w:rPr>
          <w:rFonts w:ascii="宋体" w:cs="Times New Roman"/>
          <w:b/>
          <w:bCs/>
          <w:sz w:val="24"/>
          <w:szCs w:val="24"/>
        </w:rPr>
        <w:br w:type="page"/>
      </w:r>
      <w:bookmarkStart w:id="209" w:name="_Toc16004_WPSOffice_Level1"/>
      <w:r>
        <w:rPr>
          <w:rFonts w:hint="eastAsia" w:ascii="宋体" w:hAnsi="宋体" w:cs="宋体"/>
          <w:b/>
          <w:bCs/>
          <w:sz w:val="24"/>
          <w:szCs w:val="24"/>
        </w:rPr>
        <w:t>投标一览表格式</w:t>
      </w:r>
      <w:bookmarkEnd w:id="209"/>
    </w:p>
    <w:tbl>
      <w:tblPr>
        <w:tblStyle w:val="11"/>
        <w:tblW w:w="8718"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78"/>
        <w:gridCol w:w="2920"/>
        <w:gridCol w:w="29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2878" w:type="dxa"/>
            <w:tcBorders>
              <w:top w:val="single" w:color="auto" w:sz="4" w:space="0"/>
              <w:bottom w:val="single" w:color="auto" w:sz="4" w:space="0"/>
              <w:right w:val="single" w:color="auto" w:sz="4" w:space="0"/>
            </w:tcBorders>
            <w:vAlign w:val="center"/>
          </w:tcPr>
          <w:p>
            <w:pPr>
              <w:spacing w:before="100" w:beforeAutospacing="1" w:after="100" w:afterAutospacing="1" w:line="360" w:lineRule="auto"/>
              <w:ind w:left="105" w:leftChars="50" w:right="105" w:rightChars="50"/>
              <w:jc w:val="center"/>
              <w:rPr>
                <w:rFonts w:ascii="宋体" w:cs="宋体"/>
                <w:sz w:val="24"/>
                <w:szCs w:val="24"/>
              </w:rPr>
            </w:pPr>
            <w:r>
              <w:rPr>
                <w:rFonts w:hint="eastAsia" w:ascii="宋体" w:hAnsi="宋体" w:cs="宋体"/>
                <w:sz w:val="24"/>
                <w:szCs w:val="24"/>
              </w:rPr>
              <w:t>项目名称</w:t>
            </w:r>
          </w:p>
        </w:tc>
        <w:tc>
          <w:tcPr>
            <w:tcW w:w="5840" w:type="dxa"/>
            <w:gridSpan w:val="2"/>
            <w:tcBorders>
              <w:top w:val="single" w:color="auto" w:sz="4" w:space="0"/>
              <w:left w:val="single" w:color="auto" w:sz="4" w:space="0"/>
              <w:bottom w:val="single" w:color="auto" w:sz="4" w:space="0"/>
            </w:tcBorders>
            <w:vAlign w:val="center"/>
          </w:tcPr>
          <w:p>
            <w:pPr>
              <w:spacing w:before="100" w:beforeAutospacing="1" w:after="100" w:afterAutospacing="1" w:line="360" w:lineRule="auto"/>
              <w:ind w:left="50" w:right="50"/>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2878" w:type="dxa"/>
            <w:tcBorders>
              <w:top w:val="single" w:color="auto" w:sz="4" w:space="0"/>
              <w:bottom w:val="single" w:color="auto" w:sz="4" w:space="0"/>
              <w:right w:val="single" w:color="auto" w:sz="4" w:space="0"/>
            </w:tcBorders>
            <w:vAlign w:val="center"/>
          </w:tcPr>
          <w:p>
            <w:pPr>
              <w:spacing w:before="100" w:beforeAutospacing="1" w:after="100" w:afterAutospacing="1" w:line="360" w:lineRule="auto"/>
              <w:ind w:left="105" w:leftChars="50" w:right="105" w:rightChars="50"/>
              <w:jc w:val="center"/>
              <w:rPr>
                <w:rFonts w:ascii="宋体" w:cs="宋体"/>
                <w:sz w:val="24"/>
                <w:szCs w:val="24"/>
              </w:rPr>
            </w:pPr>
            <w:r>
              <w:rPr>
                <w:rFonts w:hint="eastAsia" w:ascii="宋体" w:hAnsi="宋体" w:cs="宋体"/>
                <w:sz w:val="24"/>
                <w:szCs w:val="24"/>
              </w:rPr>
              <w:t>报价金额</w:t>
            </w:r>
          </w:p>
        </w:tc>
        <w:tc>
          <w:tcPr>
            <w:tcW w:w="292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ind w:left="50" w:right="50"/>
              <w:rPr>
                <w:rFonts w:ascii="宋体" w:cs="宋体"/>
                <w:sz w:val="24"/>
                <w:szCs w:val="24"/>
              </w:rPr>
            </w:pPr>
            <w:r>
              <w:rPr>
                <w:rFonts w:hint="eastAsia" w:ascii="宋体" w:hAnsi="宋体" w:cs="宋体"/>
                <w:sz w:val="24"/>
                <w:szCs w:val="24"/>
              </w:rPr>
              <w:t>（大写）：</w:t>
            </w:r>
          </w:p>
        </w:tc>
        <w:tc>
          <w:tcPr>
            <w:tcW w:w="2920" w:type="dxa"/>
            <w:tcBorders>
              <w:top w:val="single" w:color="auto" w:sz="4" w:space="0"/>
              <w:left w:val="single" w:color="auto" w:sz="4" w:space="0"/>
              <w:bottom w:val="single" w:color="auto" w:sz="4" w:space="0"/>
            </w:tcBorders>
            <w:vAlign w:val="center"/>
          </w:tcPr>
          <w:p>
            <w:pPr>
              <w:spacing w:before="100" w:beforeAutospacing="1" w:after="100" w:afterAutospacing="1" w:line="360" w:lineRule="auto"/>
              <w:ind w:left="50" w:right="50"/>
              <w:rPr>
                <w:rFonts w:ascii="宋体" w:cs="宋体"/>
                <w:sz w:val="24"/>
                <w:szCs w:val="24"/>
              </w:rPr>
            </w:pPr>
            <w:r>
              <w:rPr>
                <w:rFonts w:hint="eastAsia" w:ascii="宋体" w:hAnsi="宋体" w:cs="宋体"/>
                <w:sz w:val="24"/>
                <w:szCs w:val="24"/>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24" w:hRule="atLeast"/>
        </w:trPr>
        <w:tc>
          <w:tcPr>
            <w:tcW w:w="2878" w:type="dxa"/>
            <w:tcBorders>
              <w:top w:val="single" w:color="auto" w:sz="4" w:space="0"/>
              <w:right w:val="single" w:color="auto" w:sz="4" w:space="0"/>
            </w:tcBorders>
            <w:vAlign w:val="center"/>
          </w:tcPr>
          <w:p>
            <w:pPr>
              <w:spacing w:before="100" w:beforeAutospacing="1" w:after="100" w:afterAutospacing="1" w:line="360" w:lineRule="auto"/>
              <w:ind w:left="50" w:right="50"/>
              <w:jc w:val="center"/>
              <w:rPr>
                <w:rFonts w:ascii="宋体" w:cs="宋体"/>
                <w:sz w:val="24"/>
                <w:szCs w:val="24"/>
              </w:rPr>
            </w:pPr>
            <w:r>
              <w:rPr>
                <w:rFonts w:hint="eastAsia" w:ascii="宋体" w:hAnsi="宋体" w:cs="宋体"/>
                <w:sz w:val="24"/>
                <w:szCs w:val="24"/>
              </w:rPr>
              <w:t>对报价需要说明的问题</w:t>
            </w:r>
          </w:p>
        </w:tc>
        <w:tc>
          <w:tcPr>
            <w:tcW w:w="5840" w:type="dxa"/>
            <w:gridSpan w:val="2"/>
            <w:tcBorders>
              <w:top w:val="single" w:color="auto" w:sz="4" w:space="0"/>
              <w:left w:val="single" w:color="auto" w:sz="4" w:space="0"/>
            </w:tcBorders>
            <w:vAlign w:val="center"/>
          </w:tcPr>
          <w:p>
            <w:pPr>
              <w:spacing w:before="100" w:beforeAutospacing="1" w:after="100" w:afterAutospacing="1" w:line="360" w:lineRule="auto"/>
              <w:ind w:left="50" w:right="50"/>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2878" w:type="dxa"/>
            <w:tcBorders>
              <w:top w:val="single" w:color="auto" w:sz="4" w:space="0"/>
              <w:bottom w:val="single" w:color="auto" w:sz="4" w:space="0"/>
              <w:right w:val="single" w:color="auto" w:sz="4" w:space="0"/>
            </w:tcBorders>
            <w:vAlign w:val="center"/>
          </w:tcPr>
          <w:p>
            <w:pPr>
              <w:spacing w:before="100" w:beforeAutospacing="1" w:after="100" w:afterAutospacing="1" w:line="360" w:lineRule="auto"/>
              <w:ind w:left="50" w:right="50"/>
              <w:jc w:val="center"/>
              <w:rPr>
                <w:rFonts w:ascii="宋体" w:cs="宋体"/>
                <w:sz w:val="24"/>
                <w:szCs w:val="24"/>
              </w:rPr>
            </w:pPr>
            <w:r>
              <w:rPr>
                <w:rFonts w:hint="eastAsia" w:ascii="宋体" w:hAnsi="宋体" w:cs="宋体"/>
                <w:sz w:val="24"/>
                <w:szCs w:val="24"/>
              </w:rPr>
              <w:t>备</w:t>
            </w:r>
            <w:r>
              <w:rPr>
                <w:rFonts w:ascii="宋体" w:hAnsi="宋体" w:cs="宋体"/>
                <w:sz w:val="24"/>
                <w:szCs w:val="24"/>
              </w:rPr>
              <w:t xml:space="preserve"> </w:t>
            </w:r>
            <w:r>
              <w:rPr>
                <w:rFonts w:hint="eastAsia" w:ascii="宋体" w:hAnsi="宋体" w:cs="宋体"/>
                <w:sz w:val="24"/>
                <w:szCs w:val="24"/>
              </w:rPr>
              <w:t>注</w:t>
            </w:r>
          </w:p>
        </w:tc>
        <w:tc>
          <w:tcPr>
            <w:tcW w:w="5840" w:type="dxa"/>
            <w:gridSpan w:val="2"/>
            <w:tcBorders>
              <w:top w:val="single" w:color="auto" w:sz="4" w:space="0"/>
              <w:left w:val="single" w:color="auto" w:sz="4" w:space="0"/>
              <w:bottom w:val="single" w:color="auto" w:sz="4" w:space="0"/>
            </w:tcBorders>
            <w:vAlign w:val="center"/>
          </w:tcPr>
          <w:p>
            <w:pPr>
              <w:spacing w:before="100" w:beforeAutospacing="1" w:after="100" w:afterAutospacing="1" w:line="360" w:lineRule="auto"/>
              <w:ind w:left="50" w:right="50"/>
              <w:jc w:val="center"/>
              <w:rPr>
                <w:rFonts w:ascii="宋体" w:cs="宋体"/>
                <w:sz w:val="24"/>
                <w:szCs w:val="24"/>
              </w:rPr>
            </w:pPr>
          </w:p>
        </w:tc>
      </w:tr>
    </w:tbl>
    <w:p>
      <w:pPr>
        <w:spacing w:line="360" w:lineRule="auto"/>
        <w:rPr>
          <w:rFonts w:ascii="宋体" w:cs="Times New Roman"/>
          <w:sz w:val="24"/>
          <w:szCs w:val="24"/>
        </w:rPr>
      </w:pPr>
    </w:p>
    <w:p>
      <w:pPr>
        <w:spacing w:line="360" w:lineRule="auto"/>
        <w:rPr>
          <w:rFonts w:ascii="宋体" w:cs="Times New Roman"/>
          <w:sz w:val="24"/>
          <w:szCs w:val="24"/>
        </w:rPr>
      </w:pPr>
      <w:r>
        <w:rPr>
          <w:rFonts w:hint="eastAsia" w:ascii="宋体" w:hAnsi="宋体" w:cs="宋体"/>
          <w:sz w:val="24"/>
          <w:szCs w:val="24"/>
        </w:rPr>
        <w:t>投标人：</w:t>
      </w:r>
      <w:r>
        <w:rPr>
          <w:rFonts w:ascii="宋体" w:hAnsi="宋体" w:cs="宋体"/>
          <w:sz w:val="24"/>
          <w:szCs w:val="24"/>
          <w:u w:val="single"/>
        </w:rPr>
        <w:t xml:space="preserve">                                  </w:t>
      </w:r>
      <w:r>
        <w:rPr>
          <w:rFonts w:hint="eastAsia" w:ascii="宋体" w:hAnsi="宋体" w:cs="宋体"/>
          <w:sz w:val="24"/>
          <w:szCs w:val="24"/>
          <w:u w:val="single"/>
        </w:rPr>
        <w:t>（盖章）</w:t>
      </w:r>
      <w:r>
        <w:rPr>
          <w:rFonts w:ascii="宋体" w:hAnsi="宋体" w:cs="宋体"/>
          <w:sz w:val="24"/>
          <w:szCs w:val="24"/>
          <w:u w:val="single"/>
        </w:rPr>
        <w:t xml:space="preserve">      </w:t>
      </w:r>
    </w:p>
    <w:p>
      <w:pPr>
        <w:spacing w:beforeLines="50" w:line="360" w:lineRule="auto"/>
        <w:rPr>
          <w:rFonts w:ascii="宋体" w:cs="Times New Roman"/>
          <w:sz w:val="24"/>
          <w:szCs w:val="24"/>
        </w:rPr>
      </w:pPr>
    </w:p>
    <w:p>
      <w:pPr>
        <w:spacing w:line="360" w:lineRule="auto"/>
        <w:rPr>
          <w:rFonts w:ascii="宋体" w:cs="Times New Roman"/>
          <w:sz w:val="24"/>
          <w:szCs w:val="24"/>
        </w:rPr>
      </w:pPr>
      <w:r>
        <w:rPr>
          <w:rFonts w:hint="eastAsia" w:ascii="宋体" w:hAnsi="宋体" w:cs="宋体"/>
          <w:sz w:val="24"/>
          <w:szCs w:val="24"/>
        </w:rPr>
        <w:t>企业法人代表：</w:t>
      </w:r>
      <w:r>
        <w:rPr>
          <w:rFonts w:ascii="宋体" w:hAnsi="宋体" w:cs="宋体"/>
          <w:sz w:val="24"/>
          <w:szCs w:val="24"/>
          <w:u w:val="single"/>
        </w:rPr>
        <w:t xml:space="preserve">                             </w:t>
      </w:r>
      <w:r>
        <w:rPr>
          <w:rFonts w:hint="eastAsia" w:ascii="宋体" w:hAnsi="宋体" w:cs="宋体"/>
          <w:sz w:val="24"/>
          <w:szCs w:val="24"/>
          <w:u w:val="single"/>
        </w:rPr>
        <w:t>（签字盖章）</w:t>
      </w:r>
    </w:p>
    <w:p>
      <w:pPr>
        <w:spacing w:line="360" w:lineRule="auto"/>
        <w:rPr>
          <w:rFonts w:ascii="宋体" w:cs="Times New Roman"/>
          <w:sz w:val="24"/>
          <w:szCs w:val="24"/>
        </w:rPr>
      </w:pPr>
      <w:r>
        <w:rPr>
          <w:rFonts w:hint="eastAsia" w:ascii="宋体" w:hAnsi="宋体" w:cs="宋体"/>
          <w:sz w:val="24"/>
          <w:szCs w:val="24"/>
        </w:rPr>
        <w:t>编制日期：</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360" w:lineRule="auto"/>
        <w:jc w:val="center"/>
        <w:rPr>
          <w:rFonts w:ascii="宋体" w:cs="Times New Roman"/>
          <w:b/>
          <w:bCs/>
          <w:sz w:val="24"/>
          <w:szCs w:val="24"/>
        </w:rPr>
      </w:pPr>
    </w:p>
    <w:p>
      <w:pPr>
        <w:spacing w:line="360" w:lineRule="auto"/>
        <w:jc w:val="center"/>
        <w:rPr>
          <w:rFonts w:ascii="宋体" w:cs="Times New Roman"/>
          <w:b/>
          <w:bCs/>
          <w:sz w:val="24"/>
          <w:szCs w:val="24"/>
        </w:rPr>
      </w:pPr>
      <w:r>
        <w:rPr>
          <w:rFonts w:ascii="宋体" w:cs="Times New Roman"/>
          <w:b/>
          <w:bCs/>
          <w:sz w:val="24"/>
          <w:szCs w:val="24"/>
        </w:rPr>
        <w:br w:type="page"/>
      </w:r>
      <w:r>
        <w:rPr>
          <w:rFonts w:hint="eastAsia" w:ascii="宋体" w:hAnsi="宋体" w:cs="宋体"/>
          <w:b/>
          <w:bCs/>
          <w:sz w:val="24"/>
          <w:szCs w:val="24"/>
        </w:rPr>
        <w:t>投标承诺书</w:t>
      </w:r>
    </w:p>
    <w:p>
      <w:pPr>
        <w:spacing w:line="360" w:lineRule="auto"/>
        <w:jc w:val="center"/>
        <w:rPr>
          <w:rFonts w:ascii="宋体" w:cs="Times New Roman"/>
          <w:b/>
          <w:bCs/>
          <w:sz w:val="24"/>
          <w:szCs w:val="24"/>
        </w:rPr>
      </w:pPr>
    </w:p>
    <w:p>
      <w:pPr>
        <w:spacing w:line="360" w:lineRule="auto"/>
        <w:rPr>
          <w:rFonts w:ascii="宋体" w:cs="Times New Roman"/>
          <w:sz w:val="24"/>
          <w:szCs w:val="24"/>
          <w:u w:val="single"/>
        </w:rPr>
      </w:pPr>
      <w:r>
        <w:rPr>
          <w:rFonts w:hint="eastAsia" w:ascii="宋体" w:hAnsi="宋体" w:cs="宋体"/>
          <w:sz w:val="24"/>
          <w:szCs w:val="24"/>
        </w:rPr>
        <w:t>采购人：</w:t>
      </w:r>
      <w:r>
        <w:rPr>
          <w:rFonts w:ascii="宋体" w:hAnsi="宋体" w:cs="宋体"/>
          <w:sz w:val="24"/>
          <w:szCs w:val="24"/>
          <w:u w:val="single"/>
        </w:rPr>
        <w:t xml:space="preserve">                       </w:t>
      </w:r>
    </w:p>
    <w:p>
      <w:pPr>
        <w:spacing w:line="360" w:lineRule="auto"/>
        <w:rPr>
          <w:rFonts w:ascii="宋体" w:cs="Times New Roman"/>
          <w:sz w:val="24"/>
          <w:szCs w:val="24"/>
          <w:u w:val="single"/>
        </w:rPr>
      </w:pPr>
    </w:p>
    <w:p>
      <w:pPr>
        <w:spacing w:line="360" w:lineRule="auto"/>
        <w:ind w:firstLine="420"/>
        <w:rPr>
          <w:rFonts w:ascii="宋体" w:cs="Times New Roman"/>
          <w:color w:val="auto"/>
          <w:sz w:val="24"/>
          <w:szCs w:val="24"/>
        </w:rPr>
      </w:pPr>
      <w:r>
        <w:rPr>
          <w:rFonts w:ascii="宋体" w:hAnsi="宋体" w:cs="宋体"/>
          <w:color w:val="auto"/>
          <w:sz w:val="24"/>
          <w:szCs w:val="24"/>
        </w:rPr>
        <w:t>1</w:t>
      </w:r>
      <w:r>
        <w:rPr>
          <w:rFonts w:hint="eastAsia" w:ascii="宋体" w:hAnsi="宋体" w:cs="宋体"/>
          <w:color w:val="auto"/>
          <w:sz w:val="24"/>
          <w:szCs w:val="24"/>
        </w:rPr>
        <w:t>、根据已收到的</w:t>
      </w:r>
      <w:r>
        <w:rPr>
          <w:rFonts w:ascii="宋体" w:hAnsi="宋体" w:cs="宋体"/>
          <w:color w:val="auto"/>
          <w:sz w:val="24"/>
          <w:szCs w:val="24"/>
          <w:u w:val="single"/>
        </w:rPr>
        <w:t xml:space="preserve">           </w:t>
      </w:r>
      <w:r>
        <w:rPr>
          <w:rFonts w:hint="eastAsia" w:ascii="宋体" w:hAnsi="宋体" w:cs="宋体"/>
          <w:color w:val="auto"/>
          <w:sz w:val="24"/>
          <w:szCs w:val="24"/>
        </w:rPr>
        <w:t>项目的磋商文件，遵照政府采购法律法规的规定，经考察现场和研究贵方的</w:t>
      </w:r>
      <w:r>
        <w:rPr>
          <w:rFonts w:hint="eastAsia" w:ascii="宋体" w:hAnsi="宋体" w:cs="宋体"/>
          <w:color w:val="auto"/>
          <w:sz w:val="24"/>
          <w:szCs w:val="24"/>
          <w:lang w:eastAsia="zh-CN"/>
        </w:rPr>
        <w:t>磋商</w:t>
      </w:r>
      <w:r>
        <w:rPr>
          <w:rFonts w:hint="eastAsia" w:ascii="宋体" w:hAnsi="宋体" w:cs="宋体"/>
          <w:color w:val="auto"/>
          <w:sz w:val="24"/>
          <w:szCs w:val="24"/>
        </w:rPr>
        <w:t>文件，依据相关规定，根据磋商文件投标人须知前附表，我方愿以</w:t>
      </w:r>
      <w:r>
        <w:rPr>
          <w:rFonts w:ascii="宋体" w:hAnsi="宋体" w:cs="宋体"/>
          <w:color w:val="auto"/>
          <w:sz w:val="24"/>
          <w:szCs w:val="24"/>
          <w:u w:val="single"/>
        </w:rPr>
        <w:t xml:space="preserve">          </w:t>
      </w:r>
      <w:r>
        <w:rPr>
          <w:rFonts w:hint="eastAsia" w:ascii="宋体" w:hAnsi="宋体" w:cs="宋体"/>
          <w:color w:val="auto"/>
          <w:sz w:val="24"/>
          <w:szCs w:val="24"/>
          <w:u w:val="single"/>
        </w:rPr>
        <w:t>（元）</w:t>
      </w:r>
      <w:r>
        <w:rPr>
          <w:rFonts w:hint="eastAsia" w:ascii="宋体" w:hAnsi="宋体" w:cs="宋体"/>
          <w:color w:val="auto"/>
          <w:sz w:val="24"/>
          <w:szCs w:val="24"/>
        </w:rPr>
        <w:t>的投标报价来承担本项目采购范围内的</w:t>
      </w:r>
      <w:r>
        <w:rPr>
          <w:rFonts w:hint="eastAsia" w:ascii="宋体" w:hAnsi="宋体" w:cs="宋体"/>
          <w:color w:val="auto"/>
          <w:sz w:val="24"/>
          <w:szCs w:val="24"/>
          <w:lang w:eastAsia="zh-CN"/>
        </w:rPr>
        <w:t>采购</w:t>
      </w:r>
      <w:r>
        <w:rPr>
          <w:rFonts w:hint="eastAsia" w:ascii="宋体" w:hAnsi="宋体" w:cs="宋体"/>
          <w:color w:val="auto"/>
          <w:sz w:val="24"/>
          <w:szCs w:val="24"/>
        </w:rPr>
        <w:t>工作。</w:t>
      </w:r>
    </w:p>
    <w:p>
      <w:pPr>
        <w:spacing w:line="360" w:lineRule="auto"/>
        <w:ind w:firstLine="420"/>
        <w:rPr>
          <w:rFonts w:ascii="宋体" w:cs="Times New Roman"/>
          <w:sz w:val="24"/>
          <w:szCs w:val="24"/>
        </w:rPr>
      </w:pPr>
      <w:r>
        <w:rPr>
          <w:rFonts w:hint="eastAsia" w:ascii="宋体" w:hAnsi="宋体" w:cs="宋体"/>
          <w:sz w:val="24"/>
          <w:szCs w:val="24"/>
          <w:lang w:val="en-US" w:eastAsia="zh-CN"/>
        </w:rPr>
        <w:t>2</w:t>
      </w:r>
      <w:r>
        <w:rPr>
          <w:rFonts w:hint="eastAsia" w:ascii="宋体" w:hAnsi="宋体" w:cs="宋体"/>
          <w:sz w:val="24"/>
          <w:szCs w:val="24"/>
        </w:rPr>
        <w:t>、一旦我方中标，我方保证将按程序要求完成自报质量标准。</w:t>
      </w:r>
    </w:p>
    <w:p>
      <w:pPr>
        <w:spacing w:line="360" w:lineRule="auto"/>
        <w:ind w:firstLine="420"/>
        <w:rPr>
          <w:rFonts w:ascii="宋体" w:cs="Times New Roman"/>
          <w:sz w:val="24"/>
          <w:szCs w:val="24"/>
        </w:rPr>
      </w:pPr>
      <w:r>
        <w:rPr>
          <w:rFonts w:hint="eastAsia" w:ascii="宋体" w:hAnsi="宋体" w:cs="宋体"/>
          <w:sz w:val="24"/>
          <w:szCs w:val="24"/>
          <w:lang w:val="en-US" w:eastAsia="zh-CN"/>
        </w:rPr>
        <w:t>3</w:t>
      </w:r>
      <w:r>
        <w:rPr>
          <w:rFonts w:hint="eastAsia" w:ascii="宋体" w:hAnsi="宋体" w:cs="宋体"/>
          <w:sz w:val="24"/>
          <w:szCs w:val="24"/>
        </w:rPr>
        <w:t>、如果我方中标，我方将在</w:t>
      </w:r>
      <w:r>
        <w:rPr>
          <w:rFonts w:hint="eastAsia" w:ascii="宋体" w:hAnsi="宋体" w:cs="宋体"/>
          <w:sz w:val="24"/>
          <w:szCs w:val="24"/>
          <w:lang w:eastAsia="zh-CN"/>
        </w:rPr>
        <w:t>磋商</w:t>
      </w:r>
      <w:r>
        <w:rPr>
          <w:rFonts w:hint="eastAsia" w:ascii="宋体" w:hAnsi="宋体" w:cs="宋体"/>
          <w:sz w:val="24"/>
          <w:szCs w:val="24"/>
        </w:rPr>
        <w:t>文件规定的时间内签订承包合同。如果我方违约，除没收</w:t>
      </w:r>
      <w:r>
        <w:rPr>
          <w:rFonts w:hint="eastAsia" w:ascii="宋体" w:hAnsi="宋体" w:cs="宋体"/>
          <w:sz w:val="24"/>
          <w:szCs w:val="24"/>
          <w:lang w:eastAsia="zh-CN"/>
        </w:rPr>
        <w:t>投</w:t>
      </w:r>
      <w:r>
        <w:rPr>
          <w:rFonts w:hint="eastAsia" w:ascii="宋体" w:hAnsi="宋体" w:cs="宋体"/>
          <w:sz w:val="24"/>
          <w:szCs w:val="24"/>
        </w:rPr>
        <w:t>标保证金外，贵方有权终止我方中标并选择其它中标人。</w:t>
      </w:r>
    </w:p>
    <w:p>
      <w:pPr>
        <w:spacing w:line="360" w:lineRule="auto"/>
        <w:ind w:firstLine="420"/>
        <w:rPr>
          <w:rFonts w:ascii="宋体" w:cs="Times New Roman"/>
          <w:sz w:val="24"/>
          <w:szCs w:val="24"/>
        </w:rPr>
      </w:pPr>
      <w:r>
        <w:rPr>
          <w:rFonts w:hint="eastAsia" w:ascii="宋体" w:hAnsi="宋体" w:cs="宋体"/>
          <w:sz w:val="24"/>
          <w:szCs w:val="24"/>
          <w:lang w:val="en-US" w:eastAsia="zh-CN"/>
        </w:rPr>
        <w:t>4</w:t>
      </w:r>
      <w:r>
        <w:rPr>
          <w:rFonts w:hint="eastAsia" w:ascii="宋体" w:hAnsi="宋体" w:cs="宋体"/>
          <w:sz w:val="24"/>
          <w:szCs w:val="24"/>
        </w:rPr>
        <w:t>、贵方的中标通知书和本投标文件将构成约束双方的合同。</w:t>
      </w:r>
    </w:p>
    <w:p>
      <w:pPr>
        <w:spacing w:line="360" w:lineRule="auto"/>
        <w:ind w:firstLine="420"/>
        <w:rPr>
          <w:rFonts w:ascii="宋体" w:cs="Times New Roman"/>
          <w:sz w:val="24"/>
          <w:szCs w:val="24"/>
        </w:rPr>
      </w:pPr>
      <w:r>
        <w:rPr>
          <w:rFonts w:hint="eastAsia" w:ascii="宋体" w:hAnsi="宋体" w:cs="宋体"/>
          <w:sz w:val="24"/>
          <w:szCs w:val="24"/>
          <w:lang w:val="en-US" w:eastAsia="zh-CN"/>
        </w:rPr>
        <w:t>5</w:t>
      </w:r>
      <w:r>
        <w:rPr>
          <w:rFonts w:hint="eastAsia" w:ascii="宋体" w:hAnsi="宋体" w:cs="宋体"/>
          <w:sz w:val="24"/>
          <w:szCs w:val="24"/>
        </w:rPr>
        <w:t>、如我方成为中标投标商，我方愿意在签订合同时按中标金额的比例向招标代理机构支付中标服务费。我方承诺接受招标文件及澄清修改部分（如有）的全部条款（包括响应文件递交截止时间、保证金、资格评审条件、中标标准以及招标需求等其他所有条款）且无任何异议，现向贵公司提出承诺报价。</w:t>
      </w:r>
    </w:p>
    <w:p>
      <w:pPr>
        <w:spacing w:line="360" w:lineRule="auto"/>
        <w:rPr>
          <w:rFonts w:ascii="宋体" w:cs="Times New Roman"/>
          <w:sz w:val="24"/>
          <w:szCs w:val="24"/>
        </w:rPr>
      </w:pPr>
      <w:r>
        <w:rPr>
          <w:rFonts w:ascii="宋体" w:hAnsi="宋体" w:cs="宋体"/>
          <w:sz w:val="24"/>
          <w:szCs w:val="24"/>
        </w:rPr>
        <w:t xml:space="preserve">   </w:t>
      </w:r>
      <w:r>
        <w:rPr>
          <w:rFonts w:hint="eastAsia" w:ascii="宋体" w:hAnsi="宋体" w:cs="宋体"/>
          <w:sz w:val="24"/>
          <w:szCs w:val="24"/>
          <w:lang w:val="en-US" w:eastAsia="zh-CN"/>
        </w:rPr>
        <w:t>6</w:t>
      </w:r>
      <w:r>
        <w:rPr>
          <w:rFonts w:hint="eastAsia" w:ascii="宋体" w:hAnsi="宋体" w:cs="宋体"/>
          <w:sz w:val="24"/>
          <w:szCs w:val="24"/>
        </w:rPr>
        <w:t>、如果我方未中标，贵方没有必要对我方做出任何解释和说明，我方将充分尊重和理解贵方的选择。</w:t>
      </w:r>
    </w:p>
    <w:p>
      <w:pPr>
        <w:spacing w:line="360" w:lineRule="auto"/>
        <w:rPr>
          <w:rFonts w:ascii="宋体" w:cs="Times New Roman"/>
          <w:sz w:val="24"/>
          <w:szCs w:val="24"/>
        </w:rPr>
      </w:pPr>
    </w:p>
    <w:p>
      <w:pPr>
        <w:spacing w:line="360" w:lineRule="auto"/>
        <w:rPr>
          <w:rFonts w:ascii="宋体" w:cs="Times New Roman"/>
          <w:sz w:val="24"/>
          <w:szCs w:val="24"/>
        </w:rPr>
      </w:pPr>
      <w:r>
        <w:rPr>
          <w:rFonts w:hint="eastAsia" w:ascii="宋体" w:hAnsi="宋体" w:cs="宋体"/>
          <w:sz w:val="24"/>
          <w:szCs w:val="24"/>
        </w:rPr>
        <w:t>投标人：（盖章）</w:t>
      </w:r>
    </w:p>
    <w:p>
      <w:pPr>
        <w:spacing w:line="360" w:lineRule="auto"/>
        <w:rPr>
          <w:rFonts w:ascii="宋体" w:cs="Times New Roman"/>
          <w:sz w:val="24"/>
          <w:szCs w:val="24"/>
        </w:rPr>
      </w:pPr>
    </w:p>
    <w:p>
      <w:pPr>
        <w:spacing w:line="360" w:lineRule="auto"/>
        <w:rPr>
          <w:rFonts w:ascii="宋体" w:cs="Times New Roman"/>
          <w:sz w:val="24"/>
          <w:szCs w:val="24"/>
        </w:rPr>
      </w:pPr>
      <w:r>
        <w:rPr>
          <w:rFonts w:hint="eastAsia" w:ascii="宋体" w:hAnsi="宋体" w:cs="宋体"/>
          <w:sz w:val="24"/>
          <w:szCs w:val="24"/>
        </w:rPr>
        <w:t>法定代表人：（签字盖章）</w:t>
      </w:r>
    </w:p>
    <w:p>
      <w:pPr>
        <w:spacing w:line="360" w:lineRule="auto"/>
        <w:rPr>
          <w:rFonts w:ascii="宋体" w:cs="Times New Roman"/>
          <w:sz w:val="24"/>
          <w:szCs w:val="24"/>
        </w:rPr>
      </w:pPr>
    </w:p>
    <w:p>
      <w:pPr>
        <w:spacing w:line="360" w:lineRule="auto"/>
        <w:rPr>
          <w:rFonts w:ascii="宋体" w:cs="Times New Roman"/>
          <w:sz w:val="24"/>
          <w:szCs w:val="24"/>
        </w:rPr>
      </w:pPr>
    </w:p>
    <w:p>
      <w:pPr>
        <w:wordWrap w:val="0"/>
        <w:spacing w:line="360" w:lineRule="auto"/>
        <w:jc w:val="right"/>
        <w:rPr>
          <w:rFonts w:ascii="宋体" w:cs="Times New Roman"/>
          <w:sz w:val="24"/>
          <w:szCs w:val="24"/>
        </w:rPr>
      </w:pPr>
      <w:r>
        <w:rPr>
          <w:rFonts w:hint="eastAsia" w:ascii="宋体" w:hAnsi="宋体" w:cs="宋体"/>
          <w:sz w:val="24"/>
          <w:szCs w:val="24"/>
        </w:rPr>
        <w:t>日期：</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spacing w:line="360" w:lineRule="auto"/>
        <w:rPr>
          <w:rFonts w:ascii="宋体" w:cs="Times New Roman"/>
          <w:sz w:val="24"/>
          <w:szCs w:val="24"/>
        </w:rPr>
      </w:pPr>
    </w:p>
    <w:p>
      <w:pPr>
        <w:spacing w:line="360" w:lineRule="auto"/>
        <w:jc w:val="center"/>
        <w:rPr>
          <w:rFonts w:ascii="宋体" w:hAnsi="宋体" w:cs="宋体"/>
          <w:b/>
          <w:bCs/>
          <w:sz w:val="24"/>
          <w:szCs w:val="24"/>
        </w:rPr>
      </w:pPr>
      <w:r>
        <w:rPr>
          <w:rFonts w:ascii="宋体" w:cs="Times New Roman"/>
          <w:b/>
          <w:bCs/>
          <w:sz w:val="24"/>
          <w:szCs w:val="24"/>
        </w:rPr>
        <w:br w:type="page"/>
      </w:r>
      <w:r>
        <w:rPr>
          <w:rFonts w:hint="eastAsia" w:ascii="宋体" w:hAnsi="宋体" w:cs="宋体"/>
          <w:b/>
          <w:bCs/>
          <w:sz w:val="24"/>
          <w:szCs w:val="24"/>
        </w:rPr>
        <w:t>法定代表人身份证明书</w:t>
      </w:r>
    </w:p>
    <w:p>
      <w:pPr>
        <w:spacing w:line="360" w:lineRule="auto"/>
        <w:jc w:val="center"/>
        <w:rPr>
          <w:rFonts w:ascii="宋体" w:cs="Times New Roman"/>
          <w:sz w:val="24"/>
          <w:szCs w:val="24"/>
        </w:rPr>
      </w:pPr>
    </w:p>
    <w:p>
      <w:pPr>
        <w:spacing w:line="360" w:lineRule="auto"/>
        <w:rPr>
          <w:rFonts w:ascii="宋体" w:cs="Times New Roman"/>
          <w:sz w:val="24"/>
          <w:szCs w:val="24"/>
          <w:u w:val="single"/>
        </w:rPr>
      </w:pPr>
      <w:r>
        <w:rPr>
          <w:rFonts w:hint="eastAsia" w:ascii="宋体" w:hAnsi="宋体" w:cs="宋体"/>
          <w:sz w:val="24"/>
          <w:szCs w:val="24"/>
        </w:rPr>
        <w:t>单位名称：</w:t>
      </w:r>
      <w:r>
        <w:rPr>
          <w:rFonts w:ascii="宋体" w:hAnsi="宋体" w:cs="宋体"/>
          <w:sz w:val="24"/>
          <w:szCs w:val="24"/>
          <w:u w:val="single"/>
        </w:rPr>
        <w:t xml:space="preserve">                                                   </w:t>
      </w:r>
    </w:p>
    <w:p>
      <w:pPr>
        <w:spacing w:line="360" w:lineRule="auto"/>
        <w:rPr>
          <w:rFonts w:ascii="宋体" w:cs="Times New Roman"/>
          <w:sz w:val="24"/>
          <w:szCs w:val="24"/>
          <w:u w:val="single"/>
        </w:rPr>
      </w:pPr>
    </w:p>
    <w:p>
      <w:pPr>
        <w:spacing w:line="360" w:lineRule="auto"/>
        <w:rPr>
          <w:rFonts w:ascii="宋体" w:cs="Times New Roman"/>
          <w:sz w:val="24"/>
          <w:szCs w:val="24"/>
          <w:u w:val="single"/>
        </w:rPr>
      </w:pPr>
      <w:r>
        <w:rPr>
          <w:rFonts w:hint="eastAsia" w:ascii="宋体" w:hAnsi="宋体" w:cs="宋体"/>
          <w:sz w:val="24"/>
          <w:szCs w:val="24"/>
        </w:rPr>
        <w:t>企业类型：</w:t>
      </w:r>
      <w:r>
        <w:rPr>
          <w:rFonts w:ascii="宋体" w:hAnsi="宋体" w:cs="宋体"/>
          <w:sz w:val="24"/>
          <w:szCs w:val="24"/>
          <w:u w:val="single"/>
        </w:rPr>
        <w:t xml:space="preserve">                                                   </w:t>
      </w:r>
    </w:p>
    <w:p>
      <w:pPr>
        <w:spacing w:line="360" w:lineRule="auto"/>
        <w:rPr>
          <w:rFonts w:ascii="宋体" w:cs="Times New Roman"/>
          <w:sz w:val="24"/>
          <w:szCs w:val="24"/>
        </w:rPr>
      </w:pPr>
    </w:p>
    <w:p>
      <w:pPr>
        <w:spacing w:line="360" w:lineRule="auto"/>
        <w:rPr>
          <w:rFonts w:ascii="宋体" w:cs="Times New Roman"/>
          <w:sz w:val="24"/>
          <w:szCs w:val="24"/>
          <w:u w:val="single"/>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r>
        <w:rPr>
          <w:rFonts w:ascii="宋体" w:hAnsi="宋体" w:cs="宋体"/>
          <w:sz w:val="24"/>
          <w:szCs w:val="24"/>
          <w:u w:val="single"/>
        </w:rPr>
        <w:t xml:space="preserve">                                                   </w:t>
      </w:r>
    </w:p>
    <w:p>
      <w:pPr>
        <w:spacing w:line="360" w:lineRule="auto"/>
        <w:rPr>
          <w:rFonts w:ascii="宋体" w:cs="Times New Roman"/>
          <w:sz w:val="24"/>
          <w:szCs w:val="24"/>
        </w:rPr>
      </w:pPr>
    </w:p>
    <w:p>
      <w:pPr>
        <w:spacing w:line="360" w:lineRule="auto"/>
        <w:rPr>
          <w:rFonts w:ascii="宋体" w:cs="Times New Roman"/>
          <w:sz w:val="24"/>
          <w:szCs w:val="24"/>
          <w:u w:val="single"/>
        </w:rPr>
      </w:pPr>
      <w:r>
        <w:rPr>
          <w:rFonts w:hint="eastAsia" w:ascii="宋体" w:hAnsi="宋体" w:cs="宋体"/>
          <w:sz w:val="24"/>
          <w:szCs w:val="24"/>
        </w:rPr>
        <w:t>营业期限：</w:t>
      </w:r>
      <w:r>
        <w:rPr>
          <w:rFonts w:ascii="宋体" w:hAnsi="宋体" w:cs="宋体"/>
          <w:sz w:val="24"/>
          <w:szCs w:val="24"/>
          <w:u w:val="single"/>
        </w:rPr>
        <w:t xml:space="preserve">                                                   </w:t>
      </w:r>
    </w:p>
    <w:p>
      <w:pPr>
        <w:spacing w:line="360" w:lineRule="auto"/>
        <w:rPr>
          <w:rFonts w:ascii="宋体" w:cs="Times New Roman"/>
          <w:sz w:val="24"/>
          <w:szCs w:val="24"/>
        </w:rPr>
      </w:pPr>
    </w:p>
    <w:p>
      <w:pPr>
        <w:spacing w:line="360" w:lineRule="auto"/>
        <w:rPr>
          <w:rFonts w:ascii="宋体" w:cs="Times New Roman"/>
          <w:sz w:val="24"/>
          <w:szCs w:val="24"/>
          <w:u w:val="single"/>
        </w:rPr>
      </w:pPr>
      <w:r>
        <w:rPr>
          <w:rFonts w:hint="eastAsia" w:ascii="宋体" w:hAnsi="宋体" w:cs="宋体"/>
          <w:sz w:val="24"/>
          <w:szCs w:val="24"/>
        </w:rPr>
        <w:t>成立时间：</w:t>
      </w:r>
      <w:r>
        <w:rPr>
          <w:rFonts w:ascii="宋体" w:hAnsi="宋体" w:cs="宋体"/>
          <w:sz w:val="24"/>
          <w:szCs w:val="24"/>
          <w:u w:val="single"/>
        </w:rPr>
        <w:t xml:space="preserve">                                                   </w:t>
      </w:r>
    </w:p>
    <w:p>
      <w:pPr>
        <w:spacing w:line="360" w:lineRule="auto"/>
        <w:rPr>
          <w:rFonts w:ascii="宋体" w:cs="Times New Roman"/>
          <w:sz w:val="24"/>
          <w:szCs w:val="24"/>
          <w:u w:val="single"/>
        </w:rPr>
      </w:pPr>
    </w:p>
    <w:p>
      <w:pPr>
        <w:spacing w:line="360" w:lineRule="auto"/>
        <w:rPr>
          <w:rFonts w:ascii="宋体" w:cs="Times New Roman"/>
          <w:sz w:val="24"/>
          <w:szCs w:val="24"/>
          <w:u w:val="single"/>
        </w:rPr>
      </w:pPr>
    </w:p>
    <w:p>
      <w:pPr>
        <w:spacing w:line="360" w:lineRule="auto"/>
        <w:rPr>
          <w:rFonts w:ascii="宋体" w:cs="Times New Roman"/>
          <w:sz w:val="24"/>
          <w:szCs w:val="24"/>
          <w:u w:val="single"/>
        </w:rPr>
      </w:pPr>
    </w:p>
    <w:p>
      <w:pPr>
        <w:spacing w:line="360" w:lineRule="auto"/>
        <w:rPr>
          <w:rFonts w:ascii="宋体" w:cs="Times New Roman"/>
          <w:sz w:val="24"/>
          <w:szCs w:val="24"/>
          <w:u w:val="single"/>
        </w:rPr>
      </w:pPr>
      <w:r>
        <w:rPr>
          <w:rFonts w:hint="eastAsia" w:ascii="宋体" w:hAnsi="宋体" w:cs="宋体"/>
          <w:sz w:val="24"/>
          <w:szCs w:val="24"/>
        </w:rPr>
        <w:t>姓名：</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性别：</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年龄：</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职务：</w:t>
      </w:r>
      <w:r>
        <w:rPr>
          <w:rFonts w:ascii="宋体" w:hAnsi="宋体" w:cs="宋体"/>
          <w:sz w:val="24"/>
          <w:szCs w:val="24"/>
          <w:u w:val="single"/>
        </w:rPr>
        <w:t xml:space="preserve">               </w:t>
      </w:r>
    </w:p>
    <w:p>
      <w:pPr>
        <w:spacing w:line="360" w:lineRule="auto"/>
        <w:rPr>
          <w:rFonts w:ascii="宋体" w:cs="Times New Roman"/>
          <w:sz w:val="24"/>
          <w:szCs w:val="24"/>
        </w:rPr>
      </w:pPr>
    </w:p>
    <w:p>
      <w:pPr>
        <w:spacing w:line="360" w:lineRule="auto"/>
        <w:rPr>
          <w:rFonts w:ascii="宋体" w:cs="Times New Roman"/>
          <w:sz w:val="24"/>
          <w:szCs w:val="24"/>
        </w:rPr>
      </w:pPr>
      <w:r>
        <w:rPr>
          <w:rFonts w:hint="eastAsia" w:ascii="宋体" w:hAnsi="宋体" w:cs="宋体"/>
          <w:sz w:val="24"/>
          <w:szCs w:val="24"/>
        </w:rPr>
        <w:t>系</w:t>
      </w:r>
      <w:r>
        <w:rPr>
          <w:rFonts w:ascii="宋体" w:hAnsi="宋体" w:cs="宋体"/>
          <w:sz w:val="24"/>
          <w:szCs w:val="24"/>
        </w:rPr>
        <w:t xml:space="preserve"> </w:t>
      </w:r>
      <w:r>
        <w:rPr>
          <w:rFonts w:ascii="宋体" w:hAnsi="宋体" w:cs="宋体"/>
          <w:sz w:val="24"/>
          <w:szCs w:val="24"/>
          <w:u w:val="single"/>
        </w:rPr>
        <w:t xml:space="preserve">         </w:t>
      </w:r>
      <w:r>
        <w:rPr>
          <w:rFonts w:hint="eastAsia" w:ascii="宋体" w:hAnsi="宋体" w:cs="宋体"/>
          <w:sz w:val="24"/>
          <w:szCs w:val="24"/>
          <w:u w:val="single"/>
        </w:rPr>
        <w:t>（投标人名称）</w:t>
      </w:r>
      <w:r>
        <w:rPr>
          <w:rFonts w:ascii="宋体" w:hAnsi="宋体" w:cs="宋体"/>
          <w:sz w:val="24"/>
          <w:szCs w:val="24"/>
          <w:u w:val="single"/>
        </w:rPr>
        <w:t xml:space="preserve">               </w:t>
      </w:r>
      <w:r>
        <w:rPr>
          <w:rFonts w:hint="eastAsia" w:ascii="宋体" w:hAnsi="宋体" w:cs="宋体"/>
          <w:sz w:val="24"/>
          <w:szCs w:val="24"/>
        </w:rPr>
        <w:t>的法定代表人。</w:t>
      </w: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r>
        <w:rPr>
          <w:rFonts w:hint="eastAsia" w:ascii="宋体" w:hAnsi="宋体" w:cs="宋体"/>
          <w:sz w:val="24"/>
          <w:szCs w:val="24"/>
        </w:rPr>
        <w:t>特此证明。</w:t>
      </w: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wordWrap w:val="0"/>
        <w:spacing w:line="360" w:lineRule="auto"/>
        <w:jc w:val="right"/>
        <w:rPr>
          <w:rFonts w:ascii="宋体" w:cs="Times New Roman"/>
          <w:sz w:val="24"/>
          <w:szCs w:val="24"/>
          <w:u w:val="single"/>
        </w:rPr>
      </w:pPr>
      <w:r>
        <w:rPr>
          <w:rFonts w:hint="eastAsia" w:ascii="宋体" w:hAnsi="宋体" w:cs="宋体"/>
          <w:sz w:val="24"/>
          <w:szCs w:val="24"/>
        </w:rPr>
        <w:t>投标人：</w:t>
      </w:r>
      <w:r>
        <w:rPr>
          <w:rFonts w:ascii="宋体" w:hAnsi="宋体" w:cs="宋体"/>
          <w:sz w:val="24"/>
          <w:szCs w:val="24"/>
          <w:u w:val="single"/>
        </w:rPr>
        <w:t xml:space="preserve">                      </w:t>
      </w:r>
      <w:r>
        <w:rPr>
          <w:rFonts w:hint="eastAsia" w:ascii="宋体" w:hAnsi="宋体" w:cs="宋体"/>
          <w:sz w:val="24"/>
          <w:szCs w:val="24"/>
          <w:u w:val="single"/>
        </w:rPr>
        <w:t>（盖章）</w:t>
      </w:r>
    </w:p>
    <w:p>
      <w:pPr>
        <w:spacing w:line="360" w:lineRule="auto"/>
        <w:jc w:val="right"/>
        <w:rPr>
          <w:rFonts w:ascii="宋体" w:cs="Times New Roman"/>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spacing w:line="360" w:lineRule="auto"/>
        <w:rPr>
          <w:rFonts w:ascii="宋体" w:cs="Times New Roman"/>
          <w:sz w:val="24"/>
          <w:szCs w:val="24"/>
        </w:rPr>
      </w:pPr>
    </w:p>
    <w:p>
      <w:pPr>
        <w:spacing w:line="360" w:lineRule="auto"/>
        <w:jc w:val="center"/>
        <w:rPr>
          <w:rFonts w:ascii="宋体" w:cs="Times New Roman"/>
          <w:b/>
          <w:bCs/>
          <w:sz w:val="24"/>
          <w:szCs w:val="24"/>
        </w:rPr>
      </w:pPr>
      <w:r>
        <w:rPr>
          <w:rFonts w:ascii="宋体" w:cs="Times New Roman"/>
          <w:b/>
          <w:bCs/>
          <w:sz w:val="24"/>
          <w:szCs w:val="24"/>
        </w:rPr>
        <w:br w:type="page"/>
      </w:r>
      <w:r>
        <w:rPr>
          <w:rFonts w:hint="eastAsia" w:ascii="宋体" w:hAnsi="宋体" w:cs="宋体"/>
          <w:b/>
          <w:bCs/>
          <w:sz w:val="24"/>
          <w:szCs w:val="24"/>
        </w:rPr>
        <w:t>法定代表人授权委托书</w:t>
      </w:r>
    </w:p>
    <w:p>
      <w:pPr>
        <w:spacing w:line="360" w:lineRule="auto"/>
        <w:rPr>
          <w:rFonts w:ascii="宋体" w:cs="Times New Roman"/>
          <w:sz w:val="24"/>
          <w:szCs w:val="24"/>
        </w:rPr>
      </w:pPr>
    </w:p>
    <w:p>
      <w:pPr>
        <w:spacing w:line="360" w:lineRule="auto"/>
        <w:ind w:firstLine="630"/>
        <w:rPr>
          <w:rFonts w:ascii="宋体" w:cs="Times New Roman"/>
          <w:sz w:val="24"/>
          <w:szCs w:val="24"/>
        </w:rPr>
      </w:pPr>
      <w:r>
        <w:rPr>
          <w:rFonts w:hint="eastAsia" w:ascii="宋体" w:hAnsi="宋体" w:cs="宋体"/>
          <w:sz w:val="24"/>
          <w:szCs w:val="24"/>
        </w:rPr>
        <w:t>本授权委托书声明：我</w:t>
      </w:r>
      <w:r>
        <w:rPr>
          <w:rFonts w:ascii="宋体" w:hAnsi="宋体" w:cs="宋体"/>
          <w:sz w:val="24"/>
          <w:szCs w:val="24"/>
          <w:u w:val="single"/>
        </w:rPr>
        <w:t xml:space="preserve">         </w:t>
      </w:r>
      <w:r>
        <w:rPr>
          <w:rFonts w:hint="eastAsia" w:ascii="宋体" w:hAnsi="宋体" w:cs="宋体"/>
          <w:sz w:val="24"/>
          <w:szCs w:val="24"/>
        </w:rPr>
        <w:t>（姓名）系</w:t>
      </w:r>
      <w:r>
        <w:rPr>
          <w:rFonts w:ascii="宋体" w:hAnsi="宋体" w:cs="宋体"/>
          <w:sz w:val="24"/>
          <w:szCs w:val="24"/>
          <w:u w:val="single"/>
        </w:rPr>
        <w:t xml:space="preserve">               </w:t>
      </w:r>
      <w:r>
        <w:rPr>
          <w:rFonts w:hint="eastAsia" w:ascii="宋体" w:hAnsi="宋体" w:cs="宋体"/>
          <w:sz w:val="24"/>
          <w:szCs w:val="24"/>
        </w:rPr>
        <w:t>（投标人名称）的法定代表人，现授权委托</w:t>
      </w:r>
      <w:r>
        <w:rPr>
          <w:rFonts w:ascii="宋体" w:hAnsi="宋体" w:cs="宋体"/>
          <w:sz w:val="24"/>
          <w:szCs w:val="24"/>
          <w:u w:val="single"/>
        </w:rPr>
        <w:t xml:space="preserve">                                   </w:t>
      </w:r>
      <w:r>
        <w:rPr>
          <w:rFonts w:hint="eastAsia" w:ascii="宋体" w:hAnsi="宋体" w:cs="宋体"/>
          <w:sz w:val="24"/>
          <w:szCs w:val="24"/>
        </w:rPr>
        <w:t>（投标人名称）的</w:t>
      </w:r>
      <w:r>
        <w:rPr>
          <w:rFonts w:ascii="宋体" w:hAnsi="宋体" w:cs="宋体"/>
          <w:sz w:val="24"/>
          <w:szCs w:val="24"/>
          <w:u w:val="single"/>
        </w:rPr>
        <w:t xml:space="preserve">            </w:t>
      </w:r>
      <w:r>
        <w:rPr>
          <w:rFonts w:hint="eastAsia" w:ascii="宋体" w:hAnsi="宋体" w:cs="宋体"/>
          <w:sz w:val="24"/>
          <w:szCs w:val="24"/>
        </w:rPr>
        <w:t>（姓名）为我的代理人，以本公司的名义参加</w:t>
      </w:r>
      <w:r>
        <w:rPr>
          <w:rFonts w:ascii="宋体" w:hAnsi="宋体" w:cs="宋体"/>
          <w:sz w:val="24"/>
          <w:szCs w:val="24"/>
          <w:u w:val="single"/>
        </w:rPr>
        <w:t xml:space="preserve">          </w:t>
      </w:r>
      <w:r>
        <w:rPr>
          <w:rFonts w:hint="eastAsia" w:ascii="宋体" w:hAnsi="宋体" w:cs="宋体"/>
          <w:sz w:val="24"/>
          <w:szCs w:val="24"/>
        </w:rPr>
        <w:t>（采购人）的</w:t>
      </w:r>
      <w:r>
        <w:rPr>
          <w:rFonts w:ascii="宋体" w:hAnsi="宋体" w:cs="宋体"/>
          <w:sz w:val="24"/>
          <w:szCs w:val="24"/>
          <w:u w:val="single"/>
        </w:rPr>
        <w:t xml:space="preserve">                 </w:t>
      </w:r>
      <w:r>
        <w:rPr>
          <w:rFonts w:hint="eastAsia" w:ascii="宋体" w:hAnsi="宋体" w:cs="宋体"/>
          <w:sz w:val="24"/>
          <w:szCs w:val="24"/>
        </w:rPr>
        <w:t>采购项目的投标活动。代理人在参加整个工程招标投标活动、合同招标过程中所签署的一切文件和处理与之有关的一切事物，我均予以承认。</w:t>
      </w:r>
    </w:p>
    <w:p>
      <w:pPr>
        <w:spacing w:line="360" w:lineRule="auto"/>
        <w:rPr>
          <w:rFonts w:ascii="宋体" w:cs="Times New Roman"/>
          <w:sz w:val="24"/>
          <w:szCs w:val="24"/>
        </w:rPr>
      </w:pPr>
      <w:r>
        <w:rPr>
          <w:rFonts w:hint="eastAsia" w:ascii="宋体" w:hAnsi="宋体" w:cs="宋体"/>
          <w:sz w:val="24"/>
          <w:szCs w:val="24"/>
        </w:rPr>
        <w:t>代理人：</w:t>
      </w:r>
      <w:r>
        <w:rPr>
          <w:rFonts w:ascii="宋体" w:hAnsi="宋体" w:cs="宋体"/>
          <w:sz w:val="24"/>
          <w:szCs w:val="24"/>
          <w:u w:val="single"/>
        </w:rPr>
        <w:t xml:space="preserve">              </w:t>
      </w:r>
      <w:r>
        <w:rPr>
          <w:rFonts w:hint="eastAsia" w:ascii="宋体" w:hAnsi="宋体" w:cs="宋体"/>
          <w:sz w:val="24"/>
          <w:szCs w:val="24"/>
        </w:rPr>
        <w:t>性别：</w:t>
      </w:r>
      <w:r>
        <w:rPr>
          <w:rFonts w:ascii="宋体" w:hAnsi="宋体" w:cs="宋体"/>
          <w:sz w:val="24"/>
          <w:szCs w:val="24"/>
          <w:u w:val="single"/>
        </w:rPr>
        <w:t xml:space="preserve">             </w:t>
      </w:r>
      <w:r>
        <w:rPr>
          <w:rFonts w:hint="eastAsia" w:ascii="宋体" w:hAnsi="宋体" w:cs="宋体"/>
          <w:sz w:val="24"/>
          <w:szCs w:val="24"/>
        </w:rPr>
        <w:t>年龄：</w:t>
      </w:r>
      <w:r>
        <w:rPr>
          <w:rFonts w:ascii="宋体" w:hAnsi="宋体" w:cs="宋体"/>
          <w:sz w:val="24"/>
          <w:szCs w:val="24"/>
          <w:u w:val="single"/>
        </w:rPr>
        <w:t xml:space="preserve">             </w:t>
      </w:r>
    </w:p>
    <w:p>
      <w:pPr>
        <w:spacing w:line="360" w:lineRule="auto"/>
        <w:rPr>
          <w:rFonts w:ascii="宋体" w:cs="Times New Roman"/>
          <w:sz w:val="24"/>
          <w:szCs w:val="24"/>
        </w:rPr>
      </w:pPr>
    </w:p>
    <w:p>
      <w:pPr>
        <w:spacing w:line="360" w:lineRule="auto"/>
        <w:rPr>
          <w:rFonts w:ascii="宋体" w:cs="Times New Roman"/>
          <w:sz w:val="24"/>
          <w:szCs w:val="24"/>
        </w:rPr>
      </w:pPr>
      <w:r>
        <w:rPr>
          <w:rFonts w:hint="eastAsia" w:ascii="宋体" w:hAnsi="宋体" w:cs="宋体"/>
          <w:sz w:val="24"/>
          <w:szCs w:val="24"/>
        </w:rPr>
        <w:t>单</w:t>
      </w:r>
      <w:r>
        <w:rPr>
          <w:rFonts w:ascii="宋体" w:hAnsi="宋体" w:cs="宋体"/>
          <w:sz w:val="24"/>
          <w:szCs w:val="24"/>
        </w:rPr>
        <w:t xml:space="preserve">  </w:t>
      </w:r>
      <w:r>
        <w:rPr>
          <w:rFonts w:hint="eastAsia" w:ascii="宋体" w:hAnsi="宋体" w:cs="宋体"/>
          <w:sz w:val="24"/>
          <w:szCs w:val="24"/>
        </w:rPr>
        <w:t>位：</w:t>
      </w:r>
      <w:r>
        <w:rPr>
          <w:rFonts w:ascii="宋体" w:hAnsi="宋体" w:cs="宋体"/>
          <w:sz w:val="24"/>
          <w:szCs w:val="24"/>
          <w:u w:val="single"/>
        </w:rPr>
        <w:t xml:space="preserve">              </w:t>
      </w:r>
      <w:r>
        <w:rPr>
          <w:rFonts w:hint="eastAsia" w:ascii="宋体" w:hAnsi="宋体" w:cs="宋体"/>
          <w:sz w:val="24"/>
          <w:szCs w:val="24"/>
        </w:rPr>
        <w:t>部门：</w:t>
      </w:r>
      <w:r>
        <w:rPr>
          <w:rFonts w:ascii="宋体" w:hAnsi="宋体" w:cs="宋体"/>
          <w:sz w:val="24"/>
          <w:szCs w:val="24"/>
          <w:u w:val="single"/>
        </w:rPr>
        <w:t xml:space="preserve">             </w:t>
      </w:r>
      <w:r>
        <w:rPr>
          <w:rFonts w:hint="eastAsia" w:ascii="宋体" w:hAnsi="宋体" w:cs="宋体"/>
          <w:sz w:val="24"/>
          <w:szCs w:val="24"/>
        </w:rPr>
        <w:t>职务：</w:t>
      </w:r>
      <w:r>
        <w:rPr>
          <w:rFonts w:ascii="宋体" w:hAnsi="宋体" w:cs="宋体"/>
          <w:sz w:val="24"/>
          <w:szCs w:val="24"/>
          <w:u w:val="single"/>
        </w:rPr>
        <w:t xml:space="preserve">             </w:t>
      </w:r>
    </w:p>
    <w:p>
      <w:pPr>
        <w:spacing w:line="360" w:lineRule="auto"/>
        <w:rPr>
          <w:rFonts w:ascii="宋体" w:cs="Times New Roman"/>
          <w:sz w:val="24"/>
          <w:szCs w:val="24"/>
        </w:rPr>
      </w:pPr>
    </w:p>
    <w:tbl>
      <w:tblPr>
        <w:tblStyle w:val="11"/>
        <w:tblW w:w="564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9" w:hRule="atLeast"/>
        </w:trPr>
        <w:tc>
          <w:tcPr>
            <w:tcW w:w="5640" w:type="dxa"/>
          </w:tcPr>
          <w:p>
            <w:pPr>
              <w:spacing w:line="360" w:lineRule="auto"/>
              <w:rPr>
                <w:rFonts w:ascii="宋体" w:cs="宋体"/>
                <w:sz w:val="24"/>
                <w:szCs w:val="24"/>
              </w:rPr>
            </w:pPr>
            <w:r>
              <w:rPr>
                <w:rFonts w:hint="eastAsia" w:ascii="宋体" w:hAnsi="宋体" w:cs="宋体"/>
                <w:sz w:val="24"/>
                <w:szCs w:val="24"/>
              </w:rPr>
              <w:t>法定代表人</w:t>
            </w:r>
            <w:r>
              <w:rPr>
                <w:rFonts w:ascii="宋体" w:cs="宋体"/>
                <w:sz w:val="24"/>
                <w:szCs w:val="24"/>
              </w:rPr>
              <w:tab/>
            </w:r>
            <w:r>
              <w:rPr>
                <w:rFonts w:hint="eastAsia" w:ascii="宋体" w:hAnsi="宋体" w:cs="宋体"/>
                <w:sz w:val="24"/>
                <w:szCs w:val="24"/>
              </w:rPr>
              <w:t>身份证正、反面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9" w:hRule="atLeast"/>
        </w:trPr>
        <w:tc>
          <w:tcPr>
            <w:tcW w:w="5640" w:type="dxa"/>
          </w:tcPr>
          <w:p>
            <w:pPr>
              <w:spacing w:line="360" w:lineRule="auto"/>
              <w:rPr>
                <w:rFonts w:ascii="宋体" w:cs="宋体"/>
                <w:sz w:val="24"/>
                <w:szCs w:val="24"/>
              </w:rPr>
            </w:pPr>
            <w:r>
              <w:rPr>
                <w:rFonts w:hint="eastAsia" w:ascii="宋体" w:hAnsi="宋体" w:cs="宋体"/>
                <w:sz w:val="24"/>
                <w:szCs w:val="24"/>
              </w:rPr>
              <w:t>被授权人身份证正、反面</w:t>
            </w:r>
          </w:p>
        </w:tc>
      </w:tr>
    </w:tbl>
    <w:p>
      <w:pPr>
        <w:spacing w:line="360" w:lineRule="auto"/>
        <w:rPr>
          <w:rFonts w:ascii="宋体" w:cs="Times New Roman"/>
          <w:sz w:val="24"/>
          <w:szCs w:val="24"/>
        </w:rPr>
      </w:pPr>
    </w:p>
    <w:p>
      <w:pPr>
        <w:spacing w:line="360" w:lineRule="auto"/>
        <w:rPr>
          <w:rFonts w:ascii="宋体" w:cs="Times New Roman"/>
          <w:sz w:val="24"/>
          <w:szCs w:val="24"/>
        </w:rPr>
      </w:pPr>
      <w:r>
        <w:rPr>
          <w:rFonts w:hint="eastAsia" w:ascii="宋体" w:hAnsi="宋体" w:cs="宋体"/>
          <w:sz w:val="24"/>
          <w:szCs w:val="24"/>
        </w:rPr>
        <w:t>代理人无转委权。特此委托。</w:t>
      </w: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r>
        <w:rPr>
          <w:rFonts w:hint="eastAsia" w:ascii="宋体" w:hAnsi="宋体" w:cs="宋体"/>
          <w:sz w:val="24"/>
          <w:szCs w:val="24"/>
        </w:rPr>
        <w:t>投标人：（盖章）</w:t>
      </w: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r>
        <w:rPr>
          <w:rFonts w:hint="eastAsia" w:ascii="宋体" w:hAnsi="宋体" w:cs="宋体"/>
          <w:sz w:val="24"/>
          <w:szCs w:val="24"/>
        </w:rPr>
        <w:t>法定代表人：（</w:t>
      </w:r>
      <w:r>
        <w:rPr>
          <w:rFonts w:hint="eastAsia" w:ascii="宋体" w:hAnsi="宋体"/>
          <w:sz w:val="24"/>
          <w:szCs w:val="24"/>
        </w:rPr>
        <w:t>签字盖章</w:t>
      </w:r>
      <w:r>
        <w:rPr>
          <w:rFonts w:hint="eastAsia" w:ascii="宋体" w:hAnsi="宋体" w:cs="宋体"/>
          <w:sz w:val="24"/>
          <w:szCs w:val="24"/>
        </w:rPr>
        <w:t>）</w:t>
      </w:r>
    </w:p>
    <w:p>
      <w:pPr>
        <w:spacing w:line="360" w:lineRule="auto"/>
        <w:rPr>
          <w:rFonts w:ascii="宋体" w:cs="Times New Roman"/>
          <w:sz w:val="24"/>
          <w:szCs w:val="24"/>
        </w:rPr>
      </w:pPr>
    </w:p>
    <w:p>
      <w:pPr>
        <w:spacing w:line="360" w:lineRule="auto"/>
        <w:jc w:val="center"/>
        <w:rPr>
          <w:rFonts w:ascii="宋体" w:cs="Times New Roman"/>
          <w:sz w:val="24"/>
          <w:szCs w:val="24"/>
        </w:rPr>
      </w:pPr>
    </w:p>
    <w:p>
      <w:pPr>
        <w:spacing w:line="360" w:lineRule="auto"/>
        <w:jc w:val="right"/>
        <w:rPr>
          <w:rFonts w:ascii="宋体" w:cs="Times New Roman"/>
          <w:b/>
          <w:bCs/>
          <w:sz w:val="24"/>
          <w:szCs w:val="24"/>
        </w:rPr>
      </w:pPr>
      <w:r>
        <w:rPr>
          <w:rFonts w:hint="eastAsia" w:ascii="宋体" w:hAnsi="宋体" w:cs="宋体"/>
          <w:sz w:val="24"/>
          <w:szCs w:val="24"/>
        </w:rPr>
        <w:t>日期：</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spacing w:line="360" w:lineRule="auto"/>
        <w:jc w:val="center"/>
        <w:rPr>
          <w:rFonts w:ascii="宋体" w:cs="Times New Roman"/>
          <w:sz w:val="24"/>
          <w:szCs w:val="24"/>
        </w:rPr>
      </w:pPr>
      <w:r>
        <w:rPr>
          <w:rFonts w:ascii="宋体" w:cs="Times New Roman"/>
          <w:sz w:val="24"/>
          <w:szCs w:val="24"/>
        </w:rPr>
        <w:br w:type="page"/>
      </w:r>
    </w:p>
    <w:p>
      <w:pPr>
        <w:pStyle w:val="4"/>
        <w:spacing w:before="0" w:after="0" w:line="360" w:lineRule="auto"/>
        <w:rPr>
          <w:rFonts w:ascii="Times New Roman" w:hAnsi="Times New Roman"/>
          <w:sz w:val="28"/>
          <w:szCs w:val="28"/>
        </w:rPr>
      </w:pPr>
      <w:r>
        <w:rPr>
          <w:rFonts w:ascii="Times New Roman" w:hAnsi="Times New Roman"/>
          <w:sz w:val="28"/>
          <w:szCs w:val="28"/>
        </w:rPr>
        <w:t>技术</w:t>
      </w:r>
      <w:r>
        <w:rPr>
          <w:rFonts w:ascii="Times New Roman" w:hAnsi="Times New Roman" w:eastAsia="宋体"/>
          <w:sz w:val="28"/>
          <w:szCs w:val="28"/>
        </w:rPr>
        <w:t>规格</w:t>
      </w:r>
      <w:r>
        <w:rPr>
          <w:rFonts w:ascii="Times New Roman" w:hAnsi="Times New Roman"/>
          <w:sz w:val="28"/>
          <w:szCs w:val="28"/>
        </w:rPr>
        <w:t>差异表</w:t>
      </w:r>
    </w:p>
    <w:p/>
    <w:p>
      <w:pPr>
        <w:spacing w:after="0" w:line="320" w:lineRule="exact"/>
        <w:ind w:right="60"/>
        <w:jc w:val="both"/>
        <w:rPr>
          <w:rFonts w:hint="eastAsia" w:eastAsia="宋体"/>
          <w:sz w:val="24"/>
          <w:lang w:eastAsia="zh-CN"/>
        </w:rPr>
      </w:pPr>
      <w:r>
        <w:rPr>
          <w:sz w:val="24"/>
        </w:rPr>
        <w:t>项目名称：</w:t>
      </w:r>
      <w:r>
        <w:rPr>
          <w:rFonts w:hint="eastAsia"/>
          <w:sz w:val="24"/>
          <w:lang w:eastAsia="zh-CN"/>
        </w:rPr>
        <w:t>伊犁师范大学低值易耗及危化品业务管理平台项目</w:t>
      </w:r>
    </w:p>
    <w:p>
      <w:pPr>
        <w:spacing w:line="400" w:lineRule="exact"/>
        <w:rPr>
          <w:rFonts w:hint="eastAsia" w:eastAsia="宋体"/>
          <w:color w:val="auto"/>
          <w:sz w:val="24"/>
          <w:lang w:eastAsia="zh-CN"/>
        </w:rPr>
      </w:pPr>
      <w:r>
        <w:rPr>
          <w:color w:val="auto"/>
          <w:sz w:val="24"/>
        </w:rPr>
        <w:t>招标编号：</w:t>
      </w:r>
      <w:r>
        <w:rPr>
          <w:rFonts w:hint="eastAsia" w:eastAsia="宋体"/>
          <w:sz w:val="24"/>
          <w:lang w:val="en-US" w:eastAsia="zh-CN"/>
        </w:rPr>
        <w:t>YL（CS）YC2019-29</w:t>
      </w:r>
    </w:p>
    <w:tbl>
      <w:tblPr>
        <w:tblStyle w:val="11"/>
        <w:tblW w:w="9169"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427"/>
        <w:gridCol w:w="2241"/>
        <w:gridCol w:w="2344"/>
        <w:gridCol w:w="1628"/>
        <w:gridCol w:w="8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blHeader/>
        </w:trPr>
        <w:tc>
          <w:tcPr>
            <w:tcW w:w="715" w:type="dxa"/>
            <w:shd w:val="clear" w:color="auto" w:fill="D9D9D9"/>
            <w:noWrap w:val="0"/>
            <w:vAlign w:val="center"/>
          </w:tcPr>
          <w:p>
            <w:pPr>
              <w:snapToGrid w:val="0"/>
              <w:spacing w:line="360" w:lineRule="auto"/>
              <w:jc w:val="center"/>
              <w:rPr>
                <w:b/>
                <w:sz w:val="24"/>
              </w:rPr>
            </w:pPr>
            <w:r>
              <w:rPr>
                <w:b/>
                <w:sz w:val="24"/>
              </w:rPr>
              <w:t>序号</w:t>
            </w:r>
          </w:p>
        </w:tc>
        <w:tc>
          <w:tcPr>
            <w:tcW w:w="1427" w:type="dxa"/>
            <w:shd w:val="clear" w:color="auto" w:fill="D9D9D9"/>
            <w:noWrap w:val="0"/>
            <w:vAlign w:val="center"/>
          </w:tcPr>
          <w:p>
            <w:pPr>
              <w:snapToGrid w:val="0"/>
              <w:spacing w:line="360" w:lineRule="auto"/>
              <w:jc w:val="center"/>
              <w:rPr>
                <w:rFonts w:hint="eastAsia"/>
                <w:b/>
                <w:sz w:val="24"/>
              </w:rPr>
            </w:pPr>
            <w:r>
              <w:rPr>
                <w:rFonts w:hint="eastAsia"/>
                <w:b/>
                <w:sz w:val="24"/>
              </w:rPr>
              <w:t>名称</w:t>
            </w:r>
          </w:p>
        </w:tc>
        <w:tc>
          <w:tcPr>
            <w:tcW w:w="2241" w:type="dxa"/>
            <w:shd w:val="clear" w:color="auto" w:fill="E0E0E0"/>
            <w:noWrap w:val="0"/>
            <w:vAlign w:val="center"/>
          </w:tcPr>
          <w:p>
            <w:pPr>
              <w:snapToGrid w:val="0"/>
              <w:spacing w:line="360" w:lineRule="auto"/>
              <w:ind w:left="-112" w:leftChars="-54" w:right="-105" w:rightChars="-50" w:hanging="1"/>
              <w:jc w:val="center"/>
              <w:rPr>
                <w:b/>
                <w:sz w:val="24"/>
              </w:rPr>
            </w:pPr>
            <w:r>
              <w:rPr>
                <w:b/>
                <w:sz w:val="24"/>
              </w:rPr>
              <w:t>原技术规范主要条款描述</w:t>
            </w:r>
          </w:p>
        </w:tc>
        <w:tc>
          <w:tcPr>
            <w:tcW w:w="2344" w:type="dxa"/>
            <w:shd w:val="clear" w:color="auto" w:fill="E0E0E0"/>
            <w:noWrap w:val="0"/>
            <w:vAlign w:val="center"/>
          </w:tcPr>
          <w:p>
            <w:pPr>
              <w:snapToGrid w:val="0"/>
              <w:spacing w:line="360" w:lineRule="auto"/>
              <w:ind w:left="-111" w:leftChars="-53" w:right="-105" w:rightChars="-50"/>
              <w:jc w:val="center"/>
              <w:rPr>
                <w:b/>
                <w:sz w:val="24"/>
              </w:rPr>
            </w:pPr>
            <w:r>
              <w:rPr>
                <w:b/>
                <w:sz w:val="24"/>
              </w:rPr>
              <w:t>投标人技术规范描述</w:t>
            </w:r>
          </w:p>
        </w:tc>
        <w:tc>
          <w:tcPr>
            <w:tcW w:w="1628" w:type="dxa"/>
            <w:shd w:val="clear" w:color="auto" w:fill="D9D9D9"/>
            <w:noWrap w:val="0"/>
            <w:vAlign w:val="center"/>
          </w:tcPr>
          <w:p>
            <w:pPr>
              <w:snapToGrid w:val="0"/>
              <w:spacing w:line="360" w:lineRule="auto"/>
              <w:jc w:val="center"/>
              <w:rPr>
                <w:b/>
                <w:sz w:val="24"/>
              </w:rPr>
            </w:pPr>
            <w:r>
              <w:rPr>
                <w:b/>
                <w:sz w:val="24"/>
              </w:rPr>
              <w:t>偏离情况</w:t>
            </w:r>
          </w:p>
          <w:p>
            <w:pPr>
              <w:snapToGrid w:val="0"/>
              <w:spacing w:line="360" w:lineRule="auto"/>
              <w:jc w:val="center"/>
              <w:rPr>
                <w:b/>
                <w:sz w:val="24"/>
              </w:rPr>
            </w:pPr>
            <w:r>
              <w:rPr>
                <w:b/>
                <w:sz w:val="24"/>
              </w:rPr>
              <w:t>说明</w:t>
            </w:r>
          </w:p>
          <w:p>
            <w:pPr>
              <w:snapToGrid w:val="0"/>
              <w:spacing w:line="360" w:lineRule="auto"/>
              <w:jc w:val="center"/>
              <w:rPr>
                <w:b/>
                <w:sz w:val="24"/>
              </w:rPr>
            </w:pPr>
            <w:r>
              <w:rPr>
                <w:b/>
                <w:sz w:val="24"/>
              </w:rPr>
              <w:t>（＋/-/=）</w:t>
            </w:r>
          </w:p>
        </w:tc>
        <w:tc>
          <w:tcPr>
            <w:tcW w:w="814" w:type="dxa"/>
            <w:shd w:val="clear" w:color="auto" w:fill="D9D9D9"/>
            <w:noWrap w:val="0"/>
            <w:vAlign w:val="center"/>
          </w:tcPr>
          <w:p>
            <w:pPr>
              <w:snapToGrid w:val="0"/>
              <w:spacing w:line="360" w:lineRule="auto"/>
              <w:jc w:val="center"/>
              <w:rPr>
                <w:b/>
                <w:sz w:val="24"/>
              </w:rPr>
            </w:pPr>
            <w:r>
              <w:rPr>
                <w:b/>
                <w:sz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blHeader/>
        </w:trPr>
        <w:tc>
          <w:tcPr>
            <w:tcW w:w="715" w:type="dxa"/>
            <w:noWrap w:val="0"/>
            <w:vAlign w:val="center"/>
          </w:tcPr>
          <w:p>
            <w:pPr>
              <w:spacing w:line="360" w:lineRule="auto"/>
              <w:jc w:val="center"/>
              <w:rPr>
                <w:sz w:val="24"/>
              </w:rPr>
            </w:pPr>
            <w:r>
              <w:rPr>
                <w:sz w:val="24"/>
              </w:rPr>
              <w:t>1</w:t>
            </w:r>
          </w:p>
        </w:tc>
        <w:tc>
          <w:tcPr>
            <w:tcW w:w="1427" w:type="dxa"/>
            <w:noWrap w:val="0"/>
            <w:vAlign w:val="center"/>
          </w:tcPr>
          <w:p>
            <w:pPr>
              <w:snapToGrid w:val="0"/>
              <w:spacing w:line="360" w:lineRule="auto"/>
              <w:jc w:val="center"/>
              <w:rPr>
                <w:sz w:val="24"/>
              </w:rPr>
            </w:pPr>
          </w:p>
        </w:tc>
        <w:tc>
          <w:tcPr>
            <w:tcW w:w="2241" w:type="dxa"/>
            <w:noWrap w:val="0"/>
            <w:vAlign w:val="center"/>
          </w:tcPr>
          <w:p>
            <w:pPr>
              <w:snapToGrid w:val="0"/>
              <w:spacing w:line="360" w:lineRule="auto"/>
              <w:jc w:val="center"/>
              <w:rPr>
                <w:sz w:val="24"/>
              </w:rPr>
            </w:pPr>
          </w:p>
        </w:tc>
        <w:tc>
          <w:tcPr>
            <w:tcW w:w="2344" w:type="dxa"/>
            <w:noWrap w:val="0"/>
            <w:vAlign w:val="center"/>
          </w:tcPr>
          <w:p>
            <w:pPr>
              <w:snapToGrid w:val="0"/>
              <w:spacing w:line="360" w:lineRule="auto"/>
              <w:jc w:val="center"/>
              <w:rPr>
                <w:sz w:val="24"/>
              </w:rPr>
            </w:pPr>
          </w:p>
        </w:tc>
        <w:tc>
          <w:tcPr>
            <w:tcW w:w="1628" w:type="dxa"/>
            <w:noWrap w:val="0"/>
            <w:vAlign w:val="center"/>
          </w:tcPr>
          <w:p>
            <w:pPr>
              <w:snapToGrid w:val="0"/>
              <w:spacing w:line="360" w:lineRule="auto"/>
              <w:jc w:val="center"/>
              <w:rPr>
                <w:sz w:val="24"/>
              </w:rPr>
            </w:pPr>
          </w:p>
        </w:tc>
        <w:tc>
          <w:tcPr>
            <w:tcW w:w="814" w:type="dxa"/>
            <w:noWrap w:val="0"/>
            <w:vAlign w:val="center"/>
          </w:tcPr>
          <w:p>
            <w:pPr>
              <w:snapToGrid w:val="0"/>
              <w:spacing w:line="360" w:lineRule="auto"/>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blHeader/>
        </w:trPr>
        <w:tc>
          <w:tcPr>
            <w:tcW w:w="715" w:type="dxa"/>
            <w:noWrap w:val="0"/>
            <w:vAlign w:val="center"/>
          </w:tcPr>
          <w:p>
            <w:pPr>
              <w:spacing w:line="360" w:lineRule="auto"/>
              <w:jc w:val="center"/>
              <w:rPr>
                <w:rFonts w:hint="eastAsia"/>
                <w:sz w:val="24"/>
              </w:rPr>
            </w:pPr>
            <w:r>
              <w:rPr>
                <w:rFonts w:hint="eastAsia"/>
                <w:sz w:val="24"/>
              </w:rPr>
              <w:t>...</w:t>
            </w:r>
          </w:p>
        </w:tc>
        <w:tc>
          <w:tcPr>
            <w:tcW w:w="1427" w:type="dxa"/>
            <w:noWrap w:val="0"/>
            <w:vAlign w:val="center"/>
          </w:tcPr>
          <w:p>
            <w:pPr>
              <w:snapToGrid w:val="0"/>
              <w:spacing w:line="360" w:lineRule="auto"/>
              <w:jc w:val="center"/>
              <w:rPr>
                <w:sz w:val="24"/>
              </w:rPr>
            </w:pPr>
          </w:p>
        </w:tc>
        <w:tc>
          <w:tcPr>
            <w:tcW w:w="2241" w:type="dxa"/>
            <w:noWrap w:val="0"/>
            <w:vAlign w:val="center"/>
          </w:tcPr>
          <w:p>
            <w:pPr>
              <w:snapToGrid w:val="0"/>
              <w:spacing w:line="360" w:lineRule="auto"/>
              <w:jc w:val="center"/>
              <w:rPr>
                <w:sz w:val="24"/>
              </w:rPr>
            </w:pPr>
          </w:p>
        </w:tc>
        <w:tc>
          <w:tcPr>
            <w:tcW w:w="2344" w:type="dxa"/>
            <w:noWrap w:val="0"/>
            <w:vAlign w:val="center"/>
          </w:tcPr>
          <w:p>
            <w:pPr>
              <w:snapToGrid w:val="0"/>
              <w:spacing w:line="360" w:lineRule="auto"/>
              <w:jc w:val="center"/>
              <w:rPr>
                <w:sz w:val="24"/>
              </w:rPr>
            </w:pPr>
          </w:p>
        </w:tc>
        <w:tc>
          <w:tcPr>
            <w:tcW w:w="1628" w:type="dxa"/>
            <w:noWrap w:val="0"/>
            <w:vAlign w:val="center"/>
          </w:tcPr>
          <w:p>
            <w:pPr>
              <w:snapToGrid w:val="0"/>
              <w:spacing w:line="360" w:lineRule="auto"/>
              <w:jc w:val="center"/>
              <w:rPr>
                <w:sz w:val="24"/>
              </w:rPr>
            </w:pPr>
          </w:p>
        </w:tc>
        <w:tc>
          <w:tcPr>
            <w:tcW w:w="814" w:type="dxa"/>
            <w:noWrap w:val="0"/>
            <w:vAlign w:val="center"/>
          </w:tcPr>
          <w:p>
            <w:pPr>
              <w:snapToGrid w:val="0"/>
              <w:spacing w:line="360" w:lineRule="auto"/>
              <w:jc w:val="center"/>
              <w:rPr>
                <w:sz w:val="24"/>
              </w:rPr>
            </w:pPr>
          </w:p>
        </w:tc>
      </w:tr>
    </w:tbl>
    <w:p>
      <w:pPr>
        <w:snapToGrid w:val="0"/>
        <w:rPr>
          <w:bCs/>
          <w:sz w:val="24"/>
        </w:rPr>
      </w:pPr>
    </w:p>
    <w:p>
      <w:pPr>
        <w:spacing w:line="480" w:lineRule="auto"/>
        <w:rPr>
          <w:bCs/>
          <w:sz w:val="24"/>
        </w:rPr>
      </w:pPr>
      <w:r>
        <w:rPr>
          <w:bCs/>
          <w:sz w:val="24"/>
        </w:rPr>
        <w:t>投标人全称（盖公章）：</w:t>
      </w:r>
    </w:p>
    <w:p>
      <w:pPr>
        <w:spacing w:line="480" w:lineRule="auto"/>
        <w:rPr>
          <w:bCs/>
          <w:sz w:val="24"/>
        </w:rPr>
      </w:pPr>
      <w:r>
        <w:rPr>
          <w:bCs/>
          <w:sz w:val="24"/>
        </w:rPr>
        <w:t>法定代表人或授权代表（签名或盖章）：</w:t>
      </w:r>
    </w:p>
    <w:p>
      <w:pPr>
        <w:spacing w:line="480" w:lineRule="auto"/>
        <w:rPr>
          <w:sz w:val="24"/>
        </w:rPr>
      </w:pPr>
      <w:r>
        <w:rPr>
          <w:bCs/>
          <w:sz w:val="24"/>
        </w:rPr>
        <w:t>日    期：     年   月   日</w:t>
      </w:r>
    </w:p>
    <w:p>
      <w:pPr>
        <w:tabs>
          <w:tab w:val="left" w:pos="11130"/>
        </w:tabs>
        <w:snapToGrid w:val="0"/>
        <w:rPr>
          <w:bCs/>
          <w:sz w:val="24"/>
        </w:rPr>
      </w:pPr>
    </w:p>
    <w:p>
      <w:pPr>
        <w:tabs>
          <w:tab w:val="left" w:pos="11130"/>
        </w:tabs>
        <w:snapToGrid w:val="0"/>
        <w:rPr>
          <w:bCs/>
          <w:sz w:val="24"/>
        </w:rPr>
      </w:pPr>
    </w:p>
    <w:p>
      <w:pPr>
        <w:tabs>
          <w:tab w:val="left" w:pos="11130"/>
        </w:tabs>
        <w:snapToGrid w:val="0"/>
        <w:rPr>
          <w:bCs/>
          <w:sz w:val="24"/>
          <w:szCs w:val="24"/>
        </w:rPr>
      </w:pPr>
    </w:p>
    <w:p>
      <w:pPr>
        <w:tabs>
          <w:tab w:val="left" w:pos="11130"/>
        </w:tabs>
        <w:snapToGrid w:val="0"/>
        <w:spacing w:line="480" w:lineRule="auto"/>
        <w:rPr>
          <w:b/>
          <w:bCs/>
          <w:sz w:val="24"/>
          <w:szCs w:val="24"/>
        </w:rPr>
      </w:pPr>
      <w:r>
        <w:rPr>
          <w:b/>
          <w:bCs/>
          <w:sz w:val="24"/>
          <w:szCs w:val="24"/>
        </w:rPr>
        <w:t>注：1、此表为表样，行数可自行添加，但表式不变。</w:t>
      </w:r>
    </w:p>
    <w:p>
      <w:pPr>
        <w:tabs>
          <w:tab w:val="left" w:pos="11130"/>
        </w:tabs>
        <w:snapToGrid w:val="0"/>
        <w:spacing w:line="480" w:lineRule="auto"/>
        <w:rPr>
          <w:b/>
          <w:bCs/>
          <w:sz w:val="24"/>
          <w:szCs w:val="24"/>
        </w:rPr>
      </w:pPr>
      <w:r>
        <w:rPr>
          <w:b/>
          <w:bCs/>
          <w:sz w:val="24"/>
          <w:szCs w:val="24"/>
        </w:rPr>
        <w:t xml:space="preserve">    2、投标人根据系统方案添加的</w:t>
      </w:r>
      <w:r>
        <w:rPr>
          <w:rFonts w:hint="eastAsia"/>
          <w:b/>
          <w:bCs/>
          <w:sz w:val="24"/>
          <w:szCs w:val="24"/>
          <w:lang w:eastAsia="zh-CN"/>
        </w:rPr>
        <w:t>设备（货物）</w:t>
      </w:r>
      <w:r>
        <w:rPr>
          <w:b/>
          <w:bCs/>
          <w:sz w:val="24"/>
          <w:szCs w:val="24"/>
        </w:rPr>
        <w:t>、材料等也请列出。</w:t>
      </w:r>
    </w:p>
    <w:p>
      <w:pPr>
        <w:tabs>
          <w:tab w:val="left" w:pos="11130"/>
        </w:tabs>
        <w:snapToGrid w:val="0"/>
        <w:spacing w:line="480" w:lineRule="auto"/>
        <w:ind w:firstLine="472" w:firstLineChars="196"/>
        <w:rPr>
          <w:b/>
          <w:bCs/>
          <w:sz w:val="24"/>
          <w:szCs w:val="24"/>
        </w:rPr>
      </w:pPr>
      <w:r>
        <w:rPr>
          <w:b/>
          <w:bCs/>
          <w:sz w:val="24"/>
          <w:szCs w:val="24"/>
        </w:rPr>
        <w:t>3、请在“投标人技术规范描述” 中列出所投</w:t>
      </w:r>
      <w:r>
        <w:rPr>
          <w:rFonts w:hint="eastAsia"/>
          <w:b/>
          <w:bCs/>
          <w:sz w:val="24"/>
          <w:szCs w:val="24"/>
          <w:lang w:eastAsia="zh-CN"/>
        </w:rPr>
        <w:t>设备（货物）</w:t>
      </w:r>
      <w:r>
        <w:rPr>
          <w:b/>
          <w:bCs/>
          <w:sz w:val="24"/>
          <w:szCs w:val="24"/>
        </w:rPr>
        <w:t>的详细技术参数情况。</w:t>
      </w:r>
    </w:p>
    <w:p>
      <w:pPr>
        <w:tabs>
          <w:tab w:val="left" w:pos="11130"/>
        </w:tabs>
        <w:snapToGrid w:val="0"/>
        <w:spacing w:line="480" w:lineRule="auto"/>
        <w:ind w:firstLine="472" w:firstLineChars="196"/>
        <w:rPr>
          <w:b/>
          <w:bCs/>
          <w:sz w:val="24"/>
          <w:szCs w:val="24"/>
        </w:rPr>
      </w:pPr>
      <w:r>
        <w:rPr>
          <w:b/>
          <w:bCs/>
          <w:sz w:val="24"/>
          <w:szCs w:val="24"/>
        </w:rPr>
        <w:t>4、是否偏离用符号“+、=、-”分别表示正偏离、完全响应、负偏离，必须逐次对应响应。</w:t>
      </w:r>
    </w:p>
    <w:p>
      <w:pPr>
        <w:tabs>
          <w:tab w:val="left" w:pos="11130"/>
        </w:tabs>
        <w:snapToGrid w:val="0"/>
        <w:spacing w:line="480" w:lineRule="auto"/>
        <w:ind w:firstLine="472" w:firstLineChars="196"/>
        <w:rPr>
          <w:b/>
          <w:bCs/>
          <w:sz w:val="24"/>
          <w:szCs w:val="24"/>
        </w:rPr>
      </w:pPr>
      <w:r>
        <w:rPr>
          <w:b/>
          <w:bCs/>
          <w:sz w:val="24"/>
          <w:szCs w:val="24"/>
        </w:rPr>
        <w:t>5、特别提示：投标制作投标文件时，必须严格按标书所排列的基本配置和主要技术参数顺序，对应填写自己投标</w:t>
      </w:r>
      <w:r>
        <w:rPr>
          <w:rFonts w:hint="eastAsia"/>
          <w:b/>
          <w:bCs/>
          <w:sz w:val="24"/>
          <w:szCs w:val="24"/>
          <w:lang w:eastAsia="zh-CN"/>
        </w:rPr>
        <w:t>设备（货物）</w:t>
      </w:r>
      <w:r>
        <w:rPr>
          <w:b/>
          <w:bCs/>
          <w:sz w:val="24"/>
          <w:szCs w:val="24"/>
        </w:rPr>
        <w:t>配置和参数，并注明符合还是正负偏离。</w:t>
      </w:r>
    </w:p>
    <w:p>
      <w:pPr>
        <w:spacing w:line="360" w:lineRule="auto"/>
        <w:jc w:val="center"/>
        <w:rPr>
          <w:rFonts w:ascii="宋体" w:cs="Times New Roman"/>
          <w:b/>
          <w:bCs/>
          <w:sz w:val="24"/>
          <w:szCs w:val="24"/>
        </w:rPr>
      </w:pPr>
      <w:r>
        <w:rPr>
          <w:rFonts w:hint="eastAsia" w:ascii="宋体" w:hAnsi="宋体" w:cs="宋体"/>
          <w:b/>
          <w:bCs/>
          <w:sz w:val="24"/>
          <w:szCs w:val="24"/>
        </w:rPr>
        <w:t>投标人概况</w:t>
      </w:r>
    </w:p>
    <w:p>
      <w:pPr>
        <w:tabs>
          <w:tab w:val="left" w:pos="1660"/>
          <w:tab w:val="left" w:pos="9453"/>
        </w:tabs>
        <w:jc w:val="left"/>
        <w:rPr>
          <w:rFonts w:ascii="宋体" w:cs="Times New Roman"/>
          <w:sz w:val="24"/>
          <w:szCs w:val="24"/>
        </w:rPr>
      </w:pPr>
      <w:bookmarkStart w:id="210" w:name="_Toc9450_WPSOffice_Level1"/>
      <w:r>
        <w:rPr>
          <w:rFonts w:ascii="宋体" w:hAnsi="宋体" w:cs="宋体"/>
          <w:sz w:val="24"/>
          <w:szCs w:val="24"/>
        </w:rPr>
        <w:t>1</w:t>
      </w:r>
      <w:r>
        <w:rPr>
          <w:rFonts w:hint="eastAsia" w:ascii="宋体" w:hAnsi="宋体" w:cs="宋体"/>
          <w:sz w:val="24"/>
          <w:szCs w:val="24"/>
        </w:rPr>
        <w:t>、投标人名称：</w:t>
      </w:r>
      <w:bookmarkEnd w:id="210"/>
      <w:r>
        <w:rPr>
          <w:rFonts w:ascii="宋体" w:cs="Times New Roman"/>
          <w:sz w:val="24"/>
          <w:szCs w:val="24"/>
        </w:rPr>
        <w:tab/>
      </w:r>
    </w:p>
    <w:p>
      <w:pPr>
        <w:tabs>
          <w:tab w:val="left" w:pos="1660"/>
          <w:tab w:val="left" w:pos="9453"/>
        </w:tabs>
        <w:jc w:val="left"/>
        <w:rPr>
          <w:rFonts w:ascii="宋体" w:cs="Times New Roman"/>
          <w:sz w:val="24"/>
          <w:szCs w:val="24"/>
        </w:rPr>
      </w:pPr>
      <w:bookmarkStart w:id="211" w:name="_Toc2154_WPSOffice_Level1"/>
      <w:r>
        <w:rPr>
          <w:rFonts w:ascii="宋体" w:hAnsi="宋体" w:cs="宋体"/>
          <w:sz w:val="24"/>
          <w:szCs w:val="24"/>
        </w:rPr>
        <w:t>2</w:t>
      </w:r>
      <w:r>
        <w:rPr>
          <w:rFonts w:hint="eastAsia" w:ascii="宋体" w:hAnsi="宋体" w:cs="宋体"/>
          <w:sz w:val="24"/>
          <w:szCs w:val="24"/>
        </w:rPr>
        <w:t>、资质等级：</w:t>
      </w:r>
      <w:bookmarkEnd w:id="211"/>
      <w:r>
        <w:rPr>
          <w:rFonts w:ascii="宋体" w:cs="Times New Roman"/>
          <w:sz w:val="24"/>
          <w:szCs w:val="24"/>
        </w:rPr>
        <w:tab/>
      </w:r>
    </w:p>
    <w:p>
      <w:pPr>
        <w:tabs>
          <w:tab w:val="left" w:pos="1660"/>
          <w:tab w:val="left" w:pos="9453"/>
        </w:tabs>
        <w:jc w:val="left"/>
        <w:rPr>
          <w:rFonts w:ascii="宋体" w:cs="Times New Roman"/>
          <w:sz w:val="24"/>
          <w:szCs w:val="24"/>
        </w:rPr>
      </w:pPr>
      <w:bookmarkStart w:id="212" w:name="_Toc7681_WPSOffice_Level1"/>
      <w:r>
        <w:rPr>
          <w:rFonts w:ascii="宋体" w:hAnsi="宋体" w:cs="宋体"/>
          <w:sz w:val="24"/>
          <w:szCs w:val="24"/>
        </w:rPr>
        <w:t>3</w:t>
      </w:r>
      <w:r>
        <w:rPr>
          <w:rFonts w:hint="eastAsia" w:ascii="宋体" w:hAnsi="宋体" w:cs="宋体"/>
          <w:sz w:val="24"/>
          <w:szCs w:val="24"/>
        </w:rPr>
        <w:t>、投标人地址：</w:t>
      </w:r>
      <w:bookmarkEnd w:id="212"/>
      <w:r>
        <w:rPr>
          <w:rFonts w:ascii="宋体" w:cs="Times New Roman"/>
          <w:sz w:val="24"/>
          <w:szCs w:val="24"/>
        </w:rPr>
        <w:tab/>
      </w:r>
    </w:p>
    <w:p>
      <w:pPr>
        <w:tabs>
          <w:tab w:val="left" w:pos="1660"/>
          <w:tab w:val="left" w:pos="9453"/>
        </w:tabs>
        <w:jc w:val="left"/>
        <w:rPr>
          <w:rFonts w:ascii="宋体" w:cs="Times New Roman"/>
          <w:sz w:val="24"/>
          <w:szCs w:val="24"/>
        </w:rPr>
      </w:pPr>
      <w:bookmarkStart w:id="213" w:name="_Toc20584_WPSOffice_Level1"/>
      <w:r>
        <w:rPr>
          <w:rFonts w:ascii="宋体" w:hAnsi="宋体" w:cs="宋体"/>
          <w:sz w:val="24"/>
          <w:szCs w:val="24"/>
        </w:rPr>
        <w:t>4</w:t>
      </w:r>
      <w:r>
        <w:rPr>
          <w:rFonts w:hint="eastAsia" w:ascii="宋体" w:hAnsi="宋体" w:cs="宋体"/>
          <w:sz w:val="24"/>
          <w:szCs w:val="24"/>
        </w:rPr>
        <w:t>、经营范围：</w:t>
      </w:r>
      <w:bookmarkEnd w:id="213"/>
      <w:r>
        <w:rPr>
          <w:rFonts w:ascii="宋体" w:cs="Times New Roman"/>
          <w:sz w:val="24"/>
          <w:szCs w:val="24"/>
        </w:rPr>
        <w:tab/>
      </w:r>
    </w:p>
    <w:p>
      <w:pPr>
        <w:rPr>
          <w:rFonts w:ascii="宋体" w:cs="Times New Roman"/>
          <w:sz w:val="24"/>
          <w:szCs w:val="24"/>
        </w:rPr>
      </w:pPr>
      <w:bookmarkStart w:id="214" w:name="_Toc1371_WPSOffice_Level1"/>
      <w:r>
        <w:rPr>
          <w:rFonts w:ascii="宋体" w:hAnsi="宋体" w:cs="宋体"/>
          <w:sz w:val="24"/>
          <w:szCs w:val="24"/>
        </w:rPr>
        <w:t>5</w:t>
      </w:r>
      <w:r>
        <w:rPr>
          <w:rFonts w:hint="eastAsia" w:ascii="宋体" w:hAnsi="宋体" w:cs="宋体"/>
          <w:sz w:val="24"/>
          <w:szCs w:val="24"/>
        </w:rPr>
        <w:t>、投标人自我介绍：</w:t>
      </w:r>
      <w:bookmarkEnd w:id="214"/>
    </w:p>
    <w:p>
      <w:pPr>
        <w:rPr>
          <w:rFonts w:ascii="宋体" w:cs="Times New Roman"/>
          <w:sz w:val="24"/>
          <w:szCs w:val="24"/>
        </w:rPr>
      </w:pPr>
      <w:bookmarkStart w:id="215" w:name="_Toc20732_WPSOffice_Level1"/>
      <w:r>
        <w:rPr>
          <w:rFonts w:ascii="宋体" w:hAnsi="宋体" w:cs="宋体"/>
          <w:sz w:val="24"/>
          <w:szCs w:val="24"/>
        </w:rPr>
        <w:t>6</w:t>
      </w:r>
      <w:r>
        <w:rPr>
          <w:rFonts w:hint="eastAsia" w:ascii="宋体" w:hAnsi="宋体" w:cs="宋体"/>
          <w:sz w:val="24"/>
          <w:szCs w:val="24"/>
        </w:rPr>
        <w:t>、评标办法中要求投标人提供的相关证明材料等；</w:t>
      </w:r>
      <w:bookmarkEnd w:id="215"/>
    </w:p>
    <w:p>
      <w:pPr>
        <w:spacing w:line="360" w:lineRule="auto"/>
        <w:rPr>
          <w:rFonts w:ascii="宋体" w:cs="Times New Roman"/>
          <w:b/>
          <w:bCs/>
          <w:sz w:val="24"/>
          <w:szCs w:val="24"/>
        </w:rPr>
      </w:pPr>
    </w:p>
    <w:p>
      <w:pPr>
        <w:tabs>
          <w:tab w:val="left" w:pos="1660"/>
          <w:tab w:val="left" w:pos="9453"/>
        </w:tabs>
        <w:jc w:val="left"/>
        <w:rPr>
          <w:rFonts w:ascii="宋体" w:hAnsi="宋体" w:cs="宋体"/>
        </w:rPr>
      </w:pPr>
    </w:p>
    <w:p>
      <w:pPr>
        <w:tabs>
          <w:tab w:val="left" w:pos="1660"/>
          <w:tab w:val="left" w:pos="9453"/>
        </w:tabs>
        <w:jc w:val="center"/>
        <w:rPr>
          <w:rFonts w:ascii="宋体" w:cs="Times New Roman"/>
          <w:b/>
          <w:bCs/>
          <w:kern w:val="0"/>
          <w:sz w:val="24"/>
          <w:szCs w:val="24"/>
        </w:rPr>
      </w:pPr>
      <w:r>
        <w:rPr>
          <w:rFonts w:ascii="宋体" w:cs="Times New Roman"/>
          <w:b/>
          <w:bCs/>
          <w:sz w:val="24"/>
          <w:szCs w:val="24"/>
        </w:rPr>
        <w:br w:type="page"/>
      </w:r>
      <w:r>
        <w:rPr>
          <w:rFonts w:hint="eastAsia" w:ascii="宋体" w:hAnsi="宋体" w:cs="宋体"/>
          <w:b/>
          <w:bCs/>
          <w:kern w:val="0"/>
          <w:sz w:val="24"/>
          <w:szCs w:val="24"/>
        </w:rPr>
        <w:t>企业近三年承担类似或相近</w:t>
      </w:r>
      <w:r>
        <w:rPr>
          <w:rFonts w:hint="eastAsia" w:ascii="宋体" w:hAnsi="宋体" w:cs="宋体"/>
          <w:b/>
          <w:bCs/>
          <w:kern w:val="0"/>
          <w:sz w:val="24"/>
          <w:szCs w:val="24"/>
          <w:lang w:eastAsia="zh-CN"/>
        </w:rPr>
        <w:t>项目</w:t>
      </w:r>
      <w:r>
        <w:rPr>
          <w:rFonts w:hint="eastAsia" w:ascii="宋体" w:hAnsi="宋体" w:cs="宋体"/>
          <w:b/>
          <w:bCs/>
          <w:kern w:val="0"/>
          <w:sz w:val="24"/>
          <w:szCs w:val="24"/>
        </w:rPr>
        <w:t>情况一览表</w:t>
      </w:r>
    </w:p>
    <w:p>
      <w:pPr>
        <w:autoSpaceDE w:val="0"/>
        <w:autoSpaceDN w:val="0"/>
        <w:adjustRightInd w:val="0"/>
        <w:spacing w:line="360" w:lineRule="auto"/>
        <w:rPr>
          <w:rFonts w:ascii="宋体" w:cs="Times New Roman"/>
          <w:b/>
          <w:bCs/>
          <w:kern w:val="0"/>
          <w:sz w:val="24"/>
          <w:szCs w:val="24"/>
        </w:rPr>
      </w:pPr>
    </w:p>
    <w:tbl>
      <w:tblPr>
        <w:tblStyle w:val="11"/>
        <w:tblW w:w="883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799"/>
        <w:gridCol w:w="1175"/>
        <w:gridCol w:w="1301"/>
        <w:gridCol w:w="1470"/>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272" w:type="dxa"/>
            <w:tcBorders>
              <w:top w:val="single" w:color="auto" w:sz="12" w:space="0"/>
              <w:left w:val="single" w:color="auto" w:sz="12" w:space="0"/>
            </w:tcBorders>
            <w:vAlign w:val="center"/>
          </w:tcPr>
          <w:p>
            <w:pPr>
              <w:autoSpaceDE w:val="0"/>
              <w:autoSpaceDN w:val="0"/>
              <w:adjustRightInd w:val="0"/>
              <w:spacing w:line="360" w:lineRule="auto"/>
              <w:jc w:val="center"/>
              <w:rPr>
                <w:rFonts w:ascii="宋体" w:cs="宋体"/>
                <w:b/>
                <w:bCs/>
                <w:kern w:val="0"/>
                <w:sz w:val="24"/>
                <w:szCs w:val="24"/>
              </w:rPr>
            </w:pPr>
            <w:r>
              <w:rPr>
                <w:rFonts w:hint="eastAsia" w:ascii="宋体" w:hAnsi="宋体" w:cs="宋体"/>
                <w:b/>
                <w:bCs/>
                <w:kern w:val="0"/>
                <w:sz w:val="24"/>
                <w:szCs w:val="24"/>
              </w:rPr>
              <w:t>建设单位</w:t>
            </w:r>
          </w:p>
        </w:tc>
        <w:tc>
          <w:tcPr>
            <w:tcW w:w="1799" w:type="dxa"/>
            <w:tcBorders>
              <w:top w:val="single" w:color="auto" w:sz="12" w:space="0"/>
            </w:tcBorders>
            <w:vAlign w:val="center"/>
          </w:tcPr>
          <w:p>
            <w:pPr>
              <w:autoSpaceDE w:val="0"/>
              <w:autoSpaceDN w:val="0"/>
              <w:adjustRightInd w:val="0"/>
              <w:spacing w:line="360" w:lineRule="auto"/>
              <w:jc w:val="center"/>
              <w:rPr>
                <w:rFonts w:ascii="宋体" w:cs="宋体"/>
                <w:b/>
                <w:bCs/>
                <w:kern w:val="0"/>
                <w:sz w:val="24"/>
                <w:szCs w:val="24"/>
              </w:rPr>
            </w:pPr>
            <w:r>
              <w:rPr>
                <w:rFonts w:hint="eastAsia" w:ascii="宋体" w:hAnsi="宋体" w:cs="宋体"/>
                <w:b/>
                <w:bCs/>
                <w:kern w:val="0"/>
                <w:sz w:val="24"/>
                <w:szCs w:val="24"/>
              </w:rPr>
              <w:t>项目名称</w:t>
            </w:r>
          </w:p>
        </w:tc>
        <w:tc>
          <w:tcPr>
            <w:tcW w:w="1175" w:type="dxa"/>
            <w:tcBorders>
              <w:top w:val="single" w:color="auto" w:sz="12" w:space="0"/>
            </w:tcBorders>
            <w:vAlign w:val="center"/>
          </w:tcPr>
          <w:p>
            <w:pPr>
              <w:autoSpaceDE w:val="0"/>
              <w:autoSpaceDN w:val="0"/>
              <w:adjustRightInd w:val="0"/>
              <w:spacing w:line="360" w:lineRule="auto"/>
              <w:ind w:firstLine="241" w:firstLineChars="100"/>
              <w:jc w:val="both"/>
              <w:rPr>
                <w:rFonts w:ascii="宋体" w:cs="宋体"/>
                <w:b/>
                <w:bCs/>
                <w:kern w:val="0"/>
                <w:sz w:val="24"/>
                <w:szCs w:val="24"/>
              </w:rPr>
            </w:pPr>
            <w:r>
              <w:rPr>
                <w:rFonts w:hint="eastAsia" w:ascii="宋体" w:hAnsi="宋体" w:cs="宋体"/>
                <w:b/>
                <w:bCs/>
                <w:kern w:val="0"/>
                <w:sz w:val="24"/>
                <w:szCs w:val="24"/>
              </w:rPr>
              <w:t>规模</w:t>
            </w:r>
          </w:p>
        </w:tc>
        <w:tc>
          <w:tcPr>
            <w:tcW w:w="1301" w:type="dxa"/>
            <w:tcBorders>
              <w:top w:val="single" w:color="auto" w:sz="12" w:space="0"/>
            </w:tcBorders>
            <w:vAlign w:val="center"/>
          </w:tcPr>
          <w:p>
            <w:pPr>
              <w:autoSpaceDE w:val="0"/>
              <w:autoSpaceDN w:val="0"/>
              <w:adjustRightInd w:val="0"/>
              <w:spacing w:line="360" w:lineRule="auto"/>
              <w:jc w:val="center"/>
              <w:rPr>
                <w:rFonts w:ascii="宋体" w:cs="宋体"/>
                <w:b/>
                <w:bCs/>
                <w:kern w:val="0"/>
                <w:sz w:val="24"/>
                <w:szCs w:val="24"/>
              </w:rPr>
            </w:pPr>
            <w:r>
              <w:rPr>
                <w:rFonts w:hint="eastAsia" w:ascii="宋体" w:hAnsi="宋体" w:cs="宋体"/>
                <w:b/>
                <w:bCs/>
                <w:kern w:val="0"/>
                <w:sz w:val="24"/>
                <w:szCs w:val="24"/>
              </w:rPr>
              <w:t>竣工日期</w:t>
            </w:r>
          </w:p>
        </w:tc>
        <w:tc>
          <w:tcPr>
            <w:tcW w:w="1470" w:type="dxa"/>
            <w:tcBorders>
              <w:top w:val="single" w:color="auto" w:sz="12" w:space="0"/>
            </w:tcBorders>
            <w:vAlign w:val="center"/>
          </w:tcPr>
          <w:p>
            <w:pPr>
              <w:autoSpaceDE w:val="0"/>
              <w:autoSpaceDN w:val="0"/>
              <w:adjustRightInd w:val="0"/>
              <w:spacing w:line="360" w:lineRule="auto"/>
              <w:jc w:val="center"/>
              <w:rPr>
                <w:rFonts w:ascii="宋体" w:cs="宋体"/>
                <w:b/>
                <w:bCs/>
                <w:kern w:val="0"/>
                <w:sz w:val="24"/>
                <w:szCs w:val="24"/>
              </w:rPr>
            </w:pPr>
            <w:r>
              <w:rPr>
                <w:rFonts w:hint="eastAsia" w:ascii="宋体" w:hAnsi="宋体" w:cs="宋体"/>
                <w:b/>
                <w:bCs/>
                <w:kern w:val="0"/>
                <w:sz w:val="24"/>
                <w:szCs w:val="24"/>
              </w:rPr>
              <w:t>质量等级</w:t>
            </w:r>
          </w:p>
        </w:tc>
        <w:tc>
          <w:tcPr>
            <w:tcW w:w="1817" w:type="dxa"/>
            <w:tcBorders>
              <w:top w:val="single" w:color="auto" w:sz="12" w:space="0"/>
              <w:right w:val="single" w:color="auto" w:sz="12" w:space="0"/>
            </w:tcBorders>
            <w:vAlign w:val="center"/>
          </w:tcPr>
          <w:p>
            <w:pPr>
              <w:widowControl/>
              <w:spacing w:line="360" w:lineRule="auto"/>
              <w:jc w:val="left"/>
              <w:rPr>
                <w:rFonts w:ascii="宋体" w:cs="宋体"/>
                <w:b/>
                <w:bCs/>
                <w:kern w:val="0"/>
                <w:sz w:val="24"/>
                <w:szCs w:val="24"/>
              </w:rPr>
            </w:pPr>
            <w:r>
              <w:rPr>
                <w:rFonts w:hint="eastAsia" w:ascii="宋体" w:hAnsi="宋体" w:cs="宋体"/>
                <w:b/>
                <w:bCs/>
                <w:kern w:val="0"/>
                <w:sz w:val="24"/>
                <w:szCs w:val="24"/>
              </w:rPr>
              <w:t>建设单位联系人</w:t>
            </w:r>
            <w:r>
              <w:rPr>
                <w:rFonts w:ascii="宋体" w:cs="宋体"/>
                <w:b/>
                <w:bCs/>
                <w:kern w:val="0"/>
                <w:sz w:val="24"/>
                <w:szCs w:val="24"/>
              </w:rPr>
              <w:t>\</w:t>
            </w:r>
            <w:r>
              <w:rPr>
                <w:rFonts w:hint="eastAsia" w:ascii="宋体" w:hAnsi="宋体" w:cs="宋体"/>
                <w:b/>
                <w:bCs/>
                <w:kern w:val="0"/>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72" w:type="dxa"/>
            <w:tcBorders>
              <w:left w:val="single" w:color="auto" w:sz="12" w:space="0"/>
            </w:tcBorders>
          </w:tcPr>
          <w:p>
            <w:pPr>
              <w:autoSpaceDE w:val="0"/>
              <w:autoSpaceDN w:val="0"/>
              <w:adjustRightInd w:val="0"/>
              <w:spacing w:line="360" w:lineRule="auto"/>
              <w:rPr>
                <w:rFonts w:ascii="宋体" w:cs="宋体"/>
                <w:b/>
                <w:bCs/>
                <w:kern w:val="0"/>
                <w:sz w:val="24"/>
                <w:szCs w:val="24"/>
              </w:rPr>
            </w:pPr>
          </w:p>
        </w:tc>
        <w:tc>
          <w:tcPr>
            <w:tcW w:w="1799" w:type="dxa"/>
          </w:tcPr>
          <w:p>
            <w:pPr>
              <w:autoSpaceDE w:val="0"/>
              <w:autoSpaceDN w:val="0"/>
              <w:adjustRightInd w:val="0"/>
              <w:spacing w:line="360" w:lineRule="auto"/>
              <w:rPr>
                <w:rFonts w:ascii="宋体" w:cs="宋体"/>
                <w:b/>
                <w:bCs/>
                <w:kern w:val="0"/>
                <w:sz w:val="24"/>
                <w:szCs w:val="24"/>
              </w:rPr>
            </w:pPr>
          </w:p>
        </w:tc>
        <w:tc>
          <w:tcPr>
            <w:tcW w:w="1175" w:type="dxa"/>
          </w:tcPr>
          <w:p>
            <w:pPr>
              <w:autoSpaceDE w:val="0"/>
              <w:autoSpaceDN w:val="0"/>
              <w:adjustRightInd w:val="0"/>
              <w:spacing w:line="360" w:lineRule="auto"/>
              <w:rPr>
                <w:rFonts w:ascii="宋体" w:cs="宋体"/>
                <w:b/>
                <w:bCs/>
                <w:kern w:val="0"/>
                <w:sz w:val="24"/>
                <w:szCs w:val="24"/>
              </w:rPr>
            </w:pPr>
          </w:p>
        </w:tc>
        <w:tc>
          <w:tcPr>
            <w:tcW w:w="1301" w:type="dxa"/>
          </w:tcPr>
          <w:p>
            <w:pPr>
              <w:autoSpaceDE w:val="0"/>
              <w:autoSpaceDN w:val="0"/>
              <w:adjustRightInd w:val="0"/>
              <w:spacing w:line="360" w:lineRule="auto"/>
              <w:rPr>
                <w:rFonts w:ascii="宋体" w:cs="宋体"/>
                <w:b/>
                <w:bCs/>
                <w:kern w:val="0"/>
                <w:sz w:val="24"/>
                <w:szCs w:val="24"/>
              </w:rPr>
            </w:pPr>
          </w:p>
        </w:tc>
        <w:tc>
          <w:tcPr>
            <w:tcW w:w="1470" w:type="dxa"/>
          </w:tcPr>
          <w:p>
            <w:pPr>
              <w:autoSpaceDE w:val="0"/>
              <w:autoSpaceDN w:val="0"/>
              <w:adjustRightInd w:val="0"/>
              <w:spacing w:line="360" w:lineRule="auto"/>
              <w:rPr>
                <w:rFonts w:ascii="宋体" w:cs="宋体"/>
                <w:b/>
                <w:bCs/>
                <w:kern w:val="0"/>
                <w:sz w:val="24"/>
                <w:szCs w:val="24"/>
              </w:rPr>
            </w:pPr>
          </w:p>
        </w:tc>
        <w:tc>
          <w:tcPr>
            <w:tcW w:w="1817" w:type="dxa"/>
            <w:tcBorders>
              <w:right w:val="single" w:color="auto" w:sz="12" w:space="0"/>
            </w:tcBorders>
          </w:tcPr>
          <w:p>
            <w:pPr>
              <w:autoSpaceDE w:val="0"/>
              <w:autoSpaceDN w:val="0"/>
              <w:adjustRightInd w:val="0"/>
              <w:spacing w:line="360" w:lineRule="auto"/>
              <w:rPr>
                <w:rFonts w:asci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72" w:type="dxa"/>
            <w:tcBorders>
              <w:left w:val="single" w:color="auto" w:sz="12" w:space="0"/>
            </w:tcBorders>
          </w:tcPr>
          <w:p>
            <w:pPr>
              <w:autoSpaceDE w:val="0"/>
              <w:autoSpaceDN w:val="0"/>
              <w:adjustRightInd w:val="0"/>
              <w:spacing w:line="360" w:lineRule="auto"/>
              <w:rPr>
                <w:rFonts w:ascii="宋体" w:cs="宋体"/>
                <w:b/>
                <w:bCs/>
                <w:kern w:val="0"/>
                <w:sz w:val="24"/>
                <w:szCs w:val="24"/>
              </w:rPr>
            </w:pPr>
          </w:p>
        </w:tc>
        <w:tc>
          <w:tcPr>
            <w:tcW w:w="1799" w:type="dxa"/>
          </w:tcPr>
          <w:p>
            <w:pPr>
              <w:autoSpaceDE w:val="0"/>
              <w:autoSpaceDN w:val="0"/>
              <w:adjustRightInd w:val="0"/>
              <w:spacing w:line="360" w:lineRule="auto"/>
              <w:rPr>
                <w:rFonts w:ascii="宋体" w:cs="宋体"/>
                <w:b/>
                <w:bCs/>
                <w:kern w:val="0"/>
                <w:sz w:val="24"/>
                <w:szCs w:val="24"/>
              </w:rPr>
            </w:pPr>
          </w:p>
        </w:tc>
        <w:tc>
          <w:tcPr>
            <w:tcW w:w="1175" w:type="dxa"/>
          </w:tcPr>
          <w:p>
            <w:pPr>
              <w:autoSpaceDE w:val="0"/>
              <w:autoSpaceDN w:val="0"/>
              <w:adjustRightInd w:val="0"/>
              <w:spacing w:line="360" w:lineRule="auto"/>
              <w:rPr>
                <w:rFonts w:ascii="宋体" w:cs="宋体"/>
                <w:b/>
                <w:bCs/>
                <w:kern w:val="0"/>
                <w:sz w:val="24"/>
                <w:szCs w:val="24"/>
              </w:rPr>
            </w:pPr>
          </w:p>
        </w:tc>
        <w:tc>
          <w:tcPr>
            <w:tcW w:w="1301" w:type="dxa"/>
          </w:tcPr>
          <w:p>
            <w:pPr>
              <w:autoSpaceDE w:val="0"/>
              <w:autoSpaceDN w:val="0"/>
              <w:adjustRightInd w:val="0"/>
              <w:spacing w:line="360" w:lineRule="auto"/>
              <w:rPr>
                <w:rFonts w:ascii="宋体" w:cs="宋体"/>
                <w:b/>
                <w:bCs/>
                <w:kern w:val="0"/>
                <w:sz w:val="24"/>
                <w:szCs w:val="24"/>
              </w:rPr>
            </w:pPr>
          </w:p>
        </w:tc>
        <w:tc>
          <w:tcPr>
            <w:tcW w:w="1470" w:type="dxa"/>
          </w:tcPr>
          <w:p>
            <w:pPr>
              <w:autoSpaceDE w:val="0"/>
              <w:autoSpaceDN w:val="0"/>
              <w:adjustRightInd w:val="0"/>
              <w:spacing w:line="360" w:lineRule="auto"/>
              <w:rPr>
                <w:rFonts w:ascii="宋体" w:cs="宋体"/>
                <w:b/>
                <w:bCs/>
                <w:kern w:val="0"/>
                <w:sz w:val="24"/>
                <w:szCs w:val="24"/>
              </w:rPr>
            </w:pPr>
          </w:p>
        </w:tc>
        <w:tc>
          <w:tcPr>
            <w:tcW w:w="1817" w:type="dxa"/>
            <w:tcBorders>
              <w:right w:val="single" w:color="auto" w:sz="12" w:space="0"/>
            </w:tcBorders>
          </w:tcPr>
          <w:p>
            <w:pPr>
              <w:autoSpaceDE w:val="0"/>
              <w:autoSpaceDN w:val="0"/>
              <w:adjustRightInd w:val="0"/>
              <w:spacing w:line="360" w:lineRule="auto"/>
              <w:rPr>
                <w:rFonts w:asci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72" w:type="dxa"/>
            <w:tcBorders>
              <w:left w:val="single" w:color="auto" w:sz="12" w:space="0"/>
            </w:tcBorders>
          </w:tcPr>
          <w:p>
            <w:pPr>
              <w:autoSpaceDE w:val="0"/>
              <w:autoSpaceDN w:val="0"/>
              <w:adjustRightInd w:val="0"/>
              <w:spacing w:line="360" w:lineRule="auto"/>
              <w:rPr>
                <w:rFonts w:ascii="宋体" w:cs="宋体"/>
                <w:b/>
                <w:bCs/>
                <w:kern w:val="0"/>
                <w:sz w:val="24"/>
                <w:szCs w:val="24"/>
              </w:rPr>
            </w:pPr>
          </w:p>
        </w:tc>
        <w:tc>
          <w:tcPr>
            <w:tcW w:w="1799" w:type="dxa"/>
          </w:tcPr>
          <w:p>
            <w:pPr>
              <w:autoSpaceDE w:val="0"/>
              <w:autoSpaceDN w:val="0"/>
              <w:adjustRightInd w:val="0"/>
              <w:spacing w:line="360" w:lineRule="auto"/>
              <w:rPr>
                <w:rFonts w:ascii="宋体" w:cs="宋体"/>
                <w:b/>
                <w:bCs/>
                <w:kern w:val="0"/>
                <w:sz w:val="24"/>
                <w:szCs w:val="24"/>
              </w:rPr>
            </w:pPr>
          </w:p>
        </w:tc>
        <w:tc>
          <w:tcPr>
            <w:tcW w:w="1175" w:type="dxa"/>
          </w:tcPr>
          <w:p>
            <w:pPr>
              <w:autoSpaceDE w:val="0"/>
              <w:autoSpaceDN w:val="0"/>
              <w:adjustRightInd w:val="0"/>
              <w:spacing w:line="360" w:lineRule="auto"/>
              <w:rPr>
                <w:rFonts w:ascii="宋体" w:cs="宋体"/>
                <w:b/>
                <w:bCs/>
                <w:kern w:val="0"/>
                <w:sz w:val="24"/>
                <w:szCs w:val="24"/>
              </w:rPr>
            </w:pPr>
          </w:p>
        </w:tc>
        <w:tc>
          <w:tcPr>
            <w:tcW w:w="1301" w:type="dxa"/>
          </w:tcPr>
          <w:p>
            <w:pPr>
              <w:autoSpaceDE w:val="0"/>
              <w:autoSpaceDN w:val="0"/>
              <w:adjustRightInd w:val="0"/>
              <w:spacing w:line="360" w:lineRule="auto"/>
              <w:rPr>
                <w:rFonts w:ascii="宋体" w:cs="宋体"/>
                <w:b/>
                <w:bCs/>
                <w:kern w:val="0"/>
                <w:sz w:val="24"/>
                <w:szCs w:val="24"/>
              </w:rPr>
            </w:pPr>
          </w:p>
        </w:tc>
        <w:tc>
          <w:tcPr>
            <w:tcW w:w="1470" w:type="dxa"/>
          </w:tcPr>
          <w:p>
            <w:pPr>
              <w:autoSpaceDE w:val="0"/>
              <w:autoSpaceDN w:val="0"/>
              <w:adjustRightInd w:val="0"/>
              <w:spacing w:line="360" w:lineRule="auto"/>
              <w:rPr>
                <w:rFonts w:ascii="宋体" w:cs="宋体"/>
                <w:b/>
                <w:bCs/>
                <w:kern w:val="0"/>
                <w:sz w:val="24"/>
                <w:szCs w:val="24"/>
              </w:rPr>
            </w:pPr>
          </w:p>
        </w:tc>
        <w:tc>
          <w:tcPr>
            <w:tcW w:w="1817" w:type="dxa"/>
            <w:tcBorders>
              <w:right w:val="single" w:color="auto" w:sz="12" w:space="0"/>
            </w:tcBorders>
          </w:tcPr>
          <w:p>
            <w:pPr>
              <w:autoSpaceDE w:val="0"/>
              <w:autoSpaceDN w:val="0"/>
              <w:adjustRightInd w:val="0"/>
              <w:spacing w:line="360" w:lineRule="auto"/>
              <w:rPr>
                <w:rFonts w:asci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72" w:type="dxa"/>
            <w:tcBorders>
              <w:left w:val="single" w:color="auto" w:sz="12" w:space="0"/>
            </w:tcBorders>
          </w:tcPr>
          <w:p>
            <w:pPr>
              <w:autoSpaceDE w:val="0"/>
              <w:autoSpaceDN w:val="0"/>
              <w:adjustRightInd w:val="0"/>
              <w:spacing w:line="360" w:lineRule="auto"/>
              <w:rPr>
                <w:rFonts w:ascii="宋体" w:cs="宋体"/>
                <w:b/>
                <w:bCs/>
                <w:kern w:val="0"/>
                <w:sz w:val="24"/>
                <w:szCs w:val="24"/>
              </w:rPr>
            </w:pPr>
          </w:p>
        </w:tc>
        <w:tc>
          <w:tcPr>
            <w:tcW w:w="1799" w:type="dxa"/>
          </w:tcPr>
          <w:p>
            <w:pPr>
              <w:autoSpaceDE w:val="0"/>
              <w:autoSpaceDN w:val="0"/>
              <w:adjustRightInd w:val="0"/>
              <w:spacing w:line="360" w:lineRule="auto"/>
              <w:rPr>
                <w:rFonts w:ascii="宋体" w:cs="宋体"/>
                <w:b/>
                <w:bCs/>
                <w:kern w:val="0"/>
                <w:sz w:val="24"/>
                <w:szCs w:val="24"/>
              </w:rPr>
            </w:pPr>
          </w:p>
        </w:tc>
        <w:tc>
          <w:tcPr>
            <w:tcW w:w="1175" w:type="dxa"/>
          </w:tcPr>
          <w:p>
            <w:pPr>
              <w:autoSpaceDE w:val="0"/>
              <w:autoSpaceDN w:val="0"/>
              <w:adjustRightInd w:val="0"/>
              <w:spacing w:line="360" w:lineRule="auto"/>
              <w:rPr>
                <w:rFonts w:ascii="宋体" w:cs="宋体"/>
                <w:b/>
                <w:bCs/>
                <w:kern w:val="0"/>
                <w:sz w:val="24"/>
                <w:szCs w:val="24"/>
              </w:rPr>
            </w:pPr>
          </w:p>
        </w:tc>
        <w:tc>
          <w:tcPr>
            <w:tcW w:w="1301" w:type="dxa"/>
          </w:tcPr>
          <w:p>
            <w:pPr>
              <w:autoSpaceDE w:val="0"/>
              <w:autoSpaceDN w:val="0"/>
              <w:adjustRightInd w:val="0"/>
              <w:spacing w:line="360" w:lineRule="auto"/>
              <w:rPr>
                <w:rFonts w:ascii="宋体" w:cs="宋体"/>
                <w:b/>
                <w:bCs/>
                <w:kern w:val="0"/>
                <w:sz w:val="24"/>
                <w:szCs w:val="24"/>
              </w:rPr>
            </w:pPr>
          </w:p>
        </w:tc>
        <w:tc>
          <w:tcPr>
            <w:tcW w:w="1470" w:type="dxa"/>
          </w:tcPr>
          <w:p>
            <w:pPr>
              <w:autoSpaceDE w:val="0"/>
              <w:autoSpaceDN w:val="0"/>
              <w:adjustRightInd w:val="0"/>
              <w:spacing w:line="360" w:lineRule="auto"/>
              <w:rPr>
                <w:rFonts w:ascii="宋体" w:cs="宋体"/>
                <w:b/>
                <w:bCs/>
                <w:kern w:val="0"/>
                <w:sz w:val="24"/>
                <w:szCs w:val="24"/>
              </w:rPr>
            </w:pPr>
          </w:p>
        </w:tc>
        <w:tc>
          <w:tcPr>
            <w:tcW w:w="1817" w:type="dxa"/>
            <w:tcBorders>
              <w:right w:val="single" w:color="auto" w:sz="12" w:space="0"/>
            </w:tcBorders>
          </w:tcPr>
          <w:p>
            <w:pPr>
              <w:autoSpaceDE w:val="0"/>
              <w:autoSpaceDN w:val="0"/>
              <w:adjustRightInd w:val="0"/>
              <w:spacing w:line="360" w:lineRule="auto"/>
              <w:rPr>
                <w:rFonts w:asci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72" w:type="dxa"/>
            <w:tcBorders>
              <w:left w:val="single" w:color="auto" w:sz="12" w:space="0"/>
            </w:tcBorders>
          </w:tcPr>
          <w:p>
            <w:pPr>
              <w:autoSpaceDE w:val="0"/>
              <w:autoSpaceDN w:val="0"/>
              <w:adjustRightInd w:val="0"/>
              <w:spacing w:line="360" w:lineRule="auto"/>
              <w:rPr>
                <w:rFonts w:ascii="宋体" w:cs="宋体"/>
                <w:b/>
                <w:bCs/>
                <w:kern w:val="0"/>
                <w:sz w:val="24"/>
                <w:szCs w:val="24"/>
              </w:rPr>
            </w:pPr>
          </w:p>
        </w:tc>
        <w:tc>
          <w:tcPr>
            <w:tcW w:w="1799" w:type="dxa"/>
          </w:tcPr>
          <w:p>
            <w:pPr>
              <w:autoSpaceDE w:val="0"/>
              <w:autoSpaceDN w:val="0"/>
              <w:adjustRightInd w:val="0"/>
              <w:spacing w:line="360" w:lineRule="auto"/>
              <w:rPr>
                <w:rFonts w:ascii="宋体" w:cs="宋体"/>
                <w:b/>
                <w:bCs/>
                <w:kern w:val="0"/>
                <w:sz w:val="24"/>
                <w:szCs w:val="24"/>
              </w:rPr>
            </w:pPr>
          </w:p>
        </w:tc>
        <w:tc>
          <w:tcPr>
            <w:tcW w:w="1175" w:type="dxa"/>
          </w:tcPr>
          <w:p>
            <w:pPr>
              <w:autoSpaceDE w:val="0"/>
              <w:autoSpaceDN w:val="0"/>
              <w:adjustRightInd w:val="0"/>
              <w:spacing w:line="360" w:lineRule="auto"/>
              <w:rPr>
                <w:rFonts w:ascii="宋体" w:cs="宋体"/>
                <w:b/>
                <w:bCs/>
                <w:kern w:val="0"/>
                <w:sz w:val="24"/>
                <w:szCs w:val="24"/>
              </w:rPr>
            </w:pPr>
          </w:p>
        </w:tc>
        <w:tc>
          <w:tcPr>
            <w:tcW w:w="1301" w:type="dxa"/>
          </w:tcPr>
          <w:p>
            <w:pPr>
              <w:autoSpaceDE w:val="0"/>
              <w:autoSpaceDN w:val="0"/>
              <w:adjustRightInd w:val="0"/>
              <w:spacing w:line="360" w:lineRule="auto"/>
              <w:rPr>
                <w:rFonts w:ascii="宋体" w:cs="宋体"/>
                <w:b/>
                <w:bCs/>
                <w:kern w:val="0"/>
                <w:sz w:val="24"/>
                <w:szCs w:val="24"/>
              </w:rPr>
            </w:pPr>
          </w:p>
        </w:tc>
        <w:tc>
          <w:tcPr>
            <w:tcW w:w="1470" w:type="dxa"/>
          </w:tcPr>
          <w:p>
            <w:pPr>
              <w:autoSpaceDE w:val="0"/>
              <w:autoSpaceDN w:val="0"/>
              <w:adjustRightInd w:val="0"/>
              <w:spacing w:line="360" w:lineRule="auto"/>
              <w:rPr>
                <w:rFonts w:ascii="宋体" w:cs="宋体"/>
                <w:b/>
                <w:bCs/>
                <w:kern w:val="0"/>
                <w:sz w:val="24"/>
                <w:szCs w:val="24"/>
              </w:rPr>
            </w:pPr>
          </w:p>
        </w:tc>
        <w:tc>
          <w:tcPr>
            <w:tcW w:w="1817" w:type="dxa"/>
            <w:tcBorders>
              <w:right w:val="single" w:color="auto" w:sz="12" w:space="0"/>
            </w:tcBorders>
          </w:tcPr>
          <w:p>
            <w:pPr>
              <w:autoSpaceDE w:val="0"/>
              <w:autoSpaceDN w:val="0"/>
              <w:adjustRightInd w:val="0"/>
              <w:spacing w:line="360" w:lineRule="auto"/>
              <w:rPr>
                <w:rFonts w:asci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72" w:type="dxa"/>
            <w:tcBorders>
              <w:left w:val="single" w:color="auto" w:sz="12" w:space="0"/>
            </w:tcBorders>
          </w:tcPr>
          <w:p>
            <w:pPr>
              <w:autoSpaceDE w:val="0"/>
              <w:autoSpaceDN w:val="0"/>
              <w:adjustRightInd w:val="0"/>
              <w:spacing w:line="360" w:lineRule="auto"/>
              <w:rPr>
                <w:rFonts w:ascii="宋体" w:cs="宋体"/>
                <w:b/>
                <w:bCs/>
                <w:kern w:val="0"/>
                <w:sz w:val="24"/>
                <w:szCs w:val="24"/>
              </w:rPr>
            </w:pPr>
          </w:p>
        </w:tc>
        <w:tc>
          <w:tcPr>
            <w:tcW w:w="1799" w:type="dxa"/>
          </w:tcPr>
          <w:p>
            <w:pPr>
              <w:autoSpaceDE w:val="0"/>
              <w:autoSpaceDN w:val="0"/>
              <w:adjustRightInd w:val="0"/>
              <w:spacing w:line="360" w:lineRule="auto"/>
              <w:rPr>
                <w:rFonts w:ascii="宋体" w:cs="宋体"/>
                <w:b/>
                <w:bCs/>
                <w:kern w:val="0"/>
                <w:sz w:val="24"/>
                <w:szCs w:val="24"/>
              </w:rPr>
            </w:pPr>
          </w:p>
        </w:tc>
        <w:tc>
          <w:tcPr>
            <w:tcW w:w="1175" w:type="dxa"/>
          </w:tcPr>
          <w:p>
            <w:pPr>
              <w:autoSpaceDE w:val="0"/>
              <w:autoSpaceDN w:val="0"/>
              <w:adjustRightInd w:val="0"/>
              <w:spacing w:line="360" w:lineRule="auto"/>
              <w:rPr>
                <w:rFonts w:ascii="宋体" w:cs="宋体"/>
                <w:b/>
                <w:bCs/>
                <w:kern w:val="0"/>
                <w:sz w:val="24"/>
                <w:szCs w:val="24"/>
              </w:rPr>
            </w:pPr>
          </w:p>
        </w:tc>
        <w:tc>
          <w:tcPr>
            <w:tcW w:w="1301" w:type="dxa"/>
          </w:tcPr>
          <w:p>
            <w:pPr>
              <w:autoSpaceDE w:val="0"/>
              <w:autoSpaceDN w:val="0"/>
              <w:adjustRightInd w:val="0"/>
              <w:spacing w:line="360" w:lineRule="auto"/>
              <w:rPr>
                <w:rFonts w:ascii="宋体" w:cs="宋体"/>
                <w:b/>
                <w:bCs/>
                <w:kern w:val="0"/>
                <w:sz w:val="24"/>
                <w:szCs w:val="24"/>
              </w:rPr>
            </w:pPr>
          </w:p>
        </w:tc>
        <w:tc>
          <w:tcPr>
            <w:tcW w:w="1470" w:type="dxa"/>
          </w:tcPr>
          <w:p>
            <w:pPr>
              <w:autoSpaceDE w:val="0"/>
              <w:autoSpaceDN w:val="0"/>
              <w:adjustRightInd w:val="0"/>
              <w:spacing w:line="360" w:lineRule="auto"/>
              <w:rPr>
                <w:rFonts w:ascii="宋体" w:cs="宋体"/>
                <w:b/>
                <w:bCs/>
                <w:kern w:val="0"/>
                <w:sz w:val="24"/>
                <w:szCs w:val="24"/>
              </w:rPr>
            </w:pPr>
          </w:p>
        </w:tc>
        <w:tc>
          <w:tcPr>
            <w:tcW w:w="1817" w:type="dxa"/>
            <w:tcBorders>
              <w:right w:val="single" w:color="auto" w:sz="12" w:space="0"/>
            </w:tcBorders>
          </w:tcPr>
          <w:p>
            <w:pPr>
              <w:autoSpaceDE w:val="0"/>
              <w:autoSpaceDN w:val="0"/>
              <w:adjustRightInd w:val="0"/>
              <w:spacing w:line="360" w:lineRule="auto"/>
              <w:rPr>
                <w:rFonts w:asci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72" w:type="dxa"/>
            <w:tcBorders>
              <w:left w:val="single" w:color="auto" w:sz="12" w:space="0"/>
            </w:tcBorders>
          </w:tcPr>
          <w:p>
            <w:pPr>
              <w:autoSpaceDE w:val="0"/>
              <w:autoSpaceDN w:val="0"/>
              <w:adjustRightInd w:val="0"/>
              <w:spacing w:line="360" w:lineRule="auto"/>
              <w:rPr>
                <w:rFonts w:ascii="宋体" w:cs="宋体"/>
                <w:b/>
                <w:bCs/>
                <w:kern w:val="0"/>
                <w:sz w:val="24"/>
                <w:szCs w:val="24"/>
              </w:rPr>
            </w:pPr>
          </w:p>
        </w:tc>
        <w:tc>
          <w:tcPr>
            <w:tcW w:w="1799" w:type="dxa"/>
          </w:tcPr>
          <w:p>
            <w:pPr>
              <w:autoSpaceDE w:val="0"/>
              <w:autoSpaceDN w:val="0"/>
              <w:adjustRightInd w:val="0"/>
              <w:spacing w:line="360" w:lineRule="auto"/>
              <w:rPr>
                <w:rFonts w:ascii="宋体" w:cs="宋体"/>
                <w:b/>
                <w:bCs/>
                <w:kern w:val="0"/>
                <w:sz w:val="24"/>
                <w:szCs w:val="24"/>
              </w:rPr>
            </w:pPr>
          </w:p>
        </w:tc>
        <w:tc>
          <w:tcPr>
            <w:tcW w:w="1175" w:type="dxa"/>
          </w:tcPr>
          <w:p>
            <w:pPr>
              <w:autoSpaceDE w:val="0"/>
              <w:autoSpaceDN w:val="0"/>
              <w:adjustRightInd w:val="0"/>
              <w:spacing w:line="360" w:lineRule="auto"/>
              <w:rPr>
                <w:rFonts w:ascii="宋体" w:cs="宋体"/>
                <w:b/>
                <w:bCs/>
                <w:kern w:val="0"/>
                <w:sz w:val="24"/>
                <w:szCs w:val="24"/>
              </w:rPr>
            </w:pPr>
          </w:p>
        </w:tc>
        <w:tc>
          <w:tcPr>
            <w:tcW w:w="1301" w:type="dxa"/>
          </w:tcPr>
          <w:p>
            <w:pPr>
              <w:autoSpaceDE w:val="0"/>
              <w:autoSpaceDN w:val="0"/>
              <w:adjustRightInd w:val="0"/>
              <w:spacing w:line="360" w:lineRule="auto"/>
              <w:rPr>
                <w:rFonts w:ascii="宋体" w:cs="宋体"/>
                <w:b/>
                <w:bCs/>
                <w:kern w:val="0"/>
                <w:sz w:val="24"/>
                <w:szCs w:val="24"/>
              </w:rPr>
            </w:pPr>
          </w:p>
        </w:tc>
        <w:tc>
          <w:tcPr>
            <w:tcW w:w="1470" w:type="dxa"/>
          </w:tcPr>
          <w:p>
            <w:pPr>
              <w:autoSpaceDE w:val="0"/>
              <w:autoSpaceDN w:val="0"/>
              <w:adjustRightInd w:val="0"/>
              <w:spacing w:line="360" w:lineRule="auto"/>
              <w:rPr>
                <w:rFonts w:ascii="宋体" w:cs="宋体"/>
                <w:b/>
                <w:bCs/>
                <w:kern w:val="0"/>
                <w:sz w:val="24"/>
                <w:szCs w:val="24"/>
              </w:rPr>
            </w:pPr>
          </w:p>
        </w:tc>
        <w:tc>
          <w:tcPr>
            <w:tcW w:w="1817" w:type="dxa"/>
            <w:tcBorders>
              <w:right w:val="single" w:color="auto" w:sz="12" w:space="0"/>
            </w:tcBorders>
          </w:tcPr>
          <w:p>
            <w:pPr>
              <w:autoSpaceDE w:val="0"/>
              <w:autoSpaceDN w:val="0"/>
              <w:adjustRightInd w:val="0"/>
              <w:spacing w:line="360" w:lineRule="auto"/>
              <w:rPr>
                <w:rFonts w:asci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72" w:type="dxa"/>
            <w:tcBorders>
              <w:left w:val="single" w:color="auto" w:sz="12" w:space="0"/>
              <w:bottom w:val="single" w:color="auto" w:sz="12" w:space="0"/>
            </w:tcBorders>
          </w:tcPr>
          <w:p>
            <w:pPr>
              <w:autoSpaceDE w:val="0"/>
              <w:autoSpaceDN w:val="0"/>
              <w:adjustRightInd w:val="0"/>
              <w:spacing w:line="360" w:lineRule="auto"/>
              <w:rPr>
                <w:rFonts w:ascii="宋体" w:cs="宋体"/>
                <w:b/>
                <w:bCs/>
                <w:kern w:val="0"/>
                <w:sz w:val="24"/>
                <w:szCs w:val="24"/>
              </w:rPr>
            </w:pPr>
          </w:p>
        </w:tc>
        <w:tc>
          <w:tcPr>
            <w:tcW w:w="1799" w:type="dxa"/>
            <w:tcBorders>
              <w:bottom w:val="single" w:color="auto" w:sz="12" w:space="0"/>
            </w:tcBorders>
          </w:tcPr>
          <w:p>
            <w:pPr>
              <w:autoSpaceDE w:val="0"/>
              <w:autoSpaceDN w:val="0"/>
              <w:adjustRightInd w:val="0"/>
              <w:spacing w:line="360" w:lineRule="auto"/>
              <w:rPr>
                <w:rFonts w:ascii="宋体" w:cs="宋体"/>
                <w:b/>
                <w:bCs/>
                <w:kern w:val="0"/>
                <w:sz w:val="24"/>
                <w:szCs w:val="24"/>
              </w:rPr>
            </w:pPr>
          </w:p>
        </w:tc>
        <w:tc>
          <w:tcPr>
            <w:tcW w:w="1175" w:type="dxa"/>
            <w:tcBorders>
              <w:bottom w:val="single" w:color="auto" w:sz="12" w:space="0"/>
            </w:tcBorders>
          </w:tcPr>
          <w:p>
            <w:pPr>
              <w:autoSpaceDE w:val="0"/>
              <w:autoSpaceDN w:val="0"/>
              <w:adjustRightInd w:val="0"/>
              <w:spacing w:line="360" w:lineRule="auto"/>
              <w:rPr>
                <w:rFonts w:ascii="宋体" w:cs="宋体"/>
                <w:b/>
                <w:bCs/>
                <w:kern w:val="0"/>
                <w:sz w:val="24"/>
                <w:szCs w:val="24"/>
              </w:rPr>
            </w:pPr>
          </w:p>
        </w:tc>
        <w:tc>
          <w:tcPr>
            <w:tcW w:w="1301" w:type="dxa"/>
            <w:tcBorders>
              <w:bottom w:val="single" w:color="auto" w:sz="12" w:space="0"/>
            </w:tcBorders>
          </w:tcPr>
          <w:p>
            <w:pPr>
              <w:autoSpaceDE w:val="0"/>
              <w:autoSpaceDN w:val="0"/>
              <w:adjustRightInd w:val="0"/>
              <w:spacing w:line="360" w:lineRule="auto"/>
              <w:rPr>
                <w:rFonts w:ascii="宋体" w:cs="宋体"/>
                <w:b/>
                <w:bCs/>
                <w:kern w:val="0"/>
                <w:sz w:val="24"/>
                <w:szCs w:val="24"/>
              </w:rPr>
            </w:pPr>
          </w:p>
        </w:tc>
        <w:tc>
          <w:tcPr>
            <w:tcW w:w="1470" w:type="dxa"/>
            <w:tcBorders>
              <w:bottom w:val="single" w:color="auto" w:sz="12" w:space="0"/>
            </w:tcBorders>
          </w:tcPr>
          <w:p>
            <w:pPr>
              <w:autoSpaceDE w:val="0"/>
              <w:autoSpaceDN w:val="0"/>
              <w:adjustRightInd w:val="0"/>
              <w:spacing w:line="360" w:lineRule="auto"/>
              <w:rPr>
                <w:rFonts w:ascii="宋体" w:cs="宋体"/>
                <w:b/>
                <w:bCs/>
                <w:kern w:val="0"/>
                <w:sz w:val="24"/>
                <w:szCs w:val="24"/>
              </w:rPr>
            </w:pPr>
          </w:p>
        </w:tc>
        <w:tc>
          <w:tcPr>
            <w:tcW w:w="1817" w:type="dxa"/>
            <w:tcBorders>
              <w:bottom w:val="single" w:color="auto" w:sz="12" w:space="0"/>
              <w:right w:val="single" w:color="auto" w:sz="12" w:space="0"/>
            </w:tcBorders>
          </w:tcPr>
          <w:p>
            <w:pPr>
              <w:autoSpaceDE w:val="0"/>
              <w:autoSpaceDN w:val="0"/>
              <w:adjustRightInd w:val="0"/>
              <w:spacing w:line="360" w:lineRule="auto"/>
              <w:rPr>
                <w:rFonts w:ascii="宋体" w:cs="宋体"/>
                <w:b/>
                <w:bCs/>
                <w:kern w:val="0"/>
                <w:sz w:val="24"/>
                <w:szCs w:val="24"/>
              </w:rPr>
            </w:pPr>
          </w:p>
        </w:tc>
      </w:tr>
    </w:tbl>
    <w:p>
      <w:pPr>
        <w:autoSpaceDE w:val="0"/>
        <w:autoSpaceDN w:val="0"/>
        <w:adjustRightInd w:val="0"/>
        <w:spacing w:line="360" w:lineRule="auto"/>
        <w:rPr>
          <w:rFonts w:ascii="宋体" w:cs="Times New Roman"/>
          <w:b/>
          <w:bCs/>
          <w:kern w:val="0"/>
          <w:sz w:val="24"/>
          <w:szCs w:val="24"/>
        </w:rPr>
      </w:pPr>
    </w:p>
    <w:p>
      <w:pPr>
        <w:autoSpaceDE w:val="0"/>
        <w:autoSpaceDN w:val="0"/>
        <w:adjustRightInd w:val="0"/>
        <w:spacing w:line="360" w:lineRule="auto"/>
        <w:ind w:firstLine="480" w:firstLineChars="200"/>
        <w:jc w:val="left"/>
        <w:rPr>
          <w:rFonts w:ascii="宋体" w:cs="Times New Roman"/>
          <w:sz w:val="24"/>
          <w:szCs w:val="24"/>
        </w:rPr>
      </w:pPr>
      <w:r>
        <w:rPr>
          <w:rFonts w:hint="eastAsia" w:ascii="宋体" w:hAnsi="宋体" w:cs="宋体"/>
          <w:sz w:val="24"/>
          <w:szCs w:val="24"/>
        </w:rPr>
        <w:t>后附合同或中标通知书。</w:t>
      </w:r>
    </w:p>
    <w:p>
      <w:pPr>
        <w:autoSpaceDE w:val="0"/>
        <w:autoSpaceDN w:val="0"/>
        <w:adjustRightInd w:val="0"/>
        <w:spacing w:line="360" w:lineRule="auto"/>
        <w:ind w:firstLine="480" w:firstLineChars="200"/>
        <w:jc w:val="left"/>
        <w:rPr>
          <w:rFonts w:ascii="宋体" w:cs="Times New Roman"/>
          <w:sz w:val="24"/>
          <w:szCs w:val="24"/>
        </w:rPr>
      </w:pPr>
      <w:r>
        <w:rPr>
          <w:rFonts w:hint="eastAsia" w:ascii="宋体" w:hAnsi="宋体" w:cs="宋体"/>
          <w:sz w:val="24"/>
          <w:szCs w:val="24"/>
        </w:rPr>
        <w:t>我方承诺上述填报内容真实，如不真实，将按照有关规定接受处理。</w:t>
      </w:r>
    </w:p>
    <w:p>
      <w:pPr>
        <w:autoSpaceDE w:val="0"/>
        <w:autoSpaceDN w:val="0"/>
        <w:adjustRightInd w:val="0"/>
        <w:spacing w:line="360" w:lineRule="auto"/>
        <w:jc w:val="left"/>
        <w:rPr>
          <w:rFonts w:ascii="宋体" w:cs="Times New Roman"/>
          <w:sz w:val="24"/>
          <w:szCs w:val="24"/>
        </w:rPr>
      </w:pPr>
    </w:p>
    <w:p>
      <w:pPr>
        <w:autoSpaceDE w:val="0"/>
        <w:autoSpaceDN w:val="0"/>
        <w:adjustRightInd w:val="0"/>
        <w:spacing w:line="360" w:lineRule="auto"/>
        <w:rPr>
          <w:rFonts w:ascii="宋体" w:cs="Times New Roman"/>
          <w:b/>
          <w:bCs/>
          <w:kern w:val="0"/>
          <w:sz w:val="24"/>
          <w:szCs w:val="24"/>
        </w:rPr>
      </w:pPr>
    </w:p>
    <w:p>
      <w:pPr>
        <w:autoSpaceDE w:val="0"/>
        <w:autoSpaceDN w:val="0"/>
        <w:adjustRightInd w:val="0"/>
        <w:spacing w:line="360" w:lineRule="auto"/>
        <w:rPr>
          <w:rFonts w:ascii="宋体" w:cs="Times New Roman"/>
          <w:b/>
          <w:bCs/>
          <w:kern w:val="0"/>
          <w:sz w:val="24"/>
          <w:szCs w:val="24"/>
        </w:rPr>
      </w:pPr>
    </w:p>
    <w:p>
      <w:pPr>
        <w:spacing w:line="360" w:lineRule="auto"/>
        <w:ind w:firstLine="480" w:firstLineChars="200"/>
        <w:rPr>
          <w:rFonts w:ascii="宋体" w:cs="Times New Roman"/>
          <w:sz w:val="24"/>
          <w:szCs w:val="24"/>
        </w:rPr>
      </w:pPr>
      <w:r>
        <w:rPr>
          <w:rFonts w:hint="eastAsia" w:ascii="宋体" w:hAnsi="宋体" w:cs="宋体"/>
          <w:sz w:val="24"/>
          <w:szCs w:val="24"/>
        </w:rPr>
        <w:t>投</w:t>
      </w:r>
      <w:r>
        <w:rPr>
          <w:rFonts w:ascii="宋体" w:hAnsi="宋体" w:cs="宋体"/>
          <w:sz w:val="24"/>
          <w:szCs w:val="24"/>
        </w:rPr>
        <w:t xml:space="preserve">  </w:t>
      </w:r>
      <w:r>
        <w:rPr>
          <w:rFonts w:hint="eastAsia" w:ascii="宋体" w:hAnsi="宋体" w:cs="宋体"/>
          <w:sz w:val="24"/>
          <w:szCs w:val="24"/>
        </w:rPr>
        <w:t>标</w:t>
      </w:r>
      <w:r>
        <w:rPr>
          <w:rFonts w:ascii="宋体" w:hAnsi="宋体" w:cs="宋体"/>
          <w:sz w:val="24"/>
          <w:szCs w:val="24"/>
        </w:rPr>
        <w:t xml:space="preserve">  </w:t>
      </w:r>
      <w:r>
        <w:rPr>
          <w:rFonts w:hint="eastAsia" w:ascii="宋体" w:hAnsi="宋体" w:cs="宋体"/>
          <w:sz w:val="24"/>
          <w:szCs w:val="24"/>
        </w:rPr>
        <w:t>人：</w:t>
      </w:r>
      <w:r>
        <w:rPr>
          <w:rFonts w:ascii="宋体" w:hAnsi="宋体" w:cs="宋体"/>
          <w:sz w:val="24"/>
          <w:szCs w:val="24"/>
          <w:u w:val="single"/>
        </w:rPr>
        <w:t xml:space="preserve">                                  </w:t>
      </w:r>
      <w:r>
        <w:rPr>
          <w:rFonts w:hint="eastAsia" w:ascii="宋体" w:hAnsi="宋体" w:cs="宋体"/>
          <w:sz w:val="24"/>
          <w:szCs w:val="24"/>
        </w:rPr>
        <w:t>（盖章）</w:t>
      </w:r>
    </w:p>
    <w:p>
      <w:pPr>
        <w:spacing w:line="360" w:lineRule="auto"/>
        <w:ind w:firstLine="480" w:firstLineChars="200"/>
        <w:rPr>
          <w:rFonts w:ascii="宋体" w:cs="Times New Roman"/>
          <w:sz w:val="24"/>
          <w:szCs w:val="24"/>
        </w:rPr>
      </w:pPr>
      <w:r>
        <w:rPr>
          <w:rFonts w:hint="eastAsia" w:ascii="宋体" w:hAnsi="宋体" w:cs="宋体"/>
          <w:sz w:val="24"/>
          <w:szCs w:val="24"/>
        </w:rPr>
        <w:t>法定代表人：</w:t>
      </w:r>
      <w:r>
        <w:rPr>
          <w:rFonts w:ascii="宋体" w:hAnsi="宋体" w:cs="宋体"/>
          <w:sz w:val="24"/>
          <w:szCs w:val="24"/>
          <w:u w:val="single"/>
        </w:rPr>
        <w:t xml:space="preserve">              </w:t>
      </w:r>
      <w:r>
        <w:rPr>
          <w:rFonts w:hint="eastAsia" w:ascii="宋体" w:hAnsi="宋体" w:cs="宋体"/>
          <w:sz w:val="24"/>
          <w:szCs w:val="24"/>
        </w:rPr>
        <w:t>（签字盖章）</w:t>
      </w:r>
    </w:p>
    <w:p>
      <w:pPr>
        <w:spacing w:line="360" w:lineRule="auto"/>
        <w:ind w:firstLine="960" w:firstLineChars="400"/>
        <w:rPr>
          <w:rFonts w:ascii="宋体" w:cs="Times New Roman"/>
          <w:sz w:val="24"/>
          <w:szCs w:val="24"/>
          <w:u w:val="single"/>
        </w:rPr>
      </w:pPr>
    </w:p>
    <w:p>
      <w:pPr>
        <w:spacing w:line="360" w:lineRule="auto"/>
        <w:ind w:firstLine="5241" w:firstLineChars="2184"/>
        <w:jc w:val="left"/>
        <w:rPr>
          <w:rFonts w:ascii="宋体" w:cs="Times New Roman"/>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360" w:lineRule="auto"/>
        <w:jc w:val="center"/>
        <w:rPr>
          <w:rFonts w:ascii="宋体" w:cs="Times New Roman"/>
          <w:b/>
          <w:bCs/>
          <w:sz w:val="24"/>
          <w:szCs w:val="24"/>
        </w:rPr>
      </w:pPr>
    </w:p>
    <w:p>
      <w:pPr>
        <w:spacing w:line="360" w:lineRule="auto"/>
        <w:rPr>
          <w:rFonts w:ascii="宋体" w:cs="Times New Roman"/>
          <w:b/>
          <w:bCs/>
          <w:sz w:val="24"/>
          <w:szCs w:val="24"/>
        </w:rPr>
      </w:pPr>
    </w:p>
    <w:p>
      <w:pPr>
        <w:pStyle w:val="5"/>
        <w:overflowPunct w:val="0"/>
        <w:spacing w:after="120"/>
        <w:ind w:firstLine="482"/>
        <w:jc w:val="center"/>
        <w:rPr>
          <w:rFonts w:ascii="宋体" w:hAnsi="宋体" w:cs="宋体"/>
          <w:b/>
          <w:color w:val="000000"/>
          <w:szCs w:val="28"/>
        </w:rPr>
      </w:pPr>
      <w:r>
        <w:rPr>
          <w:rFonts w:ascii="宋体" w:hAnsi="宋体" w:cs="宋体"/>
          <w:b/>
          <w:bCs/>
          <w:sz w:val="24"/>
          <w:szCs w:val="24"/>
        </w:rPr>
        <w:br w:type="page"/>
      </w:r>
      <w:r>
        <w:rPr>
          <w:rFonts w:hint="eastAsia" w:ascii="宋体" w:hAnsi="宋体" w:cs="宋体"/>
          <w:b/>
          <w:color w:val="000000"/>
          <w:szCs w:val="28"/>
        </w:rPr>
        <w:t>售后服务计划</w:t>
      </w:r>
    </w:p>
    <w:p>
      <w:pPr>
        <w:pStyle w:val="5"/>
        <w:overflowPunct w:val="0"/>
        <w:spacing w:after="120"/>
        <w:ind w:firstLine="562"/>
        <w:jc w:val="center"/>
        <w:rPr>
          <w:rFonts w:ascii="宋体" w:hAnsi="宋体" w:cs="宋体"/>
          <w:b/>
          <w:color w:val="000000"/>
          <w:sz w:val="28"/>
          <w:szCs w:val="28"/>
        </w:rPr>
      </w:pPr>
    </w:p>
    <w:p>
      <w:pPr>
        <w:pStyle w:val="5"/>
        <w:overflowPunct w:val="0"/>
        <w:spacing w:after="120" w:line="400" w:lineRule="exact"/>
        <w:ind w:firstLine="482"/>
        <w:rPr>
          <w:rFonts w:ascii="宋体" w:hAnsi="宋体" w:cs="宋体"/>
          <w:b/>
          <w:bCs/>
          <w:color w:val="000000"/>
        </w:rPr>
      </w:pPr>
      <w:bookmarkStart w:id="216" w:name="_Toc473_WPSOffice_Level1"/>
      <w:r>
        <w:rPr>
          <w:rFonts w:hint="eastAsia" w:ascii="宋体" w:hAnsi="宋体" w:cs="宋体"/>
          <w:b/>
          <w:bCs/>
          <w:color w:val="000000"/>
        </w:rPr>
        <w:t>主要内容包括：</w:t>
      </w:r>
      <w:bookmarkEnd w:id="216"/>
    </w:p>
    <w:p>
      <w:pPr>
        <w:pStyle w:val="5"/>
        <w:overflowPunct w:val="0"/>
        <w:spacing w:after="120" w:line="400" w:lineRule="exact"/>
        <w:ind w:left="480"/>
        <w:rPr>
          <w:rFonts w:ascii="宋体" w:hAnsi="宋体" w:cs="宋体"/>
        </w:rPr>
      </w:pPr>
      <w:r>
        <w:rPr>
          <w:rFonts w:hint="eastAsia" w:ascii="宋体" w:hAnsi="宋体" w:cs="宋体"/>
        </w:rPr>
        <w:t>1、具有履行合同设备（产品）的生产、供货组织、运输、安装调试、验收、移交前维护、移交及技术支持、售后服务等能力；</w:t>
      </w:r>
    </w:p>
    <w:p>
      <w:pPr>
        <w:pStyle w:val="5"/>
        <w:overflowPunct w:val="0"/>
        <w:spacing w:after="120" w:line="400" w:lineRule="exact"/>
        <w:ind w:left="480"/>
        <w:rPr>
          <w:rFonts w:ascii="宋体" w:hAnsi="宋体" w:cs="宋体"/>
        </w:rPr>
      </w:pPr>
      <w:r>
        <w:rPr>
          <w:rFonts w:hint="eastAsia" w:ascii="宋体" w:hAnsi="宋体" w:cs="宋体"/>
        </w:rPr>
        <w:t>2、技术人员情况；</w:t>
      </w:r>
    </w:p>
    <w:p>
      <w:pPr>
        <w:pStyle w:val="5"/>
        <w:overflowPunct w:val="0"/>
        <w:spacing w:after="120" w:line="400" w:lineRule="exact"/>
        <w:ind w:left="480"/>
        <w:rPr>
          <w:rFonts w:ascii="宋体" w:hAnsi="宋体" w:cs="宋体"/>
        </w:rPr>
      </w:pPr>
      <w:r>
        <w:rPr>
          <w:rFonts w:hint="eastAsia" w:ascii="宋体" w:hAnsi="宋体" w:cs="宋体"/>
        </w:rPr>
        <w:t>3、应急时间安排；</w:t>
      </w:r>
    </w:p>
    <w:p>
      <w:pPr>
        <w:pStyle w:val="5"/>
        <w:overflowPunct w:val="0"/>
        <w:spacing w:after="120" w:line="400" w:lineRule="exact"/>
        <w:ind w:left="480"/>
        <w:rPr>
          <w:rFonts w:ascii="宋体" w:hAnsi="宋体" w:cs="宋体"/>
        </w:rPr>
      </w:pPr>
      <w:r>
        <w:rPr>
          <w:rFonts w:hint="eastAsia" w:ascii="宋体" w:hAnsi="宋体" w:cs="宋体"/>
        </w:rPr>
        <w:t>4、服务收费标准（质保期后如何收费）；</w:t>
      </w:r>
    </w:p>
    <w:p>
      <w:pPr>
        <w:pStyle w:val="5"/>
        <w:overflowPunct w:val="0"/>
        <w:spacing w:after="120" w:line="400" w:lineRule="exact"/>
        <w:ind w:left="480"/>
        <w:rPr>
          <w:rFonts w:ascii="宋体" w:hAnsi="宋体" w:cs="宋体"/>
        </w:rPr>
      </w:pPr>
      <w:r>
        <w:rPr>
          <w:rFonts w:hint="eastAsia" w:ascii="宋体" w:hAnsi="宋体" w:cs="宋体"/>
        </w:rPr>
        <w:t>5、培训计划；</w:t>
      </w:r>
    </w:p>
    <w:p>
      <w:pPr>
        <w:pStyle w:val="5"/>
        <w:overflowPunct w:val="0"/>
        <w:spacing w:after="120" w:line="400" w:lineRule="exact"/>
        <w:ind w:left="480"/>
        <w:rPr>
          <w:rFonts w:ascii="宋体" w:hAnsi="宋体" w:cs="宋体"/>
        </w:rPr>
      </w:pPr>
      <w:r>
        <w:rPr>
          <w:rFonts w:hint="eastAsia" w:ascii="宋体" w:hAnsi="宋体" w:cs="宋体"/>
        </w:rPr>
        <w:t>6、其它服务承诺；</w:t>
      </w:r>
    </w:p>
    <w:p>
      <w:pPr>
        <w:spacing w:line="360" w:lineRule="auto"/>
        <w:rPr>
          <w:rFonts w:ascii="宋体" w:hAnsi="宋体"/>
          <w:b/>
          <w:sz w:val="24"/>
          <w:szCs w:val="24"/>
        </w:rPr>
      </w:pPr>
    </w:p>
    <w:p>
      <w:pPr>
        <w:widowControl/>
        <w:jc w:val="left"/>
        <w:rPr>
          <w:rFonts w:ascii="宋体" w:hAnsi="宋体"/>
          <w:b/>
          <w:bCs/>
          <w:sz w:val="24"/>
          <w:szCs w:val="24"/>
        </w:rPr>
      </w:pPr>
      <w:r>
        <w:rPr>
          <w:rFonts w:ascii="宋体" w:hAnsi="宋体"/>
          <w:b/>
          <w:bCs/>
          <w:sz w:val="24"/>
          <w:szCs w:val="24"/>
        </w:rPr>
        <w:br w:type="page"/>
      </w:r>
    </w:p>
    <w:p>
      <w:pPr>
        <w:pStyle w:val="18"/>
        <w:tabs>
          <w:tab w:val="left" w:pos="540"/>
          <w:tab w:val="left" w:pos="1080"/>
        </w:tabs>
        <w:ind w:firstLine="482" w:firstLineChars="200"/>
        <w:rPr>
          <w:rFonts w:ascii="宋体" w:hAnsi="宋体" w:eastAsia="宋体" w:cs="宋体"/>
          <w:b/>
          <w:szCs w:val="28"/>
        </w:rPr>
      </w:pPr>
      <w:r>
        <w:rPr>
          <w:rFonts w:hint="eastAsia" w:ascii="宋体" w:hAnsi="宋体" w:eastAsia="宋体" w:cs="宋体"/>
          <w:b/>
          <w:bCs/>
          <w:szCs w:val="28"/>
        </w:rPr>
        <w:t>质量保证书</w:t>
      </w:r>
    </w:p>
    <w:p>
      <w:pPr>
        <w:pStyle w:val="18"/>
        <w:tabs>
          <w:tab w:val="left" w:pos="540"/>
          <w:tab w:val="left" w:pos="1080"/>
        </w:tabs>
        <w:ind w:firstLine="560" w:firstLineChars="200"/>
        <w:rPr>
          <w:rFonts w:ascii="宋体" w:hAnsi="宋体" w:eastAsia="宋体" w:cs="宋体"/>
          <w:sz w:val="28"/>
          <w:szCs w:val="28"/>
        </w:rPr>
      </w:pPr>
    </w:p>
    <w:p>
      <w:pPr>
        <w:pStyle w:val="18"/>
        <w:tabs>
          <w:tab w:val="left" w:pos="540"/>
          <w:tab w:val="left" w:pos="1080"/>
        </w:tabs>
        <w:ind w:firstLine="560" w:firstLineChars="200"/>
        <w:rPr>
          <w:rFonts w:ascii="宋体" w:hAnsi="宋体" w:eastAsia="宋体" w:cs="宋体"/>
          <w:sz w:val="28"/>
          <w:szCs w:val="28"/>
        </w:rPr>
      </w:pPr>
    </w:p>
    <w:p>
      <w:pPr>
        <w:pStyle w:val="18"/>
        <w:tabs>
          <w:tab w:val="left" w:pos="540"/>
          <w:tab w:val="left" w:pos="1080"/>
        </w:tabs>
        <w:spacing w:line="400" w:lineRule="exact"/>
        <w:ind w:firstLine="480" w:firstLineChars="200"/>
        <w:rPr>
          <w:rFonts w:ascii="宋体" w:hAnsi="宋体" w:eastAsia="宋体" w:cs="宋体"/>
        </w:rPr>
      </w:pPr>
      <w:r>
        <w:rPr>
          <w:rFonts w:hint="eastAsia" w:ascii="宋体" w:hAnsi="宋体" w:eastAsia="宋体" w:cs="宋体"/>
        </w:rPr>
        <w:t>要求：</w:t>
      </w:r>
    </w:p>
    <w:p>
      <w:pPr>
        <w:pStyle w:val="18"/>
        <w:tabs>
          <w:tab w:val="left" w:pos="540"/>
          <w:tab w:val="left" w:pos="1080"/>
        </w:tabs>
        <w:spacing w:line="400" w:lineRule="exact"/>
        <w:ind w:firstLine="480" w:firstLineChars="200"/>
        <w:jc w:val="both"/>
        <w:rPr>
          <w:rFonts w:ascii="宋体" w:hAnsi="宋体" w:eastAsia="宋体" w:cs="宋体"/>
          <w:b/>
        </w:rPr>
      </w:pPr>
      <w:r>
        <w:rPr>
          <w:rFonts w:hint="eastAsia" w:ascii="宋体" w:hAnsi="宋体" w:eastAsia="宋体" w:cs="宋体"/>
        </w:rPr>
        <w:t>1、未发生产品质量事故和用户使用的事故;</w:t>
      </w:r>
    </w:p>
    <w:p>
      <w:pPr>
        <w:pStyle w:val="18"/>
        <w:tabs>
          <w:tab w:val="left" w:pos="540"/>
          <w:tab w:val="left" w:pos="1080"/>
        </w:tabs>
        <w:spacing w:line="400" w:lineRule="exact"/>
        <w:ind w:firstLine="480" w:firstLineChars="200"/>
        <w:jc w:val="both"/>
        <w:rPr>
          <w:rFonts w:ascii="宋体" w:hAnsi="宋体" w:eastAsia="宋体" w:cs="宋体"/>
        </w:rPr>
      </w:pPr>
      <w:r>
        <w:rPr>
          <w:rFonts w:hint="eastAsia" w:ascii="宋体" w:hAnsi="宋体" w:eastAsia="宋体" w:cs="宋体"/>
        </w:rPr>
        <w:t>2、保证产品在使用功能、检测精度、技术性能上不发生质量问题等。</w:t>
      </w: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ind w:firstLine="480" w:firstLineChars="200"/>
        <w:rPr>
          <w:rFonts w:ascii="宋体" w:hAnsi="宋体"/>
          <w:sz w:val="24"/>
          <w:szCs w:val="24"/>
        </w:rPr>
      </w:pPr>
      <w:r>
        <w:rPr>
          <w:rFonts w:hint="eastAsia" w:ascii="宋体" w:hAnsi="宋体"/>
          <w:sz w:val="24"/>
          <w:szCs w:val="24"/>
        </w:rPr>
        <w:t>投  标  人：（盖章）</w:t>
      </w:r>
    </w:p>
    <w:p>
      <w:pPr>
        <w:spacing w:line="360" w:lineRule="auto"/>
        <w:ind w:firstLine="480" w:firstLineChars="200"/>
        <w:rPr>
          <w:rFonts w:ascii="宋体" w:hAnsi="宋体"/>
          <w:sz w:val="24"/>
          <w:szCs w:val="24"/>
        </w:rPr>
      </w:pPr>
      <w:r>
        <w:rPr>
          <w:rFonts w:hint="eastAsia" w:ascii="宋体" w:hAnsi="宋体"/>
          <w:sz w:val="24"/>
          <w:szCs w:val="24"/>
        </w:rPr>
        <w:t>法定代表人：（签字盖章）</w:t>
      </w:r>
    </w:p>
    <w:p>
      <w:pPr>
        <w:spacing w:line="360" w:lineRule="auto"/>
        <w:ind w:firstLine="960" w:firstLineChars="400"/>
        <w:rPr>
          <w:rFonts w:ascii="宋体" w:hAnsi="宋体"/>
          <w:sz w:val="24"/>
          <w:szCs w:val="24"/>
          <w:u w:val="single"/>
        </w:rPr>
      </w:pPr>
    </w:p>
    <w:p>
      <w:pPr>
        <w:spacing w:line="360" w:lineRule="auto"/>
        <w:ind w:firstLine="5241" w:firstLineChars="2184"/>
        <w:jc w:val="left"/>
        <w:rPr>
          <w:rFonts w:ascii="宋体" w:hAnsi="宋体"/>
          <w:sz w:val="24"/>
          <w:szCs w:val="24"/>
        </w:rPr>
      </w:pPr>
      <w:r>
        <w:rPr>
          <w:rFonts w:hint="eastAsia" w:ascii="宋体" w:hAnsi="宋体"/>
          <w:sz w:val="24"/>
          <w:szCs w:val="24"/>
        </w:rPr>
        <w:t>年    月    日</w:t>
      </w:r>
    </w:p>
    <w:p>
      <w:pPr>
        <w:widowControl/>
        <w:jc w:val="left"/>
        <w:rPr>
          <w:rFonts w:ascii="宋体" w:cs="Times New Roman"/>
          <w:kern w:val="0"/>
          <w:sz w:val="24"/>
          <w:szCs w:val="24"/>
        </w:rPr>
      </w:pPr>
    </w:p>
    <w:p>
      <w:pPr>
        <w:spacing w:line="360" w:lineRule="auto"/>
        <w:jc w:val="center"/>
        <w:rPr>
          <w:rFonts w:ascii="宋体" w:hAnsi="宋体" w:eastAsia="宋体" w:cs="宋体"/>
          <w:b/>
          <w:bCs/>
          <w:color w:val="000000"/>
          <w:kern w:val="0"/>
          <w:sz w:val="24"/>
          <w:szCs w:val="28"/>
        </w:rPr>
      </w:pPr>
      <w:r>
        <w:rPr>
          <w:rFonts w:ascii="宋体" w:cs="Times New Roman"/>
          <w:sz w:val="24"/>
          <w:szCs w:val="24"/>
        </w:rPr>
        <w:br w:type="page"/>
      </w:r>
      <w:r>
        <w:rPr>
          <w:rFonts w:hint="eastAsia" w:ascii="宋体" w:hAnsi="宋体" w:eastAsia="宋体" w:cs="宋体"/>
          <w:b/>
          <w:bCs/>
          <w:color w:val="000000"/>
          <w:kern w:val="0"/>
          <w:sz w:val="24"/>
          <w:szCs w:val="28"/>
        </w:rPr>
        <w:t>投标货物和服务的质量保障（证）措施及技术支持等；（根据招标文件要求自拟）</w:t>
      </w:r>
    </w:p>
    <w:p>
      <w:pPr>
        <w:spacing w:line="360" w:lineRule="auto"/>
        <w:jc w:val="center"/>
        <w:rPr>
          <w:rFonts w:ascii="宋体" w:hAnsi="宋体" w:cs="宋体"/>
          <w:b/>
          <w:bCs/>
          <w:color w:val="000000"/>
          <w:kern w:val="0"/>
          <w:sz w:val="24"/>
          <w:szCs w:val="28"/>
        </w:rPr>
      </w:pPr>
      <w:r>
        <w:rPr>
          <w:rFonts w:ascii="宋体" w:cs="Times New Roman"/>
          <w:sz w:val="24"/>
          <w:szCs w:val="24"/>
        </w:rPr>
        <w:br w:type="page"/>
      </w:r>
      <w:r>
        <w:rPr>
          <w:rFonts w:hint="eastAsia" w:ascii="宋体" w:hAnsi="宋体" w:cs="宋体"/>
          <w:b/>
          <w:bCs/>
          <w:color w:val="000000"/>
          <w:kern w:val="0"/>
          <w:sz w:val="24"/>
          <w:szCs w:val="28"/>
        </w:rPr>
        <w:t>优惠条件及承诺</w:t>
      </w:r>
    </w:p>
    <w:p>
      <w:pPr>
        <w:tabs>
          <w:tab w:val="center" w:pos="4832"/>
          <w:tab w:val="left" w:pos="7140"/>
        </w:tabs>
        <w:jc w:val="center"/>
        <w:outlineLvl w:val="1"/>
        <w:rPr>
          <w:rFonts w:ascii="宋体" w:hAnsi="宋体" w:cs="宋体"/>
          <w:b/>
          <w:sz w:val="24"/>
          <w:szCs w:val="24"/>
        </w:rPr>
      </w:pPr>
      <w:r>
        <w:rPr>
          <w:rFonts w:ascii="宋体" w:cs="Times New Roman"/>
          <w:sz w:val="24"/>
          <w:szCs w:val="24"/>
        </w:rPr>
        <w:br w:type="page"/>
      </w:r>
      <w:bookmarkStart w:id="217" w:name="_Toc516611793"/>
      <w:bookmarkStart w:id="218" w:name="_Toc8916"/>
      <w:r>
        <w:rPr>
          <w:rFonts w:hint="eastAsia" w:ascii="宋体" w:hAnsi="宋体" w:cs="宋体"/>
          <w:b/>
          <w:sz w:val="24"/>
          <w:szCs w:val="24"/>
        </w:rPr>
        <w:t>其他需要提交的资料</w:t>
      </w:r>
      <w:bookmarkEnd w:id="217"/>
      <w:bookmarkEnd w:id="218"/>
    </w:p>
    <w:p>
      <w:pPr>
        <w:spacing w:line="360" w:lineRule="auto"/>
        <w:rPr>
          <w:rFonts w:ascii="宋体" w:hAnsi="宋体"/>
          <w:kern w:val="0"/>
          <w:sz w:val="24"/>
          <w:szCs w:val="24"/>
        </w:rPr>
      </w:pPr>
      <w:r>
        <w:rPr>
          <w:rFonts w:hint="eastAsia" w:ascii="宋体" w:hAnsi="宋体" w:cs="Times New Roman"/>
          <w:sz w:val="24"/>
          <w:szCs w:val="24"/>
        </w:rPr>
        <w:t>根据招标文件的要求和投标人认为需要提供的资料</w:t>
      </w:r>
    </w:p>
    <w:p>
      <w:pPr>
        <w:spacing w:line="360" w:lineRule="auto"/>
        <w:jc w:val="center"/>
        <w:rPr>
          <w:rFonts w:ascii="宋体" w:cs="Times New Roman"/>
          <w:sz w:val="24"/>
          <w:szCs w:val="24"/>
        </w:rPr>
      </w:pPr>
    </w:p>
    <w:p>
      <w:pPr>
        <w:spacing w:line="360" w:lineRule="auto"/>
        <w:jc w:val="center"/>
        <w:rPr>
          <w:rFonts w:ascii="宋体" w:cs="Times New Roman"/>
          <w:b/>
          <w:bCs/>
          <w:sz w:val="24"/>
          <w:szCs w:val="24"/>
        </w:rPr>
      </w:pPr>
      <w:r>
        <w:rPr>
          <w:rFonts w:ascii="宋体" w:cs="Times New Roman"/>
          <w:b/>
          <w:bCs/>
          <w:sz w:val="24"/>
          <w:szCs w:val="24"/>
        </w:rPr>
        <w:br w:type="page"/>
      </w:r>
      <w:bookmarkStart w:id="219" w:name="_Toc569"/>
      <w:bookmarkStart w:id="220" w:name="_Toc31351_WPSOffice_Level1"/>
      <w:r>
        <w:rPr>
          <w:rStyle w:val="15"/>
          <w:rFonts w:hint="eastAsia"/>
          <w:sz w:val="32"/>
          <w:szCs w:val="16"/>
        </w:rPr>
        <w:t>第</w:t>
      </w:r>
      <w:r>
        <w:rPr>
          <w:rStyle w:val="15"/>
          <w:rFonts w:hint="eastAsia"/>
          <w:sz w:val="32"/>
          <w:szCs w:val="16"/>
          <w:lang w:eastAsia="zh-CN"/>
        </w:rPr>
        <w:t>六</w:t>
      </w:r>
      <w:r>
        <w:rPr>
          <w:rStyle w:val="15"/>
          <w:rFonts w:hint="eastAsia"/>
          <w:sz w:val="32"/>
          <w:szCs w:val="16"/>
        </w:rPr>
        <w:t>章</w:t>
      </w:r>
      <w:r>
        <w:rPr>
          <w:rStyle w:val="15"/>
          <w:sz w:val="32"/>
          <w:szCs w:val="16"/>
        </w:rPr>
        <w:t xml:space="preserve"> </w:t>
      </w:r>
      <w:r>
        <w:rPr>
          <w:rStyle w:val="15"/>
          <w:rFonts w:hint="eastAsia"/>
          <w:sz w:val="32"/>
          <w:szCs w:val="16"/>
        </w:rPr>
        <w:t>补充条款</w:t>
      </w:r>
      <w:bookmarkEnd w:id="219"/>
      <w:bookmarkEnd w:id="220"/>
    </w:p>
    <w:p>
      <w:pPr>
        <w:tabs>
          <w:tab w:val="center" w:pos="4832"/>
          <w:tab w:val="left" w:pos="7140"/>
        </w:tabs>
        <w:jc w:val="center"/>
        <w:outlineLvl w:val="1"/>
        <w:rPr>
          <w:rFonts w:ascii="宋体" w:cs="Times New Roman"/>
          <w:b/>
          <w:bCs/>
          <w:sz w:val="24"/>
          <w:szCs w:val="24"/>
        </w:rPr>
      </w:pPr>
      <w:bookmarkStart w:id="221" w:name="_Toc11580"/>
      <w:bookmarkStart w:id="222" w:name="_Toc5615169"/>
      <w:r>
        <w:rPr>
          <w:rFonts w:hint="eastAsia" w:ascii="宋体" w:hAnsi="宋体" w:cs="宋体"/>
          <w:b/>
          <w:bCs/>
          <w:color w:val="000000"/>
          <w:sz w:val="24"/>
          <w:szCs w:val="24"/>
        </w:rPr>
        <w:t>其他需要提交的资料（根据招标文件的要求和投标人认为需要提供的资料）；</w:t>
      </w:r>
      <w:bookmarkEnd w:id="221"/>
      <w:bookmarkEnd w:id="222"/>
    </w:p>
    <w:p>
      <w:pPr>
        <w:widowControl/>
        <w:jc w:val="left"/>
        <w:rPr>
          <w:rFonts w:cs="Times New Roman"/>
        </w:rPr>
      </w:pPr>
    </w:p>
    <w:p/>
    <w:p>
      <w:pPr>
        <w:bidi w:val="0"/>
        <w:rPr>
          <w:rFonts w:ascii="Calibri" w:hAnsi="Calibri" w:eastAsia="宋体" w:cs="Calibri"/>
          <w:kern w:val="2"/>
          <w:sz w:val="21"/>
          <w:szCs w:val="21"/>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5158"/>
        </w:tabs>
        <w:bidi w:val="0"/>
        <w:jc w:val="left"/>
        <w:rPr>
          <w:rFonts w:hint="eastAsia"/>
          <w:lang w:val="en-US" w:eastAsia="zh-CN"/>
        </w:rPr>
      </w:pPr>
      <w:r>
        <w:rPr>
          <w:rFonts w:hint="eastAsia"/>
          <w:lang w:val="en-US" w:eastAsia="zh-CN"/>
        </w:rPr>
        <w:tab/>
      </w:r>
    </w:p>
    <w:p>
      <w:pPr>
        <w:pStyle w:val="19"/>
        <w:rPr>
          <w:rFonts w:hint="eastAsia"/>
          <w:lang w:val="en-US" w:eastAsia="zh-CN"/>
        </w:rPr>
      </w:pPr>
    </w:p>
    <w:p/>
    <w:p/>
    <w:sectPr>
      <w:headerReference r:id="rId7" w:type="default"/>
      <w:footerReference r:id="rId8" w:type="default"/>
      <w:pgSz w:w="11906" w:h="16838"/>
      <w:pgMar w:top="1418" w:right="1418" w:bottom="1418" w:left="141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34"/>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CF3C50"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90"/>
      <w:jc w:val="right"/>
      <w:rPr>
        <w:rFonts w:cs="Times New Roman"/>
      </w:rPr>
    </w:pPr>
  </w:p>
  <w:p>
    <w:pPr>
      <w:pStyle w:val="8"/>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90"/>
      <w:jc w:val="right"/>
      <w:rPr>
        <w:rFonts w:cs="Times New Roma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8"/>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bCs/>
      </w:rPr>
      <w:t>第四章</w:t>
    </w:r>
    <w:r>
      <w:rPr>
        <w:bCs/>
      </w:rPr>
      <w:t xml:space="preserve">  </w:t>
    </w:r>
    <w:r>
      <w:rPr>
        <w:rFonts w:hint="eastAsia"/>
        <w:bCs/>
      </w:rPr>
      <w:t>政府采购合同（样本）</w:t>
    </w:r>
    <w:r>
      <w:rPr>
        <w:rFonts w:hint="eastAsia"/>
      </w:rPr>
      <w:t xml:space="preserve">                                    新疆谊诚工程项目管理咨询有限公司 编制</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cs="Times New Roman"/>
        <w:sz w:val="30"/>
        <w:szCs w:val="30"/>
      </w:rPr>
    </w:pPr>
    <w:r>
      <w:rPr>
        <w:sz w:val="3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8"/>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A3566"/>
    <w:rsid w:val="07E25ADC"/>
    <w:rsid w:val="09C330ED"/>
    <w:rsid w:val="0C760651"/>
    <w:rsid w:val="0CB9677C"/>
    <w:rsid w:val="27411591"/>
    <w:rsid w:val="2F8342FF"/>
    <w:rsid w:val="2FDA3566"/>
    <w:rsid w:val="46C661C1"/>
    <w:rsid w:val="6ADE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5"/>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5"/>
    <w:qFormat/>
    <w:uiPriority w:val="0"/>
    <w:pPr>
      <w:keepNext/>
      <w:keepLines/>
      <w:spacing w:before="260" w:after="260" w:line="416" w:lineRule="auto"/>
      <w:outlineLvl w:val="1"/>
    </w:pPr>
    <w:rPr>
      <w:rFonts w:ascii="Arial" w:hAnsi="Arial" w:eastAsia="黑体"/>
      <w:b/>
      <w:sz w:val="32"/>
    </w:rPr>
  </w:style>
  <w:style w:type="paragraph" w:styleId="6">
    <w:name w:val="heading 3"/>
    <w:basedOn w:val="1"/>
    <w:next w:val="1"/>
    <w:qFormat/>
    <w:uiPriority w:val="0"/>
    <w:pPr>
      <w:keepNext/>
      <w:spacing w:line="460" w:lineRule="exact"/>
      <w:outlineLvl w:val="2"/>
    </w:pPr>
    <w:rPr>
      <w:rFonts w:ascii="宋体" w:hAnsi="宋体"/>
      <w:b/>
      <w:bCs/>
      <w:sz w:val="30"/>
    </w:rPr>
  </w:style>
  <w:style w:type="character" w:default="1" w:styleId="13">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cs="Times New Roman"/>
      <w:szCs w:val="22"/>
    </w:rPr>
  </w:style>
  <w:style w:type="paragraph" w:styleId="5">
    <w:name w:val="Normal Indent"/>
    <w:basedOn w:val="1"/>
    <w:qFormat/>
    <w:uiPriority w:val="99"/>
    <w:pPr>
      <w:spacing w:afterLines="50" w:line="360" w:lineRule="auto"/>
      <w:ind w:firstLine="480" w:firstLineChars="200"/>
    </w:pPr>
    <w:rPr>
      <w:rFonts w:ascii="Times New Roman" w:hAnsi="Times New Roman" w:cs="Times New Roman"/>
      <w:sz w:val="24"/>
      <w:szCs w:val="24"/>
    </w:rPr>
  </w:style>
  <w:style w:type="paragraph" w:styleId="7">
    <w:name w:val="Plain Text"/>
    <w:basedOn w:val="1"/>
    <w:qFormat/>
    <w:uiPriority w:val="0"/>
    <w:pPr>
      <w:widowControl/>
      <w:jc w:val="left"/>
    </w:pPr>
    <w:rPr>
      <w:rFonts w:ascii="宋体" w:hAnsi="Courier New" w:cs="Times New Roman"/>
      <w:szCs w:val="24"/>
    </w:rPr>
  </w:style>
  <w:style w:type="paragraph" w:styleId="8">
    <w:name w:val="footer"/>
    <w:basedOn w:val="1"/>
    <w:next w:val="1"/>
    <w:qFormat/>
    <w:uiPriority w:val="99"/>
    <w:pPr>
      <w:tabs>
        <w:tab w:val="center" w:pos="4153"/>
        <w:tab w:val="right" w:pos="8306"/>
      </w:tabs>
      <w:snapToGrid w:val="0"/>
      <w:jc w:val="left"/>
    </w:pPr>
    <w:rPr>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采购正文"/>
    <w:qFormat/>
    <w:uiPriority w:val="0"/>
    <w:pPr>
      <w:widowControl w:val="0"/>
      <w:spacing w:line="560" w:lineRule="exact"/>
      <w:ind w:firstLine="200" w:firstLineChars="200"/>
      <w:contextualSpacing/>
      <w:jc w:val="both"/>
    </w:pPr>
    <w:rPr>
      <w:rFonts w:ascii="仿宋" w:hAnsi="仿宋" w:eastAsia="仿宋" w:cs="宋体"/>
      <w:color w:val="000000"/>
      <w:kern w:val="24"/>
      <w:sz w:val="24"/>
      <w:szCs w:val="24"/>
      <w:lang w:val="en-US" w:eastAsia="zh-CN" w:bidi="ar-SA"/>
    </w:rPr>
  </w:style>
  <w:style w:type="character" w:customStyle="1" w:styleId="15">
    <w:name w:val="标题 1 Char"/>
    <w:link w:val="3"/>
    <w:qFormat/>
    <w:uiPriority w:val="0"/>
    <w:rPr>
      <w:b/>
      <w:kern w:val="44"/>
      <w:sz w:val="44"/>
    </w:rPr>
  </w:style>
  <w:style w:type="paragraph" w:customStyle="1" w:styleId="16">
    <w:name w:val="样式1"/>
    <w:basedOn w:val="1"/>
    <w:qFormat/>
    <w:uiPriority w:val="0"/>
    <w:pPr>
      <w:widowControl w:val="0"/>
      <w:tabs>
        <w:tab w:val="left" w:pos="709"/>
      </w:tabs>
      <w:adjustRightInd w:val="0"/>
      <w:ind w:left="709" w:hanging="709"/>
      <w:textAlignment w:val="baseline"/>
    </w:pPr>
    <w:rPr>
      <w:rFonts w:ascii="宋体" w:hAnsi="宋体" w:cs="Times New Roman"/>
    </w:rPr>
  </w:style>
  <w:style w:type="paragraph" w:styleId="17">
    <w:name w:val="List Paragraph"/>
    <w:basedOn w:val="1"/>
    <w:qFormat/>
    <w:uiPriority w:val="34"/>
    <w:pPr>
      <w:ind w:firstLine="420" w:firstLineChars="200"/>
    </w:pPr>
  </w:style>
  <w:style w:type="paragraph" w:customStyle="1" w:styleId="18">
    <w:name w:val="缺省文本"/>
    <w:qFormat/>
    <w:uiPriority w:val="99"/>
    <w:pPr>
      <w:widowControl w:val="0"/>
      <w:autoSpaceDE w:val="0"/>
      <w:autoSpaceDN w:val="0"/>
      <w:adjustRightInd w:val="0"/>
      <w:jc w:val="center"/>
    </w:pPr>
    <w:rPr>
      <w:rFonts w:ascii="Times New Roman" w:hAnsi="Times New Roman" w:eastAsia="宋体" w:cs="Times New Roman"/>
      <w:color w:val="000000"/>
      <w:sz w:val="24"/>
      <w:szCs w:val="24"/>
      <w:lang w:val="en-US" w:eastAsia="zh-CN" w:bidi="ar-SA"/>
    </w:rPr>
  </w:style>
  <w:style w:type="paragraph" w:customStyle="1" w:styleId="19">
    <w:name w:val="Style1"/>
    <w:basedOn w:val="1"/>
    <w:qFormat/>
    <w:uiPriority w:val="0"/>
    <w:pPr>
      <w:widowControl/>
      <w:tabs>
        <w:tab w:val="left" w:pos="-720"/>
      </w:tabs>
      <w:spacing w:after="120" w:afterLines="0"/>
    </w:pPr>
    <w:rPr>
      <w:rFonts w:ascii="Times New Roman" w:hAnsi="Times New Roman" w:eastAsia="宋体" w:cs="Times New Roman"/>
      <w:spacing w:val="-3"/>
      <w:kern w:val="0"/>
      <w:sz w:val="24"/>
      <w:szCs w:val="20"/>
      <w:lang w:val="en-AU"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2019-11-21T07:43:00Z</dcterms:created>
  <dc:creator>暖1367819621</dc:creator>
  <cp:lastModifiedBy>暖1367819621</cp:lastModifiedBy>
  <cp:lastPrinted>2019-11-26T02:14:00Z</cp:lastPrinted>
  <dcterms:modified xsi:type="dcterms:W3CDTF">2019-11-29T05:30:45Z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