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spacing w:before="120" w:after="120" w:line="360" w:lineRule="auto"/>
        <w:ind w:right="0" w:firstLine="0"/>
        <w:jc w:val="center"/>
        <w:rPr>
          <w:rFonts w:hint="default" w:ascii="仿宋" w:hAnsi="仿宋" w:eastAsia="仿宋"/>
          <w:b/>
          <w:color w:val="auto"/>
          <w:position w:val="0"/>
          <w:sz w:val="32"/>
          <w:szCs w:val="32"/>
        </w:rPr>
      </w:pPr>
      <w:r>
        <w:rPr>
          <w:rFonts w:hint="default" w:ascii="仿宋" w:hAnsi="仿宋" w:eastAsia="仿宋"/>
          <w:b/>
          <w:color w:val="auto"/>
          <w:position w:val="0"/>
          <w:sz w:val="32"/>
          <w:szCs w:val="32"/>
        </w:rPr>
        <w:t xml:space="preserve">                                                                                                                                                                                                                                                                                                                                                                                                                                                                                                                                                                                                                                                                                                                                                                                                                                                                                                                            哈密市伊州区2020年高标准农田建设项目勘察设计服务  招标公告</w:t>
      </w:r>
    </w:p>
    <w:p>
      <w:pPr>
        <w:numPr>
          <w:ilvl w:val="0"/>
          <w:numId w:val="1"/>
        </w:numPr>
        <w:autoSpaceDE/>
        <w:autoSpaceDN/>
        <w:spacing w:before="0" w:after="160" w:line="360" w:lineRule="auto"/>
        <w:ind w:right="0" w:firstLine="0"/>
        <w:jc w:val="both"/>
        <w:rPr>
          <w:rFonts w:hint="default" w:ascii="仿宋" w:hAnsi="仿宋" w:eastAsia="仿宋"/>
          <w:color w:val="auto"/>
          <w:position w:val="0"/>
          <w:sz w:val="24"/>
          <w:szCs w:val="24"/>
        </w:rPr>
      </w:pPr>
      <w:r>
        <w:rPr>
          <w:rFonts w:hint="default" w:ascii="仿宋" w:hAnsi="仿宋" w:eastAsia="仿宋"/>
          <w:b/>
          <w:color w:val="auto"/>
          <w:position w:val="0"/>
          <w:sz w:val="24"/>
          <w:szCs w:val="24"/>
        </w:rPr>
        <w:t>招标项目编号</w:t>
      </w:r>
      <w:r>
        <w:rPr>
          <w:rFonts w:hint="default" w:ascii="仿宋" w:hAnsi="仿宋" w:eastAsia="仿宋"/>
          <w:color w:val="auto"/>
          <w:position w:val="0"/>
          <w:sz w:val="24"/>
          <w:szCs w:val="24"/>
        </w:rPr>
        <w:t>：XJDH【2020】-H003-01</w:t>
      </w:r>
    </w:p>
    <w:p>
      <w:pPr>
        <w:numPr>
          <w:ilvl w:val="0"/>
          <w:numId w:val="0"/>
        </w:numPr>
        <w:autoSpaceDE/>
        <w:autoSpaceDN/>
        <w:spacing w:before="0" w:after="160" w:line="360" w:lineRule="auto"/>
        <w:ind w:right="0" w:firstLine="0"/>
        <w:jc w:val="both"/>
        <w:rPr>
          <w:rFonts w:hint="default" w:ascii="仿宋" w:hAnsi="仿宋" w:eastAsia="仿宋"/>
          <w:color w:val="auto"/>
          <w:position w:val="0"/>
          <w:sz w:val="24"/>
          <w:szCs w:val="24"/>
        </w:rPr>
      </w:pPr>
      <w:r>
        <w:rPr>
          <w:rFonts w:hint="default" w:ascii="仿宋" w:hAnsi="仿宋" w:eastAsia="仿宋"/>
          <w:b/>
          <w:color w:val="auto"/>
          <w:position w:val="0"/>
          <w:sz w:val="24"/>
          <w:szCs w:val="24"/>
        </w:rPr>
        <w:t>二、采购组织类型：</w:t>
      </w:r>
      <w:r>
        <w:rPr>
          <w:rFonts w:hint="default" w:ascii="仿宋" w:hAnsi="仿宋" w:eastAsia="仿宋"/>
          <w:color w:val="auto"/>
          <w:position w:val="0"/>
          <w:sz w:val="24"/>
          <w:szCs w:val="24"/>
        </w:rPr>
        <w:t>部门集中采购-委托中介机构</w:t>
      </w:r>
    </w:p>
    <w:p>
      <w:pPr>
        <w:numPr>
          <w:ilvl w:val="0"/>
          <w:numId w:val="0"/>
        </w:numPr>
        <w:autoSpaceDE/>
        <w:autoSpaceDN/>
        <w:spacing w:before="0" w:after="160" w:line="360" w:lineRule="auto"/>
        <w:ind w:right="0" w:firstLine="0"/>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三、招标项目概况</w:t>
      </w:r>
    </w:p>
    <w:p>
      <w:pPr>
        <w:numPr>
          <w:ilvl w:val="0"/>
          <w:numId w:val="0"/>
        </w:numPr>
        <w:autoSpaceDE/>
        <w:autoSpaceDN/>
        <w:spacing w:before="0" w:after="160" w:line="360" w:lineRule="auto"/>
        <w:ind w:right="0" w:firstLine="482"/>
        <w:jc w:val="both"/>
        <w:rPr>
          <w:rFonts w:hint="default" w:ascii="仿宋" w:hAnsi="仿宋" w:eastAsia="仿宋"/>
          <w:color w:val="auto"/>
          <w:position w:val="0"/>
          <w:sz w:val="24"/>
          <w:szCs w:val="24"/>
        </w:rPr>
      </w:pPr>
      <w:r>
        <w:rPr>
          <w:rFonts w:hint="default" w:ascii="仿宋" w:hAnsi="仿宋" w:eastAsia="仿宋"/>
          <w:b/>
          <w:color w:val="auto"/>
          <w:position w:val="0"/>
          <w:sz w:val="24"/>
          <w:szCs w:val="24"/>
        </w:rPr>
        <w:t>1.项目名称</w:t>
      </w:r>
      <w:r>
        <w:rPr>
          <w:rFonts w:hint="default" w:ascii="仿宋" w:hAnsi="仿宋" w:eastAsia="仿宋"/>
          <w:color w:val="auto"/>
          <w:position w:val="0"/>
          <w:sz w:val="24"/>
          <w:szCs w:val="24"/>
        </w:rPr>
        <w:t>：哈密市伊州区2020年高标准农田建设项目勘察设计服务</w:t>
      </w:r>
    </w:p>
    <w:p>
      <w:pPr>
        <w:numPr>
          <w:ilvl w:val="0"/>
          <w:numId w:val="0"/>
        </w:numPr>
        <w:autoSpaceDE/>
        <w:autoSpaceDN/>
        <w:spacing w:before="0" w:after="160" w:line="360" w:lineRule="auto"/>
        <w:ind w:right="0" w:firstLine="482"/>
        <w:jc w:val="both"/>
        <w:rPr>
          <w:rFonts w:hint="default" w:ascii="仿宋" w:hAnsi="仿宋" w:eastAsia="仿宋"/>
          <w:color w:val="auto"/>
          <w:position w:val="0"/>
          <w:sz w:val="24"/>
          <w:szCs w:val="24"/>
        </w:rPr>
      </w:pPr>
      <w:r>
        <w:rPr>
          <w:rFonts w:hint="default" w:ascii="仿宋" w:hAnsi="仿宋" w:eastAsia="仿宋"/>
          <w:b/>
          <w:color w:val="auto"/>
          <w:position w:val="0"/>
          <w:sz w:val="24"/>
          <w:szCs w:val="24"/>
        </w:rPr>
        <w:t>2.项目预算金额：</w:t>
      </w:r>
      <w:r>
        <w:rPr>
          <w:rFonts w:hint="default" w:ascii="仿宋" w:hAnsi="仿宋" w:eastAsia="仿宋"/>
          <w:color w:val="auto"/>
          <w:position w:val="0"/>
          <w:sz w:val="24"/>
          <w:szCs w:val="24"/>
        </w:rPr>
        <w:t>计划投资额的2.28%</w:t>
      </w:r>
    </w:p>
    <w:p>
      <w:pPr>
        <w:numPr>
          <w:ilvl w:val="0"/>
          <w:numId w:val="0"/>
        </w:numPr>
        <w:autoSpaceDE/>
        <w:autoSpaceDN/>
        <w:spacing w:before="0" w:after="160" w:line="360" w:lineRule="auto"/>
        <w:ind w:right="0" w:firstLine="482"/>
        <w:jc w:val="both"/>
        <w:rPr>
          <w:rFonts w:hint="default" w:ascii="仿宋" w:hAnsi="仿宋" w:eastAsia="仿宋"/>
          <w:color w:val="auto"/>
          <w:position w:val="0"/>
          <w:sz w:val="24"/>
          <w:szCs w:val="24"/>
        </w:rPr>
      </w:pPr>
      <w:r>
        <w:rPr>
          <w:rFonts w:hint="default" w:ascii="仿宋" w:hAnsi="仿宋" w:eastAsia="仿宋"/>
          <w:b/>
          <w:color w:val="auto"/>
          <w:position w:val="0"/>
          <w:sz w:val="24"/>
          <w:szCs w:val="24"/>
        </w:rPr>
        <w:t>3.采购内容：</w:t>
      </w:r>
      <w:r>
        <w:rPr>
          <w:rFonts w:hint="default" w:ascii="仿宋" w:hAnsi="仿宋" w:eastAsia="仿宋"/>
          <w:color w:val="auto"/>
          <w:position w:val="0"/>
          <w:sz w:val="24"/>
          <w:szCs w:val="24"/>
        </w:rPr>
        <w:t>伊州区高标准农田建设规模10万亩，其中高效节水面积5万亩、基本建设面积5万亩；主要包括编制实施方案、初步设计、技施设计及本工程勘察设计所涵盖的配套服务、设计成品通过有关部门的审查，及时解决施工中出现的需要设计处理的问题（派出驻现场设计代表）等。</w:t>
      </w:r>
    </w:p>
    <w:p>
      <w:pPr>
        <w:numPr>
          <w:ilvl w:val="0"/>
          <w:numId w:val="0"/>
        </w:numPr>
        <w:autoSpaceDE/>
        <w:autoSpaceDN/>
        <w:spacing w:before="0" w:after="160" w:line="360" w:lineRule="auto"/>
        <w:ind w:right="0" w:firstLine="482"/>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4.公告发布媒体：</w:t>
      </w:r>
      <w:r>
        <w:rPr>
          <w:rFonts w:hint="default" w:ascii="仿宋" w:hAnsi="仿宋" w:eastAsia="仿宋"/>
          <w:color w:val="auto"/>
          <w:position w:val="0"/>
          <w:sz w:val="24"/>
          <w:szCs w:val="24"/>
        </w:rPr>
        <w:t>新疆政府采购网</w:t>
      </w:r>
    </w:p>
    <w:p>
      <w:pPr>
        <w:numPr>
          <w:ilvl w:val="0"/>
          <w:numId w:val="0"/>
        </w:numPr>
        <w:autoSpaceDE/>
        <w:autoSpaceDN/>
        <w:spacing w:before="0" w:after="160" w:line="360" w:lineRule="auto"/>
        <w:ind w:right="0" w:firstLine="0"/>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四、投标供应商资格要求:</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 xml:space="preserve">1.满足《中华人民共和国政府采购法》第二十二条要求：                                                                       </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（1）具有独立承担民事责任的能力；</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（2）具有健全的财务会计制度；</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（3）具有履行合同所必需的设备和专业技术能力；</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（4）有依法缴纳税收和社会保障资金的良好记录；</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（5）参加政府采购活动前三年内，在经营活动中没有重大违法记录；</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（6）法律、行政法规规定的其他条件。</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2.在“信用中国”网站（www.creditchina.gov.cn）被列入失信被执行人、重大税收违法案件当事人名单(搜索栏输入单位全称-点击总公司-截图)、中国政府采购网（http://www.ccgp.gov.cn/search/cr/）严重违法失信行为记录名单的（尚在处罚期内的），将拒绝其参加本次招标活动；</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3.具有良好的商业信誉和健全的财务会计制度，提供近一年(2018年)的第三方财务审计报告；</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4.有依法缴纳税收和社会保障资金的良好纪录，提供近半年(2019年6月-12月)单位缴纳税收证明；</w:t>
      </w:r>
    </w:p>
    <w:p>
      <w:pPr>
        <w:numPr>
          <w:ilvl w:val="0"/>
          <w:numId w:val="0"/>
        </w:numPr>
        <w:autoSpaceDE/>
        <w:autoSpaceDN/>
        <w:spacing w:before="0" w:after="160" w:line="360" w:lineRule="auto"/>
        <w:ind w:right="0" w:firstLine="480"/>
        <w:jc w:val="both"/>
        <w:rPr>
          <w:rFonts w:hint="default" w:ascii="仿宋" w:hAnsi="仿宋" w:eastAsia="仿宋"/>
          <w:color w:val="FF0000"/>
          <w:position w:val="0"/>
          <w:sz w:val="24"/>
          <w:szCs w:val="24"/>
        </w:rPr>
      </w:pPr>
      <w:r>
        <w:rPr>
          <w:rFonts w:hint="default" w:ascii="仿宋" w:hAnsi="仿宋" w:eastAsia="仿宋"/>
          <w:color w:val="auto"/>
          <w:position w:val="0"/>
          <w:sz w:val="24"/>
          <w:szCs w:val="24"/>
        </w:rPr>
        <w:t>5.</w:t>
      </w:r>
      <w:r>
        <w:rPr>
          <w:rFonts w:hint="default" w:ascii="仿宋" w:hAnsi="仿宋" w:eastAsia="仿宋"/>
          <w:color w:val="000000" w:themeColor="text1"/>
          <w:position w:val="0"/>
          <w:sz w:val="24"/>
          <w:szCs w:val="24"/>
        </w:rPr>
        <w:t>投标人须具备农林行业（农业工程）乙级（含乙级）以上工程设计资质，和工程勘察专业类丙级（含丙级）以上工程勘察资质，具备</w:t>
      </w:r>
      <w:r>
        <w:rPr>
          <w:rFonts w:hint="default" w:ascii="仿宋" w:hAnsi="仿宋" w:eastAsia="仿宋"/>
          <w:color w:val="auto"/>
          <w:position w:val="0"/>
          <w:sz w:val="24"/>
          <w:szCs w:val="24"/>
        </w:rPr>
        <w:t>本项目编制实施方案及勘察、设计业务所需的技术人员与仪器（软件）设备，有完善的质量保证体系和成果管理制度，技术、经营、人事、财务、档案等管理制度健全。承担过类似项目的编制实施方案及工程勘察、设计，熟悉国家或水利行业本工程涉及专业及相关专业方面的有关技术规范、标准，并在人员、设备、资金等方面具有承担本项目编制实施方案及勘察、设计的能力。并有近三年有类似建设项目业绩；</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6.项目负责人须具备水利工程高级职称执业资格证书（须在本单位注册）；</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7.自治区外企业应具有有效的外省队伍进疆单位备案手续或应按新疆维吾尔自治区住建厅2018年4月24日发布的《关于进一步推动自治区建筑市场统一开放的通知》的规定，登录新疆建筑市场监管和诚信信息一体化平台（简称新疆工程建设云，网址：网址：（</w:t>
      </w:r>
      <w:r>
        <w:fldChar w:fldCharType="begin"/>
      </w:r>
      <w:r>
        <w:instrText xml:space="preserve"> HYPERLINK "http://jsy.xjjs.gov.xn--cn),;-zk1hk1bgq76dba608bvpkjta879a525aea627gfiv02ymt9m/" \h </w:instrText>
      </w:r>
      <w:r>
        <w:fldChar w:fldCharType="separate"/>
      </w:r>
      <w:r>
        <w:rPr>
          <w:rFonts w:hint="default" w:ascii="仿宋" w:hAnsi="仿宋" w:eastAsia="仿宋"/>
          <w:color w:val="auto"/>
          <w:position w:val="0"/>
          <w:sz w:val="24"/>
          <w:szCs w:val="24"/>
        </w:rPr>
        <w:t>http://jsy.xjjs.gov.cn），注册报送企业基本信息和人员信息；</w:t>
      </w:r>
      <w:r>
        <w:rPr>
          <w:rFonts w:hint="default" w:ascii="仿宋" w:hAnsi="仿宋" w:eastAsia="仿宋"/>
          <w:color w:val="auto"/>
          <w:position w:val="0"/>
          <w:sz w:val="24"/>
          <w:szCs w:val="24"/>
        </w:rPr>
        <w:fldChar w:fldCharType="end"/>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8.与招标人存在利害关系可能影响招标公正性的法人、其他组织或者个人，不得参加投标；</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9.单位负责人为同一人或者存在控股、管理关系的不同单位，不得参加同一标段投标或者未划分标段的同一招标项目投标；</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10.本项目不接受联合体投标。</w:t>
      </w:r>
    </w:p>
    <w:p>
      <w:pPr>
        <w:numPr>
          <w:ilvl w:val="0"/>
          <w:numId w:val="0"/>
        </w:numPr>
        <w:autoSpaceDE/>
        <w:autoSpaceDN/>
        <w:spacing w:before="0" w:after="160" w:line="360" w:lineRule="auto"/>
        <w:ind w:right="0" w:firstLine="0"/>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五、招标文件获取时间、地址、售价:</w:t>
      </w:r>
    </w:p>
    <w:p>
      <w:pPr>
        <w:numPr>
          <w:ilvl w:val="0"/>
          <w:numId w:val="0"/>
        </w:numPr>
        <w:autoSpaceDE/>
        <w:autoSpaceDN/>
        <w:spacing w:before="0" w:after="160" w:line="360" w:lineRule="auto"/>
        <w:ind w:right="0" w:firstLine="482"/>
        <w:jc w:val="both"/>
        <w:rPr>
          <w:rFonts w:hint="default" w:ascii="仿宋" w:hAnsi="仿宋" w:eastAsia="仿宋"/>
          <w:color w:val="auto"/>
          <w:position w:val="0"/>
          <w:sz w:val="24"/>
          <w:szCs w:val="24"/>
        </w:rPr>
      </w:pPr>
      <w:r>
        <w:rPr>
          <w:rFonts w:hint="default" w:ascii="仿宋" w:hAnsi="仿宋" w:eastAsia="仿宋"/>
          <w:b/>
          <w:color w:val="auto"/>
          <w:position w:val="0"/>
          <w:sz w:val="24"/>
          <w:szCs w:val="24"/>
        </w:rPr>
        <w:t>1.招标文件获取时</w:t>
      </w:r>
      <w:r>
        <w:rPr>
          <w:rFonts w:hint="default" w:ascii="仿宋" w:hAnsi="仿宋" w:eastAsia="仿宋"/>
          <w:b/>
          <w:color w:val="000000"/>
          <w:position w:val="0"/>
          <w:sz w:val="24"/>
          <w:szCs w:val="24"/>
        </w:rPr>
        <w:t>间：</w:t>
      </w:r>
      <w:r>
        <w:rPr>
          <w:rFonts w:hint="default" w:ascii="仿宋" w:hAnsi="仿宋" w:eastAsia="仿宋"/>
          <w:color w:val="000000"/>
          <w:position w:val="0"/>
          <w:sz w:val="24"/>
          <w:szCs w:val="24"/>
        </w:rPr>
        <w:t>2020年3月</w:t>
      </w:r>
      <w:r>
        <w:rPr>
          <w:rFonts w:hint="eastAsia" w:ascii="仿宋" w:hAnsi="仿宋" w:eastAsia="仿宋"/>
          <w:color w:val="000000"/>
          <w:position w:val="0"/>
          <w:sz w:val="24"/>
          <w:szCs w:val="24"/>
          <w:lang w:val="en-US" w:eastAsia="zh-CN"/>
        </w:rPr>
        <w:t>10</w:t>
      </w:r>
      <w:r>
        <w:rPr>
          <w:rFonts w:hint="default" w:ascii="仿宋" w:hAnsi="仿宋" w:eastAsia="仿宋"/>
          <w:color w:val="000000"/>
          <w:position w:val="0"/>
          <w:sz w:val="24"/>
          <w:szCs w:val="24"/>
        </w:rPr>
        <w:t>日至2020年3月1</w:t>
      </w:r>
      <w:r>
        <w:rPr>
          <w:rFonts w:hint="eastAsia" w:ascii="仿宋" w:hAnsi="仿宋" w:eastAsia="仿宋"/>
          <w:color w:val="000000"/>
          <w:position w:val="0"/>
          <w:sz w:val="24"/>
          <w:szCs w:val="24"/>
          <w:lang w:val="en-US" w:eastAsia="zh-CN"/>
        </w:rPr>
        <w:t>6</w:t>
      </w:r>
      <w:r>
        <w:rPr>
          <w:rFonts w:hint="default" w:ascii="仿宋" w:hAnsi="仿宋" w:eastAsia="仿宋"/>
          <w:color w:val="000000"/>
          <w:position w:val="0"/>
          <w:sz w:val="24"/>
          <w:szCs w:val="24"/>
        </w:rPr>
        <w:t>日（节假日除外</w:t>
      </w:r>
      <w:r>
        <w:rPr>
          <w:rFonts w:hint="default" w:ascii="仿宋" w:hAnsi="仿宋" w:eastAsia="仿宋"/>
          <w:color w:val="auto"/>
          <w:position w:val="0"/>
          <w:sz w:val="24"/>
          <w:szCs w:val="24"/>
        </w:rPr>
        <w:t>），上午：09:30-13:30（北京时间），下午：15:30-19:00（北京时间）。</w:t>
      </w:r>
    </w:p>
    <w:p>
      <w:pPr>
        <w:numPr>
          <w:ilvl w:val="0"/>
          <w:numId w:val="0"/>
        </w:numPr>
        <w:autoSpaceDE/>
        <w:autoSpaceDN/>
        <w:spacing w:before="0" w:after="160" w:line="360" w:lineRule="auto"/>
        <w:ind w:right="0" w:firstLine="482"/>
        <w:jc w:val="both"/>
        <w:rPr>
          <w:rFonts w:hint="default" w:ascii="仿宋" w:hAnsi="仿宋" w:eastAsia="仿宋"/>
          <w:color w:val="auto"/>
          <w:position w:val="0"/>
          <w:sz w:val="24"/>
          <w:szCs w:val="24"/>
        </w:rPr>
      </w:pPr>
      <w:r>
        <w:rPr>
          <w:rFonts w:hint="default" w:ascii="仿宋" w:hAnsi="仿宋" w:eastAsia="仿宋"/>
          <w:b/>
          <w:color w:val="auto"/>
          <w:position w:val="0"/>
          <w:sz w:val="24"/>
          <w:szCs w:val="24"/>
        </w:rPr>
        <w:t>2.获取地址</w:t>
      </w:r>
      <w:r>
        <w:rPr>
          <w:rFonts w:hint="default" w:ascii="仿宋" w:hAnsi="仿宋" w:eastAsia="仿宋"/>
          <w:color w:val="auto"/>
          <w:position w:val="0"/>
          <w:sz w:val="24"/>
          <w:szCs w:val="24"/>
        </w:rPr>
        <w:t>：新疆哈密市建国北路19号哈密传输局五楼会议室</w:t>
      </w:r>
    </w:p>
    <w:p>
      <w:pPr>
        <w:numPr>
          <w:ilvl w:val="0"/>
          <w:numId w:val="0"/>
        </w:numPr>
        <w:autoSpaceDE/>
        <w:autoSpaceDN/>
        <w:spacing w:before="0" w:after="160" w:line="360" w:lineRule="auto"/>
        <w:ind w:right="0" w:firstLine="482"/>
        <w:jc w:val="both"/>
        <w:rPr>
          <w:rFonts w:hint="default" w:ascii="仿宋" w:hAnsi="仿宋" w:eastAsia="仿宋"/>
          <w:color w:val="auto"/>
          <w:position w:val="0"/>
          <w:sz w:val="24"/>
          <w:szCs w:val="24"/>
        </w:rPr>
      </w:pPr>
      <w:r>
        <w:rPr>
          <w:rFonts w:hint="default" w:ascii="仿宋" w:hAnsi="仿宋" w:eastAsia="仿宋"/>
          <w:b/>
          <w:color w:val="auto"/>
          <w:position w:val="0"/>
          <w:sz w:val="24"/>
          <w:szCs w:val="24"/>
        </w:rPr>
        <w:t>3.投标人购买标书时应提交的资料：</w:t>
      </w:r>
      <w:r>
        <w:rPr>
          <w:rFonts w:hint="default" w:ascii="仿宋" w:hAnsi="仿宋" w:eastAsia="仿宋"/>
          <w:color w:val="auto"/>
          <w:position w:val="0"/>
          <w:sz w:val="24"/>
          <w:szCs w:val="24"/>
        </w:rPr>
        <w:t>根据目前疫情防控工作要求，凡符合上述资格要求且有意参加投标的供应商，请于2020年3月</w:t>
      </w:r>
      <w:r>
        <w:rPr>
          <w:rFonts w:hint="eastAsia" w:ascii="仿宋" w:hAnsi="仿宋" w:eastAsia="仿宋"/>
          <w:color w:val="auto"/>
          <w:position w:val="0"/>
          <w:sz w:val="24"/>
          <w:szCs w:val="24"/>
          <w:lang w:val="en-US" w:eastAsia="zh-CN"/>
        </w:rPr>
        <w:t>10</w:t>
      </w:r>
      <w:r>
        <w:rPr>
          <w:rFonts w:hint="default" w:ascii="仿宋" w:hAnsi="仿宋" w:eastAsia="仿宋"/>
          <w:color w:val="auto"/>
          <w:position w:val="0"/>
          <w:sz w:val="24"/>
          <w:szCs w:val="24"/>
        </w:rPr>
        <w:t>日-3月1</w:t>
      </w:r>
      <w:r>
        <w:rPr>
          <w:rFonts w:hint="eastAsia" w:ascii="仿宋" w:hAnsi="仿宋" w:eastAsia="仿宋"/>
          <w:color w:val="auto"/>
          <w:position w:val="0"/>
          <w:sz w:val="24"/>
          <w:szCs w:val="24"/>
          <w:lang w:val="en-US" w:eastAsia="zh-CN"/>
        </w:rPr>
        <w:t>6</w:t>
      </w:r>
      <w:r>
        <w:rPr>
          <w:rFonts w:hint="default" w:ascii="仿宋" w:hAnsi="仿宋" w:eastAsia="仿宋"/>
          <w:color w:val="auto"/>
          <w:position w:val="0"/>
          <w:sz w:val="24"/>
          <w:szCs w:val="24"/>
        </w:rPr>
        <w:t>日19:00时前将：</w:t>
      </w:r>
      <w:r>
        <w:rPr>
          <w:rFonts w:hint="default" w:ascii="仿宋" w:hAnsi="仿宋" w:eastAsia="仿宋"/>
          <w:color w:val="000000"/>
          <w:position w:val="0"/>
          <w:sz w:val="24"/>
          <w:szCs w:val="24"/>
        </w:rPr>
        <w:t>授权委托书、企业法人营业执照、资质证书</w:t>
      </w:r>
      <w:r>
        <w:rPr>
          <w:rFonts w:hint="default" w:ascii="仿宋" w:hAnsi="仿宋" w:eastAsia="仿宋"/>
          <w:color w:val="auto"/>
          <w:position w:val="0"/>
          <w:sz w:val="24"/>
          <w:szCs w:val="24"/>
        </w:rPr>
        <w:t>、项目负责人水利工程高级职称证书、2018年的第三方财务审计报告、近半年单位缴纳税收证明、近三年类似建设项目业绩、疆外企业有效的进疆备案册或信息报送册等资料外，还须提供在“信用中国”（www.creditchina.gov.cn）和中国政府采购网（</w:t>
      </w:r>
      <w:r>
        <w:fldChar w:fldCharType="begin"/>
      </w:r>
      <w:r>
        <w:instrText xml:space="preserve"> HYPERLINK "http://www.ccgp.gov.cn/" \h </w:instrText>
      </w:r>
      <w:r>
        <w:fldChar w:fldCharType="separate"/>
      </w:r>
      <w:r>
        <w:rPr>
          <w:rFonts w:hint="default" w:ascii="仿宋" w:hAnsi="仿宋" w:eastAsia="仿宋"/>
          <w:color w:val="auto"/>
          <w:position w:val="0"/>
          <w:sz w:val="24"/>
          <w:szCs w:val="24"/>
        </w:rPr>
        <w:t>www.ccgp.gov.cn</w:t>
      </w:r>
      <w:r>
        <w:rPr>
          <w:rFonts w:hint="default" w:ascii="仿宋" w:hAnsi="仿宋" w:eastAsia="仿宋"/>
          <w:color w:val="auto"/>
          <w:position w:val="0"/>
          <w:sz w:val="24"/>
          <w:szCs w:val="24"/>
        </w:rPr>
        <w:fldChar w:fldCharType="end"/>
      </w:r>
      <w:r>
        <w:rPr>
          <w:rFonts w:hint="default" w:ascii="仿宋" w:hAnsi="仿宋" w:eastAsia="仿宋"/>
          <w:color w:val="auto"/>
          <w:position w:val="0"/>
          <w:sz w:val="24"/>
          <w:szCs w:val="24"/>
        </w:rPr>
        <w:t>）网站上未被列入失信被执行人、重大税收违法案件当事人名单以及政府采购严重违法失信行为记录名单的加盖公章的网页打印件（网页打印件须自招标文件发布之日起至首次提交投标文件截止时间内从上述网站中打印）。以上资料加盖公章的PDF格式的电子版（要求内容字迹清楚）以电子邮件的形式发到招标代理公司指定邮箱（385091572@qq.com）并购买招标文件，资料不合格者不予受理。招标文件每份200元，售后不退。  </w:t>
      </w:r>
    </w:p>
    <w:p>
      <w:pPr>
        <w:numPr>
          <w:ilvl w:val="0"/>
          <w:numId w:val="0"/>
        </w:numPr>
        <w:autoSpaceDE/>
        <w:autoSpaceDN/>
        <w:spacing w:before="0" w:after="160" w:line="360" w:lineRule="auto"/>
        <w:ind w:right="0" w:firstLine="0"/>
        <w:jc w:val="both"/>
        <w:rPr>
          <w:rFonts w:hint="default" w:ascii="仿宋" w:hAnsi="仿宋" w:eastAsia="仿宋"/>
          <w:color w:val="auto"/>
          <w:position w:val="0"/>
          <w:sz w:val="24"/>
          <w:szCs w:val="24"/>
        </w:rPr>
      </w:pPr>
      <w:r>
        <w:rPr>
          <w:rFonts w:hint="default" w:ascii="仿宋" w:hAnsi="仿宋" w:eastAsia="仿宋"/>
          <w:b/>
          <w:color w:val="auto"/>
          <w:position w:val="0"/>
          <w:sz w:val="24"/>
          <w:szCs w:val="24"/>
        </w:rPr>
        <w:t>六、投</w:t>
      </w:r>
      <w:r>
        <w:rPr>
          <w:rFonts w:hint="default" w:ascii="仿宋" w:hAnsi="仿宋" w:eastAsia="仿宋"/>
          <w:b/>
          <w:color w:val="000000"/>
          <w:position w:val="0"/>
          <w:sz w:val="24"/>
          <w:szCs w:val="24"/>
        </w:rPr>
        <w:t>标截止时间：</w:t>
      </w:r>
      <w:bookmarkStart w:id="0" w:name="_Hlk3981393"/>
      <w:r>
        <w:rPr>
          <w:rFonts w:hint="default" w:ascii="仿宋" w:hAnsi="仿宋" w:eastAsia="仿宋"/>
          <w:color w:val="000000"/>
          <w:position w:val="0"/>
          <w:sz w:val="24"/>
          <w:szCs w:val="24"/>
        </w:rPr>
        <w:t>2020年3月</w:t>
      </w:r>
      <w:r>
        <w:rPr>
          <w:rFonts w:hint="eastAsia" w:ascii="仿宋" w:hAnsi="仿宋" w:eastAsia="仿宋"/>
          <w:color w:val="000000"/>
          <w:position w:val="0"/>
          <w:sz w:val="24"/>
          <w:szCs w:val="24"/>
          <w:lang w:val="en-US" w:eastAsia="zh-CN"/>
        </w:rPr>
        <w:t>30</w:t>
      </w:r>
      <w:r>
        <w:rPr>
          <w:rFonts w:hint="default" w:ascii="仿宋" w:hAnsi="仿宋" w:eastAsia="仿宋"/>
          <w:color w:val="000000"/>
          <w:position w:val="0"/>
          <w:sz w:val="24"/>
          <w:szCs w:val="24"/>
        </w:rPr>
        <w:t>日10:00（北京时间）</w:t>
      </w:r>
      <w:bookmarkEnd w:id="0"/>
      <w:r>
        <w:rPr>
          <w:rFonts w:hint="default" w:ascii="仿宋" w:hAnsi="仿宋" w:eastAsia="仿宋"/>
          <w:color w:val="000000"/>
          <w:position w:val="0"/>
          <w:sz w:val="24"/>
          <w:szCs w:val="24"/>
        </w:rPr>
        <w:t>具体</w:t>
      </w:r>
      <w:r>
        <w:rPr>
          <w:rFonts w:hint="default" w:ascii="仿宋" w:hAnsi="仿宋" w:eastAsia="仿宋"/>
          <w:color w:val="auto"/>
          <w:position w:val="0"/>
          <w:sz w:val="24"/>
          <w:szCs w:val="24"/>
        </w:rPr>
        <w:t>时间以招标文件规定时间为准。</w:t>
      </w:r>
    </w:p>
    <w:p>
      <w:pPr>
        <w:numPr>
          <w:ilvl w:val="0"/>
          <w:numId w:val="0"/>
        </w:numPr>
        <w:autoSpaceDE/>
        <w:autoSpaceDN/>
        <w:spacing w:before="0" w:after="160" w:line="360" w:lineRule="auto"/>
        <w:ind w:right="0" w:firstLine="0"/>
        <w:jc w:val="both"/>
        <w:rPr>
          <w:rFonts w:hint="default" w:ascii="仿宋" w:hAnsi="仿宋" w:eastAsia="仿宋"/>
          <w:color w:val="auto"/>
          <w:position w:val="0"/>
          <w:sz w:val="24"/>
          <w:szCs w:val="24"/>
        </w:rPr>
      </w:pPr>
      <w:r>
        <w:rPr>
          <w:rFonts w:hint="default" w:ascii="仿宋" w:hAnsi="仿宋" w:eastAsia="仿宋"/>
          <w:b/>
          <w:color w:val="auto"/>
          <w:position w:val="0"/>
          <w:sz w:val="24"/>
          <w:szCs w:val="24"/>
        </w:rPr>
        <w:t>七、投标文件递交地址：</w:t>
      </w:r>
      <w:r>
        <w:rPr>
          <w:rFonts w:hint="default" w:ascii="仿宋" w:hAnsi="仿宋" w:eastAsia="仿宋"/>
          <w:color w:val="auto"/>
          <w:position w:val="0"/>
          <w:sz w:val="24"/>
          <w:szCs w:val="24"/>
        </w:rPr>
        <w:t>新疆哈密市建国北路19号哈密传输局五楼会议室</w:t>
      </w:r>
    </w:p>
    <w:p>
      <w:pPr>
        <w:numPr>
          <w:ilvl w:val="0"/>
          <w:numId w:val="0"/>
        </w:numPr>
        <w:autoSpaceDE/>
        <w:autoSpaceDN/>
        <w:spacing w:before="0" w:after="160" w:line="360" w:lineRule="auto"/>
        <w:ind w:right="0" w:firstLine="0"/>
        <w:jc w:val="both"/>
        <w:rPr>
          <w:rFonts w:hint="default" w:ascii="仿宋" w:hAnsi="仿宋" w:eastAsia="仿宋"/>
          <w:color w:val="auto"/>
          <w:position w:val="0"/>
          <w:sz w:val="24"/>
          <w:szCs w:val="24"/>
        </w:rPr>
      </w:pPr>
      <w:r>
        <w:rPr>
          <w:rFonts w:hint="default" w:ascii="仿宋" w:hAnsi="仿宋" w:eastAsia="仿宋"/>
          <w:b/>
          <w:color w:val="auto"/>
          <w:position w:val="0"/>
          <w:sz w:val="24"/>
          <w:szCs w:val="24"/>
        </w:rPr>
        <w:t>八、开标时间：</w:t>
      </w:r>
      <w:r>
        <w:rPr>
          <w:rFonts w:hint="default" w:ascii="仿宋" w:hAnsi="仿宋" w:eastAsia="仿宋"/>
          <w:color w:val="auto"/>
          <w:position w:val="0"/>
          <w:sz w:val="24"/>
          <w:szCs w:val="24"/>
        </w:rPr>
        <w:t>2020年3月</w:t>
      </w:r>
      <w:r>
        <w:rPr>
          <w:rFonts w:hint="eastAsia" w:ascii="仿宋" w:hAnsi="仿宋" w:eastAsia="仿宋"/>
          <w:color w:val="auto"/>
          <w:position w:val="0"/>
          <w:sz w:val="24"/>
          <w:szCs w:val="24"/>
          <w:lang w:val="en-US" w:eastAsia="zh-CN"/>
        </w:rPr>
        <w:t>30</w:t>
      </w:r>
      <w:bookmarkStart w:id="1" w:name="_GoBack"/>
      <w:bookmarkEnd w:id="1"/>
      <w:r>
        <w:rPr>
          <w:rFonts w:hint="default" w:ascii="仿宋" w:hAnsi="仿宋" w:eastAsia="仿宋"/>
          <w:color w:val="auto"/>
          <w:position w:val="0"/>
          <w:sz w:val="24"/>
          <w:szCs w:val="24"/>
        </w:rPr>
        <w:t>日10:00（北京时间）具体时间以招标文件规定时间为准。</w:t>
      </w:r>
    </w:p>
    <w:p>
      <w:pPr>
        <w:numPr>
          <w:ilvl w:val="0"/>
          <w:numId w:val="0"/>
        </w:numPr>
        <w:autoSpaceDE/>
        <w:autoSpaceDN/>
        <w:spacing w:before="0" w:after="160" w:line="360" w:lineRule="auto"/>
        <w:ind w:right="0" w:firstLine="0"/>
        <w:jc w:val="both"/>
        <w:rPr>
          <w:rFonts w:hint="default" w:ascii="仿宋" w:hAnsi="仿宋" w:eastAsia="仿宋"/>
          <w:color w:val="auto"/>
          <w:position w:val="0"/>
          <w:sz w:val="24"/>
          <w:szCs w:val="24"/>
        </w:rPr>
      </w:pPr>
      <w:r>
        <w:rPr>
          <w:rFonts w:hint="default" w:ascii="仿宋" w:hAnsi="仿宋" w:eastAsia="仿宋"/>
          <w:b/>
          <w:color w:val="auto"/>
          <w:position w:val="0"/>
          <w:sz w:val="24"/>
          <w:szCs w:val="24"/>
        </w:rPr>
        <w:t>九、开标地址：</w:t>
      </w:r>
      <w:r>
        <w:rPr>
          <w:rFonts w:hint="default" w:ascii="仿宋" w:hAnsi="仿宋" w:eastAsia="仿宋"/>
          <w:color w:val="auto"/>
          <w:position w:val="0"/>
          <w:sz w:val="24"/>
          <w:szCs w:val="24"/>
        </w:rPr>
        <w:t>新疆哈密市建国北路19号哈密传输局五楼会议室</w:t>
      </w:r>
    </w:p>
    <w:p>
      <w:pPr>
        <w:numPr>
          <w:ilvl w:val="0"/>
          <w:numId w:val="0"/>
        </w:numPr>
        <w:autoSpaceDE/>
        <w:autoSpaceDN/>
        <w:spacing w:before="75" w:after="75" w:line="240" w:lineRule="auto"/>
        <w:ind w:right="0" w:firstLine="0"/>
        <w:jc w:val="left"/>
        <w:rPr>
          <w:rFonts w:hint="default" w:ascii="仿宋" w:hAnsi="仿宋" w:eastAsia="仿宋"/>
          <w:b/>
          <w:color w:val="auto"/>
          <w:position w:val="0"/>
          <w:sz w:val="24"/>
          <w:szCs w:val="24"/>
        </w:rPr>
      </w:pPr>
      <w:r>
        <w:rPr>
          <w:rFonts w:hint="default" w:ascii="仿宋" w:hAnsi="仿宋" w:eastAsia="仿宋"/>
          <w:b/>
          <w:color w:val="auto"/>
          <w:position w:val="0"/>
          <w:sz w:val="24"/>
          <w:szCs w:val="24"/>
        </w:rPr>
        <w:t>十、其他事项：</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2.采购项目需要落实的政府采购政策</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（1）《政府采购促进中小企业发展暂行办法》（财库〔2011〕181号）；</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（2）《财政部、司法部关于政府采购支持监狱企业发展有关问题的通知》（财库〔2014〕68号）；</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（3）《国务院办公厅关于建立政府强制采购节能产品制度的通知》（国办发〔2007〕51号）；</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（4）《财政部 民政部 中国残疾人联合会关于促进残疾人就业政府采购政策的通知》财库〔2017〕141号。</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3.其他事项</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numPr>
          <w:ilvl w:val="0"/>
          <w:numId w:val="0"/>
        </w:numPr>
        <w:autoSpaceDE/>
        <w:autoSpaceDN/>
        <w:spacing w:before="0" w:after="160" w:line="360" w:lineRule="auto"/>
        <w:ind w:right="0" w:firstLine="0"/>
        <w:jc w:val="both"/>
        <w:rPr>
          <w:rFonts w:hint="default" w:ascii="仿宋" w:hAnsi="仿宋" w:eastAsia="仿宋"/>
          <w:b/>
          <w:color w:val="auto"/>
          <w:position w:val="0"/>
          <w:sz w:val="24"/>
          <w:szCs w:val="24"/>
        </w:rPr>
      </w:pPr>
      <w:r>
        <w:rPr>
          <w:rFonts w:hint="default" w:ascii="仿宋" w:hAnsi="仿宋" w:eastAsia="仿宋"/>
          <w:b/>
          <w:color w:val="auto"/>
          <w:position w:val="0"/>
          <w:sz w:val="24"/>
          <w:szCs w:val="24"/>
        </w:rPr>
        <w:t>十一、联系方式</w:t>
      </w:r>
    </w:p>
    <w:p>
      <w:pPr>
        <w:pageBreakBefore w:val="0"/>
        <w:numPr>
          <w:ilvl w:val="0"/>
          <w:numId w:val="0"/>
        </w:numPr>
        <w:autoSpaceDE/>
        <w:autoSpaceDN/>
        <w:bidi w:val="0"/>
        <w:snapToGrid/>
        <w:spacing w:before="120" w:after="160" w:line="260" w:lineRule="exact"/>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采购人名称：哈密市伊州区农业农村局</w:t>
      </w:r>
    </w:p>
    <w:p>
      <w:pPr>
        <w:pageBreakBefore w:val="0"/>
        <w:numPr>
          <w:ilvl w:val="0"/>
          <w:numId w:val="0"/>
        </w:numPr>
        <w:autoSpaceDE/>
        <w:autoSpaceDN/>
        <w:bidi w:val="0"/>
        <w:snapToGrid/>
        <w:spacing w:before="120" w:after="160" w:line="260" w:lineRule="exact"/>
        <w:ind w:right="0" w:firstLine="480"/>
        <w:jc w:val="both"/>
        <w:rPr>
          <w:rFonts w:hint="default" w:ascii="仿宋" w:hAnsi="仿宋" w:eastAsia="仿宋"/>
          <w:color w:val="000000" w:themeColor="text1"/>
          <w:position w:val="0"/>
          <w:sz w:val="24"/>
          <w:szCs w:val="24"/>
        </w:rPr>
      </w:pPr>
      <w:r>
        <w:rPr>
          <w:rFonts w:hint="default" w:ascii="仿宋" w:hAnsi="仿宋" w:eastAsia="仿宋"/>
          <w:color w:val="000000" w:themeColor="text1"/>
          <w:position w:val="0"/>
          <w:sz w:val="24"/>
          <w:szCs w:val="24"/>
        </w:rPr>
        <w:t>联系人：王飞</w:t>
      </w:r>
    </w:p>
    <w:p>
      <w:pPr>
        <w:pageBreakBefore w:val="0"/>
        <w:numPr>
          <w:ilvl w:val="0"/>
          <w:numId w:val="0"/>
        </w:numPr>
        <w:autoSpaceDE/>
        <w:autoSpaceDN/>
        <w:bidi w:val="0"/>
        <w:snapToGrid/>
        <w:spacing w:before="120" w:after="160" w:line="260" w:lineRule="exact"/>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联系电话：18609026293</w:t>
      </w:r>
    </w:p>
    <w:p>
      <w:pPr>
        <w:numPr>
          <w:ilvl w:val="0"/>
          <w:numId w:val="0"/>
        </w:numPr>
        <w:autoSpaceDE/>
        <w:autoSpaceDN/>
        <w:spacing w:before="120" w:after="160" w:line="440" w:lineRule="exact"/>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同级政府采购监督管理部门名称：伊州区财政局采购办</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联系人：阿也提古丽</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监督投诉电话：0902-2250109</w:t>
      </w:r>
    </w:p>
    <w:p>
      <w:pPr>
        <w:numPr>
          <w:ilvl w:val="0"/>
          <w:numId w:val="0"/>
        </w:numPr>
        <w:autoSpaceDE/>
        <w:autoSpaceDN/>
        <w:spacing w:before="0" w:after="160" w:line="440" w:lineRule="exact"/>
        <w:ind w:right="0" w:firstLine="480"/>
        <w:jc w:val="both"/>
        <w:rPr>
          <w:rFonts w:hint="default" w:ascii="仿宋" w:hAnsi="仿宋" w:eastAsia="仿宋"/>
          <w:color w:val="auto"/>
          <w:position w:val="0"/>
          <w:sz w:val="24"/>
          <w:szCs w:val="24"/>
        </w:rPr>
      </w:pPr>
    </w:p>
    <w:p>
      <w:pPr>
        <w:numPr>
          <w:ilvl w:val="0"/>
          <w:numId w:val="0"/>
        </w:numPr>
        <w:autoSpaceDE/>
        <w:autoSpaceDN/>
        <w:spacing w:before="0" w:after="160" w:line="440" w:lineRule="exact"/>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采购代理机构名称：新疆德鸿项目管理咨询有限公司</w:t>
      </w:r>
    </w:p>
    <w:p>
      <w:pPr>
        <w:numPr>
          <w:ilvl w:val="0"/>
          <w:numId w:val="0"/>
        </w:numPr>
        <w:autoSpaceDE/>
        <w:autoSpaceDN/>
        <w:spacing w:before="0" w:after="160" w:line="440" w:lineRule="exact"/>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联系人：李静</w:t>
      </w:r>
    </w:p>
    <w:p>
      <w:pPr>
        <w:numPr>
          <w:ilvl w:val="0"/>
          <w:numId w:val="0"/>
        </w:numPr>
        <w:autoSpaceDE/>
        <w:autoSpaceDN/>
        <w:spacing w:before="0" w:after="160" w:line="440" w:lineRule="exact"/>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联系电话：0902-2250600</w:t>
      </w:r>
    </w:p>
    <w:p>
      <w:pPr>
        <w:numPr>
          <w:ilvl w:val="0"/>
          <w:numId w:val="0"/>
        </w:numPr>
        <w:autoSpaceDE/>
        <w:autoSpaceDN/>
        <w:spacing w:before="0" w:after="160" w:line="440" w:lineRule="exact"/>
        <w:ind w:right="0" w:firstLine="48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地址：新疆哈密市建国北路19号哈密传输局五楼会议室</w:t>
      </w:r>
    </w:p>
    <w:p>
      <w:pPr>
        <w:numPr>
          <w:ilvl w:val="0"/>
          <w:numId w:val="0"/>
        </w:numPr>
        <w:autoSpaceDE/>
        <w:autoSpaceDN/>
        <w:spacing w:before="0" w:after="160" w:line="360" w:lineRule="auto"/>
        <w:ind w:right="0" w:firstLine="480"/>
        <w:jc w:val="both"/>
        <w:rPr>
          <w:rFonts w:hint="default" w:ascii="仿宋" w:hAnsi="仿宋" w:eastAsia="仿宋"/>
          <w:color w:val="auto"/>
          <w:position w:val="0"/>
          <w:sz w:val="24"/>
          <w:szCs w:val="24"/>
        </w:rPr>
      </w:pPr>
    </w:p>
    <w:sectPr>
      <w:pgSz w:w="11906" w:h="16838"/>
      <w:pgMar w:top="1440" w:right="1800" w:bottom="1440" w:left="1800"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Microsoft YaHei UI"/>
    <w:panose1 w:val="020F0502020204030204"/>
    <w:charset w:val="00"/>
    <w:family w:val="auto"/>
    <w:pitch w:val="default"/>
    <w:sig w:usb0="00000000" w:usb1="00000000" w:usb2="00000000" w:usb3="00000000" w:csb0="FFFFFF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suff w:val="nothing"/>
      <w:lvlText w:val="%1、"/>
      <w:lvlJc w:val="left"/>
      <w:rPr>
        <w:w w:val="100"/>
        <w:sz w:val="20"/>
        <w:szCs w:val="20"/>
        <w:shd w:val="clear"/>
      </w:rPr>
    </w:lvl>
    <w:lvl w:ilvl="1" w:tentative="0">
      <w:start w:val="1"/>
      <w:numFmt w:val="decimal"/>
      <w:suff w:val="nothing"/>
      <w:lvlText w:val="%1、"/>
      <w:lvlJc w:val="left"/>
      <w:rPr>
        <w:w w:val="100"/>
        <w:sz w:val="20"/>
        <w:szCs w:val="20"/>
        <w:shd w:val="clear"/>
      </w:rPr>
    </w:lvl>
    <w:lvl w:ilvl="2" w:tentative="0">
      <w:start w:val="1"/>
      <w:numFmt w:val="decimal"/>
      <w:suff w:val="nothing"/>
      <w:lvlText w:val="%1、"/>
      <w:lvlJc w:val="left"/>
      <w:rPr>
        <w:w w:val="100"/>
        <w:sz w:val="20"/>
        <w:szCs w:val="20"/>
        <w:shd w:val="clear"/>
      </w:rPr>
    </w:lvl>
    <w:lvl w:ilvl="3" w:tentative="0">
      <w:start w:val="1"/>
      <w:numFmt w:val="decimal"/>
      <w:suff w:val="nothing"/>
      <w:lvlText w:val="%1、"/>
      <w:lvlJc w:val="left"/>
      <w:rPr>
        <w:w w:val="100"/>
        <w:sz w:val="20"/>
        <w:szCs w:val="20"/>
        <w:shd w:val="clear"/>
      </w:rPr>
    </w:lvl>
    <w:lvl w:ilvl="4" w:tentative="0">
      <w:start w:val="1"/>
      <w:numFmt w:val="decimal"/>
      <w:suff w:val="nothing"/>
      <w:lvlText w:val="%1、"/>
      <w:lvlJc w:val="left"/>
      <w:rPr>
        <w:w w:val="100"/>
        <w:sz w:val="20"/>
        <w:szCs w:val="20"/>
        <w:shd w:val="clear"/>
      </w:rPr>
    </w:lvl>
    <w:lvl w:ilvl="5" w:tentative="0">
      <w:start w:val="1"/>
      <w:numFmt w:val="decimal"/>
      <w:suff w:val="nothing"/>
      <w:lvlText w:val="%1、"/>
      <w:lvlJc w:val="left"/>
      <w:rPr>
        <w:w w:val="100"/>
        <w:sz w:val="20"/>
        <w:szCs w:val="20"/>
        <w:shd w:val="clear"/>
      </w:rPr>
    </w:lvl>
    <w:lvl w:ilvl="6" w:tentative="0">
      <w:start w:val="1"/>
      <w:numFmt w:val="decimal"/>
      <w:suff w:val="nothing"/>
      <w:lvlText w:val="%1、"/>
      <w:lvlJc w:val="left"/>
      <w:rPr>
        <w:w w:val="100"/>
        <w:sz w:val="20"/>
        <w:szCs w:val="20"/>
        <w:shd w:val="clear"/>
      </w:rPr>
    </w:lvl>
    <w:lvl w:ilvl="7" w:tentative="0">
      <w:start w:val="1"/>
      <w:numFmt w:val="decimal"/>
      <w:suff w:val="nothing"/>
      <w:lvlText w:val="%1、"/>
      <w:lvlJc w:val="left"/>
      <w:rPr>
        <w:w w:val="100"/>
        <w:sz w:val="20"/>
        <w:szCs w:val="20"/>
        <w:shd w:val="clear"/>
      </w:rPr>
    </w:lvl>
    <w:lvl w:ilvl="8" w:tentative="0">
      <w:start w:val="1"/>
      <w:numFmt w:val="decimal"/>
      <w:suff w:val="nothing"/>
      <w:lvlText w:val="%1、"/>
      <w:lvlJc w:val="left"/>
      <w:rPr>
        <w:w w:val="100"/>
        <w:sz w:val="20"/>
        <w:szCs w:val="20"/>
        <w:shd w:val="clea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displayHorizontalDrawingGridEvery w:val="0"/>
  <w:displayVerticalDrawingGridEvery w:val="2"/>
  <w:characterSpacingControl w:val="compressPunctuation"/>
  <w:noLineBreaksAfter w:lang="zh-CN" w:val="$([{£¥·‘“〈《「『【〔〖〝﹙﹛﹝＄（．［｛￡￥"/>
  <w:noLineBreaksBefore w:lang="zh-CN" w:val="$([{£¥·‘“〈《「『【〔〖〝﹙﹛﹝＄（．［｛￡￥"/>
  <w:compat>
    <w:balanceSingleByteDoubleByteWidth/>
    <w:doNotExpandShiftReturn/>
    <w:adjustLineHeightInTable/>
    <w:useFELayout/>
    <w:compatSetting w:name="compatibilityMode" w:uri="http://schemas.microsoft.com/office/word" w:val="12"/>
  </w:compat>
  <w:rsids>
    <w:rsidRoot w:val="00000000"/>
    <w:rsid w:val="36230036"/>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153"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ordWrap/>
      <w:autoSpaceDE/>
      <w:autoSpaceDN/>
      <w:jc w:val="both"/>
    </w:pPr>
    <w:rPr>
      <w:rFonts w:ascii="??" w:hAnsi="??" w:eastAsia="Times New Roman"/>
      <w:w w:val="100"/>
      <w:sz w:val="21"/>
      <w:szCs w:val="21"/>
      <w:shd w:val="clear"/>
    </w:rPr>
  </w:style>
  <w:style w:type="paragraph" w:styleId="2">
    <w:name w:val="heading 1"/>
    <w:next w:val="1"/>
    <w:qFormat/>
    <w:uiPriority w:val="7"/>
    <w:pPr>
      <w:jc w:val="both"/>
    </w:pPr>
    <w:rPr>
      <w:rFonts w:ascii="Times New Roman" w:hAnsi="Times New Roman" w:eastAsia="Times New Roman"/>
      <w:w w:val="100"/>
      <w:sz w:val="28"/>
      <w:szCs w:val="28"/>
      <w:shd w:val="clear"/>
    </w:rPr>
  </w:style>
  <w:style w:type="paragraph" w:styleId="3">
    <w:name w:val="heading 2"/>
    <w:next w:val="1"/>
    <w:qFormat/>
    <w:uiPriority w:val="8"/>
    <w:pPr>
      <w:jc w:val="both"/>
    </w:pPr>
    <w:rPr>
      <w:rFonts w:ascii="Times New Roman" w:hAnsi="Times New Roman" w:eastAsia="Times New Roman"/>
      <w:w w:val="100"/>
      <w:sz w:val="21"/>
      <w:szCs w:val="21"/>
      <w:shd w:val="clear"/>
    </w:rPr>
  </w:style>
  <w:style w:type="paragraph" w:styleId="4">
    <w:name w:val="heading 3"/>
    <w:next w:val="1"/>
    <w:qFormat/>
    <w:uiPriority w:val="9"/>
    <w:pPr>
      <w:ind w:left="1000" w:hanging="400"/>
      <w:jc w:val="both"/>
    </w:pPr>
    <w:rPr>
      <w:rFonts w:ascii="Times New Roman" w:hAnsi="Times New Roman" w:eastAsia="Times New Roman"/>
      <w:w w:val="100"/>
      <w:sz w:val="21"/>
      <w:szCs w:val="21"/>
      <w:shd w:val="clear"/>
    </w:rPr>
  </w:style>
  <w:style w:type="paragraph" w:styleId="5">
    <w:name w:val="heading 4"/>
    <w:next w:val="1"/>
    <w:qFormat/>
    <w:uiPriority w:val="10"/>
    <w:pPr>
      <w:ind w:left="1200" w:hanging="400"/>
      <w:jc w:val="both"/>
    </w:pPr>
    <w:rPr>
      <w:rFonts w:ascii="Times New Roman" w:hAnsi="Times New Roman" w:eastAsia="Times New Roman"/>
      <w:b/>
      <w:w w:val="100"/>
      <w:sz w:val="21"/>
      <w:szCs w:val="21"/>
      <w:shd w:val="clear"/>
    </w:rPr>
  </w:style>
  <w:style w:type="paragraph" w:styleId="6">
    <w:name w:val="heading 5"/>
    <w:next w:val="1"/>
    <w:qFormat/>
    <w:uiPriority w:val="11"/>
    <w:pPr>
      <w:ind w:left="1400" w:hanging="400"/>
      <w:jc w:val="both"/>
    </w:pPr>
    <w:rPr>
      <w:rFonts w:ascii="Times New Roman" w:hAnsi="Times New Roman" w:eastAsia="Times New Roman"/>
      <w:w w:val="100"/>
      <w:sz w:val="21"/>
      <w:szCs w:val="21"/>
      <w:shd w:val="clear"/>
    </w:rPr>
  </w:style>
  <w:style w:type="paragraph" w:styleId="7">
    <w:name w:val="heading 6"/>
    <w:next w:val="1"/>
    <w:qFormat/>
    <w:uiPriority w:val="12"/>
    <w:pPr>
      <w:ind w:left="1600" w:hanging="400"/>
      <w:jc w:val="both"/>
    </w:pPr>
    <w:rPr>
      <w:rFonts w:ascii="Times New Roman" w:hAnsi="Times New Roman" w:eastAsia="Times New Roman"/>
      <w:b/>
      <w:w w:val="100"/>
      <w:sz w:val="21"/>
      <w:szCs w:val="21"/>
      <w:shd w:val="clear"/>
    </w:rPr>
  </w:style>
  <w:style w:type="paragraph" w:styleId="8">
    <w:name w:val="heading 7"/>
    <w:next w:val="1"/>
    <w:qFormat/>
    <w:uiPriority w:val="13"/>
    <w:pPr>
      <w:ind w:left="1800" w:hanging="400"/>
      <w:jc w:val="both"/>
    </w:pPr>
    <w:rPr>
      <w:rFonts w:ascii="Times New Roman" w:hAnsi="Times New Roman" w:eastAsia="Times New Roman"/>
      <w:w w:val="100"/>
      <w:sz w:val="21"/>
      <w:szCs w:val="21"/>
      <w:shd w:val="clear"/>
    </w:rPr>
  </w:style>
  <w:style w:type="paragraph" w:styleId="9">
    <w:name w:val="heading 8"/>
    <w:next w:val="1"/>
    <w:qFormat/>
    <w:uiPriority w:val="14"/>
    <w:pPr>
      <w:ind w:left="2000" w:hanging="400"/>
      <w:jc w:val="both"/>
    </w:pPr>
    <w:rPr>
      <w:rFonts w:ascii="Times New Roman" w:hAnsi="Times New Roman" w:eastAsia="Times New Roman"/>
      <w:w w:val="100"/>
      <w:sz w:val="21"/>
      <w:szCs w:val="21"/>
      <w:shd w:val="clear"/>
    </w:rPr>
  </w:style>
  <w:style w:type="paragraph" w:styleId="10">
    <w:name w:val="heading 9"/>
    <w:next w:val="1"/>
    <w:qFormat/>
    <w:uiPriority w:val="15"/>
    <w:pPr>
      <w:ind w:left="2200" w:hanging="400"/>
      <w:jc w:val="both"/>
    </w:pPr>
    <w:rPr>
      <w:rFonts w:ascii="Times New Roman" w:hAnsi="Times New Roman" w:eastAsia="Times New Roman"/>
      <w:w w:val="100"/>
      <w:sz w:val="21"/>
      <w:szCs w:val="21"/>
      <w:shd w:val="clear"/>
    </w:rPr>
  </w:style>
  <w:style w:type="character" w:default="1" w:styleId="25">
    <w:name w:val="Default Paragraph Font"/>
    <w:semiHidden/>
    <w:qFormat/>
    <w:uiPriority w:val="2"/>
  </w:style>
  <w:style w:type="table" w:default="1" w:styleId="24">
    <w:name w:val="Normal Table"/>
    <w:semiHidden/>
    <w:unhideWhenUsed/>
    <w:qFormat/>
    <w:uiPriority w:val="3"/>
    <w:tblPr>
      <w:tblCellMar>
        <w:top w:w="0" w:type="dxa"/>
        <w:left w:w="108" w:type="dxa"/>
        <w:bottom w:w="0" w:type="dxa"/>
        <w:right w:w="108" w:type="dxa"/>
      </w:tblCellMar>
    </w:tblPr>
  </w:style>
  <w:style w:type="paragraph" w:styleId="11">
    <w:name w:val="toc 7"/>
    <w:next w:val="1"/>
    <w:unhideWhenUsed/>
    <w:qFormat/>
    <w:uiPriority w:val="34"/>
    <w:pPr>
      <w:ind w:left="2550" w:firstLine="0"/>
      <w:jc w:val="both"/>
    </w:pPr>
    <w:rPr>
      <w:rFonts w:ascii="Times New Roman" w:hAnsi="Times New Roman" w:eastAsia="Times New Roman"/>
      <w:w w:val="100"/>
      <w:sz w:val="21"/>
      <w:szCs w:val="21"/>
      <w:shd w:val="clear"/>
    </w:rPr>
  </w:style>
  <w:style w:type="paragraph" w:styleId="12">
    <w:name w:val="toc 5"/>
    <w:next w:val="1"/>
    <w:unhideWhenUsed/>
    <w:qFormat/>
    <w:uiPriority w:val="32"/>
    <w:pPr>
      <w:ind w:left="1700" w:firstLine="0"/>
      <w:jc w:val="both"/>
    </w:pPr>
    <w:rPr>
      <w:rFonts w:ascii="Times New Roman" w:hAnsi="Times New Roman" w:eastAsia="Times New Roman"/>
      <w:w w:val="100"/>
      <w:sz w:val="21"/>
      <w:szCs w:val="21"/>
      <w:shd w:val="clear"/>
    </w:rPr>
  </w:style>
  <w:style w:type="paragraph" w:styleId="13">
    <w:name w:val="toc 3"/>
    <w:next w:val="1"/>
    <w:unhideWhenUsed/>
    <w:qFormat/>
    <w:uiPriority w:val="30"/>
    <w:pPr>
      <w:ind w:left="850" w:firstLine="0"/>
      <w:jc w:val="both"/>
    </w:pPr>
    <w:rPr>
      <w:rFonts w:ascii="Times New Roman" w:hAnsi="Times New Roman" w:eastAsia="Times New Roman"/>
      <w:w w:val="100"/>
      <w:sz w:val="21"/>
      <w:szCs w:val="21"/>
      <w:shd w:val="clear"/>
    </w:rPr>
  </w:style>
  <w:style w:type="paragraph" w:styleId="14">
    <w:name w:val="toc 8"/>
    <w:next w:val="1"/>
    <w:unhideWhenUsed/>
    <w:qFormat/>
    <w:uiPriority w:val="35"/>
    <w:pPr>
      <w:ind w:left="2975" w:firstLine="0"/>
      <w:jc w:val="both"/>
    </w:pPr>
    <w:rPr>
      <w:rFonts w:ascii="Times New Roman" w:hAnsi="Times New Roman" w:eastAsia="Times New Roman"/>
      <w:w w:val="100"/>
      <w:sz w:val="21"/>
      <w:szCs w:val="21"/>
      <w:shd w:val="clear"/>
    </w:rPr>
  </w:style>
  <w:style w:type="paragraph" w:styleId="15">
    <w:name w:val="footer"/>
    <w:basedOn w:val="1"/>
    <w:link w:val="39"/>
    <w:qFormat/>
    <w:uiPriority w:val="151"/>
    <w:pPr>
      <w:widowControl/>
      <w:tabs>
        <w:tab w:val="center" w:pos="4153"/>
        <w:tab w:val="right" w:pos="8306"/>
      </w:tabs>
      <w:wordWrap/>
      <w:autoSpaceDE/>
      <w:autoSpaceDN/>
    </w:pPr>
    <w:rPr>
      <w:w w:val="100"/>
      <w:sz w:val="18"/>
      <w:szCs w:val="18"/>
      <w:shd w:val="clear"/>
    </w:rPr>
  </w:style>
  <w:style w:type="paragraph" w:styleId="16">
    <w:name w:val="header"/>
    <w:basedOn w:val="1"/>
    <w:link w:val="40"/>
    <w:qFormat/>
    <w:uiPriority w:val="152"/>
    <w:pPr>
      <w:widowControl/>
      <w:tabs>
        <w:tab w:val="center" w:pos="4153"/>
        <w:tab w:val="right" w:pos="8306"/>
      </w:tabs>
      <w:wordWrap/>
      <w:autoSpaceDE/>
      <w:autoSpaceDN/>
      <w:jc w:val="center"/>
    </w:pPr>
    <w:rPr>
      <w:w w:val="100"/>
      <w:sz w:val="18"/>
      <w:szCs w:val="18"/>
      <w:shd w:val="clear"/>
    </w:rPr>
  </w:style>
  <w:style w:type="paragraph" w:styleId="17">
    <w:name w:val="toc 1"/>
    <w:next w:val="1"/>
    <w:unhideWhenUsed/>
    <w:qFormat/>
    <w:uiPriority w:val="28"/>
    <w:pPr>
      <w:jc w:val="both"/>
    </w:pPr>
    <w:rPr>
      <w:rFonts w:ascii="Times New Roman" w:hAnsi="Times New Roman" w:eastAsia="Times New Roman"/>
      <w:w w:val="100"/>
      <w:sz w:val="21"/>
      <w:szCs w:val="21"/>
      <w:shd w:val="clear"/>
    </w:rPr>
  </w:style>
  <w:style w:type="paragraph" w:styleId="18">
    <w:name w:val="toc 4"/>
    <w:next w:val="1"/>
    <w:unhideWhenUsed/>
    <w:qFormat/>
    <w:uiPriority w:val="31"/>
    <w:pPr>
      <w:ind w:left="1275" w:firstLine="0"/>
      <w:jc w:val="both"/>
    </w:pPr>
    <w:rPr>
      <w:rFonts w:ascii="Times New Roman" w:hAnsi="Times New Roman" w:eastAsia="Times New Roman"/>
      <w:w w:val="100"/>
      <w:sz w:val="21"/>
      <w:szCs w:val="21"/>
      <w:shd w:val="clear"/>
    </w:rPr>
  </w:style>
  <w:style w:type="paragraph" w:styleId="19">
    <w:name w:val="Subtitle"/>
    <w:qFormat/>
    <w:uiPriority w:val="16"/>
    <w:pPr>
      <w:jc w:val="center"/>
    </w:pPr>
    <w:rPr>
      <w:rFonts w:ascii="Times New Roman" w:hAnsi="Times New Roman" w:eastAsia="Times New Roman"/>
      <w:w w:val="100"/>
      <w:sz w:val="24"/>
      <w:szCs w:val="24"/>
      <w:shd w:val="clear"/>
    </w:rPr>
  </w:style>
  <w:style w:type="paragraph" w:styleId="20">
    <w:name w:val="toc 6"/>
    <w:next w:val="1"/>
    <w:unhideWhenUsed/>
    <w:qFormat/>
    <w:uiPriority w:val="33"/>
    <w:pPr>
      <w:ind w:left="2125" w:firstLine="0"/>
      <w:jc w:val="both"/>
    </w:pPr>
    <w:rPr>
      <w:rFonts w:ascii="Times New Roman" w:hAnsi="Times New Roman" w:eastAsia="Times New Roman"/>
      <w:w w:val="100"/>
      <w:sz w:val="21"/>
      <w:szCs w:val="21"/>
      <w:shd w:val="clear"/>
    </w:rPr>
  </w:style>
  <w:style w:type="paragraph" w:styleId="21">
    <w:name w:val="toc 2"/>
    <w:next w:val="1"/>
    <w:unhideWhenUsed/>
    <w:qFormat/>
    <w:uiPriority w:val="29"/>
    <w:pPr>
      <w:ind w:left="425" w:firstLine="0"/>
      <w:jc w:val="both"/>
    </w:pPr>
    <w:rPr>
      <w:rFonts w:ascii="Times New Roman" w:hAnsi="Times New Roman" w:eastAsia="Times New Roman"/>
      <w:w w:val="100"/>
      <w:sz w:val="21"/>
      <w:szCs w:val="21"/>
      <w:shd w:val="clear"/>
    </w:rPr>
  </w:style>
  <w:style w:type="paragraph" w:styleId="22">
    <w:name w:val="toc 9"/>
    <w:next w:val="1"/>
    <w:unhideWhenUsed/>
    <w:qFormat/>
    <w:uiPriority w:val="36"/>
    <w:pPr>
      <w:ind w:left="3400" w:firstLine="0"/>
      <w:jc w:val="both"/>
    </w:pPr>
    <w:rPr>
      <w:rFonts w:ascii="Times New Roman" w:hAnsi="Times New Roman" w:eastAsia="Times New Roman"/>
      <w:w w:val="100"/>
      <w:sz w:val="21"/>
      <w:szCs w:val="21"/>
      <w:shd w:val="clear"/>
    </w:rPr>
  </w:style>
  <w:style w:type="paragraph" w:styleId="23">
    <w:name w:val="Title"/>
    <w:qFormat/>
    <w:uiPriority w:val="6"/>
    <w:pPr>
      <w:jc w:val="center"/>
    </w:pPr>
    <w:rPr>
      <w:rFonts w:ascii="Times New Roman" w:hAnsi="Times New Roman" w:eastAsia="Times New Roman"/>
      <w:b/>
      <w:w w:val="100"/>
      <w:sz w:val="32"/>
      <w:szCs w:val="32"/>
      <w:shd w:val="clear"/>
    </w:rPr>
  </w:style>
  <w:style w:type="character" w:styleId="26">
    <w:name w:val="Strong"/>
    <w:qFormat/>
    <w:uiPriority w:val="20"/>
    <w:rPr>
      <w:b/>
      <w:w w:val="100"/>
      <w:sz w:val="21"/>
      <w:szCs w:val="21"/>
      <w:shd w:val="clear"/>
    </w:rPr>
  </w:style>
  <w:style w:type="character" w:styleId="27">
    <w:name w:val="Emphasis"/>
    <w:qFormat/>
    <w:uiPriority w:val="18"/>
    <w:rPr>
      <w:i/>
      <w:w w:val="100"/>
      <w:sz w:val="21"/>
      <w:szCs w:val="21"/>
      <w:shd w:val="clear"/>
    </w:rPr>
  </w:style>
  <w:style w:type="character" w:styleId="28">
    <w:name w:val="Hyperlink"/>
    <w:basedOn w:val="25"/>
    <w:semiHidden/>
    <w:qFormat/>
    <w:uiPriority w:val="153"/>
    <w:rPr>
      <w:rFonts w:ascii="宋体" w:hAnsi="宋体" w:eastAsia="Times New Roman"/>
      <w:color w:val="0000FF"/>
      <w:w w:val="100"/>
      <w:sz w:val="20"/>
      <w:szCs w:val="20"/>
      <w:u w:val="single"/>
      <w:shd w:val="clear"/>
    </w:rPr>
  </w:style>
  <w:style w:type="paragraph" w:styleId="29">
    <w:name w:val="No Spacing"/>
    <w:qFormat/>
    <w:uiPriority w:val="5"/>
    <w:pPr>
      <w:jc w:val="both"/>
    </w:pPr>
    <w:rPr>
      <w:rFonts w:ascii="Times New Roman" w:hAnsi="Times New Roman" w:eastAsia="Times New Roman"/>
      <w:w w:val="100"/>
      <w:sz w:val="21"/>
      <w:szCs w:val="21"/>
      <w:shd w:val="clear"/>
    </w:rPr>
  </w:style>
  <w:style w:type="character" w:customStyle="1" w:styleId="30">
    <w:name w:val="Subtle Emphasis"/>
    <w:qFormat/>
    <w:uiPriority w:val="17"/>
    <w:rPr>
      <w:i/>
      <w:color w:val="404040"/>
      <w:w w:val="100"/>
      <w:sz w:val="21"/>
      <w:szCs w:val="21"/>
      <w:shd w:val="clear"/>
    </w:rPr>
  </w:style>
  <w:style w:type="character" w:customStyle="1" w:styleId="31">
    <w:name w:val="Intense Emphasis"/>
    <w:qFormat/>
    <w:uiPriority w:val="19"/>
    <w:rPr>
      <w:i/>
      <w:color w:val="5B9BD5"/>
      <w:w w:val="100"/>
      <w:sz w:val="21"/>
      <w:szCs w:val="21"/>
      <w:shd w:val="clear"/>
    </w:rPr>
  </w:style>
  <w:style w:type="paragraph" w:styleId="32">
    <w:name w:val="Quote"/>
    <w:qFormat/>
    <w:uiPriority w:val="21"/>
    <w:pPr>
      <w:ind w:left="864" w:right="864" w:firstLine="0"/>
      <w:jc w:val="center"/>
    </w:pPr>
    <w:rPr>
      <w:rFonts w:ascii="Times New Roman" w:hAnsi="Times New Roman" w:eastAsia="Times New Roman"/>
      <w:i/>
      <w:color w:val="404040"/>
      <w:w w:val="100"/>
      <w:sz w:val="21"/>
      <w:szCs w:val="21"/>
      <w:shd w:val="clear"/>
    </w:rPr>
  </w:style>
  <w:style w:type="paragraph" w:styleId="33">
    <w:name w:val="Intense Quote"/>
    <w:qFormat/>
    <w:uiPriority w:val="22"/>
    <w:pPr>
      <w:ind w:left="950" w:right="950" w:firstLine="0"/>
      <w:jc w:val="center"/>
    </w:pPr>
    <w:rPr>
      <w:rFonts w:ascii="Times New Roman" w:hAnsi="Times New Roman" w:eastAsia="Times New Roman"/>
      <w:i/>
      <w:color w:val="5B9BD5"/>
      <w:w w:val="100"/>
      <w:sz w:val="21"/>
      <w:szCs w:val="21"/>
      <w:shd w:val="clear"/>
    </w:rPr>
  </w:style>
  <w:style w:type="character" w:customStyle="1" w:styleId="34">
    <w:name w:val="Subtle Reference"/>
    <w:qFormat/>
    <w:uiPriority w:val="23"/>
    <w:rPr>
      <w:smallCaps/>
      <w:color w:val="5A5A5A"/>
      <w:w w:val="100"/>
      <w:sz w:val="21"/>
      <w:szCs w:val="21"/>
      <w:shd w:val="clear"/>
    </w:rPr>
  </w:style>
  <w:style w:type="character" w:customStyle="1" w:styleId="35">
    <w:name w:val="Intense Reference"/>
    <w:qFormat/>
    <w:uiPriority w:val="24"/>
    <w:rPr>
      <w:b/>
      <w:smallCaps/>
      <w:color w:val="5B9BD5"/>
      <w:w w:val="100"/>
      <w:sz w:val="21"/>
      <w:szCs w:val="21"/>
      <w:shd w:val="clear"/>
    </w:rPr>
  </w:style>
  <w:style w:type="character" w:customStyle="1" w:styleId="36">
    <w:name w:val="Book Title"/>
    <w:qFormat/>
    <w:uiPriority w:val="25"/>
    <w:rPr>
      <w:b/>
      <w:i/>
      <w:w w:val="100"/>
      <w:sz w:val="21"/>
      <w:szCs w:val="21"/>
      <w:shd w:val="clear"/>
    </w:rPr>
  </w:style>
  <w:style w:type="paragraph" w:styleId="37">
    <w:name w:val="List Paragraph"/>
    <w:qFormat/>
    <w:uiPriority w:val="26"/>
    <w:pPr>
      <w:ind w:left="850" w:firstLine="0"/>
      <w:jc w:val="both"/>
    </w:pPr>
    <w:rPr>
      <w:rFonts w:ascii="Times New Roman" w:hAnsi="Times New Roman" w:eastAsia="Times New Roman"/>
      <w:w w:val="100"/>
      <w:sz w:val="21"/>
      <w:szCs w:val="21"/>
      <w:shd w:val="clear"/>
    </w:rPr>
  </w:style>
  <w:style w:type="paragraph" w:customStyle="1" w:styleId="38">
    <w:name w:val="TOC Heading"/>
    <w:unhideWhenUsed/>
    <w:qFormat/>
    <w:uiPriority w:val="27"/>
    <w:rPr>
      <w:rFonts w:ascii="Times New Roman" w:hAnsi="Times New Roman" w:eastAsia="Times New Roman"/>
      <w:color w:val="2E74B5"/>
      <w:w w:val="100"/>
      <w:sz w:val="32"/>
      <w:szCs w:val="32"/>
      <w:shd w:val="clear"/>
    </w:rPr>
  </w:style>
  <w:style w:type="character" w:customStyle="1" w:styleId="39">
    <w:name w:val="Footer Char"/>
    <w:basedOn w:val="25"/>
    <w:link w:val="15"/>
    <w:qFormat/>
    <w:uiPriority w:val="154"/>
    <w:rPr>
      <w:rFonts w:ascii="宋体" w:hAnsi="宋体" w:eastAsia="Times New Roman"/>
      <w:w w:val="100"/>
      <w:sz w:val="18"/>
      <w:szCs w:val="18"/>
      <w:shd w:val="clear"/>
    </w:rPr>
  </w:style>
  <w:style w:type="character" w:customStyle="1" w:styleId="40">
    <w:name w:val="Header Char"/>
    <w:basedOn w:val="25"/>
    <w:link w:val="16"/>
    <w:qFormat/>
    <w:uiPriority w:val="155"/>
    <w:rPr>
      <w:rFonts w:ascii="宋体" w:hAnsi="宋体" w:eastAsia="Times New Roman"/>
      <w:w w:val="100"/>
      <w:sz w:val="18"/>
      <w:szCs w:val="18"/>
      <w:shd w:val="cle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586</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2020-03-10T08:55:01Z</dcterms:created>
  <dc:creator>NTKO</dc:creator>
  <cp:lastModifiedBy>丨張無忌丨</cp:lastModifiedBy>
  <dcterms:modified xsi:type="dcterms:W3CDTF">2020-03-10T08:56:40Z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