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5CB5B">
      <w:pPr>
        <w:autoSpaceDE w:val="0"/>
        <w:autoSpaceDN w:val="0"/>
        <w:adjustRightInd w:val="0"/>
        <w:spacing w:line="360" w:lineRule="auto"/>
        <w:rPr>
          <w:rFonts w:hint="eastAsia" w:ascii="宋体" w:hAnsi="宋体" w:eastAsia="宋体" w:cs="宋体"/>
          <w:b/>
          <w:bCs/>
          <w:color w:val="auto"/>
          <w:kern w:val="0"/>
          <w:sz w:val="36"/>
          <w:szCs w:val="36"/>
          <w:lang w:val="en-US" w:eastAsia="zh-CN"/>
        </w:rPr>
      </w:pPr>
    </w:p>
    <w:p w14:paraId="3D608A13">
      <w:pPr>
        <w:autoSpaceDE w:val="0"/>
        <w:autoSpaceDN w:val="0"/>
        <w:adjustRightInd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en-US" w:eastAsia="zh-CN"/>
        </w:rPr>
        <w:t xml:space="preserve">   </w:t>
      </w:r>
      <w:r>
        <w:rPr>
          <w:rFonts w:hint="eastAsia" w:ascii="宋体" w:hAnsi="宋体" w:eastAsia="宋体" w:cs="宋体"/>
          <w:b/>
          <w:bCs/>
          <w:color w:val="auto"/>
          <w:kern w:val="0"/>
          <w:sz w:val="36"/>
          <w:szCs w:val="36"/>
        </w:rPr>
        <w:t xml:space="preserve"> </w:t>
      </w:r>
    </w:p>
    <w:p w14:paraId="712675B6">
      <w:pPr>
        <w:autoSpaceDE w:val="0"/>
        <w:autoSpaceDN w:val="0"/>
        <w:adjustRightInd w:val="0"/>
        <w:spacing w:line="360" w:lineRule="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p>
    <w:p w14:paraId="0041B279">
      <w:pPr>
        <w:autoSpaceDE w:val="0"/>
        <w:autoSpaceDN w:val="0"/>
        <w:adjustRightInd w:val="0"/>
        <w:spacing w:line="360" w:lineRule="auto"/>
        <w:jc w:val="center"/>
        <w:rPr>
          <w:rFonts w:hint="eastAsia" w:ascii="宋体" w:hAnsi="宋体" w:eastAsia="宋体" w:cs="宋体"/>
          <w:b/>
          <w:bCs/>
          <w:color w:val="auto"/>
          <w:kern w:val="0"/>
          <w:sz w:val="84"/>
          <w:szCs w:val="84"/>
          <w:lang w:val="zh-CN"/>
        </w:rPr>
      </w:pPr>
    </w:p>
    <w:p w14:paraId="6C313764">
      <w:pPr>
        <w:autoSpaceDE w:val="0"/>
        <w:autoSpaceDN w:val="0"/>
        <w:adjustRightInd w:val="0"/>
        <w:spacing w:line="360" w:lineRule="auto"/>
        <w:jc w:val="center"/>
        <w:rPr>
          <w:rFonts w:hint="eastAsia" w:ascii="宋体" w:hAnsi="宋体" w:eastAsia="宋体" w:cs="宋体"/>
          <w:b/>
          <w:bCs/>
          <w:color w:val="auto"/>
          <w:kern w:val="0"/>
          <w:sz w:val="84"/>
          <w:szCs w:val="84"/>
        </w:rPr>
      </w:pPr>
      <w:r>
        <w:rPr>
          <w:rFonts w:hint="eastAsia" w:ascii="宋体" w:hAnsi="宋体" w:eastAsia="宋体" w:cs="宋体"/>
          <w:b/>
          <w:bCs/>
          <w:color w:val="auto"/>
          <w:kern w:val="0"/>
          <w:sz w:val="84"/>
          <w:szCs w:val="84"/>
          <w:lang w:val="zh-CN"/>
        </w:rPr>
        <w:t>公开招标文件</w:t>
      </w:r>
    </w:p>
    <w:p w14:paraId="7FC4C30C">
      <w:pPr>
        <w:autoSpaceDE w:val="0"/>
        <w:autoSpaceDN w:val="0"/>
        <w:adjustRightInd w:val="0"/>
        <w:spacing w:line="360" w:lineRule="auto"/>
        <w:jc w:val="left"/>
        <w:rPr>
          <w:rFonts w:hint="eastAsia" w:ascii="宋体" w:hAnsi="宋体" w:eastAsia="宋体" w:cs="宋体"/>
          <w:color w:val="auto"/>
          <w:kern w:val="0"/>
          <w:sz w:val="36"/>
          <w:szCs w:val="36"/>
          <w:u w:val="dotDash"/>
        </w:rPr>
      </w:pPr>
    </w:p>
    <w:p w14:paraId="6F5D0BDD">
      <w:pPr>
        <w:autoSpaceDE w:val="0"/>
        <w:autoSpaceDN w:val="0"/>
        <w:adjustRightInd w:val="0"/>
        <w:spacing w:line="1000" w:lineRule="exact"/>
        <w:jc w:val="left"/>
        <w:rPr>
          <w:rFonts w:hint="eastAsia"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t>采购项目编号：</w:t>
      </w:r>
      <w:r>
        <w:rPr>
          <w:rFonts w:hint="eastAsia" w:ascii="宋体" w:hAnsi="宋体" w:cs="宋体"/>
          <w:b/>
          <w:bCs/>
          <w:color w:val="auto"/>
          <w:kern w:val="0"/>
          <w:sz w:val="32"/>
          <w:szCs w:val="32"/>
          <w:lang w:val="zh-CN"/>
        </w:rPr>
        <w:t>青海宇创公招（货物）2025-005</w:t>
      </w:r>
      <w:r>
        <w:rPr>
          <w:rFonts w:hint="eastAsia" w:ascii="宋体" w:hAnsi="宋体" w:eastAsia="宋体" w:cs="宋体"/>
          <w:b/>
          <w:bCs/>
          <w:color w:val="auto"/>
          <w:kern w:val="0"/>
          <w:sz w:val="32"/>
          <w:szCs w:val="32"/>
          <w:lang w:val="zh-CN"/>
        </w:rPr>
        <w:t xml:space="preserve">      </w:t>
      </w:r>
    </w:p>
    <w:p w14:paraId="6AF13B85">
      <w:pPr>
        <w:autoSpaceDE w:val="0"/>
        <w:autoSpaceDN w:val="0"/>
        <w:adjustRightInd w:val="0"/>
        <w:spacing w:line="1000" w:lineRule="exact"/>
        <w:ind w:left="2530" w:hanging="2249" w:hangingChars="700"/>
        <w:jc w:val="left"/>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zh-CN"/>
        </w:rPr>
        <w:t>采购项目名称：</w:t>
      </w:r>
      <w:r>
        <w:rPr>
          <w:rFonts w:hint="eastAsia" w:ascii="宋体" w:hAnsi="宋体" w:cs="宋体"/>
          <w:b/>
          <w:bCs/>
          <w:color w:val="auto"/>
          <w:kern w:val="0"/>
          <w:sz w:val="32"/>
          <w:szCs w:val="32"/>
          <w:lang w:val="zh-CN"/>
        </w:rPr>
        <w:t>称多县2025年基层卫生院服务能力提升项目</w:t>
      </w:r>
    </w:p>
    <w:p w14:paraId="12C2D786">
      <w:pPr>
        <w:autoSpaceDE w:val="0"/>
        <w:autoSpaceDN w:val="0"/>
        <w:adjustRightInd w:val="0"/>
        <w:spacing w:line="1000" w:lineRule="exact"/>
        <w:rPr>
          <w:rFonts w:hint="eastAsia"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t>项目采购人：</w:t>
      </w:r>
      <w:r>
        <w:rPr>
          <w:rFonts w:hint="eastAsia" w:ascii="宋体" w:hAnsi="宋体" w:cs="宋体"/>
          <w:b/>
          <w:bCs/>
          <w:color w:val="auto"/>
          <w:kern w:val="0"/>
          <w:sz w:val="32"/>
          <w:szCs w:val="32"/>
          <w:lang w:val="zh-CN"/>
        </w:rPr>
        <w:t>称多县卫生健康局</w:t>
      </w:r>
    </w:p>
    <w:p w14:paraId="1D7482D8">
      <w:pPr>
        <w:autoSpaceDE w:val="0"/>
        <w:autoSpaceDN w:val="0"/>
        <w:adjustRightInd w:val="0"/>
        <w:spacing w:line="1000" w:lineRule="exact"/>
        <w:rPr>
          <w:rFonts w:hint="eastAsia"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t>采购代理机构：</w:t>
      </w:r>
      <w:r>
        <w:rPr>
          <w:rFonts w:hint="eastAsia" w:ascii="宋体" w:hAnsi="宋体" w:cs="宋体"/>
          <w:b/>
          <w:bCs/>
          <w:color w:val="auto"/>
          <w:kern w:val="0"/>
          <w:sz w:val="32"/>
          <w:szCs w:val="32"/>
          <w:lang w:val="zh-CN"/>
        </w:rPr>
        <w:t>青海宇创项目管理有限责任公司</w:t>
      </w:r>
    </w:p>
    <w:p w14:paraId="50CCB3E8">
      <w:pPr>
        <w:autoSpaceDE w:val="0"/>
        <w:autoSpaceDN w:val="0"/>
        <w:adjustRightInd w:val="0"/>
        <w:spacing w:line="1000" w:lineRule="exact"/>
        <w:jc w:val="center"/>
        <w:rPr>
          <w:rFonts w:hint="eastAsia" w:ascii="宋体" w:hAnsi="宋体" w:eastAsia="宋体" w:cs="宋体"/>
          <w:b/>
          <w:bCs/>
          <w:color w:val="auto"/>
          <w:kern w:val="0"/>
          <w:sz w:val="28"/>
          <w:szCs w:val="28"/>
          <w:lang w:val="zh-CN"/>
        </w:rPr>
      </w:pPr>
    </w:p>
    <w:p w14:paraId="4D260CD3">
      <w:pPr>
        <w:autoSpaceDE w:val="0"/>
        <w:autoSpaceDN w:val="0"/>
        <w:adjustRightInd w:val="0"/>
        <w:spacing w:line="1000" w:lineRule="exact"/>
        <w:jc w:val="center"/>
        <w:rPr>
          <w:rFonts w:hint="eastAsia"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t>202</w:t>
      </w:r>
      <w:r>
        <w:rPr>
          <w:rFonts w:hint="eastAsia" w:ascii="宋体" w:hAnsi="宋体" w:eastAsia="宋体" w:cs="宋体"/>
          <w:b/>
          <w:bCs/>
          <w:color w:val="auto"/>
          <w:kern w:val="0"/>
          <w:sz w:val="32"/>
          <w:szCs w:val="32"/>
          <w:lang w:val="en-US" w:eastAsia="zh-CN"/>
        </w:rPr>
        <w:t>5</w:t>
      </w:r>
      <w:r>
        <w:rPr>
          <w:rFonts w:hint="eastAsia" w:ascii="宋体" w:hAnsi="宋体" w:eastAsia="宋体" w:cs="宋体"/>
          <w:b/>
          <w:bCs/>
          <w:color w:val="auto"/>
          <w:kern w:val="0"/>
          <w:sz w:val="32"/>
          <w:szCs w:val="32"/>
          <w:lang w:val="zh-CN"/>
        </w:rPr>
        <w:t>年</w:t>
      </w:r>
      <w:r>
        <w:rPr>
          <w:rFonts w:hint="eastAsia" w:ascii="宋体" w:hAnsi="宋体" w:cs="宋体"/>
          <w:b/>
          <w:bCs/>
          <w:color w:val="auto"/>
          <w:kern w:val="0"/>
          <w:sz w:val="32"/>
          <w:szCs w:val="32"/>
          <w:lang w:val="en-US" w:eastAsia="zh-CN"/>
        </w:rPr>
        <w:t>6</w:t>
      </w:r>
      <w:r>
        <w:rPr>
          <w:rFonts w:hint="eastAsia" w:ascii="宋体" w:hAnsi="宋体" w:eastAsia="宋体" w:cs="宋体"/>
          <w:b/>
          <w:bCs/>
          <w:color w:val="auto"/>
          <w:kern w:val="0"/>
          <w:sz w:val="32"/>
          <w:szCs w:val="32"/>
          <w:lang w:val="zh-CN"/>
        </w:rPr>
        <w:t>月</w:t>
      </w:r>
    </w:p>
    <w:p w14:paraId="03A1C2F7">
      <w:pPr>
        <w:adjustRightInd w:val="0"/>
        <w:spacing w:line="360" w:lineRule="auto"/>
        <w:jc w:val="both"/>
        <w:textAlignment w:val="baseline"/>
        <w:rPr>
          <w:rFonts w:hint="eastAsia" w:ascii="宋体" w:hAnsi="宋体" w:eastAsia="宋体" w:cs="宋体"/>
          <w:b/>
          <w:color w:val="auto"/>
          <w:sz w:val="40"/>
          <w:szCs w:val="30"/>
        </w:rPr>
      </w:pPr>
    </w:p>
    <w:p w14:paraId="6FADD692">
      <w:pPr>
        <w:adjustRightInd w:val="0"/>
        <w:spacing w:line="360" w:lineRule="auto"/>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14:paraId="23047F69">
      <w:pPr>
        <w:pStyle w:val="22"/>
        <w:tabs>
          <w:tab w:val="right" w:leader="dot" w:pos="8243"/>
        </w:tabs>
        <w:rPr>
          <w:rFonts w:hint="eastAsia" w:ascii="宋体" w:hAnsi="宋体" w:eastAsia="宋体" w:cs="宋体"/>
          <w:color w:val="auto"/>
        </w:rPr>
      </w:pPr>
      <w:r>
        <w:rPr>
          <w:rFonts w:hint="eastAsia" w:ascii="宋体" w:hAnsi="宋体" w:eastAsia="宋体" w:cs="宋体"/>
          <w:b w:val="0"/>
          <w:bCs w:val="0"/>
          <w:color w:val="auto"/>
          <w:kern w:val="0"/>
          <w:szCs w:val="24"/>
        </w:rPr>
        <w:fldChar w:fldCharType="begin"/>
      </w:r>
      <w:r>
        <w:rPr>
          <w:rStyle w:val="36"/>
          <w:rFonts w:hint="eastAsia" w:ascii="宋体" w:hAnsi="宋体" w:eastAsia="宋体" w:cs="宋体"/>
          <w:color w:val="auto"/>
          <w:kern w:val="0"/>
          <w:szCs w:val="24"/>
        </w:rPr>
        <w:instrText xml:space="preserve"> TOC \o "3-3" \h \z \t "标题 1,2,标题 2,3,标题,1" </w:instrText>
      </w:r>
      <w:r>
        <w:rPr>
          <w:rFonts w:hint="eastAsia" w:ascii="宋体" w:hAnsi="宋体" w:eastAsia="宋体" w:cs="宋体"/>
          <w:b w:val="0"/>
          <w:bCs w:val="0"/>
          <w:color w:val="auto"/>
          <w:kern w:val="0"/>
          <w:szCs w:val="24"/>
        </w:rPr>
        <w:fldChar w:fldCharType="separate"/>
      </w:r>
      <w:r>
        <w:rPr>
          <w:rFonts w:hint="eastAsia" w:ascii="宋体" w:hAnsi="宋体" w:eastAsia="宋体" w:cs="宋体"/>
          <w:bCs w:val="0"/>
          <w:color w:val="auto"/>
          <w:kern w:val="0"/>
          <w:szCs w:val="24"/>
        </w:rPr>
        <w:fldChar w:fldCharType="begin"/>
      </w:r>
      <w:r>
        <w:rPr>
          <w:rFonts w:hint="eastAsia" w:ascii="宋体" w:hAnsi="宋体" w:eastAsia="宋体" w:cs="宋体"/>
          <w:bCs w:val="0"/>
          <w:color w:val="auto"/>
          <w:kern w:val="0"/>
          <w:szCs w:val="24"/>
        </w:rPr>
        <w:instrText xml:space="preserve"> HYPERLINK \l _Toc14901 </w:instrText>
      </w:r>
      <w:r>
        <w:rPr>
          <w:rFonts w:hint="eastAsia" w:ascii="宋体" w:hAnsi="宋体" w:eastAsia="宋体" w:cs="宋体"/>
          <w:bCs w:val="0"/>
          <w:color w:val="auto"/>
          <w:kern w:val="0"/>
          <w:szCs w:val="24"/>
        </w:rPr>
        <w:fldChar w:fldCharType="separate"/>
      </w:r>
      <w:r>
        <w:rPr>
          <w:rFonts w:hint="eastAsia" w:ascii="宋体" w:hAnsi="宋体" w:eastAsia="宋体" w:cs="宋体"/>
          <w:color w:val="auto"/>
          <w:szCs w:val="36"/>
          <w:lang w:val="zh-CN"/>
        </w:rPr>
        <w:t>第一部分  投标邀请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_Toc14901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bCs w:val="0"/>
          <w:color w:val="auto"/>
          <w:kern w:val="0"/>
          <w:szCs w:val="24"/>
        </w:rPr>
        <w:fldChar w:fldCharType="end"/>
      </w:r>
    </w:p>
    <w:p w14:paraId="3C44B2AF">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_Toc10010 </w:instrText>
      </w:r>
      <w:r>
        <w:rPr>
          <w:rFonts w:hint="eastAsia" w:ascii="宋体" w:hAnsi="宋体" w:eastAsia="宋体" w:cs="宋体"/>
          <w:color w:val="auto"/>
        </w:rPr>
        <w:fldChar w:fldCharType="separate"/>
      </w:r>
      <w:r>
        <w:rPr>
          <w:rFonts w:hint="eastAsia" w:ascii="宋体" w:hAnsi="宋体" w:eastAsia="宋体" w:cs="宋体"/>
          <w:color w:val="auto"/>
          <w:szCs w:val="36"/>
          <w:lang w:val="zh-CN"/>
        </w:rPr>
        <w:t>第二部分  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_Toc10010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3B10523">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_Toc1673 </w:instrText>
      </w:r>
      <w:r>
        <w:rPr>
          <w:rFonts w:hint="eastAsia" w:ascii="宋体" w:hAnsi="宋体" w:eastAsia="宋体" w:cs="宋体"/>
          <w:color w:val="auto"/>
        </w:rPr>
        <w:fldChar w:fldCharType="separate"/>
      </w:r>
      <w:r>
        <w:rPr>
          <w:rFonts w:hint="eastAsia" w:ascii="宋体" w:hAnsi="宋体" w:eastAsia="宋体" w:cs="宋体"/>
          <w:color w:val="auto"/>
          <w:lang w:val="zh-CN"/>
        </w:rPr>
        <w:t>一、说明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_Toc1673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5D99B03">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_Toc28554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1.适用范围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_Toc28554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9EB4F07">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_Toc10825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2.采购方式、合格的投标人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_Toc10825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A9CA975">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_Toc13749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3.投标费用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_Toc13749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4DBA48C">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_Toc18855 </w:instrText>
      </w:r>
      <w:r>
        <w:rPr>
          <w:rFonts w:hint="eastAsia" w:ascii="宋体" w:hAnsi="宋体" w:eastAsia="宋体" w:cs="宋体"/>
          <w:color w:val="auto"/>
        </w:rPr>
        <w:fldChar w:fldCharType="separate"/>
      </w:r>
      <w:r>
        <w:rPr>
          <w:rFonts w:hint="eastAsia" w:ascii="宋体" w:hAnsi="宋体" w:eastAsia="宋体" w:cs="宋体"/>
          <w:color w:val="auto"/>
          <w:lang w:val="zh-CN"/>
        </w:rPr>
        <w:t>二、招标文件说明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_Toc18855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9687F44">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_Toc28573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4.招标文件的构成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_Toc28573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4F2789A">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_Toc2821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5.招标文件、采购活动和中标结果的质疑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_Toc2821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ABEE4BF">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_Toc14563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6.招标文件的澄清或修改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_Toc14563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4628F91">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_Toc30524 </w:instrText>
      </w:r>
      <w:r>
        <w:rPr>
          <w:rFonts w:hint="eastAsia" w:ascii="宋体" w:hAnsi="宋体" w:eastAsia="宋体" w:cs="宋体"/>
          <w:color w:val="auto"/>
        </w:rPr>
        <w:fldChar w:fldCharType="separate"/>
      </w:r>
      <w:r>
        <w:rPr>
          <w:rFonts w:hint="eastAsia" w:ascii="宋体" w:hAnsi="宋体" w:eastAsia="宋体" w:cs="宋体"/>
          <w:color w:val="auto"/>
          <w:lang w:val="zh-CN"/>
        </w:rPr>
        <w:t>三、投标文件的编制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_Toc30524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81DF279">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_Toc19398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7.投标文件的语言及度量衡单位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_Toc19398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9C056F3">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_Toc10517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8.投标报价及币种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_Toc10517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B7F1B62">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_Toc9043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9.投标保证金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_Toc9043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A069AE6">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_Toc21831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10.投标有效期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_Toc21831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7884B2A">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_Toc6102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11.投标文件构成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_Toc6102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178B260">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_Toc22420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12.投标文件的编制要求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_Toc22420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63196D8">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_Toc4106 </w:instrText>
      </w:r>
      <w:r>
        <w:rPr>
          <w:rFonts w:hint="eastAsia" w:ascii="宋体" w:hAnsi="宋体" w:eastAsia="宋体" w:cs="宋体"/>
          <w:color w:val="auto"/>
        </w:rPr>
        <w:fldChar w:fldCharType="separate"/>
      </w:r>
      <w:r>
        <w:rPr>
          <w:rFonts w:hint="eastAsia" w:ascii="宋体" w:hAnsi="宋体" w:eastAsia="宋体" w:cs="宋体"/>
          <w:color w:val="auto"/>
          <w:lang w:val="zh-CN"/>
        </w:rPr>
        <w:t>四、投标文件的提交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_Toc4106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0839A3B">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_Toc5575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13. 电子投标文件上传</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_Toc5575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809F98C">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_Toc29856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14.提交投标文件的时间、地点、方式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_Toc29856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0211251">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_Toc20379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15.电子投标文件的补充、修改或者撤回</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_Toc20379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EF5F342">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_Toc16649 </w:instrText>
      </w:r>
      <w:r>
        <w:rPr>
          <w:rFonts w:hint="eastAsia" w:ascii="宋体" w:hAnsi="宋体" w:eastAsia="宋体" w:cs="宋体"/>
          <w:color w:val="auto"/>
        </w:rPr>
        <w:fldChar w:fldCharType="separate"/>
      </w:r>
      <w:r>
        <w:rPr>
          <w:rFonts w:hint="eastAsia" w:ascii="宋体" w:hAnsi="宋体" w:eastAsia="宋体" w:cs="宋体"/>
          <w:color w:val="auto"/>
          <w:lang w:val="zh-CN"/>
        </w:rPr>
        <w:t>五、开标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_Toc16649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EFCDC53">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_Toc27344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16.开标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_Toc27344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560DC3E">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_Toc9144 </w:instrText>
      </w:r>
      <w:r>
        <w:rPr>
          <w:rFonts w:hint="eastAsia" w:ascii="宋体" w:hAnsi="宋体" w:eastAsia="宋体" w:cs="宋体"/>
          <w:color w:val="auto"/>
        </w:rPr>
        <w:fldChar w:fldCharType="separate"/>
      </w:r>
      <w:r>
        <w:rPr>
          <w:rFonts w:hint="eastAsia" w:ascii="宋体" w:hAnsi="宋体" w:eastAsia="宋体" w:cs="宋体"/>
          <w:color w:val="auto"/>
          <w:kern w:val="0"/>
          <w:szCs w:val="36"/>
        </w:rPr>
        <w:t>六、资格</w:t>
      </w:r>
      <w:r>
        <w:rPr>
          <w:rFonts w:hint="eastAsia" w:ascii="宋体" w:hAnsi="宋体" w:eastAsia="宋体" w:cs="宋体"/>
          <w:color w:val="auto"/>
          <w:lang w:val="zh-CN"/>
        </w:rPr>
        <w:t>审查</w:t>
      </w:r>
      <w:r>
        <w:rPr>
          <w:rFonts w:hint="eastAsia" w:ascii="宋体" w:hAnsi="宋体" w:eastAsia="宋体" w:cs="宋体"/>
          <w:color w:val="auto"/>
          <w:kern w:val="0"/>
          <w:szCs w:val="36"/>
        </w:rPr>
        <w:t>程序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_Toc9144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3848A72">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_Toc1276 </w:instrText>
      </w:r>
      <w:r>
        <w:rPr>
          <w:rFonts w:hint="eastAsia" w:ascii="宋体" w:hAnsi="宋体" w:eastAsia="宋体" w:cs="宋体"/>
          <w:color w:val="auto"/>
        </w:rPr>
        <w:fldChar w:fldCharType="separate"/>
      </w:r>
      <w:r>
        <w:rPr>
          <w:rFonts w:hint="eastAsia" w:ascii="宋体" w:hAnsi="宋体" w:eastAsia="宋体" w:cs="宋体"/>
          <w:color w:val="auto"/>
          <w:szCs w:val="28"/>
        </w:rPr>
        <w:t>17.资格审查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_Toc1276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5C037A7">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_Toc28970 </w:instrText>
      </w:r>
      <w:r>
        <w:rPr>
          <w:rFonts w:hint="eastAsia" w:ascii="宋体" w:hAnsi="宋体" w:eastAsia="宋体" w:cs="宋体"/>
          <w:color w:val="auto"/>
        </w:rPr>
        <w:fldChar w:fldCharType="separate"/>
      </w:r>
      <w:r>
        <w:rPr>
          <w:rFonts w:hint="eastAsia" w:ascii="宋体" w:hAnsi="宋体" w:eastAsia="宋体" w:cs="宋体"/>
          <w:color w:val="auto"/>
          <w:lang w:val="zh-CN"/>
        </w:rPr>
        <w:t>七、评审程序及方法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_Toc28970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16D0E21">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_Toc8413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w:t>
      </w:r>
      <w:r>
        <w:rPr>
          <w:rFonts w:hint="eastAsia" w:ascii="宋体" w:hAnsi="宋体" w:eastAsia="宋体" w:cs="宋体"/>
          <w:color w:val="auto"/>
          <w:szCs w:val="28"/>
        </w:rPr>
        <w:t>8</w:t>
      </w:r>
      <w:r>
        <w:rPr>
          <w:rFonts w:hint="eastAsia" w:ascii="宋体" w:hAnsi="宋体" w:eastAsia="宋体" w:cs="宋体"/>
          <w:color w:val="auto"/>
          <w:szCs w:val="28"/>
          <w:lang w:val="zh-CN"/>
        </w:rPr>
        <w:t>.评标委员会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_Toc8413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1CBE90C">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_Toc2170 </w:instrText>
      </w:r>
      <w:r>
        <w:rPr>
          <w:rFonts w:hint="eastAsia" w:ascii="宋体" w:hAnsi="宋体" w:eastAsia="宋体" w:cs="宋体"/>
          <w:color w:val="auto"/>
        </w:rPr>
        <w:fldChar w:fldCharType="separate"/>
      </w:r>
      <w:r>
        <w:rPr>
          <w:rFonts w:hint="eastAsia" w:ascii="宋体" w:hAnsi="宋体" w:eastAsia="宋体" w:cs="宋体"/>
          <w:color w:val="auto"/>
          <w:szCs w:val="28"/>
        </w:rPr>
        <w:t>19</w:t>
      </w:r>
      <w:r>
        <w:rPr>
          <w:rFonts w:hint="eastAsia" w:ascii="宋体" w:hAnsi="宋体" w:eastAsia="宋体" w:cs="宋体"/>
          <w:color w:val="auto"/>
          <w:szCs w:val="28"/>
          <w:lang w:val="zh-CN"/>
        </w:rPr>
        <w:t>.评审工作程序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_Toc2170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3AAA7BB">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_Toc13107 </w:instrText>
      </w:r>
      <w:r>
        <w:rPr>
          <w:rFonts w:hint="eastAsia" w:ascii="宋体" w:hAnsi="宋体" w:eastAsia="宋体" w:cs="宋体"/>
          <w:color w:val="auto"/>
        </w:rPr>
        <w:fldChar w:fldCharType="separate"/>
      </w:r>
      <w:r>
        <w:rPr>
          <w:rFonts w:hint="eastAsia" w:ascii="宋体" w:hAnsi="宋体" w:eastAsia="宋体" w:cs="宋体"/>
          <w:color w:val="auto"/>
          <w:szCs w:val="28"/>
        </w:rPr>
        <w:t>20</w:t>
      </w:r>
      <w:r>
        <w:rPr>
          <w:rFonts w:hint="eastAsia" w:ascii="宋体" w:hAnsi="宋体" w:eastAsia="宋体" w:cs="宋体"/>
          <w:color w:val="auto"/>
          <w:szCs w:val="28"/>
          <w:lang w:val="zh-CN"/>
        </w:rPr>
        <w:t>.评审方法和标准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_Toc13107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657F735">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_Toc32076 </w:instrText>
      </w:r>
      <w:r>
        <w:rPr>
          <w:rFonts w:hint="eastAsia" w:ascii="宋体" w:hAnsi="宋体" w:eastAsia="宋体" w:cs="宋体"/>
          <w:color w:val="auto"/>
        </w:rPr>
        <w:fldChar w:fldCharType="separate"/>
      </w:r>
      <w:r>
        <w:rPr>
          <w:rFonts w:hint="eastAsia" w:ascii="宋体" w:hAnsi="宋体" w:eastAsia="宋体" w:cs="宋体"/>
          <w:color w:val="auto"/>
          <w:lang w:val="zh-CN"/>
        </w:rPr>
        <w:t>八、中标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_Toc32076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2E00D39">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_Toc13160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2</w:t>
      </w:r>
      <w:r>
        <w:rPr>
          <w:rFonts w:hint="eastAsia" w:ascii="宋体" w:hAnsi="宋体" w:eastAsia="宋体" w:cs="宋体"/>
          <w:color w:val="auto"/>
          <w:szCs w:val="28"/>
        </w:rPr>
        <w:t>1</w:t>
      </w:r>
      <w:r>
        <w:rPr>
          <w:rFonts w:hint="eastAsia" w:ascii="宋体" w:hAnsi="宋体" w:eastAsia="宋体" w:cs="宋体"/>
          <w:color w:val="auto"/>
          <w:szCs w:val="28"/>
          <w:lang w:val="zh-CN"/>
        </w:rPr>
        <w:t>.推荐并确定中标人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_Toc13160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E94A717">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_Toc14926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2</w:t>
      </w:r>
      <w:r>
        <w:rPr>
          <w:rFonts w:hint="eastAsia" w:ascii="宋体" w:hAnsi="宋体" w:eastAsia="宋体" w:cs="宋体"/>
          <w:color w:val="auto"/>
          <w:szCs w:val="28"/>
        </w:rPr>
        <w:t>2</w:t>
      </w:r>
      <w:r>
        <w:rPr>
          <w:rFonts w:hint="eastAsia" w:ascii="宋体" w:hAnsi="宋体" w:eastAsia="宋体" w:cs="宋体"/>
          <w:color w:val="auto"/>
          <w:szCs w:val="28"/>
          <w:lang w:val="zh-CN"/>
        </w:rPr>
        <w:t>.中标通知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_Toc14926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CF5DCE1">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_Toc13977 </w:instrText>
      </w:r>
      <w:r>
        <w:rPr>
          <w:rFonts w:hint="eastAsia" w:ascii="宋体" w:hAnsi="宋体" w:eastAsia="宋体" w:cs="宋体"/>
          <w:color w:val="auto"/>
        </w:rPr>
        <w:fldChar w:fldCharType="separate"/>
      </w:r>
      <w:r>
        <w:rPr>
          <w:rFonts w:hint="eastAsia" w:ascii="宋体" w:hAnsi="宋体" w:eastAsia="宋体" w:cs="宋体"/>
          <w:color w:val="auto"/>
          <w:lang w:val="zh-CN"/>
        </w:rPr>
        <w:t>九、授予合同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_Toc13977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82CEFF3">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_Toc10415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2</w:t>
      </w:r>
      <w:r>
        <w:rPr>
          <w:rFonts w:hint="eastAsia" w:ascii="宋体" w:hAnsi="宋体" w:eastAsia="宋体" w:cs="宋体"/>
          <w:color w:val="auto"/>
          <w:szCs w:val="28"/>
        </w:rPr>
        <w:t>3</w:t>
      </w:r>
      <w:r>
        <w:rPr>
          <w:rFonts w:hint="eastAsia" w:ascii="宋体" w:hAnsi="宋体" w:eastAsia="宋体" w:cs="宋体"/>
          <w:color w:val="auto"/>
          <w:szCs w:val="28"/>
          <w:lang w:val="zh-CN"/>
        </w:rPr>
        <w:t>.签订合同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_Toc10415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09A4FA8">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_Toc4024 </w:instrText>
      </w:r>
      <w:r>
        <w:rPr>
          <w:rFonts w:hint="eastAsia" w:ascii="宋体" w:hAnsi="宋体" w:eastAsia="宋体" w:cs="宋体"/>
          <w:color w:val="auto"/>
        </w:rPr>
        <w:fldChar w:fldCharType="separate"/>
      </w:r>
      <w:r>
        <w:rPr>
          <w:rFonts w:hint="eastAsia" w:ascii="宋体" w:hAnsi="宋体" w:eastAsia="宋体" w:cs="宋体"/>
          <w:color w:val="auto"/>
          <w:lang w:val="zh-CN"/>
        </w:rPr>
        <w:t>十、其他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_Toc4024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FFB0714">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_Toc3115 </w:instrText>
      </w:r>
      <w:r>
        <w:rPr>
          <w:rFonts w:hint="eastAsia" w:ascii="宋体" w:hAnsi="宋体" w:eastAsia="宋体" w:cs="宋体"/>
          <w:color w:val="auto"/>
        </w:rPr>
        <w:fldChar w:fldCharType="separate"/>
      </w:r>
      <w:r>
        <w:rPr>
          <w:rFonts w:hint="eastAsia" w:ascii="宋体" w:hAnsi="宋体" w:eastAsia="宋体" w:cs="宋体"/>
          <w:color w:val="auto"/>
          <w:szCs w:val="28"/>
        </w:rPr>
        <w:t>24. 串通投标的情形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_Toc3115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36E889D">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_Toc1499 </w:instrText>
      </w:r>
      <w:r>
        <w:rPr>
          <w:rFonts w:hint="eastAsia" w:ascii="宋体" w:hAnsi="宋体" w:eastAsia="宋体" w:cs="宋体"/>
          <w:color w:val="auto"/>
        </w:rPr>
        <w:fldChar w:fldCharType="separate"/>
      </w:r>
      <w:r>
        <w:rPr>
          <w:rFonts w:hint="eastAsia" w:ascii="宋体" w:hAnsi="宋体" w:eastAsia="宋体" w:cs="宋体"/>
          <w:color w:val="auto"/>
          <w:szCs w:val="28"/>
        </w:rPr>
        <w:t>25. 废标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_Toc1499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51F0A97">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_Toc161 </w:instrText>
      </w:r>
      <w:r>
        <w:rPr>
          <w:rFonts w:hint="eastAsia" w:ascii="宋体" w:hAnsi="宋体" w:eastAsia="宋体" w:cs="宋体"/>
          <w:color w:val="auto"/>
        </w:rPr>
        <w:fldChar w:fldCharType="separate"/>
      </w:r>
      <w:r>
        <w:rPr>
          <w:rFonts w:hint="eastAsia" w:ascii="宋体" w:hAnsi="宋体" w:eastAsia="宋体" w:cs="宋体"/>
          <w:color w:val="auto"/>
          <w:szCs w:val="28"/>
        </w:rPr>
        <w:t>26. 中标服务费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_Toc161 \h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8F48D76">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_Toc31227 </w:instrText>
      </w:r>
      <w:r>
        <w:rPr>
          <w:rFonts w:hint="eastAsia" w:ascii="宋体" w:hAnsi="宋体" w:eastAsia="宋体" w:cs="宋体"/>
          <w:color w:val="auto"/>
        </w:rPr>
        <w:fldChar w:fldCharType="separate"/>
      </w:r>
      <w:r>
        <w:rPr>
          <w:rFonts w:hint="eastAsia" w:ascii="宋体" w:hAnsi="宋体" w:eastAsia="宋体" w:cs="宋体"/>
          <w:color w:val="auto"/>
          <w:szCs w:val="36"/>
          <w:lang w:val="zh-CN"/>
        </w:rPr>
        <w:t xml:space="preserve">第三部分 </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青海省政府采购项目合同书范本</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_Toc31227 \h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8032FED">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_Toc11610 </w:instrText>
      </w:r>
      <w:r>
        <w:rPr>
          <w:rFonts w:hint="eastAsia" w:ascii="宋体" w:hAnsi="宋体" w:eastAsia="宋体" w:cs="宋体"/>
          <w:color w:val="auto"/>
        </w:rPr>
        <w:fldChar w:fldCharType="separate"/>
      </w:r>
      <w:r>
        <w:rPr>
          <w:rFonts w:hint="eastAsia" w:ascii="宋体" w:hAnsi="宋体" w:eastAsia="宋体" w:cs="宋体"/>
          <w:color w:val="auto"/>
          <w:szCs w:val="36"/>
          <w:lang w:val="zh-CN"/>
        </w:rPr>
        <w:t>第四部分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_Toc11610 \h </w:instrText>
      </w:r>
      <w:r>
        <w:rPr>
          <w:rFonts w:hint="eastAsia" w:ascii="宋体" w:hAnsi="宋体" w:eastAsia="宋体" w:cs="宋体"/>
          <w:color w:val="auto"/>
        </w:rPr>
        <w:fldChar w:fldCharType="separate"/>
      </w:r>
      <w:r>
        <w:rPr>
          <w:rFonts w:hint="eastAsia" w:ascii="宋体" w:hAnsi="宋体" w:eastAsia="宋体" w:cs="宋体"/>
          <w:color w:val="auto"/>
        </w:rPr>
        <w:t>40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FE948CA">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_Toc24491 </w:instrText>
      </w:r>
      <w:r>
        <w:rPr>
          <w:rFonts w:hint="eastAsia" w:ascii="宋体" w:hAnsi="宋体" w:eastAsia="宋体" w:cs="宋体"/>
          <w:color w:val="auto"/>
        </w:rPr>
        <w:fldChar w:fldCharType="separate"/>
      </w:r>
      <w:r>
        <w:rPr>
          <w:rFonts w:hint="eastAsia" w:ascii="宋体" w:hAnsi="宋体" w:eastAsia="宋体" w:cs="宋体"/>
          <w:color w:val="auto"/>
          <w:szCs w:val="30"/>
          <w:lang w:val="zh-CN"/>
        </w:rPr>
        <w:t>目录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_Toc24491 \h </w:instrText>
      </w:r>
      <w:r>
        <w:rPr>
          <w:rFonts w:hint="eastAsia" w:ascii="宋体" w:hAnsi="宋体" w:eastAsia="宋体" w:cs="宋体"/>
          <w:color w:val="auto"/>
        </w:rPr>
        <w:fldChar w:fldCharType="separate"/>
      </w:r>
      <w:r>
        <w:rPr>
          <w:rFonts w:hint="eastAsia" w:ascii="宋体" w:hAnsi="宋体" w:eastAsia="宋体" w:cs="宋体"/>
          <w:color w:val="auto"/>
        </w:rPr>
        <w:t>42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0973789">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_Toc9051 </w:instrText>
      </w:r>
      <w:r>
        <w:rPr>
          <w:rFonts w:hint="eastAsia" w:ascii="宋体" w:hAnsi="宋体" w:eastAsia="宋体" w:cs="宋体"/>
          <w:color w:val="auto"/>
        </w:rPr>
        <w:fldChar w:fldCharType="separate"/>
      </w:r>
      <w:r>
        <w:rPr>
          <w:rFonts w:hint="eastAsia" w:ascii="宋体" w:hAnsi="宋体" w:eastAsia="宋体" w:cs="宋体"/>
          <w:color w:val="auto"/>
          <w:kern w:val="0"/>
          <w:szCs w:val="30"/>
          <w:lang w:val="zh-CN"/>
        </w:rPr>
        <w:t>（</w:t>
      </w:r>
      <w:r>
        <w:rPr>
          <w:rFonts w:hint="eastAsia" w:ascii="宋体" w:hAnsi="宋体" w:eastAsia="宋体" w:cs="宋体"/>
          <w:color w:val="auto"/>
          <w:kern w:val="0"/>
          <w:szCs w:val="30"/>
        </w:rPr>
        <w:t>2</w:t>
      </w:r>
      <w:r>
        <w:rPr>
          <w:rFonts w:hint="eastAsia" w:ascii="宋体" w:hAnsi="宋体" w:eastAsia="宋体" w:cs="宋体"/>
          <w:color w:val="auto"/>
          <w:kern w:val="0"/>
          <w:szCs w:val="30"/>
          <w:lang w:val="zh-CN"/>
        </w:rPr>
        <w:t>）</w:t>
      </w:r>
      <w:r>
        <w:rPr>
          <w:rFonts w:hint="eastAsia" w:ascii="宋体" w:hAnsi="宋体" w:eastAsia="宋体" w:cs="宋体"/>
          <w:color w:val="auto"/>
          <w:szCs w:val="30"/>
        </w:rPr>
        <w:t>法定代表人（非法人组织负责人）证明书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_Toc9051 \h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2F75324">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_Toc18580 </w:instrText>
      </w:r>
      <w:r>
        <w:rPr>
          <w:rFonts w:hint="eastAsia" w:ascii="宋体" w:hAnsi="宋体" w:eastAsia="宋体" w:cs="宋体"/>
          <w:color w:val="auto"/>
        </w:rPr>
        <w:fldChar w:fldCharType="separate"/>
      </w:r>
      <w:r>
        <w:rPr>
          <w:rFonts w:hint="eastAsia" w:ascii="宋体" w:hAnsi="宋体" w:eastAsia="宋体" w:cs="宋体"/>
          <w:color w:val="auto"/>
          <w:szCs w:val="30"/>
        </w:rPr>
        <w:t>（4）</w:t>
      </w:r>
      <w:r>
        <w:rPr>
          <w:rFonts w:hint="eastAsia" w:ascii="宋体" w:hAnsi="宋体" w:eastAsia="宋体" w:cs="宋体"/>
          <w:color w:val="auto"/>
          <w:szCs w:val="30"/>
          <w:lang w:val="zh-CN"/>
        </w:rPr>
        <w:t>投标人承诺函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_Toc18580 \h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FD084F1">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_Toc18301 </w:instrText>
      </w:r>
      <w:r>
        <w:rPr>
          <w:rFonts w:hint="eastAsia" w:ascii="宋体" w:hAnsi="宋体" w:eastAsia="宋体" w:cs="宋体"/>
          <w:color w:val="auto"/>
        </w:rPr>
        <w:fldChar w:fldCharType="separate"/>
      </w:r>
      <w:r>
        <w:rPr>
          <w:rFonts w:hint="eastAsia" w:ascii="宋体" w:hAnsi="宋体" w:eastAsia="宋体" w:cs="宋体"/>
          <w:color w:val="auto"/>
          <w:szCs w:val="30"/>
        </w:rPr>
        <w:t>（5）</w:t>
      </w:r>
      <w:r>
        <w:rPr>
          <w:rFonts w:hint="eastAsia" w:ascii="宋体" w:hAnsi="宋体" w:eastAsia="宋体" w:cs="宋体"/>
          <w:color w:val="auto"/>
          <w:szCs w:val="30"/>
          <w:lang w:val="zh-CN"/>
        </w:rPr>
        <w:t>投标人诚信承诺书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_Toc18301 \h </w:instrText>
      </w:r>
      <w:r>
        <w:rPr>
          <w:rFonts w:hint="eastAsia" w:ascii="宋体" w:hAnsi="宋体" w:eastAsia="宋体" w:cs="宋体"/>
          <w:color w:val="auto"/>
        </w:rPr>
        <w:fldChar w:fldCharType="separate"/>
      </w:r>
      <w:r>
        <w:rPr>
          <w:rFonts w:hint="eastAsia" w:ascii="宋体" w:hAnsi="宋体" w:eastAsia="宋体" w:cs="宋体"/>
          <w:color w:val="auto"/>
        </w:rPr>
        <w:t>47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E146F7F">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_Toc181 </w:instrText>
      </w:r>
      <w:r>
        <w:rPr>
          <w:rFonts w:hint="eastAsia" w:ascii="宋体" w:hAnsi="宋体" w:eastAsia="宋体" w:cs="宋体"/>
          <w:color w:val="auto"/>
        </w:rPr>
        <w:fldChar w:fldCharType="separate"/>
      </w:r>
      <w:r>
        <w:rPr>
          <w:rFonts w:hint="eastAsia" w:ascii="宋体" w:hAnsi="宋体" w:eastAsia="宋体" w:cs="宋体"/>
          <w:color w:val="auto"/>
          <w:szCs w:val="30"/>
        </w:rPr>
        <w:t>（6）</w:t>
      </w:r>
      <w:r>
        <w:rPr>
          <w:rFonts w:hint="eastAsia" w:ascii="宋体" w:hAnsi="宋体" w:eastAsia="宋体" w:cs="宋体"/>
          <w:color w:val="auto"/>
          <w:szCs w:val="30"/>
          <w:lang w:val="zh-CN"/>
        </w:rPr>
        <w:t>资格证明材料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_Toc181 \h </w:instrText>
      </w:r>
      <w:r>
        <w:rPr>
          <w:rFonts w:hint="eastAsia" w:ascii="宋体" w:hAnsi="宋体" w:eastAsia="宋体" w:cs="宋体"/>
          <w:color w:val="auto"/>
        </w:rPr>
        <w:fldChar w:fldCharType="separate"/>
      </w:r>
      <w:r>
        <w:rPr>
          <w:rFonts w:hint="eastAsia" w:ascii="宋体" w:hAnsi="宋体" w:eastAsia="宋体" w:cs="宋体"/>
          <w:color w:val="auto"/>
        </w:rPr>
        <w:t>48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F8F72F0">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_Toc28198 </w:instrText>
      </w:r>
      <w:r>
        <w:rPr>
          <w:rFonts w:hint="eastAsia" w:ascii="宋体" w:hAnsi="宋体" w:eastAsia="宋体" w:cs="宋体"/>
          <w:color w:val="auto"/>
        </w:rPr>
        <w:fldChar w:fldCharType="separate"/>
      </w:r>
      <w:r>
        <w:rPr>
          <w:rFonts w:hint="eastAsia" w:ascii="宋体" w:hAnsi="宋体" w:eastAsia="宋体" w:cs="宋体"/>
          <w:color w:val="auto"/>
          <w:szCs w:val="30"/>
        </w:rPr>
        <w:t>（7）</w:t>
      </w:r>
      <w:r>
        <w:rPr>
          <w:rFonts w:hint="eastAsia" w:ascii="宋体" w:hAnsi="宋体" w:eastAsia="宋体" w:cs="宋体"/>
          <w:color w:val="auto"/>
          <w:szCs w:val="30"/>
          <w:lang w:val="zh-CN"/>
        </w:rPr>
        <w:t>财务状况报告，依法缴纳税收和社会保障资金的相关材料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_Toc28198 \h </w:instrText>
      </w:r>
      <w:r>
        <w:rPr>
          <w:rFonts w:hint="eastAsia" w:ascii="宋体" w:hAnsi="宋体" w:eastAsia="宋体" w:cs="宋体"/>
          <w:color w:val="auto"/>
        </w:rPr>
        <w:fldChar w:fldCharType="separate"/>
      </w:r>
      <w:r>
        <w:rPr>
          <w:rFonts w:hint="eastAsia" w:ascii="宋体" w:hAnsi="宋体" w:eastAsia="宋体" w:cs="宋体"/>
          <w:color w:val="auto"/>
        </w:rPr>
        <w:t>49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82C18D0">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_Toc27062 </w:instrText>
      </w:r>
      <w:r>
        <w:rPr>
          <w:rFonts w:hint="eastAsia" w:ascii="宋体" w:hAnsi="宋体" w:eastAsia="宋体" w:cs="宋体"/>
          <w:color w:val="auto"/>
        </w:rPr>
        <w:fldChar w:fldCharType="separate"/>
      </w:r>
      <w:r>
        <w:rPr>
          <w:rFonts w:hint="eastAsia" w:ascii="宋体" w:hAnsi="宋体" w:eastAsia="宋体" w:cs="宋体"/>
          <w:color w:val="auto"/>
          <w:szCs w:val="30"/>
        </w:rPr>
        <w:t>（8）</w:t>
      </w:r>
      <w:r>
        <w:rPr>
          <w:rFonts w:hint="eastAsia" w:ascii="宋体" w:hAnsi="宋体" w:eastAsia="宋体" w:cs="宋体"/>
          <w:color w:val="auto"/>
          <w:szCs w:val="30"/>
          <w:lang w:val="zh-CN"/>
        </w:rPr>
        <w:t>具备履行合同所必需的设备和专业技术能力的证明材料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_Toc27062 \h </w:instrText>
      </w:r>
      <w:r>
        <w:rPr>
          <w:rFonts w:hint="eastAsia" w:ascii="宋体" w:hAnsi="宋体" w:eastAsia="宋体" w:cs="宋体"/>
          <w:color w:val="auto"/>
        </w:rPr>
        <w:fldChar w:fldCharType="separate"/>
      </w:r>
      <w:r>
        <w:rPr>
          <w:rFonts w:hint="eastAsia" w:ascii="宋体" w:hAnsi="宋体" w:eastAsia="宋体" w:cs="宋体"/>
          <w:color w:val="auto"/>
        </w:rPr>
        <w:t>50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4DA3728">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_Toc15823 </w:instrText>
      </w:r>
      <w:r>
        <w:rPr>
          <w:rFonts w:hint="eastAsia" w:ascii="宋体" w:hAnsi="宋体" w:eastAsia="宋体" w:cs="宋体"/>
          <w:color w:val="auto"/>
        </w:rPr>
        <w:fldChar w:fldCharType="separate"/>
      </w:r>
      <w:r>
        <w:rPr>
          <w:rFonts w:hint="eastAsia" w:ascii="宋体" w:hAnsi="宋体" w:eastAsia="宋体" w:cs="宋体"/>
          <w:color w:val="auto"/>
          <w:szCs w:val="30"/>
        </w:rPr>
        <w:t>（9）</w:t>
      </w:r>
      <w:r>
        <w:rPr>
          <w:rFonts w:hint="eastAsia" w:ascii="宋体" w:hAnsi="宋体" w:eastAsia="宋体" w:cs="宋体"/>
          <w:color w:val="auto"/>
          <w:szCs w:val="30"/>
          <w:lang w:val="zh-CN"/>
        </w:rPr>
        <w:t>无重大违法记录声明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_Toc15823 \h </w:instrText>
      </w:r>
      <w:r>
        <w:rPr>
          <w:rFonts w:hint="eastAsia" w:ascii="宋体" w:hAnsi="宋体" w:eastAsia="宋体" w:cs="宋体"/>
          <w:color w:val="auto"/>
        </w:rPr>
        <w:fldChar w:fldCharType="separate"/>
      </w:r>
      <w:r>
        <w:rPr>
          <w:rFonts w:hint="eastAsia" w:ascii="宋体" w:hAnsi="宋体" w:eastAsia="宋体" w:cs="宋体"/>
          <w:color w:val="auto"/>
        </w:rPr>
        <w:t>51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FC91DC7">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_Toc30165 </w:instrText>
      </w:r>
      <w:r>
        <w:rPr>
          <w:rFonts w:hint="eastAsia" w:ascii="宋体" w:hAnsi="宋体" w:eastAsia="宋体" w:cs="宋体"/>
          <w:color w:val="auto"/>
        </w:rPr>
        <w:fldChar w:fldCharType="separate"/>
      </w:r>
      <w:r>
        <w:rPr>
          <w:rFonts w:hint="eastAsia" w:ascii="宋体" w:hAnsi="宋体" w:eastAsia="宋体" w:cs="宋体"/>
          <w:color w:val="auto"/>
          <w:szCs w:val="30"/>
        </w:rPr>
        <w:t>（10）</w:t>
      </w:r>
      <w:r>
        <w:rPr>
          <w:rFonts w:hint="eastAsia" w:ascii="宋体" w:hAnsi="宋体" w:eastAsia="宋体" w:cs="宋体"/>
          <w:color w:val="auto"/>
          <w:szCs w:val="30"/>
          <w:lang w:val="zh-CN"/>
        </w:rPr>
        <w:t>投标保证金证明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_Toc30165 \h </w:instrText>
      </w:r>
      <w:r>
        <w:rPr>
          <w:rFonts w:hint="eastAsia" w:ascii="宋体" w:hAnsi="宋体" w:eastAsia="宋体" w:cs="宋体"/>
          <w:color w:val="auto"/>
        </w:rPr>
        <w:fldChar w:fldCharType="separate"/>
      </w:r>
      <w:r>
        <w:rPr>
          <w:rFonts w:hint="eastAsia" w:ascii="宋体" w:hAnsi="宋体" w:eastAsia="宋体" w:cs="宋体"/>
          <w:color w:val="auto"/>
        </w:rPr>
        <w:t>52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CFDCD56">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_Toc22210 </w:instrText>
      </w:r>
      <w:r>
        <w:rPr>
          <w:rFonts w:hint="eastAsia" w:ascii="宋体" w:hAnsi="宋体" w:eastAsia="宋体" w:cs="宋体"/>
          <w:color w:val="auto"/>
        </w:rPr>
        <w:fldChar w:fldCharType="separate"/>
      </w:r>
      <w:r>
        <w:rPr>
          <w:rFonts w:hint="eastAsia" w:ascii="宋体" w:hAnsi="宋体" w:eastAsia="宋体" w:cs="宋体"/>
          <w:color w:val="auto"/>
          <w:szCs w:val="30"/>
        </w:rPr>
        <w:t>（12）</w:t>
      </w:r>
      <w:r>
        <w:rPr>
          <w:rFonts w:hint="eastAsia" w:ascii="宋体" w:hAnsi="宋体" w:eastAsia="宋体" w:cs="宋体"/>
          <w:color w:val="auto"/>
          <w:szCs w:val="30"/>
          <w:lang w:val="zh-CN"/>
        </w:rPr>
        <w:t>开标一览表（报价表）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_Toc22210 \h </w:instrText>
      </w:r>
      <w:r>
        <w:rPr>
          <w:rFonts w:hint="eastAsia" w:ascii="宋体" w:hAnsi="宋体" w:eastAsia="宋体" w:cs="宋体"/>
          <w:color w:val="auto"/>
        </w:rPr>
        <w:fldChar w:fldCharType="separate"/>
      </w:r>
      <w:r>
        <w:rPr>
          <w:rFonts w:hint="eastAsia" w:ascii="宋体" w:hAnsi="宋体" w:eastAsia="宋体" w:cs="宋体"/>
          <w:color w:val="auto"/>
        </w:rPr>
        <w:t>54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E92FEA5">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_Toc26418 </w:instrText>
      </w:r>
      <w:r>
        <w:rPr>
          <w:rFonts w:hint="eastAsia" w:ascii="宋体" w:hAnsi="宋体" w:eastAsia="宋体" w:cs="宋体"/>
          <w:color w:val="auto"/>
        </w:rPr>
        <w:fldChar w:fldCharType="separate"/>
      </w:r>
      <w:r>
        <w:rPr>
          <w:rFonts w:hint="eastAsia" w:ascii="宋体" w:hAnsi="宋体" w:eastAsia="宋体" w:cs="宋体"/>
          <w:color w:val="auto"/>
          <w:szCs w:val="30"/>
        </w:rPr>
        <w:t>（13）</w:t>
      </w:r>
      <w:r>
        <w:rPr>
          <w:rFonts w:hint="eastAsia" w:ascii="宋体" w:hAnsi="宋体" w:eastAsia="宋体" w:cs="宋体"/>
          <w:color w:val="auto"/>
          <w:szCs w:val="30"/>
          <w:lang w:val="zh-CN"/>
        </w:rPr>
        <w:t>分项报价表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_Toc26418 \h </w:instrText>
      </w:r>
      <w:r>
        <w:rPr>
          <w:rFonts w:hint="eastAsia" w:ascii="宋体" w:hAnsi="宋体" w:eastAsia="宋体" w:cs="宋体"/>
          <w:color w:val="auto"/>
        </w:rPr>
        <w:fldChar w:fldCharType="separate"/>
      </w:r>
      <w:r>
        <w:rPr>
          <w:rFonts w:hint="eastAsia" w:ascii="宋体" w:hAnsi="宋体" w:eastAsia="宋体" w:cs="宋体"/>
          <w:color w:val="auto"/>
        </w:rPr>
        <w:t>55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3B4D942">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_Toc29101 </w:instrText>
      </w:r>
      <w:r>
        <w:rPr>
          <w:rFonts w:hint="eastAsia" w:ascii="宋体" w:hAnsi="宋体" w:eastAsia="宋体" w:cs="宋体"/>
          <w:color w:val="auto"/>
        </w:rPr>
        <w:fldChar w:fldCharType="separate"/>
      </w:r>
      <w:r>
        <w:rPr>
          <w:rFonts w:hint="eastAsia" w:ascii="宋体" w:hAnsi="宋体" w:eastAsia="宋体" w:cs="宋体"/>
          <w:color w:val="auto"/>
          <w:szCs w:val="30"/>
        </w:rPr>
        <w:t>（14）</w:t>
      </w:r>
      <w:r>
        <w:rPr>
          <w:rFonts w:hint="eastAsia" w:ascii="宋体" w:hAnsi="宋体" w:eastAsia="宋体" w:cs="宋体"/>
          <w:color w:val="auto"/>
          <w:szCs w:val="30"/>
          <w:lang w:val="zh-CN"/>
        </w:rPr>
        <w:t>技术规格响应表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_Toc29101 \h </w:instrText>
      </w:r>
      <w:r>
        <w:rPr>
          <w:rFonts w:hint="eastAsia" w:ascii="宋体" w:hAnsi="宋体" w:eastAsia="宋体" w:cs="宋体"/>
          <w:color w:val="auto"/>
        </w:rPr>
        <w:fldChar w:fldCharType="separate"/>
      </w:r>
      <w:r>
        <w:rPr>
          <w:rFonts w:hint="eastAsia" w:ascii="宋体" w:hAnsi="宋体" w:eastAsia="宋体" w:cs="宋体"/>
          <w:color w:val="auto"/>
        </w:rPr>
        <w:t>56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78496D4">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_Toc24199 </w:instrText>
      </w:r>
      <w:r>
        <w:rPr>
          <w:rFonts w:hint="eastAsia" w:ascii="宋体" w:hAnsi="宋体" w:eastAsia="宋体" w:cs="宋体"/>
          <w:color w:val="auto"/>
        </w:rPr>
        <w:fldChar w:fldCharType="separate"/>
      </w:r>
      <w:r>
        <w:rPr>
          <w:rFonts w:hint="eastAsia" w:ascii="宋体" w:hAnsi="宋体" w:eastAsia="宋体" w:cs="宋体"/>
          <w:color w:val="auto"/>
          <w:szCs w:val="30"/>
        </w:rPr>
        <w:t>（15）</w:t>
      </w:r>
      <w:r>
        <w:rPr>
          <w:rFonts w:hint="eastAsia" w:ascii="宋体" w:hAnsi="宋体" w:eastAsia="宋体" w:cs="宋体"/>
          <w:color w:val="auto"/>
          <w:szCs w:val="30"/>
          <w:lang w:val="zh-CN"/>
        </w:rPr>
        <w:t>投标产品相关资料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_Toc24199 \h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3E2AD71">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_Toc29703 </w:instrText>
      </w:r>
      <w:r>
        <w:rPr>
          <w:rFonts w:hint="eastAsia" w:ascii="宋体" w:hAnsi="宋体" w:eastAsia="宋体" w:cs="宋体"/>
          <w:color w:val="auto"/>
        </w:rPr>
        <w:fldChar w:fldCharType="separate"/>
      </w:r>
      <w:r>
        <w:rPr>
          <w:rFonts w:hint="eastAsia" w:ascii="宋体" w:hAnsi="宋体" w:eastAsia="宋体" w:cs="宋体"/>
          <w:color w:val="auto"/>
          <w:szCs w:val="30"/>
        </w:rPr>
        <w:t>（16）</w:t>
      </w:r>
      <w:r>
        <w:rPr>
          <w:rFonts w:hint="eastAsia" w:ascii="宋体" w:hAnsi="宋体" w:eastAsia="宋体" w:cs="宋体"/>
          <w:color w:val="auto"/>
          <w:szCs w:val="30"/>
          <w:lang w:val="zh-CN"/>
        </w:rPr>
        <w:t>投标人的类似业绩证明材料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_Toc29703 \h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8EE7DFF">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_Toc23693 </w:instrText>
      </w:r>
      <w:r>
        <w:rPr>
          <w:rFonts w:hint="eastAsia" w:ascii="宋体" w:hAnsi="宋体" w:eastAsia="宋体" w:cs="宋体"/>
          <w:color w:val="auto"/>
        </w:rPr>
        <w:fldChar w:fldCharType="separate"/>
      </w:r>
      <w:r>
        <w:rPr>
          <w:rFonts w:hint="eastAsia" w:ascii="宋体" w:hAnsi="宋体" w:eastAsia="宋体" w:cs="宋体"/>
          <w:color w:val="auto"/>
          <w:szCs w:val="30"/>
        </w:rPr>
        <w:t>（18）</w:t>
      </w:r>
      <w:r>
        <w:rPr>
          <w:rFonts w:hint="eastAsia" w:ascii="宋体" w:hAnsi="宋体" w:eastAsia="宋体" w:cs="宋体"/>
          <w:color w:val="auto"/>
          <w:szCs w:val="30"/>
          <w:lang w:val="zh-CN"/>
        </w:rPr>
        <w:t>投标人认为在其他方面有必要说明的事项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_Toc23693 \h </w:instrText>
      </w:r>
      <w:r>
        <w:rPr>
          <w:rFonts w:hint="eastAsia" w:ascii="宋体" w:hAnsi="宋体" w:eastAsia="宋体" w:cs="宋体"/>
          <w:color w:val="auto"/>
        </w:rPr>
        <w:fldChar w:fldCharType="separate"/>
      </w:r>
      <w:r>
        <w:rPr>
          <w:rFonts w:hint="eastAsia" w:ascii="宋体" w:hAnsi="宋体" w:eastAsia="宋体" w:cs="宋体"/>
          <w:color w:val="auto"/>
        </w:rPr>
        <w:t>63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FCEB275">
      <w:pPr>
        <w:pStyle w:val="22"/>
        <w:tabs>
          <w:tab w:val="right" w:leader="dot" w:pos="8243"/>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_Toc12374 </w:instrText>
      </w:r>
      <w:r>
        <w:rPr>
          <w:rFonts w:hint="eastAsia" w:ascii="宋体" w:hAnsi="宋体" w:eastAsia="宋体" w:cs="宋体"/>
          <w:color w:val="auto"/>
        </w:rPr>
        <w:fldChar w:fldCharType="separate"/>
      </w:r>
      <w:r>
        <w:rPr>
          <w:rFonts w:hint="eastAsia" w:ascii="宋体" w:hAnsi="宋体" w:eastAsia="宋体" w:cs="宋体"/>
          <w:color w:val="auto"/>
          <w:szCs w:val="36"/>
          <w:lang w:val="zh-CN"/>
        </w:rPr>
        <w:t>第五部分  采购项目要求及技术参数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_Toc12374 \h </w:instrText>
      </w:r>
      <w:r>
        <w:rPr>
          <w:rFonts w:hint="eastAsia" w:ascii="宋体" w:hAnsi="宋体" w:eastAsia="宋体" w:cs="宋体"/>
          <w:color w:val="auto"/>
        </w:rPr>
        <w:fldChar w:fldCharType="separate"/>
      </w:r>
      <w:r>
        <w:rPr>
          <w:rFonts w:hint="eastAsia" w:ascii="宋体" w:hAnsi="宋体" w:eastAsia="宋体" w:cs="宋体"/>
          <w:color w:val="auto"/>
        </w:rPr>
        <w:t>64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B39B880">
      <w:pPr>
        <w:spacing w:line="400" w:lineRule="exact"/>
        <w:rPr>
          <w:rFonts w:hint="eastAsia" w:ascii="宋体" w:hAnsi="宋体" w:eastAsia="宋体" w:cs="宋体"/>
          <w:color w:val="auto"/>
        </w:rPr>
      </w:pPr>
      <w:r>
        <w:rPr>
          <w:rFonts w:hint="eastAsia" w:ascii="宋体" w:hAnsi="宋体" w:eastAsia="宋体" w:cs="宋体"/>
          <w:color w:val="auto"/>
        </w:rPr>
        <w:fldChar w:fldCharType="end"/>
      </w:r>
    </w:p>
    <w:p w14:paraId="60054C1D">
      <w:pPr>
        <w:pStyle w:val="25"/>
        <w:spacing w:before="0" w:after="0" w:line="360" w:lineRule="auto"/>
        <w:rPr>
          <w:rFonts w:hint="eastAsia" w:ascii="宋体" w:hAnsi="宋体" w:eastAsia="宋体" w:cs="宋体"/>
          <w:color w:val="auto"/>
          <w:szCs w:val="36"/>
          <w:lang w:val="zh-CN"/>
        </w:rPr>
        <w:sectPr>
          <w:headerReference r:id="rId3" w:type="default"/>
          <w:footerReference r:id="rId4" w:type="even"/>
          <w:pgSz w:w="11849" w:h="16781"/>
          <w:pgMar w:top="2098" w:right="1440" w:bottom="1984" w:left="1440" w:header="851" w:footer="992" w:gutter="0"/>
          <w:pgNumType w:start="1"/>
          <w:cols w:space="720" w:num="1"/>
          <w:docGrid w:linePitch="397" w:charSpace="0"/>
        </w:sectPr>
      </w:pPr>
      <w:bookmarkStart w:id="0" w:name="_Toc14901"/>
    </w:p>
    <w:p w14:paraId="62F99747">
      <w:pPr>
        <w:pStyle w:val="25"/>
        <w:spacing w:before="0" w:after="0" w:line="360" w:lineRule="auto"/>
        <w:rPr>
          <w:rFonts w:hint="eastAsia" w:ascii="宋体" w:hAnsi="宋体" w:eastAsia="宋体" w:cs="宋体"/>
          <w:color w:val="auto"/>
          <w:szCs w:val="36"/>
          <w:lang w:val="zh-CN"/>
        </w:rPr>
      </w:pPr>
      <w:r>
        <w:rPr>
          <w:rFonts w:hint="eastAsia" w:ascii="宋体" w:hAnsi="宋体" w:eastAsia="宋体" w:cs="宋体"/>
          <w:color w:val="auto"/>
          <w:szCs w:val="36"/>
          <w:lang w:val="zh-CN"/>
        </w:rPr>
        <w:t>第一部分  投标邀请</w:t>
      </w:r>
      <w:bookmarkEnd w:id="0"/>
    </w:p>
    <w:p w14:paraId="0899C49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highlight w:val="none"/>
        </w:rPr>
      </w:pPr>
      <w:bookmarkStart w:id="1" w:name="_Toc35393790"/>
      <w:bookmarkStart w:id="2" w:name="_Toc28359079"/>
      <w:bookmarkStart w:id="3" w:name="_Toc28359002"/>
      <w:bookmarkStart w:id="4" w:name="_Toc35393621"/>
      <w:bookmarkStart w:id="5" w:name="_Hlk24379207"/>
      <w:bookmarkStart w:id="6" w:name="_Toc428180535"/>
      <w:r>
        <w:rPr>
          <w:rFonts w:hint="eastAsia" w:ascii="宋体" w:hAnsi="宋体" w:cs="宋体"/>
          <w:color w:val="auto"/>
          <w:highlight w:val="none"/>
        </w:rPr>
        <w:t>项目概况</w:t>
      </w:r>
    </w:p>
    <w:p w14:paraId="1C50C24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u w:val="single"/>
          <w:lang w:val="en-US" w:eastAsia="zh-CN"/>
        </w:rPr>
        <w:t>称多县2025年基层卫生院服务能力提升项目</w:t>
      </w:r>
      <w:r>
        <w:rPr>
          <w:rFonts w:hint="eastAsia" w:ascii="宋体" w:hAnsi="宋体" w:cs="宋体"/>
          <w:color w:val="auto"/>
          <w:highlight w:val="none"/>
        </w:rPr>
        <w:t>招标项目的潜在投标人应在</w:t>
      </w:r>
      <w:r>
        <w:rPr>
          <w:rFonts w:hint="eastAsia" w:ascii="宋体" w:hAnsi="宋体" w:eastAsia="宋体" w:cs="宋体"/>
          <w:bCs/>
          <w:color w:val="auto"/>
          <w:highlight w:val="none"/>
          <w:u w:val="single"/>
        </w:rPr>
        <w:t>政采云平台线上报名</w:t>
      </w:r>
      <w:r>
        <w:rPr>
          <w:rFonts w:hint="eastAsia" w:ascii="宋体" w:hAnsi="宋体" w:cs="宋体"/>
          <w:color w:val="auto"/>
          <w:highlight w:val="none"/>
        </w:rPr>
        <w:t>获取招标文件，并于</w:t>
      </w:r>
      <w:r>
        <w:rPr>
          <w:rFonts w:hint="eastAsia" w:ascii="宋体" w:hAnsi="宋体" w:cs="宋体"/>
          <w:color w:val="auto"/>
          <w:highlight w:val="none"/>
          <w:u w:val="single"/>
          <w:lang w:eastAsia="zh-CN"/>
        </w:rPr>
        <w:t>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lang w:eastAsia="zh-CN"/>
        </w:rPr>
        <w:t>年</w:t>
      </w:r>
      <w:r>
        <w:rPr>
          <w:rFonts w:hint="eastAsia" w:ascii="宋体" w:hAnsi="宋体" w:cs="宋体"/>
          <w:color w:val="auto"/>
          <w:highlight w:val="none"/>
          <w:u w:val="single"/>
          <w:lang w:val="en-US" w:eastAsia="zh-CN"/>
        </w:rPr>
        <w:t>7月14日10</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w:t>
      </w:r>
      <w:r>
        <w:rPr>
          <w:rFonts w:hint="eastAsia" w:ascii="宋体" w:hAnsi="宋体" w:cs="宋体"/>
          <w:bCs/>
          <w:color w:val="auto"/>
          <w:highlight w:val="none"/>
          <w:u w:val="none"/>
        </w:rPr>
        <w:t>（</w:t>
      </w:r>
      <w:r>
        <w:rPr>
          <w:rFonts w:hint="eastAsia" w:ascii="宋体" w:hAnsi="宋体" w:cs="宋体"/>
          <w:bCs/>
          <w:color w:val="auto"/>
          <w:highlight w:val="none"/>
        </w:rPr>
        <w:t>北京时间）前递交投标文件</w:t>
      </w:r>
      <w:r>
        <w:rPr>
          <w:rFonts w:hint="eastAsia" w:ascii="宋体" w:hAnsi="宋体" w:cs="宋体"/>
          <w:color w:val="auto"/>
          <w:highlight w:val="none"/>
        </w:rPr>
        <w:t>。</w:t>
      </w:r>
    </w:p>
    <w:p w14:paraId="4B4543A9">
      <w:pPr>
        <w:pStyle w:val="3"/>
        <w:spacing w:line="360" w:lineRule="auto"/>
        <w:rPr>
          <w:rFonts w:hint="eastAsia" w:ascii="宋体" w:hAnsi="宋体" w:cs="宋体"/>
          <w:b w:val="0"/>
          <w:color w:val="auto"/>
          <w:sz w:val="24"/>
          <w:szCs w:val="24"/>
          <w:highlight w:val="none"/>
        </w:rPr>
      </w:pPr>
      <w:bookmarkStart w:id="7" w:name="_Toc7769"/>
      <w:bookmarkStart w:id="8" w:name="_Toc32064"/>
      <w:r>
        <w:rPr>
          <w:rFonts w:hint="eastAsia" w:ascii="宋体" w:hAnsi="宋体" w:cs="宋体"/>
          <w:b w:val="0"/>
          <w:color w:val="auto"/>
          <w:sz w:val="24"/>
          <w:szCs w:val="24"/>
          <w:highlight w:val="none"/>
        </w:rPr>
        <w:t>一、项目基本情况</w:t>
      </w:r>
      <w:bookmarkEnd w:id="1"/>
      <w:bookmarkEnd w:id="2"/>
      <w:bookmarkEnd w:id="3"/>
      <w:bookmarkEnd w:id="4"/>
      <w:bookmarkEnd w:id="7"/>
      <w:bookmarkEnd w:id="8"/>
    </w:p>
    <w:p w14:paraId="02F95B35">
      <w:pPr>
        <w:spacing w:line="360" w:lineRule="auto"/>
        <w:ind w:firstLine="480" w:firstLineChars="200"/>
        <w:rPr>
          <w:rFonts w:hint="default" w:ascii="宋体" w:hAnsi="宋体" w:eastAsia="宋体" w:cs="宋体"/>
          <w:color w:val="auto"/>
          <w:kern w:val="0"/>
          <w:highlight w:val="none"/>
          <w:lang w:val="en-US" w:eastAsia="zh-CN"/>
        </w:rPr>
      </w:pPr>
      <w:r>
        <w:rPr>
          <w:rFonts w:hint="eastAsia" w:ascii="宋体" w:hAnsi="宋体" w:cs="宋体"/>
          <w:color w:val="auto"/>
          <w:highlight w:val="none"/>
        </w:rPr>
        <w:t>项目编号：</w:t>
      </w:r>
      <w:r>
        <w:rPr>
          <w:rFonts w:hint="eastAsia" w:ascii="宋体" w:hAnsi="宋体" w:cs="宋体"/>
          <w:color w:val="auto"/>
          <w:kern w:val="0"/>
          <w:highlight w:val="none"/>
          <w:lang w:val="en-US" w:eastAsia="zh-CN"/>
        </w:rPr>
        <w:t>青海宇创公招（货物）2025-005</w:t>
      </w:r>
    </w:p>
    <w:p w14:paraId="71EB1A13">
      <w:pPr>
        <w:spacing w:line="360" w:lineRule="auto"/>
        <w:ind w:left="480" w:leftChars="200" w:firstLine="0" w:firstLineChars="0"/>
        <w:rPr>
          <w:rFonts w:hint="eastAsia" w:ascii="宋体" w:hAnsi="宋体" w:cs="宋体"/>
          <w:color w:val="auto"/>
          <w:kern w:val="0"/>
          <w:highlight w:val="none"/>
          <w:lang w:val="en-US" w:eastAsia="zh-CN"/>
        </w:rPr>
      </w:pPr>
      <w:r>
        <w:rPr>
          <w:rFonts w:hint="eastAsia" w:ascii="宋体" w:hAnsi="宋体" w:cs="宋体"/>
          <w:color w:val="auto"/>
          <w:highlight w:val="none"/>
        </w:rPr>
        <w:t>项目名称：</w:t>
      </w:r>
      <w:bookmarkEnd w:id="5"/>
      <w:r>
        <w:rPr>
          <w:rFonts w:hint="eastAsia" w:ascii="宋体" w:hAnsi="宋体" w:cs="宋体"/>
          <w:color w:val="auto"/>
          <w:kern w:val="0"/>
          <w:highlight w:val="none"/>
          <w:lang w:val="en-US" w:eastAsia="zh-CN"/>
        </w:rPr>
        <w:t>称多县2025年基层卫生院服务能力提升项目</w:t>
      </w:r>
    </w:p>
    <w:p w14:paraId="46423315">
      <w:pPr>
        <w:spacing w:line="360" w:lineRule="auto"/>
        <w:ind w:left="480" w:leftChars="200" w:firstLine="0" w:firstLineChars="0"/>
        <w:rPr>
          <w:rFonts w:hint="eastAsia" w:ascii="宋体" w:hAnsi="宋体" w:cs="宋体"/>
          <w:color w:val="auto"/>
          <w:highlight w:val="none"/>
          <w:lang w:val="en-US" w:eastAsia="zh-CN"/>
        </w:rPr>
      </w:pPr>
      <w:r>
        <w:rPr>
          <w:rFonts w:hint="eastAsia" w:ascii="宋体" w:hAnsi="宋体" w:cs="宋体"/>
          <w:color w:val="auto"/>
          <w:highlight w:val="none"/>
        </w:rPr>
        <w:t>预算金额（元）：</w:t>
      </w:r>
      <w:r>
        <w:rPr>
          <w:rFonts w:hint="eastAsia" w:ascii="宋体" w:hAnsi="宋体" w:cs="宋体"/>
          <w:color w:val="auto"/>
          <w:highlight w:val="none"/>
          <w:lang w:eastAsia="zh-CN"/>
        </w:rPr>
        <w:t>人民币</w:t>
      </w:r>
      <w:r>
        <w:rPr>
          <w:rFonts w:hint="eastAsia" w:ascii="宋体" w:hAnsi="宋体" w:cs="宋体"/>
          <w:color w:val="auto"/>
          <w:highlight w:val="none"/>
          <w:lang w:val="en-US" w:eastAsia="zh-CN"/>
        </w:rPr>
        <w:t>2400000.00元</w:t>
      </w:r>
    </w:p>
    <w:p w14:paraId="1E1AAD0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最高限价（如有）：人民币2</w:t>
      </w:r>
      <w:r>
        <w:rPr>
          <w:rFonts w:hint="eastAsia" w:ascii="宋体" w:hAnsi="宋体" w:cs="宋体"/>
          <w:color w:val="auto"/>
          <w:kern w:val="0"/>
          <w:sz w:val="24"/>
          <w:szCs w:val="24"/>
          <w:highlight w:val="none"/>
          <w:lang w:val="en-US" w:eastAsia="zh-CN" w:bidi="ar-SA"/>
        </w:rPr>
        <w:t>27</w:t>
      </w:r>
      <w:r>
        <w:rPr>
          <w:rFonts w:hint="eastAsia" w:ascii="宋体" w:hAnsi="宋体" w:eastAsia="宋体" w:cs="宋体"/>
          <w:color w:val="auto"/>
          <w:kern w:val="0"/>
          <w:sz w:val="24"/>
          <w:szCs w:val="24"/>
          <w:highlight w:val="none"/>
          <w:lang w:val="en-US" w:eastAsia="zh-CN" w:bidi="ar-SA"/>
        </w:rPr>
        <w:t>0000.00元</w:t>
      </w:r>
    </w:p>
    <w:p w14:paraId="344419C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p>
    <w:p w14:paraId="7E53256A">
      <w:pPr>
        <w:autoSpaceDE w:val="0"/>
        <w:autoSpaceDN w:val="0"/>
        <w:adjustRightInd w:val="0"/>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采购需求：详见</w:t>
      </w:r>
      <w:r>
        <w:rPr>
          <w:rFonts w:hint="eastAsia" w:ascii="宋体" w:hAnsi="宋体" w:cs="宋体"/>
          <w:color w:val="auto"/>
          <w:highlight w:val="none"/>
          <w:lang w:val="en-US" w:eastAsia="zh-CN"/>
        </w:rPr>
        <w:t>招标</w:t>
      </w:r>
      <w:r>
        <w:rPr>
          <w:rFonts w:hint="eastAsia" w:ascii="宋体" w:hAnsi="宋体" w:cs="宋体"/>
          <w:color w:val="auto"/>
          <w:highlight w:val="none"/>
          <w:lang w:eastAsia="zh-CN"/>
        </w:rPr>
        <w:t>文件</w:t>
      </w:r>
    </w:p>
    <w:p w14:paraId="408F4AAC">
      <w:pPr>
        <w:autoSpaceDE w:val="0"/>
        <w:autoSpaceDN w:val="0"/>
        <w:adjustRightInd w:val="0"/>
        <w:spacing w:line="360" w:lineRule="auto"/>
        <w:ind w:firstLine="480" w:firstLineChars="200"/>
        <w:jc w:val="left"/>
        <w:rPr>
          <w:rFonts w:hint="eastAsia" w:ascii="宋体" w:hAnsi="宋体" w:cs="宋体"/>
          <w:color w:val="auto"/>
          <w:kern w:val="0"/>
          <w:highlight w:val="none"/>
          <w:lang w:val="en-US" w:eastAsia="zh-CN"/>
        </w:rPr>
      </w:pPr>
      <w:r>
        <w:rPr>
          <w:rFonts w:hint="eastAsia" w:ascii="宋体" w:hAnsi="宋体" w:cs="宋体"/>
          <w:color w:val="auto"/>
          <w:highlight w:val="none"/>
        </w:rPr>
        <w:t>标项名称：</w:t>
      </w:r>
      <w:r>
        <w:rPr>
          <w:rFonts w:hint="eastAsia" w:ascii="宋体" w:hAnsi="宋体" w:cs="宋体"/>
          <w:color w:val="auto"/>
          <w:kern w:val="0"/>
          <w:highlight w:val="none"/>
          <w:lang w:val="en-US" w:eastAsia="zh-CN"/>
        </w:rPr>
        <w:t>称多县2025年基层卫生院服务能力提升项目</w:t>
      </w:r>
    </w:p>
    <w:p w14:paraId="3719631D">
      <w:pPr>
        <w:autoSpaceDE w:val="0"/>
        <w:autoSpaceDN w:val="0"/>
        <w:adjustRightInd w:val="0"/>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数量：详见</w:t>
      </w:r>
      <w:r>
        <w:rPr>
          <w:rFonts w:hint="eastAsia" w:ascii="宋体" w:hAnsi="宋体" w:cs="宋体"/>
          <w:color w:val="auto"/>
          <w:highlight w:val="none"/>
          <w:lang w:val="en-US" w:eastAsia="zh-CN"/>
        </w:rPr>
        <w:t>招标</w:t>
      </w:r>
      <w:r>
        <w:rPr>
          <w:rFonts w:hint="eastAsia" w:ascii="宋体" w:hAnsi="宋体" w:cs="宋体"/>
          <w:color w:val="auto"/>
          <w:highlight w:val="none"/>
          <w:lang w:eastAsia="zh-CN"/>
        </w:rPr>
        <w:t>文件</w:t>
      </w:r>
    </w:p>
    <w:p w14:paraId="008A805B">
      <w:pPr>
        <w:spacing w:line="360" w:lineRule="auto"/>
        <w:ind w:left="480" w:leftChars="200" w:firstLine="0" w:firstLineChars="0"/>
        <w:rPr>
          <w:rFonts w:hint="eastAsia" w:ascii="宋体" w:hAnsi="宋体" w:cs="宋体"/>
          <w:color w:val="auto"/>
          <w:highlight w:val="none"/>
          <w:lang w:val="en-US" w:eastAsia="zh-CN"/>
        </w:rPr>
      </w:pPr>
      <w:r>
        <w:rPr>
          <w:rFonts w:hint="eastAsia" w:ascii="宋体" w:hAnsi="宋体" w:cs="宋体"/>
          <w:color w:val="auto"/>
          <w:highlight w:val="none"/>
        </w:rPr>
        <w:t>预算金额（元）：</w:t>
      </w:r>
      <w:r>
        <w:rPr>
          <w:rFonts w:hint="eastAsia" w:ascii="宋体" w:hAnsi="宋体" w:cs="宋体"/>
          <w:color w:val="auto"/>
          <w:highlight w:val="none"/>
          <w:lang w:eastAsia="zh-CN"/>
        </w:rPr>
        <w:t>人民币</w:t>
      </w:r>
      <w:r>
        <w:rPr>
          <w:rFonts w:hint="eastAsia" w:ascii="宋体" w:hAnsi="宋体" w:cs="宋体"/>
          <w:color w:val="auto"/>
          <w:highlight w:val="none"/>
          <w:lang w:val="en-US" w:eastAsia="zh-CN"/>
        </w:rPr>
        <w:t>2400000.00元</w:t>
      </w:r>
    </w:p>
    <w:p w14:paraId="75F8A33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最高限价（如有）：人民币2</w:t>
      </w:r>
      <w:r>
        <w:rPr>
          <w:rFonts w:hint="eastAsia" w:ascii="宋体" w:hAnsi="宋体" w:cs="宋体"/>
          <w:color w:val="auto"/>
          <w:kern w:val="0"/>
          <w:sz w:val="24"/>
          <w:szCs w:val="24"/>
          <w:highlight w:val="none"/>
          <w:lang w:val="en-US" w:eastAsia="zh-CN" w:bidi="ar-SA"/>
        </w:rPr>
        <w:t>27</w:t>
      </w:r>
      <w:r>
        <w:rPr>
          <w:rFonts w:hint="eastAsia" w:ascii="宋体" w:hAnsi="宋体" w:eastAsia="宋体" w:cs="宋体"/>
          <w:color w:val="auto"/>
          <w:kern w:val="0"/>
          <w:sz w:val="24"/>
          <w:szCs w:val="24"/>
          <w:highlight w:val="none"/>
          <w:lang w:val="en-US" w:eastAsia="zh-CN" w:bidi="ar-SA"/>
        </w:rPr>
        <w:t>0000.00元</w:t>
      </w:r>
    </w:p>
    <w:p w14:paraId="168A89CF">
      <w:pPr>
        <w:autoSpaceDE w:val="0"/>
        <w:autoSpaceDN w:val="0"/>
        <w:adjustRightInd w:val="0"/>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简要规格描述或项目基本概况介绍、用途：详见</w:t>
      </w:r>
      <w:r>
        <w:rPr>
          <w:rFonts w:hint="eastAsia" w:ascii="宋体" w:hAnsi="宋体" w:cs="宋体"/>
          <w:color w:val="auto"/>
          <w:highlight w:val="none"/>
          <w:lang w:val="en-US" w:eastAsia="zh-CN"/>
        </w:rPr>
        <w:t>招标</w:t>
      </w:r>
      <w:r>
        <w:rPr>
          <w:rFonts w:hint="eastAsia" w:ascii="宋体" w:hAnsi="宋体" w:cs="宋体"/>
          <w:color w:val="auto"/>
          <w:highlight w:val="none"/>
          <w:lang w:eastAsia="zh-CN"/>
        </w:rPr>
        <w:t>文件</w:t>
      </w:r>
    </w:p>
    <w:p w14:paraId="59DCF63D">
      <w:pPr>
        <w:autoSpaceDE w:val="0"/>
        <w:autoSpaceDN w:val="0"/>
        <w:adjustRightInd w:val="0"/>
        <w:spacing w:line="360" w:lineRule="auto"/>
        <w:ind w:firstLine="480" w:firstLineChars="200"/>
        <w:jc w:val="left"/>
        <w:rPr>
          <w:rFonts w:hint="eastAsia" w:ascii="宋体" w:hAnsi="宋体" w:eastAsia="宋体" w:cs="宋体"/>
          <w:color w:val="auto"/>
          <w:highlight w:val="none"/>
        </w:rPr>
      </w:pPr>
      <w:r>
        <w:rPr>
          <w:rFonts w:hint="eastAsia" w:ascii="宋体" w:hAnsi="宋体" w:cs="宋体"/>
          <w:color w:val="auto"/>
          <w:highlight w:val="none"/>
        </w:rPr>
        <w:t>备注：</w:t>
      </w:r>
    </w:p>
    <w:p w14:paraId="615C8A4F">
      <w:pPr>
        <w:autoSpaceDE w:val="0"/>
        <w:autoSpaceDN w:val="0"/>
        <w:adjustRightInd w:val="0"/>
        <w:spacing w:line="360" w:lineRule="auto"/>
        <w:ind w:firstLine="480" w:firstLineChars="200"/>
        <w:jc w:val="left"/>
        <w:rPr>
          <w:rFonts w:hint="eastAsia" w:ascii="宋体" w:hAnsi="宋体" w:cs="宋体"/>
          <w:color w:val="auto"/>
          <w:highlight w:val="none"/>
        </w:rPr>
      </w:pPr>
      <w:r>
        <w:rPr>
          <w:rFonts w:hint="eastAsia" w:ascii="宋体" w:hAnsi="宋体" w:eastAsia="宋体" w:cs="宋体"/>
          <w:color w:val="auto"/>
          <w:highlight w:val="none"/>
        </w:rPr>
        <w:t>合同履行期限：</w:t>
      </w:r>
      <w:r>
        <w:rPr>
          <w:rFonts w:hint="eastAsia" w:ascii="宋体" w:hAnsi="宋体" w:eastAsia="宋体" w:cs="宋体"/>
          <w:color w:val="auto"/>
          <w:highlight w:val="none"/>
          <w:lang w:val="zh-CN"/>
        </w:rPr>
        <w:t>签订合同后</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zh-CN"/>
        </w:rPr>
        <w:t>日内</w:t>
      </w:r>
      <w:r>
        <w:rPr>
          <w:rFonts w:hint="eastAsia" w:ascii="宋体" w:hAnsi="宋体" w:eastAsia="宋体" w:cs="宋体"/>
          <w:color w:val="auto"/>
          <w:highlight w:val="none"/>
          <w:lang w:val="en-US" w:eastAsia="zh-CN"/>
        </w:rPr>
        <w:t>。</w:t>
      </w:r>
    </w:p>
    <w:p w14:paraId="75710DA3">
      <w:pPr>
        <w:pStyle w:val="3"/>
        <w:spacing w:line="360" w:lineRule="auto"/>
        <w:rPr>
          <w:rFonts w:hint="eastAsia" w:ascii="宋体" w:hAnsi="宋体" w:cs="宋体"/>
          <w:b w:val="0"/>
          <w:color w:val="auto"/>
          <w:sz w:val="24"/>
          <w:szCs w:val="24"/>
          <w:highlight w:val="none"/>
        </w:rPr>
      </w:pPr>
      <w:bookmarkStart w:id="9" w:name="_Toc30382"/>
      <w:bookmarkStart w:id="10" w:name="_Toc4519"/>
      <w:bookmarkStart w:id="11" w:name="_Toc35393622"/>
      <w:bookmarkStart w:id="12" w:name="_Toc28359003"/>
      <w:bookmarkStart w:id="13" w:name="_Toc35393791"/>
      <w:bookmarkStart w:id="14" w:name="_Toc28359080"/>
      <w:r>
        <w:rPr>
          <w:rFonts w:hint="eastAsia" w:ascii="宋体" w:hAnsi="宋体" w:cs="宋体"/>
          <w:b w:val="0"/>
          <w:color w:val="auto"/>
          <w:sz w:val="24"/>
          <w:szCs w:val="24"/>
          <w:highlight w:val="none"/>
        </w:rPr>
        <w:t>二、申请人的资格要求：</w:t>
      </w:r>
      <w:bookmarkEnd w:id="9"/>
      <w:bookmarkEnd w:id="10"/>
      <w:bookmarkEnd w:id="11"/>
      <w:bookmarkEnd w:id="12"/>
      <w:bookmarkEnd w:id="13"/>
      <w:bookmarkEnd w:id="14"/>
    </w:p>
    <w:p w14:paraId="6414E831">
      <w:pPr>
        <w:autoSpaceDE w:val="0"/>
        <w:autoSpaceDN w:val="0"/>
        <w:spacing w:line="360" w:lineRule="auto"/>
        <w:rPr>
          <w:rFonts w:hint="eastAsia"/>
          <w:color w:val="auto"/>
          <w:highlight w:val="none"/>
          <w:lang w:val="zh-CN"/>
        </w:rPr>
      </w:pPr>
      <w:bookmarkStart w:id="15" w:name="_Toc35393623"/>
      <w:bookmarkStart w:id="16" w:name="_Toc35393792"/>
      <w:bookmarkStart w:id="17" w:name="_Toc28359004"/>
      <w:bookmarkStart w:id="18" w:name="_Toc28359081"/>
      <w:r>
        <w:rPr>
          <w:rFonts w:hint="eastAsia"/>
          <w:color w:val="auto"/>
          <w:highlight w:val="none"/>
          <w:lang w:val="zh-CN"/>
        </w:rPr>
        <w:t>1</w:t>
      </w:r>
      <w:r>
        <w:rPr>
          <w:rFonts w:hint="eastAsia"/>
          <w:color w:val="auto"/>
          <w:highlight w:val="none"/>
        </w:rPr>
        <w:t>.</w:t>
      </w:r>
      <w:r>
        <w:rPr>
          <w:rFonts w:hint="eastAsia"/>
          <w:color w:val="auto"/>
          <w:highlight w:val="none"/>
          <w:lang w:val="zh-CN"/>
        </w:rPr>
        <w:t xml:space="preserve"> 符合《政府采购法》第22条条件，并提供下列材料：</w:t>
      </w:r>
    </w:p>
    <w:p w14:paraId="5E101423">
      <w:pPr>
        <w:autoSpaceDE w:val="0"/>
        <w:autoSpaceDN w:val="0"/>
        <w:spacing w:line="360" w:lineRule="auto"/>
        <w:rPr>
          <w:rFonts w:hint="eastAsia"/>
          <w:color w:val="auto"/>
          <w:highlight w:val="none"/>
          <w:lang w:val="zh-CN"/>
        </w:rPr>
      </w:pPr>
      <w:r>
        <w:rPr>
          <w:rFonts w:hint="eastAsia"/>
          <w:color w:val="auto"/>
          <w:highlight w:val="none"/>
          <w:lang w:val="zh-CN"/>
        </w:rPr>
        <w:t>（1）投标人的营业执照等证明文件，自然人的身份证明。</w:t>
      </w:r>
    </w:p>
    <w:p w14:paraId="5ECA01D7">
      <w:pPr>
        <w:autoSpaceDE w:val="0"/>
        <w:autoSpaceDN w:val="0"/>
        <w:spacing w:line="360" w:lineRule="auto"/>
        <w:rPr>
          <w:rFonts w:hint="eastAsia"/>
          <w:color w:val="auto"/>
          <w:highlight w:val="none"/>
          <w:lang w:val="zh-CN"/>
        </w:rPr>
      </w:pPr>
      <w:r>
        <w:rPr>
          <w:rFonts w:hint="eastAsia"/>
          <w:color w:val="auto"/>
          <w:highlight w:val="none"/>
          <w:lang w:val="zh-CN"/>
        </w:rPr>
        <w:t>（2）财务状况报告，依法缴纳税收和社会保障资金的相关材料。</w:t>
      </w:r>
    </w:p>
    <w:p w14:paraId="3E147274">
      <w:pPr>
        <w:autoSpaceDE w:val="0"/>
        <w:autoSpaceDN w:val="0"/>
        <w:spacing w:line="360" w:lineRule="auto"/>
        <w:rPr>
          <w:rFonts w:hint="eastAsia"/>
          <w:color w:val="auto"/>
          <w:highlight w:val="none"/>
          <w:lang w:val="zh-CN"/>
        </w:rPr>
      </w:pPr>
      <w:r>
        <w:rPr>
          <w:rFonts w:hint="eastAsia"/>
          <w:color w:val="auto"/>
          <w:highlight w:val="none"/>
          <w:lang w:val="zh-CN"/>
        </w:rPr>
        <w:t>（3）具备履行合同所必需的设备和专业技术能力的证明材料。</w:t>
      </w:r>
    </w:p>
    <w:p w14:paraId="31A0B891">
      <w:pPr>
        <w:autoSpaceDE w:val="0"/>
        <w:autoSpaceDN w:val="0"/>
        <w:spacing w:line="360" w:lineRule="auto"/>
        <w:rPr>
          <w:rFonts w:hint="eastAsia"/>
          <w:color w:val="auto"/>
          <w:highlight w:val="none"/>
          <w:lang w:val="zh-CN"/>
        </w:rPr>
      </w:pPr>
      <w:r>
        <w:rPr>
          <w:rFonts w:hint="eastAsia"/>
          <w:color w:val="auto"/>
          <w:highlight w:val="none"/>
          <w:lang w:val="zh-CN"/>
        </w:rPr>
        <w:t>（4）参加政府采购活动前3年内在经营活动中没有重大违法记录的书面声明。</w:t>
      </w:r>
    </w:p>
    <w:p w14:paraId="1429B04D">
      <w:pPr>
        <w:autoSpaceDE w:val="0"/>
        <w:autoSpaceDN w:val="0"/>
        <w:spacing w:line="360" w:lineRule="auto"/>
        <w:rPr>
          <w:rFonts w:hint="eastAsia"/>
          <w:color w:val="auto"/>
          <w:highlight w:val="none"/>
          <w:lang w:val="zh-CN"/>
        </w:rPr>
      </w:pPr>
      <w:r>
        <w:rPr>
          <w:rFonts w:hint="eastAsia"/>
          <w:color w:val="auto"/>
          <w:highlight w:val="none"/>
          <w:lang w:val="zh-CN"/>
        </w:rPr>
        <w:t>（5）具备法律、行政法规规定的其他条件的证明材料。</w:t>
      </w:r>
    </w:p>
    <w:p w14:paraId="029B1FD4">
      <w:pPr>
        <w:autoSpaceDE w:val="0"/>
        <w:autoSpaceDN w:val="0"/>
        <w:spacing w:line="360" w:lineRule="auto"/>
        <w:rPr>
          <w:rFonts w:hint="eastAsia"/>
          <w:color w:val="auto"/>
          <w:highlight w:val="none"/>
          <w:lang w:val="zh-CN"/>
        </w:rPr>
      </w:pPr>
      <w:r>
        <w:rPr>
          <w:rFonts w:hint="eastAsia"/>
          <w:color w:val="auto"/>
          <w:highlight w:val="none"/>
          <w:lang w:val="zh-CN"/>
        </w:rPr>
        <w:t>2</w:t>
      </w:r>
      <w:r>
        <w:rPr>
          <w:rFonts w:hint="eastAsia"/>
          <w:color w:val="auto"/>
          <w:highlight w:val="none"/>
        </w:rPr>
        <w:t>.</w:t>
      </w:r>
      <w:r>
        <w:rPr>
          <w:rFonts w:hint="eastAsia"/>
          <w:color w:val="auto"/>
          <w:highlight w:val="none"/>
          <w:lang w:val="zh-CN"/>
        </w:rPr>
        <w:t>单位负责人为同一人或者存在直接控股、管理关系的不同投标人，不得参加同一合同项下的政府采购活动。否则，皆取消投标资格；</w:t>
      </w:r>
    </w:p>
    <w:p w14:paraId="75625619">
      <w:pPr>
        <w:autoSpaceDE w:val="0"/>
        <w:autoSpaceDN w:val="0"/>
        <w:spacing w:line="360" w:lineRule="auto"/>
        <w:rPr>
          <w:rFonts w:hint="eastAsia"/>
          <w:color w:val="auto"/>
          <w:highlight w:val="none"/>
          <w:lang w:val="zh-CN"/>
        </w:rPr>
      </w:pPr>
      <w:r>
        <w:rPr>
          <w:rFonts w:hint="eastAsia"/>
          <w:color w:val="auto"/>
          <w:highlight w:val="none"/>
          <w:lang w:val="zh-CN"/>
        </w:rPr>
        <w:t>3</w:t>
      </w:r>
      <w:r>
        <w:rPr>
          <w:rFonts w:hint="eastAsia"/>
          <w:color w:val="auto"/>
          <w:highlight w:val="none"/>
        </w:rPr>
        <w:t>.</w:t>
      </w:r>
      <w:r>
        <w:rPr>
          <w:rFonts w:hint="eastAsia"/>
          <w:color w:val="auto"/>
          <w:highlight w:val="none"/>
          <w:lang w:val="zh-CN"/>
        </w:rPr>
        <w:t>为本采购项目提供整体设计、规范编制或者项目管理、监理、检测等服务的投标人，不得再参加该采购项目的其他采购活动；</w:t>
      </w:r>
    </w:p>
    <w:p w14:paraId="585327C2">
      <w:pPr>
        <w:autoSpaceDE w:val="0"/>
        <w:autoSpaceDN w:val="0"/>
        <w:spacing w:line="360" w:lineRule="auto"/>
        <w:rPr>
          <w:rFonts w:hint="eastAsia"/>
          <w:color w:val="auto"/>
          <w:highlight w:val="none"/>
          <w:lang w:val="zh-CN"/>
        </w:rPr>
      </w:pPr>
      <w:r>
        <w:rPr>
          <w:rFonts w:hint="eastAsia"/>
          <w:color w:val="auto"/>
          <w:highlight w:val="none"/>
          <w:lang w:val="zh-CN"/>
        </w:rPr>
        <w:t>4.本项目不接受投标人以联合体方式进行投标；</w:t>
      </w:r>
    </w:p>
    <w:p w14:paraId="277B2AAC">
      <w:pPr>
        <w:autoSpaceDE w:val="0"/>
        <w:autoSpaceDN w:val="0"/>
        <w:spacing w:line="360" w:lineRule="auto"/>
        <w:rPr>
          <w:rFonts w:hint="eastAsia"/>
          <w:color w:val="auto"/>
          <w:highlight w:val="none"/>
          <w:lang w:val="zh-CN"/>
        </w:rPr>
      </w:pPr>
      <w:r>
        <w:rPr>
          <w:rFonts w:hint="eastAsia"/>
          <w:color w:val="auto"/>
          <w:highlight w:val="none"/>
          <w:lang w:val="zh-CN"/>
        </w:rPr>
        <w:t>5. 经信用中国（www.creditchina.gov.cn）、中国政府采购网（www.ccgp.gov.cn）等渠道查询后，列入失信被执行人、重大税收违法案件当事人名单、政府采购严重违法失信行为记录名单的，取消投标资格。（提供“信用中国”网站“下载信用报告”栏中的法人和其他组织信用信息，时间为投标截止时间前</w:t>
      </w:r>
      <w:r>
        <w:rPr>
          <w:rFonts w:hint="eastAsia"/>
          <w:color w:val="auto"/>
          <w:highlight w:val="none"/>
          <w:lang w:val="en-US" w:eastAsia="zh-CN"/>
        </w:rPr>
        <w:t>20</w:t>
      </w:r>
      <w:r>
        <w:rPr>
          <w:rFonts w:hint="eastAsia"/>
          <w:color w:val="auto"/>
          <w:highlight w:val="none"/>
          <w:lang w:val="zh-CN"/>
        </w:rPr>
        <w:t>天内）；</w:t>
      </w:r>
    </w:p>
    <w:p w14:paraId="74CECA97">
      <w:pPr>
        <w:autoSpaceDE w:val="0"/>
        <w:autoSpaceDN w:val="0"/>
        <w:spacing w:line="360" w:lineRule="auto"/>
        <w:rPr>
          <w:rFonts w:hint="eastAsia"/>
          <w:color w:val="auto"/>
          <w:highlight w:val="none"/>
          <w:lang w:val="en-US" w:eastAsia="zh-CN"/>
        </w:rPr>
      </w:pPr>
      <w:r>
        <w:rPr>
          <w:rFonts w:hint="eastAsia"/>
          <w:color w:val="auto"/>
          <w:highlight w:val="none"/>
          <w:lang w:val="en-US" w:eastAsia="zh-CN"/>
        </w:rPr>
        <w:t>6、其他资质：</w:t>
      </w:r>
    </w:p>
    <w:p w14:paraId="6B1B12D2">
      <w:pPr>
        <w:autoSpaceDE w:val="0"/>
        <w:autoSpaceDN w:val="0"/>
        <w:spacing w:line="360" w:lineRule="auto"/>
        <w:rPr>
          <w:rFonts w:hint="eastAsia"/>
          <w:color w:val="auto"/>
          <w:highlight w:val="none"/>
          <w:lang w:val="en-US" w:eastAsia="zh-CN"/>
        </w:rPr>
      </w:pPr>
      <w:r>
        <w:rPr>
          <w:rFonts w:hint="eastAsia"/>
          <w:color w:val="auto"/>
          <w:highlight w:val="none"/>
          <w:lang w:val="en-US" w:eastAsia="zh-CN"/>
        </w:rPr>
        <w:t>所投医疗器械须符合《医疗器械注册管理办法》等政策法规要求并具有中华人民共和国医疗器械注册证或备案凭证；投标人须符合《医疗器械监督管理条例》等政策法规要求并具有医疗器械生产许可证或者医疗器械经营许可证或第二类医疗器械经营备案凭证。</w:t>
      </w:r>
    </w:p>
    <w:p w14:paraId="65EBFA45">
      <w:pPr>
        <w:pStyle w:val="3"/>
        <w:spacing w:line="360" w:lineRule="auto"/>
        <w:rPr>
          <w:rFonts w:hint="eastAsia" w:ascii="宋体" w:hAnsi="宋体" w:eastAsia="宋体" w:cs="宋体"/>
          <w:b w:val="0"/>
          <w:color w:val="auto"/>
          <w:sz w:val="24"/>
          <w:szCs w:val="24"/>
          <w:highlight w:val="none"/>
          <w:lang w:eastAsia="zh-CN"/>
        </w:rPr>
      </w:pPr>
      <w:bookmarkStart w:id="19" w:name="_Toc24009"/>
      <w:bookmarkStart w:id="20" w:name="_Toc32326"/>
      <w:r>
        <w:rPr>
          <w:rFonts w:hint="eastAsia" w:ascii="宋体" w:hAnsi="宋体" w:cs="宋体"/>
          <w:b w:val="0"/>
          <w:color w:val="auto"/>
          <w:sz w:val="24"/>
          <w:szCs w:val="24"/>
          <w:highlight w:val="none"/>
        </w:rPr>
        <w:t>三、获取</w:t>
      </w:r>
      <w:bookmarkEnd w:id="15"/>
      <w:bookmarkEnd w:id="16"/>
      <w:bookmarkEnd w:id="17"/>
      <w:bookmarkEnd w:id="18"/>
      <w:r>
        <w:rPr>
          <w:rFonts w:hint="eastAsia" w:ascii="宋体" w:hAnsi="宋体" w:cs="宋体"/>
          <w:b w:val="0"/>
          <w:color w:val="auto"/>
          <w:sz w:val="24"/>
          <w:szCs w:val="24"/>
          <w:highlight w:val="none"/>
          <w:lang w:val="en-US" w:eastAsia="zh-CN"/>
        </w:rPr>
        <w:t>招标</w:t>
      </w:r>
      <w:r>
        <w:rPr>
          <w:rFonts w:hint="eastAsia" w:ascii="宋体" w:hAnsi="宋体" w:cs="宋体"/>
          <w:b w:val="0"/>
          <w:color w:val="auto"/>
          <w:sz w:val="24"/>
          <w:szCs w:val="24"/>
          <w:highlight w:val="none"/>
          <w:lang w:eastAsia="zh-CN"/>
        </w:rPr>
        <w:t>文件</w:t>
      </w:r>
      <w:bookmarkEnd w:id="19"/>
      <w:bookmarkEnd w:id="20"/>
    </w:p>
    <w:p w14:paraId="3DD59C7A">
      <w:pPr>
        <w:autoSpaceDE w:val="0"/>
        <w:autoSpaceDN w:val="0"/>
        <w:adjustRightInd w:val="0"/>
        <w:spacing w:line="360" w:lineRule="auto"/>
        <w:ind w:firstLine="480" w:firstLineChars="200"/>
        <w:rPr>
          <w:rFonts w:hint="eastAsia" w:ascii="宋体" w:hAnsi="宋体" w:cs="宋体"/>
          <w:color w:val="auto"/>
          <w:highlight w:val="none"/>
          <w:lang w:val="zh-CN"/>
        </w:rPr>
      </w:pPr>
      <w:r>
        <w:rPr>
          <w:rFonts w:hint="eastAsia" w:ascii="宋体" w:hAnsi="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16</w:t>
      </w:r>
      <w:r>
        <w:rPr>
          <w:rFonts w:hint="eastAsia" w:ascii="宋体" w:hAnsi="宋体" w:cs="宋体"/>
          <w:color w:val="auto"/>
          <w:highlight w:val="none"/>
          <w:lang w:val="zh-CN"/>
        </w:rPr>
        <w:t>日至</w:t>
      </w:r>
      <w:r>
        <w:rPr>
          <w:rFonts w:hint="eastAsia" w:ascii="宋体" w:hAnsi="宋体" w:cs="宋体"/>
          <w:color w:val="auto"/>
          <w:highlight w:val="none"/>
          <w:lang w:val="en-US" w:eastAsia="zh-CN"/>
        </w:rPr>
        <w:t>6</w:t>
      </w:r>
      <w:r>
        <w:rPr>
          <w:rFonts w:hint="eastAsia" w:ascii="宋体" w:hAnsi="宋体" w:cs="宋体"/>
          <w:color w:val="auto"/>
          <w:highlight w:val="none"/>
          <w:lang w:val="zh-CN"/>
        </w:rPr>
        <w:t>月</w:t>
      </w:r>
      <w:r>
        <w:rPr>
          <w:rFonts w:hint="eastAsia" w:ascii="宋体" w:hAnsi="宋体" w:cs="宋体"/>
          <w:color w:val="auto"/>
          <w:highlight w:val="none"/>
          <w:lang w:val="en-US" w:eastAsia="zh-CN"/>
        </w:rPr>
        <w:t>20</w:t>
      </w:r>
      <w:r>
        <w:rPr>
          <w:rFonts w:hint="eastAsia" w:ascii="宋体" w:hAnsi="宋体" w:cs="宋体"/>
          <w:color w:val="auto"/>
          <w:highlight w:val="none"/>
          <w:lang w:val="zh-CN"/>
        </w:rPr>
        <w:t>日，每天</w:t>
      </w:r>
      <w:r>
        <w:rPr>
          <w:rFonts w:hint="eastAsia" w:ascii="宋体" w:hAnsi="宋体" w:cs="宋体"/>
          <w:color w:val="auto"/>
          <w:highlight w:val="none"/>
          <w:lang w:val="en-US" w:eastAsia="zh-CN"/>
        </w:rPr>
        <w:t>0</w:t>
      </w:r>
      <w:r>
        <w:rPr>
          <w:rFonts w:hint="eastAsia" w:ascii="宋体" w:hAnsi="宋体" w:cs="宋体"/>
          <w:color w:val="auto"/>
          <w:highlight w:val="none"/>
          <w:lang w:val="zh-CN"/>
        </w:rPr>
        <w:t>:00-</w:t>
      </w:r>
      <w:r>
        <w:rPr>
          <w:rFonts w:hint="eastAsia" w:ascii="宋体" w:hAnsi="宋体" w:cs="宋体"/>
          <w:color w:val="auto"/>
          <w:highlight w:val="none"/>
          <w:lang w:val="en-US" w:eastAsia="zh-CN"/>
        </w:rPr>
        <w:t>23:59</w:t>
      </w:r>
      <w:r>
        <w:rPr>
          <w:rFonts w:hint="eastAsia" w:ascii="宋体" w:hAnsi="宋体" w:cs="宋体"/>
          <w:color w:val="auto"/>
          <w:highlight w:val="none"/>
          <w:lang w:val="zh-CN"/>
        </w:rPr>
        <w:t>（午休、节假日除外）</w:t>
      </w:r>
    </w:p>
    <w:p w14:paraId="4C944B2D">
      <w:pPr>
        <w:pStyle w:val="13"/>
        <w:spacing w:line="360" w:lineRule="auto"/>
        <w:ind w:firstLine="480" w:firstLineChars="200"/>
        <w:jc w:val="both"/>
        <w:rPr>
          <w:rFonts w:hint="eastAsia" w:ascii="宋体" w:hAnsi="宋体" w:cs="宋体"/>
          <w:color w:val="auto"/>
          <w:highlight w:val="none"/>
        </w:rPr>
      </w:pPr>
      <w:r>
        <w:rPr>
          <w:rFonts w:hint="eastAsia" w:ascii="宋体" w:hAnsi="宋体" w:cs="宋体"/>
          <w:color w:val="auto"/>
          <w:highlight w:val="none"/>
        </w:rPr>
        <w:t>地点：线上获取通过政采云平台（www.zcygov.cn）</w:t>
      </w:r>
    </w:p>
    <w:p w14:paraId="4892ADDB">
      <w:pPr>
        <w:pStyle w:val="13"/>
        <w:spacing w:line="360" w:lineRule="auto"/>
        <w:ind w:firstLine="480" w:firstLineChars="200"/>
        <w:jc w:val="both"/>
        <w:rPr>
          <w:rFonts w:hint="eastAsia" w:ascii="宋体" w:hAnsi="宋体" w:cs="宋体"/>
          <w:color w:val="auto"/>
          <w:highlight w:val="none"/>
        </w:rPr>
      </w:pPr>
      <w:r>
        <w:rPr>
          <w:rFonts w:hint="eastAsia" w:ascii="宋体" w:hAnsi="宋体" w:cs="宋体"/>
          <w:color w:val="auto"/>
          <w:highlight w:val="none"/>
        </w:rPr>
        <w:t xml:space="preserve">获取方式：供应商登录政采云平台https://www.zcygov.cn/在线申请获取采购文件（进入“项目采购”应用，在获取采购文件菜单中选择项目，申请获取采购文件） </w:t>
      </w:r>
    </w:p>
    <w:p w14:paraId="1CBE4897">
      <w:pPr>
        <w:pStyle w:val="13"/>
        <w:spacing w:line="360" w:lineRule="auto"/>
        <w:ind w:firstLine="480" w:firstLineChars="200"/>
        <w:jc w:val="both"/>
        <w:rPr>
          <w:rFonts w:hint="eastAsia" w:ascii="宋体" w:hAnsi="宋体" w:cs="宋体"/>
          <w:color w:val="auto"/>
          <w:highlight w:val="yellow"/>
          <w:lang w:val="zh-CN"/>
        </w:rPr>
      </w:pPr>
      <w:r>
        <w:rPr>
          <w:rFonts w:hint="eastAsia" w:ascii="宋体" w:hAnsi="宋体" w:cs="宋体"/>
          <w:color w:val="auto"/>
          <w:highlight w:val="none"/>
        </w:rPr>
        <w:t xml:space="preserve"> 售价（元）：/</w:t>
      </w:r>
    </w:p>
    <w:p w14:paraId="19CACD0A">
      <w:pPr>
        <w:pStyle w:val="3"/>
        <w:spacing w:line="360" w:lineRule="auto"/>
        <w:rPr>
          <w:rFonts w:hint="eastAsia" w:ascii="宋体" w:hAnsi="宋体" w:cs="宋体"/>
          <w:b w:val="0"/>
          <w:color w:val="auto"/>
          <w:sz w:val="24"/>
          <w:szCs w:val="24"/>
          <w:highlight w:val="none"/>
        </w:rPr>
      </w:pPr>
      <w:bookmarkStart w:id="21" w:name="_Toc28359005"/>
      <w:bookmarkStart w:id="22" w:name="_Toc28359082"/>
      <w:bookmarkStart w:id="23" w:name="_Toc35393624"/>
      <w:bookmarkStart w:id="24" w:name="_Toc35393793"/>
      <w:bookmarkStart w:id="25" w:name="_Toc18380"/>
      <w:bookmarkStart w:id="26" w:name="_Toc32296"/>
      <w:r>
        <w:rPr>
          <w:rFonts w:hint="eastAsia" w:ascii="宋体" w:hAnsi="宋体" w:cs="宋体"/>
          <w:b w:val="0"/>
          <w:color w:val="auto"/>
          <w:sz w:val="24"/>
          <w:szCs w:val="24"/>
          <w:highlight w:val="none"/>
        </w:rPr>
        <w:t>四、提交投标文件</w:t>
      </w:r>
      <w:bookmarkEnd w:id="21"/>
      <w:bookmarkEnd w:id="22"/>
      <w:r>
        <w:rPr>
          <w:rFonts w:hint="eastAsia" w:ascii="宋体" w:hAnsi="宋体" w:cs="宋体"/>
          <w:b w:val="0"/>
          <w:color w:val="auto"/>
          <w:sz w:val="24"/>
          <w:szCs w:val="24"/>
          <w:highlight w:val="none"/>
        </w:rPr>
        <w:t>截止时间、开标时间和地点</w:t>
      </w:r>
      <w:bookmarkEnd w:id="23"/>
      <w:bookmarkEnd w:id="24"/>
      <w:bookmarkEnd w:id="25"/>
      <w:bookmarkEnd w:id="26"/>
    </w:p>
    <w:p w14:paraId="12E840A0">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提交投标文件截止时间：</w:t>
      </w:r>
      <w:r>
        <w:rPr>
          <w:rFonts w:hint="eastAsia" w:ascii="宋体" w:hAnsi="宋体" w:cs="宋体"/>
          <w:color w:val="auto"/>
          <w:kern w:val="0"/>
          <w:highlight w:val="none"/>
          <w:lang w:val="en-US" w:eastAsia="zh-CN"/>
        </w:rPr>
        <w:t>2025年7月14日10</w:t>
      </w:r>
      <w:r>
        <w:rPr>
          <w:rFonts w:hint="eastAsia" w:ascii="宋体" w:hAnsi="宋体" w:cs="宋体"/>
          <w:color w:val="auto"/>
          <w:kern w:val="0"/>
          <w:highlight w:val="none"/>
        </w:rPr>
        <w:t>时</w:t>
      </w:r>
      <w:r>
        <w:rPr>
          <w:rFonts w:hint="eastAsia" w:ascii="宋体" w:hAnsi="宋体" w:cs="宋体"/>
          <w:color w:val="auto"/>
          <w:kern w:val="0"/>
          <w:highlight w:val="none"/>
          <w:lang w:val="en-US" w:eastAsia="zh-CN"/>
        </w:rPr>
        <w:t>0</w:t>
      </w:r>
      <w:r>
        <w:rPr>
          <w:rFonts w:hint="eastAsia" w:ascii="宋体" w:hAnsi="宋体" w:cs="宋体"/>
          <w:color w:val="auto"/>
          <w:kern w:val="0"/>
          <w:highlight w:val="none"/>
        </w:rPr>
        <w:t>0分（北京时间）</w:t>
      </w:r>
    </w:p>
    <w:p w14:paraId="4CACFD04">
      <w:pPr>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rPr>
        <w:t>投标地点（网址）：政采云投标客户端</w:t>
      </w:r>
    </w:p>
    <w:p w14:paraId="45451344">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开标时间：</w:t>
      </w:r>
      <w:r>
        <w:rPr>
          <w:rFonts w:hint="eastAsia" w:ascii="宋体" w:hAnsi="宋体" w:cs="宋体"/>
          <w:color w:val="auto"/>
          <w:kern w:val="0"/>
          <w:highlight w:val="none"/>
          <w:lang w:val="en-US" w:eastAsia="zh-CN"/>
        </w:rPr>
        <w:t>2025年7月14日10</w:t>
      </w:r>
      <w:r>
        <w:rPr>
          <w:rFonts w:hint="eastAsia" w:ascii="宋体" w:hAnsi="宋体" w:cs="宋体"/>
          <w:color w:val="auto"/>
          <w:kern w:val="0"/>
          <w:highlight w:val="none"/>
        </w:rPr>
        <w:t>时</w:t>
      </w:r>
      <w:r>
        <w:rPr>
          <w:rFonts w:hint="eastAsia" w:ascii="宋体" w:hAnsi="宋体" w:cs="宋体"/>
          <w:color w:val="auto"/>
          <w:kern w:val="0"/>
          <w:highlight w:val="none"/>
          <w:lang w:val="en-US" w:eastAsia="zh-CN"/>
        </w:rPr>
        <w:t>0</w:t>
      </w:r>
      <w:r>
        <w:rPr>
          <w:rFonts w:hint="eastAsia" w:ascii="宋体" w:hAnsi="宋体" w:cs="宋体"/>
          <w:color w:val="auto"/>
          <w:kern w:val="0"/>
          <w:highlight w:val="none"/>
        </w:rPr>
        <w:t>0分（北京时间）</w:t>
      </w:r>
    </w:p>
    <w:p w14:paraId="74347118">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开标地点：</w:t>
      </w:r>
      <w:bookmarkStart w:id="27" w:name="_Toc28359007"/>
      <w:bookmarkStart w:id="28" w:name="_Toc28359084"/>
      <w:bookmarkStart w:id="29" w:name="_Toc7994"/>
      <w:bookmarkStart w:id="30" w:name="_Toc35393794"/>
      <w:bookmarkStart w:id="31" w:name="_Toc35393625"/>
      <w:r>
        <w:rPr>
          <w:rFonts w:hint="eastAsia" w:ascii="宋体" w:hAnsi="宋体" w:cs="宋体"/>
          <w:color w:val="auto"/>
          <w:kern w:val="0"/>
          <w:highlight w:val="none"/>
        </w:rPr>
        <w:t>【玉树州政务服务和公共资源交易中心】玉树市玉树市扎西大同北巷14号开标室一。</w:t>
      </w:r>
    </w:p>
    <w:p w14:paraId="3ECA8895">
      <w:pPr>
        <w:spacing w:before="240" w:beforeLines="100" w:after="240" w:afterLines="100" w:line="360" w:lineRule="auto"/>
        <w:outlineLvl w:val="1"/>
        <w:rPr>
          <w:rFonts w:hint="eastAsia" w:ascii="宋体" w:hAnsi="宋体" w:cs="宋体"/>
          <w:b/>
          <w:color w:val="auto"/>
          <w:sz w:val="24"/>
          <w:szCs w:val="24"/>
          <w:highlight w:val="none"/>
          <w:lang w:val="zh-CN"/>
        </w:rPr>
      </w:pPr>
      <w:r>
        <w:rPr>
          <w:rFonts w:hint="eastAsia" w:ascii="宋体" w:hAnsi="宋体" w:cs="宋体"/>
          <w:color w:val="auto"/>
          <w:highlight w:val="none"/>
        </w:rPr>
        <w:t>五、公告期限</w:t>
      </w:r>
      <w:bookmarkEnd w:id="27"/>
      <w:bookmarkEnd w:id="28"/>
      <w:bookmarkEnd w:id="29"/>
      <w:bookmarkEnd w:id="30"/>
      <w:bookmarkEnd w:id="31"/>
      <w:bookmarkStart w:id="32" w:name="_Toc35393626"/>
      <w:bookmarkStart w:id="33" w:name="_Toc35393795"/>
    </w:p>
    <w:p w14:paraId="50EEBDD7">
      <w:pPr>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自青海政府采购网发布之日起5个工作日；</w:t>
      </w:r>
    </w:p>
    <w:p w14:paraId="16C31420">
      <w:pPr>
        <w:pStyle w:val="24"/>
        <w:keepNext w:val="0"/>
        <w:keepLines w:val="0"/>
        <w:widowControl/>
        <w:numPr>
          <w:ilvl w:val="0"/>
          <w:numId w:val="0"/>
        </w:numPr>
        <w:suppressLineNumbers w:val="0"/>
        <w:spacing w:before="75" w:beforeAutospacing="0" w:after="75" w:afterAutospacing="0" w:line="315" w:lineRule="atLeast"/>
        <w:ind w:right="0" w:rightChars="0"/>
        <w:outlineLvl w:val="1"/>
        <w:rPr>
          <w:rFonts w:hint="eastAsia" w:ascii="宋体" w:hAnsi="宋体" w:eastAsia="宋体" w:cs="宋体"/>
          <w:color w:val="auto"/>
          <w:highlight w:val="none"/>
          <w:lang w:eastAsia="zh-CN"/>
        </w:rPr>
      </w:pPr>
      <w:bookmarkStart w:id="34" w:name="_Toc5757"/>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其他补充事宜</w:t>
      </w:r>
      <w:bookmarkEnd w:id="32"/>
      <w:bookmarkEnd w:id="33"/>
      <w:r>
        <w:rPr>
          <w:rFonts w:hint="eastAsia" w:ascii="宋体" w:hAnsi="宋体" w:eastAsia="宋体" w:cs="宋体"/>
          <w:color w:val="auto"/>
          <w:highlight w:val="none"/>
          <w:lang w:eastAsia="zh-CN"/>
        </w:rPr>
        <w:t>：</w:t>
      </w:r>
      <w:bookmarkEnd w:id="34"/>
    </w:p>
    <w:p w14:paraId="7F66B1C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leftChars="200" w:right="0" w:right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1.本次招标采用线上提交响应文件的方式进行采购，线上响应文件必须在响应文件递交截止时间前上传平台。</w:t>
      </w:r>
    </w:p>
    <w:p w14:paraId="0AD532B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若对项目采购电子交易系统操作有疑问，可登录政采云（https://www.zcygov.cn/），点击右侧咨询小采，获取采小蜜智能服务管家帮助，或拨打政采云服务热线95763获取热线服务帮助。CA问题联系电话（人工）；天谷CA400-087-8198。</w:t>
      </w:r>
    </w:p>
    <w:p w14:paraId="009D3F4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3.本公告在《青海政府采购网》发布。</w:t>
      </w:r>
    </w:p>
    <w:p w14:paraId="22EE8986">
      <w:pPr>
        <w:spacing w:before="240" w:beforeLines="100" w:after="240" w:afterLines="100" w:line="360" w:lineRule="auto"/>
        <w:outlineLvl w:val="1"/>
        <w:rPr>
          <w:rFonts w:hint="eastAsia" w:ascii="宋体" w:hAnsi="宋体" w:eastAsia="宋体" w:cs="宋体"/>
          <w:color w:val="auto"/>
          <w:highlight w:val="none"/>
        </w:rPr>
      </w:pPr>
      <w:bookmarkStart w:id="35" w:name="_Toc28359085"/>
      <w:bookmarkStart w:id="36" w:name="_Toc28359008"/>
      <w:bookmarkStart w:id="37" w:name="_Toc35393796"/>
      <w:bookmarkStart w:id="38" w:name="_Toc35393627"/>
      <w:bookmarkStart w:id="39" w:name="_Toc15936"/>
      <w:r>
        <w:rPr>
          <w:rFonts w:hint="eastAsia" w:ascii="宋体" w:hAnsi="宋体" w:eastAsia="宋体" w:cs="宋体"/>
          <w:color w:val="auto"/>
          <w:highlight w:val="none"/>
        </w:rPr>
        <w:t>七、对本次招标提出询问，请按以下方式联系。</w:t>
      </w:r>
      <w:bookmarkEnd w:id="35"/>
      <w:bookmarkEnd w:id="36"/>
      <w:bookmarkEnd w:id="37"/>
      <w:bookmarkEnd w:id="38"/>
      <w:bookmarkEnd w:id="39"/>
    </w:p>
    <w:p w14:paraId="0491490E">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1.采购人信息</w:t>
      </w:r>
    </w:p>
    <w:p w14:paraId="636896F4">
      <w:pPr>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highlight w:val="none"/>
        </w:rPr>
        <w:t>名 称：</w:t>
      </w:r>
      <w:bookmarkStart w:id="40" w:name="_Toc28359009"/>
      <w:bookmarkStart w:id="41" w:name="_Toc28359086"/>
      <w:r>
        <w:rPr>
          <w:rFonts w:hint="eastAsia" w:ascii="宋体" w:hAnsi="宋体" w:cs="宋体"/>
          <w:color w:val="auto"/>
          <w:kern w:val="0"/>
          <w:highlight w:val="none"/>
          <w:lang w:val="zh-CN"/>
        </w:rPr>
        <w:t>称多县卫生健康局</w:t>
      </w:r>
    </w:p>
    <w:p w14:paraId="07E70046">
      <w:pPr>
        <w:spacing w:line="360" w:lineRule="auto"/>
        <w:ind w:firstLine="480" w:firstLineChars="200"/>
        <w:jc w:val="left"/>
        <w:rPr>
          <w:rFonts w:hint="eastAsia" w:ascii="宋体" w:hAnsi="宋体" w:eastAsia="宋体" w:cs="宋体"/>
          <w:color w:val="auto"/>
          <w:highlight w:val="yellow"/>
          <w:lang w:eastAsia="zh-CN"/>
        </w:rPr>
      </w:pPr>
      <w:r>
        <w:rPr>
          <w:rFonts w:hint="eastAsia" w:ascii="宋体" w:hAnsi="宋体" w:cs="宋体"/>
          <w:color w:val="auto"/>
          <w:highlight w:val="none"/>
        </w:rPr>
        <w:t>地</w:t>
      </w:r>
      <w:r>
        <w:rPr>
          <w:rFonts w:hint="eastAsia" w:ascii="宋体" w:hAnsi="宋体" w:eastAsia="宋体" w:cs="宋体"/>
          <w:color w:val="auto"/>
          <w:highlight w:val="none"/>
          <w:lang w:eastAsia="zh-CN"/>
        </w:rPr>
        <w:t>址：称多县称文镇扎西路15号</w:t>
      </w:r>
    </w:p>
    <w:p w14:paraId="60FF3ECF">
      <w:pPr>
        <w:spacing w:line="360" w:lineRule="auto"/>
        <w:ind w:firstLine="480" w:firstLineChars="200"/>
        <w:jc w:val="left"/>
        <w:rPr>
          <w:rFonts w:hint="default" w:ascii="宋体" w:hAnsi="宋体" w:cs="宋体"/>
          <w:color w:val="auto"/>
          <w:highlight w:val="none"/>
          <w:lang w:val="en-US"/>
        </w:rPr>
      </w:pPr>
      <w:r>
        <w:rPr>
          <w:rFonts w:hint="eastAsia" w:ascii="宋体" w:hAnsi="宋体" w:cs="宋体"/>
          <w:color w:val="auto"/>
          <w:highlight w:val="none"/>
        </w:rPr>
        <w:t>项目联系人：</w:t>
      </w:r>
      <w:r>
        <w:rPr>
          <w:rFonts w:hint="eastAsia" w:ascii="宋体" w:hAnsi="宋体" w:cs="宋体"/>
          <w:color w:val="auto"/>
          <w:highlight w:val="none"/>
          <w:lang w:val="en-US" w:eastAsia="zh-CN"/>
        </w:rPr>
        <w:t>巴久老师</w:t>
      </w:r>
    </w:p>
    <w:p w14:paraId="2BAEABBA">
      <w:pPr>
        <w:spacing w:line="360" w:lineRule="auto"/>
        <w:ind w:firstLine="480" w:firstLineChars="200"/>
        <w:jc w:val="left"/>
        <w:rPr>
          <w:rFonts w:hint="default"/>
          <w:color w:val="auto"/>
          <w:lang w:val="en-US" w:eastAsia="zh-CN"/>
        </w:rPr>
      </w:pPr>
      <w:r>
        <w:rPr>
          <w:rFonts w:hint="eastAsia" w:ascii="宋体" w:hAnsi="宋体" w:cs="宋体"/>
          <w:color w:val="auto"/>
          <w:highlight w:val="none"/>
        </w:rPr>
        <w:t>联系方式</w:t>
      </w:r>
      <w:r>
        <w:rPr>
          <w:rFonts w:hint="eastAsia" w:ascii="宋体" w:hAnsi="宋体" w:eastAsia="宋体" w:cs="宋体"/>
          <w:color w:val="auto"/>
          <w:highlight w:val="none"/>
          <w:lang w:val="zh-CN" w:eastAsia="zh-CN"/>
        </w:rPr>
        <w:t>：</w:t>
      </w:r>
      <w:r>
        <w:rPr>
          <w:rFonts w:hint="eastAsia"/>
          <w:color w:val="auto"/>
          <w:lang w:val="en-US" w:eastAsia="zh-CN"/>
        </w:rPr>
        <w:t>18309751810</w:t>
      </w:r>
    </w:p>
    <w:p w14:paraId="68F0304B">
      <w:pPr>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2.采购代理机构信息</w:t>
      </w:r>
      <w:bookmarkEnd w:id="40"/>
      <w:bookmarkEnd w:id="41"/>
    </w:p>
    <w:p w14:paraId="7F7726C2">
      <w:pPr>
        <w:spacing w:line="360" w:lineRule="auto"/>
        <w:ind w:firstLine="480" w:firstLineChars="200"/>
        <w:jc w:val="left"/>
        <w:rPr>
          <w:rFonts w:hint="eastAsia" w:ascii="宋体" w:hAnsi="宋体" w:cs="宋体"/>
          <w:color w:val="auto"/>
          <w:highlight w:val="none"/>
          <w:lang w:val="zh-CN"/>
        </w:rPr>
      </w:pPr>
      <w:r>
        <w:rPr>
          <w:rFonts w:hint="eastAsia" w:ascii="宋体" w:hAnsi="宋体" w:cs="宋体"/>
          <w:color w:val="auto"/>
          <w:highlight w:val="none"/>
        </w:rPr>
        <w:t>名 称：</w:t>
      </w:r>
      <w:r>
        <w:rPr>
          <w:rFonts w:hint="eastAsia" w:ascii="宋体" w:hAnsi="宋体" w:cs="宋体"/>
          <w:color w:val="auto"/>
          <w:highlight w:val="none"/>
          <w:lang w:val="zh-CN"/>
        </w:rPr>
        <w:t>青海宇创项目管理有限责任公司</w:t>
      </w:r>
    </w:p>
    <w:p w14:paraId="22C31958">
      <w:pPr>
        <w:pStyle w:val="17"/>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地 址：西宁市城西区海湖星城14号楼20楼04室</w:t>
      </w:r>
    </w:p>
    <w:p w14:paraId="4C801F52">
      <w:pPr>
        <w:pStyle w:val="17"/>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rPr>
        <w:t>项目联系人：</w:t>
      </w:r>
      <w:r>
        <w:rPr>
          <w:rFonts w:hint="eastAsia" w:hAnsi="宋体" w:cs="宋体"/>
          <w:color w:val="auto"/>
          <w:sz w:val="24"/>
          <w:szCs w:val="24"/>
          <w:highlight w:val="none"/>
          <w:lang w:val="en-US" w:eastAsia="zh-CN"/>
        </w:rPr>
        <w:t>严女士</w:t>
      </w:r>
    </w:p>
    <w:p w14:paraId="5B6D67DF">
      <w:pPr>
        <w:pStyle w:val="17"/>
        <w:spacing w:line="360" w:lineRule="auto"/>
        <w:ind w:firstLine="480" w:firstLineChars="2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联系方式：</w:t>
      </w:r>
      <w:r>
        <w:rPr>
          <w:rFonts w:hint="eastAsia" w:hAnsi="宋体" w:cs="宋体"/>
          <w:color w:val="auto"/>
          <w:sz w:val="24"/>
          <w:szCs w:val="24"/>
          <w:highlight w:val="none"/>
          <w:lang w:val="en-US" w:eastAsia="zh-CN"/>
        </w:rPr>
        <w:t>13099766072</w:t>
      </w:r>
    </w:p>
    <w:p w14:paraId="492493EC">
      <w:pPr>
        <w:pStyle w:val="25"/>
        <w:spacing w:before="0" w:after="0" w:line="360" w:lineRule="auto"/>
        <w:rPr>
          <w:rFonts w:hint="eastAsia" w:ascii="宋体" w:hAnsi="宋体" w:eastAsia="宋体" w:cs="宋体"/>
          <w:color w:val="auto"/>
          <w:sz w:val="28"/>
          <w:szCs w:val="28"/>
        </w:rPr>
      </w:pPr>
      <w:r>
        <w:rPr>
          <w:rFonts w:hint="eastAsia" w:ascii="宋体" w:hAnsi="宋体" w:eastAsia="宋体" w:cs="宋体"/>
          <w:color w:val="auto"/>
          <w:lang w:val="zh-CN"/>
        </w:rPr>
        <w:br w:type="page"/>
      </w:r>
      <w:bookmarkEnd w:id="6"/>
      <w:bookmarkStart w:id="42" w:name="_Toc10010"/>
      <w:r>
        <w:rPr>
          <w:rFonts w:hint="eastAsia" w:ascii="宋体" w:hAnsi="宋体" w:eastAsia="宋体" w:cs="宋体"/>
          <w:color w:val="auto"/>
          <w:sz w:val="28"/>
          <w:szCs w:val="28"/>
          <w:lang w:val="zh-CN"/>
        </w:rPr>
        <w:t>第二部分  投标人须知</w:t>
      </w:r>
      <w:bookmarkEnd w:id="42"/>
    </w:p>
    <w:p w14:paraId="48A18013">
      <w:pPr>
        <w:pStyle w:val="25"/>
        <w:spacing w:before="0" w:after="0" w:line="360" w:lineRule="auto"/>
        <w:rPr>
          <w:rFonts w:hint="eastAsia" w:ascii="宋体" w:hAnsi="宋体" w:eastAsia="宋体" w:cs="宋体"/>
          <w:color w:val="auto"/>
          <w:sz w:val="28"/>
          <w:szCs w:val="28"/>
        </w:rPr>
      </w:pPr>
      <w:bookmarkStart w:id="43" w:name="_Toc1673"/>
      <w:r>
        <w:rPr>
          <w:rFonts w:hint="eastAsia" w:ascii="宋体" w:hAnsi="宋体" w:eastAsia="宋体" w:cs="宋体"/>
          <w:color w:val="auto"/>
          <w:sz w:val="28"/>
          <w:szCs w:val="28"/>
          <w:lang w:val="zh-CN"/>
        </w:rPr>
        <w:t>一、说明</w:t>
      </w:r>
      <w:bookmarkEnd w:id="43"/>
    </w:p>
    <w:p w14:paraId="10ABC78D">
      <w:pPr>
        <w:pStyle w:val="25"/>
        <w:spacing w:before="0" w:after="0" w:line="360" w:lineRule="auto"/>
        <w:jc w:val="left"/>
        <w:rPr>
          <w:rFonts w:hint="eastAsia" w:ascii="宋体" w:hAnsi="宋体" w:eastAsia="宋体" w:cs="宋体"/>
          <w:color w:val="auto"/>
          <w:sz w:val="28"/>
          <w:szCs w:val="28"/>
          <w:lang w:val="zh-CN"/>
        </w:rPr>
      </w:pPr>
      <w:bookmarkStart w:id="44" w:name="_Toc28554"/>
      <w:r>
        <w:rPr>
          <w:rFonts w:hint="eastAsia" w:ascii="宋体" w:hAnsi="宋体" w:eastAsia="宋体" w:cs="宋体"/>
          <w:color w:val="auto"/>
          <w:sz w:val="28"/>
          <w:szCs w:val="28"/>
          <w:lang w:val="zh-CN"/>
        </w:rPr>
        <w:t>1.适用范围</w:t>
      </w:r>
      <w:bookmarkEnd w:id="44"/>
    </w:p>
    <w:p w14:paraId="3FA97B2D">
      <w:pPr>
        <w:autoSpaceDE w:val="0"/>
        <w:autoSpaceDN w:val="0"/>
        <w:spacing w:line="360" w:lineRule="auto"/>
        <w:ind w:firstLine="420" w:firstLineChars="15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本次招标依据采购人的采购计划，仅适用于本招标文件中所叙述的项目。</w:t>
      </w:r>
    </w:p>
    <w:p w14:paraId="343AD940">
      <w:pPr>
        <w:pStyle w:val="25"/>
        <w:spacing w:before="0" w:after="0" w:line="360" w:lineRule="auto"/>
        <w:jc w:val="left"/>
        <w:rPr>
          <w:rFonts w:hint="eastAsia" w:ascii="宋体" w:hAnsi="宋体" w:eastAsia="宋体" w:cs="宋体"/>
          <w:color w:val="auto"/>
          <w:sz w:val="28"/>
          <w:szCs w:val="28"/>
          <w:lang w:val="zh-CN"/>
        </w:rPr>
      </w:pPr>
      <w:bookmarkStart w:id="45" w:name="_Toc10825"/>
      <w:r>
        <w:rPr>
          <w:rFonts w:hint="eastAsia" w:ascii="宋体" w:hAnsi="宋体" w:eastAsia="宋体" w:cs="宋体"/>
          <w:color w:val="auto"/>
          <w:sz w:val="28"/>
          <w:szCs w:val="28"/>
          <w:lang w:val="zh-CN"/>
        </w:rPr>
        <w:t>2.采购方式、合格的投标人</w:t>
      </w:r>
      <w:bookmarkEnd w:id="45"/>
    </w:p>
    <w:p w14:paraId="3322D64F">
      <w:pPr>
        <w:autoSpaceDE w:val="0"/>
        <w:autoSpaceDN w:val="0"/>
        <w:spacing w:line="360" w:lineRule="auto"/>
        <w:ind w:firstLine="420" w:firstLineChars="150"/>
        <w:rPr>
          <w:rFonts w:hint="eastAsia" w:ascii="宋体" w:hAnsi="宋体" w:eastAsia="宋体" w:cs="宋体"/>
          <w:b/>
          <w:bCs/>
          <w:color w:val="auto"/>
          <w:kern w:val="0"/>
          <w:sz w:val="28"/>
          <w:szCs w:val="28"/>
          <w:lang w:val="zh-CN"/>
        </w:rPr>
      </w:pPr>
      <w:r>
        <w:rPr>
          <w:rFonts w:hint="eastAsia" w:ascii="宋体" w:hAnsi="宋体" w:eastAsia="宋体" w:cs="宋体"/>
          <w:color w:val="auto"/>
          <w:kern w:val="0"/>
          <w:sz w:val="28"/>
          <w:szCs w:val="28"/>
          <w:lang w:val="zh-CN"/>
        </w:rPr>
        <w:t>2.1</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本次招标采取公开招标方式。</w:t>
      </w:r>
    </w:p>
    <w:p w14:paraId="3E92A216">
      <w:pPr>
        <w:autoSpaceDE w:val="0"/>
        <w:autoSpaceDN w:val="0"/>
        <w:spacing w:line="360" w:lineRule="auto"/>
        <w:ind w:firstLine="420" w:firstLineChars="15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2.2</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合格的投标人：详见第一部分</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投标人资格要求</w:t>
      </w:r>
      <w:r>
        <w:rPr>
          <w:rFonts w:hint="eastAsia" w:ascii="宋体" w:hAnsi="宋体" w:eastAsia="宋体" w:cs="宋体"/>
          <w:color w:val="auto"/>
          <w:kern w:val="0"/>
          <w:sz w:val="28"/>
          <w:szCs w:val="28"/>
        </w:rPr>
        <w:t>”。</w:t>
      </w:r>
    </w:p>
    <w:p w14:paraId="796C7F98">
      <w:pPr>
        <w:pStyle w:val="25"/>
        <w:spacing w:before="0" w:after="0" w:line="360" w:lineRule="auto"/>
        <w:jc w:val="left"/>
        <w:rPr>
          <w:rFonts w:hint="eastAsia" w:ascii="宋体" w:hAnsi="宋体" w:eastAsia="宋体" w:cs="宋体"/>
          <w:color w:val="auto"/>
          <w:sz w:val="28"/>
          <w:szCs w:val="28"/>
          <w:lang w:val="zh-CN"/>
        </w:rPr>
      </w:pPr>
      <w:bookmarkStart w:id="46" w:name="_Toc13749"/>
      <w:r>
        <w:rPr>
          <w:rFonts w:hint="eastAsia" w:ascii="宋体" w:hAnsi="宋体" w:eastAsia="宋体" w:cs="宋体"/>
          <w:color w:val="auto"/>
          <w:sz w:val="28"/>
          <w:szCs w:val="28"/>
          <w:lang w:val="zh-CN"/>
        </w:rPr>
        <w:t>3.投标费用</w:t>
      </w:r>
      <w:bookmarkEnd w:id="46"/>
    </w:p>
    <w:p w14:paraId="4D4CCC7F">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投标人应自愿承担与参加本次投标有关的费用。采购代理机构对投标人发生的费用不承担任何责任。</w:t>
      </w:r>
    </w:p>
    <w:p w14:paraId="63BD0CC0">
      <w:pPr>
        <w:pStyle w:val="25"/>
        <w:spacing w:before="0" w:after="0" w:line="360" w:lineRule="auto"/>
        <w:rPr>
          <w:rFonts w:hint="eastAsia" w:ascii="宋体" w:hAnsi="宋体" w:eastAsia="宋体" w:cs="宋体"/>
          <w:color w:val="auto"/>
          <w:sz w:val="28"/>
          <w:szCs w:val="28"/>
        </w:rPr>
      </w:pPr>
      <w:bookmarkStart w:id="47" w:name="_Toc18855"/>
      <w:r>
        <w:rPr>
          <w:rFonts w:hint="eastAsia" w:ascii="宋体" w:hAnsi="宋体" w:eastAsia="宋体" w:cs="宋体"/>
          <w:color w:val="auto"/>
          <w:sz w:val="28"/>
          <w:szCs w:val="28"/>
          <w:lang w:val="zh-CN"/>
        </w:rPr>
        <w:t>二、招标文件说明</w:t>
      </w:r>
      <w:bookmarkEnd w:id="47"/>
    </w:p>
    <w:p w14:paraId="23FC12DB">
      <w:pPr>
        <w:pStyle w:val="25"/>
        <w:spacing w:before="0" w:after="0" w:line="360" w:lineRule="auto"/>
        <w:jc w:val="left"/>
        <w:rPr>
          <w:rFonts w:hint="eastAsia" w:ascii="宋体" w:hAnsi="宋体" w:eastAsia="宋体" w:cs="宋体"/>
          <w:color w:val="auto"/>
          <w:sz w:val="28"/>
          <w:szCs w:val="28"/>
          <w:lang w:val="zh-CN"/>
        </w:rPr>
      </w:pPr>
      <w:bookmarkStart w:id="48" w:name="_Toc28573"/>
      <w:r>
        <w:rPr>
          <w:rFonts w:hint="eastAsia" w:ascii="宋体" w:hAnsi="宋体" w:eastAsia="宋体" w:cs="宋体"/>
          <w:color w:val="auto"/>
          <w:sz w:val="28"/>
          <w:szCs w:val="28"/>
          <w:lang w:val="zh-CN"/>
        </w:rPr>
        <w:t>4.招标文件的构成</w:t>
      </w:r>
      <w:bookmarkEnd w:id="48"/>
    </w:p>
    <w:p w14:paraId="26F65D75">
      <w:pPr>
        <w:autoSpaceDE w:val="0"/>
        <w:autoSpaceDN w:val="0"/>
        <w:spacing w:line="360" w:lineRule="auto"/>
        <w:ind w:firstLine="420" w:firstLineChars="15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4.1</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招标文件包括：</w:t>
      </w:r>
    </w:p>
    <w:p w14:paraId="49DD2294">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（1）投标邀请</w:t>
      </w:r>
    </w:p>
    <w:p w14:paraId="569D255E">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zh-CN"/>
        </w:rPr>
        <w:t>）投标人须知</w:t>
      </w:r>
    </w:p>
    <w:p w14:paraId="69BC5D03">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3</w:t>
      </w:r>
      <w:r>
        <w:rPr>
          <w:rFonts w:hint="eastAsia" w:ascii="宋体" w:hAnsi="宋体" w:eastAsia="宋体" w:cs="宋体"/>
          <w:color w:val="auto"/>
          <w:kern w:val="0"/>
          <w:sz w:val="28"/>
          <w:szCs w:val="28"/>
          <w:lang w:val="zh-CN"/>
        </w:rPr>
        <w:t>）青海省政府采购项目合同书范本</w:t>
      </w:r>
    </w:p>
    <w:p w14:paraId="159D7C6C">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4</w:t>
      </w:r>
      <w:r>
        <w:rPr>
          <w:rFonts w:hint="eastAsia" w:ascii="宋体" w:hAnsi="宋体" w:eastAsia="宋体" w:cs="宋体"/>
          <w:color w:val="auto"/>
          <w:kern w:val="0"/>
          <w:sz w:val="28"/>
          <w:szCs w:val="28"/>
          <w:lang w:val="zh-CN"/>
        </w:rPr>
        <w:t>）投标文件格式</w:t>
      </w:r>
    </w:p>
    <w:p w14:paraId="5B09A4AF">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5</w:t>
      </w:r>
      <w:r>
        <w:rPr>
          <w:rFonts w:hint="eastAsia" w:ascii="宋体" w:hAnsi="宋体" w:eastAsia="宋体" w:cs="宋体"/>
          <w:color w:val="auto"/>
          <w:kern w:val="0"/>
          <w:sz w:val="28"/>
          <w:szCs w:val="28"/>
          <w:lang w:val="zh-CN"/>
        </w:rPr>
        <w:t>）采购项目要求及技术参数</w:t>
      </w:r>
    </w:p>
    <w:p w14:paraId="23C78CC7">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6</w:t>
      </w:r>
      <w:r>
        <w:rPr>
          <w:rFonts w:hint="eastAsia" w:ascii="宋体" w:hAnsi="宋体" w:eastAsia="宋体" w:cs="宋体"/>
          <w:color w:val="auto"/>
          <w:kern w:val="0"/>
          <w:sz w:val="28"/>
          <w:szCs w:val="28"/>
          <w:lang w:val="zh-CN"/>
        </w:rPr>
        <w:t>）采购过程中发生的澄清、变更和补充文件</w:t>
      </w:r>
    </w:p>
    <w:p w14:paraId="30FB6044">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4.2 </w:t>
      </w:r>
      <w:r>
        <w:rPr>
          <w:rFonts w:hint="eastAsia" w:ascii="宋体" w:hAnsi="宋体" w:eastAsia="宋体" w:cs="宋体"/>
          <w:color w:val="auto"/>
          <w:kern w:val="0"/>
          <w:sz w:val="28"/>
          <w:szCs w:val="28"/>
        </w:rPr>
        <w:t>投标人应当按照招标文件的要求编制投标文件。投标文件应当对招标文件提出的要求和条件作出明确响应。</w:t>
      </w:r>
    </w:p>
    <w:p w14:paraId="3133DA23">
      <w:pPr>
        <w:pStyle w:val="25"/>
        <w:spacing w:before="0" w:after="0" w:line="360" w:lineRule="auto"/>
        <w:jc w:val="left"/>
        <w:rPr>
          <w:rFonts w:hint="eastAsia" w:ascii="宋体" w:hAnsi="宋体" w:eastAsia="宋体" w:cs="宋体"/>
          <w:color w:val="auto"/>
          <w:sz w:val="28"/>
          <w:szCs w:val="28"/>
          <w:lang w:val="zh-CN"/>
        </w:rPr>
      </w:pPr>
      <w:bookmarkStart w:id="49" w:name="_Toc2821"/>
      <w:r>
        <w:rPr>
          <w:rFonts w:hint="eastAsia" w:ascii="宋体" w:hAnsi="宋体" w:eastAsia="宋体" w:cs="宋体"/>
          <w:color w:val="auto"/>
          <w:sz w:val="28"/>
          <w:szCs w:val="28"/>
          <w:lang w:val="zh-CN"/>
        </w:rPr>
        <w:t>5.招标文件、采购活动和中标结果的质疑</w:t>
      </w:r>
      <w:bookmarkEnd w:id="49"/>
    </w:p>
    <w:p w14:paraId="732B8414">
      <w:pPr>
        <w:autoSpaceDE w:val="0"/>
        <w:autoSpaceDN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lang w:val="zh-CN"/>
        </w:rPr>
        <w:t>投标人认为招标文件、采购过程和中标结果使自己的权益受到损害的，可以在知道或者应知其权益受到损害之日起7个工作日内在政采云平台系统中向采购人或者采购代理机构提出质疑，不接受匿名质疑。</w:t>
      </w:r>
      <w:r>
        <w:rPr>
          <w:rFonts w:hint="eastAsia" w:ascii="宋体" w:hAnsi="宋体" w:eastAsia="宋体" w:cs="宋体"/>
          <w:color w:val="auto"/>
          <w:sz w:val="28"/>
          <w:szCs w:val="28"/>
        </w:rPr>
        <w:t>潜在投标人已依法获取其可质疑的采购文件的，可以对该文件提出质疑，对采购文件提出质疑的，应当在获取采购文件或者采购文件公告期限届满之日起7个工作日内提出。投标人须在法定质疑期内一次性提出针对同一采购程序环节的质疑。采购人或采购代理机构在系统中收到质疑函后7个工作日内作出答复。</w:t>
      </w:r>
    </w:p>
    <w:p w14:paraId="28AE7524">
      <w:pPr>
        <w:autoSpaceDE w:val="0"/>
        <w:autoSpaceDN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7B15E0D9">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投标人应知其权益受到损害之日，是指：</w:t>
      </w:r>
    </w:p>
    <w:p w14:paraId="77A1DA4C">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（一）对可以质疑的招标文件提出质疑的，为收到招标文件之日或者招标文件公告期限届满之日；</w:t>
      </w:r>
    </w:p>
    <w:p w14:paraId="439C84E6">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（二）对采购过程提出质疑的，为各采购程序环节结束之日；</w:t>
      </w:r>
    </w:p>
    <w:p w14:paraId="49F59DA4">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（三）对中标结果提出质疑的，为中标结果公告期限届满之日。</w:t>
      </w:r>
    </w:p>
    <w:p w14:paraId="2D8852BF">
      <w:pPr>
        <w:pStyle w:val="25"/>
        <w:spacing w:before="0" w:after="0" w:line="360" w:lineRule="auto"/>
        <w:jc w:val="left"/>
        <w:rPr>
          <w:rFonts w:hint="eastAsia" w:ascii="宋体" w:hAnsi="宋体" w:eastAsia="宋体" w:cs="宋体"/>
          <w:color w:val="auto"/>
          <w:sz w:val="28"/>
          <w:szCs w:val="28"/>
          <w:lang w:val="zh-CN"/>
        </w:rPr>
      </w:pPr>
      <w:bookmarkStart w:id="50" w:name="_Toc14563"/>
      <w:r>
        <w:rPr>
          <w:rFonts w:hint="eastAsia" w:ascii="宋体" w:hAnsi="宋体" w:eastAsia="宋体" w:cs="宋体"/>
          <w:color w:val="auto"/>
          <w:sz w:val="28"/>
          <w:szCs w:val="28"/>
          <w:lang w:val="zh-CN"/>
        </w:rPr>
        <w:t>6.招标文件的澄清或修改</w:t>
      </w:r>
      <w:bookmarkEnd w:id="50"/>
    </w:p>
    <w:p w14:paraId="12A8575A">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0B0006D">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6.2 澄清或者修改的内容可能影响投标文件编制的，采购人或者采购代理机构应当在投标截止时间至少15日前在发布本次招标公告的网站上发布变更公告；不足15日的，采购人或者采购代理机构应当顺延提交投标文件的截止时间。</w:t>
      </w:r>
    </w:p>
    <w:p w14:paraId="4A6D4648">
      <w:pPr>
        <w:pStyle w:val="77"/>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w:t>
      </w:r>
    </w:p>
    <w:p w14:paraId="2D74A718">
      <w:pPr>
        <w:pStyle w:val="25"/>
        <w:spacing w:before="0" w:after="0" w:line="360" w:lineRule="auto"/>
        <w:rPr>
          <w:rFonts w:hint="eastAsia" w:ascii="宋体" w:hAnsi="宋体" w:eastAsia="宋体" w:cs="宋体"/>
          <w:color w:val="auto"/>
          <w:sz w:val="28"/>
          <w:szCs w:val="28"/>
        </w:rPr>
      </w:pPr>
      <w:bookmarkStart w:id="51" w:name="_Toc30524"/>
      <w:r>
        <w:rPr>
          <w:rFonts w:hint="eastAsia" w:ascii="宋体" w:hAnsi="宋体" w:eastAsia="宋体" w:cs="宋体"/>
          <w:color w:val="auto"/>
          <w:sz w:val="28"/>
          <w:szCs w:val="28"/>
          <w:lang w:val="zh-CN"/>
        </w:rPr>
        <w:t>三、投标文件的编制</w:t>
      </w:r>
      <w:bookmarkEnd w:id="51"/>
    </w:p>
    <w:p w14:paraId="79E4139A">
      <w:pPr>
        <w:pStyle w:val="25"/>
        <w:spacing w:before="0" w:after="0" w:line="360" w:lineRule="auto"/>
        <w:jc w:val="left"/>
        <w:rPr>
          <w:rFonts w:hint="eastAsia" w:ascii="宋体" w:hAnsi="宋体" w:eastAsia="宋体" w:cs="宋体"/>
          <w:color w:val="auto"/>
          <w:sz w:val="28"/>
          <w:szCs w:val="28"/>
          <w:lang w:val="zh-CN"/>
        </w:rPr>
      </w:pPr>
      <w:bookmarkStart w:id="52" w:name="_Toc19398"/>
      <w:r>
        <w:rPr>
          <w:rFonts w:hint="eastAsia" w:ascii="宋体" w:hAnsi="宋体" w:eastAsia="宋体" w:cs="宋体"/>
          <w:color w:val="auto"/>
          <w:sz w:val="28"/>
          <w:szCs w:val="28"/>
          <w:lang w:val="zh-CN"/>
        </w:rPr>
        <w:t>7.投标文件的语言及度量衡单位</w:t>
      </w:r>
      <w:bookmarkEnd w:id="52"/>
    </w:p>
    <w:p w14:paraId="51AFB453">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7.1</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投标人提交的投标文件以及投标人与采购人或者采购代理机构就此投标发生的所有来往函电均应使用简体中文。</w:t>
      </w:r>
      <w:r>
        <w:rPr>
          <w:rFonts w:hint="eastAsia" w:ascii="宋体" w:hAnsi="宋体" w:eastAsia="宋体" w:cs="宋体"/>
          <w:color w:val="auto"/>
          <w:sz w:val="28"/>
          <w:szCs w:val="28"/>
        </w:rPr>
        <w:t>除签名、盖章、专用名称等特殊情形外，以中文汉语以外的文字表述的投标文件视同未提供。</w:t>
      </w:r>
    </w:p>
    <w:p w14:paraId="719604C9">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7.2 除招标文件中另有规定外，投标文件所使用的计量衡单位，均须采用国家法定计量单位。</w:t>
      </w:r>
    </w:p>
    <w:p w14:paraId="3234AA75">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7.3 附有外文资料的须翻译成中文，并加盖投标人公章，如果翻译的中文资料与外文资料出现差异与矛盾时，以中文为准，其准确性由投标人负责。</w:t>
      </w:r>
    </w:p>
    <w:p w14:paraId="22A8EAAA">
      <w:pPr>
        <w:pStyle w:val="25"/>
        <w:spacing w:before="0" w:after="0" w:line="360" w:lineRule="auto"/>
        <w:jc w:val="left"/>
        <w:rPr>
          <w:rFonts w:hint="eastAsia" w:ascii="宋体" w:hAnsi="宋体" w:eastAsia="宋体" w:cs="宋体"/>
          <w:color w:val="auto"/>
          <w:sz w:val="28"/>
          <w:szCs w:val="28"/>
          <w:lang w:val="zh-CN"/>
        </w:rPr>
      </w:pPr>
      <w:bookmarkStart w:id="53" w:name="_Toc10517"/>
      <w:r>
        <w:rPr>
          <w:rFonts w:hint="eastAsia" w:ascii="宋体" w:hAnsi="宋体" w:eastAsia="宋体" w:cs="宋体"/>
          <w:color w:val="auto"/>
          <w:sz w:val="28"/>
          <w:szCs w:val="28"/>
          <w:lang w:val="zh-CN"/>
        </w:rPr>
        <w:t>8.投标报价及币种</w:t>
      </w:r>
      <w:bookmarkEnd w:id="53"/>
    </w:p>
    <w:p w14:paraId="68C19F93">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8.1</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投标报价为投标总价。投标报价必须包括：产品费、验收费、手续费、包装费、运输费、保险费、</w:t>
      </w:r>
      <w:r>
        <w:rPr>
          <w:rFonts w:hint="eastAsia" w:ascii="宋体" w:hAnsi="宋体" w:eastAsia="宋体" w:cs="宋体"/>
          <w:color w:val="auto"/>
          <w:kern w:val="0"/>
          <w:sz w:val="28"/>
          <w:szCs w:val="28"/>
          <w:lang w:val="en-US" w:eastAsia="zh-CN"/>
        </w:rPr>
        <w:t>安装费、</w:t>
      </w:r>
      <w:r>
        <w:rPr>
          <w:rFonts w:hint="eastAsia" w:ascii="宋体" w:hAnsi="宋体" w:eastAsia="宋体" w:cs="宋体"/>
          <w:color w:val="auto"/>
          <w:kern w:val="0"/>
          <w:sz w:val="28"/>
          <w:szCs w:val="28"/>
          <w:lang w:val="zh-CN"/>
        </w:rPr>
        <w:t>售前、售中、售后服务费、税金及不可预见费等全部费用。</w:t>
      </w:r>
    </w:p>
    <w:p w14:paraId="6953D2E6">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8.2</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投标报价有效期与投标有效期一致。</w:t>
      </w:r>
    </w:p>
    <w:p w14:paraId="2F2185EA">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8.</w:t>
      </w:r>
      <w:r>
        <w:rPr>
          <w:rFonts w:hint="eastAsia" w:ascii="宋体" w:hAnsi="宋体" w:eastAsia="宋体" w:cs="宋体"/>
          <w:color w:val="auto"/>
          <w:kern w:val="0"/>
          <w:sz w:val="28"/>
          <w:szCs w:val="28"/>
        </w:rPr>
        <w:t xml:space="preserve">3 </w:t>
      </w:r>
      <w:r>
        <w:rPr>
          <w:rFonts w:hint="eastAsia" w:ascii="宋体" w:hAnsi="宋体" w:eastAsia="宋体" w:cs="宋体"/>
          <w:color w:val="auto"/>
          <w:kern w:val="0"/>
          <w:sz w:val="28"/>
          <w:szCs w:val="28"/>
          <w:lang w:val="zh-CN"/>
        </w:rPr>
        <w:t>投标报价为闭口价，即中标后在合同有效期内价格不变。</w:t>
      </w:r>
    </w:p>
    <w:p w14:paraId="34A5E870">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8.</w:t>
      </w:r>
      <w:r>
        <w:rPr>
          <w:rFonts w:hint="eastAsia" w:ascii="宋体" w:hAnsi="宋体" w:eastAsia="宋体" w:cs="宋体"/>
          <w:color w:val="auto"/>
          <w:kern w:val="0"/>
          <w:sz w:val="28"/>
          <w:szCs w:val="28"/>
        </w:rPr>
        <w:t xml:space="preserve">4 </w:t>
      </w:r>
      <w:r>
        <w:rPr>
          <w:rFonts w:hint="eastAsia" w:ascii="宋体" w:hAnsi="宋体" w:eastAsia="宋体" w:cs="宋体"/>
          <w:color w:val="auto"/>
          <w:kern w:val="0"/>
          <w:sz w:val="28"/>
          <w:szCs w:val="28"/>
          <w:lang w:val="zh-CN"/>
        </w:rPr>
        <w:t>投标币种是人民币。</w:t>
      </w:r>
    </w:p>
    <w:p w14:paraId="5DFB20F8">
      <w:pPr>
        <w:pStyle w:val="25"/>
        <w:spacing w:before="0" w:after="0" w:line="360" w:lineRule="auto"/>
        <w:jc w:val="left"/>
        <w:rPr>
          <w:rFonts w:hint="eastAsia" w:ascii="宋体" w:hAnsi="宋体" w:eastAsia="宋体" w:cs="宋体"/>
          <w:color w:val="auto"/>
          <w:sz w:val="28"/>
          <w:szCs w:val="28"/>
          <w:lang w:val="zh-CN"/>
        </w:rPr>
      </w:pPr>
      <w:bookmarkStart w:id="54" w:name="_Toc9043"/>
      <w:r>
        <w:rPr>
          <w:rFonts w:hint="eastAsia" w:ascii="宋体" w:hAnsi="宋体" w:eastAsia="宋体" w:cs="宋体"/>
          <w:color w:val="auto"/>
          <w:sz w:val="28"/>
          <w:szCs w:val="28"/>
          <w:lang w:val="zh-CN"/>
        </w:rPr>
        <w:t>9.投标保证金</w:t>
      </w:r>
      <w:bookmarkEnd w:id="54"/>
    </w:p>
    <w:p w14:paraId="7F609D7C">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9.1 投标人须在投标截止期前按以下要求交纳投标保证金（说明：收取的投标保证金不得超过采购项目预算金额的2%）：</w:t>
      </w:r>
    </w:p>
    <w:p w14:paraId="2B1AAE1C">
      <w:pPr>
        <w:autoSpaceDE w:val="0"/>
        <w:autoSpaceDN w:val="0"/>
        <w:spacing w:line="360" w:lineRule="auto"/>
        <w:ind w:firstLine="562" w:firstLineChars="20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投标保证金:</w:t>
      </w:r>
    </w:p>
    <w:p w14:paraId="1539792B">
      <w:pPr>
        <w:autoSpaceDE w:val="0"/>
        <w:autoSpaceDN w:val="0"/>
        <w:spacing w:line="360" w:lineRule="auto"/>
        <w:ind w:firstLine="562" w:firstLineChars="200"/>
        <w:rPr>
          <w:rFonts w:hint="eastAsia" w:ascii="宋体" w:hAnsi="宋体" w:eastAsia="宋体" w:cs="宋体"/>
          <w:b/>
          <w:bCs/>
          <w:color w:val="auto"/>
          <w:kern w:val="0"/>
          <w:sz w:val="28"/>
          <w:szCs w:val="28"/>
          <w:lang w:val="zh-CN"/>
        </w:rPr>
      </w:pPr>
      <w:r>
        <w:rPr>
          <w:rFonts w:hint="eastAsia" w:ascii="宋体" w:hAnsi="宋体" w:cs="宋体"/>
          <w:b/>
          <w:bCs/>
          <w:color w:val="auto"/>
          <w:kern w:val="0"/>
          <w:sz w:val="28"/>
          <w:szCs w:val="28"/>
          <w:lang w:val="en-US" w:eastAsia="zh-CN"/>
        </w:rPr>
        <w:t>45</w:t>
      </w:r>
      <w:r>
        <w:rPr>
          <w:rFonts w:hint="eastAsia" w:ascii="宋体" w:hAnsi="宋体" w:eastAsia="宋体" w:cs="宋体"/>
          <w:b/>
          <w:bCs/>
          <w:color w:val="auto"/>
          <w:kern w:val="0"/>
          <w:sz w:val="28"/>
          <w:szCs w:val="28"/>
          <w:lang w:val="en-US" w:eastAsia="zh-CN"/>
        </w:rPr>
        <w:t>000</w:t>
      </w:r>
      <w:r>
        <w:rPr>
          <w:rFonts w:hint="eastAsia" w:ascii="宋体" w:hAnsi="宋体" w:eastAsia="宋体" w:cs="宋体"/>
          <w:b/>
          <w:bCs/>
          <w:color w:val="auto"/>
          <w:kern w:val="0"/>
          <w:sz w:val="28"/>
          <w:szCs w:val="28"/>
          <w:lang w:val="zh-CN" w:eastAsia="zh-CN"/>
        </w:rPr>
        <w:t>.00</w:t>
      </w:r>
      <w:r>
        <w:rPr>
          <w:rFonts w:hint="eastAsia" w:ascii="宋体" w:hAnsi="宋体" w:eastAsia="宋体" w:cs="宋体"/>
          <w:b/>
          <w:bCs/>
          <w:color w:val="auto"/>
          <w:kern w:val="0"/>
          <w:sz w:val="28"/>
          <w:szCs w:val="28"/>
          <w:lang w:val="en-US" w:eastAsia="zh-CN"/>
        </w:rPr>
        <w:t>元</w:t>
      </w:r>
      <w:r>
        <w:rPr>
          <w:rFonts w:hint="eastAsia" w:ascii="宋体" w:hAnsi="宋体" w:eastAsia="宋体" w:cs="宋体"/>
          <w:b/>
          <w:bCs/>
          <w:color w:val="auto"/>
          <w:kern w:val="0"/>
          <w:sz w:val="28"/>
          <w:szCs w:val="28"/>
          <w:lang w:val="zh-CN"/>
        </w:rPr>
        <w:t>（大写：</w:t>
      </w:r>
      <w:r>
        <w:rPr>
          <w:rFonts w:hint="eastAsia" w:ascii="宋体" w:hAnsi="宋体" w:cs="宋体"/>
          <w:b/>
          <w:bCs/>
          <w:color w:val="auto"/>
          <w:kern w:val="0"/>
          <w:sz w:val="28"/>
          <w:szCs w:val="28"/>
          <w:lang w:val="en-US" w:eastAsia="zh-CN"/>
        </w:rPr>
        <w:t>肆万伍仟</w:t>
      </w:r>
      <w:r>
        <w:rPr>
          <w:rFonts w:hint="eastAsia" w:ascii="宋体" w:hAnsi="宋体" w:eastAsia="宋体" w:cs="宋体"/>
          <w:b/>
          <w:bCs/>
          <w:color w:val="auto"/>
          <w:kern w:val="0"/>
          <w:sz w:val="28"/>
          <w:szCs w:val="28"/>
          <w:lang w:val="zh-CN"/>
        </w:rPr>
        <w:t>元整）</w:t>
      </w:r>
    </w:p>
    <w:p w14:paraId="18FB5453">
      <w:pPr>
        <w:autoSpaceDE w:val="0"/>
        <w:autoSpaceDN w:val="0"/>
        <w:spacing w:line="360" w:lineRule="auto"/>
        <w:ind w:firstLine="562" w:firstLineChars="200"/>
        <w:rPr>
          <w:rFonts w:hint="eastAsia" w:ascii="宋体" w:hAnsi="宋体" w:eastAsia="宋体" w:cs="宋体"/>
          <w:b/>
          <w:bCs/>
          <w:color w:val="auto"/>
          <w:kern w:val="0"/>
          <w:sz w:val="28"/>
          <w:szCs w:val="28"/>
          <w:lang w:val="zh-CN" w:eastAsia="zh-CN"/>
        </w:rPr>
      </w:pPr>
      <w:r>
        <w:rPr>
          <w:rFonts w:hint="eastAsia" w:ascii="宋体" w:hAnsi="宋体" w:eastAsia="宋体" w:cs="宋体"/>
          <w:b/>
          <w:bCs/>
          <w:color w:val="auto"/>
          <w:kern w:val="0"/>
          <w:sz w:val="28"/>
          <w:szCs w:val="28"/>
          <w:lang w:val="zh-CN"/>
        </w:rPr>
        <w:t>收款单位：</w:t>
      </w:r>
      <w:r>
        <w:rPr>
          <w:rFonts w:hint="eastAsia" w:ascii="宋体" w:hAnsi="宋体" w:cs="宋体"/>
          <w:b/>
          <w:bCs/>
          <w:color w:val="auto"/>
          <w:sz w:val="28"/>
          <w:szCs w:val="28"/>
          <w:lang w:eastAsia="zh-CN"/>
        </w:rPr>
        <w:t>青海宇创项目管理有限责任公司</w:t>
      </w:r>
    </w:p>
    <w:p w14:paraId="3D90958F">
      <w:pPr>
        <w:autoSpaceDE w:val="0"/>
        <w:autoSpaceDN w:val="0"/>
        <w:spacing w:line="360" w:lineRule="auto"/>
        <w:ind w:firstLine="562" w:firstLineChars="200"/>
        <w:rPr>
          <w:rFonts w:hint="eastAsia" w:ascii="宋体" w:hAnsi="宋体" w:eastAsia="宋体" w:cs="宋体"/>
          <w:b/>
          <w:bCs/>
          <w:color w:val="auto"/>
          <w:kern w:val="0"/>
          <w:sz w:val="28"/>
          <w:szCs w:val="28"/>
          <w:lang w:val="zh-CN" w:eastAsia="zh-CN"/>
        </w:rPr>
      </w:pPr>
      <w:r>
        <w:rPr>
          <w:rFonts w:hint="eastAsia" w:ascii="宋体" w:hAnsi="宋体" w:eastAsia="宋体" w:cs="宋体"/>
          <w:b/>
          <w:bCs/>
          <w:color w:val="auto"/>
          <w:kern w:val="0"/>
          <w:sz w:val="28"/>
          <w:szCs w:val="28"/>
          <w:lang w:val="zh-CN"/>
        </w:rPr>
        <w:t>开 户 行：</w:t>
      </w:r>
      <w:r>
        <w:rPr>
          <w:rFonts w:hint="eastAsia" w:ascii="宋体" w:hAnsi="宋体" w:cs="宋体"/>
          <w:b/>
          <w:bCs/>
          <w:color w:val="auto"/>
          <w:sz w:val="28"/>
          <w:szCs w:val="28"/>
          <w:lang w:eastAsia="zh-CN"/>
        </w:rPr>
        <w:t>中国银行股份有限公司西宁市城西支行</w:t>
      </w:r>
    </w:p>
    <w:p w14:paraId="67A0E145">
      <w:pPr>
        <w:autoSpaceDE w:val="0"/>
        <w:autoSpaceDN w:val="0"/>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kern w:val="0"/>
          <w:sz w:val="28"/>
          <w:szCs w:val="28"/>
          <w:lang w:val="zh-CN"/>
        </w:rPr>
        <w:t>银行账号：</w:t>
      </w:r>
      <w:r>
        <w:rPr>
          <w:rFonts w:hint="eastAsia" w:ascii="宋体" w:hAnsi="宋体" w:cs="宋体"/>
          <w:b/>
          <w:bCs/>
          <w:color w:val="auto"/>
          <w:sz w:val="28"/>
          <w:szCs w:val="28"/>
          <w:lang w:eastAsia="zh-CN"/>
        </w:rPr>
        <w:t>105067669934</w:t>
      </w:r>
    </w:p>
    <w:p w14:paraId="0E3499CA">
      <w:pPr>
        <w:autoSpaceDE w:val="0"/>
        <w:autoSpaceDN w:val="0"/>
        <w:spacing w:line="360" w:lineRule="auto"/>
        <w:ind w:firstLine="562" w:firstLineChars="20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交纳时间：投标截止及开标时间前，以银行到账时间为准。</w:t>
      </w:r>
    </w:p>
    <w:p w14:paraId="060C8FBC">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如采购项目变更开标时间，则保证金交纳时间相应顺延。</w:t>
      </w:r>
    </w:p>
    <w:p w14:paraId="60D28632">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9.2</w:t>
      </w:r>
      <w:r>
        <w:rPr>
          <w:rFonts w:hint="eastAsia" w:ascii="宋体" w:hAnsi="宋体" w:eastAsia="宋体" w:cs="宋体"/>
          <w:color w:val="auto"/>
          <w:kern w:val="0"/>
          <w:sz w:val="28"/>
          <w:szCs w:val="28"/>
        </w:rPr>
        <w:t xml:space="preserve"> 缴费方式：投标保证金应当以支票、汇票、本票或者金融机构、担保机构出具的保函等非现金形式提交。</w:t>
      </w:r>
    </w:p>
    <w:p w14:paraId="032E6208">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9.3</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14:paraId="3EE1C608">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采购人或采购代理机构应当自中标通知书发出之日起5个工作日内退还未中标人的投标保证金，自采购合同签订之日起5个工作日内退还中标人的投标保证金或者转为中标人的履约保证金。</w:t>
      </w:r>
    </w:p>
    <w:p w14:paraId="5B49B302">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14:paraId="1C57D4AB">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9.4 投标有效期内投标人撤销投标文件的，采购人或者采购代理机构可以不退还投标保证金。</w:t>
      </w:r>
    </w:p>
    <w:p w14:paraId="68F79088">
      <w:pPr>
        <w:pStyle w:val="25"/>
        <w:spacing w:before="0" w:after="0" w:line="360" w:lineRule="auto"/>
        <w:jc w:val="left"/>
        <w:rPr>
          <w:rFonts w:hint="eastAsia" w:ascii="宋体" w:hAnsi="宋体" w:eastAsia="宋体" w:cs="宋体"/>
          <w:color w:val="auto"/>
          <w:sz w:val="28"/>
          <w:szCs w:val="28"/>
          <w:lang w:val="zh-CN"/>
        </w:rPr>
      </w:pPr>
      <w:bookmarkStart w:id="55" w:name="_Toc21831"/>
      <w:r>
        <w:rPr>
          <w:rFonts w:hint="eastAsia" w:ascii="宋体" w:hAnsi="宋体" w:eastAsia="宋体" w:cs="宋体"/>
          <w:color w:val="auto"/>
          <w:sz w:val="28"/>
          <w:szCs w:val="28"/>
          <w:lang w:val="zh-CN"/>
        </w:rPr>
        <w:t>10.投标有效期</w:t>
      </w:r>
      <w:bookmarkEnd w:id="55"/>
    </w:p>
    <w:p w14:paraId="727C568F">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sz w:val="28"/>
          <w:szCs w:val="28"/>
          <w:shd w:val="clear" w:color="auto" w:fill="FFFFFF"/>
        </w:rPr>
        <w:t>从提交投标文件的截止之日起</w:t>
      </w:r>
      <w:r>
        <w:rPr>
          <w:rFonts w:hint="eastAsia" w:ascii="宋体" w:hAnsi="宋体" w:eastAsia="宋体" w:cs="宋体"/>
          <w:color w:val="auto"/>
          <w:kern w:val="0"/>
          <w:sz w:val="28"/>
          <w:szCs w:val="28"/>
          <w:lang w:val="zh-CN"/>
        </w:rPr>
        <w:t>60日历日。投标文件中承诺的投标有效期应当不少于招标文件中载明的投标有效期。</w:t>
      </w:r>
    </w:p>
    <w:p w14:paraId="1E808189">
      <w:pPr>
        <w:pStyle w:val="25"/>
        <w:spacing w:before="0" w:after="0" w:line="360" w:lineRule="auto"/>
        <w:jc w:val="left"/>
        <w:rPr>
          <w:rFonts w:hint="eastAsia" w:ascii="宋体" w:hAnsi="宋体" w:eastAsia="宋体" w:cs="宋体"/>
          <w:color w:val="auto"/>
          <w:sz w:val="28"/>
          <w:szCs w:val="28"/>
          <w:lang w:val="zh-CN"/>
        </w:rPr>
      </w:pPr>
      <w:bookmarkStart w:id="56" w:name="_Toc6102"/>
      <w:r>
        <w:rPr>
          <w:rFonts w:hint="eastAsia" w:ascii="宋体" w:hAnsi="宋体" w:eastAsia="宋体" w:cs="宋体"/>
          <w:color w:val="auto"/>
          <w:sz w:val="28"/>
          <w:szCs w:val="28"/>
          <w:lang w:val="zh-CN"/>
        </w:rPr>
        <w:t>11.投标文件构成</w:t>
      </w:r>
      <w:bookmarkEnd w:id="56"/>
    </w:p>
    <w:p w14:paraId="1A135E98">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投标人应提交相关证明材料，作为其参加投标和中标后有能力履行合同的证明。编写的投标文件须包括以下内容（格式见招标文件第四部分）：</w:t>
      </w:r>
    </w:p>
    <w:p w14:paraId="53C90578">
      <w:pPr>
        <w:autoSpaceDE w:val="0"/>
        <w:autoSpaceDN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kern w:val="0"/>
          <w:sz w:val="28"/>
          <w:szCs w:val="28"/>
        </w:rPr>
        <w:t>11.1</w:t>
      </w:r>
      <w:r>
        <w:rPr>
          <w:rFonts w:hint="eastAsia" w:ascii="宋体" w:hAnsi="宋体" w:eastAsia="宋体" w:cs="宋体"/>
          <w:b/>
          <w:bCs/>
          <w:color w:val="auto"/>
          <w:kern w:val="0"/>
          <w:sz w:val="28"/>
          <w:szCs w:val="28"/>
          <w:lang w:val="zh-CN"/>
        </w:rPr>
        <w:t>、投标文件</w:t>
      </w:r>
    </w:p>
    <w:p w14:paraId="4EDB4E95">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投标函</w:t>
      </w:r>
    </w:p>
    <w:p w14:paraId="36687C47">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sz w:val="28"/>
          <w:szCs w:val="28"/>
        </w:rPr>
        <w:t>法定代表人（非法人组织负责人）证明书</w:t>
      </w:r>
    </w:p>
    <w:p w14:paraId="1B5B0378">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sz w:val="28"/>
          <w:szCs w:val="28"/>
        </w:rPr>
        <w:t>法定代表人（非法人组织负责人）授权书</w:t>
      </w:r>
    </w:p>
    <w:p w14:paraId="13E9D1F1">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投标人承诺函</w:t>
      </w:r>
    </w:p>
    <w:p w14:paraId="350534F1">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投标人诚信承诺书</w:t>
      </w:r>
    </w:p>
    <w:p w14:paraId="513C7C37">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资格证明材料</w:t>
      </w:r>
    </w:p>
    <w:p w14:paraId="62144694">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财务状况报告，依法缴纳税收和社会保障资金的相关材料</w:t>
      </w:r>
    </w:p>
    <w:p w14:paraId="36558D33">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具备履行合同所必需的设备和专业技术能力的证明材料</w:t>
      </w:r>
    </w:p>
    <w:p w14:paraId="3424AD25">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无重大违法记录声明</w:t>
      </w:r>
    </w:p>
    <w:p w14:paraId="04DF1F91">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投标保证金证明</w:t>
      </w:r>
    </w:p>
    <w:p w14:paraId="42673DCD">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评分对照表</w:t>
      </w:r>
    </w:p>
    <w:p w14:paraId="0F459B2B">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开标一览表（报价表）</w:t>
      </w:r>
    </w:p>
    <w:p w14:paraId="0C0A7D7E">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分项报价表</w:t>
      </w:r>
    </w:p>
    <w:p w14:paraId="6CEF4611">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技术规格响应表</w:t>
      </w:r>
    </w:p>
    <w:p w14:paraId="1CD516CD">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投标产品相关资料</w:t>
      </w:r>
    </w:p>
    <w:p w14:paraId="52FAA035">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投标人的类似业绩证明材料</w:t>
      </w:r>
    </w:p>
    <w:p w14:paraId="30CC8474">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享受政府采购政策优惠的证明资料</w:t>
      </w:r>
    </w:p>
    <w:p w14:paraId="1FE6ECC4">
      <w:pPr>
        <w:numPr>
          <w:ilvl w:val="0"/>
          <w:numId w:val="1"/>
        </w:num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投标人认为在其他方面有必要说明的事项</w:t>
      </w:r>
    </w:p>
    <w:p w14:paraId="1FAD16D9">
      <w:pPr>
        <w:autoSpaceDE w:val="0"/>
        <w:autoSpaceDN w:val="0"/>
        <w:spacing w:line="360" w:lineRule="auto"/>
        <w:ind w:firstLine="700" w:firstLineChars="25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注：投标人须按上述内容、顺序和格式编制投标文件，并按要求编制目录、页码，并保证所提供的全部资料真实可信，自愿承担相应责任。</w:t>
      </w:r>
    </w:p>
    <w:p w14:paraId="6DF01480">
      <w:pPr>
        <w:pStyle w:val="25"/>
        <w:spacing w:before="0" w:after="0" w:line="360" w:lineRule="auto"/>
        <w:jc w:val="left"/>
        <w:rPr>
          <w:rFonts w:hint="eastAsia" w:ascii="宋体" w:hAnsi="宋体" w:eastAsia="宋体" w:cs="宋体"/>
          <w:color w:val="auto"/>
          <w:sz w:val="28"/>
          <w:szCs w:val="28"/>
          <w:lang w:val="zh-CN"/>
        </w:rPr>
      </w:pPr>
      <w:bookmarkStart w:id="57" w:name="_Toc22420"/>
      <w:r>
        <w:rPr>
          <w:rFonts w:hint="eastAsia" w:ascii="宋体" w:hAnsi="宋体" w:eastAsia="宋体" w:cs="宋体"/>
          <w:color w:val="auto"/>
          <w:sz w:val="28"/>
          <w:szCs w:val="28"/>
          <w:lang w:val="zh-CN"/>
        </w:rPr>
        <w:t>12.投标文件的编制要求</w:t>
      </w:r>
      <w:bookmarkEnd w:id="57"/>
    </w:p>
    <w:p w14:paraId="3785CC72">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12.1</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3F0EA7F">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12.2</w:t>
      </w:r>
      <w:r>
        <w:rPr>
          <w:rFonts w:hint="eastAsia" w:ascii="宋体" w:hAnsi="宋体" w:eastAsia="宋体" w:cs="宋体"/>
          <w:b/>
          <w:color w:val="auto"/>
          <w:kern w:val="0"/>
          <w:sz w:val="28"/>
          <w:szCs w:val="28"/>
          <w:lang w:val="zh-CN"/>
        </w:rPr>
        <w:t>投标人应在投标截止时间之前将加密电子投标文件上传至评标系统；加密电子投标文件的制作详情请咨询政采云，咨询电话：</w:t>
      </w:r>
      <w:r>
        <w:rPr>
          <w:rFonts w:hint="eastAsia" w:ascii="宋体" w:hAnsi="宋体" w:eastAsia="宋体" w:cs="宋体"/>
          <w:b/>
          <w:color w:val="auto"/>
          <w:kern w:val="0"/>
          <w:sz w:val="28"/>
          <w:szCs w:val="28"/>
          <w:lang w:val="en-US" w:eastAsia="zh-CN"/>
        </w:rPr>
        <w:t>95763</w:t>
      </w:r>
      <w:r>
        <w:rPr>
          <w:rFonts w:hint="eastAsia" w:ascii="宋体" w:hAnsi="宋体" w:eastAsia="宋体" w:cs="宋体"/>
          <w:b/>
          <w:color w:val="auto"/>
          <w:kern w:val="0"/>
          <w:sz w:val="28"/>
          <w:szCs w:val="28"/>
          <w:lang w:val="zh-CN"/>
        </w:rPr>
        <w:t>。</w:t>
      </w:r>
    </w:p>
    <w:p w14:paraId="3DCB64A0">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12.3投标文件中不得行间插字、涂改或增删，如有修改错漏处，须由投标人法定代表人或其委托代理人签字、加盖公章。</w:t>
      </w:r>
    </w:p>
    <w:p w14:paraId="0E89B180">
      <w:pPr>
        <w:pStyle w:val="25"/>
        <w:spacing w:before="0" w:after="0" w:line="360" w:lineRule="auto"/>
        <w:rPr>
          <w:rFonts w:hint="eastAsia" w:ascii="宋体" w:hAnsi="宋体" w:eastAsia="宋体" w:cs="宋体"/>
          <w:color w:val="auto"/>
          <w:sz w:val="28"/>
          <w:szCs w:val="28"/>
        </w:rPr>
      </w:pPr>
      <w:bookmarkStart w:id="58" w:name="_Toc4106"/>
      <w:r>
        <w:rPr>
          <w:rFonts w:hint="eastAsia" w:ascii="宋体" w:hAnsi="宋体" w:eastAsia="宋体" w:cs="宋体"/>
          <w:color w:val="auto"/>
          <w:sz w:val="28"/>
          <w:szCs w:val="28"/>
          <w:lang w:val="zh-CN"/>
        </w:rPr>
        <w:t>四、投标文件的提交</w:t>
      </w:r>
      <w:bookmarkEnd w:id="58"/>
    </w:p>
    <w:p w14:paraId="39840974">
      <w:pPr>
        <w:pStyle w:val="25"/>
        <w:spacing w:before="0" w:after="0" w:line="360" w:lineRule="auto"/>
        <w:jc w:val="left"/>
        <w:rPr>
          <w:rFonts w:hint="eastAsia" w:ascii="宋体" w:hAnsi="宋体" w:eastAsia="宋体" w:cs="宋体"/>
          <w:color w:val="auto"/>
          <w:sz w:val="28"/>
          <w:szCs w:val="28"/>
          <w:lang w:val="zh-CN"/>
        </w:rPr>
      </w:pPr>
      <w:bookmarkStart w:id="59" w:name="_Toc5575"/>
      <w:r>
        <w:rPr>
          <w:rFonts w:hint="eastAsia" w:ascii="宋体" w:hAnsi="宋体" w:eastAsia="宋体" w:cs="宋体"/>
          <w:color w:val="auto"/>
          <w:sz w:val="28"/>
          <w:szCs w:val="28"/>
          <w:lang w:val="zh-CN"/>
        </w:rPr>
        <w:t>13. 电子投标文件上传</w:t>
      </w:r>
      <w:bookmarkEnd w:id="59"/>
    </w:p>
    <w:p w14:paraId="55611149">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13.1电子投标文件，应分别按照招标文件的及电子评标系统要求上传。</w:t>
      </w:r>
    </w:p>
    <w:p w14:paraId="7B086BD5">
      <w:pPr>
        <w:pStyle w:val="25"/>
        <w:spacing w:before="0" w:after="0" w:line="360" w:lineRule="auto"/>
        <w:jc w:val="left"/>
        <w:rPr>
          <w:rFonts w:hint="eastAsia" w:ascii="宋体" w:hAnsi="宋体" w:eastAsia="宋体" w:cs="宋体"/>
          <w:color w:val="auto"/>
          <w:sz w:val="28"/>
          <w:szCs w:val="28"/>
          <w:lang w:val="zh-CN"/>
        </w:rPr>
      </w:pPr>
      <w:bookmarkStart w:id="60" w:name="_Toc29856"/>
      <w:r>
        <w:rPr>
          <w:rFonts w:hint="eastAsia" w:ascii="宋体" w:hAnsi="宋体" w:eastAsia="宋体" w:cs="宋体"/>
          <w:color w:val="auto"/>
          <w:sz w:val="28"/>
          <w:szCs w:val="28"/>
          <w:lang w:val="zh-CN"/>
        </w:rPr>
        <w:t>14.提交投标文件的时间、地点、方式</w:t>
      </w:r>
      <w:bookmarkEnd w:id="60"/>
    </w:p>
    <w:p w14:paraId="101B687B">
      <w:pPr>
        <w:autoSpaceDE w:val="0"/>
        <w:autoSpaceDN w:val="0"/>
        <w:spacing w:line="520" w:lineRule="exact"/>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14.1投标人在招标文件要求开标截止时间前，按要求上传加密电子投标文件至评标系统。</w:t>
      </w:r>
    </w:p>
    <w:p w14:paraId="04642735">
      <w:pPr>
        <w:pStyle w:val="25"/>
        <w:spacing w:before="0" w:after="0" w:line="360" w:lineRule="auto"/>
        <w:jc w:val="left"/>
        <w:rPr>
          <w:rFonts w:hint="eastAsia" w:ascii="宋体" w:hAnsi="宋体" w:eastAsia="宋体" w:cs="宋体"/>
          <w:color w:val="auto"/>
          <w:sz w:val="28"/>
          <w:szCs w:val="28"/>
          <w:lang w:val="zh-CN"/>
        </w:rPr>
      </w:pPr>
      <w:bookmarkStart w:id="61" w:name="_Toc20379"/>
      <w:r>
        <w:rPr>
          <w:rFonts w:hint="eastAsia" w:ascii="宋体" w:hAnsi="宋体" w:eastAsia="宋体" w:cs="宋体"/>
          <w:color w:val="auto"/>
          <w:sz w:val="28"/>
          <w:szCs w:val="28"/>
          <w:lang w:val="zh-CN"/>
        </w:rPr>
        <w:t>15.电子投标文件的补充、修改或者撤回</w:t>
      </w:r>
      <w:bookmarkEnd w:id="61"/>
    </w:p>
    <w:p w14:paraId="75ED624B">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15.1</w:t>
      </w:r>
      <w:r>
        <w:rPr>
          <w:rFonts w:hint="eastAsia" w:ascii="宋体" w:hAnsi="宋体" w:eastAsia="宋体" w:cs="宋体"/>
          <w:color w:val="auto"/>
          <w:kern w:val="0"/>
          <w:sz w:val="28"/>
          <w:szCs w:val="28"/>
        </w:rPr>
        <w:t>投标人在投标截止时间前，可以对所上传的电子投标文件进行补充、修改或者撤回。补充、修改的内容按照招标文件要求签署、盖章，作为投标文件的组成部分。</w:t>
      </w:r>
    </w:p>
    <w:p w14:paraId="2BFCE046">
      <w:pPr>
        <w:pStyle w:val="25"/>
        <w:keepNext w:val="0"/>
        <w:keepLines w:val="0"/>
        <w:pageBreakBefore w:val="0"/>
        <w:widowControl w:val="0"/>
        <w:kinsoku w:val="0"/>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kern w:val="0"/>
          <w:sz w:val="28"/>
          <w:szCs w:val="28"/>
        </w:rPr>
      </w:pPr>
      <w:bookmarkStart w:id="62" w:name="_Toc16649"/>
      <w:r>
        <w:rPr>
          <w:rFonts w:hint="eastAsia" w:ascii="宋体" w:hAnsi="宋体" w:eastAsia="宋体" w:cs="宋体"/>
          <w:color w:val="auto"/>
          <w:kern w:val="0"/>
          <w:sz w:val="28"/>
          <w:szCs w:val="28"/>
          <w:lang w:val="zh-CN"/>
        </w:rPr>
        <w:t>五、开标</w:t>
      </w:r>
      <w:bookmarkEnd w:id="62"/>
    </w:p>
    <w:p w14:paraId="3C9384A9">
      <w:pPr>
        <w:pStyle w:val="25"/>
        <w:spacing w:before="0" w:after="0" w:line="360" w:lineRule="auto"/>
        <w:jc w:val="left"/>
        <w:rPr>
          <w:rFonts w:hint="eastAsia" w:ascii="宋体" w:hAnsi="宋体" w:eastAsia="宋体" w:cs="宋体"/>
          <w:color w:val="auto"/>
          <w:sz w:val="28"/>
          <w:szCs w:val="28"/>
          <w:lang w:val="zh-CN"/>
        </w:rPr>
      </w:pPr>
      <w:bookmarkStart w:id="63" w:name="_Toc27344"/>
      <w:r>
        <w:rPr>
          <w:rFonts w:hint="eastAsia" w:ascii="宋体" w:hAnsi="宋体" w:eastAsia="宋体" w:cs="宋体"/>
          <w:color w:val="auto"/>
          <w:sz w:val="28"/>
          <w:szCs w:val="28"/>
          <w:lang w:val="zh-CN"/>
        </w:rPr>
        <w:t>16.开标</w:t>
      </w:r>
      <w:bookmarkEnd w:id="63"/>
    </w:p>
    <w:p w14:paraId="65EABDB8">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16.1</w:t>
      </w:r>
      <w:r>
        <w:rPr>
          <w:rFonts w:hint="eastAsia" w:ascii="宋体" w:hAnsi="宋体" w:eastAsia="宋体" w:cs="宋体"/>
          <w:color w:val="auto"/>
          <w:kern w:val="0"/>
          <w:sz w:val="28"/>
          <w:szCs w:val="28"/>
        </w:rPr>
        <w:t>开标应当在招标文件确定的提交投标文件截止时间的同一时间进行。采购人或采购代理机构应当按本文件中确定的时间在政采系统中组织开标活动。</w:t>
      </w:r>
    </w:p>
    <w:p w14:paraId="0D58ED27">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采购人或者采购代理机构应当对开标、评标现场活动进行全程录音录像。录音录像应当清晰可辨，音像资料作为采购文件一并存档。</w:t>
      </w:r>
    </w:p>
    <w:p w14:paraId="0532D49A">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16.2 开标由采购人或采购代理机构主持，邀请投标人参加。评标委员会成员不得参加开标活动。</w:t>
      </w:r>
    </w:p>
    <w:p w14:paraId="60CF4F17">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投标人不足3家的，不得开标。</w:t>
      </w:r>
    </w:p>
    <w:p w14:paraId="73FA2D2F">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16.3 开标过程应当由采购人或者采购代理机构负责记录，由参加开标的各投标人代表和相关工作人员签字确认后随采购文件一并存档。</w:t>
      </w:r>
    </w:p>
    <w:p w14:paraId="4DB6CDD5">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8677217">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投标人未参加开标的，视同认可开标结果。</w:t>
      </w:r>
    </w:p>
    <w:p w14:paraId="1CF994C3">
      <w:pPr>
        <w:pStyle w:val="25"/>
        <w:spacing w:before="0" w:after="0" w:line="360" w:lineRule="auto"/>
        <w:rPr>
          <w:rFonts w:hint="eastAsia" w:ascii="宋体" w:hAnsi="宋体" w:eastAsia="宋体" w:cs="宋体"/>
          <w:color w:val="auto"/>
          <w:kern w:val="0"/>
          <w:sz w:val="28"/>
          <w:szCs w:val="28"/>
        </w:rPr>
      </w:pPr>
      <w:bookmarkStart w:id="64" w:name="_Toc9144"/>
      <w:bookmarkStart w:id="65" w:name="_Toc496004006"/>
      <w:r>
        <w:rPr>
          <w:rFonts w:hint="eastAsia" w:ascii="宋体" w:hAnsi="宋体" w:eastAsia="宋体" w:cs="宋体"/>
          <w:color w:val="auto"/>
          <w:kern w:val="0"/>
          <w:sz w:val="28"/>
          <w:szCs w:val="28"/>
        </w:rPr>
        <w:t>六、资格</w:t>
      </w:r>
      <w:r>
        <w:rPr>
          <w:rFonts w:hint="eastAsia" w:ascii="宋体" w:hAnsi="宋体" w:eastAsia="宋体" w:cs="宋体"/>
          <w:color w:val="auto"/>
          <w:sz w:val="28"/>
          <w:szCs w:val="28"/>
          <w:lang w:val="zh-CN"/>
        </w:rPr>
        <w:t>审查</w:t>
      </w:r>
      <w:r>
        <w:rPr>
          <w:rFonts w:hint="eastAsia" w:ascii="宋体" w:hAnsi="宋体" w:eastAsia="宋体" w:cs="宋体"/>
          <w:color w:val="auto"/>
          <w:kern w:val="0"/>
          <w:sz w:val="28"/>
          <w:szCs w:val="28"/>
        </w:rPr>
        <w:t>程序</w:t>
      </w:r>
      <w:bookmarkEnd w:id="64"/>
      <w:bookmarkEnd w:id="65"/>
    </w:p>
    <w:p w14:paraId="3B56CA3A">
      <w:pPr>
        <w:pStyle w:val="25"/>
        <w:spacing w:before="0" w:after="0" w:line="360" w:lineRule="auto"/>
        <w:jc w:val="left"/>
        <w:rPr>
          <w:rFonts w:hint="eastAsia" w:ascii="宋体" w:hAnsi="宋体" w:eastAsia="宋体" w:cs="宋体"/>
          <w:color w:val="auto"/>
          <w:sz w:val="28"/>
          <w:szCs w:val="28"/>
        </w:rPr>
      </w:pPr>
      <w:bookmarkStart w:id="66" w:name="_Toc1276"/>
      <w:r>
        <w:rPr>
          <w:rFonts w:hint="eastAsia" w:ascii="宋体" w:hAnsi="宋体" w:eastAsia="宋体" w:cs="宋体"/>
          <w:color w:val="auto"/>
          <w:sz w:val="28"/>
          <w:szCs w:val="28"/>
        </w:rPr>
        <w:t>17.资格审查</w:t>
      </w:r>
      <w:bookmarkEnd w:id="66"/>
    </w:p>
    <w:p w14:paraId="6A7B76E5">
      <w:pPr>
        <w:autoSpaceDE w:val="0"/>
        <w:autoSpaceDN w:val="0"/>
        <w:spacing w:line="360" w:lineRule="auto"/>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17.1 开标结束后，采购人或者采购代理机构应当依法对投标人的资格性审查文件进行审查。</w:t>
      </w:r>
    </w:p>
    <w:p w14:paraId="3FB4190C">
      <w:pPr>
        <w:autoSpaceDE w:val="0"/>
        <w:autoSpaceDN w:val="0"/>
        <w:spacing w:line="360" w:lineRule="auto"/>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17.2 合格投标人不足3家的，不得评标。</w:t>
      </w:r>
    </w:p>
    <w:p w14:paraId="65ED408D">
      <w:pPr>
        <w:autoSpaceDE w:val="0"/>
        <w:autoSpaceDN w:val="0"/>
        <w:spacing w:line="360" w:lineRule="auto"/>
        <w:ind w:firstLine="562" w:firstLineChars="200"/>
        <w:rPr>
          <w:rFonts w:hint="eastAsia" w:ascii="宋体" w:hAnsi="宋体" w:eastAsia="宋体" w:cs="宋体"/>
          <w:b/>
          <w:bCs/>
          <w:color w:val="auto"/>
          <w:sz w:val="28"/>
          <w:szCs w:val="28"/>
        </w:rPr>
      </w:pPr>
      <w:bookmarkStart w:id="67" w:name="_Toc497503516"/>
      <w:bookmarkStart w:id="68" w:name="_Toc497503449"/>
      <w:bookmarkStart w:id="69" w:name="_Toc497503315"/>
      <w:bookmarkStart w:id="70" w:name="_Toc497503249"/>
      <w:bookmarkStart w:id="71" w:name="_Toc30809"/>
      <w:r>
        <w:rPr>
          <w:rFonts w:hint="eastAsia" w:ascii="宋体" w:hAnsi="宋体" w:eastAsia="宋体" w:cs="宋体"/>
          <w:b/>
          <w:bCs/>
          <w:color w:val="auto"/>
          <w:kern w:val="0"/>
          <w:sz w:val="28"/>
          <w:szCs w:val="28"/>
        </w:rPr>
        <w:t>17.3 资格审查时，投标人存在下列情况之一的，按无效投标处理：</w:t>
      </w:r>
      <w:bookmarkEnd w:id="67"/>
      <w:bookmarkEnd w:id="68"/>
      <w:bookmarkEnd w:id="69"/>
      <w:bookmarkEnd w:id="70"/>
      <w:bookmarkEnd w:id="71"/>
    </w:p>
    <w:p w14:paraId="70D3840B">
      <w:pPr>
        <w:numPr>
          <w:ilvl w:val="0"/>
          <w:numId w:val="0"/>
        </w:numPr>
        <w:tabs>
          <w:tab w:val="left" w:pos="960"/>
        </w:tabs>
        <w:autoSpaceDE w:val="0"/>
        <w:autoSpaceDN w:val="0"/>
        <w:spacing w:line="360" w:lineRule="auto"/>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bidi="ar-SA"/>
        </w:rPr>
        <w:t>(1)</w:t>
      </w:r>
      <w:r>
        <w:rPr>
          <w:rFonts w:hint="eastAsia" w:ascii="宋体" w:hAnsi="宋体" w:eastAsia="宋体" w:cs="宋体"/>
          <w:b/>
          <w:bCs/>
          <w:color w:val="auto"/>
          <w:sz w:val="28"/>
          <w:szCs w:val="28"/>
          <w:shd w:val="clear" w:color="auto" w:fill="FFFFFF"/>
        </w:rPr>
        <w:t>不具备</w:t>
      </w:r>
      <w:r>
        <w:rPr>
          <w:rFonts w:hint="eastAsia" w:ascii="宋体" w:hAnsi="宋体" w:eastAsia="宋体" w:cs="宋体"/>
          <w:b/>
          <w:bCs/>
          <w:color w:val="auto"/>
          <w:kern w:val="0"/>
          <w:sz w:val="28"/>
          <w:szCs w:val="28"/>
          <w:lang w:val="zh-CN"/>
        </w:rPr>
        <w:t>第一部分“投标邀请”中各包投标人资格要求</w:t>
      </w:r>
      <w:r>
        <w:rPr>
          <w:rFonts w:hint="eastAsia" w:ascii="宋体" w:hAnsi="宋体" w:eastAsia="宋体" w:cs="宋体"/>
          <w:b/>
          <w:bCs/>
          <w:color w:val="auto"/>
          <w:sz w:val="28"/>
          <w:szCs w:val="28"/>
          <w:shd w:val="clear" w:color="auto" w:fill="FFFFFF"/>
        </w:rPr>
        <w:t>的；</w:t>
      </w:r>
    </w:p>
    <w:p w14:paraId="74C19B24">
      <w:pPr>
        <w:numPr>
          <w:ilvl w:val="0"/>
          <w:numId w:val="0"/>
        </w:numPr>
        <w:tabs>
          <w:tab w:val="left" w:pos="960"/>
        </w:tabs>
        <w:autoSpaceDE w:val="0"/>
        <w:autoSpaceDN w:val="0"/>
        <w:spacing w:line="360" w:lineRule="auto"/>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bidi="ar-SA"/>
        </w:rPr>
        <w:t>(2)</w:t>
      </w:r>
      <w:r>
        <w:rPr>
          <w:rFonts w:hint="eastAsia" w:ascii="宋体" w:hAnsi="宋体" w:eastAsia="宋体" w:cs="宋体"/>
          <w:b/>
          <w:bCs/>
          <w:color w:val="auto"/>
          <w:kern w:val="0"/>
          <w:sz w:val="28"/>
          <w:szCs w:val="28"/>
        </w:rPr>
        <w:t>未按招标文件要求交纳或未足额交纳投标保证金的；</w:t>
      </w:r>
    </w:p>
    <w:p w14:paraId="02ECC802">
      <w:pPr>
        <w:numPr>
          <w:ilvl w:val="0"/>
          <w:numId w:val="0"/>
        </w:numPr>
        <w:tabs>
          <w:tab w:val="left" w:pos="960"/>
        </w:tabs>
        <w:autoSpaceDE w:val="0"/>
        <w:autoSpaceDN w:val="0"/>
        <w:spacing w:line="360" w:lineRule="auto"/>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bidi="ar-SA"/>
        </w:rPr>
        <w:t>(3)</w:t>
      </w:r>
      <w:r>
        <w:rPr>
          <w:rFonts w:hint="eastAsia" w:ascii="宋体" w:hAnsi="宋体" w:eastAsia="宋体" w:cs="宋体"/>
          <w:b/>
          <w:bCs/>
          <w:color w:val="auto"/>
          <w:kern w:val="0"/>
          <w:sz w:val="28"/>
          <w:szCs w:val="28"/>
        </w:rPr>
        <w:t>未按第11.1</w:t>
      </w:r>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lang w:val="en-US" w:eastAsia="zh-CN"/>
        </w:rPr>
        <w:t>10</w:t>
      </w:r>
      <w:r>
        <w:rPr>
          <w:rFonts w:hint="eastAsia" w:ascii="宋体" w:hAnsi="宋体" w:eastAsia="宋体" w:cs="宋体"/>
          <w:b/>
          <w:bCs/>
          <w:color w:val="auto"/>
          <w:sz w:val="28"/>
          <w:szCs w:val="28"/>
          <w:lang w:val="zh-CN"/>
        </w:rPr>
        <w:t>）</w:t>
      </w:r>
      <w:r>
        <w:rPr>
          <w:rFonts w:hint="eastAsia" w:ascii="宋体" w:hAnsi="宋体" w:eastAsia="宋体" w:cs="宋体"/>
          <w:b/>
          <w:bCs/>
          <w:color w:val="auto"/>
          <w:kern w:val="0"/>
          <w:sz w:val="28"/>
          <w:szCs w:val="28"/>
        </w:rPr>
        <w:t>要求提供相关资料的；</w:t>
      </w:r>
    </w:p>
    <w:p w14:paraId="49A79D02">
      <w:pPr>
        <w:numPr>
          <w:ilvl w:val="0"/>
          <w:numId w:val="0"/>
        </w:numPr>
        <w:tabs>
          <w:tab w:val="left" w:pos="960"/>
        </w:tabs>
        <w:autoSpaceDE w:val="0"/>
        <w:autoSpaceDN w:val="0"/>
        <w:spacing w:line="360" w:lineRule="auto"/>
        <w:ind w:firstLine="562" w:firstLineChars="200"/>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kern w:val="2"/>
          <w:sz w:val="28"/>
          <w:szCs w:val="28"/>
          <w:shd w:val="clear" w:fill="FFFFFF"/>
          <w:lang w:val="en-US" w:eastAsia="zh-CN" w:bidi="ar-SA"/>
        </w:rPr>
        <w:t>(4)</w:t>
      </w:r>
      <w:r>
        <w:rPr>
          <w:rFonts w:hint="eastAsia" w:ascii="宋体" w:hAnsi="宋体" w:eastAsia="宋体" w:cs="宋体"/>
          <w:b/>
          <w:bCs/>
          <w:color w:val="auto"/>
          <w:kern w:val="0"/>
          <w:sz w:val="28"/>
          <w:szCs w:val="28"/>
        </w:rPr>
        <w:t>资格性审查文件未按招标文件规定和要求签字、盖章的；</w:t>
      </w:r>
    </w:p>
    <w:p w14:paraId="73254D2C">
      <w:pPr>
        <w:numPr>
          <w:ilvl w:val="0"/>
          <w:numId w:val="0"/>
        </w:numPr>
        <w:tabs>
          <w:tab w:val="left" w:pos="960"/>
        </w:tabs>
        <w:autoSpaceDE w:val="0"/>
        <w:autoSpaceDN w:val="0"/>
        <w:spacing w:line="360" w:lineRule="auto"/>
        <w:ind w:firstLine="562" w:firstLineChars="200"/>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kern w:val="2"/>
          <w:sz w:val="28"/>
          <w:szCs w:val="28"/>
          <w:shd w:val="clear" w:fill="FFFFFF"/>
          <w:lang w:val="en-US" w:eastAsia="zh-CN" w:bidi="ar-SA"/>
        </w:rPr>
        <w:t>(5)</w:t>
      </w:r>
      <w:r>
        <w:rPr>
          <w:rFonts w:hint="eastAsia" w:ascii="宋体" w:hAnsi="宋体" w:eastAsia="宋体" w:cs="宋体"/>
          <w:b/>
          <w:bCs/>
          <w:color w:val="auto"/>
          <w:sz w:val="28"/>
          <w:szCs w:val="28"/>
          <w:shd w:val="clear" w:color="auto" w:fill="FFFFFF"/>
        </w:rPr>
        <w:t>报价超过招标文件中规定的预算金额或者最高限价的；</w:t>
      </w:r>
    </w:p>
    <w:p w14:paraId="15E7A237">
      <w:pPr>
        <w:numPr>
          <w:ilvl w:val="0"/>
          <w:numId w:val="0"/>
        </w:numPr>
        <w:tabs>
          <w:tab w:val="left" w:pos="960"/>
        </w:tabs>
        <w:autoSpaceDE w:val="0"/>
        <w:autoSpaceDN w:val="0"/>
        <w:spacing w:line="360" w:lineRule="auto"/>
        <w:ind w:firstLine="562" w:firstLineChars="200"/>
        <w:rPr>
          <w:rFonts w:hint="eastAsia" w:ascii="宋体" w:hAnsi="宋体" w:eastAsia="宋体" w:cs="宋体"/>
          <w:color w:val="auto"/>
          <w:sz w:val="28"/>
          <w:szCs w:val="28"/>
          <w:shd w:val="clear" w:color="auto" w:fill="FFFFFF"/>
        </w:rPr>
      </w:pPr>
      <w:r>
        <w:rPr>
          <w:rFonts w:hint="eastAsia" w:ascii="宋体" w:hAnsi="宋体" w:eastAsia="宋体" w:cs="宋体"/>
          <w:b/>
          <w:bCs/>
          <w:color w:val="auto"/>
          <w:kern w:val="2"/>
          <w:sz w:val="28"/>
          <w:szCs w:val="28"/>
          <w:shd w:val="clear" w:fill="FFFFFF"/>
          <w:lang w:val="en-US" w:eastAsia="zh-CN" w:bidi="ar-SA"/>
        </w:rPr>
        <w:t>(6)</w:t>
      </w:r>
      <w:r>
        <w:rPr>
          <w:rFonts w:hint="eastAsia" w:ascii="宋体" w:hAnsi="宋体" w:eastAsia="宋体" w:cs="宋体"/>
          <w:b/>
          <w:bCs/>
          <w:color w:val="auto"/>
          <w:sz w:val="28"/>
          <w:szCs w:val="28"/>
          <w:shd w:val="clear" w:color="auto" w:fill="FFFFFF"/>
          <w:lang w:val="zh-CN"/>
        </w:rPr>
        <w:t>投标有效期不</w:t>
      </w:r>
      <w:r>
        <w:rPr>
          <w:rFonts w:hint="eastAsia" w:ascii="宋体" w:hAnsi="宋体" w:eastAsia="宋体" w:cs="宋体"/>
          <w:b/>
          <w:bCs/>
          <w:color w:val="auto"/>
          <w:kern w:val="0"/>
          <w:sz w:val="28"/>
          <w:szCs w:val="28"/>
          <w:lang w:val="zh-CN"/>
        </w:rPr>
        <w:t>能满足招标文件要求的；</w:t>
      </w:r>
    </w:p>
    <w:p w14:paraId="606F2D39">
      <w:pPr>
        <w:pStyle w:val="25"/>
        <w:spacing w:before="0" w:after="0" w:line="360" w:lineRule="auto"/>
        <w:rPr>
          <w:rFonts w:hint="eastAsia" w:ascii="宋体" w:hAnsi="宋体" w:eastAsia="宋体" w:cs="宋体"/>
          <w:color w:val="auto"/>
          <w:sz w:val="28"/>
          <w:szCs w:val="28"/>
        </w:rPr>
      </w:pPr>
      <w:bookmarkStart w:id="72" w:name="_Toc28970"/>
      <w:r>
        <w:rPr>
          <w:rFonts w:hint="eastAsia" w:ascii="宋体" w:hAnsi="宋体" w:eastAsia="宋体" w:cs="宋体"/>
          <w:color w:val="auto"/>
          <w:sz w:val="28"/>
          <w:szCs w:val="28"/>
          <w:lang w:val="zh-CN"/>
        </w:rPr>
        <w:t>七、评审程序及方法</w:t>
      </w:r>
      <w:bookmarkEnd w:id="72"/>
    </w:p>
    <w:p w14:paraId="36F4ED28">
      <w:pPr>
        <w:pStyle w:val="25"/>
        <w:spacing w:before="0" w:after="0" w:line="360" w:lineRule="auto"/>
        <w:jc w:val="left"/>
        <w:rPr>
          <w:rFonts w:hint="eastAsia" w:ascii="宋体" w:hAnsi="宋体" w:eastAsia="宋体" w:cs="宋体"/>
          <w:color w:val="auto"/>
          <w:sz w:val="28"/>
          <w:szCs w:val="28"/>
          <w:lang w:val="zh-CN"/>
        </w:rPr>
      </w:pPr>
      <w:bookmarkStart w:id="73" w:name="_Toc8413"/>
      <w:r>
        <w:rPr>
          <w:rFonts w:hint="eastAsia" w:ascii="宋体" w:hAnsi="宋体" w:eastAsia="宋体" w:cs="宋体"/>
          <w:color w:val="auto"/>
          <w:sz w:val="28"/>
          <w:szCs w:val="28"/>
          <w:lang w:val="zh-CN"/>
        </w:rPr>
        <w:t>1</w:t>
      </w:r>
      <w:r>
        <w:rPr>
          <w:rFonts w:hint="eastAsia" w:ascii="宋体" w:hAnsi="宋体" w:eastAsia="宋体" w:cs="宋体"/>
          <w:color w:val="auto"/>
          <w:sz w:val="28"/>
          <w:szCs w:val="28"/>
        </w:rPr>
        <w:t>8</w:t>
      </w:r>
      <w:r>
        <w:rPr>
          <w:rFonts w:hint="eastAsia" w:ascii="宋体" w:hAnsi="宋体" w:eastAsia="宋体" w:cs="宋体"/>
          <w:color w:val="auto"/>
          <w:sz w:val="28"/>
          <w:szCs w:val="28"/>
          <w:lang w:val="zh-CN"/>
        </w:rPr>
        <w:t>.评标委员会</w:t>
      </w:r>
      <w:bookmarkEnd w:id="73"/>
    </w:p>
    <w:p w14:paraId="4881267B">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18.1</w:t>
      </w:r>
      <w:r>
        <w:rPr>
          <w:rFonts w:hint="eastAsia" w:ascii="宋体" w:hAnsi="宋体" w:eastAsia="宋体" w:cs="宋体"/>
          <w:color w:val="auto"/>
          <w:kern w:val="0"/>
          <w:sz w:val="28"/>
          <w:szCs w:val="28"/>
          <w:u w:val="dashDotHeavy"/>
          <w:lang w:val="zh-CN"/>
        </w:rPr>
        <w:t>采购代理机构</w:t>
      </w:r>
      <w:r>
        <w:rPr>
          <w:rFonts w:hint="eastAsia" w:ascii="宋体" w:hAnsi="宋体" w:eastAsia="宋体" w:cs="宋体"/>
          <w:color w:val="auto"/>
          <w:kern w:val="0"/>
          <w:sz w:val="28"/>
          <w:szCs w:val="28"/>
          <w:lang w:val="zh-CN"/>
        </w:rPr>
        <w:t>负责组织评标工作，并履行下列职责：</w:t>
      </w:r>
    </w:p>
    <w:p w14:paraId="2F118F8A">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zh-CN"/>
        </w:rPr>
        <w:t>）核对评审专家身份和采购人代表授权函，对评审专家在政府采购活动中的职责履行情况予以记录，并及时将有关违法违规行为向财政部门报告；</w:t>
      </w:r>
    </w:p>
    <w:p w14:paraId="19354695">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zh-CN"/>
        </w:rPr>
        <w:t>）宣布评标纪律；</w:t>
      </w:r>
    </w:p>
    <w:p w14:paraId="590CBEAA">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3</w:t>
      </w:r>
      <w:r>
        <w:rPr>
          <w:rFonts w:hint="eastAsia" w:ascii="宋体" w:hAnsi="宋体" w:eastAsia="宋体" w:cs="宋体"/>
          <w:color w:val="auto"/>
          <w:kern w:val="0"/>
          <w:sz w:val="28"/>
          <w:szCs w:val="28"/>
          <w:lang w:val="zh-CN"/>
        </w:rPr>
        <w:t>）公布投标人名单，告知评审专家应当回避的情形；</w:t>
      </w:r>
    </w:p>
    <w:p w14:paraId="62464E7B">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4</w:t>
      </w:r>
      <w:r>
        <w:rPr>
          <w:rFonts w:hint="eastAsia" w:ascii="宋体" w:hAnsi="宋体" w:eastAsia="宋体" w:cs="宋体"/>
          <w:color w:val="auto"/>
          <w:kern w:val="0"/>
          <w:sz w:val="28"/>
          <w:szCs w:val="28"/>
          <w:lang w:val="zh-CN"/>
        </w:rPr>
        <w:t>）组织评标委员会推选评标组长，采购人代表不得担任组长；</w:t>
      </w:r>
    </w:p>
    <w:p w14:paraId="4A84AB67">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5</w:t>
      </w:r>
      <w:r>
        <w:rPr>
          <w:rFonts w:hint="eastAsia" w:ascii="宋体" w:hAnsi="宋体" w:eastAsia="宋体" w:cs="宋体"/>
          <w:color w:val="auto"/>
          <w:kern w:val="0"/>
          <w:sz w:val="28"/>
          <w:szCs w:val="28"/>
          <w:lang w:val="zh-CN"/>
        </w:rPr>
        <w:t>）在评标期间采取必要的通讯管理措施，保证评标活动不受外界干扰；</w:t>
      </w:r>
    </w:p>
    <w:p w14:paraId="46F6DB4E">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6</w:t>
      </w:r>
      <w:r>
        <w:rPr>
          <w:rFonts w:hint="eastAsia" w:ascii="宋体" w:hAnsi="宋体" w:eastAsia="宋体" w:cs="宋体"/>
          <w:color w:val="auto"/>
          <w:kern w:val="0"/>
          <w:sz w:val="28"/>
          <w:szCs w:val="28"/>
          <w:lang w:val="zh-CN"/>
        </w:rPr>
        <w:t>）根据评标委员会的要求介绍政府采购相关政策法规、招标文件；</w:t>
      </w:r>
    </w:p>
    <w:p w14:paraId="3309FA38">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7</w:t>
      </w:r>
      <w:r>
        <w:rPr>
          <w:rFonts w:hint="eastAsia" w:ascii="宋体" w:hAnsi="宋体" w:eastAsia="宋体" w:cs="宋体"/>
          <w:color w:val="auto"/>
          <w:kern w:val="0"/>
          <w:sz w:val="28"/>
          <w:szCs w:val="28"/>
          <w:lang w:val="zh-CN"/>
        </w:rPr>
        <w:t>）维护评标秩序，监督评标委员会依照招标文件规定的评标程序、方法和标准进行独立评审，及时制止和纠正采购人代表、评审专家的倾向性言论或者违法违规行为；</w:t>
      </w:r>
    </w:p>
    <w:p w14:paraId="6C14DBD5">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8</w:t>
      </w:r>
      <w:r>
        <w:rPr>
          <w:rFonts w:hint="eastAsia" w:ascii="宋体" w:hAnsi="宋体" w:eastAsia="宋体" w:cs="宋体"/>
          <w:color w:val="auto"/>
          <w:kern w:val="0"/>
          <w:sz w:val="28"/>
          <w:szCs w:val="28"/>
          <w:lang w:val="zh-CN"/>
        </w:rPr>
        <w:t>）核对评标结果，有</w:t>
      </w:r>
      <w:r>
        <w:rPr>
          <w:rFonts w:hint="eastAsia" w:ascii="宋体" w:hAnsi="宋体" w:eastAsia="宋体" w:cs="宋体"/>
          <w:color w:val="auto"/>
          <w:kern w:val="0"/>
          <w:sz w:val="28"/>
          <w:szCs w:val="28"/>
        </w:rPr>
        <w:t>20.4</w:t>
      </w:r>
      <w:r>
        <w:rPr>
          <w:rFonts w:hint="eastAsia" w:ascii="宋体" w:hAnsi="宋体" w:eastAsia="宋体" w:cs="宋体"/>
          <w:color w:val="auto"/>
          <w:kern w:val="0"/>
          <w:sz w:val="28"/>
          <w:szCs w:val="28"/>
          <w:lang w:val="zh-CN"/>
        </w:rPr>
        <w:t>规定情形的，要求评标委员会复核或者书面说明理由，评标委员会拒绝的，应予记录并向本级财政部门报告；</w:t>
      </w:r>
    </w:p>
    <w:p w14:paraId="76B7BE54">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9</w:t>
      </w:r>
      <w:r>
        <w:rPr>
          <w:rFonts w:hint="eastAsia" w:ascii="宋体" w:hAnsi="宋体" w:eastAsia="宋体" w:cs="宋体"/>
          <w:color w:val="auto"/>
          <w:kern w:val="0"/>
          <w:sz w:val="28"/>
          <w:szCs w:val="28"/>
          <w:lang w:val="zh-CN"/>
        </w:rPr>
        <w:t>）评审工作完成后，按照规定由采购人向评审专家支付劳务报酬和异地评审差旅费，不得向评审专家以外的其他人员支付评审劳务报酬；</w:t>
      </w:r>
    </w:p>
    <w:p w14:paraId="5D01B884">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10</w:t>
      </w:r>
      <w:r>
        <w:rPr>
          <w:rFonts w:hint="eastAsia" w:ascii="宋体" w:hAnsi="宋体" w:eastAsia="宋体" w:cs="宋体"/>
          <w:color w:val="auto"/>
          <w:kern w:val="0"/>
          <w:sz w:val="28"/>
          <w:szCs w:val="28"/>
          <w:lang w:val="zh-CN"/>
        </w:rPr>
        <w:t>）处理与评标有关的其他事项。</w:t>
      </w:r>
    </w:p>
    <w:p w14:paraId="3A6465AC">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采购人可以在评标前说明项目背景和采购需求，说明内容不得含有歧视性、倾向性意见，不得超出招标文件所述范围。说明应当提交书面材料，并随采购文件一并存档。</w:t>
      </w:r>
    </w:p>
    <w:p w14:paraId="4A282160">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18.2 评标委员会负责具体评标事务，并独立履行下列职责：</w:t>
      </w:r>
    </w:p>
    <w:p w14:paraId="21BC033E">
      <w:pPr>
        <w:numPr>
          <w:ilvl w:val="0"/>
          <w:numId w:val="2"/>
        </w:num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严格遵守评审工作纪律,按照客观、公正、审慎的原则,根据采购文件规定的评审程序、评审方法和评审标准进行独立评审</w:t>
      </w:r>
      <w:r>
        <w:rPr>
          <w:rFonts w:hint="eastAsia" w:ascii="宋体" w:hAnsi="宋体" w:eastAsia="宋体" w:cs="宋体"/>
          <w:color w:val="auto"/>
          <w:kern w:val="0"/>
          <w:sz w:val="28"/>
          <w:szCs w:val="28"/>
          <w:lang w:val="zh-CN"/>
        </w:rPr>
        <w:t>；</w:t>
      </w:r>
    </w:p>
    <w:p w14:paraId="17BE5946">
      <w:pPr>
        <w:numPr>
          <w:ilvl w:val="0"/>
          <w:numId w:val="2"/>
        </w:num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现采购文件内容违反国家有关强制性规定或者采购文件存在歧义、重大缺陷导致评审工作无法进行时,应当停止评审并向采购人或者采购代理机构书面说明情况</w:t>
      </w:r>
      <w:r>
        <w:rPr>
          <w:rFonts w:hint="eastAsia" w:ascii="宋体" w:hAnsi="宋体" w:eastAsia="宋体" w:cs="宋体"/>
          <w:color w:val="auto"/>
          <w:kern w:val="0"/>
          <w:sz w:val="28"/>
          <w:szCs w:val="28"/>
          <w:lang w:val="zh-CN"/>
        </w:rPr>
        <w:t>；</w:t>
      </w:r>
    </w:p>
    <w:p w14:paraId="7C1C4365">
      <w:pPr>
        <w:numPr>
          <w:ilvl w:val="0"/>
          <w:numId w:val="2"/>
        </w:num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审查、评价投标文件是否符合招标文件的商务、技术等实质性要求</w:t>
      </w:r>
      <w:r>
        <w:rPr>
          <w:rFonts w:hint="eastAsia" w:ascii="宋体" w:hAnsi="宋体" w:eastAsia="宋体" w:cs="宋体"/>
          <w:color w:val="auto"/>
          <w:kern w:val="0"/>
          <w:sz w:val="28"/>
          <w:szCs w:val="28"/>
          <w:lang w:val="zh-CN"/>
        </w:rPr>
        <w:t>；</w:t>
      </w:r>
    </w:p>
    <w:p w14:paraId="22CE99B0">
      <w:pPr>
        <w:numPr>
          <w:ilvl w:val="0"/>
          <w:numId w:val="2"/>
        </w:num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要求投标人对投标文件有关事项作出澄清或者说明；</w:t>
      </w:r>
    </w:p>
    <w:p w14:paraId="599C46BE">
      <w:pPr>
        <w:numPr>
          <w:ilvl w:val="0"/>
          <w:numId w:val="2"/>
        </w:num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对投标文件进行比较和评价；</w:t>
      </w:r>
    </w:p>
    <w:p w14:paraId="6B66D83F">
      <w:pPr>
        <w:numPr>
          <w:ilvl w:val="0"/>
          <w:numId w:val="2"/>
        </w:num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确定中标候选人名单，以及根据采购人委托直接确定中标人；</w:t>
      </w:r>
    </w:p>
    <w:p w14:paraId="04EC0347">
      <w:pPr>
        <w:numPr>
          <w:ilvl w:val="0"/>
          <w:numId w:val="2"/>
        </w:num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配合答复投标人的询问、质疑和投诉等事项,不得泄露评审文件、评审情况和在评审过程中获悉的商业秘密</w:t>
      </w:r>
      <w:r>
        <w:rPr>
          <w:rFonts w:hint="eastAsia" w:ascii="宋体" w:hAnsi="宋体" w:eastAsia="宋体" w:cs="宋体"/>
          <w:color w:val="auto"/>
          <w:kern w:val="0"/>
          <w:sz w:val="28"/>
          <w:szCs w:val="28"/>
          <w:lang w:val="zh-CN"/>
        </w:rPr>
        <w:t>；</w:t>
      </w:r>
    </w:p>
    <w:p w14:paraId="5F8A81B9">
      <w:pPr>
        <w:numPr>
          <w:ilvl w:val="0"/>
          <w:numId w:val="2"/>
        </w:num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向采购人、采购代理机构或者有关部门报告评标中发现的违法行为。</w:t>
      </w:r>
    </w:p>
    <w:p w14:paraId="396BA287">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18.3 评标委员会由采购人代表和评审专家组成，成员人数应当为5人以上单数，其中评审专家不得少于成员总数的三分之二。</w:t>
      </w:r>
    </w:p>
    <w:p w14:paraId="7A0D6F23">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采购项目符合下列情形之一的，评标委员会成员人数应当为7人以上单数：</w:t>
      </w:r>
    </w:p>
    <w:p w14:paraId="6F223A92">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（1）采购预算金额在1000万元以上；</w:t>
      </w:r>
    </w:p>
    <w:p w14:paraId="3A31B2CD">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（2）技术复杂；</w:t>
      </w:r>
    </w:p>
    <w:p w14:paraId="5FFC7939">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（3）社会影响较大。</w:t>
      </w:r>
    </w:p>
    <w:p w14:paraId="73C8D0D5">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评审专家对本单位的采购项目只能作为采购人代表参与评标。采购代理机构工作人员不得参加由本机构代理的政府采购项目的评标。</w:t>
      </w:r>
    </w:p>
    <w:p w14:paraId="261DFA3C">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评标委员会成员名单在评标结果公告前应当保密。</w:t>
      </w:r>
    </w:p>
    <w:p w14:paraId="34AC009F">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18.4 </w:t>
      </w:r>
      <w:r>
        <w:rPr>
          <w:rFonts w:hint="eastAsia" w:ascii="宋体" w:hAnsi="宋体" w:eastAsia="宋体" w:cs="宋体"/>
          <w:color w:val="auto"/>
          <w:kern w:val="0"/>
          <w:sz w:val="28"/>
          <w:szCs w:val="28"/>
          <w:u w:val="dashDotHeavy"/>
          <w:lang w:val="zh-CN"/>
        </w:rPr>
        <w:t>采购代理机构</w:t>
      </w:r>
      <w:r>
        <w:rPr>
          <w:rFonts w:hint="eastAsia" w:ascii="宋体" w:hAnsi="宋体" w:eastAsia="宋体" w:cs="宋体"/>
          <w:color w:val="auto"/>
          <w:kern w:val="0"/>
          <w:sz w:val="28"/>
          <w:szCs w:val="28"/>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50519BA">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1</w:t>
      </w:r>
      <w:r>
        <w:rPr>
          <w:rFonts w:hint="eastAsia" w:ascii="宋体" w:hAnsi="宋体" w:eastAsia="宋体" w:cs="宋体"/>
          <w:color w:val="auto"/>
          <w:kern w:val="0"/>
          <w:sz w:val="28"/>
          <w:szCs w:val="28"/>
        </w:rPr>
        <w:t>8</w:t>
      </w: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25269686">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u w:val="dashDotHeavy"/>
          <w:lang w:val="zh-CN"/>
        </w:rPr>
        <w:t>采购人或采购代理机构</w:t>
      </w:r>
      <w:r>
        <w:rPr>
          <w:rFonts w:hint="eastAsia" w:ascii="宋体" w:hAnsi="宋体" w:eastAsia="宋体" w:cs="宋体"/>
          <w:color w:val="auto"/>
          <w:kern w:val="0"/>
          <w:sz w:val="28"/>
          <w:szCs w:val="28"/>
        </w:rPr>
        <w:t>应当将变更、重新组建评标委员会的情况予以记录，并随采购文件一并存档。</w:t>
      </w:r>
    </w:p>
    <w:p w14:paraId="46F95816">
      <w:pPr>
        <w:pStyle w:val="25"/>
        <w:spacing w:before="0" w:after="0" w:line="360" w:lineRule="auto"/>
        <w:jc w:val="left"/>
        <w:rPr>
          <w:rFonts w:hint="eastAsia" w:ascii="宋体" w:hAnsi="宋体" w:eastAsia="宋体" w:cs="宋体"/>
          <w:color w:val="auto"/>
          <w:sz w:val="28"/>
          <w:szCs w:val="28"/>
          <w:lang w:val="zh-CN"/>
        </w:rPr>
      </w:pPr>
      <w:bookmarkStart w:id="74" w:name="_Toc2170"/>
      <w:r>
        <w:rPr>
          <w:rFonts w:hint="eastAsia" w:ascii="宋体" w:hAnsi="宋体" w:eastAsia="宋体" w:cs="宋体"/>
          <w:color w:val="auto"/>
          <w:sz w:val="28"/>
          <w:szCs w:val="28"/>
        </w:rPr>
        <w:t>19</w:t>
      </w:r>
      <w:r>
        <w:rPr>
          <w:rFonts w:hint="eastAsia" w:ascii="宋体" w:hAnsi="宋体" w:eastAsia="宋体" w:cs="宋体"/>
          <w:color w:val="auto"/>
          <w:sz w:val="28"/>
          <w:szCs w:val="28"/>
          <w:lang w:val="zh-CN"/>
        </w:rPr>
        <w:t>.评审工作程序</w:t>
      </w:r>
      <w:bookmarkEnd w:id="74"/>
    </w:p>
    <w:p w14:paraId="46996611">
      <w:pPr>
        <w:autoSpaceDE w:val="0"/>
        <w:autoSpaceDN w:val="0"/>
        <w:spacing w:line="360" w:lineRule="auto"/>
        <w:ind w:firstLine="562" w:firstLineChars="200"/>
        <w:rPr>
          <w:rFonts w:hint="eastAsia" w:ascii="宋体" w:hAnsi="宋体" w:eastAsia="宋体" w:cs="宋体"/>
          <w:color w:val="auto"/>
          <w:kern w:val="0"/>
          <w:sz w:val="28"/>
          <w:szCs w:val="28"/>
          <w:lang w:val="zh-CN"/>
        </w:rPr>
      </w:pPr>
      <w:r>
        <w:rPr>
          <w:rFonts w:hint="eastAsia" w:ascii="宋体" w:hAnsi="宋体" w:eastAsia="宋体" w:cs="宋体"/>
          <w:b/>
          <w:bCs/>
          <w:color w:val="auto"/>
          <w:kern w:val="0"/>
          <w:sz w:val="28"/>
          <w:szCs w:val="28"/>
          <w:lang w:val="zh-CN"/>
        </w:rPr>
        <w:t>1</w:t>
      </w:r>
      <w:r>
        <w:rPr>
          <w:rFonts w:hint="eastAsia" w:ascii="宋体" w:hAnsi="宋体" w:eastAsia="宋体" w:cs="宋体"/>
          <w:b/>
          <w:bCs/>
          <w:color w:val="auto"/>
          <w:kern w:val="0"/>
          <w:sz w:val="28"/>
          <w:szCs w:val="28"/>
        </w:rPr>
        <w:t>9</w:t>
      </w:r>
      <w:r>
        <w:rPr>
          <w:rFonts w:hint="eastAsia" w:ascii="宋体" w:hAnsi="宋体" w:eastAsia="宋体" w:cs="宋体"/>
          <w:b/>
          <w:bCs/>
          <w:color w:val="auto"/>
          <w:kern w:val="0"/>
          <w:sz w:val="28"/>
          <w:szCs w:val="28"/>
          <w:lang w:val="zh-CN"/>
        </w:rPr>
        <w:t>.1</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评标委员会应当对符合资格的投标人的符合性文件进行审查，以确定其是否满足招标文件的实质性要求。</w:t>
      </w:r>
    </w:p>
    <w:p w14:paraId="2AA1A53F">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19.1.1</w:t>
      </w:r>
      <w:r>
        <w:rPr>
          <w:rFonts w:hint="eastAsia" w:ascii="宋体" w:hAnsi="宋体" w:eastAsia="宋体" w:cs="宋体"/>
          <w:b/>
          <w:bCs/>
          <w:color w:val="auto"/>
          <w:kern w:val="0"/>
          <w:sz w:val="28"/>
          <w:szCs w:val="28"/>
        </w:rPr>
        <w:t xml:space="preserve"> </w:t>
      </w:r>
      <w:r>
        <w:rPr>
          <w:rFonts w:hint="eastAsia" w:ascii="宋体" w:hAnsi="宋体" w:eastAsia="宋体" w:cs="宋体"/>
          <w:color w:val="auto"/>
          <w:kern w:val="0"/>
          <w:sz w:val="28"/>
          <w:szCs w:val="28"/>
          <w:lang w:val="zh-CN"/>
        </w:rPr>
        <w:t>投标文件中含义不明确、同类问题表述不一致或者有明显文字和计算错误的内容，评标委员会应当以书面形式要求投标人作出必要的澄清、说明或者补正。</w:t>
      </w:r>
    </w:p>
    <w:p w14:paraId="027F65C1">
      <w:pPr>
        <w:autoSpaceDE w:val="0"/>
        <w:autoSpaceDN w:val="0"/>
        <w:spacing w:line="360" w:lineRule="auto"/>
        <w:ind w:firstLine="560" w:firstLineChars="200"/>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lang w:val="zh-CN"/>
        </w:rPr>
        <w:t>投标人的澄清、说明或者补正不得超出投标文件的范围或者改变投标文件的实质性内容。</w:t>
      </w:r>
    </w:p>
    <w:p w14:paraId="780F8401">
      <w:pPr>
        <w:autoSpaceDE w:val="0"/>
        <w:autoSpaceDN w:val="0"/>
        <w:spacing w:line="360" w:lineRule="auto"/>
        <w:ind w:firstLine="562" w:firstLineChars="20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1</w:t>
      </w:r>
      <w:r>
        <w:rPr>
          <w:rFonts w:hint="eastAsia" w:ascii="宋体" w:hAnsi="宋体" w:eastAsia="宋体" w:cs="宋体"/>
          <w:b/>
          <w:bCs/>
          <w:color w:val="auto"/>
          <w:kern w:val="0"/>
          <w:sz w:val="28"/>
          <w:szCs w:val="28"/>
        </w:rPr>
        <w:t>9</w:t>
      </w:r>
      <w:r>
        <w:rPr>
          <w:rFonts w:hint="eastAsia" w:ascii="宋体" w:hAnsi="宋体" w:eastAsia="宋体" w:cs="宋体"/>
          <w:b/>
          <w:bCs/>
          <w:color w:val="auto"/>
          <w:kern w:val="0"/>
          <w:sz w:val="28"/>
          <w:szCs w:val="28"/>
          <w:lang w:val="zh-CN"/>
        </w:rPr>
        <w:t>.</w:t>
      </w:r>
      <w:r>
        <w:rPr>
          <w:rFonts w:hint="eastAsia" w:ascii="宋体" w:hAnsi="宋体" w:eastAsia="宋体" w:cs="宋体"/>
          <w:b/>
          <w:bCs/>
          <w:color w:val="auto"/>
          <w:kern w:val="0"/>
          <w:sz w:val="28"/>
          <w:szCs w:val="28"/>
        </w:rPr>
        <w:t>1</w:t>
      </w:r>
      <w:r>
        <w:rPr>
          <w:rFonts w:hint="eastAsia" w:ascii="宋体" w:hAnsi="宋体" w:eastAsia="宋体" w:cs="宋体"/>
          <w:b/>
          <w:bCs/>
          <w:color w:val="auto"/>
          <w:kern w:val="0"/>
          <w:sz w:val="28"/>
          <w:szCs w:val="28"/>
          <w:lang w:val="zh-CN"/>
        </w:rPr>
        <w:t>.2投标人存在下列情况之一的，投标无效:</w:t>
      </w:r>
    </w:p>
    <w:p w14:paraId="5B8D2316">
      <w:pPr>
        <w:numPr>
          <w:ilvl w:val="0"/>
          <w:numId w:val="0"/>
        </w:numPr>
        <w:autoSpaceDE w:val="0"/>
        <w:autoSpaceDN w:val="0"/>
        <w:spacing w:line="360" w:lineRule="auto"/>
        <w:ind w:left="-2" w:leftChars="0" w:firstLine="482" w:firstLineChars="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bidi="ar-SA"/>
        </w:rPr>
        <w:t>（1）</w:t>
      </w:r>
      <w:r>
        <w:rPr>
          <w:rFonts w:hint="eastAsia" w:ascii="宋体" w:hAnsi="宋体" w:eastAsia="宋体" w:cs="宋体"/>
          <w:b/>
          <w:bCs/>
          <w:color w:val="auto"/>
          <w:kern w:val="0"/>
          <w:sz w:val="28"/>
          <w:szCs w:val="28"/>
          <w:lang w:val="zh-CN"/>
        </w:rPr>
        <w:t>符合性审查文件未按招标文件要求签署、盖章的；</w:t>
      </w:r>
    </w:p>
    <w:p w14:paraId="7D4E7E92">
      <w:pPr>
        <w:numPr>
          <w:ilvl w:val="0"/>
          <w:numId w:val="0"/>
        </w:numPr>
        <w:autoSpaceDE w:val="0"/>
        <w:autoSpaceDN w:val="0"/>
        <w:spacing w:line="360" w:lineRule="auto"/>
        <w:ind w:left="-2" w:leftChars="0" w:firstLine="482" w:firstLineChars="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bidi="ar-SA"/>
        </w:rPr>
        <w:t>（2）</w:t>
      </w:r>
      <w:r>
        <w:rPr>
          <w:rFonts w:hint="eastAsia" w:ascii="宋体" w:hAnsi="宋体" w:eastAsia="宋体" w:cs="宋体"/>
          <w:b/>
          <w:bCs/>
          <w:color w:val="auto"/>
          <w:sz w:val="28"/>
          <w:szCs w:val="28"/>
          <w:lang w:val="zh-CN"/>
        </w:rPr>
        <w:t>未按第11</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val="zh-CN"/>
        </w:rPr>
        <w:t>（11）-（15）款要求提供相关资料的；</w:t>
      </w:r>
    </w:p>
    <w:p w14:paraId="28A1FE5D">
      <w:pPr>
        <w:numPr>
          <w:ilvl w:val="0"/>
          <w:numId w:val="0"/>
        </w:numPr>
        <w:autoSpaceDE w:val="0"/>
        <w:autoSpaceDN w:val="0"/>
        <w:spacing w:line="360" w:lineRule="auto"/>
        <w:ind w:left="-2" w:leftChars="0" w:firstLine="482" w:firstLineChars="0"/>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kern w:val="2"/>
          <w:sz w:val="28"/>
          <w:szCs w:val="28"/>
          <w:shd w:val="clear" w:fill="FFFFFF"/>
          <w:lang w:val="en-US" w:eastAsia="zh-CN" w:bidi="ar-SA"/>
        </w:rPr>
        <w:t>（3）</w:t>
      </w:r>
      <w:r>
        <w:rPr>
          <w:rFonts w:hint="eastAsia" w:ascii="宋体" w:hAnsi="宋体" w:eastAsia="宋体" w:cs="宋体"/>
          <w:b/>
          <w:bCs/>
          <w:color w:val="auto"/>
          <w:sz w:val="28"/>
          <w:szCs w:val="28"/>
          <w:shd w:val="clear" w:color="auto" w:fill="FFFFFF"/>
        </w:rPr>
        <w:t>投标文件含有采购人不能接受的附加条件的；</w:t>
      </w:r>
    </w:p>
    <w:p w14:paraId="004ED7D4">
      <w:pPr>
        <w:numPr>
          <w:ilvl w:val="0"/>
          <w:numId w:val="0"/>
        </w:numPr>
        <w:autoSpaceDE w:val="0"/>
        <w:autoSpaceDN w:val="0"/>
        <w:spacing w:line="360" w:lineRule="auto"/>
        <w:ind w:left="-2" w:leftChars="0" w:firstLine="482" w:firstLineChars="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bidi="ar-SA"/>
        </w:rPr>
        <w:t>（4）</w:t>
      </w:r>
      <w:r>
        <w:rPr>
          <w:rFonts w:hint="eastAsia" w:ascii="宋体" w:hAnsi="宋体" w:eastAsia="宋体" w:cs="宋体"/>
          <w:b/>
          <w:bCs/>
          <w:color w:val="auto"/>
          <w:kern w:val="0"/>
          <w:sz w:val="28"/>
          <w:szCs w:val="28"/>
          <w:lang w:val="zh-CN"/>
        </w:rPr>
        <w:t>产品交货时间不能满足招标文件要求的；</w:t>
      </w:r>
    </w:p>
    <w:p w14:paraId="5C732A09">
      <w:pPr>
        <w:numPr>
          <w:ilvl w:val="0"/>
          <w:numId w:val="0"/>
        </w:numPr>
        <w:autoSpaceDE w:val="0"/>
        <w:autoSpaceDN w:val="0"/>
        <w:spacing w:line="360" w:lineRule="auto"/>
        <w:ind w:left="-2" w:leftChars="0" w:firstLine="482" w:firstLineChars="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bidi="ar-SA"/>
        </w:rPr>
        <w:t>（5）</w:t>
      </w:r>
      <w:r>
        <w:rPr>
          <w:rFonts w:hint="eastAsia" w:ascii="宋体" w:hAnsi="宋体" w:eastAsia="宋体" w:cs="宋体"/>
          <w:b/>
          <w:bCs/>
          <w:color w:val="auto"/>
          <w:sz w:val="28"/>
          <w:szCs w:val="28"/>
        </w:rPr>
        <w:t>投标总报价超过招标文件规定的采购预算额度或者最高限价的；</w:t>
      </w:r>
    </w:p>
    <w:p w14:paraId="3B3DCFCE">
      <w:pPr>
        <w:numPr>
          <w:ilvl w:val="0"/>
          <w:numId w:val="0"/>
        </w:numPr>
        <w:autoSpaceDE w:val="0"/>
        <w:autoSpaceDN w:val="0"/>
        <w:spacing w:line="360" w:lineRule="auto"/>
        <w:ind w:left="-2" w:leftChars="0" w:firstLine="482" w:firstLineChars="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bidi="ar-SA"/>
        </w:rPr>
        <w:t>（6）</w:t>
      </w:r>
      <w:r>
        <w:rPr>
          <w:rFonts w:hint="eastAsia" w:ascii="宋体" w:hAnsi="宋体" w:eastAsia="宋体" w:cs="宋体"/>
          <w:b/>
          <w:bCs/>
          <w:color w:val="auto"/>
          <w:sz w:val="28"/>
          <w:szCs w:val="28"/>
        </w:rPr>
        <w:t>投标产品的技术规格、技术标准明显不符合采购项目要求的；</w:t>
      </w:r>
    </w:p>
    <w:p w14:paraId="63FC4A55">
      <w:pPr>
        <w:numPr>
          <w:ilvl w:val="0"/>
          <w:numId w:val="0"/>
        </w:numPr>
        <w:autoSpaceDE w:val="0"/>
        <w:autoSpaceDN w:val="0"/>
        <w:spacing w:line="360" w:lineRule="auto"/>
        <w:ind w:left="-2" w:leftChars="0" w:firstLine="482" w:firstLineChars="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bidi="ar-SA"/>
        </w:rPr>
        <w:t>（7）</w:t>
      </w:r>
      <w:r>
        <w:rPr>
          <w:rFonts w:hint="eastAsia" w:ascii="宋体" w:hAnsi="宋体" w:eastAsia="宋体" w:cs="宋体"/>
          <w:b/>
          <w:bCs/>
          <w:color w:val="auto"/>
          <w:sz w:val="28"/>
          <w:szCs w:val="28"/>
        </w:rPr>
        <w:t>投标产品未完全满足招标文件确定的重要技术指标、参数的；</w:t>
      </w:r>
    </w:p>
    <w:p w14:paraId="0824A7EC">
      <w:pPr>
        <w:numPr>
          <w:ilvl w:val="0"/>
          <w:numId w:val="0"/>
        </w:numPr>
        <w:autoSpaceDE w:val="0"/>
        <w:autoSpaceDN w:val="0"/>
        <w:spacing w:line="360" w:lineRule="auto"/>
        <w:ind w:left="-2" w:leftChars="0" w:firstLine="482" w:firstLineChars="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bidi="ar-SA"/>
        </w:rPr>
        <w:t>（8）</w:t>
      </w:r>
      <w:r>
        <w:rPr>
          <w:rFonts w:hint="eastAsia" w:ascii="宋体" w:hAnsi="宋体" w:eastAsia="宋体" w:cs="宋体"/>
          <w:b/>
          <w:bCs/>
          <w:color w:val="auto"/>
          <w:kern w:val="0"/>
          <w:sz w:val="28"/>
          <w:szCs w:val="28"/>
          <w:lang w:val="zh-CN"/>
        </w:rPr>
        <w:t>存在串通投标行为；</w:t>
      </w:r>
    </w:p>
    <w:p w14:paraId="238425D0">
      <w:pPr>
        <w:numPr>
          <w:ilvl w:val="0"/>
          <w:numId w:val="0"/>
        </w:numPr>
        <w:autoSpaceDE w:val="0"/>
        <w:autoSpaceDN w:val="0"/>
        <w:spacing w:line="360" w:lineRule="auto"/>
        <w:ind w:left="-2" w:leftChars="0" w:firstLine="482" w:firstLineChars="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bidi="ar-SA"/>
        </w:rPr>
        <w:t>（9）</w:t>
      </w:r>
      <w:r>
        <w:rPr>
          <w:rFonts w:hint="eastAsia" w:ascii="宋体" w:hAnsi="宋体" w:eastAsia="宋体" w:cs="宋体"/>
          <w:b/>
          <w:bCs/>
          <w:color w:val="auto"/>
          <w:sz w:val="28"/>
          <w:szCs w:val="28"/>
        </w:rPr>
        <w:t>投标报价出现前后不一致，又不按19.1.1进行确认的；</w:t>
      </w:r>
    </w:p>
    <w:p w14:paraId="0C7CC663">
      <w:pPr>
        <w:numPr>
          <w:ilvl w:val="0"/>
          <w:numId w:val="0"/>
        </w:numPr>
        <w:autoSpaceDE w:val="0"/>
        <w:autoSpaceDN w:val="0"/>
        <w:spacing w:line="360" w:lineRule="auto"/>
        <w:ind w:left="-2" w:leftChars="0" w:firstLine="482" w:firstLineChars="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bidi="ar-SA"/>
        </w:rPr>
        <w:t>（10）</w:t>
      </w:r>
      <w:r>
        <w:rPr>
          <w:rFonts w:hint="eastAsia" w:ascii="宋体" w:hAnsi="宋体" w:eastAsia="宋体" w:cs="宋体"/>
          <w:b/>
          <w:bCs/>
          <w:color w:val="auto"/>
          <w:sz w:val="28"/>
          <w:szCs w:val="28"/>
        </w:rPr>
        <w:t>评标委员会认为应按无效投标处理的其他情况；</w:t>
      </w:r>
    </w:p>
    <w:p w14:paraId="567327C9">
      <w:pPr>
        <w:numPr>
          <w:ilvl w:val="0"/>
          <w:numId w:val="0"/>
        </w:numPr>
        <w:autoSpaceDE w:val="0"/>
        <w:autoSpaceDN w:val="0"/>
        <w:spacing w:line="360" w:lineRule="auto"/>
        <w:ind w:left="-2" w:leftChars="0" w:firstLine="482" w:firstLineChars="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bidi="ar-SA"/>
        </w:rPr>
        <w:t>（11）</w:t>
      </w:r>
      <w:r>
        <w:rPr>
          <w:rFonts w:hint="eastAsia" w:ascii="宋体" w:hAnsi="宋体" w:eastAsia="宋体" w:cs="宋体"/>
          <w:b/>
          <w:bCs/>
          <w:color w:val="auto"/>
          <w:kern w:val="0"/>
          <w:sz w:val="28"/>
          <w:szCs w:val="28"/>
          <w:lang w:val="zh-CN"/>
        </w:rPr>
        <w:t>法律、法规和招标文件规定的其他无效情形。</w:t>
      </w:r>
    </w:p>
    <w:p w14:paraId="027DAF65">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19.1.3 投标文件报价出现前后不一致的，按照下列规定修正：</w:t>
      </w:r>
    </w:p>
    <w:p w14:paraId="4D183D62">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（1）投标文件中开标一览表（报价表）内容与投标文件中相应内容不一致的，以开标一览表（报价表）为准；</w:t>
      </w:r>
    </w:p>
    <w:p w14:paraId="571F0DE9">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（2）大写金额和小写金额不一致的，以大写金额为准；</w:t>
      </w:r>
    </w:p>
    <w:p w14:paraId="281F0A6E">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（3）单价金额小数点或者百分比有明显错位的，以开标一览表的总价为准，并修改单价；</w:t>
      </w:r>
    </w:p>
    <w:p w14:paraId="5F39AAC1">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（4）总价金额与按单价汇总金额不一致的，以单价金额计算结果为准。</w:t>
      </w:r>
    </w:p>
    <w:p w14:paraId="364DE8A8">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同时出现两种以上不一致的，按照前款规定的顺序修正。修正后的报价按19.1.1第二款的规定经投标人确认后产生约束力。</w:t>
      </w:r>
    </w:p>
    <w:p w14:paraId="3737D2C6">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 xml:space="preserve">19.2 </w:t>
      </w:r>
      <w:r>
        <w:rPr>
          <w:rFonts w:hint="eastAsia" w:ascii="宋体" w:hAnsi="宋体" w:eastAsia="宋体" w:cs="宋体"/>
          <w:color w:val="auto"/>
          <w:kern w:val="0"/>
          <w:sz w:val="28"/>
          <w:szCs w:val="28"/>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766213F6">
      <w:pPr>
        <w:autoSpaceDE w:val="0"/>
        <w:autoSpaceDN w:val="0"/>
        <w:spacing w:line="520" w:lineRule="exact"/>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1418BAC0">
      <w:pPr>
        <w:autoSpaceDE w:val="0"/>
        <w:autoSpaceDN w:val="0"/>
        <w:spacing w:line="520" w:lineRule="exact"/>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eastAsia="宋体" w:cs="宋体"/>
          <w:color w:val="auto"/>
          <w:kern w:val="0"/>
          <w:sz w:val="28"/>
          <w:szCs w:val="28"/>
        </w:rPr>
        <w:t>16</w:t>
      </w:r>
      <w:r>
        <w:rPr>
          <w:rFonts w:hint="eastAsia" w:ascii="宋体" w:hAnsi="宋体" w:eastAsia="宋体" w:cs="宋体"/>
          <w:color w:val="auto"/>
          <w:kern w:val="0"/>
          <w:sz w:val="28"/>
          <w:szCs w:val="28"/>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33C2F4E">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 xml:space="preserve">19.3 </w:t>
      </w:r>
      <w:r>
        <w:rPr>
          <w:rFonts w:hint="eastAsia" w:ascii="宋体" w:hAnsi="宋体" w:eastAsia="宋体" w:cs="宋体"/>
          <w:color w:val="auto"/>
          <w:kern w:val="0"/>
          <w:sz w:val="28"/>
          <w:szCs w:val="28"/>
          <w:lang w:val="zh-CN"/>
        </w:rPr>
        <w:t>在评审过程中，</w:t>
      </w:r>
      <w:r>
        <w:rPr>
          <w:rFonts w:hint="eastAsia" w:ascii="宋体" w:hAnsi="宋体" w:eastAsia="宋体" w:cs="宋体"/>
          <w:color w:val="auto"/>
          <w:sz w:val="28"/>
          <w:szCs w:val="28"/>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618284E">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w:t>
      </w:r>
      <w:r>
        <w:rPr>
          <w:rFonts w:hint="eastAsia" w:ascii="宋体" w:hAnsi="宋体" w:eastAsia="宋体" w:cs="宋体"/>
          <w:color w:val="auto"/>
          <w:kern w:val="0"/>
          <w:sz w:val="28"/>
          <w:szCs w:val="28"/>
        </w:rPr>
        <w:t>9</w:t>
      </w: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4</w:t>
      </w:r>
      <w:r>
        <w:rPr>
          <w:rFonts w:hint="eastAsia" w:ascii="宋体" w:hAnsi="宋体" w:eastAsia="宋体" w:cs="宋体"/>
          <w:color w:val="auto"/>
          <w:kern w:val="0"/>
          <w:sz w:val="28"/>
          <w:szCs w:val="28"/>
          <w:lang w:val="zh-CN"/>
        </w:rPr>
        <w:t xml:space="preserve"> </w:t>
      </w:r>
      <w:r>
        <w:rPr>
          <w:rFonts w:hint="eastAsia" w:ascii="宋体" w:hAnsi="宋体" w:eastAsia="宋体" w:cs="宋体"/>
          <w:color w:val="auto"/>
          <w:sz w:val="28"/>
          <w:szCs w:val="28"/>
          <w:shd w:val="clear" w:color="auto" w:fill="FFFFFF"/>
        </w:rPr>
        <w:t>评标委员会应当按照招标文件中规定的评标方法和标准，对符合性审查合格的投标文件进行商务和技术评估，综合比较与评价。</w:t>
      </w:r>
    </w:p>
    <w:p w14:paraId="4A6855D6">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1</w:t>
      </w:r>
      <w:r>
        <w:rPr>
          <w:rFonts w:hint="eastAsia" w:ascii="宋体" w:hAnsi="宋体" w:eastAsia="宋体" w:cs="宋体"/>
          <w:color w:val="auto"/>
          <w:kern w:val="0"/>
          <w:sz w:val="28"/>
          <w:szCs w:val="28"/>
        </w:rPr>
        <w:t>9</w:t>
      </w: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 xml:space="preserve">5 </w:t>
      </w:r>
      <w:r>
        <w:rPr>
          <w:rFonts w:hint="eastAsia" w:ascii="宋体" w:hAnsi="宋体" w:eastAsia="宋体" w:cs="宋体"/>
          <w:color w:val="auto"/>
          <w:sz w:val="28"/>
          <w:szCs w:val="28"/>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FB1AE8">
      <w:pPr>
        <w:autoSpaceDE w:val="0"/>
        <w:autoSpaceDN w:val="0"/>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kern w:val="0"/>
          <w:sz w:val="28"/>
          <w:szCs w:val="28"/>
        </w:rPr>
        <w:t xml:space="preserve">19.6 </w:t>
      </w:r>
      <w:r>
        <w:rPr>
          <w:rFonts w:hint="eastAsia" w:ascii="宋体" w:hAnsi="宋体" w:eastAsia="宋体" w:cs="宋体"/>
          <w:color w:val="auto"/>
          <w:sz w:val="28"/>
          <w:szCs w:val="28"/>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b/>
          <w:bCs/>
          <w:color w:val="auto"/>
          <w:sz w:val="28"/>
          <w:szCs w:val="28"/>
          <w:shd w:val="clear" w:color="auto" w:fill="FFFFFF"/>
        </w:rPr>
        <w:t>评审得分相同的，由采购人或者采购人委托评标委员会按照</w:t>
      </w:r>
      <w:r>
        <w:rPr>
          <w:rFonts w:hint="eastAsia" w:ascii="宋体" w:hAnsi="宋体" w:eastAsia="宋体" w:cs="宋体"/>
          <w:b/>
          <w:color w:val="auto"/>
          <w:sz w:val="28"/>
          <w:szCs w:val="28"/>
          <w:shd w:val="clear" w:color="auto" w:fill="FFFFFF"/>
        </w:rPr>
        <w:t>以投标报价低的优先；投标报价也相等的技术得分高的优先；技术得分也相等的，由采购人自行确定一个投标人获得中标候选人推荐资</w:t>
      </w:r>
      <w:r>
        <w:rPr>
          <w:rFonts w:hint="eastAsia" w:ascii="宋体" w:hAnsi="宋体" w:eastAsia="宋体" w:cs="宋体"/>
          <w:b/>
          <w:color w:val="auto"/>
          <w:sz w:val="28"/>
          <w:szCs w:val="28"/>
          <w:u w:val="none"/>
          <w:shd w:val="clear" w:color="auto" w:fill="FFFFFF"/>
        </w:rPr>
        <w:t>格</w:t>
      </w:r>
      <w:r>
        <w:rPr>
          <w:rFonts w:hint="eastAsia" w:ascii="宋体" w:hAnsi="宋体" w:eastAsia="宋体" w:cs="宋体"/>
          <w:color w:val="auto"/>
          <w:sz w:val="28"/>
          <w:szCs w:val="28"/>
          <w:u w:val="none"/>
          <w:shd w:val="clear" w:color="auto" w:fill="FFFFFF"/>
        </w:rPr>
        <w:t>。</w:t>
      </w:r>
      <w:r>
        <w:rPr>
          <w:rFonts w:hint="eastAsia" w:ascii="宋体" w:hAnsi="宋体" w:eastAsia="宋体" w:cs="宋体"/>
          <w:color w:val="auto"/>
          <w:sz w:val="28"/>
          <w:szCs w:val="28"/>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7A417F6C">
      <w:pPr>
        <w:pStyle w:val="25"/>
        <w:spacing w:before="0" w:after="0" w:line="360" w:lineRule="auto"/>
        <w:jc w:val="left"/>
        <w:rPr>
          <w:rFonts w:hint="eastAsia" w:ascii="宋体" w:hAnsi="宋体" w:eastAsia="宋体" w:cs="宋体"/>
          <w:color w:val="auto"/>
          <w:sz w:val="28"/>
          <w:szCs w:val="28"/>
          <w:lang w:val="zh-CN"/>
        </w:rPr>
      </w:pPr>
      <w:bookmarkStart w:id="75" w:name="_Toc13107"/>
      <w:r>
        <w:rPr>
          <w:rFonts w:hint="eastAsia" w:ascii="宋体" w:hAnsi="宋体" w:eastAsia="宋体" w:cs="宋体"/>
          <w:color w:val="auto"/>
          <w:sz w:val="28"/>
          <w:szCs w:val="28"/>
        </w:rPr>
        <w:t>20</w:t>
      </w:r>
      <w:r>
        <w:rPr>
          <w:rFonts w:hint="eastAsia" w:ascii="宋体" w:hAnsi="宋体" w:eastAsia="宋体" w:cs="宋体"/>
          <w:color w:val="auto"/>
          <w:sz w:val="28"/>
          <w:szCs w:val="28"/>
          <w:lang w:val="zh-CN"/>
        </w:rPr>
        <w:t>.评审方法和标准</w:t>
      </w:r>
      <w:bookmarkEnd w:id="75"/>
    </w:p>
    <w:p w14:paraId="750FE03B">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20</w:t>
      </w:r>
      <w:r>
        <w:rPr>
          <w:rFonts w:hint="eastAsia" w:ascii="宋体" w:hAnsi="宋体" w:eastAsia="宋体" w:cs="宋体"/>
          <w:color w:val="auto"/>
          <w:kern w:val="0"/>
          <w:sz w:val="28"/>
          <w:szCs w:val="28"/>
          <w:lang w:val="zh-CN"/>
        </w:rPr>
        <w:t>.1</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依照《中华人民共和国政府采购法》、《中华人民共和国政府采购法实施条例》、《政府采购货物和服务招投标管理办法》等法律法规的规定，结合该项目的特点制定本评审办法。</w:t>
      </w:r>
    </w:p>
    <w:p w14:paraId="1C15732C">
      <w:pPr>
        <w:autoSpaceDE w:val="0"/>
        <w:autoSpaceDN w:val="0"/>
        <w:spacing w:line="360" w:lineRule="auto"/>
        <w:ind w:firstLine="560" w:firstLineChars="200"/>
        <w:rPr>
          <w:rFonts w:hint="eastAsia" w:ascii="宋体" w:hAnsi="宋体" w:eastAsia="宋体" w:cs="宋体"/>
          <w:color w:val="auto"/>
          <w:kern w:val="0"/>
          <w:sz w:val="28"/>
          <w:szCs w:val="28"/>
          <w:u w:val="dashDotHeavy"/>
        </w:rPr>
      </w:pPr>
      <w:r>
        <w:rPr>
          <w:rFonts w:hint="eastAsia" w:ascii="宋体" w:hAnsi="宋体" w:eastAsia="宋体" w:cs="宋体"/>
          <w:color w:val="auto"/>
          <w:kern w:val="0"/>
          <w:sz w:val="28"/>
          <w:szCs w:val="28"/>
        </w:rPr>
        <w:t>20</w:t>
      </w:r>
      <w:r>
        <w:rPr>
          <w:rFonts w:hint="eastAsia" w:ascii="宋体" w:hAnsi="宋体" w:eastAsia="宋体" w:cs="宋体"/>
          <w:color w:val="auto"/>
          <w:kern w:val="0"/>
          <w:sz w:val="28"/>
          <w:szCs w:val="28"/>
          <w:lang w:val="zh-CN"/>
        </w:rPr>
        <w:t>.2</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本次评审方法采用</w:t>
      </w:r>
      <w:r>
        <w:rPr>
          <w:rFonts w:hint="eastAsia" w:ascii="宋体" w:hAnsi="宋体" w:eastAsia="宋体" w:cs="宋体"/>
          <w:color w:val="auto"/>
          <w:kern w:val="0"/>
          <w:sz w:val="28"/>
          <w:szCs w:val="28"/>
          <w:u w:val="dashDotHeavy"/>
          <w:lang w:val="zh-CN"/>
        </w:rPr>
        <w:t>综合评分法</w:t>
      </w:r>
      <w:r>
        <w:rPr>
          <w:rFonts w:hint="eastAsia" w:ascii="宋体" w:hAnsi="宋体" w:eastAsia="宋体" w:cs="宋体"/>
          <w:color w:val="auto"/>
          <w:kern w:val="0"/>
          <w:sz w:val="28"/>
          <w:szCs w:val="28"/>
          <w:u w:val="dashDotHeavy"/>
        </w:rPr>
        <w:t>。</w:t>
      </w:r>
    </w:p>
    <w:p w14:paraId="5199CCE2">
      <w:pPr>
        <w:autoSpaceDE w:val="0"/>
        <w:autoSpaceDN w:val="0"/>
        <w:spacing w:line="360" w:lineRule="auto"/>
        <w:ind w:firstLine="562" w:firstLineChars="200"/>
        <w:rPr>
          <w:rFonts w:hint="eastAsia" w:ascii="宋体" w:hAnsi="宋体" w:eastAsia="宋体" w:cs="宋体"/>
          <w:color w:val="auto"/>
          <w:kern w:val="0"/>
          <w:sz w:val="28"/>
          <w:szCs w:val="28"/>
          <w:u w:val="dashDotHeavy"/>
          <w:lang w:val="zh-CN"/>
        </w:rPr>
      </w:pPr>
      <w:r>
        <w:rPr>
          <w:rFonts w:hint="eastAsia" w:ascii="宋体" w:hAnsi="宋体" w:eastAsia="宋体" w:cs="宋体"/>
          <w:b/>
          <w:bCs/>
          <w:color w:val="auto"/>
          <w:kern w:val="0"/>
          <w:sz w:val="28"/>
          <w:szCs w:val="28"/>
          <w:u w:val="dashDotHeavy"/>
        </w:rPr>
        <w:t>采用</w:t>
      </w:r>
      <w:r>
        <w:rPr>
          <w:rFonts w:hint="eastAsia" w:ascii="宋体" w:hAnsi="宋体" w:eastAsia="宋体" w:cs="宋体"/>
          <w:b/>
          <w:bCs/>
          <w:color w:val="auto"/>
          <w:kern w:val="0"/>
          <w:sz w:val="28"/>
          <w:szCs w:val="28"/>
          <w:u w:val="dashDotHeavy"/>
          <w:lang w:val="zh-CN"/>
        </w:rPr>
        <w:t>综合评分法</w:t>
      </w:r>
    </w:p>
    <w:p w14:paraId="275D82E1">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u w:val="dashDotHeavy"/>
          <w:lang w:val="zh-CN"/>
        </w:rPr>
        <w:t>综合评分法，</w:t>
      </w:r>
      <w:r>
        <w:rPr>
          <w:rFonts w:hint="eastAsia" w:ascii="宋体" w:hAnsi="宋体" w:eastAsia="宋体" w:cs="宋体"/>
          <w:color w:val="auto"/>
          <w:sz w:val="28"/>
          <w:szCs w:val="28"/>
          <w:shd w:val="clear" w:color="auto" w:fill="FFFFFF"/>
        </w:rPr>
        <w:t>是指投标文件满足招标文件全部实质性要求，且按照评审因素的量化指标评审得分最高的投标人为中标候选人的评标方法</w:t>
      </w:r>
      <w:r>
        <w:rPr>
          <w:rFonts w:hint="eastAsia" w:ascii="宋体" w:hAnsi="宋体" w:eastAsia="宋体" w:cs="宋体"/>
          <w:color w:val="auto"/>
          <w:kern w:val="0"/>
          <w:sz w:val="28"/>
          <w:szCs w:val="28"/>
          <w:lang w:val="zh-CN"/>
        </w:rPr>
        <w:t>。</w:t>
      </w:r>
    </w:p>
    <w:p w14:paraId="11B15F55">
      <w:pPr>
        <w:autoSpaceDE w:val="0"/>
        <w:autoSpaceDN w:val="0"/>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评审因素的设定应当与投标人所提供货物服务的质量相关，包括投标报价、技术水平、履约能力、售后服务等。资格条件不得作为评审因素。</w:t>
      </w:r>
    </w:p>
    <w:p w14:paraId="28C890FE">
      <w:pPr>
        <w:autoSpaceDE w:val="0"/>
        <w:autoSpaceDN w:val="0"/>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评审因素应当细化和量化，且与相应的商务条件和采购需求对应。商务条件和采购需求指标有区间规定的，评审因素应当量化到相应区间，并设置各区间对应的不同分值。</w:t>
      </w:r>
    </w:p>
    <w:p w14:paraId="46ED7DAE">
      <w:pPr>
        <w:autoSpaceDE w:val="0"/>
        <w:autoSpaceDN w:val="0"/>
        <w:spacing w:line="360" w:lineRule="auto"/>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评审办法</w:t>
      </w:r>
    </w:p>
    <w:tbl>
      <w:tblPr>
        <w:tblStyle w:val="29"/>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1EF8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73AD68FB">
            <w:pPr>
              <w:spacing w:line="520" w:lineRule="exact"/>
              <w:ind w:firstLine="232" w:firstLineChars="83"/>
              <w:rPr>
                <w:rFonts w:hint="eastAsia" w:ascii="宋体" w:hAnsi="宋体" w:eastAsia="宋体" w:cs="宋体"/>
                <w:color w:val="000000"/>
                <w:sz w:val="28"/>
                <w:szCs w:val="28"/>
              </w:rPr>
            </w:pPr>
            <w:r>
              <w:rPr>
                <w:rFonts w:hint="eastAsia" w:ascii="宋体" w:hAnsi="宋体" w:eastAsia="宋体" w:cs="宋体"/>
                <w:color w:val="000000"/>
                <w:sz w:val="28"/>
                <w:szCs w:val="28"/>
              </w:rPr>
              <w:t>类别</w:t>
            </w:r>
          </w:p>
        </w:tc>
        <w:tc>
          <w:tcPr>
            <w:tcW w:w="1288" w:type="dxa"/>
            <w:vAlign w:val="center"/>
          </w:tcPr>
          <w:p w14:paraId="3B36D9D2">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项目</w:t>
            </w:r>
          </w:p>
        </w:tc>
        <w:tc>
          <w:tcPr>
            <w:tcW w:w="858" w:type="dxa"/>
            <w:vAlign w:val="center"/>
          </w:tcPr>
          <w:p w14:paraId="653312DD">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分值</w:t>
            </w:r>
          </w:p>
        </w:tc>
        <w:tc>
          <w:tcPr>
            <w:tcW w:w="6295" w:type="dxa"/>
            <w:vAlign w:val="center"/>
          </w:tcPr>
          <w:p w14:paraId="585A11DE">
            <w:pPr>
              <w:spacing w:line="520" w:lineRule="exact"/>
              <w:ind w:firstLine="2940" w:firstLineChars="1050"/>
              <w:rPr>
                <w:rFonts w:hint="eastAsia" w:ascii="宋体" w:hAnsi="宋体" w:eastAsia="宋体" w:cs="宋体"/>
                <w:color w:val="000000"/>
                <w:sz w:val="28"/>
                <w:szCs w:val="28"/>
              </w:rPr>
            </w:pPr>
            <w:r>
              <w:rPr>
                <w:rFonts w:hint="eastAsia" w:ascii="宋体" w:hAnsi="宋体" w:eastAsia="宋体" w:cs="宋体"/>
                <w:color w:val="000000"/>
                <w:sz w:val="28"/>
                <w:szCs w:val="28"/>
              </w:rPr>
              <w:t>评分标准</w:t>
            </w:r>
          </w:p>
        </w:tc>
      </w:tr>
      <w:tr w14:paraId="204A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9" w:type="dxa"/>
            <w:vAlign w:val="center"/>
          </w:tcPr>
          <w:p w14:paraId="53C48199">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磋商报价</w:t>
            </w:r>
          </w:p>
          <w:p w14:paraId="5E737AEB">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30</w:t>
            </w:r>
            <w:r>
              <w:rPr>
                <w:rFonts w:hint="eastAsia" w:ascii="宋体" w:hAnsi="宋体" w:eastAsia="宋体" w:cs="宋体"/>
                <w:color w:val="000000"/>
                <w:sz w:val="28"/>
                <w:szCs w:val="28"/>
              </w:rPr>
              <w:t>分）</w:t>
            </w:r>
          </w:p>
        </w:tc>
        <w:tc>
          <w:tcPr>
            <w:tcW w:w="1288" w:type="dxa"/>
            <w:vAlign w:val="center"/>
          </w:tcPr>
          <w:p w14:paraId="1E58415D">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报价分</w:t>
            </w:r>
          </w:p>
        </w:tc>
        <w:tc>
          <w:tcPr>
            <w:tcW w:w="858" w:type="dxa"/>
            <w:vAlign w:val="center"/>
          </w:tcPr>
          <w:p w14:paraId="650CB721">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30</w:t>
            </w:r>
            <w:r>
              <w:rPr>
                <w:rFonts w:hint="eastAsia" w:ascii="宋体" w:hAnsi="宋体" w:eastAsia="宋体" w:cs="宋体"/>
                <w:color w:val="000000"/>
                <w:sz w:val="28"/>
                <w:szCs w:val="28"/>
              </w:rPr>
              <w:t>分</w:t>
            </w:r>
          </w:p>
        </w:tc>
        <w:tc>
          <w:tcPr>
            <w:tcW w:w="6295" w:type="dxa"/>
            <w:vAlign w:val="center"/>
          </w:tcPr>
          <w:p w14:paraId="0FFB11CE">
            <w:pPr>
              <w:spacing w:line="520" w:lineRule="exact"/>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磋商基准值=满足磋商文件要求且最后磋商报价最低的供应商的价格为磋商基准价。</w:t>
            </w:r>
          </w:p>
          <w:p w14:paraId="15E71B78">
            <w:pPr>
              <w:spacing w:line="520" w:lineRule="exact"/>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磋商报价得分=（磋商基准价/最后磋商报价）×价格权值（</w:t>
            </w:r>
            <w:r>
              <w:rPr>
                <w:rFonts w:hint="eastAsia" w:ascii="宋体" w:hAnsi="宋体" w:eastAsia="宋体" w:cs="宋体"/>
                <w:color w:val="000000"/>
                <w:sz w:val="28"/>
                <w:szCs w:val="28"/>
                <w:lang w:val="en-US" w:eastAsia="zh-CN"/>
              </w:rPr>
              <w:t>30</w:t>
            </w:r>
            <w:r>
              <w:rPr>
                <w:rFonts w:hint="eastAsia" w:ascii="宋体" w:hAnsi="宋体" w:eastAsia="宋体" w:cs="宋体"/>
                <w:color w:val="000000"/>
                <w:sz w:val="28"/>
                <w:szCs w:val="28"/>
              </w:rPr>
              <w:t>%）×100（四舍五入后保留小数点后两位）。</w:t>
            </w:r>
          </w:p>
          <w:p w14:paraId="4F562C92">
            <w:pPr>
              <w:spacing w:line="520" w:lineRule="exact"/>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0C155660">
            <w:pPr>
              <w:spacing w:line="520" w:lineRule="exact"/>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（残疾人福利性单位属于监狱企业、小型、微型企业的，不重复享受政策。）</w:t>
            </w:r>
          </w:p>
        </w:tc>
      </w:tr>
      <w:tr w14:paraId="26EC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restart"/>
            <w:vAlign w:val="center"/>
          </w:tcPr>
          <w:p w14:paraId="242C9336">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商务</w:t>
            </w:r>
          </w:p>
          <w:p w14:paraId="7DA74444">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评价</w:t>
            </w:r>
          </w:p>
          <w:p w14:paraId="31982627">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分）</w:t>
            </w:r>
          </w:p>
        </w:tc>
        <w:tc>
          <w:tcPr>
            <w:tcW w:w="1288" w:type="dxa"/>
            <w:vAlign w:val="center"/>
          </w:tcPr>
          <w:p w14:paraId="666EF7C4">
            <w:pPr>
              <w:spacing w:line="520" w:lineRule="exact"/>
              <w:ind w:firstLine="0" w:firstLineChars="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类似</w:t>
            </w:r>
          </w:p>
          <w:p w14:paraId="5134ABD5">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业绩</w:t>
            </w:r>
          </w:p>
        </w:tc>
        <w:tc>
          <w:tcPr>
            <w:tcW w:w="858" w:type="dxa"/>
            <w:vAlign w:val="center"/>
          </w:tcPr>
          <w:p w14:paraId="5ACDD762">
            <w:pPr>
              <w:spacing w:line="520" w:lineRule="exact"/>
              <w:ind w:firstLine="0" w:firstLineChars="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6分</w:t>
            </w:r>
          </w:p>
        </w:tc>
        <w:tc>
          <w:tcPr>
            <w:tcW w:w="6295" w:type="dxa"/>
            <w:vAlign w:val="center"/>
          </w:tcPr>
          <w:p w14:paraId="0324AFAD">
            <w:pPr>
              <w:spacing w:line="520" w:lineRule="exact"/>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提供202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年1月1日以来的类似业绩证明材料。每提供1项得2分,满分</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分；不提供不得分。需提供中标通知书</w:t>
            </w:r>
            <w:r>
              <w:rPr>
                <w:rFonts w:hint="eastAsia" w:ascii="宋体" w:hAnsi="宋体" w:eastAsia="宋体" w:cs="宋体"/>
                <w:color w:val="000000"/>
                <w:sz w:val="28"/>
                <w:szCs w:val="28"/>
                <w:lang w:val="en-US" w:eastAsia="zh-CN"/>
              </w:rPr>
              <w:t>或</w:t>
            </w:r>
            <w:r>
              <w:rPr>
                <w:rFonts w:hint="eastAsia" w:ascii="宋体" w:hAnsi="宋体" w:eastAsia="宋体" w:cs="宋体"/>
                <w:color w:val="000000"/>
                <w:sz w:val="28"/>
                <w:szCs w:val="28"/>
              </w:rPr>
              <w:t>合同的扫描件</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或</w:t>
            </w:r>
            <w:r>
              <w:rPr>
                <w:rFonts w:hint="eastAsia" w:ascii="宋体" w:hAnsi="宋体" w:eastAsia="宋体" w:cs="宋体"/>
                <w:color w:val="000000"/>
                <w:sz w:val="28"/>
                <w:szCs w:val="28"/>
              </w:rPr>
              <w:t>复印件</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p>
        </w:tc>
      </w:tr>
      <w:tr w14:paraId="360A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89" w:type="dxa"/>
            <w:vMerge w:val="continue"/>
            <w:vAlign w:val="center"/>
          </w:tcPr>
          <w:p w14:paraId="5023E0E2">
            <w:pPr>
              <w:spacing w:line="520" w:lineRule="exact"/>
              <w:ind w:firstLine="0" w:firstLineChars="0"/>
              <w:jc w:val="center"/>
              <w:rPr>
                <w:rFonts w:hint="eastAsia" w:ascii="宋体" w:hAnsi="宋体" w:eastAsia="宋体" w:cs="宋体"/>
                <w:color w:val="000000"/>
                <w:sz w:val="28"/>
                <w:szCs w:val="28"/>
              </w:rPr>
            </w:pPr>
          </w:p>
        </w:tc>
        <w:tc>
          <w:tcPr>
            <w:tcW w:w="1288" w:type="dxa"/>
            <w:vAlign w:val="center"/>
          </w:tcPr>
          <w:p w14:paraId="5E7B9446">
            <w:pPr>
              <w:spacing w:line="520" w:lineRule="exact"/>
              <w:ind w:firstLine="0" w:firstLineChars="0"/>
              <w:jc w:val="center"/>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节能和环保</w:t>
            </w:r>
          </w:p>
        </w:tc>
        <w:tc>
          <w:tcPr>
            <w:tcW w:w="858" w:type="dxa"/>
            <w:vAlign w:val="center"/>
          </w:tcPr>
          <w:p w14:paraId="255E386F">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分</w:t>
            </w:r>
          </w:p>
        </w:tc>
        <w:tc>
          <w:tcPr>
            <w:tcW w:w="6295" w:type="dxa"/>
            <w:vAlign w:val="center"/>
          </w:tcPr>
          <w:p w14:paraId="088DE8DF">
            <w:pPr>
              <w:spacing w:line="500" w:lineRule="exact"/>
              <w:ind w:firstLine="0" w:firstLineChars="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所提供产品为节能产品得</w:t>
            </w: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rPr>
              <w:t>分，所提供产品为环保产品得</w:t>
            </w: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rPr>
              <w:t>分，满分</w:t>
            </w: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rPr>
              <w:t>分，未提供截图的不得分。</w:t>
            </w:r>
          </w:p>
          <w:p w14:paraId="77192BF7">
            <w:pPr>
              <w:spacing w:line="520" w:lineRule="exact"/>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highlight w:val="none"/>
              </w:rPr>
              <w:t>注：该项得分以认证机构出具的节能产品、环境标志产品证书或《政府采购节能产品、环境标志产品实施品目清单》截图为准。</w:t>
            </w:r>
          </w:p>
        </w:tc>
      </w:tr>
      <w:tr w14:paraId="2999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restart"/>
            <w:vAlign w:val="center"/>
          </w:tcPr>
          <w:p w14:paraId="44FEC075">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技术</w:t>
            </w:r>
          </w:p>
          <w:p w14:paraId="2A74FFA2">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评价</w:t>
            </w:r>
          </w:p>
          <w:p w14:paraId="5628D710">
            <w:pPr>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58</w:t>
            </w:r>
            <w:r>
              <w:rPr>
                <w:rFonts w:hint="eastAsia" w:ascii="宋体" w:hAnsi="宋体" w:eastAsia="宋体" w:cs="宋体"/>
                <w:color w:val="000000"/>
                <w:sz w:val="28"/>
                <w:szCs w:val="28"/>
              </w:rPr>
              <w:t>分）</w:t>
            </w:r>
          </w:p>
        </w:tc>
        <w:tc>
          <w:tcPr>
            <w:tcW w:w="1288" w:type="dxa"/>
            <w:vAlign w:val="center"/>
          </w:tcPr>
          <w:p w14:paraId="3D1365A7">
            <w:pPr>
              <w:autoSpaceDE w:val="0"/>
              <w:autoSpaceDN w:val="0"/>
              <w:adjustRightInd w:val="0"/>
              <w:spacing w:line="520" w:lineRule="exact"/>
              <w:ind w:firstLine="0" w:firstLineChars="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技术</w:t>
            </w:r>
          </w:p>
          <w:p w14:paraId="1D0C9E0D">
            <w:pPr>
              <w:autoSpaceDE w:val="0"/>
              <w:autoSpaceDN w:val="0"/>
              <w:adjustRightInd w:val="0"/>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highlight w:val="none"/>
              </w:rPr>
              <w:t>参数</w:t>
            </w:r>
          </w:p>
        </w:tc>
        <w:tc>
          <w:tcPr>
            <w:tcW w:w="858" w:type="dxa"/>
            <w:vAlign w:val="center"/>
          </w:tcPr>
          <w:p w14:paraId="3C8E694D">
            <w:pPr>
              <w:autoSpaceDE w:val="0"/>
              <w:autoSpaceDN w:val="0"/>
              <w:adjustRightInd w:val="0"/>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32</w:t>
            </w:r>
            <w:r>
              <w:rPr>
                <w:rFonts w:hint="eastAsia" w:ascii="宋体" w:hAnsi="宋体" w:eastAsia="宋体" w:cs="宋体"/>
                <w:color w:val="000000"/>
                <w:sz w:val="28"/>
                <w:szCs w:val="28"/>
              </w:rPr>
              <w:t>分</w:t>
            </w:r>
          </w:p>
        </w:tc>
        <w:tc>
          <w:tcPr>
            <w:tcW w:w="6295" w:type="dxa"/>
            <w:vAlign w:val="center"/>
          </w:tcPr>
          <w:p w14:paraId="54B5EC8E">
            <w:pPr>
              <w:spacing w:line="520" w:lineRule="exact"/>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产品技术参数和配置完全满足或高于</w:t>
            </w:r>
            <w:r>
              <w:rPr>
                <w:rFonts w:hint="eastAsia" w:ascii="宋体" w:hAnsi="宋体" w:eastAsia="宋体" w:cs="宋体"/>
                <w:color w:val="000000"/>
                <w:sz w:val="28"/>
                <w:szCs w:val="28"/>
                <w:lang w:val="en-US" w:eastAsia="zh-CN"/>
              </w:rPr>
              <w:t>招标</w:t>
            </w:r>
            <w:r>
              <w:rPr>
                <w:rFonts w:hint="eastAsia" w:ascii="宋体" w:hAnsi="宋体" w:eastAsia="宋体" w:cs="宋体"/>
                <w:color w:val="000000"/>
                <w:sz w:val="28"/>
                <w:szCs w:val="28"/>
              </w:rPr>
              <w:t>文件要求的，得</w:t>
            </w:r>
            <w:r>
              <w:rPr>
                <w:rFonts w:hint="eastAsia" w:ascii="宋体" w:hAnsi="宋体" w:eastAsia="宋体" w:cs="宋体"/>
                <w:color w:val="000000"/>
                <w:sz w:val="28"/>
                <w:szCs w:val="28"/>
                <w:lang w:val="en-US" w:eastAsia="zh-CN"/>
              </w:rPr>
              <w:t>32</w:t>
            </w:r>
            <w:r>
              <w:rPr>
                <w:rFonts w:hint="eastAsia" w:ascii="宋体" w:hAnsi="宋体" w:eastAsia="宋体" w:cs="宋体"/>
                <w:color w:val="000000"/>
                <w:sz w:val="28"/>
                <w:szCs w:val="28"/>
              </w:rPr>
              <w:t>分；每有一项负偏离扣</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分扣完为止。（此项评分以产品彩页</w:t>
            </w:r>
            <w:r>
              <w:rPr>
                <w:rFonts w:hint="eastAsia" w:ascii="宋体" w:hAnsi="宋体" w:eastAsia="宋体" w:cs="宋体"/>
                <w:color w:val="000000"/>
                <w:sz w:val="28"/>
                <w:szCs w:val="28"/>
                <w:lang w:val="en-US" w:eastAsia="zh-CN"/>
              </w:rPr>
              <w:t>或</w:t>
            </w:r>
            <w:r>
              <w:rPr>
                <w:rFonts w:hint="eastAsia" w:ascii="宋体" w:hAnsi="宋体" w:eastAsia="宋体" w:cs="宋体"/>
                <w:color w:val="000000"/>
                <w:sz w:val="28"/>
                <w:szCs w:val="28"/>
              </w:rPr>
              <w:t>产品检验报告或产品技术白皮书等</w:t>
            </w:r>
            <w:r>
              <w:rPr>
                <w:rFonts w:hint="eastAsia" w:ascii="宋体" w:hAnsi="宋体" w:eastAsia="宋体" w:cs="宋体"/>
                <w:color w:val="000000"/>
                <w:sz w:val="28"/>
                <w:szCs w:val="28"/>
                <w:lang w:val="en-US" w:eastAsia="zh-CN"/>
              </w:rPr>
              <w:t>证明材料</w:t>
            </w:r>
            <w:r>
              <w:rPr>
                <w:rFonts w:hint="eastAsia" w:ascii="宋体" w:hAnsi="宋体" w:eastAsia="宋体" w:cs="宋体"/>
                <w:color w:val="000000"/>
                <w:sz w:val="28"/>
                <w:szCs w:val="28"/>
              </w:rPr>
              <w:t>为依据）</w:t>
            </w:r>
          </w:p>
        </w:tc>
      </w:tr>
      <w:tr w14:paraId="5325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89" w:type="dxa"/>
            <w:vMerge w:val="continue"/>
            <w:vAlign w:val="center"/>
          </w:tcPr>
          <w:p w14:paraId="66DE86CD">
            <w:pPr>
              <w:spacing w:line="520" w:lineRule="exact"/>
              <w:ind w:firstLine="0" w:firstLineChars="0"/>
              <w:jc w:val="center"/>
              <w:rPr>
                <w:rFonts w:hint="eastAsia" w:ascii="宋体" w:hAnsi="宋体" w:eastAsia="宋体" w:cs="宋体"/>
                <w:color w:val="000000"/>
                <w:sz w:val="28"/>
                <w:szCs w:val="28"/>
              </w:rPr>
            </w:pPr>
          </w:p>
        </w:tc>
        <w:tc>
          <w:tcPr>
            <w:tcW w:w="1288" w:type="dxa"/>
            <w:vAlign w:val="center"/>
          </w:tcPr>
          <w:p w14:paraId="4EFF0F3E">
            <w:pPr>
              <w:autoSpaceDE w:val="0"/>
              <w:autoSpaceDN w:val="0"/>
              <w:adjustRightInd w:val="0"/>
              <w:spacing w:line="520" w:lineRule="exact"/>
              <w:ind w:firstLine="0" w:firstLineChars="0"/>
              <w:jc w:val="center"/>
              <w:rPr>
                <w:rFonts w:hint="eastAsia" w:ascii="宋体" w:hAnsi="宋体" w:eastAsia="宋体" w:cs="宋体"/>
                <w:color w:val="FF0000"/>
                <w:sz w:val="28"/>
                <w:szCs w:val="28"/>
              </w:rPr>
            </w:pPr>
            <w:r>
              <w:rPr>
                <w:rFonts w:hint="eastAsia" w:ascii="宋体" w:hAnsi="宋体" w:eastAsia="宋体" w:cs="宋体"/>
                <w:color w:val="000000"/>
                <w:sz w:val="28"/>
                <w:szCs w:val="28"/>
                <w:highlight w:val="none"/>
              </w:rPr>
              <w:t>项目管理及实施方案</w:t>
            </w:r>
          </w:p>
        </w:tc>
        <w:tc>
          <w:tcPr>
            <w:tcW w:w="858" w:type="dxa"/>
            <w:vAlign w:val="center"/>
          </w:tcPr>
          <w:p w14:paraId="2C041B06">
            <w:pPr>
              <w:autoSpaceDE w:val="0"/>
              <w:autoSpaceDN w:val="0"/>
              <w:adjustRightInd w:val="0"/>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12分</w:t>
            </w:r>
          </w:p>
        </w:tc>
        <w:tc>
          <w:tcPr>
            <w:tcW w:w="6295" w:type="dxa"/>
            <w:vAlign w:val="center"/>
          </w:tcPr>
          <w:p w14:paraId="33F2A994">
            <w:pPr>
              <w:autoSpaceDE w:val="0"/>
              <w:autoSpaceDN w:val="0"/>
              <w:adjustRightInd w:val="0"/>
              <w:spacing w:line="520" w:lineRule="exact"/>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根据招标文件要求，投标人提供针对本项目切实可行的</w:t>
            </w:r>
            <w:r>
              <w:rPr>
                <w:rFonts w:hint="eastAsia" w:ascii="宋体" w:hAnsi="宋体" w:eastAsia="宋体" w:cs="宋体"/>
                <w:color w:val="000000"/>
                <w:sz w:val="28"/>
                <w:szCs w:val="28"/>
                <w:highlight w:val="none"/>
              </w:rPr>
              <w:t>项目管理及实施方案</w:t>
            </w:r>
            <w:r>
              <w:rPr>
                <w:rFonts w:hint="eastAsia" w:ascii="宋体" w:hAnsi="宋体" w:eastAsia="宋体" w:cs="宋体"/>
                <w:color w:val="000000"/>
                <w:sz w:val="28"/>
                <w:szCs w:val="28"/>
              </w:rPr>
              <w:t>，内容具体包括：1、实施计划，2、实施进度，3、安全保障措施，4、质量控制措施；上述四项按采购项目要求及技术参数切实满足项目实际需求，每响应一项得3分，满分12分；不提供或未按采购项目要求及技术参数切实满足项目实际需求的不得分。在此基础上，方案中存在缺陷或不足的，</w:t>
            </w:r>
            <w:r>
              <w:rPr>
                <w:rFonts w:hint="eastAsia" w:ascii="宋体" w:hAnsi="宋体" w:eastAsia="宋体" w:cs="宋体"/>
                <w:color w:val="000000"/>
                <w:sz w:val="28"/>
                <w:szCs w:val="28"/>
                <w:lang w:val="zh-CN"/>
              </w:rPr>
              <w:t>每有一处扣</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分</w:t>
            </w:r>
            <w:r>
              <w:rPr>
                <w:rFonts w:hint="eastAsia" w:ascii="宋体" w:hAnsi="宋体" w:eastAsia="宋体" w:cs="宋体"/>
                <w:color w:val="000000"/>
                <w:sz w:val="28"/>
                <w:szCs w:val="28"/>
              </w:rPr>
              <w:t>，扣完为止。“缺陷或不足”是指投标人提供的内容存在项目名称错误、地点区域错误、内容与本项目需求无关、方案内容矛盾或表述前后不一致、仅有框架或标题、适用的标准（方法）错误、明显复制其他项目内容等情况或对比其他投标人方案明显不如中的任意一种情形。</w:t>
            </w:r>
          </w:p>
        </w:tc>
      </w:tr>
      <w:tr w14:paraId="13C3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89" w:type="dxa"/>
            <w:vMerge w:val="continue"/>
            <w:vAlign w:val="center"/>
          </w:tcPr>
          <w:p w14:paraId="571479E7">
            <w:pPr>
              <w:spacing w:line="520" w:lineRule="exact"/>
              <w:ind w:firstLine="0" w:firstLineChars="0"/>
              <w:jc w:val="center"/>
              <w:rPr>
                <w:rFonts w:hint="eastAsia" w:ascii="宋体" w:hAnsi="宋体" w:eastAsia="宋体" w:cs="宋体"/>
                <w:color w:val="000000"/>
                <w:sz w:val="28"/>
                <w:szCs w:val="28"/>
              </w:rPr>
            </w:pPr>
          </w:p>
        </w:tc>
        <w:tc>
          <w:tcPr>
            <w:tcW w:w="1288" w:type="dxa"/>
            <w:vAlign w:val="center"/>
          </w:tcPr>
          <w:p w14:paraId="2F014621">
            <w:pPr>
              <w:autoSpaceDE w:val="0"/>
              <w:autoSpaceDN w:val="0"/>
              <w:adjustRightInd w:val="0"/>
              <w:spacing w:line="520" w:lineRule="exact"/>
              <w:ind w:firstLine="0" w:firstLineChars="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售后</w:t>
            </w:r>
          </w:p>
          <w:p w14:paraId="177C0229">
            <w:pPr>
              <w:autoSpaceDE w:val="0"/>
              <w:autoSpaceDN w:val="0"/>
              <w:adjustRightInd w:val="0"/>
              <w:spacing w:line="520" w:lineRule="exact"/>
              <w:ind w:firstLine="0" w:firstLineChars="0"/>
              <w:jc w:val="center"/>
              <w:rPr>
                <w:rFonts w:hint="eastAsia" w:ascii="宋体" w:hAnsi="宋体" w:eastAsia="宋体" w:cs="宋体"/>
                <w:color w:val="FF0000"/>
                <w:sz w:val="28"/>
                <w:szCs w:val="28"/>
              </w:rPr>
            </w:pPr>
            <w:r>
              <w:rPr>
                <w:rFonts w:hint="eastAsia" w:ascii="宋体" w:hAnsi="宋体" w:eastAsia="宋体" w:cs="宋体"/>
                <w:color w:val="000000"/>
                <w:sz w:val="28"/>
                <w:szCs w:val="28"/>
                <w:highlight w:val="none"/>
              </w:rPr>
              <w:t>服务</w:t>
            </w:r>
          </w:p>
        </w:tc>
        <w:tc>
          <w:tcPr>
            <w:tcW w:w="858" w:type="dxa"/>
            <w:vAlign w:val="center"/>
          </w:tcPr>
          <w:p w14:paraId="4E8127D8">
            <w:pPr>
              <w:autoSpaceDE w:val="0"/>
              <w:autoSpaceDN w:val="0"/>
              <w:adjustRightInd w:val="0"/>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分</w:t>
            </w:r>
          </w:p>
        </w:tc>
        <w:tc>
          <w:tcPr>
            <w:tcW w:w="6295" w:type="dxa"/>
            <w:vAlign w:val="center"/>
          </w:tcPr>
          <w:p w14:paraId="29689F3C">
            <w:pPr>
              <w:autoSpaceDE w:val="0"/>
              <w:autoSpaceDN w:val="0"/>
              <w:adjustRightInd w:val="0"/>
              <w:spacing w:line="520" w:lineRule="exact"/>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供应商根据采购需求及项目实际情况，提供切实可行的服务方案，内容具体包括：</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eastAsia="zh-CN"/>
              </w:rPr>
              <w:t>售后服务计划，</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val="zh-CN" w:eastAsia="zh-CN"/>
              </w:rPr>
              <w:t>售后服务措施，</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val="zh-CN" w:eastAsia="zh-CN"/>
              </w:rPr>
              <w:t>服务实施方案，</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val="zh-CN" w:eastAsia="zh-CN"/>
              </w:rPr>
              <w:t>售后质量保障措施</w:t>
            </w:r>
            <w:r>
              <w:rPr>
                <w:rFonts w:hint="eastAsia" w:ascii="宋体" w:hAnsi="宋体" w:eastAsia="宋体" w:cs="宋体"/>
                <w:color w:val="000000"/>
                <w:sz w:val="28"/>
                <w:szCs w:val="28"/>
                <w:lang w:val="en-US" w:eastAsia="zh-CN"/>
              </w:rPr>
              <w:t>5.售后服务承诺</w:t>
            </w:r>
            <w:r>
              <w:rPr>
                <w:rFonts w:hint="eastAsia" w:ascii="宋体" w:hAnsi="宋体" w:eastAsia="宋体" w:cs="宋体"/>
                <w:color w:val="000000"/>
                <w:sz w:val="28"/>
                <w:szCs w:val="28"/>
                <w:lang w:val="zh-CN" w:eastAsia="zh-CN"/>
              </w:rPr>
              <w:t>；上述</w:t>
            </w:r>
            <w:r>
              <w:rPr>
                <w:rFonts w:hint="eastAsia" w:ascii="宋体" w:hAnsi="宋体" w:eastAsia="宋体" w:cs="宋体"/>
                <w:color w:val="000000"/>
                <w:sz w:val="28"/>
                <w:szCs w:val="28"/>
                <w:lang w:val="en-US" w:eastAsia="zh-CN"/>
              </w:rPr>
              <w:t>五项</w:t>
            </w:r>
            <w:r>
              <w:rPr>
                <w:rFonts w:hint="eastAsia" w:ascii="宋体" w:hAnsi="宋体" w:eastAsia="宋体" w:cs="宋体"/>
                <w:color w:val="000000"/>
                <w:sz w:val="28"/>
                <w:szCs w:val="28"/>
                <w:lang w:val="zh-CN" w:eastAsia="zh-CN"/>
              </w:rPr>
              <w:t>按采购项目要求及技术参数切实满足项目实际需求，每响应一项得2分，满分</w:t>
            </w: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lang w:val="zh-CN" w:eastAsia="zh-CN"/>
              </w:rPr>
              <w:t>分；</w:t>
            </w:r>
            <w:r>
              <w:rPr>
                <w:rFonts w:hint="eastAsia" w:ascii="宋体" w:hAnsi="宋体" w:eastAsia="宋体" w:cs="宋体"/>
                <w:color w:val="000000"/>
                <w:sz w:val="28"/>
                <w:szCs w:val="28"/>
              </w:rPr>
              <w:t>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2E0A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89" w:type="dxa"/>
            <w:vMerge w:val="continue"/>
            <w:vAlign w:val="center"/>
          </w:tcPr>
          <w:p w14:paraId="2A26DF4E">
            <w:pPr>
              <w:spacing w:line="520" w:lineRule="exact"/>
              <w:ind w:firstLine="0" w:firstLineChars="0"/>
              <w:jc w:val="center"/>
              <w:rPr>
                <w:rFonts w:hint="eastAsia" w:ascii="宋体" w:hAnsi="宋体" w:eastAsia="宋体" w:cs="宋体"/>
                <w:color w:val="000000"/>
                <w:sz w:val="28"/>
                <w:szCs w:val="28"/>
              </w:rPr>
            </w:pPr>
          </w:p>
        </w:tc>
        <w:tc>
          <w:tcPr>
            <w:tcW w:w="1288" w:type="dxa"/>
            <w:vAlign w:val="center"/>
          </w:tcPr>
          <w:p w14:paraId="655DA79D">
            <w:pPr>
              <w:autoSpaceDE w:val="0"/>
              <w:autoSpaceDN w:val="0"/>
              <w:adjustRightInd w:val="0"/>
              <w:spacing w:line="520" w:lineRule="exact"/>
              <w:ind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供货</w:t>
            </w:r>
          </w:p>
          <w:p w14:paraId="269A829E">
            <w:pPr>
              <w:autoSpaceDE w:val="0"/>
              <w:autoSpaceDN w:val="0"/>
              <w:adjustRightInd w:val="0"/>
              <w:spacing w:line="520" w:lineRule="exact"/>
              <w:ind w:firstLine="0" w:firstLineChars="0"/>
              <w:jc w:val="center"/>
              <w:rPr>
                <w:rFonts w:hint="eastAsia" w:ascii="宋体" w:hAnsi="宋体" w:eastAsia="宋体" w:cs="宋体"/>
                <w:color w:val="FF0000"/>
                <w:sz w:val="28"/>
                <w:szCs w:val="28"/>
              </w:rPr>
            </w:pPr>
            <w:r>
              <w:rPr>
                <w:rFonts w:hint="eastAsia" w:ascii="宋体" w:hAnsi="宋体" w:eastAsia="宋体" w:cs="宋体"/>
                <w:color w:val="000000"/>
                <w:sz w:val="28"/>
                <w:szCs w:val="28"/>
              </w:rPr>
              <w:t>方案</w:t>
            </w:r>
          </w:p>
        </w:tc>
        <w:tc>
          <w:tcPr>
            <w:tcW w:w="858" w:type="dxa"/>
            <w:vAlign w:val="center"/>
          </w:tcPr>
          <w:p w14:paraId="101760FB">
            <w:pPr>
              <w:autoSpaceDE w:val="0"/>
              <w:autoSpaceDN w:val="0"/>
              <w:adjustRightInd w:val="0"/>
              <w:spacing w:line="520" w:lineRule="exact"/>
              <w:ind w:firstLine="0" w:firstLineChars="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8分</w:t>
            </w:r>
          </w:p>
        </w:tc>
        <w:tc>
          <w:tcPr>
            <w:tcW w:w="6295" w:type="dxa"/>
            <w:vAlign w:val="center"/>
          </w:tcPr>
          <w:p w14:paraId="2BB2239C">
            <w:pPr>
              <w:autoSpaceDE w:val="0"/>
              <w:autoSpaceDN w:val="0"/>
              <w:adjustRightInd w:val="0"/>
              <w:spacing w:line="520" w:lineRule="exact"/>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根据招标文件要求，投标人提供针对本包切实可行的供货方案，内容具体包括：1、供货进度计划，2、货物包装、运输方案，3、供货过程中突发事件的应急预案，4、安全运输措施；上述四项按采购项目要求及技术参数切实满足项目实际需求，每响应一项得2分，满分8分；在此基础上，存在缺陷或不足的，每有一处扣</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分。（注：缺陷是指：存在项目名称错误、地点区域错误、内容与本项目需求无关、方案内容矛盾或表述前后不一致、仅有框架或标题、适用的标准（方法）错误、明显复制其他项目内容等情况的任意一种情形。）</w:t>
            </w:r>
          </w:p>
        </w:tc>
      </w:tr>
    </w:tbl>
    <w:p w14:paraId="1C6C6DC3">
      <w:pPr>
        <w:autoSpaceDE w:val="0"/>
        <w:autoSpaceDN w:val="0"/>
        <w:spacing w:line="360" w:lineRule="auto"/>
        <w:ind w:firstLine="562" w:firstLineChars="200"/>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20.3</w:t>
      </w:r>
      <w:r>
        <w:rPr>
          <w:rFonts w:hint="eastAsia" w:ascii="宋体" w:hAnsi="宋体" w:eastAsia="宋体" w:cs="宋体"/>
          <w:b/>
          <w:bCs/>
          <w:color w:val="auto"/>
          <w:sz w:val="28"/>
          <w:szCs w:val="28"/>
          <w:u w:val="none"/>
          <w:shd w:val="clear" w:color="auto" w:fill="FFFFFF"/>
        </w:rPr>
        <w:t xml:space="preserve"> </w:t>
      </w:r>
      <w:r>
        <w:rPr>
          <w:rFonts w:hint="eastAsia" w:ascii="宋体" w:hAnsi="宋体" w:eastAsia="宋体" w:cs="宋体"/>
          <w:b/>
          <w:bCs/>
          <w:color w:val="auto"/>
          <w:kern w:val="0"/>
          <w:sz w:val="28"/>
          <w:szCs w:val="28"/>
          <w:u w:val="none"/>
        </w:rPr>
        <w:t>采用综合评分法的，</w:t>
      </w:r>
      <w:r>
        <w:rPr>
          <w:rFonts w:hint="eastAsia" w:ascii="宋体" w:hAnsi="宋体" w:eastAsia="宋体" w:cs="宋体"/>
          <w:color w:val="auto"/>
          <w:sz w:val="28"/>
          <w:szCs w:val="28"/>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CA304A">
      <w:pPr>
        <w:autoSpaceDE w:val="0"/>
        <w:autoSpaceDN w:val="0"/>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20.4 评标结果汇总完成后，除下列情形外，任何人不得修改评标结果：</w:t>
      </w:r>
    </w:p>
    <w:p w14:paraId="02BC7551">
      <w:pPr>
        <w:autoSpaceDE w:val="0"/>
        <w:autoSpaceDN w:val="0"/>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（1）分值汇总计算错误的；</w:t>
      </w:r>
    </w:p>
    <w:p w14:paraId="122BD368">
      <w:pPr>
        <w:autoSpaceDE w:val="0"/>
        <w:autoSpaceDN w:val="0"/>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（2）分项评分超出评分标准范围的；</w:t>
      </w:r>
    </w:p>
    <w:p w14:paraId="39C78EDB">
      <w:pPr>
        <w:autoSpaceDE w:val="0"/>
        <w:autoSpaceDN w:val="0"/>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（3）评标委员会成员对客观评审因素评分不一致的；</w:t>
      </w:r>
    </w:p>
    <w:p w14:paraId="52DE9CC2">
      <w:pPr>
        <w:autoSpaceDE w:val="0"/>
        <w:autoSpaceDN w:val="0"/>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（4）经评标委员会认定评分畸高、畸低的。</w:t>
      </w:r>
    </w:p>
    <w:p w14:paraId="160001DE">
      <w:pPr>
        <w:autoSpaceDE w:val="0"/>
        <w:autoSpaceDN w:val="0"/>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D6C50D3">
      <w:pPr>
        <w:autoSpaceDE w:val="0"/>
        <w:autoSpaceDN w:val="0"/>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投标人对以上情形提出质疑的，采购人或者采购代理机构可以组织原评标委员会进行重新评审，重新评审改变评标结果的，应当书面报告本级财政部门。</w:t>
      </w:r>
    </w:p>
    <w:p w14:paraId="59E0E59F">
      <w:pPr>
        <w:pStyle w:val="25"/>
        <w:spacing w:before="0" w:after="0" w:line="360" w:lineRule="auto"/>
        <w:rPr>
          <w:rFonts w:hint="eastAsia" w:ascii="宋体" w:hAnsi="宋体" w:eastAsia="宋体" w:cs="宋体"/>
          <w:color w:val="auto"/>
          <w:sz w:val="28"/>
          <w:szCs w:val="28"/>
          <w:lang w:val="zh-CN"/>
        </w:rPr>
      </w:pPr>
      <w:bookmarkStart w:id="76" w:name="_Toc32076"/>
      <w:r>
        <w:rPr>
          <w:rFonts w:hint="eastAsia" w:ascii="宋体" w:hAnsi="宋体" w:eastAsia="宋体" w:cs="宋体"/>
          <w:color w:val="auto"/>
          <w:sz w:val="28"/>
          <w:szCs w:val="28"/>
          <w:lang w:val="zh-CN"/>
        </w:rPr>
        <w:t>八、中标</w:t>
      </w:r>
      <w:bookmarkEnd w:id="76"/>
    </w:p>
    <w:p w14:paraId="32DDF096">
      <w:pPr>
        <w:pStyle w:val="25"/>
        <w:spacing w:before="0" w:after="0" w:line="360" w:lineRule="auto"/>
        <w:jc w:val="left"/>
        <w:rPr>
          <w:rFonts w:hint="eastAsia" w:ascii="宋体" w:hAnsi="宋体" w:eastAsia="宋体" w:cs="宋体"/>
          <w:color w:val="auto"/>
          <w:sz w:val="28"/>
          <w:szCs w:val="28"/>
          <w:lang w:val="zh-CN"/>
        </w:rPr>
      </w:pPr>
      <w:bookmarkStart w:id="77" w:name="_Toc13160"/>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.推荐并确定中标人</w:t>
      </w:r>
      <w:bookmarkEnd w:id="77"/>
    </w:p>
    <w:p w14:paraId="5E2A1B83">
      <w:pPr>
        <w:autoSpaceDE w:val="0"/>
        <w:autoSpaceDN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eastAsia="宋体" w:cs="宋体"/>
          <w:color w:val="auto"/>
          <w:sz w:val="28"/>
          <w:szCs w:val="28"/>
          <w:u w:val="none"/>
        </w:rPr>
        <w:t>招标文件规定的方式</w:t>
      </w:r>
      <w:r>
        <w:rPr>
          <w:rFonts w:hint="eastAsia" w:ascii="宋体" w:hAnsi="宋体" w:eastAsia="宋体" w:cs="宋体"/>
          <w:color w:val="auto"/>
          <w:sz w:val="28"/>
          <w:szCs w:val="28"/>
        </w:rPr>
        <w:t>确定中标人；招标文件未规定的，采取随机抽取的方式确定。</w:t>
      </w:r>
    </w:p>
    <w:p w14:paraId="5C1DA945">
      <w:pPr>
        <w:autoSpaceDE w:val="0"/>
        <w:autoSpaceDN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21.2 采购人自行组织招标的，应当在评标结束后5个工作日内确定中标人。</w:t>
      </w:r>
    </w:p>
    <w:p w14:paraId="7EEB4FF1">
      <w:pPr>
        <w:autoSpaceDE w:val="0"/>
        <w:autoSpaceDN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21.3 采购人在收到评标报告5个工作日内未按评标报告推荐的中标候选人顺序确定中标人，又不能说明合法理由的，视同按评标报告推荐的顺序确定排名第一的中标候选人为中标人。</w:t>
      </w:r>
    </w:p>
    <w:p w14:paraId="74BAA2DC">
      <w:pPr>
        <w:pStyle w:val="25"/>
        <w:spacing w:before="0" w:after="0" w:line="360" w:lineRule="auto"/>
        <w:jc w:val="left"/>
        <w:rPr>
          <w:rFonts w:hint="eastAsia" w:ascii="宋体" w:hAnsi="宋体" w:eastAsia="宋体" w:cs="宋体"/>
          <w:color w:val="auto"/>
          <w:sz w:val="28"/>
          <w:szCs w:val="28"/>
          <w:lang w:val="zh-CN"/>
        </w:rPr>
      </w:pPr>
      <w:bookmarkStart w:id="78" w:name="_Toc14926"/>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2</w:t>
      </w:r>
      <w:r>
        <w:rPr>
          <w:rFonts w:hint="eastAsia" w:ascii="宋体" w:hAnsi="宋体" w:eastAsia="宋体" w:cs="宋体"/>
          <w:color w:val="auto"/>
          <w:sz w:val="28"/>
          <w:szCs w:val="28"/>
          <w:lang w:val="zh-CN"/>
        </w:rPr>
        <w:t>.中标通知</w:t>
      </w:r>
      <w:bookmarkEnd w:id="78"/>
    </w:p>
    <w:p w14:paraId="6708EC90">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22.1 采购人或者采购代理机构应当自中标人确定之日起2个工作日内，在省级以上财政部门指定的媒体上公告中标结果。</w:t>
      </w:r>
    </w:p>
    <w:p w14:paraId="756D96D4">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510706E3">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22.3 中标公告期限为1个工作日。</w:t>
      </w:r>
    </w:p>
    <w:p w14:paraId="60D3BC01">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22.4 在公告中标结果的同时，</w:t>
      </w:r>
      <w:r>
        <w:rPr>
          <w:rFonts w:hint="eastAsia" w:ascii="宋体" w:hAnsi="宋体" w:eastAsia="宋体" w:cs="宋体"/>
          <w:color w:val="auto"/>
          <w:sz w:val="28"/>
          <w:szCs w:val="28"/>
          <w:u w:val="none"/>
          <w:shd w:val="clear" w:color="auto" w:fill="FFFFFF"/>
        </w:rPr>
        <w:t>采购人或者采购代理机构</w:t>
      </w:r>
      <w:r>
        <w:rPr>
          <w:rFonts w:hint="eastAsia" w:ascii="宋体" w:hAnsi="宋体" w:eastAsia="宋体" w:cs="宋体"/>
          <w:color w:val="auto"/>
          <w:kern w:val="0"/>
          <w:sz w:val="28"/>
          <w:szCs w:val="28"/>
        </w:rPr>
        <w:t>应当向中标人发出中标通知书；对投标无效的投标人，采购人或采购代理机构应当告知其投标无效的原因；采用综合评分法评审的，还应当告知未中标人本人的评审得分与排序。</w:t>
      </w:r>
    </w:p>
    <w:p w14:paraId="1111FC04">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22.5 中标通知书发出后，采购人不得违法改变中标结果，中标人无正当理由不得放弃中标。</w:t>
      </w:r>
    </w:p>
    <w:p w14:paraId="55A1FB13">
      <w:pPr>
        <w:pStyle w:val="25"/>
        <w:spacing w:before="0" w:after="0" w:line="360" w:lineRule="auto"/>
        <w:rPr>
          <w:rFonts w:hint="eastAsia" w:ascii="宋体" w:hAnsi="宋体" w:eastAsia="宋体" w:cs="宋体"/>
          <w:color w:val="auto"/>
          <w:sz w:val="28"/>
          <w:szCs w:val="28"/>
          <w:lang w:val="zh-CN"/>
        </w:rPr>
      </w:pPr>
      <w:bookmarkStart w:id="79" w:name="_Toc13977"/>
      <w:r>
        <w:rPr>
          <w:rFonts w:hint="eastAsia" w:ascii="宋体" w:hAnsi="宋体" w:eastAsia="宋体" w:cs="宋体"/>
          <w:color w:val="auto"/>
          <w:sz w:val="28"/>
          <w:szCs w:val="28"/>
          <w:lang w:val="zh-CN"/>
        </w:rPr>
        <w:t>九、授予合同</w:t>
      </w:r>
      <w:bookmarkEnd w:id="79"/>
    </w:p>
    <w:p w14:paraId="5AC15113">
      <w:pPr>
        <w:pStyle w:val="25"/>
        <w:spacing w:before="0" w:after="0" w:line="360" w:lineRule="auto"/>
        <w:jc w:val="left"/>
        <w:rPr>
          <w:rFonts w:hint="eastAsia" w:ascii="宋体" w:hAnsi="宋体" w:eastAsia="宋体" w:cs="宋体"/>
          <w:color w:val="auto"/>
          <w:kern w:val="0"/>
          <w:sz w:val="28"/>
          <w:szCs w:val="28"/>
        </w:rPr>
      </w:pPr>
      <w:bookmarkStart w:id="80" w:name="_Toc10415"/>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3</w:t>
      </w:r>
      <w:r>
        <w:rPr>
          <w:rFonts w:hint="eastAsia" w:ascii="宋体" w:hAnsi="宋体" w:eastAsia="宋体" w:cs="宋体"/>
          <w:color w:val="auto"/>
          <w:sz w:val="28"/>
          <w:szCs w:val="28"/>
          <w:lang w:val="zh-CN"/>
        </w:rPr>
        <w:t>.签订合同</w:t>
      </w:r>
      <w:bookmarkEnd w:id="80"/>
    </w:p>
    <w:p w14:paraId="5CC0157E">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2</w:t>
      </w:r>
      <w:r>
        <w:rPr>
          <w:rFonts w:hint="eastAsia" w:ascii="宋体" w:hAnsi="宋体" w:eastAsia="宋体" w:cs="宋体"/>
          <w:color w:val="auto"/>
          <w:kern w:val="0"/>
          <w:sz w:val="28"/>
          <w:szCs w:val="28"/>
        </w:rPr>
        <w:t>3</w:t>
      </w:r>
      <w:r>
        <w:rPr>
          <w:rFonts w:hint="eastAsia" w:ascii="宋体" w:hAnsi="宋体" w:eastAsia="宋体" w:cs="宋体"/>
          <w:color w:val="auto"/>
          <w:kern w:val="0"/>
          <w:sz w:val="28"/>
          <w:szCs w:val="28"/>
          <w:lang w:val="zh-CN"/>
        </w:rPr>
        <w:t>.1</w:t>
      </w:r>
      <w:r>
        <w:rPr>
          <w:rFonts w:hint="eastAsia" w:ascii="宋体" w:hAnsi="宋体" w:eastAsia="宋体" w:cs="宋体"/>
          <w:color w:val="auto"/>
          <w:kern w:val="0"/>
          <w:sz w:val="28"/>
          <w:szCs w:val="28"/>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53087D6">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采购人不得向中标人提出任何不合理的要求作为签订合同的条件。</w:t>
      </w:r>
    </w:p>
    <w:p w14:paraId="4960EA7B">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2</w:t>
      </w:r>
      <w:r>
        <w:rPr>
          <w:rFonts w:hint="eastAsia" w:ascii="宋体" w:hAnsi="宋体" w:eastAsia="宋体" w:cs="宋体"/>
          <w:color w:val="auto"/>
          <w:kern w:val="0"/>
          <w:sz w:val="28"/>
          <w:szCs w:val="28"/>
        </w:rPr>
        <w:t>3</w:t>
      </w:r>
      <w:r>
        <w:rPr>
          <w:rFonts w:hint="eastAsia" w:ascii="宋体" w:hAnsi="宋体" w:eastAsia="宋体" w:cs="宋体"/>
          <w:color w:val="auto"/>
          <w:kern w:val="0"/>
          <w:sz w:val="28"/>
          <w:szCs w:val="28"/>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33197A18">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2</w:t>
      </w:r>
      <w:r>
        <w:rPr>
          <w:rFonts w:hint="eastAsia" w:ascii="宋体" w:hAnsi="宋体" w:eastAsia="宋体" w:cs="宋体"/>
          <w:color w:val="auto"/>
          <w:kern w:val="0"/>
          <w:sz w:val="28"/>
          <w:szCs w:val="28"/>
        </w:rPr>
        <w:t>3</w:t>
      </w:r>
      <w:r>
        <w:rPr>
          <w:rFonts w:hint="eastAsia" w:ascii="宋体" w:hAnsi="宋体" w:eastAsia="宋体" w:cs="宋体"/>
          <w:color w:val="auto"/>
          <w:kern w:val="0"/>
          <w:sz w:val="28"/>
          <w:szCs w:val="28"/>
          <w:lang w:val="zh-CN"/>
        </w:rPr>
        <w:t>.3</w:t>
      </w:r>
      <w:r>
        <w:rPr>
          <w:rFonts w:hint="eastAsia" w:ascii="宋体" w:hAnsi="宋体" w:eastAsia="宋体" w:cs="宋体"/>
          <w:color w:val="auto"/>
          <w:kern w:val="0"/>
          <w:sz w:val="28"/>
          <w:szCs w:val="28"/>
        </w:rPr>
        <w:t xml:space="preserve"> 中标人拒绝与采购人签订合同的</w:t>
      </w:r>
      <w:r>
        <w:rPr>
          <w:rFonts w:hint="eastAsia" w:ascii="宋体" w:hAnsi="宋体" w:eastAsia="宋体" w:cs="宋体"/>
          <w:color w:val="auto"/>
          <w:kern w:val="0"/>
          <w:sz w:val="28"/>
          <w:szCs w:val="28"/>
          <w:lang w:val="zh-CN"/>
        </w:rPr>
        <w:t>，采购人可以按照评标报告推荐的中标候选人名单排序，确定下一候选人为中标人，也可重新开展政府采购活动。</w:t>
      </w:r>
    </w:p>
    <w:p w14:paraId="381AFC3B">
      <w:pPr>
        <w:autoSpaceDE w:val="0"/>
        <w:autoSpaceDN w:val="0"/>
        <w:spacing w:line="360" w:lineRule="auto"/>
        <w:ind w:firstLine="560" w:firstLineChars="20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2</w:t>
      </w:r>
      <w:r>
        <w:rPr>
          <w:rFonts w:hint="eastAsia" w:ascii="宋体" w:hAnsi="宋体" w:eastAsia="宋体" w:cs="宋体"/>
          <w:color w:val="auto"/>
          <w:kern w:val="0"/>
          <w:sz w:val="28"/>
          <w:szCs w:val="28"/>
        </w:rPr>
        <w:t>3</w:t>
      </w:r>
      <w:r>
        <w:rPr>
          <w:rFonts w:hint="eastAsia" w:ascii="宋体" w:hAnsi="宋体" w:eastAsia="宋体" w:cs="宋体"/>
          <w:color w:val="auto"/>
          <w:kern w:val="0"/>
          <w:sz w:val="28"/>
          <w:szCs w:val="28"/>
          <w:lang w:val="zh-CN"/>
        </w:rPr>
        <w:t>.4</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招标文件、中标人的投标文件、《中标通知书》及其澄清、说明文件、承诺等，均为签订采购合同的依据，作为采购合同的组成部分。</w:t>
      </w:r>
    </w:p>
    <w:p w14:paraId="25D65751">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23.5 </w:t>
      </w:r>
      <w:r>
        <w:rPr>
          <w:rFonts w:hint="eastAsia" w:ascii="宋体" w:hAnsi="宋体" w:eastAsia="宋体" w:cs="宋体"/>
          <w:color w:val="auto"/>
          <w:kern w:val="0"/>
          <w:sz w:val="28"/>
          <w:szCs w:val="28"/>
          <w:lang w:val="zh-CN"/>
        </w:rPr>
        <w:t>采购合同签订之日起</w:t>
      </w: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zh-CN"/>
        </w:rPr>
        <w:t>个工作日内，由采购人将采购合同在青海政府采购网上公告，但采购合同中涉及国家秘密、商业秘密的内容除外。</w:t>
      </w:r>
    </w:p>
    <w:p w14:paraId="68C8B5E3">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23.6 采购人与中标人应当根据合同的约定依法履行合同义务。政府采购合同的履行、违约责任和解决争议的方法等适用《中华人民共和国民法典》。</w:t>
      </w:r>
    </w:p>
    <w:p w14:paraId="7527317A">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23.7 </w:t>
      </w:r>
      <w:r>
        <w:rPr>
          <w:rFonts w:hint="eastAsia" w:ascii="宋体" w:hAnsi="宋体" w:eastAsia="宋体" w:cs="宋体"/>
          <w:color w:val="auto"/>
          <w:sz w:val="28"/>
          <w:szCs w:val="28"/>
        </w:rPr>
        <w:t>采购人或者采购代理机构应当按照政府采购合同规定的技术、服务、安全标准组织对投标人履约情况进行验收，并出具验收书。验收书应当包括每一项技术、服务、安全标准的履约情况。</w:t>
      </w:r>
    </w:p>
    <w:p w14:paraId="5568ECE4">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23.8 采购人可以邀请参加本项目的其他投标人或者第三方机构参与验收。参与验收的投标人或者第三方机构的意见作为验收书的参考资料一并存档。</w:t>
      </w:r>
    </w:p>
    <w:p w14:paraId="1F3BF419">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23.9 采购人应当加强对中标人的履约管理，并按照采购合同约定，及时向中标人支付采购资金。对于中标人违反采购合同约定的行为，采购人应当及时处理，依法追究其违约责任。</w:t>
      </w:r>
    </w:p>
    <w:p w14:paraId="07A6DDC3">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23.10 采购人、采购代理机构应当建立真实完整的招标采购档案，妥善保存每项采购活动的采购文件。</w:t>
      </w:r>
    </w:p>
    <w:p w14:paraId="41DE23D8">
      <w:pPr>
        <w:pStyle w:val="25"/>
        <w:spacing w:before="0" w:after="0" w:line="360" w:lineRule="auto"/>
        <w:rPr>
          <w:rFonts w:hint="eastAsia" w:ascii="宋体" w:hAnsi="宋体" w:eastAsia="宋体" w:cs="宋体"/>
          <w:color w:val="auto"/>
          <w:sz w:val="28"/>
          <w:szCs w:val="28"/>
          <w:lang w:val="zh-CN"/>
        </w:rPr>
      </w:pPr>
      <w:bookmarkStart w:id="81" w:name="_Toc4024"/>
      <w:r>
        <w:rPr>
          <w:rFonts w:hint="eastAsia" w:ascii="宋体" w:hAnsi="宋体" w:eastAsia="宋体" w:cs="宋体"/>
          <w:color w:val="auto"/>
          <w:sz w:val="28"/>
          <w:szCs w:val="28"/>
          <w:lang w:val="zh-CN"/>
        </w:rPr>
        <w:t>十、其他</w:t>
      </w:r>
      <w:bookmarkEnd w:id="81"/>
    </w:p>
    <w:p w14:paraId="63F95381">
      <w:pPr>
        <w:pStyle w:val="25"/>
        <w:spacing w:before="0" w:after="0" w:line="360" w:lineRule="auto"/>
        <w:jc w:val="left"/>
        <w:rPr>
          <w:rFonts w:hint="eastAsia" w:ascii="宋体" w:hAnsi="宋体" w:eastAsia="宋体" w:cs="宋体"/>
          <w:color w:val="auto"/>
          <w:sz w:val="28"/>
          <w:szCs w:val="28"/>
        </w:rPr>
      </w:pPr>
      <w:bookmarkStart w:id="82" w:name="_Toc3115"/>
      <w:r>
        <w:rPr>
          <w:rFonts w:hint="eastAsia" w:ascii="宋体" w:hAnsi="宋体" w:eastAsia="宋体" w:cs="宋体"/>
          <w:color w:val="auto"/>
          <w:sz w:val="28"/>
          <w:szCs w:val="28"/>
        </w:rPr>
        <w:t>24. 串通投标的情形</w:t>
      </w:r>
      <w:bookmarkEnd w:id="82"/>
    </w:p>
    <w:p w14:paraId="7AEDD3C3">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22B284CA">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24.2 有下列情形之一的，视为投标人串通投标，其投标无效：</w:t>
      </w:r>
    </w:p>
    <w:p w14:paraId="71F47871">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（1）不同投标人的投标文件由同一单位或者个人编制；</w:t>
      </w:r>
    </w:p>
    <w:p w14:paraId="701F6841">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（2）不同投标人委托同一单位或者个人办理投标事宜；</w:t>
      </w:r>
    </w:p>
    <w:p w14:paraId="6EF6AEA8">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（3）不同投标人的投标文件载明的项目管理成员或者联系人员为同一人；</w:t>
      </w:r>
    </w:p>
    <w:p w14:paraId="336768ED">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（4）不同投标人的投标文件异常一致或者投标报价呈规律性差异；</w:t>
      </w:r>
    </w:p>
    <w:p w14:paraId="6B9AF475">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（5）不同投标人的投标文件相互混装；</w:t>
      </w:r>
    </w:p>
    <w:p w14:paraId="378FB915">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（6）不同投标人的投标保证金从同一单位或者个人的账户转出。</w:t>
      </w:r>
    </w:p>
    <w:p w14:paraId="5DC6074C">
      <w:pPr>
        <w:pStyle w:val="25"/>
        <w:spacing w:before="0" w:after="0" w:line="360" w:lineRule="auto"/>
        <w:jc w:val="left"/>
        <w:rPr>
          <w:rFonts w:hint="eastAsia" w:ascii="宋体" w:hAnsi="宋体" w:eastAsia="宋体" w:cs="宋体"/>
          <w:color w:val="auto"/>
          <w:sz w:val="28"/>
          <w:szCs w:val="28"/>
        </w:rPr>
      </w:pPr>
      <w:bookmarkStart w:id="83" w:name="_Toc1499"/>
      <w:r>
        <w:rPr>
          <w:rFonts w:hint="eastAsia" w:ascii="宋体" w:hAnsi="宋体" w:eastAsia="宋体" w:cs="宋体"/>
          <w:color w:val="auto"/>
          <w:sz w:val="28"/>
          <w:szCs w:val="28"/>
        </w:rPr>
        <w:t>25. 废标</w:t>
      </w:r>
      <w:bookmarkEnd w:id="83"/>
    </w:p>
    <w:p w14:paraId="4A664ECF">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25.1 在招标采购中，出现下列情形之一的，应予废标：</w:t>
      </w:r>
    </w:p>
    <w:p w14:paraId="7A811762">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（1）符合专业条件的投标人或者对招标文件作实质性响应的投标人不足三家的。</w:t>
      </w:r>
    </w:p>
    <w:p w14:paraId="10EEE5CC">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（2）出现影响采购公正的违法、违规行为的。</w:t>
      </w:r>
    </w:p>
    <w:p w14:paraId="0DD2914F">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（3）投标人的报价均超出采购预算，采购人不能支付的。</w:t>
      </w:r>
    </w:p>
    <w:p w14:paraId="6549AE18">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（4）因重大变故，采购任务取消的。</w:t>
      </w:r>
    </w:p>
    <w:p w14:paraId="109C11C4">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废标后，由采购人或者采购代理机构发布废标公告。</w:t>
      </w:r>
    </w:p>
    <w:p w14:paraId="66F603A0">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25.2 公开招标数额标准以上的采购项目，投标截止后投标人不足3家或者通过资格审查或符合性审查的投标人不足3家的，除采购任务取消情形外，按照以下方式处理：</w:t>
      </w:r>
    </w:p>
    <w:p w14:paraId="6A1FED3B">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（1）招标文件存在不合理条款或者招标程序不符合规定的，采购人、采购代理机构改正后依法重新招标；</w:t>
      </w:r>
    </w:p>
    <w:p w14:paraId="12545B66">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（2）招标文件没有不合理条款、招标程序符合规定，需要采用其他采购方式采购的，采购人应当依法报财政部门批准。</w:t>
      </w:r>
    </w:p>
    <w:p w14:paraId="07347C89">
      <w:pPr>
        <w:pStyle w:val="25"/>
        <w:spacing w:before="0" w:after="0" w:line="360" w:lineRule="auto"/>
        <w:jc w:val="left"/>
        <w:rPr>
          <w:rFonts w:hint="eastAsia" w:ascii="宋体" w:hAnsi="宋体" w:eastAsia="宋体" w:cs="宋体"/>
          <w:color w:val="auto"/>
          <w:sz w:val="28"/>
          <w:szCs w:val="28"/>
        </w:rPr>
      </w:pPr>
      <w:bookmarkStart w:id="84" w:name="_Toc161"/>
      <w:r>
        <w:rPr>
          <w:rFonts w:hint="eastAsia" w:ascii="宋体" w:hAnsi="宋体" w:eastAsia="宋体" w:cs="宋体"/>
          <w:color w:val="auto"/>
          <w:sz w:val="28"/>
          <w:szCs w:val="28"/>
        </w:rPr>
        <w:t>26. 中标服务费</w:t>
      </w:r>
      <w:bookmarkEnd w:id="84"/>
    </w:p>
    <w:p w14:paraId="04F71A06">
      <w:pPr>
        <w:autoSpaceDE w:val="0"/>
        <w:autoSpaceDN w:val="0"/>
        <w:spacing w:line="360" w:lineRule="auto"/>
        <w:ind w:firstLine="562" w:firstLineChars="20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26.1 收取对象：</w:t>
      </w:r>
      <w:r>
        <w:rPr>
          <w:rFonts w:hint="eastAsia" w:ascii="宋体" w:hAnsi="宋体" w:cs="宋体"/>
          <w:b/>
          <w:bCs/>
          <w:color w:val="auto"/>
          <w:kern w:val="0"/>
          <w:sz w:val="28"/>
          <w:szCs w:val="28"/>
          <w:lang w:val="en-US" w:eastAsia="zh-CN"/>
        </w:rPr>
        <w:t>中标</w:t>
      </w:r>
      <w:r>
        <w:rPr>
          <w:rFonts w:hint="eastAsia" w:ascii="宋体" w:hAnsi="宋体" w:eastAsia="宋体" w:cs="宋体"/>
          <w:b/>
          <w:bCs/>
          <w:color w:val="auto"/>
          <w:kern w:val="0"/>
          <w:sz w:val="28"/>
          <w:szCs w:val="28"/>
          <w:lang w:val="zh-CN"/>
        </w:rPr>
        <w:t>人。</w:t>
      </w:r>
    </w:p>
    <w:p w14:paraId="3C01AE65">
      <w:pPr>
        <w:autoSpaceDE w:val="0"/>
        <w:autoSpaceDN w:val="0"/>
        <w:spacing w:line="360" w:lineRule="auto"/>
        <w:ind w:firstLine="562" w:firstLineChars="20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rPr>
        <w:t xml:space="preserve">26.2 </w:t>
      </w:r>
      <w:r>
        <w:rPr>
          <w:rFonts w:hint="eastAsia" w:ascii="宋体" w:hAnsi="宋体" w:eastAsia="宋体" w:cs="宋体"/>
          <w:b/>
          <w:bCs/>
          <w:color w:val="auto"/>
          <w:kern w:val="0"/>
          <w:sz w:val="28"/>
          <w:szCs w:val="28"/>
          <w:lang w:val="zh-CN"/>
        </w:rPr>
        <w:t>收费时间：在领取中标通知书前向采购代理机构缴纳</w:t>
      </w:r>
    </w:p>
    <w:p w14:paraId="114D7F0A">
      <w:pPr>
        <w:autoSpaceDE w:val="0"/>
        <w:autoSpaceDN w:val="0"/>
        <w:spacing w:line="360" w:lineRule="auto"/>
        <w:ind w:firstLine="562" w:firstLineChars="200"/>
        <w:rPr>
          <w:rFonts w:hint="eastAsia" w:ascii="宋体" w:hAnsi="宋体" w:eastAsia="宋体" w:cs="宋体"/>
          <w:color w:val="auto"/>
          <w:kern w:val="0"/>
          <w:sz w:val="28"/>
          <w:szCs w:val="28"/>
          <w:lang w:val="en-US" w:eastAsia="zh-CN"/>
        </w:rPr>
      </w:pPr>
      <w:r>
        <w:rPr>
          <w:rFonts w:hint="eastAsia" w:ascii="宋体" w:hAnsi="宋体" w:eastAsia="宋体" w:cs="宋体"/>
          <w:b/>
          <w:bCs/>
          <w:color w:val="auto"/>
          <w:kern w:val="0"/>
          <w:sz w:val="28"/>
          <w:szCs w:val="28"/>
        </w:rPr>
        <w:t>26.3 收费金额：</w:t>
      </w:r>
      <w:r>
        <w:rPr>
          <w:rFonts w:hint="eastAsia" w:ascii="宋体" w:hAnsi="宋体" w:cs="宋体"/>
          <w:b/>
          <w:bCs/>
          <w:color w:val="auto"/>
          <w:kern w:val="0"/>
          <w:sz w:val="28"/>
          <w:szCs w:val="28"/>
          <w:lang w:val="en-US" w:eastAsia="zh-CN"/>
        </w:rPr>
        <w:t>29000</w:t>
      </w:r>
      <w:r>
        <w:rPr>
          <w:rFonts w:hint="eastAsia" w:ascii="宋体" w:hAnsi="宋体" w:eastAsia="宋体" w:cs="宋体"/>
          <w:b/>
          <w:bCs/>
          <w:color w:val="auto"/>
          <w:kern w:val="0"/>
          <w:sz w:val="28"/>
          <w:szCs w:val="28"/>
          <w:lang w:val="en-US" w:eastAsia="zh-CN"/>
        </w:rPr>
        <w:t>.00</w:t>
      </w:r>
      <w:r>
        <w:rPr>
          <w:rFonts w:hint="eastAsia" w:ascii="宋体" w:hAnsi="宋体" w:eastAsia="宋体" w:cs="宋体"/>
          <w:b/>
          <w:bCs/>
          <w:color w:val="auto"/>
          <w:kern w:val="0"/>
          <w:sz w:val="28"/>
          <w:szCs w:val="28"/>
          <w:lang w:val="zh-CN"/>
        </w:rPr>
        <w:t>元（</w:t>
      </w:r>
      <w:r>
        <w:rPr>
          <w:rFonts w:hint="eastAsia" w:ascii="宋体" w:hAnsi="宋体" w:eastAsia="宋体" w:cs="宋体"/>
          <w:b/>
          <w:bCs/>
          <w:color w:val="auto"/>
          <w:kern w:val="0"/>
          <w:sz w:val="28"/>
          <w:szCs w:val="28"/>
          <w:lang w:val="en-US" w:eastAsia="zh-CN"/>
        </w:rPr>
        <w:t>大写：</w:t>
      </w:r>
      <w:r>
        <w:rPr>
          <w:rFonts w:hint="eastAsia" w:ascii="宋体" w:hAnsi="宋体" w:cs="宋体"/>
          <w:b/>
          <w:bCs/>
          <w:color w:val="auto"/>
          <w:kern w:val="0"/>
          <w:sz w:val="28"/>
          <w:szCs w:val="28"/>
          <w:lang w:val="en-US" w:eastAsia="zh-CN"/>
        </w:rPr>
        <w:t>贰万玖仟</w:t>
      </w:r>
      <w:r>
        <w:rPr>
          <w:rFonts w:hint="eastAsia" w:ascii="宋体" w:hAnsi="宋体" w:eastAsia="宋体" w:cs="宋体"/>
          <w:b/>
          <w:bCs/>
          <w:color w:val="auto"/>
          <w:kern w:val="0"/>
          <w:sz w:val="28"/>
          <w:szCs w:val="28"/>
          <w:lang w:val="en-US" w:eastAsia="zh-CN"/>
        </w:rPr>
        <w:t>元整</w:t>
      </w:r>
      <w:r>
        <w:rPr>
          <w:rFonts w:hint="eastAsia" w:ascii="宋体" w:hAnsi="宋体" w:eastAsia="宋体" w:cs="宋体"/>
          <w:b/>
          <w:bCs/>
          <w:color w:val="auto"/>
          <w:kern w:val="0"/>
          <w:sz w:val="28"/>
          <w:szCs w:val="28"/>
          <w:lang w:val="zh-CN"/>
        </w:rPr>
        <w:t>）</w:t>
      </w:r>
      <w:r>
        <w:rPr>
          <w:rFonts w:hint="eastAsia" w:ascii="宋体" w:hAnsi="宋体" w:eastAsia="宋体" w:cs="宋体"/>
          <w:color w:val="auto"/>
          <w:kern w:val="0"/>
          <w:sz w:val="28"/>
          <w:szCs w:val="28"/>
          <w:lang w:val="en-US" w:eastAsia="zh-CN"/>
        </w:rPr>
        <w:t xml:space="preserve">  </w:t>
      </w:r>
    </w:p>
    <w:p w14:paraId="3E578480">
      <w:pPr>
        <w:keepNext w:val="0"/>
        <w:keepLines w:val="0"/>
        <w:pageBreakBefore w:val="0"/>
        <w:widowControl w:val="0"/>
        <w:kinsoku/>
        <w:wordWrap/>
        <w:overflowPunct/>
        <w:topLinePunct w:val="0"/>
        <w:autoSpaceDE w:val="0"/>
        <w:autoSpaceDN w:val="0"/>
        <w:bidi w:val="0"/>
        <w:adjustRightInd/>
        <w:snapToGrid/>
        <w:spacing w:line="460" w:lineRule="atLeast"/>
        <w:ind w:firstLine="560" w:firstLineChars="20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说明：根据</w:t>
      </w:r>
      <w:r>
        <w:rPr>
          <w:rFonts w:hint="eastAsia" w:ascii="宋体" w:hAnsi="宋体" w:eastAsia="宋体" w:cs="宋体"/>
          <w:color w:val="auto"/>
          <w:kern w:val="0"/>
          <w:sz w:val="28"/>
          <w:szCs w:val="28"/>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sz w:val="28"/>
          <w:szCs w:val="28"/>
        </w:rPr>
        <w:t>。</w:t>
      </w:r>
    </w:p>
    <w:p w14:paraId="0D10B086">
      <w:pPr>
        <w:keepNext w:val="0"/>
        <w:keepLines w:val="0"/>
        <w:pageBreakBefore w:val="0"/>
        <w:widowControl w:val="0"/>
        <w:kinsoku/>
        <w:wordWrap/>
        <w:overflowPunct/>
        <w:topLinePunct w:val="0"/>
        <w:autoSpaceDE w:val="0"/>
        <w:autoSpaceDN w:val="0"/>
        <w:bidi w:val="0"/>
        <w:adjustRightInd/>
        <w:snapToGrid/>
        <w:spacing w:line="460" w:lineRule="atLeas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其他未尽事宜，按照《中华人民共和国政府采购法》、《中华人民共和国政府采购法实施条例》、《中华人民共和国民法典》等法律法规的有关条款执行。</w:t>
      </w:r>
    </w:p>
    <w:p w14:paraId="0FA4357F">
      <w:pPr>
        <w:rPr>
          <w:rFonts w:hint="eastAsia" w:ascii="宋体" w:hAnsi="宋体" w:eastAsia="宋体" w:cs="宋体"/>
          <w:color w:val="auto"/>
        </w:rPr>
      </w:pPr>
    </w:p>
    <w:p w14:paraId="1E04F9F2">
      <w:pPr>
        <w:rPr>
          <w:rFonts w:hint="eastAsia" w:ascii="宋体" w:hAnsi="宋体" w:eastAsia="宋体" w:cs="宋体"/>
          <w:color w:val="auto"/>
          <w:sz w:val="44"/>
          <w:szCs w:val="44"/>
          <w:lang w:val="zh-CN"/>
        </w:rPr>
      </w:pPr>
      <w:bookmarkStart w:id="85" w:name="_Toc31227"/>
      <w:r>
        <w:rPr>
          <w:rFonts w:hint="eastAsia" w:ascii="宋体" w:hAnsi="宋体" w:eastAsia="宋体" w:cs="宋体"/>
          <w:color w:val="auto"/>
          <w:sz w:val="44"/>
          <w:szCs w:val="44"/>
          <w:lang w:val="zh-CN"/>
        </w:rPr>
        <w:br w:type="page"/>
      </w:r>
    </w:p>
    <w:p w14:paraId="667B14C5">
      <w:pPr>
        <w:pStyle w:val="25"/>
        <w:spacing w:before="0" w:after="0" w:line="360" w:lineRule="auto"/>
        <w:jc w:val="center"/>
        <w:rPr>
          <w:rFonts w:hint="eastAsia" w:ascii="宋体" w:hAnsi="宋体" w:eastAsia="宋体" w:cs="宋体"/>
          <w:color w:val="auto"/>
          <w:sz w:val="24"/>
        </w:rPr>
      </w:pPr>
      <w:r>
        <w:rPr>
          <w:rFonts w:hint="eastAsia" w:ascii="宋体" w:hAnsi="宋体" w:eastAsia="宋体" w:cs="宋体"/>
          <w:color w:val="auto"/>
          <w:sz w:val="44"/>
          <w:szCs w:val="44"/>
          <w:lang w:val="zh-CN"/>
        </w:rPr>
        <w:t>第三部分  青海省政府采购项目合同书范本</w:t>
      </w:r>
      <w:bookmarkEnd w:id="85"/>
    </w:p>
    <w:p w14:paraId="1FC85A40">
      <w:pPr>
        <w:autoSpaceDE w:val="0"/>
        <w:autoSpaceDN w:val="0"/>
        <w:adjustRightInd w:val="0"/>
        <w:spacing w:line="360" w:lineRule="auto"/>
        <w:jc w:val="center"/>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（货物类）</w:t>
      </w:r>
    </w:p>
    <w:p w14:paraId="3137C610">
      <w:pPr>
        <w:autoSpaceDE w:val="0"/>
        <w:autoSpaceDN w:val="0"/>
        <w:adjustRightInd w:val="0"/>
        <w:spacing w:line="360" w:lineRule="auto"/>
        <w:rPr>
          <w:rFonts w:hint="eastAsia" w:ascii="宋体" w:hAnsi="宋体" w:eastAsia="宋体" w:cs="宋体"/>
          <w:color w:val="auto"/>
          <w:kern w:val="0"/>
          <w:sz w:val="28"/>
          <w:szCs w:val="28"/>
        </w:rPr>
      </w:pPr>
    </w:p>
    <w:p w14:paraId="07031CCD">
      <w:pPr>
        <w:autoSpaceDE w:val="0"/>
        <w:autoSpaceDN w:val="0"/>
        <w:adjustRightInd w:val="0"/>
        <w:spacing w:line="360" w:lineRule="auto"/>
        <w:rPr>
          <w:rFonts w:hint="eastAsia" w:ascii="宋体" w:hAnsi="宋体" w:eastAsia="宋体" w:cs="宋体"/>
          <w:color w:val="auto"/>
          <w:kern w:val="0"/>
          <w:sz w:val="28"/>
          <w:szCs w:val="28"/>
        </w:rPr>
      </w:pPr>
    </w:p>
    <w:p w14:paraId="445300BD">
      <w:pPr>
        <w:autoSpaceDE w:val="0"/>
        <w:autoSpaceDN w:val="0"/>
        <w:adjustRightInd w:val="0"/>
        <w:spacing w:line="360" w:lineRule="auto"/>
        <w:rPr>
          <w:rFonts w:hint="eastAsia" w:ascii="宋体" w:hAnsi="宋体" w:eastAsia="宋体" w:cs="宋体"/>
          <w:color w:val="auto"/>
          <w:kern w:val="0"/>
          <w:sz w:val="28"/>
          <w:szCs w:val="28"/>
        </w:rPr>
      </w:pPr>
    </w:p>
    <w:p w14:paraId="7C401A0C">
      <w:pPr>
        <w:autoSpaceDE w:val="0"/>
        <w:autoSpaceDN w:val="0"/>
        <w:adjustRightInd w:val="0"/>
        <w:spacing w:line="360" w:lineRule="auto"/>
        <w:rPr>
          <w:rFonts w:hint="eastAsia" w:ascii="宋体" w:hAnsi="宋体" w:eastAsia="宋体" w:cs="宋体"/>
          <w:color w:val="auto"/>
          <w:kern w:val="0"/>
          <w:sz w:val="28"/>
          <w:szCs w:val="28"/>
        </w:rPr>
      </w:pPr>
    </w:p>
    <w:p w14:paraId="503A7C73">
      <w:pPr>
        <w:autoSpaceDE w:val="0"/>
        <w:autoSpaceDN w:val="0"/>
        <w:adjustRightInd w:val="0"/>
        <w:spacing w:line="360" w:lineRule="auto"/>
        <w:jc w:val="center"/>
        <w:rPr>
          <w:rFonts w:hint="eastAsia" w:ascii="宋体" w:hAnsi="宋体" w:eastAsia="宋体" w:cs="宋体"/>
          <w:b/>
          <w:bCs/>
          <w:color w:val="auto"/>
          <w:kern w:val="2"/>
          <w:sz w:val="44"/>
          <w:szCs w:val="44"/>
          <w:lang w:val="zh-CN" w:eastAsia="zh-CN" w:bidi="ar-SA"/>
        </w:rPr>
      </w:pPr>
      <w:r>
        <w:rPr>
          <w:rFonts w:hint="eastAsia" w:ascii="宋体" w:hAnsi="宋体" w:eastAsia="宋体" w:cs="宋体"/>
          <w:b/>
          <w:bCs/>
          <w:color w:val="auto"/>
          <w:kern w:val="2"/>
          <w:sz w:val="44"/>
          <w:szCs w:val="44"/>
          <w:lang w:val="zh-CN" w:eastAsia="zh-CN" w:bidi="ar-SA"/>
        </w:rPr>
        <w:t>青海省政府采购项目合同书</w:t>
      </w:r>
    </w:p>
    <w:p w14:paraId="1332EC0D">
      <w:pPr>
        <w:autoSpaceDE w:val="0"/>
        <w:autoSpaceDN w:val="0"/>
        <w:adjustRightInd w:val="0"/>
        <w:spacing w:line="360" w:lineRule="auto"/>
        <w:rPr>
          <w:rFonts w:hint="eastAsia" w:ascii="宋体" w:hAnsi="宋体" w:eastAsia="宋体" w:cs="宋体"/>
          <w:color w:val="auto"/>
          <w:kern w:val="0"/>
          <w:sz w:val="28"/>
          <w:szCs w:val="28"/>
        </w:rPr>
      </w:pPr>
    </w:p>
    <w:p w14:paraId="1EE3A11E">
      <w:pPr>
        <w:autoSpaceDE w:val="0"/>
        <w:autoSpaceDN w:val="0"/>
        <w:adjustRightInd w:val="0"/>
        <w:spacing w:line="360" w:lineRule="auto"/>
        <w:rPr>
          <w:rFonts w:hint="eastAsia" w:ascii="宋体" w:hAnsi="宋体" w:eastAsia="宋体" w:cs="宋体"/>
          <w:color w:val="auto"/>
          <w:kern w:val="0"/>
          <w:sz w:val="28"/>
          <w:szCs w:val="28"/>
        </w:rPr>
      </w:pPr>
    </w:p>
    <w:p w14:paraId="35B6DC45">
      <w:pPr>
        <w:autoSpaceDE w:val="0"/>
        <w:autoSpaceDN w:val="0"/>
        <w:adjustRightInd w:val="0"/>
        <w:spacing w:line="360" w:lineRule="auto"/>
        <w:rPr>
          <w:rFonts w:hint="eastAsia" w:ascii="宋体" w:hAnsi="宋体" w:eastAsia="宋体" w:cs="宋体"/>
          <w:color w:val="auto"/>
          <w:kern w:val="0"/>
          <w:sz w:val="28"/>
          <w:szCs w:val="28"/>
        </w:rPr>
      </w:pPr>
    </w:p>
    <w:p w14:paraId="5B3F6E3E">
      <w:pPr>
        <w:autoSpaceDE w:val="0"/>
        <w:autoSpaceDN w:val="0"/>
        <w:adjustRightInd w:val="0"/>
        <w:spacing w:line="360" w:lineRule="auto"/>
        <w:rPr>
          <w:rFonts w:hint="eastAsia" w:ascii="宋体" w:hAnsi="宋体" w:eastAsia="宋体" w:cs="宋体"/>
          <w:color w:val="auto"/>
          <w:kern w:val="0"/>
          <w:sz w:val="28"/>
          <w:szCs w:val="28"/>
        </w:rPr>
      </w:pPr>
    </w:p>
    <w:p w14:paraId="2CABCADD">
      <w:pPr>
        <w:autoSpaceDE w:val="0"/>
        <w:autoSpaceDN w:val="0"/>
        <w:adjustRightInd w:val="0"/>
        <w:spacing w:line="360" w:lineRule="auto"/>
        <w:rPr>
          <w:rFonts w:hint="eastAsia"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t>采购项目编号：</w:t>
      </w:r>
      <w:r>
        <w:rPr>
          <w:rFonts w:hint="eastAsia" w:ascii="宋体" w:hAnsi="宋体" w:cs="宋体"/>
          <w:b/>
          <w:bCs/>
          <w:color w:val="auto"/>
          <w:kern w:val="0"/>
          <w:sz w:val="32"/>
          <w:szCs w:val="32"/>
          <w:u w:val="single"/>
          <w:lang w:val="zh-CN"/>
        </w:rPr>
        <w:t>青海宇创公招（货物）2025-005</w:t>
      </w:r>
      <w:r>
        <w:rPr>
          <w:rFonts w:hint="eastAsia" w:ascii="宋体" w:hAnsi="宋体" w:eastAsia="宋体" w:cs="宋体"/>
          <w:color w:val="auto"/>
          <w:kern w:val="0"/>
          <w:sz w:val="32"/>
          <w:szCs w:val="32"/>
          <w:u w:val="single"/>
        </w:rPr>
        <w:t xml:space="preserve">                         </w:t>
      </w:r>
    </w:p>
    <w:p w14:paraId="2665F17B">
      <w:pPr>
        <w:autoSpaceDE w:val="0"/>
        <w:autoSpaceDN w:val="0"/>
        <w:adjustRightInd w:val="0"/>
        <w:spacing w:line="360" w:lineRule="auto"/>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zh-CN"/>
        </w:rPr>
        <w:t>采购项目名称：</w:t>
      </w:r>
      <w:r>
        <w:rPr>
          <w:rFonts w:hint="eastAsia" w:ascii="宋体" w:hAnsi="宋体" w:cs="宋体"/>
          <w:b/>
          <w:bCs/>
          <w:color w:val="auto"/>
          <w:kern w:val="0"/>
          <w:sz w:val="32"/>
          <w:szCs w:val="32"/>
          <w:u w:val="single"/>
          <w:lang w:val="zh-CN"/>
        </w:rPr>
        <w:t>称多县2025年基层卫生院服务能力提升项目</w:t>
      </w:r>
      <w:r>
        <w:rPr>
          <w:rFonts w:hint="eastAsia" w:ascii="宋体" w:hAnsi="宋体" w:eastAsia="宋体" w:cs="宋体"/>
          <w:b/>
          <w:bCs/>
          <w:color w:val="auto"/>
          <w:kern w:val="0"/>
          <w:sz w:val="32"/>
          <w:szCs w:val="32"/>
          <w:lang w:val="zh-CN"/>
        </w:rPr>
        <w:t> </w:t>
      </w:r>
      <w:r>
        <w:rPr>
          <w:rFonts w:hint="eastAsia" w:ascii="宋体" w:hAnsi="宋体" w:eastAsia="宋体" w:cs="宋体"/>
          <w:color w:val="auto"/>
          <w:kern w:val="0"/>
          <w:sz w:val="32"/>
          <w:szCs w:val="32"/>
          <w:u w:val="single"/>
          <w:lang w:val="zh-CN"/>
        </w:rPr>
        <w:t xml:space="preserve"> </w:t>
      </w:r>
      <w:r>
        <w:rPr>
          <w:rFonts w:hint="eastAsia" w:ascii="宋体" w:hAnsi="宋体" w:eastAsia="宋体" w:cs="宋体"/>
          <w:b/>
          <w:bCs/>
          <w:color w:val="auto"/>
          <w:kern w:val="0"/>
          <w:sz w:val="32"/>
          <w:szCs w:val="32"/>
          <w:u w:val="single"/>
        </w:rPr>
        <w:t xml:space="preserve">                                </w:t>
      </w:r>
    </w:p>
    <w:p w14:paraId="23636295">
      <w:pPr>
        <w:autoSpaceDE w:val="0"/>
        <w:autoSpaceDN w:val="0"/>
        <w:adjustRightInd w:val="0"/>
        <w:spacing w:line="360" w:lineRule="auto"/>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zh-CN"/>
        </w:rPr>
        <w:t>采购合同编号：</w:t>
      </w:r>
      <w:r>
        <w:rPr>
          <w:rFonts w:hint="eastAsia" w:ascii="宋体" w:hAnsi="宋体" w:eastAsia="宋体" w:cs="宋体"/>
          <w:b/>
          <w:bCs/>
          <w:color w:val="auto"/>
          <w:kern w:val="0"/>
          <w:sz w:val="32"/>
          <w:szCs w:val="32"/>
          <w:u w:val="single"/>
          <w:lang w:val="zh-CN"/>
        </w:rPr>
        <w:t>QH</w:t>
      </w:r>
      <w:r>
        <w:rPr>
          <w:rFonts w:hint="eastAsia" w:ascii="宋体" w:hAnsi="宋体" w:cs="宋体"/>
          <w:b/>
          <w:bCs/>
          <w:color w:val="auto"/>
          <w:kern w:val="0"/>
          <w:sz w:val="32"/>
          <w:szCs w:val="32"/>
          <w:u w:val="single"/>
          <w:lang w:val="en-US" w:eastAsia="zh-CN"/>
        </w:rPr>
        <w:t>YC</w:t>
      </w:r>
      <w:r>
        <w:rPr>
          <w:rFonts w:hint="eastAsia" w:ascii="宋体" w:hAnsi="宋体" w:eastAsia="宋体" w:cs="宋体"/>
          <w:b/>
          <w:bCs/>
          <w:color w:val="auto"/>
          <w:kern w:val="0"/>
          <w:sz w:val="32"/>
          <w:szCs w:val="32"/>
          <w:u w:val="single"/>
          <w:lang w:val="zh-CN"/>
        </w:rPr>
        <w:t>-20</w:t>
      </w:r>
      <w:r>
        <w:rPr>
          <w:rFonts w:hint="eastAsia" w:ascii="宋体" w:hAnsi="宋体" w:eastAsia="宋体" w:cs="宋体"/>
          <w:b/>
          <w:bCs/>
          <w:color w:val="auto"/>
          <w:kern w:val="0"/>
          <w:sz w:val="32"/>
          <w:szCs w:val="32"/>
          <w:u w:val="single"/>
          <w:lang w:val="en-US" w:eastAsia="zh-CN"/>
        </w:rPr>
        <w:t>2</w:t>
      </w:r>
      <w:r>
        <w:rPr>
          <w:rFonts w:hint="eastAsia" w:ascii="宋体" w:hAnsi="宋体" w:cs="宋体"/>
          <w:b/>
          <w:bCs/>
          <w:color w:val="auto"/>
          <w:kern w:val="0"/>
          <w:sz w:val="32"/>
          <w:szCs w:val="32"/>
          <w:u w:val="single"/>
          <w:lang w:val="en-US" w:eastAsia="zh-CN"/>
        </w:rPr>
        <w:t>5</w:t>
      </w:r>
      <w:r>
        <w:rPr>
          <w:rFonts w:hint="eastAsia" w:ascii="宋体" w:hAnsi="宋体" w:eastAsia="宋体" w:cs="宋体"/>
          <w:b/>
          <w:bCs/>
          <w:color w:val="auto"/>
          <w:kern w:val="0"/>
          <w:sz w:val="32"/>
          <w:szCs w:val="32"/>
          <w:u w:val="single"/>
          <w:lang w:val="zh-CN"/>
        </w:rPr>
        <w:t>-0</w:t>
      </w:r>
      <w:r>
        <w:rPr>
          <w:rFonts w:hint="eastAsia" w:ascii="宋体" w:hAnsi="宋体" w:cs="宋体"/>
          <w:b/>
          <w:bCs/>
          <w:color w:val="auto"/>
          <w:kern w:val="0"/>
          <w:sz w:val="32"/>
          <w:szCs w:val="32"/>
          <w:u w:val="single"/>
          <w:lang w:val="en-US" w:eastAsia="zh-CN"/>
        </w:rPr>
        <w:t>05</w:t>
      </w:r>
      <w:r>
        <w:rPr>
          <w:rFonts w:hint="eastAsia" w:ascii="宋体" w:hAnsi="宋体" w:eastAsia="宋体" w:cs="宋体"/>
          <w:b/>
          <w:bCs/>
          <w:color w:val="auto"/>
          <w:kern w:val="0"/>
          <w:sz w:val="32"/>
          <w:szCs w:val="32"/>
          <w:u w:val="single"/>
          <w:lang w:val="en-US" w:eastAsia="zh-CN"/>
        </w:rPr>
        <w:t xml:space="preserve"> </w:t>
      </w:r>
      <w:r>
        <w:rPr>
          <w:rFonts w:hint="eastAsia" w:ascii="宋体" w:hAnsi="宋体" w:eastAsia="宋体" w:cs="宋体"/>
          <w:color w:val="auto"/>
          <w:kern w:val="0"/>
          <w:sz w:val="32"/>
          <w:szCs w:val="32"/>
          <w:u w:val="single"/>
          <w:lang w:val="en-US" w:eastAsia="zh-CN"/>
        </w:rPr>
        <w:t xml:space="preserve"> </w:t>
      </w:r>
    </w:p>
    <w:p w14:paraId="41AA873F">
      <w:pPr>
        <w:autoSpaceDE w:val="0"/>
        <w:autoSpaceDN w:val="0"/>
        <w:adjustRightInd w:val="0"/>
        <w:spacing w:line="360" w:lineRule="auto"/>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zh-CN"/>
        </w:rPr>
        <w:t>合同金额（人民币）：</w:t>
      </w:r>
      <w:r>
        <w:rPr>
          <w:rFonts w:hint="eastAsia" w:ascii="宋体" w:hAnsi="宋体" w:eastAsia="宋体" w:cs="宋体"/>
          <w:b/>
          <w:bCs/>
          <w:color w:val="auto"/>
          <w:kern w:val="0"/>
          <w:sz w:val="32"/>
          <w:szCs w:val="32"/>
          <w:u w:val="single"/>
        </w:rPr>
        <w:t xml:space="preserve">                           </w:t>
      </w:r>
    </w:p>
    <w:p w14:paraId="4AA03DA8">
      <w:pPr>
        <w:autoSpaceDE w:val="0"/>
        <w:autoSpaceDN w:val="0"/>
        <w:adjustRightInd w:val="0"/>
        <w:spacing w:line="360" w:lineRule="auto"/>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zh-CN"/>
        </w:rPr>
        <w:t>采购人（甲方）：</w:t>
      </w:r>
      <w:r>
        <w:rPr>
          <w:rFonts w:hint="eastAsia" w:ascii="宋体" w:hAnsi="宋体" w:eastAsia="宋体" w:cs="宋体"/>
          <w:b/>
          <w:bCs/>
          <w:color w:val="auto"/>
          <w:kern w:val="0"/>
          <w:sz w:val="32"/>
          <w:szCs w:val="32"/>
          <w:u w:val="single"/>
        </w:rPr>
        <w:t xml:space="preserve">                       </w:t>
      </w:r>
      <w:r>
        <w:rPr>
          <w:rFonts w:hint="eastAsia" w:ascii="宋体" w:hAnsi="宋体" w:eastAsia="宋体" w:cs="宋体"/>
          <w:b/>
          <w:bCs/>
          <w:color w:val="auto"/>
          <w:kern w:val="0"/>
          <w:sz w:val="32"/>
          <w:szCs w:val="32"/>
          <w:u w:val="single"/>
          <w:lang w:val="zh-CN"/>
        </w:rPr>
        <w:t>（盖章）</w:t>
      </w:r>
    </w:p>
    <w:p w14:paraId="45B8554F">
      <w:pPr>
        <w:autoSpaceDE w:val="0"/>
        <w:autoSpaceDN w:val="0"/>
        <w:adjustRightInd w:val="0"/>
        <w:spacing w:line="360" w:lineRule="auto"/>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zh-CN"/>
        </w:rPr>
        <w:t>中标人（乙方）：</w:t>
      </w:r>
      <w:r>
        <w:rPr>
          <w:rFonts w:hint="eastAsia" w:ascii="宋体" w:hAnsi="宋体" w:eastAsia="宋体" w:cs="宋体"/>
          <w:b/>
          <w:bCs/>
          <w:color w:val="auto"/>
          <w:kern w:val="0"/>
          <w:sz w:val="32"/>
          <w:szCs w:val="32"/>
          <w:u w:val="single"/>
        </w:rPr>
        <w:t xml:space="preserve">                       </w:t>
      </w:r>
      <w:r>
        <w:rPr>
          <w:rFonts w:hint="eastAsia" w:ascii="宋体" w:hAnsi="宋体" w:eastAsia="宋体" w:cs="宋体"/>
          <w:b/>
          <w:bCs/>
          <w:color w:val="auto"/>
          <w:kern w:val="0"/>
          <w:sz w:val="32"/>
          <w:szCs w:val="32"/>
          <w:u w:val="single"/>
          <w:lang w:val="zh-CN"/>
        </w:rPr>
        <w:t>（盖章）</w:t>
      </w:r>
    </w:p>
    <w:p w14:paraId="0CB58998">
      <w:pPr>
        <w:autoSpaceDE w:val="0"/>
        <w:autoSpaceDN w:val="0"/>
        <w:adjustRightInd w:val="0"/>
        <w:spacing w:line="360" w:lineRule="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2"/>
          <w:szCs w:val="32"/>
          <w:lang w:val="zh-CN"/>
        </w:rPr>
        <w:t>采购日期：</w:t>
      </w:r>
      <w:r>
        <w:rPr>
          <w:rFonts w:hint="eastAsia" w:ascii="宋体" w:hAnsi="宋体" w:cs="宋体"/>
          <w:b/>
          <w:bCs/>
          <w:color w:val="auto"/>
          <w:kern w:val="0"/>
          <w:sz w:val="32"/>
          <w:szCs w:val="32"/>
          <w:lang w:val="en-US" w:eastAsia="zh-CN"/>
        </w:rPr>
        <w:t>2025年7月14日</w:t>
      </w:r>
      <w:r>
        <w:rPr>
          <w:rFonts w:hint="eastAsia" w:ascii="宋体" w:hAnsi="宋体" w:eastAsia="宋体" w:cs="宋体"/>
          <w:b/>
          <w:bCs/>
          <w:color w:val="auto"/>
          <w:kern w:val="0"/>
          <w:sz w:val="32"/>
          <w:szCs w:val="32"/>
          <w:u w:val="single"/>
        </w:rPr>
        <w:t xml:space="preserve"> </w:t>
      </w:r>
      <w:r>
        <w:rPr>
          <w:rFonts w:hint="eastAsia" w:ascii="宋体" w:hAnsi="宋体" w:eastAsia="宋体" w:cs="宋体"/>
          <w:b/>
          <w:bCs/>
          <w:color w:val="auto"/>
          <w:kern w:val="0"/>
          <w:sz w:val="30"/>
          <w:szCs w:val="30"/>
          <w:u w:val="single"/>
        </w:rPr>
        <w:t xml:space="preserve">                                    </w:t>
      </w:r>
    </w:p>
    <w:p w14:paraId="47033E17">
      <w:pPr>
        <w:autoSpaceDE w:val="0"/>
        <w:autoSpaceDN w:val="0"/>
        <w:adjustRightInd w:val="0"/>
        <w:spacing w:line="360" w:lineRule="auto"/>
        <w:rPr>
          <w:rFonts w:hint="eastAsia" w:ascii="宋体" w:hAnsi="宋体" w:eastAsia="宋体" w:cs="宋体"/>
          <w:color w:val="auto"/>
          <w:kern w:val="0"/>
          <w:sz w:val="28"/>
          <w:szCs w:val="28"/>
        </w:rPr>
      </w:pPr>
    </w:p>
    <w:p w14:paraId="3BD5BB2D">
      <w:pPr>
        <w:keepNext w:val="0"/>
        <w:keepLines w:val="0"/>
        <w:pageBreakBefore w:val="0"/>
        <w:widowControl w:val="0"/>
        <w:kinsoku/>
        <w:wordWrap/>
        <w:overflowPunct/>
        <w:topLinePunct w:val="0"/>
        <w:autoSpaceDE w:val="0"/>
        <w:autoSpaceDN w:val="0"/>
        <w:bidi w:val="0"/>
        <w:snapToGrid/>
        <w:spacing w:line="560" w:lineRule="exact"/>
        <w:jc w:val="left"/>
        <w:textAlignment w:val="auto"/>
        <w:rPr>
          <w:rFonts w:hint="eastAsia" w:ascii="宋体" w:hAnsi="宋体" w:eastAsia="宋体" w:cs="宋体"/>
          <w:b/>
          <w:bCs/>
          <w:color w:val="auto"/>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sz w:val="28"/>
          <w:szCs w:val="28"/>
          <w:lang w:val="zh-CN"/>
        </w:rPr>
        <w:t>采</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购</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人（以下简称甲方）：</w:t>
      </w:r>
    </w:p>
    <w:p w14:paraId="1103E82F">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商（以下简称乙方）：</w:t>
      </w:r>
    </w:p>
    <w:p w14:paraId="6938767F">
      <w:pPr>
        <w:pStyle w:val="15"/>
        <w:keepNext w:val="0"/>
        <w:keepLines w:val="0"/>
        <w:pageBreakBefore w:val="0"/>
        <w:widowControl w:val="0"/>
        <w:kinsoku/>
        <w:wordWrap/>
        <w:overflowPunct/>
        <w:topLinePunct w:val="0"/>
        <w:bidi w:val="0"/>
        <w:snapToGrid/>
        <w:spacing w:after="0" w:line="560" w:lineRule="exact"/>
        <w:ind w:left="0" w:leftChars="0" w:firstLine="48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甲、乙双方根据</w:t>
      </w:r>
      <w:r>
        <w:rPr>
          <w:rFonts w:hint="eastAsia" w:ascii="宋体" w:hAnsi="宋体" w:eastAsia="宋体" w:cs="宋体"/>
          <w:color w:val="auto"/>
          <w:sz w:val="28"/>
          <w:szCs w:val="28"/>
          <w:u w:val="single"/>
          <w:lang w:val="zh-CN"/>
        </w:rPr>
        <w:t>20</w:t>
      </w:r>
      <w:r>
        <w:rPr>
          <w:rFonts w:hint="eastAsia" w:ascii="宋体" w:hAnsi="宋体" w:cs="宋体"/>
          <w:color w:val="auto"/>
          <w:sz w:val="28"/>
          <w:szCs w:val="28"/>
          <w:u w:val="single"/>
          <w:lang w:val="en-US" w:eastAsia="zh-CN"/>
        </w:rPr>
        <w:t>XX</w:t>
      </w:r>
      <w:r>
        <w:rPr>
          <w:rFonts w:hint="eastAsia" w:ascii="宋体" w:hAnsi="宋体" w:eastAsia="宋体" w:cs="宋体"/>
          <w:color w:val="auto"/>
          <w:sz w:val="28"/>
          <w:szCs w:val="28"/>
          <w:u w:val="single"/>
          <w:lang w:val="zh-CN"/>
        </w:rPr>
        <w:t>年  月  日</w:t>
      </w:r>
      <w:r>
        <w:rPr>
          <w:rFonts w:hint="eastAsia" w:ascii="宋体" w:hAnsi="宋体" w:cs="宋体"/>
          <w:color w:val="auto"/>
          <w:sz w:val="28"/>
          <w:szCs w:val="28"/>
          <w:u w:val="single"/>
          <w:lang w:val="zh-CN"/>
        </w:rPr>
        <w:t>称多县2025年基层卫生院服务能力提升项目</w:t>
      </w:r>
      <w:r>
        <w:rPr>
          <w:rFonts w:hint="eastAsia" w:ascii="宋体" w:hAnsi="宋体" w:eastAsia="宋体" w:cs="宋体"/>
          <w:color w:val="auto"/>
          <w:sz w:val="28"/>
          <w:szCs w:val="28"/>
          <w:u w:val="single"/>
          <w:lang w:val="zh-CN"/>
        </w:rPr>
        <w:t>（</w:t>
      </w:r>
      <w:r>
        <w:rPr>
          <w:rFonts w:hint="eastAsia" w:ascii="宋体" w:hAnsi="宋体" w:cs="宋体"/>
          <w:color w:val="auto"/>
          <w:sz w:val="28"/>
          <w:szCs w:val="28"/>
          <w:u w:val="single"/>
          <w:lang w:val="zh-CN"/>
        </w:rPr>
        <w:t>青海宇创公招（货物）2025-005</w:t>
      </w:r>
      <w:r>
        <w:rPr>
          <w:rFonts w:hint="eastAsia" w:ascii="宋体" w:hAnsi="宋体" w:eastAsia="宋体" w:cs="宋体"/>
          <w:color w:val="auto"/>
          <w:sz w:val="28"/>
          <w:szCs w:val="28"/>
          <w:u w:val="single"/>
          <w:lang w:val="zh-CN"/>
        </w:rPr>
        <w:t>）的</w:t>
      </w:r>
      <w:r>
        <w:rPr>
          <w:rFonts w:hint="eastAsia" w:ascii="宋体" w:hAnsi="宋体" w:eastAsia="宋体" w:cs="宋体"/>
          <w:color w:val="auto"/>
          <w:sz w:val="28"/>
          <w:szCs w:val="28"/>
          <w:lang w:val="zh-CN"/>
        </w:rPr>
        <w:t>招标文件要求和</w:t>
      </w:r>
      <w:r>
        <w:rPr>
          <w:rFonts w:hint="eastAsia" w:ascii="宋体" w:hAnsi="宋体" w:cs="宋体"/>
          <w:color w:val="auto"/>
          <w:sz w:val="28"/>
          <w:szCs w:val="28"/>
          <w:lang w:val="zh-CN"/>
        </w:rPr>
        <w:t>青海宇创项目管理有限责任公司</w:t>
      </w:r>
      <w:r>
        <w:rPr>
          <w:rFonts w:hint="eastAsia" w:ascii="宋体" w:hAnsi="宋体" w:eastAsia="宋体" w:cs="宋体"/>
          <w:color w:val="auto"/>
          <w:sz w:val="28"/>
          <w:szCs w:val="28"/>
          <w:lang w:val="zh-CN"/>
        </w:rPr>
        <w:t>出具的《中标通知书》，并经双方协商一致，签订本合同协议书。</w:t>
      </w:r>
    </w:p>
    <w:p w14:paraId="6D73E69D">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一、</w:t>
      </w:r>
      <w:r>
        <w:rPr>
          <w:rFonts w:hint="eastAsia" w:ascii="宋体" w:hAnsi="宋体" w:eastAsia="宋体" w:cs="宋体"/>
          <w:b/>
          <w:color w:val="auto"/>
          <w:sz w:val="28"/>
          <w:szCs w:val="28"/>
          <w:lang w:val="zh-CN"/>
        </w:rPr>
        <w:t>签订本政府采购合同的依据</w:t>
      </w:r>
    </w:p>
    <w:p w14:paraId="75975970">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本政府采购合同所附下列文件是构成本政府采购合同不可分割的部分：</w:t>
      </w:r>
    </w:p>
    <w:p w14:paraId="77D7CE8C">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1.招标文件；</w:t>
      </w:r>
    </w:p>
    <w:p w14:paraId="4D2608AF">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2.招标文件的更正、变更公告；</w:t>
      </w:r>
    </w:p>
    <w:p w14:paraId="4E1F4003">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3.中标人提交的投标文件；</w:t>
      </w:r>
    </w:p>
    <w:p w14:paraId="5351F767">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4.中标通知书。</w:t>
      </w:r>
    </w:p>
    <w:p w14:paraId="78831EAC">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r>
        <w:rPr>
          <w:rFonts w:hint="eastAsia" w:ascii="宋体" w:hAnsi="宋体" w:eastAsia="宋体" w:cs="宋体"/>
          <w:b/>
          <w:color w:val="auto"/>
          <w:sz w:val="28"/>
          <w:szCs w:val="28"/>
          <w:lang w:val="zh-CN"/>
        </w:rPr>
        <w:t>二、合同标的及金额</w:t>
      </w:r>
      <w:r>
        <w:rPr>
          <w:rFonts w:hint="eastAsia" w:ascii="宋体" w:hAnsi="宋体" w:eastAsia="宋体" w:cs="宋体"/>
          <w:color w:val="auto"/>
          <w:sz w:val="28"/>
          <w:szCs w:val="28"/>
          <w:lang w:val="zh-CN"/>
        </w:rPr>
        <w:t xml:space="preserve">                              单位：元</w:t>
      </w:r>
    </w:p>
    <w:tbl>
      <w:tblPr>
        <w:tblStyle w:val="29"/>
        <w:tblW w:w="0" w:type="auto"/>
        <w:tblInd w:w="593" w:type="dxa"/>
        <w:tblLayout w:type="fixed"/>
        <w:tblCellMar>
          <w:top w:w="0" w:type="dxa"/>
          <w:left w:w="57" w:type="dxa"/>
          <w:bottom w:w="0" w:type="dxa"/>
          <w:right w:w="57" w:type="dxa"/>
        </w:tblCellMar>
      </w:tblPr>
      <w:tblGrid>
        <w:gridCol w:w="994"/>
        <w:gridCol w:w="2682"/>
        <w:gridCol w:w="1303"/>
        <w:gridCol w:w="1340"/>
        <w:gridCol w:w="1196"/>
      </w:tblGrid>
      <w:tr w14:paraId="45865C79">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14:paraId="767E6D16">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序号</w:t>
            </w:r>
          </w:p>
        </w:tc>
        <w:tc>
          <w:tcPr>
            <w:tcW w:w="2682" w:type="dxa"/>
            <w:tcBorders>
              <w:top w:val="single" w:color="auto" w:sz="4" w:space="0"/>
              <w:left w:val="single" w:color="auto" w:sz="4" w:space="0"/>
              <w:bottom w:val="single" w:color="auto" w:sz="4" w:space="0"/>
              <w:right w:val="single" w:color="auto" w:sz="4" w:space="0"/>
            </w:tcBorders>
            <w:vAlign w:val="center"/>
          </w:tcPr>
          <w:p w14:paraId="46AEFFAD">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货物名称</w:t>
            </w:r>
          </w:p>
        </w:tc>
        <w:tc>
          <w:tcPr>
            <w:tcW w:w="1303" w:type="dxa"/>
            <w:tcBorders>
              <w:top w:val="single" w:color="auto" w:sz="4" w:space="0"/>
              <w:left w:val="single" w:color="auto" w:sz="4" w:space="0"/>
              <w:bottom w:val="single" w:color="auto" w:sz="4" w:space="0"/>
              <w:right w:val="single" w:color="auto" w:sz="4" w:space="0"/>
            </w:tcBorders>
            <w:vAlign w:val="center"/>
          </w:tcPr>
          <w:p w14:paraId="6DA775A3">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单价</w:t>
            </w:r>
          </w:p>
        </w:tc>
        <w:tc>
          <w:tcPr>
            <w:tcW w:w="1340" w:type="dxa"/>
            <w:tcBorders>
              <w:top w:val="single" w:color="auto" w:sz="4" w:space="0"/>
              <w:left w:val="single" w:color="auto" w:sz="4" w:space="0"/>
              <w:bottom w:val="single" w:color="auto" w:sz="4" w:space="0"/>
              <w:right w:val="single" w:color="auto" w:sz="4" w:space="0"/>
            </w:tcBorders>
            <w:vAlign w:val="center"/>
          </w:tcPr>
          <w:p w14:paraId="0F6E178E">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总价</w:t>
            </w:r>
          </w:p>
        </w:tc>
        <w:tc>
          <w:tcPr>
            <w:tcW w:w="1196" w:type="dxa"/>
            <w:tcBorders>
              <w:top w:val="single" w:color="auto" w:sz="4" w:space="0"/>
              <w:left w:val="single" w:color="auto" w:sz="4" w:space="0"/>
              <w:bottom w:val="single" w:color="auto" w:sz="4" w:space="0"/>
              <w:right w:val="single" w:color="auto" w:sz="4" w:space="0"/>
            </w:tcBorders>
            <w:vAlign w:val="center"/>
          </w:tcPr>
          <w:p w14:paraId="10860241">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备注</w:t>
            </w:r>
          </w:p>
        </w:tc>
      </w:tr>
      <w:tr w14:paraId="0C301B2A">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14:paraId="59C400A2">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14:paraId="12B16C9B">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14:paraId="0DEC14A9">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14:paraId="033DBF92">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14:paraId="25C73AEA">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r>
      <w:tr w14:paraId="4333A773">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14:paraId="59F8626A">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14:paraId="24486272">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14:paraId="590877FD">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14:paraId="0E2C9865">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14:paraId="692158B9">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r>
      <w:tr w14:paraId="586595F9">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14:paraId="1FEA75DE">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14:paraId="0E429486">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14:paraId="72CE504C">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14:paraId="58F83E62">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14:paraId="0C51EBD6">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r>
      <w:tr w14:paraId="5F1E5D1C">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14:paraId="205AF6DA">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14:paraId="1A9BF969">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14:paraId="6028F704">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14:paraId="0CBC1D16">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14:paraId="7329F906">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宋体" w:hAnsi="宋体" w:eastAsia="宋体" w:cs="宋体"/>
                <w:color w:val="auto"/>
                <w:sz w:val="28"/>
                <w:szCs w:val="28"/>
                <w:lang w:val="zh-CN"/>
              </w:rPr>
            </w:pPr>
          </w:p>
        </w:tc>
      </w:tr>
    </w:tbl>
    <w:p w14:paraId="44883901">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根据上述政府采购合同文件要求，本政府采购合同的总金额为人民币</w:t>
      </w:r>
    </w:p>
    <w:p w14:paraId="7CD8B44C">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 xml:space="preserve"> （大写）</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元。</w:t>
      </w:r>
    </w:p>
    <w:p w14:paraId="41BD6C0F">
      <w:pPr>
        <w:keepNext w:val="0"/>
        <w:keepLines w:val="0"/>
        <w:pageBreakBefore w:val="0"/>
        <w:widowControl w:val="0"/>
        <w:kinsoku/>
        <w:wordWrap/>
        <w:overflowPunct/>
        <w:topLinePunct w:val="0"/>
        <w:autoSpaceDE w:val="0"/>
        <w:autoSpaceDN w:val="0"/>
        <w:bidi w:val="0"/>
        <w:adjustRightInd w:val="0"/>
        <w:snapToGrid/>
        <w:spacing w:line="560" w:lineRule="exact"/>
        <w:ind w:firstLine="482"/>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本合同以人民币进行结算，合同总价包括：产品费、验收费、手续费、包装费、运输费、保险费、安装费、售前、售中、售后服务费、税金及不可预见费等全部费用。</w:t>
      </w:r>
    </w:p>
    <w:p w14:paraId="2A782C02">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zh-CN"/>
        </w:rPr>
        <w:t>三、时间、地点要求</w:t>
      </w:r>
    </w:p>
    <w:p w14:paraId="55C0415C">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val="zh-CN" w:eastAsia="zh-CN"/>
        </w:rPr>
        <w:t>交货期限：</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w:t>
      </w:r>
    </w:p>
    <w:p w14:paraId="369D0A6E">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rPr>
        <w:t>2.交货地点：</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w:t>
      </w:r>
    </w:p>
    <w:p w14:paraId="3205645F">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lang w:val="zh-CN"/>
        </w:rPr>
        <w:t>四、付款方式</w:t>
      </w:r>
    </w:p>
    <w:p w14:paraId="371A6B98">
      <w:pPr>
        <w:keepNext w:val="0"/>
        <w:keepLines w:val="0"/>
        <w:pageBreakBefore w:val="0"/>
        <w:widowControl w:val="0"/>
        <w:kinsoku/>
        <w:wordWrap/>
        <w:overflowPunct/>
        <w:topLinePunct w:val="0"/>
        <w:autoSpaceDE w:val="0"/>
        <w:autoSpaceDN w:val="0"/>
        <w:bidi w:val="0"/>
        <w:snapToGrid/>
        <w:spacing w:line="560" w:lineRule="exact"/>
        <w:ind w:firstLine="560" w:firstLineChars="200"/>
        <w:textAlignment w:val="auto"/>
        <w:rPr>
          <w:rFonts w:hint="eastAsia" w:ascii="宋体" w:hAnsi="宋体" w:eastAsia="宋体" w:cs="宋体"/>
          <w:b w:val="0"/>
          <w:bCs/>
          <w:color w:val="auto"/>
          <w:sz w:val="28"/>
          <w:szCs w:val="28"/>
          <w:lang w:val="zh-CN"/>
        </w:rPr>
      </w:pPr>
      <w:r>
        <w:rPr>
          <w:rFonts w:hint="eastAsia" w:ascii="宋体" w:hAnsi="宋体" w:eastAsia="宋体" w:cs="宋体"/>
          <w:b w:val="0"/>
          <w:bCs/>
          <w:color w:val="auto"/>
          <w:sz w:val="28"/>
          <w:szCs w:val="28"/>
          <w:lang w:val="zh-CN"/>
        </w:rPr>
        <w:t>签订合同前中标供应商缴纳合同总额3%作为履约保证金，合同签订后付合同总额30%的预付款，合同全部内容完成并验收合格、交付使用后付70%，履约保证金自动转为质量保证金，质保期（</w:t>
      </w:r>
      <w:r>
        <w:rPr>
          <w:rFonts w:hint="eastAsia" w:ascii="宋体" w:hAnsi="宋体" w:cs="宋体"/>
          <w:b w:val="0"/>
          <w:bCs/>
          <w:color w:val="auto"/>
          <w:sz w:val="28"/>
          <w:szCs w:val="28"/>
          <w:lang w:val="en-US" w:eastAsia="zh-CN"/>
        </w:rPr>
        <w:t>1</w:t>
      </w:r>
      <w:r>
        <w:rPr>
          <w:rFonts w:hint="eastAsia" w:ascii="宋体" w:hAnsi="宋体" w:eastAsia="宋体" w:cs="宋体"/>
          <w:b w:val="0"/>
          <w:bCs/>
          <w:color w:val="auto"/>
          <w:sz w:val="28"/>
          <w:szCs w:val="28"/>
          <w:lang w:val="zh-CN"/>
        </w:rPr>
        <w:t>年）满后无息退还。</w:t>
      </w:r>
    </w:p>
    <w:p w14:paraId="0865E9D8">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五、合同的变更、终止与转让</w:t>
      </w:r>
    </w:p>
    <w:p w14:paraId="17BAA195">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1.除《中华人民共和国政府采购法》第50条规定的情形外，本合同一经签订，甲乙双方不得擅自变更、中止或终止。</w:t>
      </w:r>
    </w:p>
    <w:p w14:paraId="6DFE00C9">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zh-CN"/>
        </w:rPr>
        <w:t>乙方不得擅自转让其应履行的合同义务。</w:t>
      </w:r>
    </w:p>
    <w:p w14:paraId="706EE2F9">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六、违约责任</w:t>
      </w:r>
    </w:p>
    <w:p w14:paraId="6D89DB43">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70171C51">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2.乙方提供的货物如侵犯了第三方权益而引发纠纷或诉讼的，均由乙方负责交涉并承担全部责任。</w:t>
      </w:r>
    </w:p>
    <w:p w14:paraId="0261A27B">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3.因包装、运输引起的货物损坏，按质量不合格处罚。</w:t>
      </w:r>
    </w:p>
    <w:p w14:paraId="2FAEFF11">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4.甲方无故延期接受货物和乙方逾期交货的，每天应向对方偿付未交货物的货款3‰的违约金，但违约金累计不得超过违约货款的5%，超过</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天对方有权解除合同，违约方承担因此给对方造成的经济损失。</w:t>
      </w:r>
    </w:p>
    <w:p w14:paraId="08DEA2EA">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5.乙方未按本合同和投标文件中规定的服务承诺提供售后服务的，乙方应按本合同合计金额的5%向甲方支付违约金。</w:t>
      </w:r>
    </w:p>
    <w:p w14:paraId="275A285F">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6.乙方提供的货物在质量保证期内，因设计、工艺或材料的缺陷和其它质量原因造成的问题，由乙方负责，费用从履约保证金中扣除，不足另补。</w:t>
      </w:r>
    </w:p>
    <w:p w14:paraId="038E7E7F">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7.其它违约行为按违约货款额5%收取违约金并赔偿经济损失。</w:t>
      </w:r>
    </w:p>
    <w:p w14:paraId="17D67605">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七、不可抗力</w:t>
      </w:r>
    </w:p>
    <w:p w14:paraId="542BE4F3">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不可抗力使合同的某些内容有变更必要的，双方应通过协商在</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天内达成进一步履行合同的协议，因不可抗力致使合同不能履行的，合同终止。</w:t>
      </w:r>
    </w:p>
    <w:p w14:paraId="65035C88">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八、知识产权：详见合同通用条款</w:t>
      </w:r>
    </w:p>
    <w:p w14:paraId="0CBC00E8">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九、其他约定：</w:t>
      </w:r>
    </w:p>
    <w:p w14:paraId="6C708133">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w:t>
      </w:r>
    </w:p>
    <w:p w14:paraId="43BF5E77">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十、合同争议解决</w:t>
      </w:r>
    </w:p>
    <w:p w14:paraId="1FD8DD84">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1.因产品质量问题发生争议的，应邀请国家认可的质量检测机构进行鉴定。产品符合标准的，鉴定费由甲方承担；产品不符合标准的，鉴定费由乙方承担。</w:t>
      </w:r>
    </w:p>
    <w:p w14:paraId="3FE01D3B">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2.因履行本合同引起的或与本合同有关的争议，甲乙双方应首先通过友好协商解决，如果协商不能解决，可向甲方所在地仲裁委员会申请仲裁或向甲方所在地人民法院提起诉讼。</w:t>
      </w:r>
    </w:p>
    <w:p w14:paraId="28D7B4F7">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3.诉讼期间，本合同继续履行。</w:t>
      </w:r>
    </w:p>
    <w:p w14:paraId="152C4BFA">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十一、合同生效及其它：</w:t>
      </w:r>
    </w:p>
    <w:p w14:paraId="2483ABA0">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1.本合同一式八份，经双方签字，并加盖公章即为生效。</w:t>
      </w:r>
    </w:p>
    <w:p w14:paraId="57A4A704">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2.本合同未尽事宜，按经济合同法有关规定处理。</w:t>
      </w:r>
    </w:p>
    <w:p w14:paraId="63EB516D">
      <w:pPr>
        <w:keepNext w:val="0"/>
        <w:keepLines w:val="0"/>
        <w:pageBreakBefore w:val="0"/>
        <w:widowControl w:val="0"/>
        <w:kinsoku/>
        <w:wordWrap/>
        <w:overflowPunct/>
        <w:topLinePunct w:val="0"/>
        <w:autoSpaceDE w:val="0"/>
        <w:autoSpaceDN w:val="0"/>
        <w:bidi w:val="0"/>
        <w:snapToGrid/>
        <w:spacing w:line="560" w:lineRule="exact"/>
        <w:ind w:firstLine="360"/>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3.本合同的组成包含《合同通用条款》。</w:t>
      </w:r>
    </w:p>
    <w:p w14:paraId="590E4F36">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p>
    <w:p w14:paraId="03FEDCB1">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p>
    <w:p w14:paraId="44FF09C8">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p>
    <w:p w14:paraId="15192C5C">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甲方（盖章）：</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乙方（盖章）：</w:t>
      </w:r>
    </w:p>
    <w:p w14:paraId="683CA00C">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法定代表人或委托代理人</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法定代表人或委托代理人</w:t>
      </w:r>
      <w:r>
        <w:rPr>
          <w:rFonts w:hint="eastAsia" w:ascii="宋体" w:hAnsi="宋体" w:eastAsia="宋体" w:cs="宋体"/>
          <w:color w:val="auto"/>
          <w:sz w:val="28"/>
          <w:szCs w:val="28"/>
        </w:rPr>
        <w:t>：</w:t>
      </w:r>
    </w:p>
    <w:p w14:paraId="3327EE78">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开户银行：</w:t>
      </w:r>
    </w:p>
    <w:p w14:paraId="463A3C75">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联系电话：</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账号：</w:t>
      </w:r>
    </w:p>
    <w:p w14:paraId="1914688B">
      <w:pPr>
        <w:keepNext w:val="0"/>
        <w:keepLines w:val="0"/>
        <w:pageBreakBefore w:val="0"/>
        <w:widowControl w:val="0"/>
        <w:kinsoku/>
        <w:wordWrap/>
        <w:overflowPunct/>
        <w:topLinePunct w:val="0"/>
        <w:autoSpaceDE w:val="0"/>
        <w:autoSpaceDN w:val="0"/>
        <w:bidi w:val="0"/>
        <w:snapToGrid/>
        <w:spacing w:line="560" w:lineRule="exact"/>
        <w:ind w:firstLine="48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联系电话：</w:t>
      </w:r>
    </w:p>
    <w:p w14:paraId="3116BBC7">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p>
    <w:p w14:paraId="41D698EE">
      <w:pPr>
        <w:keepNext w:val="0"/>
        <w:keepLines w:val="0"/>
        <w:pageBreakBefore w:val="0"/>
        <w:widowControl w:val="0"/>
        <w:kinsoku/>
        <w:wordWrap/>
        <w:overflowPunct/>
        <w:topLinePunct w:val="0"/>
        <w:autoSpaceDE w:val="0"/>
        <w:autoSpaceDN w:val="0"/>
        <w:bidi w:val="0"/>
        <w:snapToGrid/>
        <w:spacing w:line="560" w:lineRule="exact"/>
        <w:ind w:firstLine="1540" w:firstLineChars="55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签约时间：</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年</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月</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日</w:t>
      </w:r>
    </w:p>
    <w:p w14:paraId="54D1A7A1">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p>
    <w:p w14:paraId="01A44726">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p>
    <w:p w14:paraId="19289A3D">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p>
    <w:p w14:paraId="62FF45B3">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采购代理机构：</w:t>
      </w:r>
      <w:r>
        <w:rPr>
          <w:rFonts w:hint="eastAsia" w:ascii="宋体" w:hAnsi="宋体" w:cs="宋体"/>
          <w:color w:val="auto"/>
          <w:sz w:val="28"/>
          <w:szCs w:val="28"/>
          <w:lang w:val="zh-CN"/>
        </w:rPr>
        <w:t>青海宇创项目管理有限责任公司</w:t>
      </w:r>
    </w:p>
    <w:p w14:paraId="2293CF24">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负责人                                  </w:t>
      </w:r>
    </w:p>
    <w:p w14:paraId="673E31AE">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经办人：</w:t>
      </w:r>
    </w:p>
    <w:p w14:paraId="041CF5CA">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合同备案时间：</w:t>
      </w: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zh-CN"/>
        </w:rPr>
        <w:t>年</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月</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日</w:t>
      </w:r>
    </w:p>
    <w:p w14:paraId="0F27C3CF">
      <w:pPr>
        <w:jc w:val="center"/>
        <w:rPr>
          <w:rFonts w:hint="eastAsia" w:ascii="宋体" w:hAnsi="宋体" w:eastAsia="宋体" w:cs="宋体"/>
          <w:b/>
          <w:bCs/>
          <w:color w:val="auto"/>
          <w:kern w:val="0"/>
          <w:sz w:val="28"/>
          <w:szCs w:val="28"/>
          <w:lang w:val="zh-CN"/>
        </w:rPr>
      </w:pPr>
    </w:p>
    <w:p w14:paraId="67BECF60">
      <w:pPr>
        <w:jc w:val="center"/>
        <w:rPr>
          <w:rFonts w:hint="eastAsia" w:ascii="宋体" w:hAnsi="宋体" w:eastAsia="宋体" w:cs="宋体"/>
          <w:b/>
          <w:bCs/>
          <w:color w:val="auto"/>
          <w:kern w:val="0"/>
          <w:sz w:val="28"/>
          <w:szCs w:val="28"/>
          <w:lang w:val="zh-CN"/>
        </w:rPr>
      </w:pPr>
    </w:p>
    <w:p w14:paraId="05E0CD31">
      <w:pP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br w:type="page"/>
      </w:r>
    </w:p>
    <w:p w14:paraId="1C5E946E">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val="zh-CN"/>
        </w:rPr>
        <w:t>合同通用条款</w:t>
      </w:r>
    </w:p>
    <w:p w14:paraId="11F3001D">
      <w:pPr>
        <w:autoSpaceDE w:val="0"/>
        <w:autoSpaceDN w:val="0"/>
        <w:adjustRightInd w:val="0"/>
        <w:spacing w:line="360" w:lineRule="auto"/>
        <w:rPr>
          <w:rFonts w:hint="eastAsia" w:ascii="宋体" w:hAnsi="宋体" w:eastAsia="宋体" w:cs="宋体"/>
          <w:color w:val="auto"/>
          <w:kern w:val="0"/>
          <w:sz w:val="28"/>
          <w:szCs w:val="28"/>
        </w:rPr>
      </w:pPr>
    </w:p>
    <w:p w14:paraId="17128323">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根据《</w:t>
      </w:r>
      <w:r>
        <w:rPr>
          <w:rFonts w:hint="eastAsia" w:ascii="宋体" w:hAnsi="宋体" w:eastAsia="宋体" w:cs="宋体"/>
          <w:color w:val="auto"/>
          <w:kern w:val="0"/>
          <w:sz w:val="28"/>
          <w:szCs w:val="28"/>
        </w:rPr>
        <w:t>中华人民共和国</w:t>
      </w:r>
      <w:r>
        <w:rPr>
          <w:rFonts w:hint="eastAsia" w:ascii="宋体" w:hAnsi="宋体" w:eastAsia="宋体" w:cs="宋体"/>
          <w:color w:val="auto"/>
          <w:kern w:val="0"/>
          <w:sz w:val="28"/>
          <w:szCs w:val="28"/>
          <w:lang w:val="zh-CN"/>
        </w:rPr>
        <w:t>民法典》、《中华人民共和国政府采购法》的规定，合同双方经协商达成一致，自愿订立本合同，遵循公平原则明确双方的权利、义务，确保双方诚实守信地履行合同。</w:t>
      </w:r>
    </w:p>
    <w:p w14:paraId="73823E93">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w:t>
      </w:r>
      <w:r>
        <w:rPr>
          <w:rFonts w:hint="eastAsia" w:ascii="宋体" w:hAnsi="宋体" w:eastAsia="宋体" w:cs="宋体"/>
          <w:b/>
          <w:bCs/>
          <w:color w:val="auto"/>
          <w:kern w:val="0"/>
          <w:sz w:val="28"/>
          <w:szCs w:val="28"/>
          <w:lang w:val="zh-CN"/>
        </w:rPr>
        <w:t>定义</w:t>
      </w:r>
    </w:p>
    <w:p w14:paraId="3720B7EB">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本合同中的下列术语应解释为：</w:t>
      </w:r>
    </w:p>
    <w:p w14:paraId="27D886F2">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 </w:t>
      </w:r>
      <w:r>
        <w:rPr>
          <w:rFonts w:hint="eastAsia" w:ascii="宋体" w:hAnsi="宋体" w:eastAsia="宋体" w:cs="宋体"/>
          <w:color w:val="auto"/>
          <w:kern w:val="0"/>
          <w:sz w:val="28"/>
          <w:szCs w:val="28"/>
          <w:lang w:val="zh-CN"/>
        </w:rPr>
        <w:t>“合同”指甲乙双方签署的、载明的甲乙双方权利义务的协议，包括所有的附件、附录和上述文件所提到的构成合同的所有文件。</w:t>
      </w:r>
    </w:p>
    <w:p w14:paraId="4385BEFF">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1.2 </w:t>
      </w:r>
      <w:r>
        <w:rPr>
          <w:rFonts w:hint="eastAsia" w:ascii="宋体" w:hAnsi="宋体" w:eastAsia="宋体" w:cs="宋体"/>
          <w:color w:val="auto"/>
          <w:kern w:val="0"/>
          <w:sz w:val="28"/>
          <w:szCs w:val="28"/>
          <w:lang w:val="zh-CN"/>
        </w:rPr>
        <w:t>“合同金额”指根据合同规定，乙方在正确地完全履行合同义务后甲方应付给乙方的价款。</w:t>
      </w:r>
    </w:p>
    <w:p w14:paraId="31AB692E">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1.3 </w:t>
      </w:r>
      <w:r>
        <w:rPr>
          <w:rFonts w:hint="eastAsia" w:ascii="宋体" w:hAnsi="宋体" w:eastAsia="宋体" w:cs="宋体"/>
          <w:color w:val="auto"/>
          <w:kern w:val="0"/>
          <w:sz w:val="28"/>
          <w:szCs w:val="28"/>
          <w:lang w:val="zh-CN"/>
        </w:rPr>
        <w:t>“合同条款”指本合同条款。</w:t>
      </w:r>
    </w:p>
    <w:p w14:paraId="74968FB2">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1.4 </w:t>
      </w:r>
      <w:r>
        <w:rPr>
          <w:rFonts w:hint="eastAsia" w:ascii="宋体" w:hAnsi="宋体" w:eastAsia="宋体" w:cs="宋体"/>
          <w:color w:val="auto"/>
          <w:kern w:val="0"/>
          <w:sz w:val="28"/>
          <w:szCs w:val="28"/>
          <w:lang w:val="zh-CN"/>
        </w:rPr>
        <w:t>“货物”指乙方根据合同约定须向甲方提供的一切产品、设备、机械、仪表、备件等，包括辅助工具、使用手册等相关资料。</w:t>
      </w:r>
    </w:p>
    <w:p w14:paraId="0E8F0B3D">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1.5 </w:t>
      </w:r>
      <w:r>
        <w:rPr>
          <w:rFonts w:hint="eastAsia" w:ascii="宋体" w:hAnsi="宋体" w:eastAsia="宋体" w:cs="宋体"/>
          <w:color w:val="auto"/>
          <w:kern w:val="0"/>
          <w:sz w:val="28"/>
          <w:szCs w:val="28"/>
          <w:lang w:val="zh-CN"/>
        </w:rPr>
        <w:t>“服务”指根据本合同规定乙方承担与供货有关的辅助服务，如运输、保险及安装、调试、提供技术援助、培训和合同中规定乙方应承担的其它义务。</w:t>
      </w:r>
    </w:p>
    <w:p w14:paraId="6E7C7D42">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1.6 </w:t>
      </w:r>
      <w:r>
        <w:rPr>
          <w:rFonts w:hint="eastAsia" w:ascii="宋体" w:hAnsi="宋体" w:eastAsia="宋体" w:cs="宋体"/>
          <w:color w:val="auto"/>
          <w:kern w:val="0"/>
          <w:sz w:val="28"/>
          <w:szCs w:val="28"/>
          <w:lang w:val="zh-CN"/>
        </w:rPr>
        <w:t>“甲方”指购买货物和服务的单位。</w:t>
      </w:r>
    </w:p>
    <w:p w14:paraId="015BEF8C">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1.7 </w:t>
      </w:r>
      <w:r>
        <w:rPr>
          <w:rFonts w:hint="eastAsia" w:ascii="宋体" w:hAnsi="宋体" w:eastAsia="宋体" w:cs="宋体"/>
          <w:color w:val="auto"/>
          <w:kern w:val="0"/>
          <w:sz w:val="28"/>
          <w:szCs w:val="28"/>
          <w:lang w:val="zh-CN"/>
        </w:rPr>
        <w:t>“乙方”指提供本合同条款下货物和服务的公司或其他实体。</w:t>
      </w:r>
    </w:p>
    <w:p w14:paraId="7CCDB0FD">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1.8 </w:t>
      </w:r>
      <w:r>
        <w:rPr>
          <w:rFonts w:hint="eastAsia" w:ascii="宋体" w:hAnsi="宋体" w:eastAsia="宋体" w:cs="宋体"/>
          <w:color w:val="auto"/>
          <w:kern w:val="0"/>
          <w:sz w:val="28"/>
          <w:szCs w:val="28"/>
          <w:lang w:val="zh-CN"/>
        </w:rPr>
        <w:t>“现场”指合同规定货物将要运至和安装的地点。</w:t>
      </w:r>
    </w:p>
    <w:p w14:paraId="7C41969E">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1.9 </w:t>
      </w:r>
      <w:r>
        <w:rPr>
          <w:rFonts w:hint="eastAsia" w:ascii="宋体" w:hAnsi="宋体" w:eastAsia="宋体" w:cs="宋体"/>
          <w:color w:val="auto"/>
          <w:kern w:val="0"/>
          <w:sz w:val="28"/>
          <w:szCs w:val="28"/>
          <w:lang w:val="zh-CN"/>
        </w:rPr>
        <w:t>“验收”指合同双方依据强制性的国家技术质量规范和合同约定，确认合同条款下的货物符合合同规定的活动。</w:t>
      </w:r>
    </w:p>
    <w:p w14:paraId="276B2B11">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1.10 </w:t>
      </w:r>
      <w:r>
        <w:rPr>
          <w:rFonts w:hint="eastAsia" w:ascii="宋体" w:hAnsi="宋体" w:eastAsia="宋体" w:cs="宋体"/>
          <w:color w:val="auto"/>
          <w:kern w:val="0"/>
          <w:sz w:val="28"/>
          <w:szCs w:val="28"/>
          <w:lang w:val="zh-CN"/>
        </w:rPr>
        <w:t>原厂商：产品制造商或其在中国境内设立的办事或技术服务机构。除另有说明外，本合同文件所述的制造商、产品制造商、制造厂家、产品制造厂家均为原厂商。</w:t>
      </w:r>
    </w:p>
    <w:p w14:paraId="76FDE5B3">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1.11 </w:t>
      </w:r>
      <w:r>
        <w:rPr>
          <w:rFonts w:hint="eastAsia" w:ascii="宋体" w:hAnsi="宋体" w:eastAsia="宋体" w:cs="宋体"/>
          <w:color w:val="auto"/>
          <w:kern w:val="0"/>
          <w:sz w:val="28"/>
          <w:szCs w:val="28"/>
          <w:lang w:val="zh-CN"/>
        </w:rPr>
        <w:t>原产地：指产品的生产地，或提供服务的来源地。</w:t>
      </w:r>
    </w:p>
    <w:p w14:paraId="623EC82A">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1.12 </w:t>
      </w:r>
      <w:r>
        <w:rPr>
          <w:rFonts w:hint="eastAsia" w:ascii="宋体" w:hAnsi="宋体" w:eastAsia="宋体" w:cs="宋体"/>
          <w:color w:val="auto"/>
          <w:kern w:val="0"/>
          <w:sz w:val="28"/>
          <w:szCs w:val="28"/>
          <w:lang w:val="zh-CN"/>
        </w:rPr>
        <w:t>“工作日”指国家法定工作日，“天”指日历天数。</w:t>
      </w:r>
    </w:p>
    <w:p w14:paraId="79755F4A">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2.</w:t>
      </w:r>
      <w:r>
        <w:rPr>
          <w:rFonts w:hint="eastAsia" w:ascii="宋体" w:hAnsi="宋体" w:eastAsia="宋体" w:cs="宋体"/>
          <w:b/>
          <w:bCs/>
          <w:color w:val="auto"/>
          <w:kern w:val="0"/>
          <w:sz w:val="28"/>
          <w:szCs w:val="28"/>
          <w:lang w:val="zh-CN"/>
        </w:rPr>
        <w:t>技术规格要求</w:t>
      </w:r>
    </w:p>
    <w:p w14:paraId="3CD583AC">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2.1 </w:t>
      </w:r>
      <w:r>
        <w:rPr>
          <w:rFonts w:hint="eastAsia" w:ascii="宋体" w:hAnsi="宋体" w:eastAsia="宋体" w:cs="宋体"/>
          <w:color w:val="auto"/>
          <w:kern w:val="0"/>
          <w:sz w:val="28"/>
          <w:szCs w:val="28"/>
          <w:lang w:val="zh-CN"/>
        </w:rPr>
        <w:t>本合同条款下提交货物的技术规格要求应等于或优于招投标文件技术规格要求。若技术规格要求中无相应规定，则应符合相应的国家有关部门最新颁布的相应正式标准。</w:t>
      </w:r>
    </w:p>
    <w:p w14:paraId="7A66B1B1">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2.2 </w:t>
      </w:r>
      <w:r>
        <w:rPr>
          <w:rFonts w:hint="eastAsia" w:ascii="宋体" w:hAnsi="宋体" w:eastAsia="宋体" w:cs="宋体"/>
          <w:color w:val="auto"/>
          <w:kern w:val="0"/>
          <w:sz w:val="28"/>
          <w:szCs w:val="28"/>
          <w:lang w:val="zh-CN"/>
        </w:rPr>
        <w:t>乙方应向甲方提供货物及服务有关的标准的中文文本。</w:t>
      </w:r>
    </w:p>
    <w:p w14:paraId="31C762BF">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2.3 </w:t>
      </w:r>
      <w:r>
        <w:rPr>
          <w:rFonts w:hint="eastAsia" w:ascii="宋体" w:hAnsi="宋体" w:eastAsia="宋体" w:cs="宋体"/>
          <w:color w:val="auto"/>
          <w:kern w:val="0"/>
          <w:sz w:val="28"/>
          <w:szCs w:val="28"/>
          <w:lang w:val="zh-CN"/>
        </w:rPr>
        <w:t>除非技术规范中另有规定，计量单位均采用中华人民共和国法定计量单位。</w:t>
      </w:r>
    </w:p>
    <w:p w14:paraId="6EA6B749">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3.</w:t>
      </w:r>
      <w:r>
        <w:rPr>
          <w:rFonts w:hint="eastAsia" w:ascii="宋体" w:hAnsi="宋体" w:eastAsia="宋体" w:cs="宋体"/>
          <w:b/>
          <w:bCs/>
          <w:color w:val="auto"/>
          <w:kern w:val="0"/>
          <w:sz w:val="28"/>
          <w:szCs w:val="28"/>
          <w:lang w:val="zh-CN"/>
        </w:rPr>
        <w:t>合同范围</w:t>
      </w:r>
    </w:p>
    <w:p w14:paraId="6EC9C013">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3.1 </w:t>
      </w:r>
      <w:r>
        <w:rPr>
          <w:rFonts w:hint="eastAsia" w:ascii="宋体" w:hAnsi="宋体" w:eastAsia="宋体" w:cs="宋体"/>
          <w:color w:val="auto"/>
          <w:kern w:val="0"/>
          <w:sz w:val="28"/>
          <w:szCs w:val="28"/>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2B7D559">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3.2 </w:t>
      </w:r>
      <w:r>
        <w:rPr>
          <w:rFonts w:hint="eastAsia" w:ascii="宋体" w:hAnsi="宋体" w:eastAsia="宋体" w:cs="宋体"/>
          <w:color w:val="auto"/>
          <w:kern w:val="0"/>
          <w:sz w:val="28"/>
          <w:szCs w:val="28"/>
          <w:lang w:val="zh-CN"/>
        </w:rPr>
        <w:t>乙方应负责培训甲方的技术人员。</w:t>
      </w:r>
    </w:p>
    <w:p w14:paraId="05CA8E83">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3.3 </w:t>
      </w:r>
      <w:r>
        <w:rPr>
          <w:rFonts w:hint="eastAsia" w:ascii="宋体" w:hAnsi="宋体" w:eastAsia="宋体" w:cs="宋体"/>
          <w:color w:val="auto"/>
          <w:kern w:val="0"/>
          <w:sz w:val="28"/>
          <w:szCs w:val="28"/>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64222FC">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4.</w:t>
      </w:r>
      <w:r>
        <w:rPr>
          <w:rFonts w:hint="eastAsia" w:ascii="宋体" w:hAnsi="宋体" w:eastAsia="宋体" w:cs="宋体"/>
          <w:b/>
          <w:bCs/>
          <w:color w:val="auto"/>
          <w:kern w:val="0"/>
          <w:sz w:val="28"/>
          <w:szCs w:val="28"/>
          <w:lang w:val="zh-CN"/>
        </w:rPr>
        <w:t>合同文件和资料</w:t>
      </w:r>
    </w:p>
    <w:p w14:paraId="17259F7D">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4.1 </w:t>
      </w:r>
      <w:r>
        <w:rPr>
          <w:rFonts w:hint="eastAsia" w:ascii="宋体" w:hAnsi="宋体" w:eastAsia="宋体" w:cs="宋体"/>
          <w:color w:val="auto"/>
          <w:kern w:val="0"/>
          <w:sz w:val="28"/>
          <w:szCs w:val="28"/>
          <w:lang w:val="zh-CN"/>
        </w:rPr>
        <w:t>乙方在提供仪器设备时应同时提供中文版相关的技术资料，如目录索引、图纸、操作手册、使用指南、维修指南、服务手册等。</w:t>
      </w:r>
    </w:p>
    <w:p w14:paraId="26AEBD74">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4.2 </w:t>
      </w:r>
      <w:r>
        <w:rPr>
          <w:rFonts w:hint="eastAsia" w:ascii="宋体" w:hAnsi="宋体" w:eastAsia="宋体" w:cs="宋体"/>
          <w:color w:val="auto"/>
          <w:kern w:val="0"/>
          <w:sz w:val="28"/>
          <w:szCs w:val="28"/>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A2EED2A">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5.</w:t>
      </w:r>
      <w:r>
        <w:rPr>
          <w:rFonts w:hint="eastAsia" w:ascii="宋体" w:hAnsi="宋体" w:eastAsia="宋体" w:cs="宋体"/>
          <w:b/>
          <w:bCs/>
          <w:color w:val="auto"/>
          <w:kern w:val="0"/>
          <w:sz w:val="28"/>
          <w:szCs w:val="28"/>
          <w:lang w:val="zh-CN"/>
        </w:rPr>
        <w:t>知识产权</w:t>
      </w:r>
    </w:p>
    <w:p w14:paraId="6D6EDD7D">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5.1 </w:t>
      </w:r>
      <w:r>
        <w:rPr>
          <w:rFonts w:hint="eastAsia" w:ascii="宋体" w:hAnsi="宋体" w:eastAsia="宋体" w:cs="宋体"/>
          <w:color w:val="auto"/>
          <w:kern w:val="0"/>
          <w:sz w:val="28"/>
          <w:szCs w:val="28"/>
          <w:lang w:val="zh-CN"/>
        </w:rPr>
        <w:t>乙方应保证甲方在使用该货物或其任何一部分时不受第三方提出的侵犯专利权、著作权、商标权和工业设计权等的起诉。</w:t>
      </w:r>
    </w:p>
    <w:p w14:paraId="39F25F06">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5.2 </w:t>
      </w:r>
      <w:r>
        <w:rPr>
          <w:rFonts w:hint="eastAsia" w:ascii="宋体" w:hAnsi="宋体" w:eastAsia="宋体" w:cs="宋体"/>
          <w:color w:val="auto"/>
          <w:kern w:val="0"/>
          <w:sz w:val="28"/>
          <w:szCs w:val="28"/>
          <w:lang w:val="zh-CN"/>
        </w:rPr>
        <w:t>任何第三方提出侵权指控，乙方须与第三方交涉并承担由此产生的一切责任、费用和经济赔偿。</w:t>
      </w:r>
    </w:p>
    <w:p w14:paraId="1B6E7184">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5.3 </w:t>
      </w:r>
      <w:r>
        <w:rPr>
          <w:rFonts w:hint="eastAsia" w:ascii="宋体" w:hAnsi="宋体" w:eastAsia="宋体" w:cs="宋体"/>
          <w:color w:val="auto"/>
          <w:kern w:val="0"/>
          <w:sz w:val="28"/>
          <w:szCs w:val="28"/>
          <w:lang w:val="zh-CN"/>
        </w:rPr>
        <w:t>双方应共同遵守国家有关版权、专利、商标等知识产权方面的法律规定，相互尊重对方的知识产权，对本合同内容、对方的技术秘密和商业秘密负有保密责任。如有违反，违约方负相关法律责任。</w:t>
      </w:r>
    </w:p>
    <w:p w14:paraId="41276D2A">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5.4 </w:t>
      </w:r>
      <w:r>
        <w:rPr>
          <w:rFonts w:hint="eastAsia" w:ascii="宋体" w:hAnsi="宋体" w:eastAsia="宋体" w:cs="宋体"/>
          <w:color w:val="auto"/>
          <w:kern w:val="0"/>
          <w:sz w:val="28"/>
          <w:szCs w:val="28"/>
          <w:lang w:val="zh-CN"/>
        </w:rPr>
        <w:t>在本合同生效时已经存在并为各方合法拥有或使用的所有技术、资料和信息的知识产权，仍应属于其各自的原权利人所有或享有，另有约定的除外。</w:t>
      </w:r>
    </w:p>
    <w:p w14:paraId="588EA0D3">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5.5 </w:t>
      </w:r>
      <w:r>
        <w:rPr>
          <w:rFonts w:hint="eastAsia" w:ascii="宋体" w:hAnsi="宋体" w:eastAsia="宋体" w:cs="宋体"/>
          <w:color w:val="auto"/>
          <w:kern w:val="0"/>
          <w:sz w:val="28"/>
          <w:szCs w:val="28"/>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7E6AF40">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6.</w:t>
      </w:r>
      <w:r>
        <w:rPr>
          <w:rFonts w:hint="eastAsia" w:ascii="宋体" w:hAnsi="宋体" w:eastAsia="宋体" w:cs="宋体"/>
          <w:b/>
          <w:bCs/>
          <w:color w:val="auto"/>
          <w:kern w:val="0"/>
          <w:sz w:val="28"/>
          <w:szCs w:val="28"/>
          <w:lang w:val="zh-CN"/>
        </w:rPr>
        <w:t>保密</w:t>
      </w:r>
    </w:p>
    <w:p w14:paraId="78EA5F05">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6.1 </w:t>
      </w:r>
      <w:r>
        <w:rPr>
          <w:rFonts w:hint="eastAsia" w:ascii="宋体" w:hAnsi="宋体" w:eastAsia="宋体" w:cs="宋体"/>
          <w:color w:val="auto"/>
          <w:kern w:val="0"/>
          <w:sz w:val="28"/>
          <w:szCs w:val="28"/>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6EBDA02">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6.2 </w:t>
      </w:r>
      <w:r>
        <w:rPr>
          <w:rFonts w:hint="eastAsia" w:ascii="宋体" w:hAnsi="宋体" w:eastAsia="宋体" w:cs="宋体"/>
          <w:color w:val="auto"/>
          <w:kern w:val="0"/>
          <w:sz w:val="28"/>
          <w:szCs w:val="28"/>
          <w:lang w:val="zh-CN"/>
        </w:rPr>
        <w:t>保密信息指任何一方因履行本合同所知悉的任何以口头、书面、图表或电子形式存在的对方信息，具体包括：</w:t>
      </w:r>
    </w:p>
    <w:p w14:paraId="567F2A44">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6.2.1 </w:t>
      </w:r>
      <w:r>
        <w:rPr>
          <w:rFonts w:hint="eastAsia" w:ascii="宋体" w:hAnsi="宋体" w:eastAsia="宋体" w:cs="宋体"/>
          <w:color w:val="auto"/>
          <w:kern w:val="0"/>
          <w:sz w:val="28"/>
          <w:szCs w:val="28"/>
          <w:lang w:val="zh-CN"/>
        </w:rPr>
        <w:t>任何涉及对方过去、现在或将来的商业计划、规章制度、操作规程、处理手段、财务信息；</w:t>
      </w:r>
    </w:p>
    <w:p w14:paraId="30FEA694">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6.2.2 </w:t>
      </w:r>
      <w:r>
        <w:rPr>
          <w:rFonts w:hint="eastAsia" w:ascii="宋体" w:hAnsi="宋体" w:eastAsia="宋体" w:cs="宋体"/>
          <w:color w:val="auto"/>
          <w:kern w:val="0"/>
          <w:sz w:val="28"/>
          <w:szCs w:val="28"/>
          <w:lang w:val="zh-CN"/>
        </w:rPr>
        <w:t>任何对方的技术措施、技术方案、软件应用及开发，硬件设备的品种、质量、数量、品牌等；</w:t>
      </w:r>
    </w:p>
    <w:p w14:paraId="3DC88D07">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6.2.3 </w:t>
      </w:r>
      <w:r>
        <w:rPr>
          <w:rFonts w:hint="eastAsia" w:ascii="宋体" w:hAnsi="宋体" w:eastAsia="宋体" w:cs="宋体"/>
          <w:color w:val="auto"/>
          <w:kern w:val="0"/>
          <w:sz w:val="28"/>
          <w:szCs w:val="28"/>
          <w:lang w:val="zh-CN"/>
        </w:rPr>
        <w:t>任何对方的技术秘密或专有知识、文件</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、报告、数据、客户软件、流程图、数据库、发明、知识、贸易秘密。</w:t>
      </w:r>
    </w:p>
    <w:p w14:paraId="17B3205E">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6.3 </w:t>
      </w:r>
      <w:r>
        <w:rPr>
          <w:rFonts w:hint="eastAsia" w:ascii="宋体" w:hAnsi="宋体" w:eastAsia="宋体" w:cs="宋体"/>
          <w:color w:val="auto"/>
          <w:kern w:val="0"/>
          <w:sz w:val="28"/>
          <w:szCs w:val="28"/>
          <w:lang w:val="zh-CN"/>
        </w:rPr>
        <w:t>乙方应根据甲方的要求签署相应的保密协议，保密协议与本条款存在不一致的，以保密协议为准。</w:t>
      </w:r>
    </w:p>
    <w:p w14:paraId="4C033E29">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7. </w:t>
      </w:r>
      <w:r>
        <w:rPr>
          <w:rFonts w:hint="eastAsia" w:ascii="宋体" w:hAnsi="宋体" w:eastAsia="宋体" w:cs="宋体"/>
          <w:b/>
          <w:bCs/>
          <w:color w:val="auto"/>
          <w:kern w:val="0"/>
          <w:sz w:val="28"/>
          <w:szCs w:val="28"/>
          <w:lang w:val="zh-CN"/>
        </w:rPr>
        <w:t>质量保证</w:t>
      </w:r>
    </w:p>
    <w:p w14:paraId="43F5ED59">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7.1 </w:t>
      </w:r>
      <w:r>
        <w:rPr>
          <w:rFonts w:hint="eastAsia" w:ascii="宋体" w:hAnsi="宋体" w:eastAsia="宋体" w:cs="宋体"/>
          <w:color w:val="auto"/>
          <w:kern w:val="0"/>
          <w:sz w:val="28"/>
          <w:szCs w:val="28"/>
          <w:lang w:val="zh-CN"/>
        </w:rPr>
        <w:t>货物质量保证</w:t>
      </w:r>
    </w:p>
    <w:p w14:paraId="0FE5188B">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7.1.1 </w:t>
      </w:r>
      <w:r>
        <w:rPr>
          <w:rFonts w:hint="eastAsia" w:ascii="宋体" w:hAnsi="宋体" w:eastAsia="宋体" w:cs="宋体"/>
          <w:color w:val="auto"/>
          <w:kern w:val="0"/>
          <w:sz w:val="28"/>
          <w:szCs w:val="28"/>
          <w:lang w:val="zh-CN"/>
        </w:rPr>
        <w:t>乙方必须保证货物是全新、未使用过的，并完全符合强制性的国家技术质量规范和合同规定的质量、规格、性能和技术规范等的要求。</w:t>
      </w:r>
    </w:p>
    <w:p w14:paraId="7D8F3E65">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7.1.2 </w:t>
      </w:r>
      <w:r>
        <w:rPr>
          <w:rFonts w:hint="eastAsia" w:ascii="宋体" w:hAnsi="宋体" w:eastAsia="宋体" w:cs="宋体"/>
          <w:color w:val="auto"/>
          <w:kern w:val="0"/>
          <w:sz w:val="28"/>
          <w:szCs w:val="28"/>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F5542BB">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7.1.3 </w:t>
      </w:r>
      <w:r>
        <w:rPr>
          <w:rFonts w:hint="eastAsia" w:ascii="宋体" w:hAnsi="宋体" w:eastAsia="宋体" w:cs="宋体"/>
          <w:color w:val="auto"/>
          <w:kern w:val="0"/>
          <w:sz w:val="28"/>
          <w:szCs w:val="28"/>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5D797F0">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7.1.4 </w:t>
      </w:r>
      <w:r>
        <w:rPr>
          <w:rFonts w:hint="eastAsia" w:ascii="宋体" w:hAnsi="宋体" w:eastAsia="宋体" w:cs="宋体"/>
          <w:color w:val="auto"/>
          <w:kern w:val="0"/>
          <w:sz w:val="28"/>
          <w:szCs w:val="28"/>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012EA69">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7.1.5 </w:t>
      </w:r>
      <w:r>
        <w:rPr>
          <w:rFonts w:hint="eastAsia" w:ascii="宋体" w:hAnsi="宋体" w:eastAsia="宋体" w:cs="宋体"/>
          <w:color w:val="auto"/>
          <w:kern w:val="0"/>
          <w:sz w:val="28"/>
          <w:szCs w:val="28"/>
          <w:lang w:val="zh-CN"/>
        </w:rPr>
        <w:t>合同条款下货物的质量保证期自货物通过最终验收起算，合同另行规定除外。</w:t>
      </w:r>
    </w:p>
    <w:p w14:paraId="710841CB">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7.2 </w:t>
      </w:r>
      <w:r>
        <w:rPr>
          <w:rFonts w:hint="eastAsia" w:ascii="宋体" w:hAnsi="宋体" w:eastAsia="宋体" w:cs="宋体"/>
          <w:color w:val="auto"/>
          <w:kern w:val="0"/>
          <w:sz w:val="28"/>
          <w:szCs w:val="28"/>
          <w:lang w:val="zh-CN"/>
        </w:rPr>
        <w:t>辅助服务质量保证</w:t>
      </w:r>
    </w:p>
    <w:p w14:paraId="36702677">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7.2.1 </w:t>
      </w:r>
      <w:r>
        <w:rPr>
          <w:rFonts w:hint="eastAsia" w:ascii="宋体" w:hAnsi="宋体" w:eastAsia="宋体" w:cs="宋体"/>
          <w:color w:val="auto"/>
          <w:kern w:val="0"/>
          <w:sz w:val="28"/>
          <w:szCs w:val="28"/>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44D8999">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7.2.2 </w:t>
      </w:r>
      <w:r>
        <w:rPr>
          <w:rFonts w:hint="eastAsia" w:ascii="宋体" w:hAnsi="宋体" w:eastAsia="宋体" w:cs="宋体"/>
          <w:color w:val="auto"/>
          <w:kern w:val="0"/>
          <w:sz w:val="28"/>
          <w:szCs w:val="28"/>
          <w:lang w:val="zh-CN"/>
        </w:rPr>
        <w:t>乙方应保证合同条款下所提供的服务包括培训、安装指导、单机调试、系统联调和试验等，按合同规定方式进行，并保证不存在因乙方工作人员的过失、错误或疏忽而产生的缺陷。</w:t>
      </w:r>
    </w:p>
    <w:p w14:paraId="0E694382">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8.</w:t>
      </w:r>
      <w:r>
        <w:rPr>
          <w:rFonts w:hint="eastAsia" w:ascii="宋体" w:hAnsi="宋体" w:eastAsia="宋体" w:cs="宋体"/>
          <w:b/>
          <w:bCs/>
          <w:color w:val="auto"/>
          <w:kern w:val="0"/>
          <w:sz w:val="28"/>
          <w:szCs w:val="28"/>
          <w:lang w:val="zh-CN"/>
        </w:rPr>
        <w:t>包装要求</w:t>
      </w:r>
    </w:p>
    <w:p w14:paraId="3481178C">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8.1 </w:t>
      </w:r>
      <w:r>
        <w:rPr>
          <w:rFonts w:hint="eastAsia" w:ascii="宋体" w:hAnsi="宋体" w:eastAsia="宋体" w:cs="宋体"/>
          <w:color w:val="auto"/>
          <w:kern w:val="0"/>
          <w:sz w:val="28"/>
          <w:szCs w:val="28"/>
          <w:lang w:val="zh-CN"/>
        </w:rPr>
        <w:t>除合同另有约定外</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乙方提供的全部货物</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均应采用本行业通用的方式进行包装，且该包装应符合国家有关包装的法律、法规的规定。</w:t>
      </w:r>
    </w:p>
    <w:p w14:paraId="72306762">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8.2 </w:t>
      </w:r>
      <w:r>
        <w:rPr>
          <w:rFonts w:hint="eastAsia" w:ascii="宋体" w:hAnsi="宋体" w:eastAsia="宋体" w:cs="宋体"/>
          <w:color w:val="auto"/>
          <w:kern w:val="0"/>
          <w:sz w:val="28"/>
          <w:szCs w:val="28"/>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2C1C737">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8.3 </w:t>
      </w:r>
      <w:r>
        <w:rPr>
          <w:rFonts w:hint="eastAsia" w:ascii="宋体" w:hAnsi="宋体" w:eastAsia="宋体" w:cs="宋体"/>
          <w:color w:val="auto"/>
          <w:kern w:val="0"/>
          <w:sz w:val="28"/>
          <w:szCs w:val="28"/>
          <w:lang w:val="zh-CN"/>
        </w:rPr>
        <w:t>乙方所提供的货物包装均为出厂时原包装。</w:t>
      </w:r>
    </w:p>
    <w:p w14:paraId="005FF802">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8.4 </w:t>
      </w:r>
      <w:r>
        <w:rPr>
          <w:rFonts w:hint="eastAsia" w:ascii="宋体" w:hAnsi="宋体" w:eastAsia="宋体" w:cs="宋体"/>
          <w:color w:val="auto"/>
          <w:kern w:val="0"/>
          <w:sz w:val="28"/>
          <w:szCs w:val="28"/>
          <w:lang w:val="zh-CN"/>
        </w:rPr>
        <w:t>乙方所提供货物必须附有质量合格证，装箱清单，主机、附件、各种零部件和消耗品，有清楚的与装箱单相对应的名称和编号。</w:t>
      </w:r>
    </w:p>
    <w:p w14:paraId="4C945891">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8.5 </w:t>
      </w:r>
      <w:r>
        <w:rPr>
          <w:rFonts w:hint="eastAsia" w:ascii="宋体" w:hAnsi="宋体" w:eastAsia="宋体" w:cs="宋体"/>
          <w:color w:val="auto"/>
          <w:kern w:val="0"/>
          <w:sz w:val="28"/>
          <w:szCs w:val="28"/>
          <w:lang w:val="zh-CN"/>
        </w:rPr>
        <w:t>货物运输中的运输费用和保险费用均由乙方承担。运输过程中的一切损失、损坏均由乙方负责。</w:t>
      </w:r>
    </w:p>
    <w:p w14:paraId="43CDED79">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9.</w:t>
      </w:r>
      <w:r>
        <w:rPr>
          <w:rFonts w:hint="eastAsia" w:ascii="宋体" w:hAnsi="宋体" w:eastAsia="宋体" w:cs="宋体"/>
          <w:b/>
          <w:bCs/>
          <w:color w:val="auto"/>
          <w:kern w:val="0"/>
          <w:sz w:val="28"/>
          <w:szCs w:val="28"/>
          <w:lang w:val="zh-CN"/>
        </w:rPr>
        <w:t>价格</w:t>
      </w:r>
    </w:p>
    <w:p w14:paraId="6AEF85FA">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9.1 </w:t>
      </w:r>
      <w:r>
        <w:rPr>
          <w:rFonts w:hint="eastAsia" w:ascii="宋体" w:hAnsi="宋体" w:eastAsia="宋体" w:cs="宋体"/>
          <w:color w:val="auto"/>
          <w:kern w:val="0"/>
          <w:sz w:val="28"/>
          <w:szCs w:val="28"/>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050ABDA">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9.2 </w:t>
      </w:r>
      <w:r>
        <w:rPr>
          <w:rFonts w:hint="eastAsia" w:ascii="宋体" w:hAnsi="宋体" w:eastAsia="宋体" w:cs="宋体"/>
          <w:color w:val="auto"/>
          <w:kern w:val="0"/>
          <w:sz w:val="28"/>
          <w:szCs w:val="28"/>
          <w:lang w:val="zh-CN"/>
        </w:rPr>
        <w:t>本合同价格为固定价格，包括了乙方履行合同全过程产生的所有成本和费用以及乙方应承担的一切税费。</w:t>
      </w:r>
    </w:p>
    <w:p w14:paraId="393D8078">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9.3 </w:t>
      </w:r>
      <w:r>
        <w:rPr>
          <w:rFonts w:hint="eastAsia" w:ascii="宋体" w:hAnsi="宋体" w:eastAsia="宋体" w:cs="宋体"/>
          <w:color w:val="auto"/>
          <w:kern w:val="0"/>
          <w:sz w:val="28"/>
          <w:szCs w:val="28"/>
          <w:lang w:val="zh-CN"/>
        </w:rPr>
        <w:t>检验费用</w:t>
      </w:r>
    </w:p>
    <w:p w14:paraId="5D66A6FB">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9.3.1 </w:t>
      </w:r>
      <w:r>
        <w:rPr>
          <w:rFonts w:hint="eastAsia" w:ascii="宋体" w:hAnsi="宋体" w:eastAsia="宋体" w:cs="宋体"/>
          <w:color w:val="auto"/>
          <w:kern w:val="0"/>
          <w:sz w:val="28"/>
          <w:szCs w:val="28"/>
          <w:lang w:val="zh-CN"/>
        </w:rPr>
        <w:t>乙方必须负担本条款下属于乙方负责的检验、测试、调试、试运行和验收的所有费用，并负责乙方派往买方组织的检验、测试和验收人员的所有费用。</w:t>
      </w:r>
    </w:p>
    <w:p w14:paraId="777CD8A3">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9.3.2 </w:t>
      </w:r>
      <w:r>
        <w:rPr>
          <w:rFonts w:hint="eastAsia" w:ascii="宋体" w:hAnsi="宋体" w:eastAsia="宋体" w:cs="宋体"/>
          <w:color w:val="auto"/>
          <w:kern w:val="0"/>
          <w:sz w:val="28"/>
          <w:szCs w:val="28"/>
          <w:lang w:val="zh-CN"/>
        </w:rPr>
        <w:t>甲方按合同计划参加在乙方工厂所在地检验、测试和验收的费用全部由乙方负责并已包含在合同总价中。</w:t>
      </w:r>
    </w:p>
    <w:p w14:paraId="1D2004E2">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9.3.3 </w:t>
      </w:r>
      <w:r>
        <w:rPr>
          <w:rFonts w:hint="eastAsia" w:ascii="宋体" w:hAnsi="宋体" w:eastAsia="宋体" w:cs="宋体"/>
          <w:color w:val="auto"/>
          <w:kern w:val="0"/>
          <w:sz w:val="28"/>
          <w:szCs w:val="28"/>
          <w:lang w:val="zh-CN"/>
        </w:rPr>
        <w:t>甲方检验人员已到卖方所在地，测试无法依照合同进行，</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而引起甲方人员延长逗留时间，所有由此产生的包括甲方人员在内的直接费用及成本由乙方承担。</w:t>
      </w:r>
    </w:p>
    <w:p w14:paraId="6056B099">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10.</w:t>
      </w:r>
      <w:r>
        <w:rPr>
          <w:rFonts w:hint="eastAsia" w:ascii="宋体" w:hAnsi="宋体" w:eastAsia="宋体" w:cs="宋体"/>
          <w:b/>
          <w:bCs/>
          <w:color w:val="auto"/>
          <w:kern w:val="0"/>
          <w:sz w:val="28"/>
          <w:szCs w:val="28"/>
          <w:lang w:val="zh-CN"/>
        </w:rPr>
        <w:t>交货方式及交货日期</w:t>
      </w:r>
    </w:p>
    <w:p w14:paraId="47DADFBA">
      <w:pPr>
        <w:autoSpaceDE w:val="0"/>
        <w:autoSpaceDN w:val="0"/>
        <w:spacing w:line="360" w:lineRule="auto"/>
        <w:ind w:firstLine="48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交货方式：现场交货，乙方负责办理运输和保险，将货物运抵现场。</w:t>
      </w:r>
    </w:p>
    <w:p w14:paraId="6F1E8F8E">
      <w:pPr>
        <w:autoSpaceDE w:val="0"/>
        <w:autoSpaceDN w:val="0"/>
        <w:spacing w:line="360" w:lineRule="auto"/>
        <w:ind w:firstLine="48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交货期应根据产品的特点实事求是填写。特殊产品交货期需说明。</w:t>
      </w:r>
    </w:p>
    <w:p w14:paraId="4CF41234">
      <w:pPr>
        <w:autoSpaceDE w:val="0"/>
        <w:autoSpaceDN w:val="0"/>
        <w:spacing w:line="360" w:lineRule="auto"/>
        <w:ind w:firstLine="480"/>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交货日期：所有货物运抵现场并经双方开箱验收合格之日。</w:t>
      </w:r>
    </w:p>
    <w:p w14:paraId="1388CE63">
      <w:pPr>
        <w:autoSpaceDE w:val="0"/>
        <w:autoSpaceDN w:val="0"/>
        <w:spacing w:line="360" w:lineRule="auto"/>
        <w:rPr>
          <w:rFonts w:hint="eastAsia" w:ascii="宋体" w:hAnsi="宋体" w:eastAsia="宋体" w:cs="宋体"/>
          <w:color w:val="auto"/>
          <w:kern w:val="0"/>
          <w:sz w:val="28"/>
          <w:szCs w:val="28"/>
          <w:lang w:val="zh-CN"/>
        </w:rPr>
      </w:pPr>
      <w:r>
        <w:rPr>
          <w:rFonts w:hint="eastAsia" w:ascii="宋体" w:hAnsi="宋体" w:eastAsia="宋体" w:cs="宋体"/>
          <w:b/>
          <w:bCs/>
          <w:color w:val="auto"/>
          <w:kern w:val="0"/>
          <w:sz w:val="28"/>
          <w:szCs w:val="28"/>
          <w:lang w:val="zh-CN"/>
        </w:rPr>
        <w:t>11.检验和验收</w:t>
      </w:r>
    </w:p>
    <w:p w14:paraId="7629CE2A">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11.1 </w:t>
      </w:r>
      <w:r>
        <w:rPr>
          <w:rFonts w:hint="eastAsia" w:ascii="宋体" w:hAnsi="宋体" w:eastAsia="宋体" w:cs="宋体"/>
          <w:color w:val="auto"/>
          <w:kern w:val="0"/>
          <w:sz w:val="28"/>
          <w:szCs w:val="28"/>
          <w:lang w:val="zh-CN"/>
        </w:rPr>
        <w:t>开箱验收</w:t>
      </w:r>
    </w:p>
    <w:p w14:paraId="2A809918">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11.1.1 </w:t>
      </w:r>
      <w:r>
        <w:rPr>
          <w:rFonts w:hint="eastAsia" w:ascii="宋体" w:hAnsi="宋体" w:eastAsia="宋体" w:cs="宋体"/>
          <w:color w:val="auto"/>
          <w:kern w:val="0"/>
          <w:sz w:val="28"/>
          <w:szCs w:val="28"/>
          <w:lang w:val="zh-CN"/>
        </w:rPr>
        <w:t>货物运抵现场后，双方应及时开箱验收，并制作验收记录，以确认与本合同约定的数量、型号等是否一致。</w:t>
      </w:r>
    </w:p>
    <w:p w14:paraId="7DD464FA">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11.1.2 </w:t>
      </w:r>
      <w:r>
        <w:rPr>
          <w:rFonts w:hint="eastAsia" w:ascii="宋体" w:hAnsi="宋体" w:eastAsia="宋体" w:cs="宋体"/>
          <w:color w:val="auto"/>
          <w:kern w:val="0"/>
          <w:sz w:val="28"/>
          <w:szCs w:val="28"/>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F092E78">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11.1.3 </w:t>
      </w:r>
      <w:r>
        <w:rPr>
          <w:rFonts w:hint="eastAsia" w:ascii="宋体" w:hAnsi="宋体" w:eastAsia="宋体" w:cs="宋体"/>
          <w:color w:val="auto"/>
          <w:kern w:val="0"/>
          <w:sz w:val="28"/>
          <w:szCs w:val="28"/>
          <w:lang w:val="zh-CN"/>
        </w:rPr>
        <w:t>开箱验收中如发现货物的数量、规格与合同约定不符，甲方有权拒收货物，乙方应及时按甲方要求免费对拒收货物采取更换或其他必要的补救措施，直至开箱验收合格，方视为乙方完成交货。</w:t>
      </w:r>
    </w:p>
    <w:p w14:paraId="082437C4">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11.2 </w:t>
      </w:r>
      <w:r>
        <w:rPr>
          <w:rFonts w:hint="eastAsia" w:ascii="宋体" w:hAnsi="宋体" w:eastAsia="宋体" w:cs="宋体"/>
          <w:color w:val="auto"/>
          <w:kern w:val="0"/>
          <w:sz w:val="28"/>
          <w:szCs w:val="28"/>
          <w:lang w:val="zh-CN"/>
        </w:rPr>
        <w:t>检验验收</w:t>
      </w:r>
    </w:p>
    <w:p w14:paraId="20A5F812">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11.2.1 </w:t>
      </w:r>
      <w:r>
        <w:rPr>
          <w:rFonts w:hint="eastAsia" w:ascii="宋体" w:hAnsi="宋体" w:eastAsia="宋体" w:cs="宋体"/>
          <w:color w:val="auto"/>
          <w:kern w:val="0"/>
          <w:sz w:val="28"/>
          <w:szCs w:val="28"/>
          <w:lang w:val="zh-CN"/>
        </w:rPr>
        <w:t>交货完成后，乙方应及时组装、调试、试运行，按照合同专用条款规定的试运行完成后，双方及时组织对货物检验验收。合同双方均须派人参加合同要求双方参加的试验、检验。</w:t>
      </w:r>
    </w:p>
    <w:p w14:paraId="419E2729">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11.2.2 </w:t>
      </w:r>
      <w:r>
        <w:rPr>
          <w:rFonts w:hint="eastAsia" w:ascii="宋体" w:hAnsi="宋体" w:eastAsia="宋体" w:cs="宋体"/>
          <w:color w:val="auto"/>
          <w:kern w:val="0"/>
          <w:sz w:val="28"/>
          <w:szCs w:val="28"/>
          <w:lang w:val="zh-CN"/>
        </w:rPr>
        <w:t>在具体实施合同规定的检验验收之前，乙方需提前提交相应的测试计划（包括测试程序、测试内容和检验标准、试验时间安排等）供甲方确认。</w:t>
      </w:r>
    </w:p>
    <w:p w14:paraId="74EFE35C">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11.2.3 </w:t>
      </w:r>
      <w:r>
        <w:rPr>
          <w:rFonts w:hint="eastAsia" w:ascii="宋体" w:hAnsi="宋体" w:eastAsia="宋体" w:cs="宋体"/>
          <w:color w:val="auto"/>
          <w:kern w:val="0"/>
          <w:sz w:val="28"/>
          <w:szCs w:val="28"/>
          <w:lang w:val="zh-CN"/>
        </w:rPr>
        <w:t>除需甲方确认的试验验收外，乙方还应对所有检验验收测试的结果、步骤、原始数据等作妥善记录。如甲方要求，乙方应提供这些记录给买方。</w:t>
      </w:r>
    </w:p>
    <w:p w14:paraId="429FCA38">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11.2.4 </w:t>
      </w:r>
      <w:r>
        <w:rPr>
          <w:rFonts w:hint="eastAsia" w:ascii="宋体" w:hAnsi="宋体" w:eastAsia="宋体" w:cs="宋体"/>
          <w:color w:val="auto"/>
          <w:kern w:val="0"/>
          <w:sz w:val="28"/>
          <w:szCs w:val="28"/>
          <w:lang w:val="zh-CN"/>
        </w:rPr>
        <w:t>检验测试出现全部或部分未达到本合同所约定的技术指标，甲方有权选择下列任一处理方式：</w:t>
      </w:r>
    </w:p>
    <w:p w14:paraId="46E52E3E">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a.</w:t>
      </w:r>
      <w:r>
        <w:rPr>
          <w:rFonts w:hint="eastAsia" w:ascii="宋体" w:hAnsi="宋体" w:eastAsia="宋体" w:cs="宋体"/>
          <w:color w:val="auto"/>
          <w:kern w:val="0"/>
          <w:sz w:val="28"/>
          <w:szCs w:val="28"/>
          <w:lang w:val="zh-CN"/>
        </w:rPr>
        <w:t>重新测试直至合格为止；</w:t>
      </w:r>
    </w:p>
    <w:p w14:paraId="70AF363C">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b.</w:t>
      </w:r>
      <w:r>
        <w:rPr>
          <w:rFonts w:hint="eastAsia" w:ascii="宋体" w:hAnsi="宋体" w:eastAsia="宋体" w:cs="宋体"/>
          <w:color w:val="auto"/>
          <w:kern w:val="0"/>
          <w:sz w:val="28"/>
          <w:szCs w:val="28"/>
          <w:lang w:val="zh-CN"/>
        </w:rPr>
        <w:t>要求乙方对货物进行免费更换，然后重新测试直至合格为止；</w:t>
      </w:r>
    </w:p>
    <w:p w14:paraId="6D612D20">
      <w:pPr>
        <w:autoSpaceDE w:val="0"/>
        <w:autoSpaceDN w:val="0"/>
        <w:spacing w:line="360" w:lineRule="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无论选择何种方式，甲方因此而发生的因卖方原因引起的所有费用均由乙方负担。</w:t>
      </w:r>
    </w:p>
    <w:p w14:paraId="03C9F437">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11.3 </w:t>
      </w:r>
      <w:r>
        <w:rPr>
          <w:rFonts w:hint="eastAsia" w:ascii="宋体" w:hAnsi="宋体" w:eastAsia="宋体" w:cs="宋体"/>
          <w:color w:val="auto"/>
          <w:kern w:val="0"/>
          <w:sz w:val="28"/>
          <w:szCs w:val="28"/>
          <w:lang w:val="zh-CN"/>
        </w:rPr>
        <w:t>使用过程检验</w:t>
      </w:r>
    </w:p>
    <w:p w14:paraId="116B16EA">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11.3.1 </w:t>
      </w:r>
      <w:r>
        <w:rPr>
          <w:rFonts w:hint="eastAsia" w:ascii="宋体" w:hAnsi="宋体" w:eastAsia="宋体" w:cs="宋体"/>
          <w:color w:val="auto"/>
          <w:kern w:val="0"/>
          <w:sz w:val="28"/>
          <w:szCs w:val="28"/>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64B7CD4">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11.3.2 </w:t>
      </w:r>
      <w:r>
        <w:rPr>
          <w:rFonts w:hint="eastAsia" w:ascii="宋体" w:hAnsi="宋体" w:eastAsia="宋体" w:cs="宋体"/>
          <w:color w:val="auto"/>
          <w:kern w:val="0"/>
          <w:sz w:val="28"/>
          <w:szCs w:val="28"/>
          <w:lang w:val="zh-CN"/>
        </w:rPr>
        <w:t>如果合同双方对乙方提供的上述试验结果报告的解释有分歧，双方须于出现分歧后</w:t>
      </w:r>
      <w:r>
        <w:rPr>
          <w:rFonts w:hint="eastAsia" w:ascii="宋体" w:hAnsi="宋体" w:eastAsia="宋体" w:cs="宋体"/>
          <w:color w:val="auto"/>
          <w:kern w:val="0"/>
          <w:sz w:val="28"/>
          <w:szCs w:val="28"/>
        </w:rPr>
        <w:t>10</w:t>
      </w:r>
      <w:r>
        <w:rPr>
          <w:rFonts w:hint="eastAsia" w:ascii="宋体" w:hAnsi="宋体" w:eastAsia="宋体" w:cs="宋体"/>
          <w:color w:val="auto"/>
          <w:kern w:val="0"/>
          <w:sz w:val="28"/>
          <w:szCs w:val="28"/>
          <w:lang w:val="zh-CN"/>
        </w:rPr>
        <w:t>天内给对方声明，以陈述己方的观点。声明须附有关证据。分歧应通过协商解决。</w:t>
      </w:r>
    </w:p>
    <w:p w14:paraId="10170481">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12.</w:t>
      </w:r>
      <w:r>
        <w:rPr>
          <w:rFonts w:hint="eastAsia" w:ascii="宋体" w:hAnsi="宋体" w:eastAsia="宋体" w:cs="宋体"/>
          <w:b/>
          <w:bCs/>
          <w:color w:val="auto"/>
          <w:kern w:val="0"/>
          <w:sz w:val="28"/>
          <w:szCs w:val="28"/>
          <w:lang w:val="zh-CN"/>
        </w:rPr>
        <w:t>付款方法和条件</w:t>
      </w:r>
    </w:p>
    <w:p w14:paraId="4CD757C6">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本合同条款下的付款方法和条件在“青海省政府采购项目合同书”中具体规定。</w:t>
      </w:r>
    </w:p>
    <w:p w14:paraId="2A521DAD">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13.</w:t>
      </w:r>
      <w:r>
        <w:rPr>
          <w:rFonts w:hint="eastAsia" w:ascii="宋体" w:hAnsi="宋体" w:eastAsia="宋体" w:cs="宋体"/>
          <w:b/>
          <w:bCs/>
          <w:color w:val="auto"/>
          <w:kern w:val="0"/>
          <w:sz w:val="28"/>
          <w:szCs w:val="28"/>
          <w:lang w:val="zh-CN"/>
        </w:rPr>
        <w:t>履约保证金</w:t>
      </w:r>
    </w:p>
    <w:p w14:paraId="2C9B9A9F">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13.1 </w:t>
      </w:r>
      <w:r>
        <w:rPr>
          <w:rFonts w:hint="eastAsia" w:ascii="宋体" w:hAnsi="宋体" w:eastAsia="宋体" w:cs="宋体"/>
          <w:color w:val="auto"/>
          <w:kern w:val="0"/>
          <w:sz w:val="28"/>
          <w:szCs w:val="28"/>
          <w:lang w:val="zh-CN"/>
        </w:rPr>
        <w:t>乙方应在合同签订前，按招标文件第</w:t>
      </w:r>
      <w:r>
        <w:rPr>
          <w:rFonts w:hint="eastAsia" w:ascii="宋体" w:hAnsi="宋体" w:eastAsia="宋体" w:cs="宋体"/>
          <w:color w:val="auto"/>
          <w:kern w:val="0"/>
          <w:sz w:val="28"/>
          <w:szCs w:val="28"/>
        </w:rPr>
        <w:t>二</w:t>
      </w:r>
      <w:r>
        <w:rPr>
          <w:rFonts w:hint="eastAsia" w:ascii="宋体" w:hAnsi="宋体" w:eastAsia="宋体" w:cs="宋体"/>
          <w:color w:val="auto"/>
          <w:kern w:val="0"/>
          <w:sz w:val="28"/>
          <w:szCs w:val="28"/>
          <w:lang w:val="zh-CN"/>
        </w:rPr>
        <w:t>部分“九 授予合同”中第23.2项的约定提交履约保证金。</w:t>
      </w:r>
    </w:p>
    <w:p w14:paraId="7B67315A">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13.2 </w:t>
      </w:r>
      <w:r>
        <w:rPr>
          <w:rFonts w:hint="eastAsia" w:ascii="宋体" w:hAnsi="宋体" w:eastAsia="宋体" w:cs="宋体"/>
          <w:color w:val="auto"/>
          <w:kern w:val="0"/>
          <w:sz w:val="28"/>
          <w:szCs w:val="28"/>
          <w:lang w:val="zh-CN"/>
        </w:rPr>
        <w:t>履约保证金用于补偿甲方因乙方不能履行其合同义务而蒙受的损失。</w:t>
      </w:r>
    </w:p>
    <w:p w14:paraId="18729D57">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13.3 </w:t>
      </w:r>
      <w:r>
        <w:rPr>
          <w:rFonts w:hint="eastAsia" w:ascii="宋体" w:hAnsi="宋体" w:eastAsia="宋体" w:cs="宋体"/>
          <w:color w:val="auto"/>
          <w:kern w:val="0"/>
          <w:sz w:val="28"/>
          <w:szCs w:val="28"/>
          <w:lang w:val="zh-CN"/>
        </w:rPr>
        <w:t>履约保证金应使用本合同货币，按下述方式之一提交（招标文件中另有约定的除外）：</w:t>
      </w:r>
    </w:p>
    <w:p w14:paraId="2015362B">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13.3.1 </w:t>
      </w:r>
      <w:r>
        <w:rPr>
          <w:rFonts w:hint="eastAsia" w:ascii="宋体" w:hAnsi="宋体" w:eastAsia="宋体" w:cs="宋体"/>
          <w:color w:val="auto"/>
          <w:kern w:val="0"/>
          <w:sz w:val="28"/>
          <w:szCs w:val="28"/>
          <w:lang w:val="zh-CN"/>
        </w:rPr>
        <w:t>甲方可接受的在中华人民共和国注册和营业的银行出具的履约保函；</w:t>
      </w:r>
    </w:p>
    <w:p w14:paraId="687DFA46">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13.3.2 </w:t>
      </w:r>
      <w:r>
        <w:rPr>
          <w:rFonts w:hint="eastAsia" w:ascii="宋体" w:hAnsi="宋体" w:eastAsia="宋体" w:cs="宋体"/>
          <w:color w:val="auto"/>
          <w:kern w:val="0"/>
          <w:sz w:val="28"/>
          <w:szCs w:val="28"/>
          <w:lang w:val="zh-CN"/>
        </w:rPr>
        <w:t>支票或汇票。</w:t>
      </w:r>
    </w:p>
    <w:p w14:paraId="7B277217">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13.4 </w:t>
      </w:r>
      <w:r>
        <w:rPr>
          <w:rFonts w:hint="eastAsia" w:ascii="宋体" w:hAnsi="宋体" w:eastAsia="宋体" w:cs="宋体"/>
          <w:color w:val="auto"/>
          <w:kern w:val="0"/>
          <w:sz w:val="28"/>
          <w:szCs w:val="28"/>
          <w:lang w:val="zh-CN"/>
        </w:rPr>
        <w:t>乙方未能按合同规定履行其义务，甲方有权从履约保证金中取得补偿。货物验收合格后，甲方将履约保证金退还乙方或转为质量保证金。</w:t>
      </w:r>
    </w:p>
    <w:p w14:paraId="2B017EAD">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14.</w:t>
      </w:r>
      <w:r>
        <w:rPr>
          <w:rFonts w:hint="eastAsia" w:ascii="宋体" w:hAnsi="宋体" w:eastAsia="宋体" w:cs="宋体"/>
          <w:b/>
          <w:bCs/>
          <w:color w:val="auto"/>
          <w:kern w:val="0"/>
          <w:sz w:val="28"/>
          <w:szCs w:val="28"/>
          <w:lang w:val="zh-CN"/>
        </w:rPr>
        <w:t>索赔</w:t>
      </w:r>
    </w:p>
    <w:p w14:paraId="4C9B93F6">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14.1 </w:t>
      </w:r>
      <w:r>
        <w:rPr>
          <w:rFonts w:hint="eastAsia" w:ascii="宋体" w:hAnsi="宋体" w:eastAsia="宋体" w:cs="宋体"/>
          <w:color w:val="auto"/>
          <w:kern w:val="0"/>
          <w:sz w:val="28"/>
          <w:szCs w:val="28"/>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867AAEB">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14.2 </w:t>
      </w:r>
      <w:r>
        <w:rPr>
          <w:rFonts w:hint="eastAsia" w:ascii="宋体" w:hAnsi="宋体" w:eastAsia="宋体" w:cs="宋体"/>
          <w:color w:val="auto"/>
          <w:kern w:val="0"/>
          <w:sz w:val="28"/>
          <w:szCs w:val="28"/>
          <w:lang w:val="zh-CN"/>
        </w:rPr>
        <w:t>在履约保证期和检验期内，乙方对甲方提出的索赔负有责任，乙方应按照甲方同意的下列一种或多种方式解决索赔事宜：</w:t>
      </w:r>
    </w:p>
    <w:p w14:paraId="2D95462E">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14.2.1 </w:t>
      </w:r>
      <w:r>
        <w:rPr>
          <w:rFonts w:hint="eastAsia" w:ascii="宋体" w:hAnsi="宋体" w:eastAsia="宋体" w:cs="宋体"/>
          <w:color w:val="auto"/>
          <w:kern w:val="0"/>
          <w:sz w:val="28"/>
          <w:szCs w:val="28"/>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2C8F875">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14.2.2 </w:t>
      </w:r>
      <w:r>
        <w:rPr>
          <w:rFonts w:hint="eastAsia" w:ascii="宋体" w:hAnsi="宋体" w:eastAsia="宋体" w:cs="宋体"/>
          <w:color w:val="auto"/>
          <w:kern w:val="0"/>
          <w:sz w:val="28"/>
          <w:szCs w:val="28"/>
          <w:lang w:val="zh-CN"/>
        </w:rPr>
        <w:t>根据货物低劣程度、损坏程度以及甲方所遭受损失的数额，经甲乙双方商定降低货物的价格，或由有资质的中介机构评估，以降低后的价格或评估价格为准。</w:t>
      </w:r>
    </w:p>
    <w:p w14:paraId="7D323B97">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14.2.3 </w:t>
      </w:r>
      <w:r>
        <w:rPr>
          <w:rFonts w:hint="eastAsia" w:ascii="宋体" w:hAnsi="宋体" w:eastAsia="宋体" w:cs="宋体"/>
          <w:color w:val="auto"/>
          <w:kern w:val="0"/>
          <w:sz w:val="28"/>
          <w:szCs w:val="28"/>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8CF91A2">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14.3 </w:t>
      </w:r>
      <w:r>
        <w:rPr>
          <w:rFonts w:hint="eastAsia" w:ascii="宋体" w:hAnsi="宋体" w:eastAsia="宋体" w:cs="宋体"/>
          <w:color w:val="auto"/>
          <w:kern w:val="0"/>
          <w:sz w:val="28"/>
          <w:szCs w:val="28"/>
          <w:lang w:val="zh-CN"/>
        </w:rPr>
        <w:t>乙方收到甲方发出的索赔通知之日起</w:t>
      </w:r>
      <w:r>
        <w:rPr>
          <w:rFonts w:hint="eastAsia" w:ascii="宋体" w:hAnsi="宋体" w:eastAsia="宋体" w:cs="宋体"/>
          <w:color w:val="auto"/>
          <w:kern w:val="0"/>
          <w:sz w:val="28"/>
          <w:szCs w:val="28"/>
        </w:rPr>
        <w:t>5</w:t>
      </w:r>
      <w:r>
        <w:rPr>
          <w:rFonts w:hint="eastAsia" w:ascii="宋体" w:hAnsi="宋体" w:eastAsia="宋体" w:cs="宋体"/>
          <w:color w:val="auto"/>
          <w:kern w:val="0"/>
          <w:sz w:val="28"/>
          <w:szCs w:val="28"/>
          <w:lang w:val="zh-CN"/>
        </w:rPr>
        <w:t>个工作日内未作答复的，甲方可从合同款或履约保证金中扣回索赔金额，如金额不足以补偿索赔金额，乙方应补足差额部分。</w:t>
      </w:r>
    </w:p>
    <w:p w14:paraId="2E7E25C0">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15.</w:t>
      </w:r>
      <w:r>
        <w:rPr>
          <w:rFonts w:hint="eastAsia" w:ascii="宋体" w:hAnsi="宋体" w:eastAsia="宋体" w:cs="宋体"/>
          <w:b/>
          <w:bCs/>
          <w:color w:val="auto"/>
          <w:kern w:val="0"/>
          <w:sz w:val="28"/>
          <w:szCs w:val="28"/>
          <w:lang w:val="zh-CN"/>
        </w:rPr>
        <w:t>迟延交货</w:t>
      </w:r>
    </w:p>
    <w:p w14:paraId="0CDDF404">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15.1 </w:t>
      </w:r>
      <w:r>
        <w:rPr>
          <w:rFonts w:hint="eastAsia" w:ascii="宋体" w:hAnsi="宋体" w:eastAsia="宋体" w:cs="宋体"/>
          <w:color w:val="auto"/>
          <w:kern w:val="0"/>
          <w:sz w:val="28"/>
          <w:szCs w:val="28"/>
          <w:lang w:val="zh-CN"/>
        </w:rPr>
        <w:t>乙方应按照合同约定的时间交货和提供服务。</w:t>
      </w:r>
    </w:p>
    <w:p w14:paraId="742E7F34">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15.2 </w:t>
      </w:r>
      <w:r>
        <w:rPr>
          <w:rFonts w:hint="eastAsia" w:ascii="宋体" w:hAnsi="宋体" w:eastAsia="宋体" w:cs="宋体"/>
          <w:color w:val="auto"/>
          <w:kern w:val="0"/>
          <w:sz w:val="28"/>
          <w:szCs w:val="28"/>
          <w:lang w:val="zh-CN"/>
        </w:rPr>
        <w:t>除不可抗力因素外，乙方迟延交货，甲方有权提出违约损失赔偿或解除合同。</w:t>
      </w:r>
    </w:p>
    <w:p w14:paraId="4531D3F3">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15.3 </w:t>
      </w:r>
      <w:r>
        <w:rPr>
          <w:rFonts w:hint="eastAsia" w:ascii="宋体" w:hAnsi="宋体" w:eastAsia="宋体" w:cs="宋体"/>
          <w:color w:val="auto"/>
          <w:kern w:val="0"/>
          <w:sz w:val="28"/>
          <w:szCs w:val="28"/>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FB3AD4E">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16.</w:t>
      </w:r>
      <w:r>
        <w:rPr>
          <w:rFonts w:hint="eastAsia" w:ascii="宋体" w:hAnsi="宋体" w:eastAsia="宋体" w:cs="宋体"/>
          <w:b/>
          <w:bCs/>
          <w:color w:val="auto"/>
          <w:kern w:val="0"/>
          <w:sz w:val="28"/>
          <w:szCs w:val="28"/>
          <w:lang w:val="zh-CN"/>
        </w:rPr>
        <w:t>违约赔偿</w:t>
      </w:r>
    </w:p>
    <w:p w14:paraId="38982D31">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除不可抗力因素外，乙方没有按照合同规定的时间交货和提供服务，甲方可要求乙方支付违约金。违约金每日按合同总价款的千分之五计收。</w:t>
      </w:r>
    </w:p>
    <w:p w14:paraId="14003BB7">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17.</w:t>
      </w:r>
      <w:r>
        <w:rPr>
          <w:rFonts w:hint="eastAsia" w:ascii="宋体" w:hAnsi="宋体" w:eastAsia="宋体" w:cs="宋体"/>
          <w:b/>
          <w:bCs/>
          <w:color w:val="auto"/>
          <w:kern w:val="0"/>
          <w:sz w:val="28"/>
          <w:szCs w:val="28"/>
          <w:lang w:val="zh-CN"/>
        </w:rPr>
        <w:t>不可抗力</w:t>
      </w:r>
    </w:p>
    <w:p w14:paraId="25908FB4">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17.1 </w:t>
      </w:r>
      <w:r>
        <w:rPr>
          <w:rFonts w:hint="eastAsia" w:ascii="宋体" w:hAnsi="宋体" w:eastAsia="宋体" w:cs="宋体"/>
          <w:color w:val="auto"/>
          <w:kern w:val="0"/>
          <w:sz w:val="28"/>
          <w:szCs w:val="28"/>
          <w:lang w:val="zh-CN"/>
        </w:rPr>
        <w:t>双方中任何一方遭遇法律规定的不可抗力，致使合同履行受阻时，履行合同的期限应予延长，延长的期限应相当于不可抗力所影响的时间。</w:t>
      </w:r>
    </w:p>
    <w:p w14:paraId="2A367045">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17.2 </w:t>
      </w:r>
      <w:r>
        <w:rPr>
          <w:rFonts w:hint="eastAsia" w:ascii="宋体" w:hAnsi="宋体" w:eastAsia="宋体" w:cs="宋体"/>
          <w:color w:val="auto"/>
          <w:kern w:val="0"/>
          <w:sz w:val="28"/>
          <w:szCs w:val="28"/>
          <w:lang w:val="zh-CN"/>
        </w:rPr>
        <w:t>受事故影响的一方应在不可抗力的事故发生后以书面形式通知另一方。</w:t>
      </w:r>
    </w:p>
    <w:p w14:paraId="7797B055">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17.3 </w:t>
      </w:r>
      <w:r>
        <w:rPr>
          <w:rFonts w:hint="eastAsia" w:ascii="宋体" w:hAnsi="宋体" w:eastAsia="宋体" w:cs="宋体"/>
          <w:color w:val="auto"/>
          <w:kern w:val="0"/>
          <w:sz w:val="28"/>
          <w:szCs w:val="28"/>
          <w:lang w:val="zh-CN"/>
        </w:rPr>
        <w:t>不可抗力使合同的某些内容有变更必要的，双方应通过协商达成进一步履行合同的协议，因不可抗力致使合同不能履行的，合同终止。</w:t>
      </w:r>
    </w:p>
    <w:p w14:paraId="2C6F86AB">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18.</w:t>
      </w:r>
      <w:r>
        <w:rPr>
          <w:rFonts w:hint="eastAsia" w:ascii="宋体" w:hAnsi="宋体" w:eastAsia="宋体" w:cs="宋体"/>
          <w:b/>
          <w:bCs/>
          <w:color w:val="auto"/>
          <w:kern w:val="0"/>
          <w:sz w:val="28"/>
          <w:szCs w:val="28"/>
          <w:lang w:val="zh-CN"/>
        </w:rPr>
        <w:t>税费</w:t>
      </w:r>
    </w:p>
    <w:p w14:paraId="6CEF171E">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与本合同有关的一切税费均由乙方承担。</w:t>
      </w:r>
    </w:p>
    <w:p w14:paraId="4EAE0AB8">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19.</w:t>
      </w:r>
      <w:r>
        <w:rPr>
          <w:rFonts w:hint="eastAsia" w:ascii="宋体" w:hAnsi="宋体" w:eastAsia="宋体" w:cs="宋体"/>
          <w:b/>
          <w:bCs/>
          <w:color w:val="auto"/>
          <w:kern w:val="0"/>
          <w:sz w:val="28"/>
          <w:szCs w:val="28"/>
          <w:lang w:val="zh-CN"/>
        </w:rPr>
        <w:t>合同争议的解决</w:t>
      </w:r>
    </w:p>
    <w:p w14:paraId="249A6134">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19.1 </w:t>
      </w:r>
      <w:r>
        <w:rPr>
          <w:rFonts w:hint="eastAsia" w:ascii="宋体" w:hAnsi="宋体" w:eastAsia="宋体" w:cs="宋体"/>
          <w:color w:val="auto"/>
          <w:kern w:val="0"/>
          <w:sz w:val="28"/>
          <w:szCs w:val="28"/>
          <w:lang w:val="zh-CN"/>
        </w:rPr>
        <w:t>甲方和乙方由于本合同的履行而发生任何争议时，双方可先通过协商解决。</w:t>
      </w:r>
    </w:p>
    <w:p w14:paraId="68793410">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19.2 </w:t>
      </w:r>
      <w:r>
        <w:rPr>
          <w:rFonts w:hint="eastAsia" w:ascii="宋体" w:hAnsi="宋体" w:eastAsia="宋体" w:cs="宋体"/>
          <w:color w:val="auto"/>
          <w:kern w:val="0"/>
          <w:sz w:val="28"/>
          <w:szCs w:val="28"/>
          <w:lang w:val="zh-CN"/>
        </w:rPr>
        <w:t>任何一方不愿通过协商或通过协商仍不能解决争议，则双方中任何一方均应向甲方所在地人民法院起诉。</w:t>
      </w:r>
    </w:p>
    <w:p w14:paraId="64C473A7">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20.</w:t>
      </w:r>
      <w:r>
        <w:rPr>
          <w:rFonts w:hint="eastAsia" w:ascii="宋体" w:hAnsi="宋体" w:eastAsia="宋体" w:cs="宋体"/>
          <w:b/>
          <w:bCs/>
          <w:color w:val="auto"/>
          <w:kern w:val="0"/>
          <w:sz w:val="28"/>
          <w:szCs w:val="28"/>
          <w:lang w:val="zh-CN"/>
        </w:rPr>
        <w:t>违约解除合同</w:t>
      </w:r>
    </w:p>
    <w:p w14:paraId="11739AE5">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20.1 </w:t>
      </w:r>
      <w:r>
        <w:rPr>
          <w:rFonts w:hint="eastAsia" w:ascii="宋体" w:hAnsi="宋体" w:eastAsia="宋体" w:cs="宋体"/>
          <w:color w:val="auto"/>
          <w:kern w:val="0"/>
          <w:sz w:val="28"/>
          <w:szCs w:val="28"/>
          <w:lang w:val="zh-CN"/>
        </w:rPr>
        <w:t>出现下列情形之一的，视为乙方违约。甲方可向乙方发出书面通知，部分或全部终止合同，同时保留向乙方索赔的权利。</w:t>
      </w:r>
    </w:p>
    <w:p w14:paraId="09831407">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20.1.1 </w:t>
      </w:r>
      <w:r>
        <w:rPr>
          <w:rFonts w:hint="eastAsia" w:ascii="宋体" w:hAnsi="宋体" w:eastAsia="宋体" w:cs="宋体"/>
          <w:color w:val="auto"/>
          <w:kern w:val="0"/>
          <w:sz w:val="28"/>
          <w:szCs w:val="28"/>
          <w:lang w:val="zh-CN"/>
        </w:rPr>
        <w:t>乙方未能在合同规定的限期或甲方同意延长的限期内，提供全部或部分货物的；</w:t>
      </w:r>
    </w:p>
    <w:p w14:paraId="55418734">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20.1.2 </w:t>
      </w:r>
      <w:r>
        <w:rPr>
          <w:rFonts w:hint="eastAsia" w:ascii="宋体" w:hAnsi="宋体" w:eastAsia="宋体" w:cs="宋体"/>
          <w:color w:val="auto"/>
          <w:kern w:val="0"/>
          <w:sz w:val="28"/>
          <w:szCs w:val="28"/>
          <w:lang w:val="zh-CN"/>
        </w:rPr>
        <w:t>乙方未能履行合同规定的其它主要义务的；</w:t>
      </w:r>
    </w:p>
    <w:p w14:paraId="220919CF">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20.1.3 </w:t>
      </w:r>
      <w:r>
        <w:rPr>
          <w:rFonts w:hint="eastAsia" w:ascii="宋体" w:hAnsi="宋体" w:eastAsia="宋体" w:cs="宋体"/>
          <w:color w:val="auto"/>
          <w:kern w:val="0"/>
          <w:sz w:val="28"/>
          <w:szCs w:val="28"/>
          <w:lang w:val="zh-CN"/>
        </w:rPr>
        <w:t>乙方在本合同履行过程中有欺诈行为的。</w:t>
      </w:r>
    </w:p>
    <w:p w14:paraId="45D4CC01">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20.2 </w:t>
      </w:r>
      <w:r>
        <w:rPr>
          <w:rFonts w:hint="eastAsia" w:ascii="宋体" w:hAnsi="宋体" w:eastAsia="宋体" w:cs="宋体"/>
          <w:color w:val="auto"/>
          <w:kern w:val="0"/>
          <w:sz w:val="28"/>
          <w:szCs w:val="28"/>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4C6EC18">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21.</w:t>
      </w:r>
      <w:r>
        <w:rPr>
          <w:rFonts w:hint="eastAsia" w:ascii="宋体" w:hAnsi="宋体" w:eastAsia="宋体" w:cs="宋体"/>
          <w:b/>
          <w:bCs/>
          <w:color w:val="auto"/>
          <w:kern w:val="0"/>
          <w:sz w:val="28"/>
          <w:szCs w:val="28"/>
          <w:lang w:val="zh-CN"/>
        </w:rPr>
        <w:t>破产终止合同</w:t>
      </w:r>
    </w:p>
    <w:p w14:paraId="688A883E">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乙方破产而无法完全履行本合同义务时，甲方可以书面方式通知乙方终止合同而不给予乙方补偿。该合同的终止将不损害或不影响甲方已经采取或将要采取任何行动或补救措施的权利。</w:t>
      </w:r>
    </w:p>
    <w:p w14:paraId="3020A653">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22.</w:t>
      </w:r>
      <w:r>
        <w:rPr>
          <w:rFonts w:hint="eastAsia" w:ascii="宋体" w:hAnsi="宋体" w:eastAsia="宋体" w:cs="宋体"/>
          <w:b/>
          <w:bCs/>
          <w:color w:val="auto"/>
          <w:kern w:val="0"/>
          <w:sz w:val="28"/>
          <w:szCs w:val="28"/>
          <w:lang w:val="zh-CN"/>
        </w:rPr>
        <w:t>转让和分包</w:t>
      </w:r>
    </w:p>
    <w:p w14:paraId="64016A43">
      <w:pPr>
        <w:keepNext w:val="0"/>
        <w:keepLines w:val="0"/>
        <w:pageBreakBefore w:val="0"/>
        <w:widowControl w:val="0"/>
        <w:kinsoku/>
        <w:wordWrap/>
        <w:overflowPunct/>
        <w:topLinePunct w:val="0"/>
        <w:autoSpaceDE w:val="0"/>
        <w:autoSpaceDN w:val="0"/>
        <w:bidi w:val="0"/>
        <w:adjustRightInd/>
        <w:snapToGrid/>
        <w:spacing w:line="360" w:lineRule="auto"/>
        <w:ind w:firstLine="363"/>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22.1 </w:t>
      </w:r>
      <w:r>
        <w:rPr>
          <w:rFonts w:hint="eastAsia" w:ascii="宋体" w:hAnsi="宋体" w:eastAsia="宋体" w:cs="宋体"/>
          <w:color w:val="auto"/>
          <w:kern w:val="0"/>
          <w:sz w:val="28"/>
          <w:szCs w:val="28"/>
          <w:lang w:val="zh-CN"/>
        </w:rPr>
        <w:t>政府采购合同不能转让。</w:t>
      </w:r>
    </w:p>
    <w:p w14:paraId="62700C28">
      <w:pPr>
        <w:keepNext w:val="0"/>
        <w:keepLines w:val="0"/>
        <w:pageBreakBefore w:val="0"/>
        <w:widowControl w:val="0"/>
        <w:kinsoku/>
        <w:wordWrap/>
        <w:overflowPunct/>
        <w:topLinePunct w:val="0"/>
        <w:autoSpaceDE w:val="0"/>
        <w:autoSpaceDN w:val="0"/>
        <w:bidi w:val="0"/>
        <w:adjustRightInd/>
        <w:snapToGrid/>
        <w:spacing w:line="360" w:lineRule="auto"/>
        <w:ind w:firstLine="363"/>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22.2 </w:t>
      </w:r>
      <w:r>
        <w:rPr>
          <w:rFonts w:hint="eastAsia" w:ascii="宋体" w:hAnsi="宋体" w:eastAsia="宋体" w:cs="宋体"/>
          <w:color w:val="auto"/>
          <w:kern w:val="0"/>
          <w:sz w:val="28"/>
          <w:szCs w:val="28"/>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494F5CB">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23.</w:t>
      </w:r>
      <w:r>
        <w:rPr>
          <w:rFonts w:hint="eastAsia" w:ascii="宋体" w:hAnsi="宋体" w:eastAsia="宋体" w:cs="宋体"/>
          <w:b/>
          <w:bCs/>
          <w:color w:val="auto"/>
          <w:kern w:val="0"/>
          <w:sz w:val="28"/>
          <w:szCs w:val="28"/>
          <w:lang w:val="zh-CN"/>
        </w:rPr>
        <w:t>合同修改</w:t>
      </w:r>
    </w:p>
    <w:p w14:paraId="0CF7F49C">
      <w:pPr>
        <w:autoSpaceDE w:val="0"/>
        <w:autoSpaceDN w:val="0"/>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政府采购合同的双方当事人不得擅自变更、中止或者终止合同</w:t>
      </w:r>
    </w:p>
    <w:p w14:paraId="1E235F06">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24.</w:t>
      </w:r>
      <w:r>
        <w:rPr>
          <w:rFonts w:hint="eastAsia" w:ascii="宋体" w:hAnsi="宋体" w:eastAsia="宋体" w:cs="宋体"/>
          <w:b/>
          <w:bCs/>
          <w:color w:val="auto"/>
          <w:kern w:val="0"/>
          <w:sz w:val="28"/>
          <w:szCs w:val="28"/>
          <w:lang w:val="zh-CN"/>
        </w:rPr>
        <w:t>通知</w:t>
      </w:r>
    </w:p>
    <w:p w14:paraId="2D3CA7B0">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本合同任何一方给另一方的通知，都应以书面形式发送，而另一方也应以书面形式确认并发送到对方明确的地址。</w:t>
      </w:r>
    </w:p>
    <w:p w14:paraId="414C1BD0">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25.</w:t>
      </w:r>
      <w:r>
        <w:rPr>
          <w:rFonts w:hint="eastAsia" w:ascii="宋体" w:hAnsi="宋体" w:eastAsia="宋体" w:cs="宋体"/>
          <w:b/>
          <w:bCs/>
          <w:color w:val="auto"/>
          <w:kern w:val="0"/>
          <w:sz w:val="28"/>
          <w:szCs w:val="28"/>
          <w:lang w:val="zh-CN"/>
        </w:rPr>
        <w:t>计量单位</w:t>
      </w:r>
    </w:p>
    <w:p w14:paraId="6D06DBB1">
      <w:pPr>
        <w:autoSpaceDE w:val="0"/>
        <w:autoSpaceDN w:val="0"/>
        <w:spacing w:line="360" w:lineRule="auto"/>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除技术规范中另有规定外</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计量单位均使用国家法定计量单位。</w:t>
      </w:r>
    </w:p>
    <w:p w14:paraId="73475279">
      <w:pPr>
        <w:autoSpaceDE w:val="0"/>
        <w:autoSpaceDN w:val="0"/>
        <w:spacing w:line="360" w:lineRule="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26.</w:t>
      </w:r>
      <w:r>
        <w:rPr>
          <w:rFonts w:hint="eastAsia" w:ascii="宋体" w:hAnsi="宋体" w:eastAsia="宋体" w:cs="宋体"/>
          <w:b/>
          <w:bCs/>
          <w:color w:val="auto"/>
          <w:kern w:val="0"/>
          <w:sz w:val="28"/>
          <w:szCs w:val="28"/>
          <w:lang w:val="zh-CN"/>
        </w:rPr>
        <w:t>适用法律</w:t>
      </w:r>
    </w:p>
    <w:p w14:paraId="155585DE">
      <w:pPr>
        <w:pStyle w:val="25"/>
        <w:spacing w:before="0" w:after="0" w:line="520" w:lineRule="exact"/>
        <w:ind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本合同按照中华人民共和国的相关法律进行解释。</w:t>
      </w:r>
      <w:bookmarkStart w:id="86" w:name="_Toc11610"/>
      <w:bookmarkStart w:id="87" w:name="_Toc515908206"/>
    </w:p>
    <w:p w14:paraId="47A68A59">
      <w:pPr>
        <w:pStyle w:val="25"/>
        <w:spacing w:before="0" w:after="0" w:line="520" w:lineRule="exact"/>
        <w:jc w:val="both"/>
        <w:rPr>
          <w:rFonts w:hint="eastAsia" w:ascii="宋体" w:hAnsi="宋体" w:eastAsia="宋体" w:cs="宋体"/>
          <w:color w:val="auto"/>
          <w:sz w:val="44"/>
          <w:szCs w:val="44"/>
          <w:lang w:val="zh-CN"/>
        </w:rPr>
      </w:pPr>
    </w:p>
    <w:p w14:paraId="19ED449D">
      <w:pPr>
        <w:pStyle w:val="25"/>
        <w:spacing w:before="0" w:after="0" w:line="520" w:lineRule="exact"/>
        <w:rPr>
          <w:rFonts w:hint="eastAsia" w:ascii="宋体" w:hAnsi="宋体" w:eastAsia="宋体" w:cs="宋体"/>
          <w:color w:val="auto"/>
          <w:sz w:val="44"/>
          <w:szCs w:val="44"/>
          <w:lang w:val="zh-CN"/>
        </w:rPr>
      </w:pPr>
    </w:p>
    <w:p w14:paraId="15DBDA5C">
      <w:pPr>
        <w:pStyle w:val="25"/>
        <w:spacing w:before="0" w:after="0" w:line="520" w:lineRule="exact"/>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第四部分  投标文件格式</w:t>
      </w:r>
      <w:bookmarkEnd w:id="86"/>
      <w:bookmarkEnd w:id="87"/>
    </w:p>
    <w:p w14:paraId="31104156">
      <w:pPr>
        <w:autoSpaceDE w:val="0"/>
        <w:autoSpaceDN w:val="0"/>
        <w:adjustRightInd w:val="0"/>
        <w:ind w:firstLine="643" w:firstLineChars="200"/>
        <w:jc w:val="left"/>
        <w:rPr>
          <w:rFonts w:hint="eastAsia" w:ascii="宋体" w:hAnsi="宋体" w:eastAsia="宋体" w:cs="宋体"/>
          <w:b/>
          <w:bCs/>
          <w:color w:val="auto"/>
          <w:kern w:val="0"/>
          <w:sz w:val="32"/>
          <w:szCs w:val="32"/>
          <w:lang w:val="zh-CN"/>
        </w:rPr>
      </w:pPr>
      <w:bookmarkStart w:id="88" w:name="_Toc11851"/>
      <w:r>
        <w:rPr>
          <w:rFonts w:hint="eastAsia" w:ascii="宋体" w:hAnsi="宋体" w:eastAsia="宋体" w:cs="宋体"/>
          <w:b/>
          <w:bCs/>
          <w:color w:val="auto"/>
          <w:kern w:val="0"/>
          <w:sz w:val="32"/>
          <w:szCs w:val="32"/>
          <w:lang w:val="zh-CN"/>
        </w:rPr>
        <w:t>注：资格审查文件（符合性审查文件）未按招标文件要求上传至电子评标系统的视为无效投标。</w:t>
      </w:r>
    </w:p>
    <w:bookmarkEnd w:id="88"/>
    <w:p w14:paraId="6D646D27">
      <w:pPr>
        <w:pStyle w:val="25"/>
        <w:spacing w:before="0" w:after="0" w:line="520" w:lineRule="exact"/>
        <w:jc w:val="left"/>
        <w:outlineLvl w:val="1"/>
        <w:rPr>
          <w:rFonts w:hint="eastAsia" w:ascii="宋体" w:hAnsi="宋体" w:eastAsia="宋体" w:cs="宋体"/>
          <w:color w:val="auto"/>
        </w:rPr>
      </w:pPr>
    </w:p>
    <w:p w14:paraId="121B988F">
      <w:pPr>
        <w:autoSpaceDE w:val="0"/>
        <w:autoSpaceDN w:val="0"/>
        <w:spacing w:line="520" w:lineRule="exact"/>
        <w:jc w:val="center"/>
        <w:rPr>
          <w:rFonts w:hint="eastAsia" w:ascii="宋体" w:hAnsi="宋体" w:eastAsia="宋体" w:cs="宋体"/>
          <w:b/>
          <w:bCs/>
          <w:color w:val="auto"/>
          <w:kern w:val="0"/>
          <w:sz w:val="36"/>
          <w:szCs w:val="36"/>
        </w:rPr>
      </w:pPr>
    </w:p>
    <w:p w14:paraId="0C1C9E37">
      <w:pPr>
        <w:autoSpaceDE w:val="0"/>
        <w:autoSpaceDN w:val="0"/>
        <w:spacing w:line="560" w:lineRule="exact"/>
        <w:jc w:val="center"/>
        <w:rPr>
          <w:rFonts w:hint="eastAsia" w:ascii="宋体" w:hAnsi="宋体" w:eastAsia="宋体" w:cs="宋体"/>
          <w:b/>
          <w:bCs/>
          <w:color w:val="auto"/>
          <w:kern w:val="0"/>
          <w:sz w:val="52"/>
          <w:szCs w:val="52"/>
          <w:lang w:val="zh-CN"/>
        </w:rPr>
      </w:pPr>
      <w:r>
        <w:rPr>
          <w:rFonts w:hint="eastAsia" w:ascii="宋体" w:hAnsi="宋体" w:eastAsia="宋体" w:cs="宋体"/>
          <w:b/>
          <w:bCs/>
          <w:color w:val="auto"/>
          <w:kern w:val="0"/>
          <w:sz w:val="52"/>
          <w:szCs w:val="52"/>
          <w:lang w:val="zh-CN"/>
        </w:rPr>
        <w:t>青海省政府采购项目</w:t>
      </w:r>
    </w:p>
    <w:p w14:paraId="2E767F33">
      <w:pPr>
        <w:autoSpaceDE w:val="0"/>
        <w:autoSpaceDN w:val="0"/>
        <w:spacing w:line="520" w:lineRule="exact"/>
        <w:rPr>
          <w:rFonts w:hint="eastAsia" w:ascii="宋体" w:hAnsi="宋体" w:eastAsia="宋体" w:cs="宋体"/>
          <w:color w:val="auto"/>
          <w:kern w:val="0"/>
          <w:sz w:val="36"/>
          <w:szCs w:val="36"/>
        </w:rPr>
      </w:pPr>
    </w:p>
    <w:p w14:paraId="037986AA">
      <w:pPr>
        <w:autoSpaceDE w:val="0"/>
        <w:autoSpaceDN w:val="0"/>
        <w:spacing w:line="1000" w:lineRule="exact"/>
        <w:jc w:val="center"/>
        <w:rPr>
          <w:rFonts w:hint="eastAsia" w:ascii="宋体" w:hAnsi="宋体" w:eastAsia="宋体" w:cs="宋体"/>
          <w:b/>
          <w:bCs/>
          <w:color w:val="auto"/>
          <w:kern w:val="0"/>
          <w:sz w:val="72"/>
          <w:szCs w:val="72"/>
          <w:lang w:val="zh-CN"/>
        </w:rPr>
      </w:pPr>
      <w:r>
        <w:rPr>
          <w:rFonts w:hint="eastAsia" w:ascii="宋体" w:hAnsi="宋体" w:eastAsia="宋体" w:cs="宋体"/>
          <w:b/>
          <w:bCs/>
          <w:color w:val="auto"/>
          <w:kern w:val="0"/>
          <w:sz w:val="72"/>
          <w:szCs w:val="72"/>
          <w:lang w:val="zh-CN"/>
        </w:rPr>
        <w:t>投</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件</w:t>
      </w:r>
    </w:p>
    <w:p w14:paraId="1A596E7A">
      <w:pPr>
        <w:autoSpaceDE w:val="0"/>
        <w:autoSpaceDN w:val="0"/>
        <w:spacing w:line="520" w:lineRule="exact"/>
        <w:rPr>
          <w:rFonts w:hint="eastAsia" w:ascii="宋体" w:hAnsi="宋体" w:eastAsia="宋体" w:cs="宋体"/>
          <w:color w:val="auto"/>
          <w:kern w:val="0"/>
          <w:sz w:val="36"/>
          <w:szCs w:val="36"/>
        </w:rPr>
      </w:pPr>
    </w:p>
    <w:p w14:paraId="6D0CD680">
      <w:pPr>
        <w:autoSpaceDE w:val="0"/>
        <w:autoSpaceDN w:val="0"/>
        <w:spacing w:line="520" w:lineRule="exact"/>
        <w:rPr>
          <w:rFonts w:hint="eastAsia" w:ascii="宋体" w:hAnsi="宋体" w:eastAsia="宋体" w:cs="宋体"/>
          <w:color w:val="auto"/>
          <w:kern w:val="0"/>
          <w:sz w:val="36"/>
          <w:szCs w:val="36"/>
        </w:rPr>
      </w:pPr>
    </w:p>
    <w:p w14:paraId="6E9488EF">
      <w:pPr>
        <w:autoSpaceDE w:val="0"/>
        <w:autoSpaceDN w:val="0"/>
        <w:spacing w:line="520" w:lineRule="exact"/>
        <w:rPr>
          <w:rFonts w:hint="eastAsia" w:ascii="宋体" w:hAnsi="宋体" w:eastAsia="宋体" w:cs="宋体"/>
          <w:color w:val="auto"/>
          <w:kern w:val="0"/>
          <w:sz w:val="36"/>
          <w:szCs w:val="36"/>
        </w:rPr>
      </w:pPr>
    </w:p>
    <w:p w14:paraId="6C621CE4">
      <w:pPr>
        <w:autoSpaceDE w:val="0"/>
        <w:autoSpaceDN w:val="0"/>
        <w:spacing w:line="520" w:lineRule="exact"/>
        <w:rPr>
          <w:rFonts w:hint="eastAsia" w:ascii="宋体" w:hAnsi="宋体" w:eastAsia="宋体" w:cs="宋体"/>
          <w:color w:val="auto"/>
          <w:kern w:val="0"/>
          <w:sz w:val="36"/>
          <w:szCs w:val="36"/>
        </w:rPr>
      </w:pPr>
    </w:p>
    <w:p w14:paraId="29B5ADB6">
      <w:pPr>
        <w:autoSpaceDE w:val="0"/>
        <w:autoSpaceDN w:val="0"/>
        <w:spacing w:line="520" w:lineRule="exact"/>
        <w:rPr>
          <w:rFonts w:hint="eastAsia" w:ascii="宋体" w:hAnsi="宋体" w:eastAsia="宋体" w:cs="宋体"/>
          <w:color w:val="auto"/>
          <w:kern w:val="0"/>
          <w:sz w:val="36"/>
          <w:szCs w:val="36"/>
        </w:rPr>
      </w:pPr>
    </w:p>
    <w:p w14:paraId="079C92B1">
      <w:pPr>
        <w:autoSpaceDE w:val="0"/>
        <w:autoSpaceDN w:val="0"/>
        <w:spacing w:line="520" w:lineRule="exact"/>
        <w:rPr>
          <w:rFonts w:hint="eastAsia" w:ascii="宋体" w:hAnsi="宋体" w:eastAsia="宋体" w:cs="宋体"/>
          <w:color w:val="auto"/>
          <w:kern w:val="0"/>
          <w:sz w:val="36"/>
          <w:szCs w:val="36"/>
        </w:rPr>
      </w:pPr>
    </w:p>
    <w:p w14:paraId="1C9D7BEE">
      <w:pPr>
        <w:autoSpaceDE w:val="0"/>
        <w:autoSpaceDN w:val="0"/>
        <w:spacing w:line="520" w:lineRule="exact"/>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zh-CN"/>
        </w:rPr>
        <w:t>采购项目编号：</w:t>
      </w:r>
    </w:p>
    <w:p w14:paraId="4A630CEB">
      <w:pPr>
        <w:autoSpaceDE w:val="0"/>
        <w:autoSpaceDN w:val="0"/>
        <w:spacing w:line="520" w:lineRule="exact"/>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zh-CN"/>
        </w:rPr>
        <w:t>采购项目名称</w:t>
      </w:r>
      <w:r>
        <w:rPr>
          <w:rFonts w:hint="eastAsia" w:ascii="宋体" w:hAnsi="宋体" w:eastAsia="宋体" w:cs="宋体"/>
          <w:b/>
          <w:bCs/>
          <w:color w:val="auto"/>
          <w:kern w:val="0"/>
          <w:sz w:val="32"/>
          <w:szCs w:val="32"/>
        </w:rPr>
        <w:t>：</w:t>
      </w:r>
    </w:p>
    <w:p w14:paraId="52AEC016">
      <w:pPr>
        <w:autoSpaceDE w:val="0"/>
        <w:autoSpaceDN w:val="0"/>
        <w:spacing w:line="520" w:lineRule="exact"/>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zh-CN"/>
        </w:rPr>
        <w:t>投</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标</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包</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号：</w:t>
      </w:r>
    </w:p>
    <w:p w14:paraId="425DAAE2">
      <w:pPr>
        <w:autoSpaceDE w:val="0"/>
        <w:autoSpaceDN w:val="0"/>
        <w:spacing w:line="520" w:lineRule="exact"/>
        <w:rPr>
          <w:rFonts w:hint="eastAsia" w:ascii="宋体" w:hAnsi="宋体" w:eastAsia="宋体" w:cs="宋体"/>
          <w:b/>
          <w:bCs/>
          <w:color w:val="auto"/>
          <w:kern w:val="0"/>
          <w:sz w:val="32"/>
          <w:szCs w:val="32"/>
        </w:rPr>
      </w:pPr>
    </w:p>
    <w:p w14:paraId="26775820">
      <w:pPr>
        <w:autoSpaceDE w:val="0"/>
        <w:autoSpaceDN w:val="0"/>
        <w:spacing w:line="520" w:lineRule="exact"/>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投标人：</w:t>
      </w:r>
      <w:r>
        <w:rPr>
          <w:rFonts w:hint="eastAsia" w:ascii="宋体" w:hAnsi="宋体" w:eastAsia="宋体" w:cs="宋体"/>
          <w:b/>
          <w:bCs/>
          <w:color w:val="auto"/>
          <w:kern w:val="0"/>
          <w:sz w:val="32"/>
          <w:szCs w:val="32"/>
          <w:u w:val="single"/>
        </w:rPr>
        <w:t xml:space="preserve">                          </w:t>
      </w:r>
      <w:r>
        <w:rPr>
          <w:rFonts w:hint="eastAsia" w:ascii="宋体" w:hAnsi="宋体" w:eastAsia="宋体" w:cs="宋体"/>
          <w:b/>
          <w:bCs/>
          <w:color w:val="auto"/>
          <w:kern w:val="0"/>
          <w:sz w:val="32"/>
          <w:szCs w:val="32"/>
        </w:rPr>
        <w:t>（</w:t>
      </w:r>
      <w:r>
        <w:rPr>
          <w:rFonts w:hint="eastAsia" w:ascii="宋体" w:hAnsi="宋体" w:eastAsia="宋体" w:cs="宋体"/>
          <w:b/>
          <w:bCs/>
          <w:color w:val="auto"/>
          <w:kern w:val="0"/>
          <w:sz w:val="32"/>
          <w:szCs w:val="32"/>
          <w:lang w:val="zh-CN"/>
        </w:rPr>
        <w:t>公章）</w:t>
      </w:r>
    </w:p>
    <w:p w14:paraId="5BA55C01">
      <w:pPr>
        <w:autoSpaceDE w:val="0"/>
        <w:autoSpaceDN w:val="0"/>
        <w:spacing w:line="520" w:lineRule="exact"/>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法定代表人或委托代理人：</w:t>
      </w:r>
      <w:r>
        <w:rPr>
          <w:rFonts w:hint="eastAsia" w:ascii="宋体" w:hAnsi="宋体" w:eastAsia="宋体" w:cs="宋体"/>
          <w:b/>
          <w:bCs/>
          <w:color w:val="auto"/>
          <w:kern w:val="0"/>
          <w:sz w:val="32"/>
          <w:szCs w:val="32"/>
          <w:u w:val="single"/>
        </w:rPr>
        <w:t xml:space="preserve">     </w:t>
      </w:r>
      <w:r>
        <w:rPr>
          <w:rFonts w:hint="eastAsia" w:ascii="宋体" w:hAnsi="宋体" w:eastAsia="宋体" w:cs="宋体"/>
          <w:b/>
          <w:bCs/>
          <w:color w:val="auto"/>
          <w:kern w:val="0"/>
          <w:sz w:val="32"/>
          <w:szCs w:val="32"/>
          <w:lang w:val="zh-CN"/>
        </w:rPr>
        <w:t>（签字或盖章）</w:t>
      </w:r>
    </w:p>
    <w:p w14:paraId="5999C271">
      <w:pPr>
        <w:autoSpaceDE w:val="0"/>
        <w:autoSpaceDN w:val="0"/>
        <w:spacing w:line="520" w:lineRule="exact"/>
        <w:rPr>
          <w:rFonts w:hint="eastAsia"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年</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月</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日</w:t>
      </w:r>
    </w:p>
    <w:p w14:paraId="48CE0D53">
      <w:pPr>
        <w:pStyle w:val="25"/>
        <w:spacing w:before="0" w:after="0" w:line="520" w:lineRule="exact"/>
        <w:jc w:val="center"/>
        <w:outlineLvl w:val="1"/>
        <w:rPr>
          <w:rFonts w:hint="eastAsia" w:ascii="宋体" w:hAnsi="宋体" w:eastAsia="宋体" w:cs="宋体"/>
          <w:color w:val="auto"/>
          <w:lang w:val="zh-CN"/>
        </w:rPr>
      </w:pPr>
      <w:r>
        <w:rPr>
          <w:rFonts w:hint="eastAsia" w:ascii="宋体" w:hAnsi="宋体" w:eastAsia="宋体" w:cs="宋体"/>
          <w:b w:val="0"/>
          <w:bCs w:val="0"/>
          <w:color w:val="auto"/>
          <w:kern w:val="0"/>
          <w:lang w:val="zh-CN"/>
        </w:rPr>
        <w:br w:type="page"/>
      </w:r>
      <w:bookmarkStart w:id="89" w:name="_Toc24491"/>
      <w:bookmarkStart w:id="90" w:name="_Toc68160842"/>
      <w:bookmarkStart w:id="91" w:name="_Toc515908208"/>
      <w:bookmarkStart w:id="92" w:name="_Toc29902"/>
      <w:bookmarkStart w:id="93" w:name="_Toc8514"/>
      <w:r>
        <w:rPr>
          <w:rFonts w:hint="eastAsia" w:ascii="宋体" w:hAnsi="宋体" w:eastAsia="宋体" w:cs="宋体"/>
          <w:color w:val="auto"/>
          <w:sz w:val="32"/>
          <w:szCs w:val="32"/>
          <w:lang w:val="zh-CN"/>
        </w:rPr>
        <w:t>目录</w:t>
      </w:r>
      <w:bookmarkEnd w:id="89"/>
      <w:bookmarkEnd w:id="90"/>
      <w:bookmarkEnd w:id="91"/>
    </w:p>
    <w:p w14:paraId="47E7F76E">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投标函……………………………………………………………所在页码</w:t>
      </w:r>
    </w:p>
    <w:p w14:paraId="1615DAC7">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法定代表人（非法人组织负责人）证明书……………………所在页码</w:t>
      </w:r>
    </w:p>
    <w:p w14:paraId="461E7E4D">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rPr>
        <w:t>法定代表人（非法人组织负责人）授权书</w:t>
      </w:r>
      <w:r>
        <w:rPr>
          <w:rFonts w:hint="eastAsia" w:ascii="宋体" w:hAnsi="宋体" w:eastAsia="宋体" w:cs="宋体"/>
          <w:color w:val="auto"/>
          <w:kern w:val="0"/>
          <w:lang w:val="zh-CN"/>
        </w:rPr>
        <w:t>……………………所在页码</w:t>
      </w:r>
    </w:p>
    <w:p w14:paraId="19F29D28">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投标人承诺函……………………………………………………所在页码</w:t>
      </w:r>
    </w:p>
    <w:p w14:paraId="7762EC86">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投标人诚信承诺书………………………………………………所在页码</w:t>
      </w:r>
    </w:p>
    <w:p w14:paraId="64BD0C23">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资格证明材料……………………………………………………所在页码</w:t>
      </w:r>
    </w:p>
    <w:p w14:paraId="60645538">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财务状况报告，依法缴纳税收和社会保障资金的相关材料…所在页码</w:t>
      </w:r>
    </w:p>
    <w:p w14:paraId="1C7BC4A6">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具备履行合同所必需的设备和专业技术能力的证明材料……所在页码</w:t>
      </w:r>
    </w:p>
    <w:p w14:paraId="757681BD">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无重大违法记录声明……………………………………………所在页码</w:t>
      </w:r>
    </w:p>
    <w:p w14:paraId="1F16B28D">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投标保证金证明……………………………………………… 所在页码</w:t>
      </w:r>
    </w:p>
    <w:bookmarkEnd w:id="92"/>
    <w:bookmarkEnd w:id="93"/>
    <w:p w14:paraId="3CB42D67">
      <w:pPr>
        <w:numPr>
          <w:ilvl w:val="0"/>
          <w:numId w:val="3"/>
        </w:numPr>
        <w:autoSpaceDE w:val="0"/>
        <w:autoSpaceDN w:val="0"/>
        <w:spacing w:line="520" w:lineRule="exact"/>
        <w:rPr>
          <w:rFonts w:hint="eastAsia" w:ascii="宋体" w:hAnsi="宋体" w:eastAsia="宋体" w:cs="宋体"/>
          <w:color w:val="auto"/>
          <w:kern w:val="0"/>
          <w:lang w:val="zh-CN"/>
        </w:rPr>
      </w:pPr>
      <w:bookmarkStart w:id="94" w:name="_Toc19582"/>
      <w:r>
        <w:rPr>
          <w:rFonts w:hint="eastAsia" w:ascii="宋体" w:hAnsi="宋体" w:eastAsia="宋体" w:cs="宋体"/>
          <w:color w:val="auto"/>
        </w:rPr>
        <w:t>评分对照表</w:t>
      </w:r>
      <w:r>
        <w:rPr>
          <w:rFonts w:hint="eastAsia" w:ascii="宋体" w:hAnsi="宋体" w:eastAsia="宋体" w:cs="宋体"/>
          <w:color w:val="auto"/>
          <w:kern w:val="0"/>
          <w:lang w:val="zh-CN"/>
        </w:rPr>
        <w:t>………………………………………………………所在页码</w:t>
      </w:r>
    </w:p>
    <w:p w14:paraId="64D15BBC">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开标一览表（报价表）…………………………………………所在页码</w:t>
      </w:r>
    </w:p>
    <w:p w14:paraId="69C7B913">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分项报价表………………………………………………………所在页码</w:t>
      </w:r>
    </w:p>
    <w:p w14:paraId="7B377DC6">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技术规格响应表…………………………………………………所在页码</w:t>
      </w:r>
    </w:p>
    <w:p w14:paraId="7E85F295">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投标产品相关资料………………………………………………所在页码</w:t>
      </w:r>
    </w:p>
    <w:p w14:paraId="7368A8FA">
      <w:pPr>
        <w:numPr>
          <w:ilvl w:val="0"/>
          <w:numId w:val="3"/>
        </w:numPr>
        <w:autoSpaceDE w:val="0"/>
        <w:autoSpaceDN w:val="0"/>
        <w:spacing w:line="520" w:lineRule="exact"/>
        <w:rPr>
          <w:rFonts w:hint="eastAsia" w:ascii="宋体" w:hAnsi="宋体" w:eastAsia="宋体" w:cs="宋体"/>
          <w:color w:val="auto"/>
          <w:kern w:val="0"/>
          <w:lang w:val="zh-CN"/>
        </w:rPr>
      </w:pPr>
      <w:r>
        <w:rPr>
          <w:rFonts w:hint="eastAsia" w:ascii="宋体" w:hAnsi="宋体" w:eastAsia="宋体" w:cs="宋体"/>
          <w:color w:val="auto"/>
          <w:kern w:val="0"/>
          <w:lang w:val="zh-CN"/>
        </w:rPr>
        <w:t>投标人的类似业绩证明材料……………………………………所在页码</w:t>
      </w:r>
    </w:p>
    <w:p w14:paraId="4B623C58">
      <w:pPr>
        <w:numPr>
          <w:ilvl w:val="0"/>
          <w:numId w:val="3"/>
        </w:numPr>
        <w:autoSpaceDE w:val="0"/>
        <w:autoSpaceDN w:val="0"/>
        <w:spacing w:line="520" w:lineRule="exact"/>
        <w:rPr>
          <w:rFonts w:hint="eastAsia" w:ascii="宋体" w:hAnsi="宋体" w:eastAsia="宋体" w:cs="宋体"/>
          <w:color w:val="auto"/>
          <w:lang w:val="zh-CN"/>
        </w:rPr>
      </w:pPr>
      <w:r>
        <w:rPr>
          <w:rFonts w:hint="eastAsia" w:ascii="宋体" w:hAnsi="宋体" w:eastAsia="宋体" w:cs="宋体"/>
          <w:color w:val="auto"/>
          <w:kern w:val="0"/>
          <w:lang w:val="zh-CN"/>
        </w:rPr>
        <w:t>享受政府采购政策优惠的证明资料……………………………所在页码</w:t>
      </w:r>
    </w:p>
    <w:p w14:paraId="5C7D6504">
      <w:pPr>
        <w:numPr>
          <w:ilvl w:val="0"/>
          <w:numId w:val="3"/>
        </w:numPr>
        <w:autoSpaceDE w:val="0"/>
        <w:autoSpaceDN w:val="0"/>
        <w:spacing w:line="520" w:lineRule="exact"/>
        <w:rPr>
          <w:rFonts w:hint="eastAsia" w:ascii="宋体" w:hAnsi="宋体" w:eastAsia="宋体" w:cs="宋体"/>
          <w:b/>
          <w:bCs/>
          <w:color w:val="auto"/>
          <w:sz w:val="30"/>
          <w:szCs w:val="30"/>
          <w:lang w:val="zh-CN"/>
        </w:rPr>
      </w:pPr>
      <w:r>
        <w:rPr>
          <w:rFonts w:hint="eastAsia" w:ascii="宋体" w:hAnsi="宋体" w:eastAsia="宋体" w:cs="宋体"/>
          <w:color w:val="auto"/>
          <w:kern w:val="0"/>
          <w:lang w:val="zh-CN"/>
        </w:rPr>
        <w:t>投标人认为在其他方面有必要说明的事项……………………所在页码</w:t>
      </w:r>
      <w:r>
        <w:rPr>
          <w:rFonts w:hint="eastAsia" w:ascii="宋体" w:hAnsi="宋体" w:eastAsia="宋体" w:cs="宋体"/>
          <w:color w:val="auto"/>
          <w:kern w:val="0"/>
          <w:lang w:val="zh-CN"/>
        </w:rPr>
        <w:br w:type="page"/>
      </w:r>
      <w:bookmarkStart w:id="95" w:name="_Toc68160843"/>
      <w:bookmarkStart w:id="96" w:name="_Toc515908209"/>
      <w:r>
        <w:rPr>
          <w:rFonts w:hint="eastAsia" w:ascii="宋体" w:hAnsi="宋体" w:eastAsia="宋体" w:cs="宋体"/>
          <w:b/>
          <w:bCs/>
          <w:color w:val="auto"/>
          <w:sz w:val="30"/>
          <w:szCs w:val="30"/>
        </w:rPr>
        <w:t>（1）</w:t>
      </w:r>
      <w:r>
        <w:rPr>
          <w:rFonts w:hint="eastAsia" w:ascii="宋体" w:hAnsi="宋体" w:eastAsia="宋体" w:cs="宋体"/>
          <w:b/>
          <w:bCs/>
          <w:color w:val="auto"/>
          <w:sz w:val="30"/>
          <w:szCs w:val="30"/>
          <w:lang w:val="zh-CN"/>
        </w:rPr>
        <w:t>投标函</w:t>
      </w:r>
      <w:bookmarkEnd w:id="94"/>
      <w:bookmarkEnd w:id="95"/>
      <w:bookmarkEnd w:id="96"/>
    </w:p>
    <w:p w14:paraId="65F724EB">
      <w:pPr>
        <w:autoSpaceDE w:val="0"/>
        <w:autoSpaceDN w:val="0"/>
        <w:spacing w:line="520" w:lineRule="exact"/>
        <w:rPr>
          <w:rFonts w:hint="eastAsia" w:ascii="宋体" w:hAnsi="宋体" w:eastAsia="宋体" w:cs="宋体"/>
          <w:b/>
          <w:bCs/>
          <w:color w:val="auto"/>
          <w:kern w:val="0"/>
          <w:sz w:val="30"/>
          <w:szCs w:val="30"/>
          <w:lang w:val="zh-CN"/>
        </w:rPr>
      </w:pPr>
    </w:p>
    <w:p w14:paraId="37B8154A">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投标函</w:t>
      </w:r>
    </w:p>
    <w:p w14:paraId="097E7C27">
      <w:pPr>
        <w:autoSpaceDE w:val="0"/>
        <w:autoSpaceDN w:val="0"/>
        <w:spacing w:line="520" w:lineRule="exact"/>
        <w:rPr>
          <w:rFonts w:hint="eastAsia" w:ascii="宋体" w:hAnsi="宋体" w:eastAsia="宋体" w:cs="宋体"/>
          <w:b/>
          <w:bCs/>
          <w:color w:val="auto"/>
          <w:kern w:val="0"/>
          <w:sz w:val="30"/>
          <w:szCs w:val="30"/>
          <w:lang w:val="zh-CN"/>
        </w:rPr>
      </w:pPr>
    </w:p>
    <w:p w14:paraId="0CD8881E">
      <w:pPr>
        <w:autoSpaceDE w:val="0"/>
        <w:autoSpaceDN w:val="0"/>
        <w:spacing w:line="520" w:lineRule="exact"/>
        <w:rPr>
          <w:rFonts w:hint="eastAsia" w:ascii="宋体" w:hAnsi="宋体" w:eastAsia="宋体" w:cs="宋体"/>
          <w:color w:val="auto"/>
          <w:kern w:val="0"/>
          <w:sz w:val="30"/>
          <w:szCs w:val="30"/>
          <w:lang w:val="zh-CN"/>
        </w:rPr>
      </w:pPr>
      <w:r>
        <w:rPr>
          <w:rFonts w:hint="eastAsia" w:ascii="宋体" w:hAnsi="宋体" w:eastAsia="宋体" w:cs="宋体"/>
          <w:b/>
          <w:bCs/>
          <w:color w:val="auto"/>
          <w:sz w:val="30"/>
          <w:szCs w:val="30"/>
        </w:rPr>
        <w:t>致：</w:t>
      </w:r>
      <w:r>
        <w:rPr>
          <w:rFonts w:hint="eastAsia" w:ascii="宋体" w:hAnsi="宋体" w:cs="宋体"/>
          <w:b/>
          <w:bCs/>
          <w:color w:val="auto"/>
          <w:sz w:val="30"/>
          <w:szCs w:val="30"/>
          <w:lang w:eastAsia="zh-CN"/>
        </w:rPr>
        <w:t>青海宇创项目管理有限责任公司</w:t>
      </w:r>
    </w:p>
    <w:p w14:paraId="54FA5B6B">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我们收到</w:t>
      </w:r>
      <w:r>
        <w:rPr>
          <w:rFonts w:hint="eastAsia" w:ascii="宋体" w:hAnsi="宋体" w:eastAsia="宋体" w:cs="宋体"/>
          <w:color w:val="auto"/>
          <w:kern w:val="0"/>
          <w:sz w:val="30"/>
          <w:szCs w:val="30"/>
          <w:u w:val="single"/>
          <w:lang w:val="zh-CN"/>
        </w:rPr>
        <w:t>采购项目名称（采购项目编号）</w:t>
      </w:r>
      <w:r>
        <w:rPr>
          <w:rFonts w:hint="eastAsia" w:ascii="宋体" w:hAnsi="宋体" w:eastAsia="宋体" w:cs="宋体"/>
          <w:color w:val="auto"/>
          <w:kern w:val="0"/>
          <w:sz w:val="30"/>
          <w:szCs w:val="30"/>
          <w:lang w:val="zh-CN"/>
        </w:rPr>
        <w:t>招标文件，经研究，法定代表人（姓名、职务）正式授权（委托代理人姓名、职务）代表投标人（投标人名称、地址）提交投标文件。</w:t>
      </w:r>
    </w:p>
    <w:p w14:paraId="4D538B2E">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据此函，签字代表宣布同意如下：</w:t>
      </w:r>
    </w:p>
    <w:p w14:paraId="70B59E46">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1.我方已详阅招标文件的全部内容，包括澄清、修改条款等有关附件，承诺对其完全理解并接受。</w:t>
      </w:r>
    </w:p>
    <w:p w14:paraId="679CC321">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2.投标有效期：</w:t>
      </w:r>
      <w:r>
        <w:rPr>
          <w:rFonts w:hint="eastAsia" w:ascii="宋体" w:hAnsi="宋体" w:eastAsia="宋体" w:cs="宋体"/>
          <w:color w:val="auto"/>
          <w:sz w:val="30"/>
          <w:szCs w:val="30"/>
          <w:shd w:val="clear" w:color="auto" w:fill="FFFFFF"/>
        </w:rPr>
        <w:t>从提交投标文件的截止之日起</w:t>
      </w:r>
      <w:r>
        <w:rPr>
          <w:rFonts w:hint="eastAsia" w:ascii="宋体" w:hAnsi="宋体" w:eastAsia="宋体" w:cs="宋体"/>
          <w:color w:val="auto"/>
          <w:kern w:val="0"/>
          <w:sz w:val="30"/>
          <w:szCs w:val="30"/>
          <w:u w:val="single"/>
        </w:rPr>
        <w:t xml:space="preserve"> 60 </w:t>
      </w:r>
      <w:r>
        <w:rPr>
          <w:rFonts w:hint="eastAsia" w:ascii="宋体" w:hAnsi="宋体" w:eastAsia="宋体" w:cs="宋体"/>
          <w:color w:val="auto"/>
          <w:kern w:val="0"/>
          <w:sz w:val="30"/>
          <w:szCs w:val="30"/>
          <w:lang w:val="zh-CN"/>
        </w:rPr>
        <w:t>日历日内有效。如果我方在投标有效期内撤回投标或中标后不签约的，投标保证金将被贵方没收。</w:t>
      </w:r>
    </w:p>
    <w:p w14:paraId="39928020">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3.我方同意按照贵方要求提供与投标有关的一切数据或资料，理解并接受贵方制定的评标办法。</w:t>
      </w:r>
    </w:p>
    <w:p w14:paraId="6730C6B1">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4.与本投标有关的一切正式往来通讯请寄：</w:t>
      </w:r>
    </w:p>
    <w:p w14:paraId="37D960CC">
      <w:pPr>
        <w:autoSpaceDE w:val="0"/>
        <w:autoSpaceDN w:val="0"/>
        <w:spacing w:line="520" w:lineRule="exact"/>
        <w:rPr>
          <w:rFonts w:hint="eastAsia" w:ascii="宋体" w:hAnsi="宋体" w:eastAsia="宋体" w:cs="宋体"/>
          <w:color w:val="auto"/>
          <w:kern w:val="0"/>
          <w:sz w:val="30"/>
          <w:szCs w:val="30"/>
          <w:lang w:val="zh-CN"/>
        </w:rPr>
      </w:pPr>
    </w:p>
    <w:p w14:paraId="294479D2">
      <w:pPr>
        <w:autoSpaceDE w:val="0"/>
        <w:autoSpaceDN w:val="0"/>
        <w:spacing w:line="520" w:lineRule="exact"/>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地址：_______________          邮编：______________</w:t>
      </w:r>
    </w:p>
    <w:p w14:paraId="5B3009A9">
      <w:pPr>
        <w:autoSpaceDE w:val="0"/>
        <w:autoSpaceDN w:val="0"/>
        <w:spacing w:line="520" w:lineRule="exact"/>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电话：_______________          传真：______________</w:t>
      </w:r>
    </w:p>
    <w:p w14:paraId="66354B17">
      <w:pPr>
        <w:autoSpaceDE w:val="0"/>
        <w:autoSpaceDN w:val="0"/>
        <w:spacing w:line="520" w:lineRule="exact"/>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法定代表人姓名： ___________   职务：____________</w:t>
      </w:r>
    </w:p>
    <w:p w14:paraId="356D9DF9">
      <w:pPr>
        <w:autoSpaceDE w:val="0"/>
        <w:autoSpaceDN w:val="0"/>
        <w:spacing w:line="520" w:lineRule="exact"/>
        <w:rPr>
          <w:rFonts w:hint="eastAsia" w:ascii="宋体" w:hAnsi="宋体" w:eastAsia="宋体" w:cs="宋体"/>
          <w:color w:val="auto"/>
          <w:kern w:val="0"/>
          <w:sz w:val="30"/>
          <w:szCs w:val="30"/>
          <w:lang w:val="zh-CN"/>
        </w:rPr>
      </w:pPr>
    </w:p>
    <w:p w14:paraId="55DEBB4C">
      <w:pPr>
        <w:autoSpaceDE w:val="0"/>
        <w:autoSpaceDN w:val="0"/>
        <w:spacing w:line="520" w:lineRule="exact"/>
        <w:ind w:firstLine="1205" w:firstLineChars="400"/>
        <w:jc w:val="both"/>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投标人：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（公章）</w:t>
      </w:r>
    </w:p>
    <w:p w14:paraId="16C6D200">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法定代表人或委托代理人：        （签字或盖章）</w:t>
      </w:r>
    </w:p>
    <w:p w14:paraId="6B8B00E3">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年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月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日</w:t>
      </w:r>
    </w:p>
    <w:p w14:paraId="712FB8BF">
      <w:pPr>
        <w:pStyle w:val="25"/>
        <w:spacing w:before="0" w:after="0" w:line="520" w:lineRule="exact"/>
        <w:jc w:val="left"/>
        <w:outlineLvl w:val="1"/>
        <w:rPr>
          <w:rFonts w:hint="eastAsia" w:ascii="宋体" w:hAnsi="宋体" w:eastAsia="宋体" w:cs="宋体"/>
          <w:color w:val="auto"/>
          <w:sz w:val="30"/>
          <w:szCs w:val="30"/>
        </w:rPr>
      </w:pPr>
      <w:r>
        <w:rPr>
          <w:rFonts w:hint="eastAsia" w:ascii="宋体" w:hAnsi="宋体" w:eastAsia="宋体" w:cs="宋体"/>
          <w:b w:val="0"/>
          <w:bCs w:val="0"/>
          <w:color w:val="auto"/>
          <w:kern w:val="0"/>
          <w:sz w:val="24"/>
          <w:lang w:val="zh-CN"/>
        </w:rPr>
        <w:br w:type="page"/>
      </w:r>
      <w:bookmarkStart w:id="97" w:name="_Toc515908210"/>
      <w:bookmarkStart w:id="98" w:name="_Toc68160844"/>
      <w:bookmarkStart w:id="99" w:name="_Toc9051"/>
      <w:bookmarkStart w:id="100" w:name="_Toc29944"/>
      <w:r>
        <w:rPr>
          <w:rFonts w:hint="eastAsia" w:ascii="宋体" w:hAnsi="宋体" w:eastAsia="宋体" w:cs="宋体"/>
          <w:color w:val="auto"/>
          <w:kern w:val="0"/>
          <w:sz w:val="30"/>
          <w:szCs w:val="30"/>
          <w:lang w:val="zh-CN"/>
        </w:rPr>
        <w:t>（</w:t>
      </w:r>
      <w:r>
        <w:rPr>
          <w:rFonts w:hint="eastAsia" w:ascii="宋体" w:hAnsi="宋体" w:eastAsia="宋体" w:cs="宋体"/>
          <w:color w:val="auto"/>
          <w:kern w:val="0"/>
          <w:sz w:val="30"/>
          <w:szCs w:val="30"/>
        </w:rPr>
        <w:t>2</w:t>
      </w:r>
      <w:r>
        <w:rPr>
          <w:rFonts w:hint="eastAsia" w:ascii="宋体" w:hAnsi="宋体" w:eastAsia="宋体" w:cs="宋体"/>
          <w:color w:val="auto"/>
          <w:kern w:val="0"/>
          <w:sz w:val="30"/>
          <w:szCs w:val="30"/>
          <w:lang w:val="zh-CN"/>
        </w:rPr>
        <w:t>）</w:t>
      </w:r>
      <w:bookmarkEnd w:id="97"/>
      <w:bookmarkEnd w:id="98"/>
      <w:r>
        <w:rPr>
          <w:rFonts w:hint="eastAsia" w:ascii="宋体" w:hAnsi="宋体" w:eastAsia="宋体" w:cs="宋体"/>
          <w:color w:val="auto"/>
          <w:sz w:val="30"/>
          <w:szCs w:val="30"/>
        </w:rPr>
        <w:t>法定代表人（非法人组织负责人）证明书</w:t>
      </w:r>
      <w:bookmarkEnd w:id="99"/>
    </w:p>
    <w:p w14:paraId="6E57EA87">
      <w:pPr>
        <w:autoSpaceDE w:val="0"/>
        <w:autoSpaceDN w:val="0"/>
        <w:spacing w:line="520" w:lineRule="exact"/>
        <w:rPr>
          <w:rFonts w:hint="eastAsia" w:ascii="宋体" w:hAnsi="宋体" w:eastAsia="宋体" w:cs="宋体"/>
          <w:color w:val="auto"/>
          <w:kern w:val="0"/>
          <w:sz w:val="30"/>
          <w:szCs w:val="30"/>
          <w:lang w:val="zh-CN"/>
        </w:rPr>
      </w:pPr>
    </w:p>
    <w:p w14:paraId="469031AC">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sz w:val="30"/>
          <w:szCs w:val="30"/>
        </w:rPr>
        <w:t>法定代表人（非法人组织负责人）证明书</w:t>
      </w:r>
    </w:p>
    <w:p w14:paraId="031C2DB8">
      <w:pPr>
        <w:autoSpaceDE w:val="0"/>
        <w:autoSpaceDN w:val="0"/>
        <w:spacing w:line="520" w:lineRule="exact"/>
        <w:rPr>
          <w:rFonts w:hint="eastAsia" w:ascii="宋体" w:hAnsi="宋体" w:eastAsia="宋体" w:cs="宋体"/>
          <w:b/>
          <w:bCs/>
          <w:color w:val="auto"/>
          <w:kern w:val="0"/>
          <w:sz w:val="30"/>
          <w:szCs w:val="30"/>
          <w:lang w:val="zh-CN"/>
        </w:rPr>
      </w:pPr>
    </w:p>
    <w:p w14:paraId="01A93DEB">
      <w:pPr>
        <w:autoSpaceDE w:val="0"/>
        <w:autoSpaceDN w:val="0"/>
        <w:spacing w:line="520" w:lineRule="exact"/>
        <w:ind w:firstLine="482"/>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val="zh-CN"/>
        </w:rPr>
        <w:t>致：</w:t>
      </w:r>
      <w:r>
        <w:rPr>
          <w:rFonts w:hint="eastAsia" w:ascii="宋体" w:hAnsi="宋体" w:cs="宋体"/>
          <w:b/>
          <w:bCs/>
          <w:color w:val="auto"/>
          <w:sz w:val="30"/>
          <w:szCs w:val="30"/>
          <w:lang w:eastAsia="zh-CN"/>
        </w:rPr>
        <w:t>青海宇创项目管理有限责任公司</w:t>
      </w:r>
    </w:p>
    <w:p w14:paraId="3BD5264F">
      <w:pPr>
        <w:autoSpaceDE w:val="0"/>
        <w:autoSpaceDN w:val="0"/>
        <w:spacing w:line="520" w:lineRule="exact"/>
        <w:ind w:firstLine="480"/>
        <w:rPr>
          <w:rFonts w:hint="eastAsia" w:ascii="宋体" w:hAnsi="宋体" w:eastAsia="宋体" w:cs="宋体"/>
          <w:color w:val="auto"/>
          <w:sz w:val="30"/>
          <w:szCs w:val="30"/>
          <w:lang w:val="zh-CN"/>
        </w:rPr>
      </w:pPr>
    </w:p>
    <w:p w14:paraId="0441CBC1">
      <w:pPr>
        <w:autoSpaceDE w:val="0"/>
        <w:autoSpaceDN w:val="0"/>
        <w:spacing w:line="520" w:lineRule="exact"/>
        <w:ind w:firstLine="480"/>
        <w:rPr>
          <w:rFonts w:hint="eastAsia" w:ascii="宋体" w:hAnsi="宋体" w:eastAsia="宋体" w:cs="宋体"/>
          <w:color w:val="auto"/>
          <w:sz w:val="30"/>
          <w:szCs w:val="30"/>
          <w:lang w:val="zh-CN"/>
        </w:rPr>
      </w:pPr>
      <w:r>
        <w:rPr>
          <w:rFonts w:hint="eastAsia" w:ascii="宋体" w:hAnsi="宋体" w:eastAsia="宋体" w:cs="宋体"/>
          <w:color w:val="auto"/>
          <w:sz w:val="30"/>
          <w:szCs w:val="30"/>
          <w:u w:val="single"/>
          <w:lang w:val="zh-CN"/>
        </w:rPr>
        <w:t xml:space="preserve">   法定代表人（非法人组织负责人）姓名</w:t>
      </w:r>
      <w:r>
        <w:rPr>
          <w:rFonts w:hint="eastAsia" w:ascii="宋体" w:hAnsi="宋体" w:eastAsia="宋体" w:cs="宋体"/>
          <w:color w:val="auto"/>
          <w:sz w:val="30"/>
          <w:szCs w:val="30"/>
          <w:lang w:val="zh-CN"/>
        </w:rPr>
        <w:t>现任我单位职务，为法定代表人（非法人组织的负责人），特此证明。</w:t>
      </w:r>
    </w:p>
    <w:p w14:paraId="7E62B6D9">
      <w:pPr>
        <w:autoSpaceDE w:val="0"/>
        <w:autoSpaceDN w:val="0"/>
        <w:spacing w:line="520" w:lineRule="exact"/>
        <w:ind w:firstLine="480"/>
        <w:rPr>
          <w:rFonts w:hint="eastAsia" w:ascii="宋体" w:hAnsi="宋体" w:eastAsia="宋体" w:cs="宋体"/>
          <w:color w:val="auto"/>
          <w:sz w:val="30"/>
          <w:szCs w:val="30"/>
          <w:lang w:val="zh-CN"/>
        </w:rPr>
      </w:pPr>
    </w:p>
    <w:p w14:paraId="7E83FC6D">
      <w:pPr>
        <w:autoSpaceDE w:val="0"/>
        <w:autoSpaceDN w:val="0"/>
        <w:spacing w:line="520" w:lineRule="exact"/>
        <w:ind w:firstLine="48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法定代表人（非法人组织的负责人）基本情况：</w:t>
      </w:r>
    </w:p>
    <w:p w14:paraId="5FCE60E5">
      <w:pPr>
        <w:autoSpaceDE w:val="0"/>
        <w:autoSpaceDN w:val="0"/>
        <w:spacing w:line="520" w:lineRule="exact"/>
        <w:ind w:firstLine="480"/>
        <w:rPr>
          <w:rFonts w:hint="eastAsia" w:ascii="宋体" w:hAnsi="宋体" w:eastAsia="宋体" w:cs="宋体"/>
          <w:color w:val="auto"/>
          <w:sz w:val="30"/>
          <w:szCs w:val="30"/>
          <w:u w:val="single"/>
          <w:lang w:val="zh-CN"/>
        </w:rPr>
      </w:pPr>
      <w:r>
        <w:rPr>
          <w:rFonts w:hint="eastAsia" w:ascii="宋体" w:hAnsi="宋体" w:eastAsia="宋体" w:cs="宋体"/>
          <w:color w:val="auto"/>
          <w:sz w:val="30"/>
          <w:szCs w:val="30"/>
          <w:lang w:val="zh-CN"/>
        </w:rPr>
        <w:t>性别：</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lang w:val="zh-CN"/>
        </w:rPr>
        <w:t xml:space="preserve">年龄：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lang w:val="zh-CN"/>
        </w:rPr>
        <w:t>民族：</w:t>
      </w:r>
    </w:p>
    <w:p w14:paraId="47D41BC2">
      <w:pPr>
        <w:autoSpaceDE w:val="0"/>
        <w:autoSpaceDN w:val="0"/>
        <w:spacing w:line="520" w:lineRule="exact"/>
        <w:ind w:firstLine="480"/>
        <w:rPr>
          <w:rFonts w:hint="eastAsia" w:ascii="宋体" w:hAnsi="宋体" w:eastAsia="宋体" w:cs="宋体"/>
          <w:color w:val="auto"/>
          <w:sz w:val="30"/>
          <w:szCs w:val="30"/>
          <w:u w:val="single"/>
          <w:lang w:val="zh-CN"/>
        </w:rPr>
      </w:pPr>
      <w:r>
        <w:rPr>
          <w:rFonts w:hint="eastAsia" w:ascii="宋体" w:hAnsi="宋体" w:eastAsia="宋体" w:cs="宋体"/>
          <w:color w:val="auto"/>
          <w:sz w:val="30"/>
          <w:szCs w:val="30"/>
          <w:lang w:val="zh-CN"/>
        </w:rPr>
        <w:t>地址：</w:t>
      </w:r>
    </w:p>
    <w:p w14:paraId="5B832D59">
      <w:pPr>
        <w:autoSpaceDE w:val="0"/>
        <w:autoSpaceDN w:val="0"/>
        <w:spacing w:line="520" w:lineRule="exact"/>
        <w:ind w:firstLine="48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身份证号码：</w:t>
      </w:r>
    </w:p>
    <w:p w14:paraId="5DF9140B">
      <w:pPr>
        <w:autoSpaceDE w:val="0"/>
        <w:autoSpaceDN w:val="0"/>
        <w:spacing w:line="520" w:lineRule="exact"/>
        <w:ind w:firstLine="480"/>
        <w:rPr>
          <w:rFonts w:hint="eastAsia" w:ascii="宋体" w:hAnsi="宋体" w:eastAsia="宋体" w:cs="宋体"/>
          <w:color w:val="auto"/>
          <w:sz w:val="30"/>
          <w:szCs w:val="30"/>
          <w:lang w:val="zh-CN"/>
        </w:rPr>
      </w:pPr>
    </w:p>
    <w:p w14:paraId="60DCC8A3">
      <w:pPr>
        <w:autoSpaceDE w:val="0"/>
        <w:autoSpaceDN w:val="0"/>
        <w:spacing w:line="520" w:lineRule="exact"/>
        <w:ind w:firstLine="48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附法定代表人第二代身份证双面扫描（或复印）件</w:t>
      </w:r>
    </w:p>
    <w:p w14:paraId="61AF6937">
      <w:pPr>
        <w:autoSpaceDE w:val="0"/>
        <w:autoSpaceDN w:val="0"/>
        <w:spacing w:line="360" w:lineRule="auto"/>
        <w:jc w:val="left"/>
        <w:rPr>
          <w:rFonts w:hint="eastAsia" w:ascii="宋体" w:hAnsi="宋体" w:eastAsia="宋体" w:cs="宋体"/>
          <w:color w:val="auto"/>
          <w:sz w:val="30"/>
          <w:szCs w:val="30"/>
        </w:rPr>
      </w:pPr>
    </w:p>
    <w:p w14:paraId="66B32AD5">
      <w:pPr>
        <w:autoSpaceDE w:val="0"/>
        <w:autoSpaceDN w:val="0"/>
        <w:spacing w:line="360" w:lineRule="auto"/>
        <w:jc w:val="left"/>
        <w:rPr>
          <w:rFonts w:hint="eastAsia" w:ascii="宋体" w:hAnsi="宋体" w:eastAsia="宋体" w:cs="宋体"/>
          <w:color w:val="auto"/>
          <w:sz w:val="30"/>
          <w:szCs w:val="30"/>
        </w:rPr>
      </w:pPr>
    </w:p>
    <w:p w14:paraId="756BC670">
      <w:pPr>
        <w:autoSpaceDE w:val="0"/>
        <w:autoSpaceDN w:val="0"/>
        <w:spacing w:line="360" w:lineRule="auto"/>
        <w:jc w:val="left"/>
        <w:rPr>
          <w:rFonts w:hint="eastAsia" w:ascii="宋体" w:hAnsi="宋体" w:eastAsia="宋体" w:cs="宋体"/>
          <w:color w:val="auto"/>
          <w:sz w:val="30"/>
          <w:szCs w:val="30"/>
        </w:rPr>
      </w:pPr>
    </w:p>
    <w:p w14:paraId="6188B8E8">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 xml:space="preserve">                               供应商：（公章）</w:t>
      </w:r>
    </w:p>
    <w:p w14:paraId="44D473EA">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w:t>
      </w:r>
      <w:r>
        <w:rPr>
          <w:rFonts w:hint="eastAsia" w:ascii="宋体" w:hAnsi="宋体" w:eastAsia="宋体" w:cs="宋体"/>
          <w:b/>
          <w:bCs/>
          <w:color w:val="auto"/>
          <w:sz w:val="30"/>
          <w:szCs w:val="30"/>
        </w:rPr>
        <w:t>（非法人组织的负责人）</w:t>
      </w:r>
      <w:r>
        <w:rPr>
          <w:rFonts w:hint="eastAsia" w:ascii="宋体" w:hAnsi="宋体" w:eastAsia="宋体" w:cs="宋体"/>
          <w:b/>
          <w:color w:val="auto"/>
          <w:sz w:val="30"/>
          <w:szCs w:val="30"/>
        </w:rPr>
        <w:t>或委托代理人：（签字或盖章）</w:t>
      </w:r>
    </w:p>
    <w:p w14:paraId="2F49B682">
      <w:pPr>
        <w:wordWrap w:val="0"/>
        <w:spacing w:line="360" w:lineRule="auto"/>
        <w:rPr>
          <w:rFonts w:hint="eastAsia" w:ascii="宋体" w:hAnsi="宋体" w:eastAsia="宋体" w:cs="宋体"/>
          <w:b/>
          <w:bCs/>
          <w:color w:val="auto"/>
          <w:sz w:val="30"/>
          <w:szCs w:val="30"/>
        </w:rPr>
      </w:pPr>
      <w:r>
        <w:rPr>
          <w:rFonts w:hint="eastAsia" w:ascii="宋体" w:hAnsi="宋体" w:eastAsia="宋体" w:cs="宋体"/>
          <w:b/>
          <w:color w:val="auto"/>
          <w:sz w:val="30"/>
          <w:szCs w:val="30"/>
        </w:rPr>
        <w:t xml:space="preserve">                                               年   月   日</w:t>
      </w:r>
      <w:r>
        <w:rPr>
          <w:rFonts w:hint="eastAsia" w:ascii="宋体" w:hAnsi="宋体" w:eastAsia="宋体" w:cs="宋体"/>
          <w:color w:val="auto"/>
          <w:sz w:val="30"/>
          <w:szCs w:val="30"/>
          <w:lang w:val="zh-CN"/>
        </w:rPr>
        <w:br w:type="page"/>
      </w:r>
      <w:bookmarkEnd w:id="100"/>
      <w:bookmarkStart w:id="101" w:name="_Toc17284"/>
      <w:r>
        <w:rPr>
          <w:rFonts w:hint="eastAsia" w:ascii="宋体" w:hAnsi="宋体" w:eastAsia="宋体" w:cs="宋体"/>
          <w:b/>
          <w:bCs/>
          <w:color w:val="auto"/>
          <w:sz w:val="30"/>
          <w:szCs w:val="30"/>
        </w:rPr>
        <w:t>（3）法定代表人（非法人组织负责人）授权书</w:t>
      </w:r>
    </w:p>
    <w:p w14:paraId="64F6B38F">
      <w:pPr>
        <w:spacing w:line="360" w:lineRule="auto"/>
        <w:rPr>
          <w:rFonts w:hint="eastAsia" w:ascii="宋体" w:hAnsi="宋体" w:eastAsia="宋体" w:cs="宋体"/>
          <w:b/>
          <w:color w:val="auto"/>
          <w:sz w:val="30"/>
          <w:szCs w:val="30"/>
        </w:rPr>
      </w:pPr>
    </w:p>
    <w:p w14:paraId="406F429D">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法定代表人（非法人组织负责人）授权书</w:t>
      </w:r>
    </w:p>
    <w:p w14:paraId="220E9353">
      <w:pPr>
        <w:spacing w:line="360" w:lineRule="auto"/>
        <w:rPr>
          <w:rFonts w:hint="eastAsia" w:ascii="宋体" w:hAnsi="宋体" w:eastAsia="宋体" w:cs="宋体"/>
          <w:b/>
          <w:bCs/>
          <w:color w:val="auto"/>
          <w:sz w:val="30"/>
          <w:szCs w:val="30"/>
        </w:rPr>
      </w:pPr>
    </w:p>
    <w:p w14:paraId="6C0EC64C">
      <w:pPr>
        <w:spacing w:line="360" w:lineRule="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致：</w:t>
      </w:r>
      <w:r>
        <w:rPr>
          <w:rFonts w:hint="eastAsia" w:ascii="宋体" w:hAnsi="宋体" w:cs="宋体"/>
          <w:b/>
          <w:bCs/>
          <w:color w:val="auto"/>
          <w:sz w:val="30"/>
          <w:szCs w:val="30"/>
          <w:lang w:eastAsia="zh-CN"/>
        </w:rPr>
        <w:t>青海宇创项目管理有限责任公司</w:t>
      </w:r>
    </w:p>
    <w:p w14:paraId="0EFD8792">
      <w:pPr>
        <w:spacing w:line="360" w:lineRule="auto"/>
        <w:rPr>
          <w:rFonts w:hint="eastAsia" w:ascii="宋体" w:hAnsi="宋体" w:eastAsia="宋体" w:cs="宋体"/>
          <w:color w:val="auto"/>
          <w:sz w:val="30"/>
          <w:szCs w:val="30"/>
          <w:u w:val="single"/>
        </w:rPr>
      </w:pPr>
    </w:p>
    <w:p w14:paraId="1B2DA878">
      <w:pPr>
        <w:autoSpaceDE w:val="0"/>
        <w:autoSpaceDN w:val="0"/>
        <w:spacing w:line="560" w:lineRule="exact"/>
        <w:ind w:firstLine="480"/>
        <w:rPr>
          <w:rFonts w:hint="eastAsia" w:ascii="宋体" w:hAnsi="宋体" w:eastAsia="宋体" w:cs="宋体"/>
          <w:color w:val="auto"/>
          <w:sz w:val="30"/>
          <w:szCs w:val="30"/>
          <w:lang w:val="zh-CN"/>
        </w:rPr>
      </w:pPr>
      <w:r>
        <w:rPr>
          <w:rFonts w:hint="eastAsia" w:ascii="宋体" w:hAnsi="宋体" w:eastAsia="宋体" w:cs="宋体"/>
          <w:color w:val="auto"/>
          <w:sz w:val="30"/>
          <w:szCs w:val="30"/>
          <w:u w:val="single"/>
          <w:lang w:val="zh-CN"/>
        </w:rPr>
        <w:t>（供应商名称）</w:t>
      </w:r>
      <w:r>
        <w:rPr>
          <w:rFonts w:hint="eastAsia" w:ascii="宋体" w:hAnsi="宋体" w:eastAsia="宋体" w:cs="宋体"/>
          <w:color w:val="auto"/>
          <w:sz w:val="30"/>
          <w:szCs w:val="30"/>
          <w:lang w:val="zh-CN"/>
        </w:rPr>
        <w:t>系中华人民共和国合法企业，法定地址。</w:t>
      </w:r>
    </w:p>
    <w:p w14:paraId="1FD7FC01">
      <w:pPr>
        <w:autoSpaceDE w:val="0"/>
        <w:autoSpaceDN w:val="0"/>
        <w:spacing w:line="560" w:lineRule="exact"/>
        <w:ind w:firstLine="480"/>
        <w:rPr>
          <w:rFonts w:hint="eastAsia" w:ascii="宋体" w:hAnsi="宋体" w:eastAsia="宋体" w:cs="宋体"/>
          <w:color w:val="auto"/>
          <w:sz w:val="30"/>
          <w:szCs w:val="30"/>
          <w:lang w:val="zh-CN"/>
        </w:rPr>
      </w:pPr>
      <w:r>
        <w:rPr>
          <w:rFonts w:hint="eastAsia" w:ascii="宋体" w:hAnsi="宋体" w:eastAsia="宋体" w:cs="宋体"/>
          <w:color w:val="auto"/>
          <w:sz w:val="30"/>
          <w:szCs w:val="30"/>
          <w:u w:val="single"/>
          <w:lang w:val="zh-CN"/>
        </w:rPr>
        <w:t>法定代表人</w:t>
      </w:r>
      <w:r>
        <w:rPr>
          <w:rFonts w:hint="eastAsia" w:ascii="宋体" w:hAnsi="宋体" w:eastAsia="宋体" w:cs="宋体"/>
          <w:bCs/>
          <w:color w:val="auto"/>
          <w:sz w:val="30"/>
          <w:szCs w:val="30"/>
          <w:u w:val="single"/>
        </w:rPr>
        <w:t>（非法人组织负责人）</w:t>
      </w:r>
      <w:r>
        <w:rPr>
          <w:rFonts w:hint="eastAsia" w:ascii="宋体" w:hAnsi="宋体" w:eastAsia="宋体" w:cs="宋体"/>
          <w:color w:val="auto"/>
          <w:sz w:val="30"/>
          <w:szCs w:val="30"/>
          <w:u w:val="single"/>
          <w:lang w:val="zh-CN"/>
        </w:rPr>
        <w:t xml:space="preserve">姓名   </w:t>
      </w:r>
      <w:r>
        <w:rPr>
          <w:rFonts w:hint="eastAsia" w:ascii="宋体" w:hAnsi="宋体" w:eastAsia="宋体" w:cs="宋体"/>
          <w:color w:val="auto"/>
          <w:sz w:val="30"/>
          <w:szCs w:val="30"/>
          <w:lang w:val="zh-CN"/>
        </w:rPr>
        <w:t>特授权</w:t>
      </w:r>
      <w:r>
        <w:rPr>
          <w:rFonts w:hint="eastAsia" w:ascii="宋体" w:hAnsi="宋体" w:eastAsia="宋体" w:cs="宋体"/>
          <w:color w:val="auto"/>
          <w:sz w:val="30"/>
          <w:szCs w:val="30"/>
          <w:u w:val="single"/>
          <w:lang w:val="zh-CN"/>
        </w:rPr>
        <w:t>（委托代理人姓名）</w:t>
      </w:r>
      <w:r>
        <w:rPr>
          <w:rFonts w:hint="eastAsia" w:ascii="宋体" w:hAnsi="宋体" w:eastAsia="宋体" w:cs="宋体"/>
          <w:color w:val="auto"/>
          <w:sz w:val="30"/>
          <w:szCs w:val="30"/>
          <w:lang w:val="zh-CN"/>
        </w:rPr>
        <w:t>代表我单位全权办理</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lang w:val="zh-CN"/>
        </w:rPr>
        <w:t>项目的</w:t>
      </w:r>
      <w:r>
        <w:rPr>
          <w:rFonts w:hint="eastAsia" w:ascii="宋体" w:hAnsi="宋体" w:cs="宋体"/>
          <w:color w:val="auto"/>
          <w:sz w:val="30"/>
          <w:szCs w:val="30"/>
          <w:lang w:val="en-US" w:eastAsia="zh-CN"/>
        </w:rPr>
        <w:t>投标</w:t>
      </w:r>
      <w:r>
        <w:rPr>
          <w:rFonts w:hint="eastAsia" w:ascii="宋体" w:hAnsi="宋体" w:eastAsia="宋体" w:cs="宋体"/>
          <w:color w:val="auto"/>
          <w:sz w:val="30"/>
          <w:szCs w:val="30"/>
          <w:lang w:val="zh-CN"/>
        </w:rPr>
        <w:t>、答疑等具体工作，并签署全部有关的文件、资料。</w:t>
      </w:r>
    </w:p>
    <w:p w14:paraId="3D128E39">
      <w:pPr>
        <w:autoSpaceDE w:val="0"/>
        <w:autoSpaceDN w:val="0"/>
        <w:spacing w:line="560" w:lineRule="exact"/>
        <w:ind w:firstLine="48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我单位对被授权人的签名负全部责任。</w:t>
      </w:r>
    </w:p>
    <w:p w14:paraId="2C2721E7">
      <w:pPr>
        <w:autoSpaceDE w:val="0"/>
        <w:autoSpaceDN w:val="0"/>
        <w:spacing w:line="560" w:lineRule="exact"/>
        <w:ind w:firstLine="480"/>
        <w:rPr>
          <w:rFonts w:hint="eastAsia" w:ascii="宋体" w:hAnsi="宋体" w:eastAsia="宋体" w:cs="宋体"/>
          <w:color w:val="auto"/>
          <w:sz w:val="30"/>
          <w:szCs w:val="30"/>
          <w:u w:val="single"/>
          <w:lang w:val="zh-CN"/>
        </w:rPr>
      </w:pPr>
      <w:r>
        <w:rPr>
          <w:rFonts w:hint="eastAsia" w:ascii="宋体" w:hAnsi="宋体" w:eastAsia="宋体" w:cs="宋体"/>
          <w:color w:val="auto"/>
          <w:sz w:val="30"/>
          <w:szCs w:val="30"/>
          <w:lang w:val="zh-CN"/>
        </w:rPr>
        <w:t xml:space="preserve">被授权人联系电话： </w:t>
      </w:r>
    </w:p>
    <w:p w14:paraId="61E6671E">
      <w:pPr>
        <w:autoSpaceDE w:val="0"/>
        <w:autoSpaceDN w:val="0"/>
        <w:spacing w:line="560" w:lineRule="exact"/>
        <w:ind w:firstLine="48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被授权人（委托代理人）签字</w:t>
      </w:r>
      <w:r>
        <w:rPr>
          <w:rFonts w:hint="eastAsia" w:ascii="宋体" w:hAnsi="宋体" w:eastAsia="宋体" w:cs="宋体"/>
          <w:color w:val="auto"/>
          <w:sz w:val="30"/>
          <w:szCs w:val="30"/>
        </w:rPr>
        <w:t>或盖章</w:t>
      </w:r>
      <w:r>
        <w:rPr>
          <w:rFonts w:hint="eastAsia" w:ascii="宋体" w:hAnsi="宋体" w:eastAsia="宋体" w:cs="宋体"/>
          <w:color w:val="auto"/>
          <w:sz w:val="30"/>
          <w:szCs w:val="30"/>
          <w:lang w:val="zh-CN"/>
        </w:rPr>
        <w:t>：</w:t>
      </w:r>
    </w:p>
    <w:p w14:paraId="53901CD3">
      <w:pPr>
        <w:autoSpaceDE w:val="0"/>
        <w:autoSpaceDN w:val="0"/>
        <w:spacing w:line="560" w:lineRule="exact"/>
        <w:ind w:firstLine="48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职务：</w:t>
      </w:r>
    </w:p>
    <w:p w14:paraId="159A2A57">
      <w:pPr>
        <w:autoSpaceDE w:val="0"/>
        <w:autoSpaceDN w:val="0"/>
        <w:spacing w:line="560" w:lineRule="exact"/>
        <w:ind w:firstLine="480"/>
        <w:rPr>
          <w:rFonts w:hint="eastAsia" w:ascii="宋体" w:hAnsi="宋体" w:eastAsia="宋体" w:cs="宋体"/>
          <w:color w:val="auto"/>
          <w:sz w:val="30"/>
          <w:szCs w:val="30"/>
          <w:u w:val="single"/>
          <w:lang w:val="zh-CN"/>
        </w:rPr>
      </w:pPr>
      <w:r>
        <w:rPr>
          <w:rFonts w:hint="eastAsia" w:ascii="宋体" w:hAnsi="宋体" w:eastAsia="宋体" w:cs="宋体"/>
          <w:color w:val="auto"/>
          <w:sz w:val="30"/>
          <w:szCs w:val="30"/>
          <w:lang w:val="zh-CN"/>
        </w:rPr>
        <w:t>授权人（法定代表人或非法人组织的负责人）签字</w:t>
      </w:r>
      <w:r>
        <w:rPr>
          <w:rFonts w:hint="eastAsia" w:ascii="宋体" w:hAnsi="宋体" w:eastAsia="宋体" w:cs="宋体"/>
          <w:color w:val="auto"/>
          <w:sz w:val="30"/>
          <w:szCs w:val="30"/>
        </w:rPr>
        <w:t>或盖章</w:t>
      </w:r>
      <w:r>
        <w:rPr>
          <w:rFonts w:hint="eastAsia" w:ascii="宋体" w:hAnsi="宋体" w:eastAsia="宋体" w:cs="宋体"/>
          <w:color w:val="auto"/>
          <w:sz w:val="30"/>
          <w:szCs w:val="30"/>
          <w:lang w:val="zh-CN"/>
        </w:rPr>
        <w:t>：</w:t>
      </w:r>
    </w:p>
    <w:p w14:paraId="23845BDA">
      <w:pPr>
        <w:autoSpaceDE w:val="0"/>
        <w:autoSpaceDN w:val="0"/>
        <w:spacing w:line="560" w:lineRule="exact"/>
        <w:ind w:firstLine="480"/>
        <w:rPr>
          <w:rFonts w:hint="eastAsia" w:ascii="宋体" w:hAnsi="宋体" w:eastAsia="宋体" w:cs="宋体"/>
          <w:color w:val="auto"/>
          <w:sz w:val="30"/>
          <w:szCs w:val="30"/>
          <w:u w:val="single"/>
          <w:lang w:val="zh-CN"/>
        </w:rPr>
      </w:pPr>
      <w:r>
        <w:rPr>
          <w:rFonts w:hint="eastAsia" w:ascii="宋体" w:hAnsi="宋体" w:eastAsia="宋体" w:cs="宋体"/>
          <w:color w:val="auto"/>
          <w:sz w:val="30"/>
          <w:szCs w:val="30"/>
          <w:lang w:val="zh-CN"/>
        </w:rPr>
        <w:t>职务：</w:t>
      </w:r>
    </w:p>
    <w:p w14:paraId="074111F9">
      <w:pPr>
        <w:autoSpaceDE w:val="0"/>
        <w:autoSpaceDN w:val="0"/>
        <w:spacing w:line="560" w:lineRule="exact"/>
        <w:ind w:firstLine="480"/>
        <w:rPr>
          <w:rFonts w:hint="eastAsia" w:ascii="宋体" w:hAnsi="宋体" w:eastAsia="宋体" w:cs="宋体"/>
          <w:color w:val="auto"/>
          <w:sz w:val="30"/>
          <w:szCs w:val="30"/>
          <w:lang w:val="zh-CN"/>
        </w:rPr>
      </w:pPr>
    </w:p>
    <w:p w14:paraId="5CC55B43">
      <w:pPr>
        <w:autoSpaceDE w:val="0"/>
        <w:autoSpaceDN w:val="0"/>
        <w:spacing w:line="560" w:lineRule="exact"/>
        <w:ind w:firstLine="48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附被授权人第二代身份证双面扫描（或复印）件</w:t>
      </w:r>
    </w:p>
    <w:p w14:paraId="11B2038E">
      <w:pPr>
        <w:autoSpaceDE w:val="0"/>
        <w:autoSpaceDN w:val="0"/>
        <w:spacing w:line="360" w:lineRule="auto"/>
        <w:ind w:firstLine="420"/>
        <w:rPr>
          <w:rFonts w:hint="eastAsia" w:ascii="宋体" w:hAnsi="宋体" w:eastAsia="宋体" w:cs="宋体"/>
          <w:color w:val="auto"/>
          <w:lang w:val="zh-CN"/>
        </w:rPr>
      </w:pPr>
    </w:p>
    <w:p w14:paraId="04E66A9C">
      <w:pPr>
        <w:autoSpaceDE w:val="0"/>
        <w:autoSpaceDN w:val="0"/>
        <w:spacing w:line="360" w:lineRule="auto"/>
        <w:ind w:firstLine="420"/>
        <w:rPr>
          <w:rFonts w:hint="eastAsia" w:ascii="宋体" w:hAnsi="宋体" w:eastAsia="宋体" w:cs="宋体"/>
          <w:color w:val="auto"/>
          <w:lang w:val="zh-CN"/>
        </w:rPr>
      </w:pPr>
    </w:p>
    <w:p w14:paraId="7177C891">
      <w:pPr>
        <w:spacing w:line="360" w:lineRule="auto"/>
        <w:rPr>
          <w:rFonts w:hint="eastAsia" w:ascii="宋体" w:hAnsi="宋体" w:eastAsia="宋体" w:cs="宋体"/>
          <w:color w:val="auto"/>
        </w:rPr>
      </w:pPr>
    </w:p>
    <w:p w14:paraId="76E8B036">
      <w:pPr>
        <w:autoSpaceDE w:val="0"/>
        <w:autoSpaceDN w:val="0"/>
        <w:spacing w:line="520" w:lineRule="exact"/>
        <w:jc w:val="center"/>
        <w:rPr>
          <w:rFonts w:hint="eastAsia" w:ascii="宋体" w:hAnsi="宋体" w:eastAsia="宋体" w:cs="宋体"/>
          <w:color w:val="auto"/>
          <w:sz w:val="30"/>
          <w:szCs w:val="30"/>
        </w:rPr>
      </w:pPr>
      <w:r>
        <w:rPr>
          <w:rFonts w:hint="eastAsia" w:ascii="宋体" w:hAnsi="宋体" w:eastAsia="宋体" w:cs="宋体"/>
          <w:b/>
          <w:color w:val="auto"/>
          <w:lang w:val="en-US" w:eastAsia="zh-CN"/>
        </w:rPr>
        <w:t xml:space="preserve">                         </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供应商：（公章）</w:t>
      </w:r>
      <w:r>
        <w:rPr>
          <w:rFonts w:hint="eastAsia" w:ascii="宋体" w:hAnsi="宋体" w:eastAsia="宋体" w:cs="宋体"/>
          <w:color w:val="auto"/>
          <w:sz w:val="30"/>
          <w:szCs w:val="30"/>
        </w:rPr>
        <w:t xml:space="preserve">                                        </w:t>
      </w:r>
    </w:p>
    <w:p w14:paraId="140A357C">
      <w:pPr>
        <w:autoSpaceDE w:val="0"/>
        <w:autoSpaceDN w:val="0"/>
        <w:spacing w:line="520" w:lineRule="exact"/>
        <w:ind w:firstLine="4500" w:firstLineChars="1500"/>
        <w:jc w:val="both"/>
        <w:rPr>
          <w:rFonts w:hint="eastAsia" w:ascii="宋体" w:hAnsi="宋体" w:eastAsia="宋体" w:cs="宋体"/>
          <w:b/>
          <w:bCs/>
          <w:color w:val="auto"/>
          <w:kern w:val="0"/>
          <w:sz w:val="30"/>
          <w:szCs w:val="30"/>
          <w:lang w:val="zh-CN"/>
        </w:rPr>
      </w:pP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b/>
          <w:color w:val="auto"/>
          <w:sz w:val="30"/>
          <w:szCs w:val="30"/>
        </w:rPr>
        <w:t>年   月   日</w:t>
      </w:r>
    </w:p>
    <w:p w14:paraId="2A7F2F5B">
      <w:pPr>
        <w:pStyle w:val="25"/>
        <w:spacing w:before="0" w:after="0" w:line="520" w:lineRule="exact"/>
        <w:jc w:val="left"/>
        <w:outlineLvl w:val="1"/>
        <w:rPr>
          <w:rFonts w:hint="eastAsia" w:ascii="宋体" w:hAnsi="宋体" w:eastAsia="宋体" w:cs="宋体"/>
          <w:color w:val="auto"/>
          <w:sz w:val="30"/>
          <w:szCs w:val="30"/>
          <w:lang w:val="zh-CN"/>
        </w:rPr>
      </w:pPr>
      <w:r>
        <w:rPr>
          <w:rFonts w:hint="eastAsia" w:ascii="宋体" w:hAnsi="宋体" w:eastAsia="宋体" w:cs="宋体"/>
          <w:color w:val="auto"/>
          <w:lang w:val="zh-CN"/>
        </w:rPr>
        <w:br w:type="page"/>
      </w:r>
      <w:bookmarkStart w:id="102" w:name="_Toc68160846"/>
      <w:bookmarkStart w:id="103" w:name="_Toc515908212"/>
      <w:bookmarkStart w:id="104" w:name="_Toc18580"/>
      <w:r>
        <w:rPr>
          <w:rFonts w:hint="eastAsia" w:ascii="宋体" w:hAnsi="宋体" w:eastAsia="宋体" w:cs="宋体"/>
          <w:color w:val="auto"/>
          <w:sz w:val="30"/>
          <w:szCs w:val="30"/>
        </w:rPr>
        <w:t>（4）</w:t>
      </w:r>
      <w:r>
        <w:rPr>
          <w:rFonts w:hint="eastAsia" w:ascii="宋体" w:hAnsi="宋体" w:eastAsia="宋体" w:cs="宋体"/>
          <w:color w:val="auto"/>
          <w:sz w:val="30"/>
          <w:szCs w:val="30"/>
          <w:lang w:val="zh-CN"/>
        </w:rPr>
        <w:t>投标人承诺函</w:t>
      </w:r>
      <w:bookmarkEnd w:id="102"/>
      <w:bookmarkEnd w:id="103"/>
      <w:bookmarkEnd w:id="104"/>
    </w:p>
    <w:p w14:paraId="52CBE3E5">
      <w:pPr>
        <w:autoSpaceDE w:val="0"/>
        <w:autoSpaceDN w:val="0"/>
        <w:spacing w:line="520" w:lineRule="exact"/>
        <w:rPr>
          <w:rFonts w:hint="eastAsia" w:ascii="宋体" w:hAnsi="宋体" w:eastAsia="宋体" w:cs="宋体"/>
          <w:color w:val="auto"/>
          <w:kern w:val="0"/>
          <w:sz w:val="30"/>
          <w:szCs w:val="30"/>
          <w:lang w:val="zh-CN"/>
        </w:rPr>
      </w:pPr>
    </w:p>
    <w:p w14:paraId="30C82961">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投标人承诺函</w:t>
      </w:r>
    </w:p>
    <w:p w14:paraId="6281E90F">
      <w:pPr>
        <w:autoSpaceDE w:val="0"/>
        <w:autoSpaceDN w:val="0"/>
        <w:spacing w:line="520" w:lineRule="exact"/>
        <w:rPr>
          <w:rFonts w:hint="eastAsia" w:ascii="宋体" w:hAnsi="宋体" w:eastAsia="宋体" w:cs="宋体"/>
          <w:b/>
          <w:bCs/>
          <w:color w:val="auto"/>
          <w:kern w:val="0"/>
          <w:sz w:val="30"/>
          <w:szCs w:val="30"/>
          <w:lang w:val="zh-CN"/>
        </w:rPr>
      </w:pPr>
    </w:p>
    <w:p w14:paraId="064E96D3">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致：</w:t>
      </w:r>
      <w:r>
        <w:rPr>
          <w:rFonts w:hint="eastAsia" w:ascii="宋体" w:hAnsi="宋体" w:cs="宋体"/>
          <w:b/>
          <w:bCs/>
          <w:color w:val="auto"/>
          <w:sz w:val="30"/>
          <w:szCs w:val="30"/>
          <w:lang w:eastAsia="zh-CN"/>
        </w:rPr>
        <w:t>青海宇创项目管理有限责任公司</w:t>
      </w:r>
    </w:p>
    <w:p w14:paraId="4C95FA35">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关于贵方20</w:t>
      </w:r>
      <w:r>
        <w:rPr>
          <w:rFonts w:hint="eastAsia" w:ascii="宋体" w:hAnsi="宋体" w:cs="宋体"/>
          <w:color w:val="auto"/>
          <w:kern w:val="0"/>
          <w:sz w:val="30"/>
          <w:szCs w:val="30"/>
          <w:lang w:val="en-US" w:eastAsia="zh-CN"/>
        </w:rPr>
        <w:t>XX</w:t>
      </w:r>
      <w:r>
        <w:rPr>
          <w:rFonts w:hint="eastAsia" w:ascii="宋体" w:hAnsi="宋体" w:eastAsia="宋体" w:cs="宋体"/>
          <w:color w:val="auto"/>
          <w:kern w:val="0"/>
          <w:sz w:val="30"/>
          <w:szCs w:val="30"/>
          <w:lang w:val="zh-CN"/>
        </w:rPr>
        <w:t>年</w:t>
      </w:r>
      <w:r>
        <w:rPr>
          <w:rFonts w:hint="eastAsia" w:ascii="宋体" w:hAnsi="宋体" w:eastAsia="宋体" w:cs="宋体"/>
          <w:color w:val="auto"/>
          <w:kern w:val="0"/>
          <w:sz w:val="30"/>
          <w:szCs w:val="30"/>
          <w:u w:val="single"/>
          <w:lang w:val="zh-CN"/>
        </w:rPr>
        <w:t xml:space="preserve">  </w:t>
      </w:r>
      <w:r>
        <w:rPr>
          <w:rFonts w:hint="eastAsia" w:ascii="宋体" w:hAnsi="宋体" w:eastAsia="宋体" w:cs="宋体"/>
          <w:color w:val="auto"/>
          <w:kern w:val="0"/>
          <w:sz w:val="30"/>
          <w:szCs w:val="30"/>
          <w:lang w:val="zh-CN"/>
        </w:rPr>
        <w:t>月</w:t>
      </w:r>
      <w:r>
        <w:rPr>
          <w:rFonts w:hint="eastAsia" w:ascii="宋体" w:hAnsi="宋体" w:eastAsia="宋体" w:cs="宋体"/>
          <w:color w:val="auto"/>
          <w:kern w:val="0"/>
          <w:sz w:val="30"/>
          <w:szCs w:val="30"/>
          <w:u w:val="single"/>
          <w:lang w:val="zh-CN"/>
        </w:rPr>
        <w:t xml:space="preserve">  </w:t>
      </w:r>
      <w:r>
        <w:rPr>
          <w:rFonts w:hint="eastAsia" w:ascii="宋体" w:hAnsi="宋体" w:eastAsia="宋体" w:cs="宋体"/>
          <w:color w:val="auto"/>
          <w:kern w:val="0"/>
          <w:sz w:val="30"/>
          <w:szCs w:val="30"/>
          <w:lang w:val="zh-CN"/>
        </w:rPr>
        <w:t>日</w:t>
      </w:r>
      <w:r>
        <w:rPr>
          <w:rFonts w:hint="eastAsia" w:ascii="宋体" w:hAnsi="宋体" w:eastAsia="宋体" w:cs="宋体"/>
          <w:color w:val="auto"/>
          <w:kern w:val="0"/>
          <w:sz w:val="30"/>
          <w:szCs w:val="30"/>
          <w:u w:val="single"/>
          <w:lang w:val="zh-CN"/>
        </w:rPr>
        <w:t xml:space="preserve">          (项目名称)</w:t>
      </w:r>
      <w:r>
        <w:rPr>
          <w:rFonts w:hint="eastAsia" w:ascii="宋体" w:hAnsi="宋体" w:eastAsia="宋体" w:cs="宋体"/>
          <w:color w:val="auto"/>
          <w:kern w:val="0"/>
          <w:sz w:val="30"/>
          <w:szCs w:val="30"/>
          <w:lang w:val="zh-CN"/>
        </w:rPr>
        <w:t>采购项目，本签字人愿意参加投标，提供采购一览表中要求的所有产品，并证实提交的所有资料是准确的和真实的。同时，我代表（投标人名称），在此作如下承诺：</w:t>
      </w:r>
    </w:p>
    <w:p w14:paraId="72AB1BD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 xml:space="preserve">   </w:t>
      </w:r>
      <w:r>
        <w:rPr>
          <w:rFonts w:hint="eastAsia" w:ascii="宋体" w:hAnsi="宋体" w:eastAsia="宋体" w:cs="宋体"/>
          <w:color w:val="auto"/>
          <w:kern w:val="0"/>
          <w:sz w:val="30"/>
          <w:szCs w:val="30"/>
        </w:rPr>
        <w:t xml:space="preserve"> </w:t>
      </w:r>
      <w:r>
        <w:rPr>
          <w:rFonts w:hint="eastAsia" w:ascii="宋体" w:hAnsi="宋体" w:eastAsia="宋体" w:cs="宋体"/>
          <w:color w:val="auto"/>
          <w:kern w:val="0"/>
          <w:sz w:val="30"/>
          <w:szCs w:val="30"/>
          <w:lang w:val="zh-CN"/>
        </w:rPr>
        <w:t>1.完全理解和接受招标文件的一切规定和要求；</w:t>
      </w:r>
    </w:p>
    <w:p w14:paraId="31B1726E">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481A354">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3、我方保证甲方在使用该产品或其任何一部分时，不受第三方提出的侵犯专利权、著作权、商标权和工业设计权等知识产权的起诉，若有违犯，愿承担相应的一切责任。</w:t>
      </w:r>
    </w:p>
    <w:p w14:paraId="06C3ECA7">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4、我方承诺，除招标文件中规定的进口产品外，所投的产品均为国产产品，且均符合国家强制性标准。若有不实，愿承担相应的责任。</w:t>
      </w:r>
    </w:p>
    <w:p w14:paraId="3EF037BF">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5、在整个招标过程中我方若有违规行为，贵方可按招标文件之规定给予处罚，我方完全接受。</w:t>
      </w:r>
    </w:p>
    <w:p w14:paraId="06802FA5">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6、若中标，本承诺将成为合同不可分割的一部分，与合同具有同等的法律效力。</w:t>
      </w:r>
    </w:p>
    <w:p w14:paraId="68DE7045">
      <w:pPr>
        <w:autoSpaceDE w:val="0"/>
        <w:autoSpaceDN w:val="0"/>
        <w:spacing w:line="520" w:lineRule="exact"/>
        <w:rPr>
          <w:rFonts w:hint="eastAsia" w:ascii="宋体" w:hAnsi="宋体" w:eastAsia="宋体" w:cs="宋体"/>
          <w:color w:val="auto"/>
          <w:kern w:val="0"/>
          <w:lang w:val="zh-CN"/>
        </w:rPr>
      </w:pPr>
    </w:p>
    <w:p w14:paraId="4326D4A9">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投标人：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（公章）</w:t>
      </w:r>
    </w:p>
    <w:p w14:paraId="081A8846">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法定代表人或委托代理人：        （签字或盖章）</w:t>
      </w:r>
    </w:p>
    <w:p w14:paraId="31904FA7">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b/>
          <w:bCs/>
          <w:color w:val="auto"/>
          <w:kern w:val="0"/>
          <w:sz w:val="30"/>
          <w:szCs w:val="30"/>
          <w:lang w:val="zh-CN"/>
        </w:rPr>
        <w:t xml:space="preserve">年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月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日</w:t>
      </w:r>
    </w:p>
    <w:p w14:paraId="15C9FBF0">
      <w:pPr>
        <w:pStyle w:val="25"/>
        <w:spacing w:before="0" w:after="0" w:line="520" w:lineRule="exact"/>
        <w:jc w:val="left"/>
        <w:outlineLvl w:val="1"/>
        <w:rPr>
          <w:rFonts w:hint="eastAsia" w:ascii="宋体" w:hAnsi="宋体" w:eastAsia="宋体" w:cs="宋体"/>
          <w:color w:val="auto"/>
          <w:sz w:val="30"/>
          <w:szCs w:val="30"/>
          <w:lang w:val="zh-CN"/>
        </w:rPr>
      </w:pPr>
      <w:r>
        <w:rPr>
          <w:rFonts w:hint="eastAsia" w:ascii="宋体" w:hAnsi="宋体" w:eastAsia="宋体" w:cs="宋体"/>
          <w:color w:val="auto"/>
          <w:lang w:val="zh-CN"/>
        </w:rPr>
        <w:br w:type="page"/>
      </w:r>
      <w:bookmarkStart w:id="105" w:name="_Toc515908213"/>
      <w:bookmarkStart w:id="106" w:name="_Toc68160847"/>
      <w:bookmarkStart w:id="107" w:name="_Toc18301"/>
      <w:r>
        <w:rPr>
          <w:rFonts w:hint="eastAsia" w:ascii="宋体" w:hAnsi="宋体" w:eastAsia="宋体" w:cs="宋体"/>
          <w:color w:val="auto"/>
          <w:sz w:val="30"/>
          <w:szCs w:val="30"/>
        </w:rPr>
        <w:t>（5）</w:t>
      </w:r>
      <w:r>
        <w:rPr>
          <w:rFonts w:hint="eastAsia" w:ascii="宋体" w:hAnsi="宋体" w:eastAsia="宋体" w:cs="宋体"/>
          <w:color w:val="auto"/>
          <w:sz w:val="30"/>
          <w:szCs w:val="30"/>
          <w:lang w:val="zh-CN"/>
        </w:rPr>
        <w:t>投标人诚信承诺书</w:t>
      </w:r>
      <w:bookmarkEnd w:id="105"/>
      <w:bookmarkEnd w:id="106"/>
      <w:bookmarkEnd w:id="107"/>
    </w:p>
    <w:p w14:paraId="4CF7B6D4">
      <w:pPr>
        <w:spacing w:line="520" w:lineRule="exact"/>
        <w:rPr>
          <w:rFonts w:hint="eastAsia" w:ascii="宋体" w:hAnsi="宋体" w:eastAsia="宋体" w:cs="宋体"/>
          <w:color w:val="auto"/>
          <w:sz w:val="30"/>
          <w:szCs w:val="30"/>
          <w:lang w:val="zh-CN"/>
        </w:rPr>
      </w:pPr>
    </w:p>
    <w:p w14:paraId="1DF58A3C">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投标人诚信承诺书</w:t>
      </w:r>
    </w:p>
    <w:p w14:paraId="4765F5AB">
      <w:pPr>
        <w:autoSpaceDE w:val="0"/>
        <w:autoSpaceDN w:val="0"/>
        <w:spacing w:line="520" w:lineRule="exact"/>
        <w:rPr>
          <w:rFonts w:hint="eastAsia" w:ascii="宋体" w:hAnsi="宋体" w:eastAsia="宋体" w:cs="宋体"/>
          <w:color w:val="auto"/>
          <w:kern w:val="0"/>
          <w:sz w:val="30"/>
          <w:szCs w:val="30"/>
          <w:lang w:val="zh-CN"/>
        </w:rPr>
      </w:pPr>
      <w:r>
        <w:rPr>
          <w:rFonts w:hint="eastAsia" w:ascii="宋体" w:hAnsi="宋体" w:eastAsia="宋体" w:cs="宋体"/>
          <w:b/>
          <w:bCs/>
          <w:color w:val="auto"/>
          <w:sz w:val="30"/>
          <w:szCs w:val="30"/>
        </w:rPr>
        <w:t>致：</w:t>
      </w:r>
      <w:r>
        <w:rPr>
          <w:rFonts w:hint="eastAsia" w:ascii="宋体" w:hAnsi="宋体" w:cs="宋体"/>
          <w:b/>
          <w:bCs/>
          <w:color w:val="auto"/>
          <w:sz w:val="30"/>
          <w:szCs w:val="30"/>
          <w:lang w:eastAsia="zh-CN"/>
        </w:rPr>
        <w:t>青海宇创项目管理有限责任公司</w:t>
      </w:r>
    </w:p>
    <w:p w14:paraId="6F1A32DA">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为了诚实、客观、有序地参与青海省政府采购活动，愿就以下内容作出承诺：</w:t>
      </w:r>
    </w:p>
    <w:p w14:paraId="24944EB7">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一、自觉遵守各项法律、法规、规章、制度以及社会公德，维护廉洁环境，与同场竞争的其他投标人平等参加政府采购活动。</w:t>
      </w:r>
    </w:p>
    <w:p w14:paraId="0F4F87ED">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二、参加采购代理机构组织的政府采购活动时，严格按照招标文件的规定和要求提供所需的相关材料，并对所提供的各类资料的真实性负责，不虚假应标，不虚列业绩。</w:t>
      </w:r>
    </w:p>
    <w:p w14:paraId="328A25FA">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三、尊重参与政府采购活动各相关方的合法行为，接受政府采购活动依法形成的意见、结果。</w:t>
      </w:r>
    </w:p>
    <w:p w14:paraId="347F8559">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四、依法参加政府采购活动，不围标、串标，维护市场秩序，不提供“三无”产品、以次充好。</w:t>
      </w:r>
    </w:p>
    <w:p w14:paraId="4C7E9004">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五、积极推动政府采购活动健康开展，对采购活动有疑问、异议时，按法律规定的程序实名反映情况，不恶意中伤、无事生非，以和谐、平等的心态参加政府采购活动。</w:t>
      </w:r>
    </w:p>
    <w:p w14:paraId="20CC3F08">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六、认真履行中标人应承担的责任和义务，全面执行采购合同规定的各项内容，保质保量地按时提供采购物品。</w:t>
      </w:r>
    </w:p>
    <w:p w14:paraId="0482AFDE">
      <w:pPr>
        <w:keepNext w:val="0"/>
        <w:keepLines w:val="0"/>
        <w:pageBreakBefore w:val="0"/>
        <w:widowControl w:val="0"/>
        <w:kinsoku/>
        <w:wordWrap/>
        <w:overflowPunct/>
        <w:topLinePunct w:val="0"/>
        <w:autoSpaceDE w:val="0"/>
        <w:autoSpaceDN w:val="0"/>
        <w:bidi w:val="0"/>
        <w:adjustRightInd/>
        <w:snapToGrid/>
        <w:spacing w:line="440" w:lineRule="exact"/>
        <w:ind w:firstLine="600" w:firstLineChars="20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若本企业（单位）发生有悖于上述承诺的行为，愿意接受《中华人民共和国政府采购法》和《政府采购法实施条例》中对投标人的相关处理。</w:t>
      </w:r>
    </w:p>
    <w:p w14:paraId="0418D769">
      <w:pPr>
        <w:keepNext w:val="0"/>
        <w:keepLines w:val="0"/>
        <w:pageBreakBefore w:val="0"/>
        <w:widowControl w:val="0"/>
        <w:kinsoku/>
        <w:wordWrap/>
        <w:overflowPunct/>
        <w:topLinePunct w:val="0"/>
        <w:autoSpaceDE w:val="0"/>
        <w:autoSpaceDN w:val="0"/>
        <w:bidi w:val="0"/>
        <w:adjustRightInd/>
        <w:snapToGrid/>
        <w:spacing w:line="440" w:lineRule="exact"/>
        <w:ind w:firstLine="600" w:firstLineChars="20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本承诺是采购项目投标文件的组成部分。</w:t>
      </w:r>
    </w:p>
    <w:p w14:paraId="580EC44F">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投标人：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（公章）</w:t>
      </w:r>
    </w:p>
    <w:p w14:paraId="75B44DB0">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法定代表人或委托代理人：        （签字或盖章）</w:t>
      </w:r>
    </w:p>
    <w:p w14:paraId="0085696C">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b/>
          <w:bCs/>
          <w:color w:val="auto"/>
          <w:kern w:val="0"/>
          <w:sz w:val="30"/>
          <w:szCs w:val="30"/>
          <w:lang w:val="zh-CN"/>
        </w:rPr>
        <w:t xml:space="preserve">年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月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日</w:t>
      </w:r>
    </w:p>
    <w:p w14:paraId="601001A0">
      <w:pPr>
        <w:pStyle w:val="25"/>
        <w:spacing w:before="0" w:after="0" w:line="520" w:lineRule="exact"/>
        <w:jc w:val="left"/>
        <w:outlineLvl w:val="1"/>
        <w:rPr>
          <w:rFonts w:hint="eastAsia" w:ascii="宋体" w:hAnsi="宋体" w:eastAsia="宋体" w:cs="宋体"/>
          <w:color w:val="auto"/>
          <w:sz w:val="30"/>
          <w:szCs w:val="30"/>
          <w:lang w:val="zh-CN"/>
        </w:rPr>
      </w:pPr>
      <w:r>
        <w:rPr>
          <w:rFonts w:hint="eastAsia" w:ascii="宋体" w:hAnsi="宋体" w:eastAsia="宋体" w:cs="宋体"/>
          <w:color w:val="auto"/>
          <w:kern w:val="0"/>
          <w:sz w:val="24"/>
          <w:lang w:val="zh-CN"/>
        </w:rPr>
        <w:br w:type="page"/>
      </w:r>
      <w:bookmarkEnd w:id="101"/>
      <w:bookmarkStart w:id="108" w:name="_Toc515908214"/>
      <w:bookmarkStart w:id="109" w:name="_Toc68160848"/>
      <w:bookmarkStart w:id="110" w:name="_Toc181"/>
      <w:bookmarkStart w:id="111" w:name="_Toc8344"/>
      <w:r>
        <w:rPr>
          <w:rFonts w:hint="eastAsia" w:ascii="宋体" w:hAnsi="宋体" w:eastAsia="宋体" w:cs="宋体"/>
          <w:color w:val="auto"/>
          <w:sz w:val="30"/>
          <w:szCs w:val="30"/>
        </w:rPr>
        <w:t>（6）</w:t>
      </w:r>
      <w:r>
        <w:rPr>
          <w:rFonts w:hint="eastAsia" w:ascii="宋体" w:hAnsi="宋体" w:eastAsia="宋体" w:cs="宋体"/>
          <w:color w:val="auto"/>
          <w:sz w:val="30"/>
          <w:szCs w:val="30"/>
          <w:lang w:val="zh-CN"/>
        </w:rPr>
        <w:t>资格证明材料</w:t>
      </w:r>
      <w:bookmarkEnd w:id="108"/>
      <w:bookmarkEnd w:id="109"/>
      <w:bookmarkEnd w:id="110"/>
    </w:p>
    <w:p w14:paraId="388C4381">
      <w:pPr>
        <w:spacing w:line="520" w:lineRule="exact"/>
        <w:rPr>
          <w:rFonts w:hint="eastAsia" w:ascii="宋体" w:hAnsi="宋体" w:eastAsia="宋体" w:cs="宋体"/>
          <w:color w:val="auto"/>
          <w:sz w:val="30"/>
          <w:szCs w:val="30"/>
          <w:lang w:val="zh-CN"/>
        </w:rPr>
      </w:pPr>
    </w:p>
    <w:p w14:paraId="6043A8B0">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资格证明材料</w:t>
      </w:r>
    </w:p>
    <w:p w14:paraId="43E150A3">
      <w:pPr>
        <w:autoSpaceDE w:val="0"/>
        <w:autoSpaceDN w:val="0"/>
        <w:spacing w:line="520" w:lineRule="exact"/>
        <w:rPr>
          <w:rFonts w:hint="eastAsia" w:ascii="宋体" w:hAnsi="宋体" w:eastAsia="宋体" w:cs="宋体"/>
          <w:color w:val="auto"/>
          <w:kern w:val="0"/>
          <w:sz w:val="30"/>
          <w:szCs w:val="30"/>
          <w:lang w:val="zh-CN"/>
        </w:rPr>
      </w:pPr>
    </w:p>
    <w:p w14:paraId="4B8A553E">
      <w:pPr>
        <w:spacing w:line="52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资格证明材料包括：</w:t>
      </w:r>
    </w:p>
    <w:p w14:paraId="59B38E25">
      <w:pPr>
        <w:numPr>
          <w:ilvl w:val="0"/>
          <w:numId w:val="4"/>
        </w:numPr>
        <w:spacing w:line="520" w:lineRule="exact"/>
        <w:ind w:firstLine="480"/>
        <w:rPr>
          <w:rFonts w:hint="eastAsia" w:ascii="宋体" w:hAnsi="宋体" w:eastAsia="宋体" w:cs="宋体"/>
          <w:color w:val="auto"/>
          <w:sz w:val="30"/>
          <w:szCs w:val="30"/>
        </w:rPr>
      </w:pPr>
      <w:r>
        <w:rPr>
          <w:rFonts w:hint="eastAsia" w:ascii="宋体" w:hAnsi="宋体" w:eastAsia="宋体" w:cs="宋体"/>
          <w:color w:val="auto"/>
          <w:sz w:val="30"/>
          <w:szCs w:val="30"/>
        </w:rPr>
        <w:t>提供有效的营业执照、税务登记证、机构代码证或三证（五证）合一统一社会代码证及其他资格证明文件（扫描或复印件）；</w:t>
      </w:r>
    </w:p>
    <w:p w14:paraId="723084EA">
      <w:pPr>
        <w:spacing w:line="52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C929265">
      <w:pPr>
        <w:spacing w:line="52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（2）招标文件规定的有关资格证书、许可证书、认证等；</w:t>
      </w:r>
    </w:p>
    <w:p w14:paraId="3BB5E792">
      <w:pPr>
        <w:spacing w:line="52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（3）投标人认为有必要提供的其他资格证明文件。</w:t>
      </w:r>
    </w:p>
    <w:p w14:paraId="749A5C7A">
      <w:pPr>
        <w:pStyle w:val="25"/>
        <w:spacing w:before="0" w:after="0" w:line="520" w:lineRule="exact"/>
        <w:jc w:val="left"/>
        <w:outlineLvl w:val="1"/>
        <w:rPr>
          <w:rFonts w:hint="eastAsia" w:ascii="宋体" w:hAnsi="宋体" w:eastAsia="宋体" w:cs="宋体"/>
          <w:color w:val="auto"/>
          <w:sz w:val="30"/>
          <w:szCs w:val="30"/>
        </w:rPr>
      </w:pPr>
      <w:r>
        <w:rPr>
          <w:rFonts w:hint="eastAsia" w:ascii="宋体" w:hAnsi="宋体" w:eastAsia="宋体" w:cs="宋体"/>
          <w:color w:val="auto"/>
          <w:kern w:val="0"/>
          <w:sz w:val="24"/>
          <w:lang w:val="zh-CN"/>
        </w:rPr>
        <w:br w:type="page"/>
      </w:r>
      <w:bookmarkStart w:id="112" w:name="_Toc515908215"/>
      <w:bookmarkStart w:id="113" w:name="_Toc28198"/>
      <w:bookmarkStart w:id="114" w:name="_Toc68160849"/>
      <w:r>
        <w:rPr>
          <w:rFonts w:hint="eastAsia" w:ascii="宋体" w:hAnsi="宋体" w:eastAsia="宋体" w:cs="宋体"/>
          <w:color w:val="auto"/>
          <w:sz w:val="30"/>
          <w:szCs w:val="30"/>
        </w:rPr>
        <w:t>（7）</w:t>
      </w:r>
      <w:r>
        <w:rPr>
          <w:rFonts w:hint="eastAsia" w:ascii="宋体" w:hAnsi="宋体" w:eastAsia="宋体" w:cs="宋体"/>
          <w:color w:val="auto"/>
          <w:sz w:val="30"/>
          <w:szCs w:val="30"/>
          <w:lang w:val="zh-CN"/>
        </w:rPr>
        <w:t>财务状况报告，依法缴纳税收和社会保障资金的相关材料</w:t>
      </w:r>
      <w:bookmarkEnd w:id="112"/>
      <w:bookmarkEnd w:id="113"/>
      <w:bookmarkEnd w:id="114"/>
    </w:p>
    <w:p w14:paraId="30A30D04">
      <w:pPr>
        <w:autoSpaceDE w:val="0"/>
        <w:autoSpaceDN w:val="0"/>
        <w:spacing w:line="520" w:lineRule="exact"/>
        <w:rPr>
          <w:rFonts w:hint="eastAsia" w:ascii="宋体" w:hAnsi="宋体" w:eastAsia="宋体" w:cs="宋体"/>
          <w:color w:val="auto"/>
          <w:kern w:val="0"/>
          <w:sz w:val="30"/>
          <w:szCs w:val="30"/>
          <w:lang w:val="zh-CN"/>
        </w:rPr>
      </w:pPr>
    </w:p>
    <w:p w14:paraId="5BD5496E">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财务状况报告，依法缴纳税收和社会保障资金的相关材料</w:t>
      </w:r>
    </w:p>
    <w:p w14:paraId="0A712DC0">
      <w:pPr>
        <w:autoSpaceDE w:val="0"/>
        <w:autoSpaceDN w:val="0"/>
        <w:spacing w:line="520" w:lineRule="exact"/>
        <w:rPr>
          <w:rFonts w:hint="eastAsia" w:ascii="宋体" w:hAnsi="宋体" w:eastAsia="宋体" w:cs="宋体"/>
          <w:color w:val="auto"/>
          <w:kern w:val="0"/>
          <w:sz w:val="30"/>
          <w:szCs w:val="30"/>
          <w:lang w:val="zh-CN"/>
        </w:rPr>
      </w:pPr>
    </w:p>
    <w:p w14:paraId="1F32E9FA">
      <w:pPr>
        <w:autoSpaceDE w:val="0"/>
        <w:autoSpaceDN w:val="0"/>
        <w:spacing w:line="520" w:lineRule="exact"/>
        <w:ind w:firstLine="48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按照招标文件第2.2款（1）中第&lt;2&gt;条规定提供以下相关材料。</w:t>
      </w:r>
    </w:p>
    <w:p w14:paraId="43C60317">
      <w:pPr>
        <w:autoSpaceDE w:val="0"/>
        <w:autoSpaceDN w:val="0"/>
        <w:spacing w:line="520" w:lineRule="exact"/>
        <w:ind w:firstLine="48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1、投标人是法人的，提供基本开户银行近三个月内出具的资信证明或</w:t>
      </w:r>
      <w:r>
        <w:rPr>
          <w:rFonts w:hint="eastAsia" w:ascii="宋体" w:hAnsi="宋体" w:eastAsia="宋体" w:cs="宋体"/>
          <w:color w:val="auto"/>
          <w:kern w:val="0"/>
          <w:sz w:val="30"/>
          <w:szCs w:val="30"/>
          <w:u w:val="dashDotDotHeavy"/>
          <w:lang w:val="zh-CN"/>
        </w:rPr>
        <w:t>（</w:t>
      </w:r>
      <w:r>
        <w:rPr>
          <w:rFonts w:hint="eastAsia" w:ascii="宋体" w:hAnsi="宋体" w:eastAsia="宋体" w:cs="宋体"/>
          <w:b/>
          <w:bCs/>
          <w:color w:val="auto"/>
          <w:kern w:val="0"/>
          <w:sz w:val="30"/>
          <w:szCs w:val="30"/>
          <w:u w:val="dashDotDotHeavy"/>
        </w:rPr>
        <w:t>20</w:t>
      </w:r>
      <w:r>
        <w:rPr>
          <w:rFonts w:hint="eastAsia" w:ascii="宋体" w:hAnsi="宋体" w:eastAsia="宋体" w:cs="宋体"/>
          <w:b/>
          <w:bCs/>
          <w:color w:val="auto"/>
          <w:kern w:val="0"/>
          <w:sz w:val="30"/>
          <w:szCs w:val="30"/>
          <w:u w:val="dashDotDotHeavy"/>
          <w:lang w:val="en-US" w:eastAsia="zh-CN"/>
        </w:rPr>
        <w:t>23</w:t>
      </w:r>
      <w:r>
        <w:rPr>
          <w:rFonts w:hint="eastAsia" w:ascii="宋体" w:hAnsi="宋体" w:eastAsia="宋体" w:cs="宋体"/>
          <w:b/>
          <w:bCs/>
          <w:color w:val="auto"/>
          <w:kern w:val="0"/>
          <w:sz w:val="30"/>
          <w:szCs w:val="30"/>
          <w:u w:val="dashDotDotHeavy"/>
        </w:rPr>
        <w:t>年度</w:t>
      </w:r>
      <w:r>
        <w:rPr>
          <w:rFonts w:hint="eastAsia" w:ascii="宋体" w:hAnsi="宋体" w:cs="宋体"/>
          <w:b/>
          <w:bCs/>
          <w:color w:val="auto"/>
          <w:kern w:val="0"/>
          <w:sz w:val="30"/>
          <w:szCs w:val="30"/>
          <w:u w:val="dashDotDotHeavy"/>
          <w:lang w:val="en-US" w:eastAsia="zh-CN"/>
        </w:rPr>
        <w:t>或2024年度</w:t>
      </w:r>
      <w:r>
        <w:rPr>
          <w:rFonts w:hint="eastAsia" w:ascii="宋体" w:hAnsi="宋体" w:eastAsia="宋体" w:cs="宋体"/>
          <w:color w:val="auto"/>
          <w:kern w:val="0"/>
          <w:sz w:val="30"/>
          <w:szCs w:val="30"/>
          <w:u w:val="dashDotDotHeavy"/>
          <w:lang w:val="zh-CN"/>
        </w:rPr>
        <w:t>）</w:t>
      </w:r>
      <w:r>
        <w:rPr>
          <w:rFonts w:hint="eastAsia" w:ascii="宋体" w:hAnsi="宋体" w:eastAsia="宋体" w:cs="宋体"/>
          <w:color w:val="auto"/>
          <w:sz w:val="30"/>
          <w:szCs w:val="30"/>
        </w:rPr>
        <w:t>经第三方审计的财务状况报告</w:t>
      </w:r>
      <w:r>
        <w:rPr>
          <w:rFonts w:hint="eastAsia" w:ascii="宋体" w:hAnsi="宋体" w:eastAsia="宋体" w:cs="宋体"/>
          <w:color w:val="auto"/>
          <w:kern w:val="0"/>
          <w:sz w:val="30"/>
          <w:szCs w:val="30"/>
          <w:lang w:val="zh-CN"/>
        </w:rPr>
        <w:t>（扫描或复印件应全面、完整、清晰），包括资产负债表、现金流量表、利润表和财务（会计）报表附注</w:t>
      </w:r>
      <w:r>
        <w:rPr>
          <w:rFonts w:hint="eastAsia" w:ascii="宋体" w:hAnsi="宋体" w:eastAsia="宋体" w:cs="宋体"/>
          <w:color w:val="auto"/>
          <w:kern w:val="0"/>
          <w:sz w:val="30"/>
          <w:szCs w:val="30"/>
        </w:rPr>
        <w:t>，</w:t>
      </w:r>
      <w:r>
        <w:rPr>
          <w:rFonts w:hint="eastAsia" w:ascii="宋体" w:hAnsi="宋体" w:eastAsia="宋体" w:cs="宋体"/>
          <w:color w:val="auto"/>
          <w:kern w:val="0"/>
          <w:sz w:val="30"/>
          <w:szCs w:val="30"/>
          <w:lang w:val="zh-CN"/>
        </w:rPr>
        <w:t>并提供第三方机构的营业执照、执业证书。</w:t>
      </w:r>
      <w:r>
        <w:rPr>
          <w:rFonts w:hint="eastAsia" w:ascii="宋体" w:hAnsi="宋体" w:eastAsia="宋体" w:cs="宋体"/>
          <w:color w:val="auto"/>
          <w:sz w:val="30"/>
          <w:szCs w:val="30"/>
        </w:rPr>
        <w:t>投标人是其他组织和自然人，没有经审计的财务报告，可以提供基本开户银行出具的资信证明。</w:t>
      </w:r>
    </w:p>
    <w:p w14:paraId="3BDD2955">
      <w:pPr>
        <w:autoSpaceDE w:val="0"/>
        <w:autoSpaceDN w:val="0"/>
        <w:spacing w:line="520" w:lineRule="exact"/>
        <w:ind w:firstLine="48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2、近半年内</w:t>
      </w:r>
      <w:r>
        <w:rPr>
          <w:rFonts w:hint="eastAsia" w:ascii="宋体" w:hAnsi="宋体" w:eastAsia="宋体" w:cs="宋体"/>
          <w:b/>
          <w:bCs/>
          <w:color w:val="auto"/>
          <w:kern w:val="0"/>
          <w:sz w:val="30"/>
          <w:szCs w:val="30"/>
          <w:u w:val="single"/>
          <w:lang w:val="en-US" w:eastAsia="zh-CN"/>
        </w:rPr>
        <w:t>连续3</w:t>
      </w:r>
      <w:r>
        <w:rPr>
          <w:rFonts w:hint="eastAsia" w:ascii="宋体" w:hAnsi="宋体" w:eastAsia="宋体" w:cs="宋体"/>
          <w:b/>
          <w:bCs/>
          <w:color w:val="auto"/>
          <w:kern w:val="0"/>
          <w:sz w:val="30"/>
          <w:szCs w:val="30"/>
          <w:u w:val="single"/>
          <w:lang w:val="zh-CN"/>
        </w:rPr>
        <w:t>个月</w:t>
      </w:r>
      <w:r>
        <w:rPr>
          <w:rFonts w:hint="eastAsia" w:ascii="宋体" w:hAnsi="宋体" w:eastAsia="宋体" w:cs="宋体"/>
          <w:color w:val="auto"/>
          <w:kern w:val="0"/>
          <w:sz w:val="30"/>
          <w:szCs w:val="30"/>
          <w:lang w:val="zh-CN"/>
        </w:rPr>
        <w:t>的依法缴纳税收和社会保障资金记录的证明材料；依法免税或不需要缴纳社会保障资金的投标人须提供相应文件证明其依法免税或不需要缴纳社会保障资金。</w:t>
      </w:r>
    </w:p>
    <w:p w14:paraId="0F72BB73">
      <w:pPr>
        <w:pStyle w:val="25"/>
        <w:spacing w:before="0" w:after="0" w:line="520" w:lineRule="exact"/>
        <w:jc w:val="left"/>
        <w:outlineLvl w:val="1"/>
        <w:rPr>
          <w:rFonts w:hint="eastAsia" w:ascii="宋体" w:hAnsi="宋体" w:eastAsia="宋体" w:cs="宋体"/>
          <w:color w:val="auto"/>
          <w:sz w:val="30"/>
          <w:szCs w:val="30"/>
        </w:rPr>
      </w:pPr>
      <w:r>
        <w:rPr>
          <w:rFonts w:hint="eastAsia" w:ascii="宋体" w:hAnsi="宋体" w:eastAsia="宋体" w:cs="宋体"/>
          <w:color w:val="auto"/>
          <w:kern w:val="0"/>
          <w:sz w:val="24"/>
          <w:lang w:val="zh-CN"/>
        </w:rPr>
        <w:br w:type="page"/>
      </w:r>
      <w:bookmarkEnd w:id="111"/>
      <w:bookmarkStart w:id="115" w:name="_Toc27062"/>
      <w:bookmarkStart w:id="116" w:name="_Toc515908216"/>
      <w:bookmarkStart w:id="117" w:name="_Toc68160850"/>
      <w:bookmarkStart w:id="118" w:name="_Toc21530"/>
      <w:r>
        <w:rPr>
          <w:rFonts w:hint="eastAsia" w:ascii="宋体" w:hAnsi="宋体" w:eastAsia="宋体" w:cs="宋体"/>
          <w:color w:val="auto"/>
          <w:sz w:val="30"/>
          <w:szCs w:val="30"/>
        </w:rPr>
        <w:t>（8）</w:t>
      </w:r>
      <w:r>
        <w:rPr>
          <w:rFonts w:hint="eastAsia" w:ascii="宋体" w:hAnsi="宋体" w:eastAsia="宋体" w:cs="宋体"/>
          <w:color w:val="auto"/>
          <w:sz w:val="30"/>
          <w:szCs w:val="30"/>
          <w:lang w:val="zh-CN"/>
        </w:rPr>
        <w:t>具备履行合同所必需的设备和专业技术能力的证明材料</w:t>
      </w:r>
      <w:bookmarkEnd w:id="115"/>
      <w:bookmarkEnd w:id="116"/>
      <w:bookmarkEnd w:id="117"/>
    </w:p>
    <w:p w14:paraId="6E6CE0B2">
      <w:pPr>
        <w:autoSpaceDE w:val="0"/>
        <w:autoSpaceDN w:val="0"/>
        <w:spacing w:line="520" w:lineRule="exact"/>
        <w:rPr>
          <w:rFonts w:hint="eastAsia" w:ascii="宋体" w:hAnsi="宋体" w:eastAsia="宋体" w:cs="宋体"/>
          <w:color w:val="auto"/>
          <w:kern w:val="0"/>
          <w:sz w:val="30"/>
          <w:szCs w:val="30"/>
          <w:lang w:val="zh-CN"/>
        </w:rPr>
      </w:pPr>
    </w:p>
    <w:p w14:paraId="0B77BA47">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具备履行合同所必需的设备和专业技术能力的证明材料</w:t>
      </w:r>
    </w:p>
    <w:p w14:paraId="6E1CA04F">
      <w:pPr>
        <w:autoSpaceDE w:val="0"/>
        <w:autoSpaceDN w:val="0"/>
        <w:spacing w:line="520" w:lineRule="exact"/>
        <w:ind w:firstLine="480"/>
        <w:rPr>
          <w:rFonts w:hint="eastAsia" w:ascii="宋体" w:hAnsi="宋体" w:eastAsia="宋体" w:cs="宋体"/>
          <w:color w:val="auto"/>
          <w:kern w:val="0"/>
          <w:sz w:val="30"/>
          <w:szCs w:val="30"/>
          <w:lang w:val="zh-CN"/>
        </w:rPr>
      </w:pPr>
    </w:p>
    <w:p w14:paraId="6DBBFE64">
      <w:pPr>
        <w:autoSpaceDE w:val="0"/>
        <w:autoSpaceDN w:val="0"/>
        <w:spacing w:line="360" w:lineRule="auto"/>
        <w:ind w:firstLine="480"/>
        <w:rPr>
          <w:rFonts w:hint="eastAsia" w:ascii="宋体" w:hAnsi="宋体" w:cs="宋体"/>
          <w:color w:val="auto"/>
          <w:kern w:val="0"/>
          <w:sz w:val="30"/>
          <w:szCs w:val="30"/>
          <w:highlight w:val="none"/>
          <w:lang w:val="zh-CN"/>
        </w:rPr>
      </w:pPr>
      <w:r>
        <w:rPr>
          <w:rFonts w:hint="eastAsia" w:ascii="宋体" w:hAnsi="宋体" w:cs="宋体"/>
          <w:color w:val="auto"/>
          <w:kern w:val="0"/>
          <w:sz w:val="30"/>
          <w:szCs w:val="30"/>
          <w:highlight w:val="none"/>
          <w:lang w:val="zh-CN"/>
        </w:rPr>
        <w:t>为保证本项目合同的顺利履行，投标人必须具备履行合同的设备和专业技术能力，须提供必须具备履行合同的设备和专业技术能力的承诺函（格式自拟）。</w:t>
      </w:r>
    </w:p>
    <w:p w14:paraId="06E7487C">
      <w:pPr>
        <w:pStyle w:val="25"/>
        <w:spacing w:before="0" w:after="0" w:line="520" w:lineRule="exact"/>
        <w:jc w:val="left"/>
        <w:outlineLvl w:val="1"/>
        <w:rPr>
          <w:rFonts w:hint="eastAsia" w:ascii="宋体" w:hAnsi="宋体" w:eastAsia="宋体" w:cs="宋体"/>
          <w:color w:val="auto"/>
          <w:sz w:val="30"/>
          <w:szCs w:val="30"/>
        </w:rPr>
      </w:pPr>
      <w:r>
        <w:rPr>
          <w:rFonts w:hint="eastAsia" w:ascii="宋体" w:hAnsi="宋体" w:eastAsia="宋体" w:cs="宋体"/>
          <w:color w:val="auto"/>
          <w:kern w:val="0"/>
          <w:sz w:val="24"/>
          <w:lang w:val="zh-CN"/>
        </w:rPr>
        <w:br w:type="page"/>
      </w:r>
      <w:bookmarkStart w:id="119" w:name="_Toc15823"/>
      <w:bookmarkStart w:id="120" w:name="_Toc515908217"/>
      <w:bookmarkStart w:id="121" w:name="_Toc68160851"/>
      <w:r>
        <w:rPr>
          <w:rFonts w:hint="eastAsia" w:ascii="宋体" w:hAnsi="宋体" w:eastAsia="宋体" w:cs="宋体"/>
          <w:color w:val="auto"/>
          <w:sz w:val="30"/>
          <w:szCs w:val="30"/>
        </w:rPr>
        <w:t>（9）</w:t>
      </w:r>
      <w:r>
        <w:rPr>
          <w:rFonts w:hint="eastAsia" w:ascii="宋体" w:hAnsi="宋体" w:eastAsia="宋体" w:cs="宋体"/>
          <w:color w:val="auto"/>
          <w:sz w:val="30"/>
          <w:szCs w:val="30"/>
          <w:lang w:val="zh-CN"/>
        </w:rPr>
        <w:t>无重大违法记录声明</w:t>
      </w:r>
      <w:bookmarkEnd w:id="119"/>
      <w:bookmarkEnd w:id="120"/>
      <w:bookmarkEnd w:id="121"/>
    </w:p>
    <w:p w14:paraId="4AF7A141">
      <w:pPr>
        <w:autoSpaceDE w:val="0"/>
        <w:autoSpaceDN w:val="0"/>
        <w:spacing w:line="520" w:lineRule="exact"/>
        <w:rPr>
          <w:rFonts w:hint="eastAsia" w:ascii="宋体" w:hAnsi="宋体" w:eastAsia="宋体" w:cs="宋体"/>
          <w:color w:val="auto"/>
          <w:kern w:val="0"/>
          <w:sz w:val="30"/>
          <w:szCs w:val="30"/>
          <w:lang w:val="zh-CN"/>
        </w:rPr>
      </w:pPr>
    </w:p>
    <w:p w14:paraId="0FD6B680">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无重大违法记录声明</w:t>
      </w:r>
    </w:p>
    <w:p w14:paraId="39C296CF">
      <w:pPr>
        <w:spacing w:line="520" w:lineRule="exact"/>
        <w:rPr>
          <w:rFonts w:hint="eastAsia" w:ascii="宋体" w:hAnsi="宋体" w:eastAsia="宋体" w:cs="宋体"/>
          <w:b/>
          <w:bCs/>
          <w:color w:val="auto"/>
          <w:sz w:val="30"/>
          <w:szCs w:val="30"/>
        </w:rPr>
      </w:pPr>
    </w:p>
    <w:p w14:paraId="2E18D9E4">
      <w:pPr>
        <w:spacing w:line="360" w:lineRule="auto"/>
        <w:rPr>
          <w:rFonts w:hint="eastAsia" w:ascii="宋体" w:hAnsi="宋体" w:eastAsia="宋体" w:cs="宋体"/>
          <w:b/>
          <w:bCs/>
          <w:color w:val="auto"/>
          <w:sz w:val="30"/>
          <w:szCs w:val="30"/>
        </w:rPr>
      </w:pPr>
      <w:r>
        <w:rPr>
          <w:rFonts w:hint="eastAsia" w:ascii="宋体" w:hAnsi="宋体" w:eastAsia="宋体" w:cs="宋体"/>
          <w:b/>
          <w:bCs/>
          <w:color w:val="auto"/>
          <w:sz w:val="30"/>
          <w:szCs w:val="30"/>
        </w:rPr>
        <w:t>致：</w:t>
      </w:r>
      <w:r>
        <w:rPr>
          <w:rFonts w:hint="eastAsia" w:ascii="宋体" w:hAnsi="宋体" w:cs="宋体"/>
          <w:b/>
          <w:bCs/>
          <w:color w:val="auto"/>
          <w:sz w:val="30"/>
          <w:szCs w:val="30"/>
          <w:lang w:eastAsia="zh-CN"/>
        </w:rPr>
        <w:t>青海宇创项目管理有限责任公司</w:t>
      </w:r>
    </w:p>
    <w:p w14:paraId="7AB43424">
      <w:pPr>
        <w:spacing w:line="360" w:lineRule="auto"/>
        <w:ind w:firstLine="600" w:firstLineChars="2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rPr>
        <w:t>我单位参加本次政府采购项目活动前三年内，在经营活动中无重大违法活动记录，符合《政府采购法》规定的供应商资格条</w:t>
      </w:r>
      <w:r>
        <w:rPr>
          <w:rFonts w:hint="eastAsia" w:ascii="宋体" w:hAnsi="宋体" w:eastAsia="宋体" w:cs="宋体"/>
          <w:color w:val="auto"/>
          <w:sz w:val="30"/>
          <w:szCs w:val="30"/>
          <w:shd w:val="clear" w:color="auto" w:fill="FFFFFF"/>
        </w:rPr>
        <w:t>件。我方对此声明负全部法律责任。</w:t>
      </w:r>
    </w:p>
    <w:p w14:paraId="6AC93618">
      <w:pPr>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特此声明。</w:t>
      </w:r>
    </w:p>
    <w:p w14:paraId="4D95CAC3">
      <w:pPr>
        <w:spacing w:line="360" w:lineRule="auto"/>
        <w:ind w:firstLine="600" w:firstLineChars="20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附“信用中国”、“</w:t>
      </w:r>
      <w:r>
        <w:rPr>
          <w:rFonts w:hint="eastAsia" w:ascii="宋体" w:hAnsi="宋体" w:eastAsia="宋体" w:cs="宋体"/>
          <w:color w:val="auto"/>
          <w:sz w:val="30"/>
          <w:szCs w:val="30"/>
          <w:lang w:val="en-US" w:eastAsia="zh-CN"/>
        </w:rPr>
        <w:t>中国政府采购网</w:t>
      </w:r>
      <w:r>
        <w:rPr>
          <w:rFonts w:hint="eastAsia" w:ascii="宋体" w:hAnsi="宋体" w:eastAsia="宋体" w:cs="宋体"/>
          <w:color w:val="auto"/>
          <w:sz w:val="30"/>
          <w:szCs w:val="30"/>
          <w:lang w:val="zh-CN"/>
        </w:rPr>
        <w:t>”网站查询截图，时间为投标截止时间前</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lang w:val="zh-CN"/>
        </w:rPr>
        <w:t>0天内。</w:t>
      </w:r>
    </w:p>
    <w:p w14:paraId="6E688CB5">
      <w:pPr>
        <w:spacing w:line="360" w:lineRule="auto"/>
        <w:ind w:firstLine="600" w:firstLineChars="200"/>
        <w:rPr>
          <w:rFonts w:hint="eastAsia" w:ascii="宋体" w:hAnsi="宋体" w:eastAsia="宋体" w:cs="宋体"/>
          <w:color w:val="auto"/>
          <w:sz w:val="30"/>
          <w:szCs w:val="30"/>
        </w:rPr>
      </w:pPr>
    </w:p>
    <w:p w14:paraId="1A9BB800">
      <w:pPr>
        <w:autoSpaceDE w:val="0"/>
        <w:autoSpaceDN w:val="0"/>
        <w:spacing w:line="520" w:lineRule="exact"/>
        <w:jc w:val="left"/>
        <w:rPr>
          <w:rFonts w:hint="eastAsia" w:ascii="宋体" w:hAnsi="宋体" w:eastAsia="宋体" w:cs="宋体"/>
          <w:color w:val="auto"/>
          <w:kern w:val="0"/>
        </w:rPr>
      </w:pPr>
    </w:p>
    <w:p w14:paraId="160E4507">
      <w:pPr>
        <w:autoSpaceDE w:val="0"/>
        <w:autoSpaceDN w:val="0"/>
        <w:spacing w:line="520" w:lineRule="exact"/>
        <w:jc w:val="left"/>
        <w:rPr>
          <w:rFonts w:hint="eastAsia" w:ascii="宋体" w:hAnsi="宋体" w:eastAsia="宋体" w:cs="宋体"/>
          <w:color w:val="auto"/>
          <w:kern w:val="0"/>
        </w:rPr>
      </w:pPr>
    </w:p>
    <w:p w14:paraId="7B18E255">
      <w:pPr>
        <w:autoSpaceDE w:val="0"/>
        <w:autoSpaceDN w:val="0"/>
        <w:spacing w:line="520" w:lineRule="exact"/>
        <w:jc w:val="left"/>
        <w:rPr>
          <w:rFonts w:hint="eastAsia" w:ascii="宋体" w:hAnsi="宋体" w:eastAsia="宋体" w:cs="宋体"/>
          <w:color w:val="auto"/>
          <w:kern w:val="0"/>
        </w:rPr>
      </w:pPr>
    </w:p>
    <w:p w14:paraId="1A87A706">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投标人：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（公章）</w:t>
      </w:r>
    </w:p>
    <w:p w14:paraId="7F8F3ACC">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法定代表人或委托代理人：        （签字或盖章）</w:t>
      </w:r>
    </w:p>
    <w:p w14:paraId="268B5244">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b/>
          <w:bCs/>
          <w:color w:val="auto"/>
          <w:kern w:val="0"/>
          <w:sz w:val="30"/>
          <w:szCs w:val="30"/>
          <w:lang w:val="zh-CN"/>
        </w:rPr>
        <w:t xml:space="preserve">年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月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日</w:t>
      </w:r>
    </w:p>
    <w:p w14:paraId="28FD734A">
      <w:pPr>
        <w:pStyle w:val="25"/>
        <w:spacing w:before="0" w:after="0" w:line="520" w:lineRule="exact"/>
        <w:jc w:val="left"/>
        <w:outlineLvl w:val="1"/>
        <w:rPr>
          <w:rFonts w:hint="eastAsia" w:ascii="宋体" w:hAnsi="宋体" w:eastAsia="宋体" w:cs="宋体"/>
          <w:color w:val="auto"/>
          <w:sz w:val="30"/>
          <w:szCs w:val="30"/>
          <w:lang w:val="zh-CN"/>
        </w:rPr>
      </w:pPr>
      <w:r>
        <w:rPr>
          <w:rFonts w:hint="eastAsia" w:ascii="宋体" w:hAnsi="宋体" w:eastAsia="宋体" w:cs="宋体"/>
          <w:color w:val="auto"/>
          <w:lang w:val="zh-CN"/>
        </w:rPr>
        <w:br w:type="page"/>
      </w:r>
      <w:bookmarkStart w:id="122" w:name="_Toc30165"/>
      <w:bookmarkStart w:id="123" w:name="_Toc29764"/>
      <w:bookmarkStart w:id="124" w:name="_Toc68160852"/>
      <w:bookmarkStart w:id="125" w:name="_Toc515908218"/>
      <w:r>
        <w:rPr>
          <w:rFonts w:hint="eastAsia" w:ascii="宋体" w:hAnsi="宋体" w:eastAsia="宋体" w:cs="宋体"/>
          <w:color w:val="auto"/>
          <w:sz w:val="30"/>
          <w:szCs w:val="30"/>
        </w:rPr>
        <w:t>（10）</w:t>
      </w:r>
      <w:r>
        <w:rPr>
          <w:rFonts w:hint="eastAsia" w:ascii="宋体" w:hAnsi="宋体" w:eastAsia="宋体" w:cs="宋体"/>
          <w:color w:val="auto"/>
          <w:sz w:val="30"/>
          <w:szCs w:val="30"/>
          <w:lang w:val="zh-CN"/>
        </w:rPr>
        <w:t>投标保证金证明</w:t>
      </w:r>
      <w:bookmarkEnd w:id="122"/>
      <w:bookmarkEnd w:id="123"/>
      <w:bookmarkEnd w:id="124"/>
      <w:bookmarkEnd w:id="125"/>
    </w:p>
    <w:p w14:paraId="363AFF94">
      <w:pPr>
        <w:spacing w:line="520" w:lineRule="exact"/>
        <w:rPr>
          <w:rFonts w:hint="eastAsia" w:ascii="宋体" w:hAnsi="宋体" w:eastAsia="宋体" w:cs="宋体"/>
          <w:color w:val="auto"/>
          <w:sz w:val="30"/>
          <w:szCs w:val="30"/>
          <w:lang w:val="zh-CN"/>
        </w:rPr>
      </w:pPr>
    </w:p>
    <w:p w14:paraId="65041AF2">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投标保证金证明</w:t>
      </w:r>
    </w:p>
    <w:p w14:paraId="005D2C3C">
      <w:pPr>
        <w:autoSpaceDE w:val="0"/>
        <w:autoSpaceDN w:val="0"/>
        <w:spacing w:line="520" w:lineRule="exact"/>
        <w:rPr>
          <w:rFonts w:hint="eastAsia" w:ascii="宋体" w:hAnsi="宋体" w:eastAsia="宋体" w:cs="宋体"/>
          <w:b/>
          <w:bCs/>
          <w:color w:val="auto"/>
          <w:kern w:val="0"/>
          <w:sz w:val="30"/>
          <w:szCs w:val="30"/>
          <w:lang w:val="zh-CN"/>
        </w:rPr>
      </w:pPr>
    </w:p>
    <w:p w14:paraId="608FCE44">
      <w:pPr>
        <w:autoSpaceDE w:val="0"/>
        <w:autoSpaceDN w:val="0"/>
        <w:spacing w:line="520" w:lineRule="exact"/>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致：</w:t>
      </w:r>
      <w:r>
        <w:rPr>
          <w:rFonts w:hint="eastAsia" w:ascii="宋体" w:hAnsi="宋体" w:cs="宋体"/>
          <w:b/>
          <w:bCs/>
          <w:color w:val="auto"/>
          <w:sz w:val="30"/>
          <w:szCs w:val="30"/>
          <w:lang w:eastAsia="zh-CN"/>
        </w:rPr>
        <w:t>青海宇创项目管理有限责任公司</w:t>
      </w:r>
    </w:p>
    <w:p w14:paraId="09724AE4">
      <w:pPr>
        <w:autoSpaceDE w:val="0"/>
        <w:autoSpaceDN w:val="0"/>
        <w:spacing w:line="520" w:lineRule="exact"/>
        <w:ind w:firstLine="750" w:firstLineChars="25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我方为（采购项目名称）项目（采购项目编号为：        ）递交保证金人民币       （大写：人民币        元）已于     年    月    日以转账方式汇入你方账户。</w:t>
      </w:r>
    </w:p>
    <w:p w14:paraId="79536539">
      <w:pPr>
        <w:autoSpaceDE w:val="0"/>
        <w:autoSpaceDN w:val="0"/>
        <w:spacing w:line="520" w:lineRule="exact"/>
        <w:ind w:firstLine="36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附件：保证金交款证明复印件</w:t>
      </w:r>
      <w:r>
        <w:rPr>
          <w:rFonts w:hint="eastAsia" w:ascii="宋体" w:hAnsi="宋体" w:eastAsia="宋体" w:cs="宋体"/>
          <w:kern w:val="0"/>
          <w:sz w:val="30"/>
          <w:szCs w:val="30"/>
          <w:lang w:val="zh-CN"/>
        </w:rPr>
        <w:t>（加盖</w:t>
      </w:r>
      <w:r>
        <w:rPr>
          <w:rFonts w:hint="eastAsia" w:ascii="宋体" w:hAnsi="宋体" w:eastAsia="宋体" w:cs="宋体"/>
          <w:kern w:val="0"/>
          <w:sz w:val="30"/>
          <w:szCs w:val="30"/>
          <w:lang w:val="zh-CN" w:eastAsia="zh-CN"/>
        </w:rPr>
        <w:t>财务</w:t>
      </w:r>
      <w:r>
        <w:rPr>
          <w:rFonts w:hint="eastAsia" w:ascii="宋体" w:hAnsi="宋体" w:eastAsia="宋体" w:cs="宋体"/>
          <w:kern w:val="0"/>
          <w:sz w:val="30"/>
          <w:szCs w:val="30"/>
          <w:lang w:val="zh-CN"/>
        </w:rPr>
        <w:t>章）</w:t>
      </w:r>
    </w:p>
    <w:p w14:paraId="6AD4CE23">
      <w:pPr>
        <w:autoSpaceDE w:val="0"/>
        <w:autoSpaceDN w:val="0"/>
        <w:spacing w:line="520" w:lineRule="exact"/>
        <w:ind w:firstLine="36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退还保证金时请按以下内容汇入至我方账户（同递交保证金账户）。若因提供内容不全、错误等原因导致该项目保证金未能及时退还或退还过程中发生错误，我方将承担全部责任和损失。</w:t>
      </w:r>
    </w:p>
    <w:p w14:paraId="73DD73AC">
      <w:pPr>
        <w:autoSpaceDE w:val="0"/>
        <w:autoSpaceDN w:val="0"/>
        <w:spacing w:line="520" w:lineRule="exact"/>
        <w:ind w:firstLine="36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户    名：</w:t>
      </w:r>
    </w:p>
    <w:p w14:paraId="2A988124">
      <w:pPr>
        <w:autoSpaceDE w:val="0"/>
        <w:autoSpaceDN w:val="0"/>
        <w:spacing w:line="520" w:lineRule="exact"/>
        <w:ind w:firstLine="36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开户银行：</w:t>
      </w:r>
    </w:p>
    <w:p w14:paraId="4EE5B571">
      <w:pPr>
        <w:autoSpaceDE w:val="0"/>
        <w:autoSpaceDN w:val="0"/>
        <w:spacing w:line="520" w:lineRule="exact"/>
        <w:ind w:firstLine="36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开户帐号：</w:t>
      </w:r>
    </w:p>
    <w:p w14:paraId="399FCEB9">
      <w:pPr>
        <w:autoSpaceDE w:val="0"/>
        <w:autoSpaceDN w:val="0"/>
        <w:spacing w:line="520" w:lineRule="exact"/>
        <w:ind w:firstLine="360"/>
        <w:rPr>
          <w:rFonts w:hint="eastAsia" w:ascii="宋体" w:hAnsi="宋体" w:eastAsia="宋体" w:cs="宋体"/>
          <w:color w:val="auto"/>
          <w:kern w:val="0"/>
          <w:lang w:val="zh-CN"/>
        </w:rPr>
      </w:pPr>
    </w:p>
    <w:p w14:paraId="15F8ECC9">
      <w:pPr>
        <w:autoSpaceDE w:val="0"/>
        <w:autoSpaceDN w:val="0"/>
        <w:spacing w:line="520" w:lineRule="exact"/>
        <w:ind w:firstLine="360"/>
        <w:rPr>
          <w:rFonts w:hint="eastAsia" w:ascii="宋体" w:hAnsi="宋体" w:eastAsia="宋体" w:cs="宋体"/>
          <w:color w:val="auto"/>
          <w:kern w:val="0"/>
          <w:lang w:val="zh-CN"/>
        </w:rPr>
      </w:pPr>
    </w:p>
    <w:p w14:paraId="7375E61C">
      <w:pPr>
        <w:autoSpaceDE w:val="0"/>
        <w:autoSpaceDN w:val="0"/>
        <w:spacing w:line="520" w:lineRule="exact"/>
        <w:ind w:firstLine="360"/>
        <w:rPr>
          <w:rFonts w:hint="eastAsia" w:ascii="宋体" w:hAnsi="宋体" w:eastAsia="宋体" w:cs="宋体"/>
          <w:color w:val="auto"/>
          <w:kern w:val="0"/>
          <w:lang w:val="zh-CN"/>
        </w:rPr>
      </w:pPr>
    </w:p>
    <w:p w14:paraId="2A904A99">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投标人：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（公章）</w:t>
      </w:r>
    </w:p>
    <w:p w14:paraId="2A79762A">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法定代表人或委托代理人：        （签字或盖章）</w:t>
      </w:r>
    </w:p>
    <w:p w14:paraId="65732F35">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b/>
          <w:bCs/>
          <w:color w:val="auto"/>
          <w:kern w:val="0"/>
          <w:sz w:val="30"/>
          <w:szCs w:val="30"/>
          <w:lang w:val="zh-CN"/>
        </w:rPr>
        <w:t xml:space="preserve">年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月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日</w:t>
      </w:r>
    </w:p>
    <w:p w14:paraId="6827F0B6">
      <w:pPr>
        <w:autoSpaceDE w:val="0"/>
        <w:autoSpaceDN w:val="0"/>
        <w:spacing w:line="520" w:lineRule="exact"/>
        <w:rPr>
          <w:rFonts w:hint="eastAsia" w:ascii="宋体" w:hAnsi="宋体" w:eastAsia="宋体" w:cs="宋体"/>
          <w:b/>
          <w:bCs/>
          <w:color w:val="auto"/>
          <w:kern w:val="0"/>
          <w:lang w:val="zh-CN"/>
        </w:rPr>
      </w:pPr>
    </w:p>
    <w:p w14:paraId="2CBD9F46">
      <w:pPr>
        <w:autoSpaceDE w:val="0"/>
        <w:autoSpaceDN w:val="0"/>
        <w:spacing w:line="520" w:lineRule="exact"/>
        <w:rPr>
          <w:rFonts w:hint="eastAsia" w:ascii="宋体" w:hAnsi="宋体" w:eastAsia="宋体" w:cs="宋体"/>
          <w:b/>
          <w:bCs/>
          <w:color w:val="auto"/>
          <w:kern w:val="0"/>
          <w:lang w:val="zh-CN"/>
        </w:rPr>
      </w:pPr>
    </w:p>
    <w:p w14:paraId="5BD56144">
      <w:pPr>
        <w:autoSpaceDE w:val="0"/>
        <w:autoSpaceDN w:val="0"/>
        <w:spacing w:line="520" w:lineRule="exact"/>
        <w:rPr>
          <w:rFonts w:hint="eastAsia" w:ascii="宋体" w:hAnsi="宋体" w:eastAsia="宋体" w:cs="宋体"/>
          <w:b/>
          <w:bCs/>
          <w:color w:val="auto"/>
          <w:kern w:val="0"/>
          <w:lang w:val="zh-CN"/>
        </w:rPr>
      </w:pPr>
    </w:p>
    <w:bookmarkEnd w:id="118"/>
    <w:p w14:paraId="061A19F2">
      <w:pPr>
        <w:rPr>
          <w:rFonts w:hint="eastAsia" w:ascii="宋体" w:hAnsi="宋体" w:eastAsia="宋体" w:cs="宋体"/>
          <w:b/>
          <w:color w:val="auto"/>
          <w:sz w:val="30"/>
          <w:szCs w:val="30"/>
        </w:rPr>
      </w:pPr>
      <w:bookmarkStart w:id="126" w:name="_Toc68160854"/>
      <w:bookmarkStart w:id="127" w:name="_Toc515908220"/>
      <w:r>
        <w:rPr>
          <w:rFonts w:hint="eastAsia" w:ascii="宋体" w:hAnsi="宋体" w:eastAsia="宋体" w:cs="宋体"/>
          <w:b/>
          <w:color w:val="auto"/>
          <w:sz w:val="30"/>
          <w:szCs w:val="30"/>
        </w:rPr>
        <w:br w:type="page"/>
      </w:r>
    </w:p>
    <w:p w14:paraId="4B1A434D">
      <w:pPr>
        <w:spacing w:line="520" w:lineRule="exact"/>
        <w:rPr>
          <w:rFonts w:hint="eastAsia" w:ascii="宋体" w:hAnsi="宋体" w:eastAsia="宋体" w:cs="宋体"/>
          <w:b/>
          <w:color w:val="auto"/>
          <w:sz w:val="30"/>
          <w:szCs w:val="30"/>
          <w:lang w:val="zh-CN"/>
        </w:rPr>
      </w:pPr>
      <w:r>
        <w:rPr>
          <w:rFonts w:hint="eastAsia" w:ascii="宋体" w:hAnsi="宋体" w:eastAsia="宋体" w:cs="宋体"/>
          <w:b/>
          <w:color w:val="auto"/>
          <w:sz w:val="30"/>
          <w:szCs w:val="30"/>
        </w:rPr>
        <w:t>（11）</w:t>
      </w:r>
      <w:r>
        <w:rPr>
          <w:rFonts w:hint="eastAsia" w:ascii="宋体" w:hAnsi="宋体" w:eastAsia="宋体" w:cs="宋体"/>
          <w:b/>
          <w:color w:val="auto"/>
          <w:sz w:val="30"/>
          <w:szCs w:val="30"/>
          <w:lang w:val="zh-CN"/>
        </w:rPr>
        <w:t>评分对照表</w:t>
      </w:r>
      <w:bookmarkEnd w:id="126"/>
      <w:bookmarkEnd w:id="127"/>
    </w:p>
    <w:p w14:paraId="35CA6677">
      <w:pPr>
        <w:spacing w:line="520" w:lineRule="exact"/>
        <w:rPr>
          <w:rFonts w:hint="eastAsia" w:ascii="宋体" w:hAnsi="宋体" w:eastAsia="宋体" w:cs="宋体"/>
          <w:color w:val="auto"/>
          <w:sz w:val="30"/>
          <w:szCs w:val="30"/>
        </w:rPr>
      </w:pPr>
    </w:p>
    <w:p w14:paraId="3CDCEB7C">
      <w:pPr>
        <w:spacing w:line="520" w:lineRule="exact"/>
        <w:jc w:val="center"/>
        <w:rPr>
          <w:rFonts w:hint="eastAsia" w:ascii="宋体" w:hAnsi="宋体" w:eastAsia="宋体" w:cs="宋体"/>
          <w:color w:val="auto"/>
          <w:sz w:val="30"/>
          <w:szCs w:val="30"/>
        </w:rPr>
      </w:pPr>
      <w:r>
        <w:rPr>
          <w:rFonts w:hint="eastAsia" w:ascii="宋体" w:hAnsi="宋体" w:eastAsia="宋体" w:cs="宋体"/>
          <w:b/>
          <w:bCs/>
          <w:color w:val="auto"/>
          <w:sz w:val="30"/>
          <w:szCs w:val="30"/>
        </w:rPr>
        <w:t>评分对照表</w:t>
      </w:r>
    </w:p>
    <w:p w14:paraId="4A0505C4">
      <w:pPr>
        <w:spacing w:line="520" w:lineRule="exact"/>
        <w:rPr>
          <w:rFonts w:hint="eastAsia" w:ascii="宋体" w:hAnsi="宋体" w:eastAsia="宋体" w:cs="宋体"/>
          <w:color w:val="auto"/>
          <w:sz w:val="30"/>
          <w:szCs w:val="30"/>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716E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E2D6D64">
            <w:pPr>
              <w:pStyle w:val="7"/>
              <w:spacing w:line="520" w:lineRule="exact"/>
              <w:ind w:firstLine="0"/>
              <w:jc w:val="center"/>
              <w:rPr>
                <w:rFonts w:hint="eastAsia" w:ascii="宋体" w:hAnsi="宋体" w:eastAsia="宋体" w:cs="宋体"/>
                <w:color w:val="auto"/>
                <w:sz w:val="30"/>
                <w:szCs w:val="30"/>
              </w:rPr>
            </w:pPr>
            <w:r>
              <w:rPr>
                <w:rFonts w:hint="eastAsia" w:ascii="宋体" w:hAnsi="宋体" w:eastAsia="宋体" w:cs="宋体"/>
                <w:color w:val="auto"/>
                <w:sz w:val="30"/>
                <w:szCs w:val="30"/>
              </w:rPr>
              <w:t>序号</w:t>
            </w:r>
          </w:p>
        </w:tc>
        <w:tc>
          <w:tcPr>
            <w:tcW w:w="2514" w:type="dxa"/>
            <w:vAlign w:val="center"/>
          </w:tcPr>
          <w:p w14:paraId="637F90B1">
            <w:pPr>
              <w:pStyle w:val="7"/>
              <w:spacing w:line="520" w:lineRule="exact"/>
              <w:ind w:firstLine="0"/>
              <w:jc w:val="center"/>
              <w:rPr>
                <w:rFonts w:hint="eastAsia" w:ascii="宋体" w:hAnsi="宋体" w:eastAsia="宋体" w:cs="宋体"/>
                <w:color w:val="auto"/>
                <w:sz w:val="30"/>
                <w:szCs w:val="30"/>
              </w:rPr>
            </w:pPr>
            <w:r>
              <w:rPr>
                <w:rFonts w:hint="eastAsia" w:ascii="宋体" w:hAnsi="宋体" w:eastAsia="宋体" w:cs="宋体"/>
                <w:color w:val="auto"/>
                <w:sz w:val="30"/>
                <w:szCs w:val="30"/>
              </w:rPr>
              <w:t>招标文件评分标准</w:t>
            </w:r>
          </w:p>
        </w:tc>
        <w:tc>
          <w:tcPr>
            <w:tcW w:w="2266" w:type="dxa"/>
            <w:vAlign w:val="center"/>
          </w:tcPr>
          <w:p w14:paraId="5AF40AEF">
            <w:pPr>
              <w:pStyle w:val="7"/>
              <w:spacing w:line="520" w:lineRule="exact"/>
              <w:ind w:firstLine="0"/>
              <w:jc w:val="center"/>
              <w:rPr>
                <w:rFonts w:hint="eastAsia" w:ascii="宋体" w:hAnsi="宋体" w:eastAsia="宋体" w:cs="宋体"/>
                <w:color w:val="auto"/>
                <w:sz w:val="30"/>
                <w:szCs w:val="30"/>
              </w:rPr>
            </w:pPr>
            <w:r>
              <w:rPr>
                <w:rFonts w:hint="eastAsia" w:ascii="宋体" w:hAnsi="宋体" w:eastAsia="宋体" w:cs="宋体"/>
                <w:color w:val="auto"/>
                <w:sz w:val="30"/>
                <w:szCs w:val="30"/>
              </w:rPr>
              <w:t>投标响应部分</w:t>
            </w:r>
          </w:p>
        </w:tc>
        <w:tc>
          <w:tcPr>
            <w:tcW w:w="2966" w:type="dxa"/>
            <w:vAlign w:val="center"/>
          </w:tcPr>
          <w:p w14:paraId="679C3C98">
            <w:pPr>
              <w:pStyle w:val="7"/>
              <w:spacing w:line="520" w:lineRule="exact"/>
              <w:ind w:firstLine="0"/>
              <w:jc w:val="center"/>
              <w:rPr>
                <w:rFonts w:hint="eastAsia" w:ascii="宋体" w:hAnsi="宋体" w:eastAsia="宋体" w:cs="宋体"/>
                <w:color w:val="auto"/>
                <w:sz w:val="30"/>
                <w:szCs w:val="30"/>
              </w:rPr>
            </w:pPr>
            <w:r>
              <w:rPr>
                <w:rFonts w:hint="eastAsia" w:ascii="宋体" w:hAnsi="宋体" w:eastAsia="宋体" w:cs="宋体"/>
                <w:color w:val="auto"/>
                <w:sz w:val="30"/>
                <w:szCs w:val="30"/>
              </w:rPr>
              <w:t>投标文件中对应页码</w:t>
            </w:r>
          </w:p>
        </w:tc>
      </w:tr>
      <w:tr w14:paraId="09B6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E1922F8">
            <w:pPr>
              <w:pStyle w:val="7"/>
              <w:spacing w:line="520" w:lineRule="exact"/>
              <w:ind w:firstLine="0"/>
              <w:jc w:val="center"/>
              <w:rPr>
                <w:rFonts w:hint="eastAsia" w:ascii="宋体" w:hAnsi="宋体" w:eastAsia="宋体" w:cs="宋体"/>
                <w:color w:val="auto"/>
                <w:sz w:val="30"/>
                <w:szCs w:val="30"/>
              </w:rPr>
            </w:pPr>
          </w:p>
        </w:tc>
        <w:tc>
          <w:tcPr>
            <w:tcW w:w="2514" w:type="dxa"/>
            <w:vAlign w:val="center"/>
          </w:tcPr>
          <w:p w14:paraId="72F7CC95">
            <w:pPr>
              <w:pStyle w:val="7"/>
              <w:spacing w:line="520" w:lineRule="exact"/>
              <w:ind w:firstLine="0"/>
              <w:jc w:val="center"/>
              <w:rPr>
                <w:rFonts w:hint="eastAsia" w:ascii="宋体" w:hAnsi="宋体" w:eastAsia="宋体" w:cs="宋体"/>
                <w:color w:val="auto"/>
                <w:sz w:val="30"/>
                <w:szCs w:val="30"/>
              </w:rPr>
            </w:pPr>
          </w:p>
        </w:tc>
        <w:tc>
          <w:tcPr>
            <w:tcW w:w="2266" w:type="dxa"/>
            <w:vAlign w:val="center"/>
          </w:tcPr>
          <w:p w14:paraId="6D31E2F8">
            <w:pPr>
              <w:pStyle w:val="7"/>
              <w:spacing w:line="520" w:lineRule="exact"/>
              <w:ind w:firstLine="0"/>
              <w:jc w:val="center"/>
              <w:rPr>
                <w:rFonts w:hint="eastAsia" w:ascii="宋体" w:hAnsi="宋体" w:eastAsia="宋体" w:cs="宋体"/>
                <w:color w:val="auto"/>
                <w:sz w:val="30"/>
                <w:szCs w:val="30"/>
              </w:rPr>
            </w:pPr>
          </w:p>
        </w:tc>
        <w:tc>
          <w:tcPr>
            <w:tcW w:w="2966" w:type="dxa"/>
            <w:vAlign w:val="center"/>
          </w:tcPr>
          <w:p w14:paraId="689551AB">
            <w:pPr>
              <w:pStyle w:val="7"/>
              <w:spacing w:line="520" w:lineRule="exact"/>
              <w:ind w:firstLine="0"/>
              <w:jc w:val="center"/>
              <w:rPr>
                <w:rFonts w:hint="eastAsia" w:ascii="宋体" w:hAnsi="宋体" w:eastAsia="宋体" w:cs="宋体"/>
                <w:color w:val="auto"/>
                <w:sz w:val="30"/>
                <w:szCs w:val="30"/>
              </w:rPr>
            </w:pPr>
          </w:p>
        </w:tc>
      </w:tr>
      <w:tr w14:paraId="4266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3A9998E">
            <w:pPr>
              <w:pStyle w:val="7"/>
              <w:spacing w:line="520" w:lineRule="exact"/>
              <w:ind w:firstLine="0"/>
              <w:jc w:val="center"/>
              <w:rPr>
                <w:rFonts w:hint="eastAsia" w:ascii="宋体" w:hAnsi="宋体" w:eastAsia="宋体" w:cs="宋体"/>
                <w:color w:val="auto"/>
                <w:sz w:val="30"/>
                <w:szCs w:val="30"/>
              </w:rPr>
            </w:pPr>
          </w:p>
        </w:tc>
        <w:tc>
          <w:tcPr>
            <w:tcW w:w="2514" w:type="dxa"/>
            <w:vAlign w:val="center"/>
          </w:tcPr>
          <w:p w14:paraId="1C103213">
            <w:pPr>
              <w:pStyle w:val="7"/>
              <w:spacing w:line="520" w:lineRule="exact"/>
              <w:ind w:firstLine="0"/>
              <w:jc w:val="center"/>
              <w:rPr>
                <w:rFonts w:hint="eastAsia" w:ascii="宋体" w:hAnsi="宋体" w:eastAsia="宋体" w:cs="宋体"/>
                <w:color w:val="auto"/>
                <w:sz w:val="30"/>
                <w:szCs w:val="30"/>
              </w:rPr>
            </w:pPr>
          </w:p>
        </w:tc>
        <w:tc>
          <w:tcPr>
            <w:tcW w:w="2266" w:type="dxa"/>
            <w:vAlign w:val="center"/>
          </w:tcPr>
          <w:p w14:paraId="6525F8CA">
            <w:pPr>
              <w:pStyle w:val="7"/>
              <w:spacing w:line="520" w:lineRule="exact"/>
              <w:ind w:firstLine="0"/>
              <w:jc w:val="center"/>
              <w:rPr>
                <w:rFonts w:hint="eastAsia" w:ascii="宋体" w:hAnsi="宋体" w:eastAsia="宋体" w:cs="宋体"/>
                <w:color w:val="auto"/>
                <w:sz w:val="30"/>
                <w:szCs w:val="30"/>
              </w:rPr>
            </w:pPr>
          </w:p>
        </w:tc>
        <w:tc>
          <w:tcPr>
            <w:tcW w:w="2966" w:type="dxa"/>
            <w:vAlign w:val="center"/>
          </w:tcPr>
          <w:p w14:paraId="2BD33F62">
            <w:pPr>
              <w:pStyle w:val="7"/>
              <w:spacing w:line="520" w:lineRule="exact"/>
              <w:ind w:firstLine="0"/>
              <w:jc w:val="center"/>
              <w:rPr>
                <w:rFonts w:hint="eastAsia" w:ascii="宋体" w:hAnsi="宋体" w:eastAsia="宋体" w:cs="宋体"/>
                <w:color w:val="auto"/>
                <w:sz w:val="30"/>
                <w:szCs w:val="30"/>
              </w:rPr>
            </w:pPr>
          </w:p>
        </w:tc>
      </w:tr>
      <w:tr w14:paraId="2C3C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A7F9CC4">
            <w:pPr>
              <w:pStyle w:val="7"/>
              <w:spacing w:line="520" w:lineRule="exact"/>
              <w:ind w:firstLine="0"/>
              <w:jc w:val="center"/>
              <w:rPr>
                <w:rFonts w:hint="eastAsia" w:ascii="宋体" w:hAnsi="宋体" w:eastAsia="宋体" w:cs="宋体"/>
                <w:color w:val="auto"/>
                <w:sz w:val="30"/>
                <w:szCs w:val="30"/>
              </w:rPr>
            </w:pPr>
          </w:p>
        </w:tc>
        <w:tc>
          <w:tcPr>
            <w:tcW w:w="2514" w:type="dxa"/>
            <w:vAlign w:val="center"/>
          </w:tcPr>
          <w:p w14:paraId="3714677C">
            <w:pPr>
              <w:pStyle w:val="7"/>
              <w:spacing w:line="520" w:lineRule="exact"/>
              <w:ind w:firstLine="0"/>
              <w:jc w:val="center"/>
              <w:rPr>
                <w:rFonts w:hint="eastAsia" w:ascii="宋体" w:hAnsi="宋体" w:eastAsia="宋体" w:cs="宋体"/>
                <w:color w:val="auto"/>
                <w:sz w:val="30"/>
                <w:szCs w:val="30"/>
              </w:rPr>
            </w:pPr>
          </w:p>
        </w:tc>
        <w:tc>
          <w:tcPr>
            <w:tcW w:w="2266" w:type="dxa"/>
            <w:vAlign w:val="center"/>
          </w:tcPr>
          <w:p w14:paraId="573648C2">
            <w:pPr>
              <w:pStyle w:val="7"/>
              <w:spacing w:line="520" w:lineRule="exact"/>
              <w:ind w:firstLine="0"/>
              <w:jc w:val="center"/>
              <w:rPr>
                <w:rFonts w:hint="eastAsia" w:ascii="宋体" w:hAnsi="宋体" w:eastAsia="宋体" w:cs="宋体"/>
                <w:color w:val="auto"/>
                <w:sz w:val="30"/>
                <w:szCs w:val="30"/>
              </w:rPr>
            </w:pPr>
          </w:p>
        </w:tc>
        <w:tc>
          <w:tcPr>
            <w:tcW w:w="2966" w:type="dxa"/>
            <w:vAlign w:val="center"/>
          </w:tcPr>
          <w:p w14:paraId="6F024F4F">
            <w:pPr>
              <w:pStyle w:val="7"/>
              <w:spacing w:line="520" w:lineRule="exact"/>
              <w:ind w:firstLine="0"/>
              <w:jc w:val="center"/>
              <w:rPr>
                <w:rFonts w:hint="eastAsia" w:ascii="宋体" w:hAnsi="宋体" w:eastAsia="宋体" w:cs="宋体"/>
                <w:color w:val="auto"/>
                <w:sz w:val="30"/>
                <w:szCs w:val="30"/>
              </w:rPr>
            </w:pPr>
          </w:p>
        </w:tc>
      </w:tr>
      <w:tr w14:paraId="318E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2EB354C">
            <w:pPr>
              <w:pStyle w:val="7"/>
              <w:spacing w:line="520" w:lineRule="exact"/>
              <w:ind w:firstLine="0"/>
              <w:jc w:val="center"/>
              <w:rPr>
                <w:rFonts w:hint="eastAsia" w:ascii="宋体" w:hAnsi="宋体" w:eastAsia="宋体" w:cs="宋体"/>
                <w:color w:val="auto"/>
                <w:sz w:val="30"/>
                <w:szCs w:val="30"/>
              </w:rPr>
            </w:pPr>
          </w:p>
        </w:tc>
        <w:tc>
          <w:tcPr>
            <w:tcW w:w="2514" w:type="dxa"/>
            <w:vAlign w:val="center"/>
          </w:tcPr>
          <w:p w14:paraId="61850D34">
            <w:pPr>
              <w:pStyle w:val="7"/>
              <w:spacing w:line="520" w:lineRule="exact"/>
              <w:ind w:firstLine="0"/>
              <w:jc w:val="center"/>
              <w:rPr>
                <w:rFonts w:hint="eastAsia" w:ascii="宋体" w:hAnsi="宋体" w:eastAsia="宋体" w:cs="宋体"/>
                <w:color w:val="auto"/>
                <w:sz w:val="30"/>
                <w:szCs w:val="30"/>
              </w:rPr>
            </w:pPr>
          </w:p>
        </w:tc>
        <w:tc>
          <w:tcPr>
            <w:tcW w:w="2266" w:type="dxa"/>
            <w:vAlign w:val="center"/>
          </w:tcPr>
          <w:p w14:paraId="06EDABB1">
            <w:pPr>
              <w:pStyle w:val="7"/>
              <w:spacing w:line="520" w:lineRule="exact"/>
              <w:ind w:firstLine="0"/>
              <w:jc w:val="center"/>
              <w:rPr>
                <w:rFonts w:hint="eastAsia" w:ascii="宋体" w:hAnsi="宋体" w:eastAsia="宋体" w:cs="宋体"/>
                <w:color w:val="auto"/>
                <w:sz w:val="30"/>
                <w:szCs w:val="30"/>
              </w:rPr>
            </w:pPr>
          </w:p>
        </w:tc>
        <w:tc>
          <w:tcPr>
            <w:tcW w:w="2966" w:type="dxa"/>
            <w:vAlign w:val="center"/>
          </w:tcPr>
          <w:p w14:paraId="04B5CB59">
            <w:pPr>
              <w:pStyle w:val="7"/>
              <w:spacing w:line="520" w:lineRule="exact"/>
              <w:ind w:firstLine="0"/>
              <w:jc w:val="center"/>
              <w:rPr>
                <w:rFonts w:hint="eastAsia" w:ascii="宋体" w:hAnsi="宋体" w:eastAsia="宋体" w:cs="宋体"/>
                <w:color w:val="auto"/>
                <w:sz w:val="30"/>
                <w:szCs w:val="30"/>
              </w:rPr>
            </w:pPr>
          </w:p>
        </w:tc>
      </w:tr>
      <w:tr w14:paraId="4DEB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73C872D">
            <w:pPr>
              <w:pStyle w:val="7"/>
              <w:spacing w:line="520" w:lineRule="exact"/>
              <w:ind w:firstLine="0"/>
              <w:jc w:val="center"/>
              <w:rPr>
                <w:rFonts w:hint="eastAsia" w:ascii="宋体" w:hAnsi="宋体" w:eastAsia="宋体" w:cs="宋体"/>
                <w:color w:val="auto"/>
                <w:sz w:val="30"/>
                <w:szCs w:val="30"/>
              </w:rPr>
            </w:pPr>
          </w:p>
        </w:tc>
        <w:tc>
          <w:tcPr>
            <w:tcW w:w="2514" w:type="dxa"/>
            <w:vAlign w:val="center"/>
          </w:tcPr>
          <w:p w14:paraId="5A739B37">
            <w:pPr>
              <w:pStyle w:val="7"/>
              <w:spacing w:line="520" w:lineRule="exact"/>
              <w:ind w:firstLine="0"/>
              <w:jc w:val="center"/>
              <w:rPr>
                <w:rFonts w:hint="eastAsia" w:ascii="宋体" w:hAnsi="宋体" w:eastAsia="宋体" w:cs="宋体"/>
                <w:color w:val="auto"/>
                <w:sz w:val="30"/>
                <w:szCs w:val="30"/>
              </w:rPr>
            </w:pPr>
          </w:p>
        </w:tc>
        <w:tc>
          <w:tcPr>
            <w:tcW w:w="2266" w:type="dxa"/>
            <w:vAlign w:val="center"/>
          </w:tcPr>
          <w:p w14:paraId="4CB0762E">
            <w:pPr>
              <w:pStyle w:val="7"/>
              <w:spacing w:line="520" w:lineRule="exact"/>
              <w:ind w:firstLine="0"/>
              <w:jc w:val="center"/>
              <w:rPr>
                <w:rFonts w:hint="eastAsia" w:ascii="宋体" w:hAnsi="宋体" w:eastAsia="宋体" w:cs="宋体"/>
                <w:color w:val="auto"/>
                <w:sz w:val="30"/>
                <w:szCs w:val="30"/>
              </w:rPr>
            </w:pPr>
          </w:p>
        </w:tc>
        <w:tc>
          <w:tcPr>
            <w:tcW w:w="2966" w:type="dxa"/>
            <w:vAlign w:val="center"/>
          </w:tcPr>
          <w:p w14:paraId="4706D6AC">
            <w:pPr>
              <w:pStyle w:val="7"/>
              <w:spacing w:line="520" w:lineRule="exact"/>
              <w:ind w:firstLine="0"/>
              <w:jc w:val="center"/>
              <w:rPr>
                <w:rFonts w:hint="eastAsia" w:ascii="宋体" w:hAnsi="宋体" w:eastAsia="宋体" w:cs="宋体"/>
                <w:color w:val="auto"/>
                <w:sz w:val="30"/>
                <w:szCs w:val="30"/>
              </w:rPr>
            </w:pPr>
          </w:p>
        </w:tc>
      </w:tr>
      <w:tr w14:paraId="2435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79AD3F1">
            <w:pPr>
              <w:pStyle w:val="7"/>
              <w:spacing w:line="520" w:lineRule="exact"/>
              <w:ind w:firstLine="0"/>
              <w:jc w:val="center"/>
              <w:rPr>
                <w:rFonts w:hint="eastAsia" w:ascii="宋体" w:hAnsi="宋体" w:eastAsia="宋体" w:cs="宋体"/>
                <w:color w:val="auto"/>
                <w:sz w:val="30"/>
                <w:szCs w:val="30"/>
              </w:rPr>
            </w:pPr>
          </w:p>
        </w:tc>
        <w:tc>
          <w:tcPr>
            <w:tcW w:w="2514" w:type="dxa"/>
            <w:vAlign w:val="center"/>
          </w:tcPr>
          <w:p w14:paraId="5DE6C0DE">
            <w:pPr>
              <w:pStyle w:val="7"/>
              <w:spacing w:line="520" w:lineRule="exact"/>
              <w:ind w:firstLine="0"/>
              <w:jc w:val="center"/>
              <w:rPr>
                <w:rFonts w:hint="eastAsia" w:ascii="宋体" w:hAnsi="宋体" w:eastAsia="宋体" w:cs="宋体"/>
                <w:color w:val="auto"/>
                <w:sz w:val="30"/>
                <w:szCs w:val="30"/>
              </w:rPr>
            </w:pPr>
          </w:p>
        </w:tc>
        <w:tc>
          <w:tcPr>
            <w:tcW w:w="2266" w:type="dxa"/>
            <w:vAlign w:val="center"/>
          </w:tcPr>
          <w:p w14:paraId="02B41E5F">
            <w:pPr>
              <w:pStyle w:val="7"/>
              <w:spacing w:line="520" w:lineRule="exact"/>
              <w:ind w:firstLine="0"/>
              <w:jc w:val="center"/>
              <w:rPr>
                <w:rFonts w:hint="eastAsia" w:ascii="宋体" w:hAnsi="宋体" w:eastAsia="宋体" w:cs="宋体"/>
                <w:color w:val="auto"/>
                <w:sz w:val="30"/>
                <w:szCs w:val="30"/>
              </w:rPr>
            </w:pPr>
          </w:p>
        </w:tc>
        <w:tc>
          <w:tcPr>
            <w:tcW w:w="2966" w:type="dxa"/>
            <w:vAlign w:val="center"/>
          </w:tcPr>
          <w:p w14:paraId="2C3CFDA1">
            <w:pPr>
              <w:pStyle w:val="7"/>
              <w:spacing w:line="520" w:lineRule="exact"/>
              <w:ind w:firstLine="0"/>
              <w:jc w:val="center"/>
              <w:rPr>
                <w:rFonts w:hint="eastAsia" w:ascii="宋体" w:hAnsi="宋体" w:eastAsia="宋体" w:cs="宋体"/>
                <w:color w:val="auto"/>
                <w:sz w:val="30"/>
                <w:szCs w:val="30"/>
              </w:rPr>
            </w:pPr>
          </w:p>
        </w:tc>
      </w:tr>
    </w:tbl>
    <w:p w14:paraId="670F28D2">
      <w:pPr>
        <w:spacing w:line="520" w:lineRule="exact"/>
        <w:rPr>
          <w:rFonts w:hint="eastAsia" w:ascii="宋体" w:hAnsi="宋体" w:eastAsia="宋体" w:cs="宋体"/>
          <w:color w:val="auto"/>
          <w:lang w:val="zh-CN"/>
        </w:rPr>
      </w:pPr>
    </w:p>
    <w:p w14:paraId="5585D1BE">
      <w:pPr>
        <w:pStyle w:val="25"/>
        <w:spacing w:before="0" w:after="0" w:line="520" w:lineRule="exact"/>
        <w:jc w:val="left"/>
        <w:outlineLvl w:val="1"/>
        <w:rPr>
          <w:rFonts w:hint="eastAsia" w:ascii="宋体" w:hAnsi="宋体" w:eastAsia="宋体" w:cs="宋体"/>
          <w:color w:val="auto"/>
          <w:sz w:val="30"/>
          <w:szCs w:val="30"/>
          <w:lang w:val="zh-CN"/>
        </w:rPr>
      </w:pPr>
      <w:bookmarkStart w:id="128" w:name="_Toc28963"/>
      <w:r>
        <w:rPr>
          <w:rFonts w:hint="eastAsia" w:ascii="宋体" w:hAnsi="宋体" w:eastAsia="宋体" w:cs="宋体"/>
          <w:color w:val="auto"/>
          <w:sz w:val="30"/>
          <w:szCs w:val="30"/>
          <w:lang w:val="zh-CN"/>
        </w:rPr>
        <w:br w:type="page"/>
      </w:r>
      <w:bookmarkStart w:id="129" w:name="_Toc515908221"/>
      <w:bookmarkStart w:id="130" w:name="_Toc68160855"/>
      <w:bookmarkStart w:id="131" w:name="_Toc26451"/>
      <w:bookmarkStart w:id="132" w:name="_Toc22210"/>
      <w:r>
        <w:rPr>
          <w:rFonts w:hint="eastAsia" w:ascii="宋体" w:hAnsi="宋体" w:eastAsia="宋体" w:cs="宋体"/>
          <w:color w:val="auto"/>
          <w:sz w:val="30"/>
          <w:szCs w:val="30"/>
        </w:rPr>
        <w:t>（12）</w:t>
      </w:r>
      <w:r>
        <w:rPr>
          <w:rFonts w:hint="eastAsia" w:ascii="宋体" w:hAnsi="宋体" w:eastAsia="宋体" w:cs="宋体"/>
          <w:color w:val="auto"/>
          <w:sz w:val="30"/>
          <w:szCs w:val="30"/>
          <w:lang w:val="zh-CN"/>
        </w:rPr>
        <w:t>开标一览表（报价表）</w:t>
      </w:r>
      <w:bookmarkEnd w:id="129"/>
      <w:bookmarkEnd w:id="130"/>
      <w:bookmarkEnd w:id="131"/>
      <w:bookmarkEnd w:id="132"/>
    </w:p>
    <w:p w14:paraId="4896FF5C">
      <w:pPr>
        <w:autoSpaceDE w:val="0"/>
        <w:autoSpaceDN w:val="0"/>
        <w:spacing w:line="520" w:lineRule="exact"/>
        <w:rPr>
          <w:rFonts w:hint="eastAsia" w:ascii="宋体" w:hAnsi="宋体" w:eastAsia="宋体" w:cs="宋体"/>
          <w:b/>
          <w:bCs/>
          <w:color w:val="auto"/>
          <w:kern w:val="0"/>
          <w:sz w:val="30"/>
          <w:szCs w:val="30"/>
          <w:lang w:val="zh-CN"/>
        </w:rPr>
      </w:pPr>
    </w:p>
    <w:p w14:paraId="79FA4ED0">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开标一览表（报价表）</w:t>
      </w:r>
    </w:p>
    <w:p w14:paraId="792C641F">
      <w:pPr>
        <w:autoSpaceDE w:val="0"/>
        <w:autoSpaceDN w:val="0"/>
        <w:spacing w:line="520" w:lineRule="exact"/>
        <w:rPr>
          <w:rFonts w:hint="eastAsia" w:ascii="宋体" w:hAnsi="宋体" w:eastAsia="宋体" w:cs="宋体"/>
          <w:b/>
          <w:bCs/>
          <w:color w:val="auto"/>
          <w:kern w:val="0"/>
          <w:sz w:val="30"/>
          <w:szCs w:val="30"/>
          <w:lang w:val="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6D59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2632" w:type="dxa"/>
            <w:vAlign w:val="center"/>
          </w:tcPr>
          <w:p w14:paraId="3B31D82C">
            <w:pPr>
              <w:pStyle w:val="7"/>
              <w:spacing w:line="520" w:lineRule="exact"/>
              <w:ind w:firstLine="0"/>
              <w:jc w:val="center"/>
              <w:rPr>
                <w:rFonts w:hint="eastAsia" w:ascii="宋体" w:hAnsi="宋体" w:eastAsia="宋体" w:cs="宋体"/>
                <w:color w:val="auto"/>
                <w:sz w:val="30"/>
                <w:szCs w:val="30"/>
              </w:rPr>
            </w:pPr>
            <w:r>
              <w:rPr>
                <w:rFonts w:hint="eastAsia" w:ascii="宋体" w:hAnsi="宋体" w:eastAsia="宋体" w:cs="宋体"/>
                <w:color w:val="auto"/>
                <w:sz w:val="30"/>
                <w:szCs w:val="30"/>
              </w:rPr>
              <w:t>投标人名称</w:t>
            </w:r>
          </w:p>
        </w:tc>
        <w:tc>
          <w:tcPr>
            <w:tcW w:w="5985" w:type="dxa"/>
            <w:vAlign w:val="center"/>
          </w:tcPr>
          <w:p w14:paraId="32F08061">
            <w:pPr>
              <w:pStyle w:val="7"/>
              <w:spacing w:line="520" w:lineRule="exact"/>
              <w:ind w:firstLine="0"/>
              <w:rPr>
                <w:rFonts w:hint="eastAsia" w:ascii="宋体" w:hAnsi="宋体" w:eastAsia="宋体" w:cs="宋体"/>
                <w:color w:val="auto"/>
                <w:sz w:val="30"/>
                <w:szCs w:val="30"/>
              </w:rPr>
            </w:pPr>
          </w:p>
        </w:tc>
      </w:tr>
      <w:tr w14:paraId="77EA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2632" w:type="dxa"/>
            <w:vAlign w:val="center"/>
          </w:tcPr>
          <w:p w14:paraId="75E44F46">
            <w:pPr>
              <w:pStyle w:val="7"/>
              <w:spacing w:line="520" w:lineRule="exact"/>
              <w:ind w:firstLine="0"/>
              <w:jc w:val="center"/>
              <w:rPr>
                <w:rFonts w:hint="eastAsia" w:ascii="宋体" w:hAnsi="宋体" w:eastAsia="宋体" w:cs="宋体"/>
                <w:color w:val="auto"/>
                <w:sz w:val="30"/>
                <w:szCs w:val="30"/>
                <w:lang w:val="en-US" w:eastAsia="zh-CN"/>
              </w:rPr>
            </w:pPr>
            <w:r>
              <w:rPr>
                <w:rFonts w:hint="eastAsia" w:ascii="宋体" w:hAnsi="宋体" w:cs="宋体"/>
                <w:color w:val="auto"/>
                <w:sz w:val="30"/>
                <w:szCs w:val="30"/>
                <w:lang w:val="en-US" w:eastAsia="zh-CN"/>
              </w:rPr>
              <w:t>包号</w:t>
            </w:r>
          </w:p>
        </w:tc>
        <w:tc>
          <w:tcPr>
            <w:tcW w:w="5985" w:type="dxa"/>
            <w:vAlign w:val="center"/>
          </w:tcPr>
          <w:p w14:paraId="149DA164">
            <w:pPr>
              <w:pStyle w:val="7"/>
              <w:spacing w:line="520" w:lineRule="exact"/>
              <w:ind w:firstLine="0"/>
              <w:rPr>
                <w:rFonts w:hint="eastAsia" w:ascii="宋体" w:hAnsi="宋体" w:eastAsia="宋体" w:cs="宋体"/>
                <w:color w:val="auto"/>
                <w:sz w:val="30"/>
                <w:szCs w:val="30"/>
              </w:rPr>
            </w:pPr>
          </w:p>
        </w:tc>
      </w:tr>
      <w:tr w14:paraId="40D7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48BB784">
            <w:pPr>
              <w:pStyle w:val="7"/>
              <w:spacing w:line="520" w:lineRule="exact"/>
              <w:ind w:firstLine="0"/>
              <w:jc w:val="center"/>
              <w:rPr>
                <w:rFonts w:hint="eastAsia" w:ascii="宋体" w:hAnsi="宋体" w:eastAsia="宋体" w:cs="宋体"/>
                <w:color w:val="auto"/>
                <w:sz w:val="30"/>
                <w:szCs w:val="30"/>
              </w:rPr>
            </w:pPr>
            <w:r>
              <w:rPr>
                <w:rFonts w:hint="eastAsia" w:ascii="宋体" w:hAnsi="宋体" w:eastAsia="宋体" w:cs="宋体"/>
                <w:color w:val="auto"/>
                <w:sz w:val="30"/>
                <w:szCs w:val="30"/>
              </w:rPr>
              <w:t>投标报价</w:t>
            </w:r>
          </w:p>
        </w:tc>
        <w:tc>
          <w:tcPr>
            <w:tcW w:w="5985" w:type="dxa"/>
            <w:vAlign w:val="center"/>
          </w:tcPr>
          <w:p w14:paraId="011E05DF">
            <w:pPr>
              <w:autoSpaceDE w:val="0"/>
              <w:autoSpaceDN w:val="0"/>
              <w:spacing w:line="520" w:lineRule="exact"/>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大写：</w:t>
            </w:r>
          </w:p>
          <w:p w14:paraId="244320D7">
            <w:pPr>
              <w:pStyle w:val="7"/>
              <w:spacing w:line="520" w:lineRule="exact"/>
              <w:ind w:firstLine="0"/>
              <w:rPr>
                <w:rFonts w:hint="eastAsia" w:ascii="宋体" w:hAnsi="宋体" w:eastAsia="宋体" w:cs="宋体"/>
                <w:color w:val="auto"/>
                <w:sz w:val="30"/>
                <w:szCs w:val="30"/>
              </w:rPr>
            </w:pPr>
            <w:r>
              <w:rPr>
                <w:rFonts w:hint="eastAsia" w:ascii="宋体" w:hAnsi="宋体" w:eastAsia="宋体" w:cs="宋体"/>
                <w:color w:val="auto"/>
                <w:kern w:val="0"/>
                <w:sz w:val="30"/>
                <w:szCs w:val="30"/>
                <w:lang w:val="zh-CN"/>
              </w:rPr>
              <w:t>小写：</w:t>
            </w:r>
          </w:p>
        </w:tc>
      </w:tr>
      <w:tr w14:paraId="1ECE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74E95953">
            <w:pPr>
              <w:pStyle w:val="7"/>
              <w:spacing w:line="520" w:lineRule="exact"/>
              <w:ind w:firstLine="0"/>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rPr>
              <w:t>交货</w:t>
            </w:r>
            <w:r>
              <w:rPr>
                <w:rFonts w:hint="eastAsia" w:ascii="宋体" w:hAnsi="宋体" w:eastAsia="宋体" w:cs="宋体"/>
                <w:color w:val="auto"/>
                <w:sz w:val="30"/>
                <w:szCs w:val="30"/>
                <w:lang w:val="en-US" w:eastAsia="zh-CN"/>
              </w:rPr>
              <w:t>期</w:t>
            </w:r>
          </w:p>
        </w:tc>
        <w:tc>
          <w:tcPr>
            <w:tcW w:w="5985" w:type="dxa"/>
            <w:vAlign w:val="center"/>
          </w:tcPr>
          <w:p w14:paraId="6DC42208">
            <w:pPr>
              <w:pStyle w:val="7"/>
              <w:spacing w:line="520" w:lineRule="exact"/>
              <w:ind w:firstLine="0"/>
              <w:rPr>
                <w:rFonts w:hint="eastAsia" w:ascii="宋体" w:hAnsi="宋体" w:eastAsia="宋体" w:cs="宋体"/>
                <w:color w:val="auto"/>
                <w:sz w:val="30"/>
                <w:szCs w:val="30"/>
              </w:rPr>
            </w:pPr>
          </w:p>
        </w:tc>
      </w:tr>
      <w:tr w14:paraId="54D5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5008DB7">
            <w:pPr>
              <w:pStyle w:val="7"/>
              <w:spacing w:line="520" w:lineRule="exact"/>
              <w:ind w:firstLine="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免费质保期</w:t>
            </w:r>
          </w:p>
        </w:tc>
        <w:tc>
          <w:tcPr>
            <w:tcW w:w="5985" w:type="dxa"/>
            <w:vAlign w:val="center"/>
          </w:tcPr>
          <w:p w14:paraId="06F01D64">
            <w:pPr>
              <w:pStyle w:val="7"/>
              <w:spacing w:line="520" w:lineRule="exact"/>
              <w:ind w:firstLine="0"/>
              <w:rPr>
                <w:rFonts w:hint="eastAsia" w:ascii="宋体" w:hAnsi="宋体" w:eastAsia="宋体" w:cs="宋体"/>
                <w:color w:val="auto"/>
                <w:sz w:val="30"/>
                <w:szCs w:val="30"/>
              </w:rPr>
            </w:pPr>
          </w:p>
        </w:tc>
      </w:tr>
    </w:tbl>
    <w:p w14:paraId="57BDBB1D">
      <w:pPr>
        <w:autoSpaceDE w:val="0"/>
        <w:autoSpaceDN w:val="0"/>
        <w:spacing w:line="520" w:lineRule="exact"/>
        <w:rPr>
          <w:rFonts w:hint="eastAsia" w:ascii="宋体" w:hAnsi="宋体" w:eastAsia="宋体" w:cs="宋体"/>
          <w:color w:val="auto"/>
          <w:kern w:val="0"/>
          <w:sz w:val="30"/>
          <w:szCs w:val="30"/>
          <w:lang w:val="zh-CN"/>
        </w:rPr>
      </w:pPr>
      <w:r>
        <w:rPr>
          <w:rFonts w:hint="eastAsia" w:ascii="宋体" w:hAnsi="宋体" w:eastAsia="宋体" w:cs="宋体"/>
          <w:b/>
          <w:bCs/>
          <w:color w:val="auto"/>
          <w:kern w:val="0"/>
          <w:sz w:val="30"/>
          <w:szCs w:val="30"/>
          <w:lang w:val="zh-CN"/>
        </w:rPr>
        <w:t>注：</w:t>
      </w:r>
      <w:r>
        <w:rPr>
          <w:rFonts w:hint="eastAsia" w:ascii="宋体" w:hAnsi="宋体" w:eastAsia="宋体" w:cs="宋体"/>
          <w:color w:val="auto"/>
          <w:kern w:val="0"/>
          <w:sz w:val="30"/>
          <w:szCs w:val="30"/>
          <w:lang w:val="zh-CN"/>
        </w:rPr>
        <w:t>1.填写此表时不得改变表格形式。</w:t>
      </w:r>
    </w:p>
    <w:p w14:paraId="0DCD37B9">
      <w:pPr>
        <w:numPr>
          <w:ilvl w:val="0"/>
          <w:numId w:val="0"/>
        </w:numPr>
        <w:autoSpaceDE w:val="0"/>
        <w:autoSpaceDN w:val="0"/>
        <w:spacing w:line="520" w:lineRule="exact"/>
        <w:ind w:firstLine="600" w:firstLineChars="20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eastAsia="zh-CN" w:bidi="ar-SA"/>
        </w:rPr>
        <w:t>2.</w:t>
      </w:r>
      <w:r>
        <w:rPr>
          <w:rFonts w:hint="eastAsia" w:ascii="宋体" w:hAnsi="宋体" w:eastAsia="宋体" w:cs="宋体"/>
          <w:color w:val="auto"/>
          <w:kern w:val="0"/>
          <w:sz w:val="30"/>
          <w:szCs w:val="30"/>
          <w:lang w:val="zh-CN"/>
        </w:rPr>
        <w:t>“投标报价”为投标总价。投标报价必须包括：产品费、验收费、手续费、包装费、运输费、保险费、安装费、售前、售中、售后服务费、税金及不可预见费等全部费用。</w:t>
      </w:r>
    </w:p>
    <w:p w14:paraId="191FB3C1">
      <w:pPr>
        <w:numPr>
          <w:ilvl w:val="0"/>
          <w:numId w:val="0"/>
        </w:numPr>
        <w:autoSpaceDE w:val="0"/>
        <w:autoSpaceDN w:val="0"/>
        <w:spacing w:line="520" w:lineRule="exact"/>
        <w:ind w:firstLine="600" w:firstLineChars="20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en-US" w:eastAsia="zh-CN" w:bidi="ar-SA"/>
        </w:rPr>
        <w:t>3.</w:t>
      </w:r>
      <w:r>
        <w:rPr>
          <w:rFonts w:hint="eastAsia" w:ascii="宋体" w:hAnsi="宋体" w:eastAsia="宋体" w:cs="宋体"/>
          <w:color w:val="auto"/>
          <w:kern w:val="0"/>
          <w:sz w:val="30"/>
          <w:szCs w:val="30"/>
          <w:lang w:val="zh-CN"/>
        </w:rPr>
        <w:t>“交货时间”是指产品能够交付使用的具体时间。</w:t>
      </w:r>
    </w:p>
    <w:p w14:paraId="34BDDCF3">
      <w:pPr>
        <w:numPr>
          <w:ilvl w:val="0"/>
          <w:numId w:val="0"/>
        </w:numPr>
        <w:autoSpaceDE w:val="0"/>
        <w:autoSpaceDN w:val="0"/>
        <w:spacing w:line="520" w:lineRule="exact"/>
        <w:ind w:firstLine="600" w:firstLineChars="20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4.投标报价不能有两个或两个以上的报价方案，</w:t>
      </w:r>
      <w:r>
        <w:rPr>
          <w:rFonts w:hint="eastAsia" w:ascii="宋体" w:hAnsi="宋体" w:eastAsia="宋体" w:cs="宋体"/>
          <w:color w:val="auto"/>
          <w:kern w:val="0"/>
          <w:sz w:val="30"/>
          <w:szCs w:val="30"/>
        </w:rPr>
        <w:t>否则投标无效</w:t>
      </w:r>
      <w:r>
        <w:rPr>
          <w:rFonts w:hint="eastAsia" w:ascii="宋体" w:hAnsi="宋体" w:eastAsia="宋体" w:cs="宋体"/>
          <w:color w:val="auto"/>
          <w:kern w:val="0"/>
          <w:sz w:val="30"/>
          <w:szCs w:val="30"/>
          <w:lang w:val="zh-CN"/>
        </w:rPr>
        <w:t>。</w:t>
      </w:r>
    </w:p>
    <w:p w14:paraId="6DF48AF3">
      <w:pPr>
        <w:autoSpaceDE w:val="0"/>
        <w:autoSpaceDN w:val="0"/>
        <w:spacing w:line="520" w:lineRule="exact"/>
        <w:rPr>
          <w:rFonts w:hint="eastAsia" w:ascii="宋体" w:hAnsi="宋体" w:eastAsia="宋体" w:cs="宋体"/>
          <w:color w:val="auto"/>
          <w:kern w:val="0"/>
          <w:lang w:val="zh-CN"/>
        </w:rPr>
      </w:pPr>
    </w:p>
    <w:p w14:paraId="1355817A">
      <w:pPr>
        <w:autoSpaceDE w:val="0"/>
        <w:autoSpaceDN w:val="0"/>
        <w:spacing w:line="520" w:lineRule="exact"/>
        <w:rPr>
          <w:rFonts w:hint="eastAsia" w:ascii="宋体" w:hAnsi="宋体" w:eastAsia="宋体" w:cs="宋体"/>
          <w:color w:val="auto"/>
          <w:kern w:val="0"/>
          <w:lang w:val="zh-CN"/>
        </w:rPr>
      </w:pPr>
    </w:p>
    <w:p w14:paraId="4BC5FAD9">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投标人：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（公章）</w:t>
      </w:r>
    </w:p>
    <w:p w14:paraId="7FF83C4B">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法定代表人或委托代理人：        （签字或盖章）</w:t>
      </w:r>
    </w:p>
    <w:p w14:paraId="315430C6">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b/>
          <w:bCs/>
          <w:color w:val="auto"/>
          <w:kern w:val="0"/>
          <w:sz w:val="30"/>
          <w:szCs w:val="30"/>
          <w:lang w:val="zh-CN"/>
        </w:rPr>
        <w:t xml:space="preserve">年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月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日</w:t>
      </w:r>
    </w:p>
    <w:p w14:paraId="3E06B507">
      <w:pPr>
        <w:autoSpaceDE w:val="0"/>
        <w:autoSpaceDN w:val="0"/>
        <w:spacing w:line="520" w:lineRule="exact"/>
        <w:rPr>
          <w:rFonts w:hint="eastAsia" w:ascii="宋体" w:hAnsi="宋体" w:eastAsia="宋体" w:cs="宋体"/>
          <w:color w:val="auto"/>
          <w:kern w:val="0"/>
          <w:lang w:val="zh-CN"/>
        </w:rPr>
      </w:pPr>
    </w:p>
    <w:p w14:paraId="7C525B3E">
      <w:pPr>
        <w:pStyle w:val="25"/>
        <w:spacing w:before="0" w:after="0" w:line="520" w:lineRule="exact"/>
        <w:jc w:val="left"/>
        <w:outlineLvl w:val="1"/>
        <w:rPr>
          <w:rFonts w:hint="eastAsia" w:ascii="宋体" w:hAnsi="宋体" w:eastAsia="宋体" w:cs="宋体"/>
          <w:color w:val="auto"/>
          <w:sz w:val="30"/>
          <w:szCs w:val="30"/>
        </w:rPr>
      </w:pPr>
      <w:r>
        <w:rPr>
          <w:rFonts w:hint="eastAsia" w:ascii="宋体" w:hAnsi="宋体" w:eastAsia="宋体" w:cs="宋体"/>
          <w:color w:val="auto"/>
          <w:sz w:val="30"/>
          <w:szCs w:val="30"/>
          <w:lang w:val="zh-CN"/>
        </w:rPr>
        <w:br w:type="page"/>
      </w:r>
      <w:bookmarkStart w:id="133" w:name="_Toc26418"/>
      <w:bookmarkStart w:id="134" w:name="_Toc515908222"/>
      <w:bookmarkStart w:id="135" w:name="_Toc68160856"/>
      <w:r>
        <w:rPr>
          <w:rFonts w:hint="eastAsia" w:ascii="宋体" w:hAnsi="宋体" w:eastAsia="宋体" w:cs="宋体"/>
          <w:color w:val="auto"/>
          <w:sz w:val="30"/>
          <w:szCs w:val="30"/>
        </w:rPr>
        <w:t>（13）</w:t>
      </w:r>
      <w:r>
        <w:rPr>
          <w:rFonts w:hint="eastAsia" w:ascii="宋体" w:hAnsi="宋体" w:eastAsia="宋体" w:cs="宋体"/>
          <w:color w:val="auto"/>
          <w:sz w:val="30"/>
          <w:szCs w:val="30"/>
          <w:lang w:val="zh-CN"/>
        </w:rPr>
        <w:t>分项报价表</w:t>
      </w:r>
      <w:bookmarkEnd w:id="128"/>
      <w:bookmarkEnd w:id="133"/>
      <w:bookmarkEnd w:id="134"/>
      <w:bookmarkEnd w:id="135"/>
    </w:p>
    <w:p w14:paraId="34C579B5">
      <w:pPr>
        <w:autoSpaceDE w:val="0"/>
        <w:autoSpaceDN w:val="0"/>
        <w:spacing w:line="520" w:lineRule="exact"/>
        <w:rPr>
          <w:rFonts w:hint="eastAsia" w:ascii="宋体" w:hAnsi="宋体" w:eastAsia="宋体" w:cs="宋体"/>
          <w:b/>
          <w:bCs/>
          <w:color w:val="auto"/>
          <w:kern w:val="0"/>
          <w:sz w:val="30"/>
          <w:szCs w:val="30"/>
          <w:lang w:val="zh-CN"/>
        </w:rPr>
      </w:pPr>
    </w:p>
    <w:p w14:paraId="5CE1A144">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分项报价表</w:t>
      </w:r>
    </w:p>
    <w:p w14:paraId="547C0E21">
      <w:pPr>
        <w:autoSpaceDE w:val="0"/>
        <w:autoSpaceDN w:val="0"/>
        <w:spacing w:line="520" w:lineRule="exact"/>
        <w:rPr>
          <w:rFonts w:hint="eastAsia" w:ascii="宋体" w:hAnsi="宋体" w:eastAsia="宋体" w:cs="宋体"/>
          <w:b/>
          <w:bCs/>
          <w:color w:val="auto"/>
          <w:kern w:val="0"/>
          <w:sz w:val="30"/>
          <w:szCs w:val="30"/>
          <w:lang w:val="zh-CN"/>
        </w:rPr>
      </w:pPr>
    </w:p>
    <w:p w14:paraId="48D2486D">
      <w:pPr>
        <w:autoSpaceDE w:val="0"/>
        <w:autoSpaceDN w:val="0"/>
        <w:spacing w:line="520" w:lineRule="exact"/>
        <w:ind w:firstLine="301" w:firstLineChars="100"/>
        <w:rPr>
          <w:rFonts w:hint="eastAsia" w:ascii="宋体" w:hAnsi="宋体" w:eastAsia="宋体" w:cs="宋体"/>
          <w:color w:val="auto"/>
          <w:kern w:val="0"/>
          <w:sz w:val="30"/>
          <w:szCs w:val="30"/>
          <w:lang w:val="zh-CN"/>
        </w:rPr>
      </w:pPr>
      <w:r>
        <w:rPr>
          <w:rFonts w:hint="eastAsia" w:ascii="宋体" w:hAnsi="宋体" w:eastAsia="宋体" w:cs="宋体"/>
          <w:b/>
          <w:bCs/>
          <w:color w:val="auto"/>
          <w:kern w:val="0"/>
          <w:sz w:val="30"/>
          <w:szCs w:val="30"/>
          <w:lang w:val="zh-CN"/>
        </w:rPr>
        <w:t>投标人名称</w:t>
      </w:r>
      <w:r>
        <w:rPr>
          <w:rFonts w:hint="eastAsia" w:ascii="宋体" w:hAnsi="宋体" w:eastAsia="宋体" w:cs="宋体"/>
          <w:b/>
          <w:bCs/>
          <w:color w:val="auto"/>
          <w:kern w:val="0"/>
          <w:sz w:val="30"/>
          <w:szCs w:val="30"/>
        </w:rPr>
        <w:t xml:space="preserve">：                                             </w:t>
      </w:r>
    </w:p>
    <w:tbl>
      <w:tblPr>
        <w:tblStyle w:val="2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693BCE53">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31212EAD">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55EDAE4D">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9AB709B">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44F56101">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6BE5CDEB">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13D15D9E">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10BB8F30">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17119C79">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1DD534C6">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备注</w:t>
            </w:r>
          </w:p>
        </w:tc>
      </w:tr>
      <w:tr w14:paraId="11568E0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A495B4A">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BA2C18F">
            <w:pPr>
              <w:autoSpaceDE w:val="0"/>
              <w:autoSpaceDN w:val="0"/>
              <w:spacing w:line="520" w:lineRule="exact"/>
              <w:jc w:val="center"/>
              <w:rPr>
                <w:rFonts w:hint="eastAsia" w:ascii="宋体" w:hAnsi="宋体" w:eastAsia="宋体" w:cs="宋体"/>
                <w:color w:val="auto"/>
                <w:kern w:val="0"/>
                <w:sz w:val="30"/>
                <w:szCs w:val="3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58B0C16">
            <w:pPr>
              <w:autoSpaceDE w:val="0"/>
              <w:autoSpaceDN w:val="0"/>
              <w:spacing w:line="520" w:lineRule="exact"/>
              <w:jc w:val="center"/>
              <w:rPr>
                <w:rFonts w:hint="eastAsia" w:ascii="宋体" w:hAnsi="宋体" w:eastAsia="宋体" w:cs="宋体"/>
                <w:color w:val="auto"/>
                <w:kern w:val="0"/>
                <w:sz w:val="30"/>
                <w:szCs w:val="3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014E6DD">
            <w:pPr>
              <w:autoSpaceDE w:val="0"/>
              <w:autoSpaceDN w:val="0"/>
              <w:spacing w:line="520" w:lineRule="exact"/>
              <w:jc w:val="center"/>
              <w:rPr>
                <w:rFonts w:hint="eastAsia" w:ascii="宋体" w:hAnsi="宋体" w:eastAsia="宋体" w:cs="宋体"/>
                <w:color w:val="auto"/>
                <w:kern w:val="0"/>
                <w:sz w:val="30"/>
                <w:szCs w:val="3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D520CA6">
            <w:pPr>
              <w:autoSpaceDE w:val="0"/>
              <w:autoSpaceDN w:val="0"/>
              <w:spacing w:line="520" w:lineRule="exact"/>
              <w:jc w:val="center"/>
              <w:rPr>
                <w:rFonts w:hint="eastAsia" w:ascii="宋体" w:hAnsi="宋体" w:eastAsia="宋体" w:cs="宋体"/>
                <w:color w:val="auto"/>
                <w:kern w:val="0"/>
                <w:sz w:val="30"/>
                <w:szCs w:val="3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E8B0598">
            <w:pPr>
              <w:autoSpaceDE w:val="0"/>
              <w:autoSpaceDN w:val="0"/>
              <w:spacing w:line="520" w:lineRule="exact"/>
              <w:jc w:val="center"/>
              <w:rPr>
                <w:rFonts w:hint="eastAsia" w:ascii="宋体" w:hAnsi="宋体" w:eastAsia="宋体" w:cs="宋体"/>
                <w:color w:val="auto"/>
                <w:kern w:val="0"/>
                <w:sz w:val="30"/>
                <w:szCs w:val="3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8EE02A6">
            <w:pPr>
              <w:autoSpaceDE w:val="0"/>
              <w:autoSpaceDN w:val="0"/>
              <w:spacing w:line="520" w:lineRule="exact"/>
              <w:jc w:val="center"/>
              <w:rPr>
                <w:rFonts w:hint="eastAsia" w:ascii="宋体" w:hAnsi="宋体" w:eastAsia="宋体" w:cs="宋体"/>
                <w:color w:val="auto"/>
                <w:kern w:val="0"/>
                <w:sz w:val="30"/>
                <w:szCs w:val="3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DE34CF3">
            <w:pPr>
              <w:autoSpaceDE w:val="0"/>
              <w:autoSpaceDN w:val="0"/>
              <w:spacing w:line="520" w:lineRule="exact"/>
              <w:jc w:val="center"/>
              <w:rPr>
                <w:rFonts w:hint="eastAsia" w:ascii="宋体" w:hAnsi="宋体" w:eastAsia="宋体" w:cs="宋体"/>
                <w:color w:val="auto"/>
                <w:kern w:val="0"/>
                <w:sz w:val="30"/>
                <w:szCs w:val="3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850B69C">
            <w:pPr>
              <w:autoSpaceDE w:val="0"/>
              <w:autoSpaceDN w:val="0"/>
              <w:spacing w:line="520" w:lineRule="exact"/>
              <w:jc w:val="center"/>
              <w:rPr>
                <w:rFonts w:hint="eastAsia" w:ascii="宋体" w:hAnsi="宋体" w:eastAsia="宋体" w:cs="宋体"/>
                <w:color w:val="auto"/>
                <w:kern w:val="0"/>
                <w:sz w:val="30"/>
                <w:szCs w:val="30"/>
                <w:lang w:val="zh-CN"/>
              </w:rPr>
            </w:pPr>
          </w:p>
        </w:tc>
      </w:tr>
      <w:tr w14:paraId="2FB82A0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8CB498A">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0B23EA51">
            <w:pPr>
              <w:autoSpaceDE w:val="0"/>
              <w:autoSpaceDN w:val="0"/>
              <w:spacing w:line="520" w:lineRule="exact"/>
              <w:jc w:val="center"/>
              <w:rPr>
                <w:rFonts w:hint="eastAsia" w:ascii="宋体" w:hAnsi="宋体" w:eastAsia="宋体" w:cs="宋体"/>
                <w:color w:val="auto"/>
                <w:kern w:val="0"/>
                <w:sz w:val="30"/>
                <w:szCs w:val="3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7DC539A">
            <w:pPr>
              <w:autoSpaceDE w:val="0"/>
              <w:autoSpaceDN w:val="0"/>
              <w:spacing w:line="520" w:lineRule="exact"/>
              <w:jc w:val="center"/>
              <w:rPr>
                <w:rFonts w:hint="eastAsia" w:ascii="宋体" w:hAnsi="宋体" w:eastAsia="宋体" w:cs="宋体"/>
                <w:color w:val="auto"/>
                <w:kern w:val="0"/>
                <w:sz w:val="30"/>
                <w:szCs w:val="3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B729AD5">
            <w:pPr>
              <w:autoSpaceDE w:val="0"/>
              <w:autoSpaceDN w:val="0"/>
              <w:spacing w:line="520" w:lineRule="exact"/>
              <w:jc w:val="center"/>
              <w:rPr>
                <w:rFonts w:hint="eastAsia" w:ascii="宋体" w:hAnsi="宋体" w:eastAsia="宋体" w:cs="宋体"/>
                <w:color w:val="auto"/>
                <w:kern w:val="0"/>
                <w:sz w:val="30"/>
                <w:szCs w:val="3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B405843">
            <w:pPr>
              <w:autoSpaceDE w:val="0"/>
              <w:autoSpaceDN w:val="0"/>
              <w:spacing w:line="520" w:lineRule="exact"/>
              <w:jc w:val="center"/>
              <w:rPr>
                <w:rFonts w:hint="eastAsia" w:ascii="宋体" w:hAnsi="宋体" w:eastAsia="宋体" w:cs="宋体"/>
                <w:color w:val="auto"/>
                <w:kern w:val="0"/>
                <w:sz w:val="30"/>
                <w:szCs w:val="3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AB8F5B2">
            <w:pPr>
              <w:autoSpaceDE w:val="0"/>
              <w:autoSpaceDN w:val="0"/>
              <w:spacing w:line="520" w:lineRule="exact"/>
              <w:jc w:val="center"/>
              <w:rPr>
                <w:rFonts w:hint="eastAsia" w:ascii="宋体" w:hAnsi="宋体" w:eastAsia="宋体" w:cs="宋体"/>
                <w:color w:val="auto"/>
                <w:kern w:val="0"/>
                <w:sz w:val="30"/>
                <w:szCs w:val="3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60CC8A6">
            <w:pPr>
              <w:autoSpaceDE w:val="0"/>
              <w:autoSpaceDN w:val="0"/>
              <w:spacing w:line="520" w:lineRule="exact"/>
              <w:jc w:val="center"/>
              <w:rPr>
                <w:rFonts w:hint="eastAsia" w:ascii="宋体" w:hAnsi="宋体" w:eastAsia="宋体" w:cs="宋体"/>
                <w:color w:val="auto"/>
                <w:kern w:val="0"/>
                <w:sz w:val="30"/>
                <w:szCs w:val="3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7391913">
            <w:pPr>
              <w:autoSpaceDE w:val="0"/>
              <w:autoSpaceDN w:val="0"/>
              <w:spacing w:line="520" w:lineRule="exact"/>
              <w:jc w:val="center"/>
              <w:rPr>
                <w:rFonts w:hint="eastAsia" w:ascii="宋体" w:hAnsi="宋体" w:eastAsia="宋体" w:cs="宋体"/>
                <w:color w:val="auto"/>
                <w:kern w:val="0"/>
                <w:sz w:val="30"/>
                <w:szCs w:val="3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1393699">
            <w:pPr>
              <w:autoSpaceDE w:val="0"/>
              <w:autoSpaceDN w:val="0"/>
              <w:spacing w:line="520" w:lineRule="exact"/>
              <w:jc w:val="center"/>
              <w:rPr>
                <w:rFonts w:hint="eastAsia" w:ascii="宋体" w:hAnsi="宋体" w:eastAsia="宋体" w:cs="宋体"/>
                <w:color w:val="auto"/>
                <w:kern w:val="0"/>
                <w:sz w:val="30"/>
                <w:szCs w:val="30"/>
                <w:lang w:val="zh-CN"/>
              </w:rPr>
            </w:pPr>
          </w:p>
        </w:tc>
      </w:tr>
      <w:tr w14:paraId="42644F3B">
        <w:tblPrEx>
          <w:tblCellMar>
            <w:top w:w="0" w:type="dxa"/>
            <w:left w:w="28" w:type="dxa"/>
            <w:bottom w:w="0" w:type="dxa"/>
            <w:right w:w="28" w:type="dxa"/>
          </w:tblCellMar>
        </w:tblPrEx>
        <w:trPr>
          <w:trHeight w:val="535"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64BCBB9">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416D2E67">
            <w:pPr>
              <w:autoSpaceDE w:val="0"/>
              <w:autoSpaceDN w:val="0"/>
              <w:spacing w:line="520" w:lineRule="exact"/>
              <w:jc w:val="center"/>
              <w:rPr>
                <w:rFonts w:hint="eastAsia" w:ascii="宋体" w:hAnsi="宋体" w:eastAsia="宋体" w:cs="宋体"/>
                <w:color w:val="auto"/>
                <w:kern w:val="0"/>
                <w:sz w:val="30"/>
                <w:szCs w:val="3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091C4E7">
            <w:pPr>
              <w:autoSpaceDE w:val="0"/>
              <w:autoSpaceDN w:val="0"/>
              <w:spacing w:line="520" w:lineRule="exact"/>
              <w:jc w:val="center"/>
              <w:rPr>
                <w:rFonts w:hint="eastAsia" w:ascii="宋体" w:hAnsi="宋体" w:eastAsia="宋体" w:cs="宋体"/>
                <w:color w:val="auto"/>
                <w:kern w:val="0"/>
                <w:sz w:val="30"/>
                <w:szCs w:val="3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8B0F3BD">
            <w:pPr>
              <w:autoSpaceDE w:val="0"/>
              <w:autoSpaceDN w:val="0"/>
              <w:spacing w:line="520" w:lineRule="exact"/>
              <w:jc w:val="center"/>
              <w:rPr>
                <w:rFonts w:hint="eastAsia" w:ascii="宋体" w:hAnsi="宋体" w:eastAsia="宋体" w:cs="宋体"/>
                <w:color w:val="auto"/>
                <w:kern w:val="0"/>
                <w:sz w:val="30"/>
                <w:szCs w:val="3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41D8845">
            <w:pPr>
              <w:autoSpaceDE w:val="0"/>
              <w:autoSpaceDN w:val="0"/>
              <w:spacing w:line="520" w:lineRule="exact"/>
              <w:jc w:val="center"/>
              <w:rPr>
                <w:rFonts w:hint="eastAsia" w:ascii="宋体" w:hAnsi="宋体" w:eastAsia="宋体" w:cs="宋体"/>
                <w:color w:val="auto"/>
                <w:kern w:val="0"/>
                <w:sz w:val="30"/>
                <w:szCs w:val="3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D1446D7">
            <w:pPr>
              <w:autoSpaceDE w:val="0"/>
              <w:autoSpaceDN w:val="0"/>
              <w:spacing w:line="520" w:lineRule="exact"/>
              <w:jc w:val="center"/>
              <w:rPr>
                <w:rFonts w:hint="eastAsia" w:ascii="宋体" w:hAnsi="宋体" w:eastAsia="宋体" w:cs="宋体"/>
                <w:color w:val="auto"/>
                <w:kern w:val="0"/>
                <w:sz w:val="30"/>
                <w:szCs w:val="3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C0F3C6E">
            <w:pPr>
              <w:autoSpaceDE w:val="0"/>
              <w:autoSpaceDN w:val="0"/>
              <w:spacing w:line="520" w:lineRule="exact"/>
              <w:jc w:val="center"/>
              <w:rPr>
                <w:rFonts w:hint="eastAsia" w:ascii="宋体" w:hAnsi="宋体" w:eastAsia="宋体" w:cs="宋体"/>
                <w:color w:val="auto"/>
                <w:kern w:val="0"/>
                <w:sz w:val="30"/>
                <w:szCs w:val="3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EE16E51">
            <w:pPr>
              <w:autoSpaceDE w:val="0"/>
              <w:autoSpaceDN w:val="0"/>
              <w:spacing w:line="520" w:lineRule="exact"/>
              <w:jc w:val="center"/>
              <w:rPr>
                <w:rFonts w:hint="eastAsia" w:ascii="宋体" w:hAnsi="宋体" w:eastAsia="宋体" w:cs="宋体"/>
                <w:color w:val="auto"/>
                <w:kern w:val="0"/>
                <w:sz w:val="30"/>
                <w:szCs w:val="3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21DF6ED">
            <w:pPr>
              <w:autoSpaceDE w:val="0"/>
              <w:autoSpaceDN w:val="0"/>
              <w:spacing w:line="520" w:lineRule="exact"/>
              <w:jc w:val="center"/>
              <w:rPr>
                <w:rFonts w:hint="eastAsia" w:ascii="宋体" w:hAnsi="宋体" w:eastAsia="宋体" w:cs="宋体"/>
                <w:color w:val="auto"/>
                <w:kern w:val="0"/>
                <w:sz w:val="30"/>
                <w:szCs w:val="30"/>
                <w:lang w:val="zh-CN"/>
              </w:rPr>
            </w:pPr>
          </w:p>
        </w:tc>
      </w:tr>
      <w:tr w14:paraId="3046B43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B7742C3">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6E1643E4">
            <w:pPr>
              <w:autoSpaceDE w:val="0"/>
              <w:autoSpaceDN w:val="0"/>
              <w:spacing w:line="520" w:lineRule="exact"/>
              <w:jc w:val="center"/>
              <w:rPr>
                <w:rFonts w:hint="eastAsia" w:ascii="宋体" w:hAnsi="宋体" w:eastAsia="宋体" w:cs="宋体"/>
                <w:color w:val="auto"/>
                <w:kern w:val="0"/>
                <w:sz w:val="30"/>
                <w:szCs w:val="3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9F1C1B3">
            <w:pPr>
              <w:autoSpaceDE w:val="0"/>
              <w:autoSpaceDN w:val="0"/>
              <w:spacing w:line="520" w:lineRule="exact"/>
              <w:jc w:val="center"/>
              <w:rPr>
                <w:rFonts w:hint="eastAsia" w:ascii="宋体" w:hAnsi="宋体" w:eastAsia="宋体" w:cs="宋体"/>
                <w:color w:val="auto"/>
                <w:kern w:val="0"/>
                <w:sz w:val="30"/>
                <w:szCs w:val="3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1371CE1">
            <w:pPr>
              <w:autoSpaceDE w:val="0"/>
              <w:autoSpaceDN w:val="0"/>
              <w:spacing w:line="520" w:lineRule="exact"/>
              <w:jc w:val="center"/>
              <w:rPr>
                <w:rFonts w:hint="eastAsia" w:ascii="宋体" w:hAnsi="宋体" w:eastAsia="宋体" w:cs="宋体"/>
                <w:color w:val="auto"/>
                <w:kern w:val="0"/>
                <w:sz w:val="30"/>
                <w:szCs w:val="3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9AF1684">
            <w:pPr>
              <w:autoSpaceDE w:val="0"/>
              <w:autoSpaceDN w:val="0"/>
              <w:spacing w:line="520" w:lineRule="exact"/>
              <w:jc w:val="center"/>
              <w:rPr>
                <w:rFonts w:hint="eastAsia" w:ascii="宋体" w:hAnsi="宋体" w:eastAsia="宋体" w:cs="宋体"/>
                <w:color w:val="auto"/>
                <w:kern w:val="0"/>
                <w:sz w:val="30"/>
                <w:szCs w:val="3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D1EB93F">
            <w:pPr>
              <w:autoSpaceDE w:val="0"/>
              <w:autoSpaceDN w:val="0"/>
              <w:spacing w:line="520" w:lineRule="exact"/>
              <w:jc w:val="center"/>
              <w:rPr>
                <w:rFonts w:hint="eastAsia" w:ascii="宋体" w:hAnsi="宋体" w:eastAsia="宋体" w:cs="宋体"/>
                <w:color w:val="auto"/>
                <w:kern w:val="0"/>
                <w:sz w:val="30"/>
                <w:szCs w:val="3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322BADA">
            <w:pPr>
              <w:autoSpaceDE w:val="0"/>
              <w:autoSpaceDN w:val="0"/>
              <w:spacing w:line="520" w:lineRule="exact"/>
              <w:jc w:val="center"/>
              <w:rPr>
                <w:rFonts w:hint="eastAsia" w:ascii="宋体" w:hAnsi="宋体" w:eastAsia="宋体" w:cs="宋体"/>
                <w:color w:val="auto"/>
                <w:kern w:val="0"/>
                <w:sz w:val="30"/>
                <w:szCs w:val="3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EB62B99">
            <w:pPr>
              <w:autoSpaceDE w:val="0"/>
              <w:autoSpaceDN w:val="0"/>
              <w:spacing w:line="520" w:lineRule="exact"/>
              <w:jc w:val="center"/>
              <w:rPr>
                <w:rFonts w:hint="eastAsia" w:ascii="宋体" w:hAnsi="宋体" w:eastAsia="宋体" w:cs="宋体"/>
                <w:color w:val="auto"/>
                <w:kern w:val="0"/>
                <w:sz w:val="30"/>
                <w:szCs w:val="3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77335FD">
            <w:pPr>
              <w:autoSpaceDE w:val="0"/>
              <w:autoSpaceDN w:val="0"/>
              <w:spacing w:line="520" w:lineRule="exact"/>
              <w:jc w:val="center"/>
              <w:rPr>
                <w:rFonts w:hint="eastAsia" w:ascii="宋体" w:hAnsi="宋体" w:eastAsia="宋体" w:cs="宋体"/>
                <w:color w:val="auto"/>
                <w:kern w:val="0"/>
                <w:sz w:val="30"/>
                <w:szCs w:val="30"/>
                <w:lang w:val="zh-CN"/>
              </w:rPr>
            </w:pPr>
          </w:p>
        </w:tc>
      </w:tr>
      <w:tr w14:paraId="37E34CF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881B0F4">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79B7124">
            <w:pPr>
              <w:autoSpaceDE w:val="0"/>
              <w:autoSpaceDN w:val="0"/>
              <w:spacing w:line="520" w:lineRule="exact"/>
              <w:jc w:val="center"/>
              <w:rPr>
                <w:rFonts w:hint="eastAsia" w:ascii="宋体" w:hAnsi="宋体" w:eastAsia="宋体" w:cs="宋体"/>
                <w:color w:val="auto"/>
                <w:kern w:val="0"/>
                <w:sz w:val="30"/>
                <w:szCs w:val="3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5F7A9DC">
            <w:pPr>
              <w:autoSpaceDE w:val="0"/>
              <w:autoSpaceDN w:val="0"/>
              <w:spacing w:line="520" w:lineRule="exact"/>
              <w:jc w:val="center"/>
              <w:rPr>
                <w:rFonts w:hint="eastAsia" w:ascii="宋体" w:hAnsi="宋体" w:eastAsia="宋体" w:cs="宋体"/>
                <w:color w:val="auto"/>
                <w:kern w:val="0"/>
                <w:sz w:val="30"/>
                <w:szCs w:val="3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2DB0C75">
            <w:pPr>
              <w:autoSpaceDE w:val="0"/>
              <w:autoSpaceDN w:val="0"/>
              <w:spacing w:line="520" w:lineRule="exact"/>
              <w:jc w:val="center"/>
              <w:rPr>
                <w:rFonts w:hint="eastAsia" w:ascii="宋体" w:hAnsi="宋体" w:eastAsia="宋体" w:cs="宋体"/>
                <w:color w:val="auto"/>
                <w:kern w:val="0"/>
                <w:sz w:val="30"/>
                <w:szCs w:val="3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1D9D83B">
            <w:pPr>
              <w:autoSpaceDE w:val="0"/>
              <w:autoSpaceDN w:val="0"/>
              <w:spacing w:line="520" w:lineRule="exact"/>
              <w:jc w:val="center"/>
              <w:rPr>
                <w:rFonts w:hint="eastAsia" w:ascii="宋体" w:hAnsi="宋体" w:eastAsia="宋体" w:cs="宋体"/>
                <w:color w:val="auto"/>
                <w:kern w:val="0"/>
                <w:sz w:val="30"/>
                <w:szCs w:val="3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5E3DE66">
            <w:pPr>
              <w:autoSpaceDE w:val="0"/>
              <w:autoSpaceDN w:val="0"/>
              <w:spacing w:line="520" w:lineRule="exact"/>
              <w:jc w:val="center"/>
              <w:rPr>
                <w:rFonts w:hint="eastAsia" w:ascii="宋体" w:hAnsi="宋体" w:eastAsia="宋体" w:cs="宋体"/>
                <w:color w:val="auto"/>
                <w:kern w:val="0"/>
                <w:sz w:val="30"/>
                <w:szCs w:val="3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A285C7F">
            <w:pPr>
              <w:autoSpaceDE w:val="0"/>
              <w:autoSpaceDN w:val="0"/>
              <w:spacing w:line="520" w:lineRule="exact"/>
              <w:jc w:val="center"/>
              <w:rPr>
                <w:rFonts w:hint="eastAsia" w:ascii="宋体" w:hAnsi="宋体" w:eastAsia="宋体" w:cs="宋体"/>
                <w:color w:val="auto"/>
                <w:kern w:val="0"/>
                <w:sz w:val="30"/>
                <w:szCs w:val="3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302AF99">
            <w:pPr>
              <w:autoSpaceDE w:val="0"/>
              <w:autoSpaceDN w:val="0"/>
              <w:spacing w:line="520" w:lineRule="exact"/>
              <w:jc w:val="center"/>
              <w:rPr>
                <w:rFonts w:hint="eastAsia" w:ascii="宋体" w:hAnsi="宋体" w:eastAsia="宋体" w:cs="宋体"/>
                <w:color w:val="auto"/>
                <w:kern w:val="0"/>
                <w:sz w:val="30"/>
                <w:szCs w:val="3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C94C53B">
            <w:pPr>
              <w:autoSpaceDE w:val="0"/>
              <w:autoSpaceDN w:val="0"/>
              <w:spacing w:line="520" w:lineRule="exact"/>
              <w:jc w:val="center"/>
              <w:rPr>
                <w:rFonts w:hint="eastAsia" w:ascii="宋体" w:hAnsi="宋体" w:eastAsia="宋体" w:cs="宋体"/>
                <w:color w:val="auto"/>
                <w:kern w:val="0"/>
                <w:sz w:val="30"/>
                <w:szCs w:val="30"/>
                <w:lang w:val="zh-CN"/>
              </w:rPr>
            </w:pPr>
          </w:p>
        </w:tc>
      </w:tr>
      <w:tr w14:paraId="5AA3CFD1">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15DE935">
            <w:pPr>
              <w:autoSpaceDE w:val="0"/>
              <w:autoSpaceDN w:val="0"/>
              <w:spacing w:line="520" w:lineRule="exact"/>
              <w:jc w:val="center"/>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3D5E6E22">
            <w:pPr>
              <w:autoSpaceDE w:val="0"/>
              <w:autoSpaceDN w:val="0"/>
              <w:spacing w:line="520" w:lineRule="exact"/>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大写：</w:t>
            </w:r>
          </w:p>
          <w:p w14:paraId="14911B86">
            <w:pPr>
              <w:autoSpaceDE w:val="0"/>
              <w:autoSpaceDN w:val="0"/>
              <w:spacing w:line="520" w:lineRule="exact"/>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小写：</w:t>
            </w:r>
          </w:p>
        </w:tc>
      </w:tr>
    </w:tbl>
    <w:p w14:paraId="563A401F">
      <w:pPr>
        <w:autoSpaceDE w:val="0"/>
        <w:autoSpaceDN w:val="0"/>
        <w:spacing w:line="520" w:lineRule="exact"/>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注：</w:t>
      </w:r>
      <w:r>
        <w:rPr>
          <w:rFonts w:hint="eastAsia" w:ascii="宋体" w:hAnsi="宋体" w:eastAsia="宋体" w:cs="宋体"/>
          <w:color w:val="auto"/>
          <w:kern w:val="0"/>
          <w:sz w:val="30"/>
          <w:szCs w:val="30"/>
        </w:rPr>
        <w:t>1.</w:t>
      </w:r>
      <w:r>
        <w:rPr>
          <w:rFonts w:hint="eastAsia" w:ascii="宋体" w:hAnsi="宋体" w:eastAsia="宋体" w:cs="宋体"/>
          <w:color w:val="auto"/>
          <w:kern w:val="0"/>
          <w:sz w:val="30"/>
          <w:szCs w:val="30"/>
          <w:lang w:val="zh-CN"/>
        </w:rPr>
        <w:t>本表应依照每包采购一览表中的产品序号按顺序逐项填写，不得遗漏，</w:t>
      </w:r>
      <w:r>
        <w:rPr>
          <w:rFonts w:hint="eastAsia" w:ascii="宋体" w:hAnsi="宋体" w:eastAsia="宋体" w:cs="宋体"/>
          <w:color w:val="auto"/>
          <w:sz w:val="30"/>
          <w:szCs w:val="30"/>
        </w:rPr>
        <w:t>否则</w:t>
      </w:r>
      <w:r>
        <w:rPr>
          <w:rFonts w:hint="eastAsia" w:ascii="宋体" w:hAnsi="宋体" w:eastAsia="宋体" w:cs="宋体"/>
          <w:color w:val="auto"/>
          <w:kern w:val="0"/>
          <w:sz w:val="30"/>
          <w:szCs w:val="30"/>
        </w:rPr>
        <w:t>，按无效投标处理</w:t>
      </w:r>
      <w:r>
        <w:rPr>
          <w:rFonts w:hint="eastAsia" w:ascii="宋体" w:hAnsi="宋体" w:eastAsia="宋体" w:cs="宋体"/>
          <w:color w:val="auto"/>
          <w:kern w:val="0"/>
          <w:sz w:val="30"/>
          <w:szCs w:val="30"/>
          <w:lang w:val="zh-CN"/>
        </w:rPr>
        <w:t>。</w:t>
      </w:r>
    </w:p>
    <w:p w14:paraId="354D554D">
      <w:pPr>
        <w:autoSpaceDE w:val="0"/>
        <w:autoSpaceDN w:val="0"/>
        <w:spacing w:line="520" w:lineRule="exact"/>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 xml:space="preserve">    2.</w:t>
      </w:r>
      <w:r>
        <w:rPr>
          <w:rFonts w:hint="eastAsia" w:ascii="宋体" w:hAnsi="宋体" w:eastAsia="宋体" w:cs="宋体"/>
          <w:color w:val="auto"/>
          <w:kern w:val="0"/>
          <w:sz w:val="30"/>
          <w:szCs w:val="30"/>
          <w:lang w:val="zh-CN"/>
        </w:rPr>
        <w:t>投标报价不能有两个或两个以上的报价方案，</w:t>
      </w:r>
      <w:r>
        <w:rPr>
          <w:rFonts w:hint="eastAsia" w:ascii="宋体" w:hAnsi="宋体" w:eastAsia="宋体" w:cs="宋体"/>
          <w:color w:val="auto"/>
          <w:kern w:val="0"/>
          <w:sz w:val="30"/>
          <w:szCs w:val="30"/>
        </w:rPr>
        <w:t>否则投标无效</w:t>
      </w:r>
      <w:r>
        <w:rPr>
          <w:rFonts w:hint="eastAsia" w:ascii="宋体" w:hAnsi="宋体" w:eastAsia="宋体" w:cs="宋体"/>
          <w:color w:val="auto"/>
          <w:kern w:val="0"/>
          <w:sz w:val="30"/>
          <w:szCs w:val="30"/>
          <w:lang w:val="zh-CN"/>
        </w:rPr>
        <w:t>。</w:t>
      </w:r>
    </w:p>
    <w:p w14:paraId="2FC60759">
      <w:pPr>
        <w:autoSpaceDE w:val="0"/>
        <w:autoSpaceDN w:val="0"/>
        <w:spacing w:line="520" w:lineRule="exact"/>
        <w:rPr>
          <w:rFonts w:hint="eastAsia" w:ascii="宋体" w:hAnsi="宋体" w:eastAsia="宋体" w:cs="宋体"/>
          <w:color w:val="auto"/>
          <w:kern w:val="0"/>
          <w:lang w:val="zh-CN"/>
        </w:rPr>
      </w:pPr>
    </w:p>
    <w:p w14:paraId="421EB19E">
      <w:pPr>
        <w:autoSpaceDE w:val="0"/>
        <w:autoSpaceDN w:val="0"/>
        <w:spacing w:line="520" w:lineRule="exact"/>
        <w:rPr>
          <w:rFonts w:hint="eastAsia" w:ascii="宋体" w:hAnsi="宋体" w:eastAsia="宋体" w:cs="宋体"/>
          <w:color w:val="auto"/>
          <w:kern w:val="0"/>
          <w:lang w:val="zh-CN"/>
        </w:rPr>
      </w:pPr>
    </w:p>
    <w:p w14:paraId="15C5DF15">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投标人：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（公章）</w:t>
      </w:r>
    </w:p>
    <w:p w14:paraId="4230A350">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法定代表人或委托代理人：        （签字或盖章）</w:t>
      </w:r>
    </w:p>
    <w:p w14:paraId="791BD29F">
      <w:pPr>
        <w:pStyle w:val="25"/>
        <w:keepNext w:val="0"/>
        <w:keepLines w:val="0"/>
        <w:pageBreakBefore w:val="0"/>
        <w:widowControl w:val="0"/>
        <w:kinsoku/>
        <w:wordWrap/>
        <w:overflowPunct/>
        <w:topLinePunct w:val="0"/>
        <w:bidi w:val="0"/>
        <w:adjustRightInd/>
        <w:snapToGrid/>
        <w:spacing w:before="0" w:after="0" w:line="460" w:lineRule="exact"/>
        <w:ind w:firstLine="3915" w:firstLineChars="1300"/>
        <w:jc w:val="both"/>
        <w:textAlignment w:val="auto"/>
        <w:outlineLvl w:val="1"/>
        <w:rPr>
          <w:rFonts w:hint="eastAsia" w:ascii="宋体" w:hAnsi="宋体" w:eastAsia="宋体" w:cs="宋体"/>
          <w:color w:val="auto"/>
          <w:sz w:val="30"/>
          <w:szCs w:val="30"/>
        </w:rPr>
      </w:pPr>
      <w:r>
        <w:rPr>
          <w:rFonts w:hint="eastAsia" w:ascii="宋体" w:hAnsi="宋体" w:eastAsia="宋体" w:cs="宋体"/>
          <w:b/>
          <w:bCs/>
          <w:color w:val="auto"/>
          <w:kern w:val="0"/>
          <w:sz w:val="30"/>
          <w:szCs w:val="30"/>
          <w:lang w:val="zh-CN"/>
        </w:rPr>
        <w:t xml:space="preserve">年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月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日</w:t>
      </w:r>
      <w:r>
        <w:rPr>
          <w:rFonts w:hint="eastAsia" w:ascii="宋体" w:hAnsi="宋体" w:eastAsia="宋体" w:cs="宋体"/>
          <w:color w:val="auto"/>
          <w:sz w:val="30"/>
          <w:szCs w:val="30"/>
          <w:lang w:val="zh-CN"/>
        </w:rPr>
        <w:br w:type="page"/>
      </w:r>
      <w:bookmarkStart w:id="136" w:name="_Toc29101"/>
      <w:bookmarkStart w:id="137" w:name="_Toc68160857"/>
      <w:bookmarkStart w:id="138" w:name="_Toc515908223"/>
      <w:r>
        <w:rPr>
          <w:rFonts w:hint="eastAsia" w:ascii="宋体" w:hAnsi="宋体" w:eastAsia="宋体" w:cs="宋体"/>
          <w:color w:val="auto"/>
          <w:sz w:val="30"/>
          <w:szCs w:val="30"/>
        </w:rPr>
        <w:t>（14）</w:t>
      </w:r>
      <w:r>
        <w:rPr>
          <w:rFonts w:hint="eastAsia" w:ascii="宋体" w:hAnsi="宋体" w:eastAsia="宋体" w:cs="宋体"/>
          <w:color w:val="auto"/>
          <w:sz w:val="30"/>
          <w:szCs w:val="30"/>
          <w:lang w:val="zh-CN"/>
        </w:rPr>
        <w:t>技术规格响应表</w:t>
      </w:r>
      <w:bookmarkEnd w:id="136"/>
      <w:bookmarkEnd w:id="137"/>
      <w:bookmarkEnd w:id="138"/>
    </w:p>
    <w:p w14:paraId="48A94AF0">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auto"/>
          <w:kern w:val="0"/>
          <w:sz w:val="30"/>
          <w:szCs w:val="30"/>
          <w:lang w:val="zh-CN"/>
        </w:rPr>
      </w:pPr>
    </w:p>
    <w:p w14:paraId="51187DC5">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技术规格响应表</w:t>
      </w:r>
    </w:p>
    <w:p w14:paraId="687E8DB8">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投标人名称</w:t>
      </w:r>
      <w:r>
        <w:rPr>
          <w:rFonts w:hint="eastAsia" w:ascii="宋体" w:hAnsi="宋体" w:eastAsia="宋体" w:cs="宋体"/>
          <w:b/>
          <w:bCs/>
          <w:color w:val="auto"/>
          <w:kern w:val="0"/>
          <w:sz w:val="30"/>
          <w:szCs w:val="30"/>
        </w:rPr>
        <w:t xml:space="preserve">：                                              </w:t>
      </w:r>
    </w:p>
    <w:tbl>
      <w:tblPr>
        <w:tblStyle w:val="2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621876A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D380793">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70CA2175">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F418E95">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1E312936">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偏离</w:t>
            </w:r>
          </w:p>
        </w:tc>
      </w:tr>
      <w:tr w14:paraId="2ECA27D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194D318">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3FF7BD1D">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63574639">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2762B003">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3D6D82AB">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799C1DC2">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r>
      <w:tr w14:paraId="31C24A4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D8080C6">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0E4914A7">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3051D97">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0B2358D">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478B1B9">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31849AF">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r>
      <w:tr w14:paraId="2E9A89D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94A3BCC">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669B1170">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F6E49B5">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629BEC0">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F3160C6">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76E79C4">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r>
      <w:tr w14:paraId="364D4BB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FBD1598">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8E2777B">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9F23CEF">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1E26255">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BBD496E">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ADFC85D">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eastAsia="宋体" w:cs="宋体"/>
                <w:color w:val="auto"/>
                <w:kern w:val="0"/>
                <w:sz w:val="30"/>
                <w:szCs w:val="30"/>
                <w:lang w:val="zh-CN"/>
              </w:rPr>
            </w:pPr>
          </w:p>
        </w:tc>
      </w:tr>
    </w:tbl>
    <w:p w14:paraId="6BDD1B31">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注：1.本表应按照每包“项目概况及技术参数”中产品序号的指标逐项填写，不得遗漏，</w:t>
      </w:r>
      <w:r>
        <w:rPr>
          <w:rFonts w:hint="eastAsia" w:ascii="宋体" w:hAnsi="宋体" w:eastAsia="宋体" w:cs="宋体"/>
          <w:color w:val="auto"/>
          <w:sz w:val="30"/>
          <w:szCs w:val="30"/>
        </w:rPr>
        <w:t>否则</w:t>
      </w:r>
      <w:r>
        <w:rPr>
          <w:rFonts w:hint="eastAsia" w:ascii="宋体" w:hAnsi="宋体" w:eastAsia="宋体" w:cs="宋体"/>
          <w:color w:val="auto"/>
          <w:kern w:val="0"/>
          <w:sz w:val="30"/>
          <w:szCs w:val="30"/>
        </w:rPr>
        <w:t>，按无效投标处理</w:t>
      </w:r>
      <w:r>
        <w:rPr>
          <w:rFonts w:hint="eastAsia" w:ascii="宋体" w:hAnsi="宋体" w:eastAsia="宋体" w:cs="宋体"/>
          <w:color w:val="auto"/>
          <w:sz w:val="30"/>
          <w:szCs w:val="30"/>
        </w:rPr>
        <w:t>。</w:t>
      </w:r>
    </w:p>
    <w:p w14:paraId="27EBFF4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firstLine="480" w:firstLineChars="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eastAsia="zh-CN" w:bidi="ar-SA"/>
        </w:rPr>
        <w:t>2.</w:t>
      </w:r>
      <w:r>
        <w:rPr>
          <w:rFonts w:hint="eastAsia" w:ascii="宋体" w:hAnsi="宋体" w:eastAsia="宋体" w:cs="宋体"/>
          <w:color w:val="auto"/>
          <w:kern w:val="0"/>
          <w:sz w:val="30"/>
          <w:szCs w:val="30"/>
          <w:lang w:val="zh-CN"/>
        </w:rPr>
        <w:t>“投标产品技术参数、指标”需与投标文件中提供的产品检测报告、彩页等证明材料的实质性响应情况相一致。若在评标环节发现该项与投标文件中提供的产品检测报告（或厂家公开发布的资料参数）等证明材料的实质性响应情况不一致的，则扣除相应分值。</w:t>
      </w:r>
    </w:p>
    <w:p w14:paraId="571AC68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firstLine="480" w:firstLineChars="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eastAsia="zh-CN" w:bidi="ar-SA"/>
        </w:rPr>
        <w:t>3.</w:t>
      </w:r>
      <w:r>
        <w:rPr>
          <w:rFonts w:hint="eastAsia" w:ascii="宋体" w:hAnsi="宋体" w:eastAsia="宋体" w:cs="宋体"/>
          <w:color w:val="auto"/>
          <w:kern w:val="0"/>
          <w:sz w:val="30"/>
          <w:szCs w:val="30"/>
          <w:lang w:val="zh-CN"/>
        </w:rPr>
        <w:t>填写此表时以招标项目参数要求为基本投标要求，满足招标项目参数要求的指标需列出“</w:t>
      </w:r>
      <w:r>
        <w:rPr>
          <w:rFonts w:hint="eastAsia" w:ascii="宋体" w:hAnsi="宋体" w:eastAsia="宋体" w:cs="宋体"/>
          <w:color w:val="auto"/>
          <w:kern w:val="0"/>
          <w:sz w:val="30"/>
          <w:szCs w:val="30"/>
        </w:rPr>
        <w:t>0</w:t>
      </w:r>
      <w:r>
        <w:rPr>
          <w:rFonts w:hint="eastAsia" w:ascii="宋体" w:hAnsi="宋体" w:eastAsia="宋体" w:cs="宋体"/>
          <w:color w:val="auto"/>
          <w:kern w:val="0"/>
          <w:sz w:val="30"/>
          <w:szCs w:val="30"/>
          <w:lang w:val="zh-CN"/>
        </w:rPr>
        <w:t>”；超出、不满足招标项目参数要求的指标需列出“+”、“-”偏差，并做出详细说明；如果只注明“+”、“-”或未填写，将视为该项指标不响应。</w:t>
      </w:r>
    </w:p>
    <w:p w14:paraId="25D66B39">
      <w:pPr>
        <w:keepNext w:val="0"/>
        <w:keepLines w:val="0"/>
        <w:pageBreakBefore w:val="0"/>
        <w:widowControl w:val="0"/>
        <w:kinsoku/>
        <w:wordWrap/>
        <w:overflowPunct/>
        <w:topLinePunct w:val="0"/>
        <w:autoSpaceDE w:val="0"/>
        <w:autoSpaceDN w:val="0"/>
        <w:bidi w:val="0"/>
        <w:adjustRightInd/>
        <w:snapToGrid/>
        <w:spacing w:line="460" w:lineRule="exact"/>
        <w:ind w:firstLine="48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rPr>
        <w:t>4</w:t>
      </w:r>
      <w:r>
        <w:rPr>
          <w:rFonts w:hint="eastAsia" w:ascii="宋体" w:hAnsi="宋体" w:eastAsia="宋体" w:cs="宋体"/>
          <w:color w:val="auto"/>
          <w:kern w:val="0"/>
          <w:sz w:val="30"/>
          <w:szCs w:val="30"/>
          <w:lang w:val="zh-CN"/>
        </w:rPr>
        <w:t>.投标人响应采购需求应具体、明确，含糊不清、不确切或伪造、编造证明材料的，按照实质性不响应处理。对伪造、编造证明材料的，将报告本级财政部门。</w:t>
      </w:r>
    </w:p>
    <w:p w14:paraId="5AD70D1C">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投标人：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（公章）</w:t>
      </w:r>
    </w:p>
    <w:p w14:paraId="5BA78061">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法定代表人或委托代理人：        （签字或盖章）</w:t>
      </w:r>
    </w:p>
    <w:p w14:paraId="43B3AE60">
      <w:pPr>
        <w:autoSpaceDE w:val="0"/>
        <w:autoSpaceDN w:val="0"/>
        <w:spacing w:line="520" w:lineRule="exact"/>
        <w:ind w:firstLine="3253"/>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年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月  </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 xml:space="preserve"> 日</w:t>
      </w:r>
    </w:p>
    <w:p w14:paraId="6C89789A">
      <w:pPr>
        <w:pStyle w:val="25"/>
        <w:spacing w:before="0" w:after="0" w:line="520" w:lineRule="exact"/>
        <w:jc w:val="left"/>
        <w:outlineLvl w:val="1"/>
        <w:rPr>
          <w:rFonts w:hint="eastAsia" w:ascii="宋体" w:hAnsi="宋体" w:eastAsia="宋体" w:cs="宋体"/>
          <w:color w:val="auto"/>
          <w:sz w:val="30"/>
          <w:szCs w:val="30"/>
        </w:rPr>
      </w:pPr>
      <w:r>
        <w:rPr>
          <w:rFonts w:hint="eastAsia" w:ascii="宋体" w:hAnsi="宋体" w:eastAsia="宋体" w:cs="宋体"/>
          <w:color w:val="auto"/>
          <w:kern w:val="0"/>
          <w:sz w:val="24"/>
          <w:szCs w:val="24"/>
          <w:lang w:val="zh-CN"/>
        </w:rPr>
        <w:br w:type="page"/>
      </w:r>
      <w:bookmarkStart w:id="139" w:name="_Toc24199"/>
      <w:bookmarkStart w:id="140" w:name="_Toc515908224"/>
      <w:bookmarkStart w:id="141" w:name="_Toc68160858"/>
      <w:bookmarkStart w:id="142" w:name="_Toc14290"/>
      <w:r>
        <w:rPr>
          <w:rFonts w:hint="eastAsia" w:ascii="宋体" w:hAnsi="宋体" w:eastAsia="宋体" w:cs="宋体"/>
          <w:color w:val="auto"/>
          <w:sz w:val="30"/>
          <w:szCs w:val="30"/>
        </w:rPr>
        <w:t>（15）</w:t>
      </w:r>
      <w:r>
        <w:rPr>
          <w:rFonts w:hint="eastAsia" w:ascii="宋体" w:hAnsi="宋体" w:eastAsia="宋体" w:cs="宋体"/>
          <w:color w:val="auto"/>
          <w:sz w:val="30"/>
          <w:szCs w:val="30"/>
          <w:lang w:val="zh-CN"/>
        </w:rPr>
        <w:t>投标产品相关资料</w:t>
      </w:r>
      <w:bookmarkEnd w:id="139"/>
      <w:bookmarkEnd w:id="140"/>
      <w:bookmarkEnd w:id="141"/>
    </w:p>
    <w:p w14:paraId="4D9893FD">
      <w:pPr>
        <w:autoSpaceDE w:val="0"/>
        <w:autoSpaceDN w:val="0"/>
        <w:spacing w:line="520" w:lineRule="exact"/>
        <w:rPr>
          <w:rFonts w:hint="eastAsia" w:ascii="宋体" w:hAnsi="宋体" w:eastAsia="宋体" w:cs="宋体"/>
          <w:color w:val="auto"/>
          <w:kern w:val="0"/>
          <w:sz w:val="30"/>
          <w:szCs w:val="30"/>
          <w:lang w:val="zh-CN"/>
        </w:rPr>
      </w:pPr>
    </w:p>
    <w:p w14:paraId="50E57259">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投标产品相关资料</w:t>
      </w:r>
    </w:p>
    <w:p w14:paraId="2BAF9A29">
      <w:pPr>
        <w:autoSpaceDE w:val="0"/>
        <w:autoSpaceDN w:val="0"/>
        <w:spacing w:line="520" w:lineRule="exact"/>
        <w:rPr>
          <w:rFonts w:hint="eastAsia" w:ascii="宋体" w:hAnsi="宋体" w:eastAsia="宋体" w:cs="宋体"/>
          <w:color w:val="auto"/>
          <w:kern w:val="0"/>
          <w:sz w:val="30"/>
          <w:szCs w:val="30"/>
          <w:lang w:val="zh-CN"/>
        </w:rPr>
      </w:pPr>
    </w:p>
    <w:p w14:paraId="0FA01F8E">
      <w:pPr>
        <w:autoSpaceDE w:val="0"/>
        <w:autoSpaceDN w:val="0"/>
        <w:spacing w:line="520" w:lineRule="exact"/>
        <w:ind w:firstLine="600" w:firstLineChars="200"/>
        <w:rPr>
          <w:rFonts w:hint="eastAsia" w:ascii="宋体" w:hAnsi="宋体" w:eastAsia="宋体" w:cs="宋体"/>
          <w:color w:val="auto"/>
          <w:sz w:val="30"/>
          <w:szCs w:val="30"/>
          <w:lang w:val="zh-CN"/>
        </w:rPr>
      </w:pPr>
      <w:r>
        <w:rPr>
          <w:rFonts w:hint="eastAsia" w:ascii="宋体" w:hAnsi="宋体" w:eastAsia="宋体" w:cs="宋体"/>
          <w:color w:val="auto"/>
          <w:kern w:val="0"/>
          <w:sz w:val="30"/>
          <w:szCs w:val="30"/>
          <w:lang w:val="zh-CN"/>
        </w:rPr>
        <w:t>根据采购项目</w:t>
      </w:r>
      <w:r>
        <w:rPr>
          <w:rFonts w:hint="eastAsia" w:ascii="宋体" w:hAnsi="宋体" w:eastAsia="宋体" w:cs="宋体"/>
          <w:color w:val="auto"/>
          <w:kern w:val="0"/>
          <w:sz w:val="30"/>
          <w:szCs w:val="30"/>
          <w:lang w:val="zh-CN" w:eastAsia="zh-CN"/>
        </w:rPr>
        <w:t>评审办法</w:t>
      </w:r>
      <w:r>
        <w:rPr>
          <w:rFonts w:hint="eastAsia" w:ascii="宋体" w:hAnsi="宋体" w:eastAsia="宋体" w:cs="宋体"/>
          <w:color w:val="auto"/>
          <w:kern w:val="0"/>
          <w:sz w:val="30"/>
          <w:szCs w:val="30"/>
          <w:lang w:val="zh-CN"/>
        </w:rPr>
        <w:t>，提供能证明投标产品响应技术参数的相关资料。</w:t>
      </w:r>
    </w:p>
    <w:p w14:paraId="2A19789C">
      <w:pPr>
        <w:pStyle w:val="25"/>
        <w:spacing w:before="0" w:after="0" w:line="520" w:lineRule="exact"/>
        <w:jc w:val="left"/>
        <w:outlineLvl w:val="1"/>
        <w:rPr>
          <w:rFonts w:hint="eastAsia" w:ascii="宋体" w:hAnsi="宋体" w:eastAsia="宋体" w:cs="宋体"/>
          <w:color w:val="auto"/>
          <w:sz w:val="30"/>
          <w:szCs w:val="30"/>
        </w:rPr>
      </w:pPr>
      <w:r>
        <w:rPr>
          <w:rFonts w:hint="eastAsia" w:ascii="宋体" w:hAnsi="宋体" w:eastAsia="宋体" w:cs="宋体"/>
          <w:color w:val="auto"/>
          <w:lang w:val="zh-CN"/>
        </w:rPr>
        <w:br w:type="page"/>
      </w:r>
      <w:bookmarkStart w:id="143" w:name="_Toc68160859"/>
      <w:bookmarkStart w:id="144" w:name="_Toc515908225"/>
      <w:bookmarkStart w:id="145" w:name="_Toc29703"/>
      <w:r>
        <w:rPr>
          <w:rFonts w:hint="eastAsia" w:ascii="宋体" w:hAnsi="宋体" w:eastAsia="宋体" w:cs="宋体"/>
          <w:color w:val="auto"/>
          <w:sz w:val="30"/>
          <w:szCs w:val="30"/>
        </w:rPr>
        <w:t>（16）</w:t>
      </w:r>
      <w:r>
        <w:rPr>
          <w:rFonts w:hint="eastAsia" w:ascii="宋体" w:hAnsi="宋体" w:eastAsia="宋体" w:cs="宋体"/>
          <w:color w:val="auto"/>
          <w:sz w:val="30"/>
          <w:szCs w:val="30"/>
          <w:lang w:val="zh-CN"/>
        </w:rPr>
        <w:t>投标人的类似业绩证明材料</w:t>
      </w:r>
      <w:bookmarkEnd w:id="142"/>
      <w:bookmarkEnd w:id="143"/>
      <w:bookmarkEnd w:id="144"/>
      <w:bookmarkEnd w:id="145"/>
    </w:p>
    <w:p w14:paraId="02EDB584">
      <w:pPr>
        <w:autoSpaceDE w:val="0"/>
        <w:autoSpaceDN w:val="0"/>
        <w:spacing w:line="520" w:lineRule="exact"/>
        <w:rPr>
          <w:rFonts w:hint="eastAsia" w:ascii="宋体" w:hAnsi="宋体" w:eastAsia="宋体" w:cs="宋体"/>
          <w:color w:val="auto"/>
          <w:kern w:val="0"/>
          <w:sz w:val="30"/>
          <w:szCs w:val="30"/>
          <w:lang w:val="zh-CN"/>
        </w:rPr>
      </w:pPr>
    </w:p>
    <w:p w14:paraId="6D7C86EA">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投标人的类似业绩证明材料</w:t>
      </w:r>
    </w:p>
    <w:p w14:paraId="31D03F3C">
      <w:pPr>
        <w:autoSpaceDE w:val="0"/>
        <w:autoSpaceDN w:val="0"/>
        <w:spacing w:line="520" w:lineRule="exact"/>
        <w:rPr>
          <w:rFonts w:hint="eastAsia" w:ascii="宋体" w:hAnsi="宋体" w:eastAsia="宋体" w:cs="宋体"/>
          <w:color w:val="auto"/>
          <w:kern w:val="0"/>
          <w:sz w:val="30"/>
          <w:szCs w:val="30"/>
          <w:lang w:val="zh-CN"/>
        </w:rPr>
      </w:pPr>
    </w:p>
    <w:p w14:paraId="7354B34F">
      <w:pPr>
        <w:autoSpaceDE w:val="0"/>
        <w:autoSpaceDN w:val="0"/>
        <w:spacing w:line="520" w:lineRule="exact"/>
        <w:ind w:firstLine="480"/>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lang w:val="zh-CN"/>
        </w:rPr>
        <w:t>提供202</w:t>
      </w:r>
      <w:r>
        <w:rPr>
          <w:rFonts w:hint="eastAsia" w:ascii="宋体" w:hAnsi="宋体" w:eastAsia="宋体" w:cs="宋体"/>
          <w:color w:val="auto"/>
          <w:kern w:val="0"/>
          <w:sz w:val="30"/>
          <w:szCs w:val="30"/>
          <w:lang w:val="zh-CN" w:eastAsia="zh-CN"/>
        </w:rPr>
        <w:t>2</w:t>
      </w:r>
      <w:r>
        <w:rPr>
          <w:rFonts w:hint="eastAsia" w:ascii="宋体" w:hAnsi="宋体" w:eastAsia="宋体" w:cs="宋体"/>
          <w:color w:val="auto"/>
          <w:kern w:val="0"/>
          <w:sz w:val="30"/>
          <w:szCs w:val="30"/>
          <w:lang w:val="zh-CN"/>
        </w:rPr>
        <w:t>年1月1日以来的类似业绩证明材料。需提供中标通知书</w:t>
      </w:r>
      <w:r>
        <w:rPr>
          <w:rFonts w:hint="eastAsia" w:ascii="宋体" w:hAnsi="宋体" w:eastAsia="宋体" w:cs="宋体"/>
          <w:color w:val="auto"/>
          <w:kern w:val="0"/>
          <w:sz w:val="30"/>
          <w:szCs w:val="30"/>
          <w:lang w:val="zh-CN" w:eastAsia="zh-CN"/>
        </w:rPr>
        <w:t>或</w:t>
      </w:r>
      <w:r>
        <w:rPr>
          <w:rFonts w:hint="eastAsia" w:ascii="宋体" w:hAnsi="宋体" w:eastAsia="宋体" w:cs="宋体"/>
          <w:color w:val="auto"/>
          <w:kern w:val="0"/>
          <w:sz w:val="30"/>
          <w:szCs w:val="30"/>
          <w:lang w:val="zh-CN"/>
        </w:rPr>
        <w:t>合同的扫描件</w:t>
      </w:r>
      <w:r>
        <w:rPr>
          <w:rFonts w:hint="eastAsia" w:ascii="宋体" w:hAnsi="宋体" w:eastAsia="宋体" w:cs="宋体"/>
          <w:color w:val="auto"/>
          <w:kern w:val="0"/>
          <w:sz w:val="30"/>
          <w:szCs w:val="30"/>
          <w:lang w:val="zh-CN" w:eastAsia="zh-CN"/>
        </w:rPr>
        <w:t>（或</w:t>
      </w:r>
      <w:r>
        <w:rPr>
          <w:rFonts w:hint="eastAsia" w:ascii="宋体" w:hAnsi="宋体" w:eastAsia="宋体" w:cs="宋体"/>
          <w:color w:val="auto"/>
          <w:kern w:val="0"/>
          <w:sz w:val="30"/>
          <w:szCs w:val="30"/>
          <w:lang w:val="zh-CN"/>
        </w:rPr>
        <w:t>复印件</w:t>
      </w:r>
      <w:r>
        <w:rPr>
          <w:rFonts w:hint="eastAsia" w:ascii="宋体" w:hAnsi="宋体" w:eastAsia="宋体" w:cs="宋体"/>
          <w:color w:val="auto"/>
          <w:kern w:val="0"/>
          <w:sz w:val="30"/>
          <w:szCs w:val="30"/>
          <w:lang w:val="zh-CN" w:eastAsia="zh-CN"/>
        </w:rPr>
        <w:t>）</w:t>
      </w:r>
      <w:r>
        <w:rPr>
          <w:rFonts w:hint="eastAsia" w:ascii="宋体" w:hAnsi="宋体" w:eastAsia="宋体" w:cs="宋体"/>
          <w:color w:val="auto"/>
          <w:kern w:val="0"/>
          <w:sz w:val="30"/>
          <w:szCs w:val="30"/>
          <w:lang w:val="zh-CN"/>
        </w:rPr>
        <w:t>。</w:t>
      </w:r>
    </w:p>
    <w:p w14:paraId="7F8785F0">
      <w:pPr>
        <w:rPr>
          <w:rFonts w:hint="eastAsia" w:ascii="宋体" w:hAnsi="宋体" w:eastAsia="宋体" w:cs="宋体"/>
          <w:b/>
          <w:color w:val="auto"/>
          <w:sz w:val="30"/>
          <w:szCs w:val="30"/>
        </w:rPr>
      </w:pPr>
      <w:r>
        <w:rPr>
          <w:rFonts w:hint="eastAsia" w:ascii="宋体" w:hAnsi="宋体" w:eastAsia="宋体" w:cs="宋体"/>
          <w:color w:val="auto"/>
          <w:lang w:val="zh-CN"/>
        </w:rPr>
        <w:br w:type="page"/>
      </w:r>
      <w:bookmarkStart w:id="146" w:name="_Toc3146_WPSOffice_Level3"/>
      <w:bookmarkStart w:id="147" w:name="_Toc11887"/>
      <w:bookmarkStart w:id="148" w:name="_Toc10368"/>
      <w:bookmarkStart w:id="149" w:name="_Toc4925"/>
      <w:bookmarkStart w:id="150" w:name="_Toc17566"/>
      <w:bookmarkStart w:id="151" w:name="_Toc31301_WPSOffice_Level3"/>
      <w:bookmarkStart w:id="152" w:name="_Toc743"/>
      <w:r>
        <w:rPr>
          <w:rFonts w:hint="eastAsia" w:ascii="宋体" w:hAnsi="宋体" w:eastAsia="宋体" w:cs="宋体"/>
          <w:b/>
          <w:color w:val="auto"/>
          <w:sz w:val="30"/>
          <w:szCs w:val="30"/>
        </w:rPr>
        <w:t>附件17：</w:t>
      </w:r>
      <w:bookmarkEnd w:id="146"/>
      <w:bookmarkEnd w:id="147"/>
      <w:bookmarkEnd w:id="148"/>
      <w:bookmarkEnd w:id="149"/>
      <w:bookmarkEnd w:id="150"/>
      <w:bookmarkEnd w:id="151"/>
      <w:r>
        <w:rPr>
          <w:rFonts w:hint="eastAsia" w:ascii="宋体" w:hAnsi="宋体" w:eastAsia="宋体" w:cs="宋体"/>
          <w:b/>
          <w:color w:val="auto"/>
          <w:sz w:val="30"/>
          <w:szCs w:val="30"/>
        </w:rPr>
        <w:t>享受政府采购政策优惠的证明资料</w:t>
      </w:r>
    </w:p>
    <w:p w14:paraId="40F5A4DE">
      <w:pPr>
        <w:numPr>
          <w:ilvl w:val="0"/>
          <w:numId w:val="5"/>
        </w:numPr>
        <w:adjustRightInd w:val="0"/>
        <w:snapToGrid w:val="0"/>
        <w:spacing w:beforeLines="50" w:line="560" w:lineRule="exact"/>
        <w:jc w:val="center"/>
        <w:rPr>
          <w:rFonts w:hint="eastAsia" w:ascii="宋体" w:hAnsi="宋体" w:eastAsia="宋体" w:cs="宋体"/>
          <w:b/>
          <w:bCs/>
          <w:color w:val="auto"/>
          <w:sz w:val="30"/>
          <w:szCs w:val="30"/>
        </w:rPr>
      </w:pPr>
      <w:bookmarkStart w:id="153" w:name="_Toc25276"/>
      <w:r>
        <w:rPr>
          <w:rFonts w:hint="eastAsia" w:ascii="宋体" w:hAnsi="宋体" w:eastAsia="宋体" w:cs="宋体"/>
          <w:b/>
          <w:bCs/>
          <w:color w:val="auto"/>
          <w:sz w:val="30"/>
          <w:szCs w:val="30"/>
        </w:rPr>
        <w:t>节能产品、环境标志产品证明材料</w:t>
      </w:r>
      <w:bookmarkEnd w:id="153"/>
    </w:p>
    <w:p w14:paraId="57023C1D">
      <w:pPr>
        <w:adjustRightInd w:val="0"/>
        <w:snapToGrid w:val="0"/>
        <w:spacing w:line="560" w:lineRule="exact"/>
        <w:ind w:firstLine="480"/>
        <w:rPr>
          <w:rFonts w:hint="eastAsia" w:ascii="宋体" w:hAnsi="宋体" w:eastAsia="宋体" w:cs="宋体"/>
          <w:bCs/>
          <w:color w:val="auto"/>
          <w:sz w:val="30"/>
          <w:szCs w:val="30"/>
        </w:rPr>
      </w:pPr>
      <w:r>
        <w:rPr>
          <w:rFonts w:hint="eastAsia" w:ascii="宋体" w:hAnsi="宋体" w:eastAsia="宋体" w:cs="宋体"/>
          <w:bCs/>
          <w:color w:val="auto"/>
          <w:sz w:val="30"/>
          <w:szCs w:val="30"/>
        </w:rPr>
        <w:t>产品属于品目清单范围的，实施政府优先采购和强制采购。供应商应提供国家确定的认证机构出具的、处于有效期之内的节能产品、环境标志产品认证证书，并加盖供应商单位公章。</w:t>
      </w:r>
    </w:p>
    <w:p w14:paraId="64C0A50E">
      <w:pPr>
        <w:adjustRightInd w:val="0"/>
        <w:snapToGrid w:val="0"/>
        <w:spacing w:beforeLines="50" w:line="560" w:lineRule="exact"/>
        <w:ind w:firstLine="420"/>
        <w:jc w:val="left"/>
        <w:rPr>
          <w:rFonts w:hint="eastAsia" w:ascii="宋体" w:hAnsi="宋体" w:eastAsia="宋体" w:cs="宋体"/>
          <w:color w:val="auto"/>
          <w:szCs w:val="21"/>
        </w:rPr>
      </w:pPr>
    </w:p>
    <w:p w14:paraId="7C5A18EC">
      <w:pPr>
        <w:adjustRightInd w:val="0"/>
        <w:snapToGrid w:val="0"/>
        <w:spacing w:beforeLines="50" w:line="560" w:lineRule="exact"/>
        <w:ind w:firstLine="420"/>
        <w:jc w:val="left"/>
        <w:rPr>
          <w:rFonts w:hint="eastAsia" w:ascii="宋体" w:hAnsi="宋体" w:eastAsia="宋体" w:cs="宋体"/>
          <w:color w:val="auto"/>
          <w:szCs w:val="21"/>
        </w:rPr>
      </w:pPr>
    </w:p>
    <w:p w14:paraId="69BA4CD7">
      <w:pPr>
        <w:widowControl/>
        <w:snapToGrid w:val="0"/>
        <w:spacing w:beforeLines="50" w:line="560" w:lineRule="exact"/>
        <w:ind w:firstLine="562"/>
        <w:outlineLvl w:val="1"/>
        <w:rPr>
          <w:rFonts w:hint="eastAsia" w:ascii="宋体" w:hAnsi="宋体" w:eastAsia="宋体" w:cs="宋体"/>
          <w:b/>
          <w:color w:val="auto"/>
          <w:sz w:val="28"/>
          <w:szCs w:val="28"/>
        </w:rPr>
      </w:pPr>
    </w:p>
    <w:p w14:paraId="4ED0EBE2">
      <w:pPr>
        <w:widowControl/>
        <w:snapToGrid w:val="0"/>
        <w:spacing w:beforeLines="50" w:line="560" w:lineRule="exact"/>
        <w:ind w:firstLine="562"/>
        <w:outlineLvl w:val="1"/>
        <w:rPr>
          <w:rFonts w:hint="eastAsia" w:ascii="宋体" w:hAnsi="宋体" w:eastAsia="宋体" w:cs="宋体"/>
          <w:b/>
          <w:color w:val="auto"/>
          <w:sz w:val="28"/>
          <w:szCs w:val="28"/>
        </w:rPr>
      </w:pPr>
    </w:p>
    <w:p w14:paraId="26E31C5E">
      <w:pPr>
        <w:widowControl/>
        <w:snapToGrid w:val="0"/>
        <w:spacing w:beforeLines="50" w:line="560" w:lineRule="exact"/>
        <w:ind w:firstLine="562"/>
        <w:outlineLvl w:val="1"/>
        <w:rPr>
          <w:rFonts w:hint="eastAsia" w:ascii="宋体" w:hAnsi="宋体" w:eastAsia="宋体" w:cs="宋体"/>
          <w:b/>
          <w:color w:val="auto"/>
          <w:sz w:val="28"/>
          <w:szCs w:val="28"/>
        </w:rPr>
      </w:pPr>
    </w:p>
    <w:p w14:paraId="3EE220D2">
      <w:pPr>
        <w:widowControl/>
        <w:snapToGrid w:val="0"/>
        <w:spacing w:beforeLines="50" w:line="560" w:lineRule="exact"/>
        <w:ind w:firstLine="562"/>
        <w:outlineLvl w:val="1"/>
        <w:rPr>
          <w:rFonts w:hint="eastAsia" w:ascii="宋体" w:hAnsi="宋体" w:eastAsia="宋体" w:cs="宋体"/>
          <w:b/>
          <w:color w:val="auto"/>
          <w:sz w:val="28"/>
          <w:szCs w:val="28"/>
        </w:rPr>
      </w:pPr>
    </w:p>
    <w:p w14:paraId="63BB1C09">
      <w:pPr>
        <w:widowControl/>
        <w:snapToGrid w:val="0"/>
        <w:spacing w:beforeLines="50" w:line="560" w:lineRule="exact"/>
        <w:ind w:firstLine="562"/>
        <w:outlineLvl w:val="1"/>
        <w:rPr>
          <w:rFonts w:hint="eastAsia" w:ascii="宋体" w:hAnsi="宋体" w:eastAsia="宋体" w:cs="宋体"/>
          <w:b/>
          <w:color w:val="auto"/>
          <w:sz w:val="28"/>
          <w:szCs w:val="28"/>
        </w:rPr>
      </w:pPr>
    </w:p>
    <w:p w14:paraId="0B06CF78">
      <w:pPr>
        <w:widowControl/>
        <w:snapToGrid w:val="0"/>
        <w:spacing w:beforeLines="50" w:line="560" w:lineRule="exact"/>
        <w:ind w:firstLine="562"/>
        <w:outlineLvl w:val="1"/>
        <w:rPr>
          <w:rFonts w:hint="eastAsia" w:ascii="宋体" w:hAnsi="宋体" w:eastAsia="宋体" w:cs="宋体"/>
          <w:b/>
          <w:color w:val="auto"/>
          <w:sz w:val="28"/>
          <w:szCs w:val="28"/>
        </w:rPr>
      </w:pPr>
    </w:p>
    <w:p w14:paraId="3714BA15">
      <w:pPr>
        <w:widowControl/>
        <w:snapToGrid w:val="0"/>
        <w:spacing w:beforeLines="50" w:line="560" w:lineRule="exact"/>
        <w:ind w:firstLine="562"/>
        <w:outlineLvl w:val="1"/>
        <w:rPr>
          <w:rFonts w:hint="eastAsia" w:ascii="宋体" w:hAnsi="宋体" w:eastAsia="宋体" w:cs="宋体"/>
          <w:b/>
          <w:color w:val="auto"/>
          <w:sz w:val="28"/>
          <w:szCs w:val="28"/>
        </w:rPr>
      </w:pPr>
    </w:p>
    <w:p w14:paraId="6E1D483C">
      <w:pPr>
        <w:widowControl/>
        <w:snapToGrid w:val="0"/>
        <w:spacing w:beforeLines="50" w:line="560" w:lineRule="exact"/>
        <w:ind w:firstLine="562"/>
        <w:outlineLvl w:val="1"/>
        <w:rPr>
          <w:rFonts w:hint="eastAsia" w:ascii="宋体" w:hAnsi="宋体" w:eastAsia="宋体" w:cs="宋体"/>
          <w:b/>
          <w:color w:val="auto"/>
          <w:sz w:val="28"/>
          <w:szCs w:val="28"/>
        </w:rPr>
      </w:pPr>
    </w:p>
    <w:p w14:paraId="13CB0673">
      <w:pPr>
        <w:ind w:firstLine="562"/>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336C3682">
      <w:pPr>
        <w:adjustRightInd w:val="0"/>
        <w:snapToGrid w:val="0"/>
        <w:spacing w:beforeLines="50" w:line="560" w:lineRule="exact"/>
        <w:jc w:val="center"/>
        <w:rPr>
          <w:rFonts w:hint="eastAsia" w:ascii="宋体" w:hAnsi="宋体" w:eastAsia="宋体" w:cs="宋体"/>
          <w:b/>
          <w:bCs/>
          <w:color w:val="auto"/>
          <w:sz w:val="30"/>
          <w:szCs w:val="30"/>
          <w:lang w:eastAsia="zh-CN"/>
        </w:rPr>
      </w:pPr>
      <w:bookmarkStart w:id="154" w:name="_Toc6454"/>
      <w:bookmarkStart w:id="155" w:name="_Toc31539"/>
      <w:bookmarkStart w:id="156" w:name="_Toc22784_WPSOffice_Level3"/>
      <w:r>
        <w:rPr>
          <w:rFonts w:hint="eastAsia" w:ascii="宋体" w:hAnsi="宋体" w:eastAsia="宋体" w:cs="宋体"/>
          <w:b/>
          <w:bCs/>
          <w:color w:val="auto"/>
          <w:sz w:val="30"/>
          <w:szCs w:val="30"/>
        </w:rPr>
        <w:t>2.中小企业声明函</w:t>
      </w:r>
      <w:bookmarkEnd w:id="154"/>
      <w:bookmarkEnd w:id="155"/>
      <w:bookmarkEnd w:id="156"/>
      <w:r>
        <w:rPr>
          <w:rFonts w:hint="eastAsia" w:ascii="宋体" w:hAnsi="宋体" w:eastAsia="宋体" w:cs="宋体"/>
          <w:b/>
          <w:bCs/>
          <w:color w:val="auto"/>
          <w:sz w:val="30"/>
          <w:szCs w:val="30"/>
        </w:rPr>
        <w:t>（货物）</w:t>
      </w:r>
    </w:p>
    <w:p w14:paraId="1C924ACB">
      <w:pPr>
        <w:widowControl/>
        <w:adjustRightInd w:val="0"/>
        <w:snapToGrid w:val="0"/>
        <w:spacing w:line="560" w:lineRule="exact"/>
        <w:ind w:firstLine="506"/>
        <w:jc w:val="center"/>
        <w:rPr>
          <w:rFonts w:hint="eastAsia" w:ascii="宋体" w:hAnsi="宋体" w:eastAsia="宋体" w:cs="宋体"/>
          <w:b/>
          <w:color w:val="auto"/>
          <w:spacing w:val="6"/>
          <w:sz w:val="30"/>
          <w:szCs w:val="30"/>
        </w:rPr>
      </w:pPr>
      <w:bookmarkStart w:id="157" w:name="_Toc3019_WPSOffice_Level3"/>
      <w:bookmarkStart w:id="158" w:name="_Toc1901_WPSOffice_Level3"/>
      <w:r>
        <w:rPr>
          <w:rFonts w:hint="eastAsia" w:ascii="宋体" w:hAnsi="宋体" w:eastAsia="宋体" w:cs="宋体"/>
          <w:b/>
          <w:color w:val="auto"/>
          <w:spacing w:val="6"/>
          <w:sz w:val="30"/>
          <w:szCs w:val="30"/>
        </w:rPr>
        <w:t>(不满足以下条件的无需填写)</w:t>
      </w:r>
      <w:bookmarkEnd w:id="157"/>
      <w:bookmarkEnd w:id="158"/>
    </w:p>
    <w:p w14:paraId="19DD7B0F">
      <w:pPr>
        <w:autoSpaceDE w:val="0"/>
        <w:autoSpaceDN w:val="0"/>
        <w:spacing w:line="360" w:lineRule="auto"/>
        <w:rPr>
          <w:rFonts w:hint="eastAsia" w:ascii="宋体" w:hAnsi="宋体" w:cs="宋体"/>
          <w:color w:val="auto"/>
          <w:kern w:val="0"/>
          <w:sz w:val="30"/>
          <w:szCs w:val="30"/>
          <w:highlight w:val="none"/>
          <w:u w:val="none"/>
          <w:lang w:val="zh-CN"/>
        </w:rPr>
      </w:pPr>
      <w:r>
        <w:rPr>
          <w:rFonts w:hint="eastAsia" w:ascii="宋体" w:hAnsi="宋体" w:eastAsia="宋体" w:cs="宋体"/>
          <w:b/>
          <w:bCs/>
          <w:color w:val="auto"/>
          <w:kern w:val="0"/>
          <w:sz w:val="30"/>
          <w:szCs w:val="30"/>
          <w:highlight w:val="none"/>
          <w:u w:val="none"/>
          <w:lang w:val="zh-CN"/>
        </w:rPr>
        <w:t>致</w:t>
      </w:r>
      <w:r>
        <w:rPr>
          <w:rFonts w:hint="eastAsia" w:ascii="宋体" w:hAnsi="宋体" w:cs="宋体"/>
          <w:color w:val="auto"/>
          <w:kern w:val="0"/>
          <w:sz w:val="30"/>
          <w:szCs w:val="30"/>
          <w:highlight w:val="none"/>
          <w:u w:val="none"/>
          <w:lang w:val="zh-CN"/>
        </w:rPr>
        <w:t>：</w:t>
      </w:r>
      <w:r>
        <w:rPr>
          <w:rFonts w:hint="eastAsia" w:ascii="宋体" w:hAnsi="宋体" w:cs="宋体"/>
          <w:b/>
          <w:bCs/>
          <w:color w:val="auto"/>
          <w:kern w:val="0"/>
          <w:sz w:val="30"/>
          <w:szCs w:val="30"/>
          <w:highlight w:val="none"/>
          <w:u w:val="none"/>
          <w:lang w:val="zh-CN"/>
        </w:rPr>
        <w:t>青海宇创项目管理有限责任公司</w:t>
      </w:r>
    </w:p>
    <w:p w14:paraId="4B1A3FA8">
      <w:pPr>
        <w:adjustRightInd w:val="0"/>
        <w:snapToGrid w:val="0"/>
        <w:spacing w:line="44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30"/>
          <w:szCs w:val="30"/>
          <w:highlight w:val="none"/>
          <w:u w:val="single"/>
          <w:lang w:val="en-US" w:eastAsia="zh-CN"/>
        </w:rPr>
        <w:t>（单位名称）</w:t>
      </w:r>
      <w:r>
        <w:rPr>
          <w:rFonts w:hint="eastAsia" w:ascii="宋体" w:hAnsi="宋体" w:eastAsia="宋体" w:cs="宋体"/>
          <w:color w:val="auto"/>
          <w:sz w:val="30"/>
          <w:szCs w:val="30"/>
          <w:highlight w:val="none"/>
          <w:lang w:val="en-US" w:eastAsia="zh-CN"/>
        </w:rPr>
        <w:t>的</w:t>
      </w:r>
      <w:r>
        <w:rPr>
          <w:rFonts w:hint="eastAsia" w:ascii="宋体" w:hAnsi="宋体" w:eastAsia="宋体" w:cs="宋体"/>
          <w:color w:val="auto"/>
          <w:sz w:val="30"/>
          <w:szCs w:val="30"/>
          <w:highlight w:val="none"/>
          <w:u w:val="single"/>
          <w:lang w:val="en-US" w:eastAsia="zh-CN"/>
        </w:rPr>
        <w:t>（项目名称）</w:t>
      </w:r>
      <w:r>
        <w:rPr>
          <w:rFonts w:hint="eastAsia" w:ascii="宋体" w:hAnsi="宋体" w:eastAsia="宋体" w:cs="宋体"/>
          <w:color w:val="auto"/>
          <w:sz w:val="30"/>
          <w:szCs w:val="30"/>
          <w:highlight w:val="none"/>
          <w:lang w:val="en-US" w:eastAsia="zh-CN"/>
        </w:rPr>
        <w:t>采购活动，提供的货物均有符合政策要求的中小企业制造，相关企业（含联合体中的中小企业、签订分包意向协议的中小企业）的具体情况如下：</w:t>
      </w:r>
    </w:p>
    <w:p w14:paraId="38478137">
      <w:pPr>
        <w:adjustRightInd w:val="0"/>
        <w:snapToGrid w:val="0"/>
        <w:spacing w:line="360" w:lineRule="auto"/>
        <w:ind w:left="-5" w:leftChars="-2"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 xml:space="preserve">1. </w:t>
      </w:r>
      <w:r>
        <w:rPr>
          <w:rFonts w:hint="eastAsia" w:ascii="宋体" w:hAnsi="宋体" w:eastAsia="宋体" w:cs="宋体"/>
          <w:color w:val="auto"/>
          <w:sz w:val="30"/>
          <w:szCs w:val="30"/>
          <w:highlight w:val="none"/>
          <w:u w:val="single"/>
          <w:lang w:val="en-US" w:eastAsia="zh-CN"/>
        </w:rPr>
        <w:t xml:space="preserve">（标的名称） </w:t>
      </w:r>
      <w:r>
        <w:rPr>
          <w:rFonts w:hint="eastAsia" w:ascii="宋体" w:hAnsi="宋体" w:eastAsia="宋体" w:cs="宋体"/>
          <w:color w:val="auto"/>
          <w:sz w:val="30"/>
          <w:szCs w:val="30"/>
          <w:highlight w:val="none"/>
          <w:lang w:val="en-US" w:eastAsia="zh-CN"/>
        </w:rPr>
        <w:t>，属于</w:t>
      </w:r>
      <w:r>
        <w:rPr>
          <w:rFonts w:hint="eastAsia" w:ascii="宋体" w:hAnsi="宋体" w:eastAsia="宋体" w:cs="宋体"/>
          <w:color w:val="auto"/>
          <w:sz w:val="30"/>
          <w:szCs w:val="30"/>
          <w:highlight w:val="none"/>
          <w:u w:val="single"/>
          <w:lang w:val="en-US" w:eastAsia="zh-CN"/>
        </w:rPr>
        <w:t>（采购文件中明确的所属行业：</w:t>
      </w:r>
      <w:r>
        <w:rPr>
          <w:rFonts w:hint="eastAsia" w:ascii="宋体" w:hAnsi="宋体" w:cs="宋体"/>
          <w:b/>
          <w:bCs/>
          <w:color w:val="auto"/>
          <w:sz w:val="30"/>
          <w:szCs w:val="30"/>
          <w:highlight w:val="none"/>
          <w:u w:val="single"/>
          <w:lang w:val="en-US" w:eastAsia="zh-CN"/>
        </w:rPr>
        <w:t>卫生</w:t>
      </w:r>
      <w:r>
        <w:rPr>
          <w:rFonts w:hint="eastAsia" w:ascii="宋体" w:hAnsi="宋体" w:eastAsia="宋体" w:cs="宋体"/>
          <w:color w:val="auto"/>
          <w:sz w:val="30"/>
          <w:szCs w:val="30"/>
          <w:highlight w:val="none"/>
          <w:u w:val="single"/>
          <w:lang w:val="en-US" w:eastAsia="zh-CN"/>
        </w:rPr>
        <w:t>）</w:t>
      </w:r>
      <w:r>
        <w:rPr>
          <w:rFonts w:hint="eastAsia" w:ascii="宋体" w:hAnsi="宋体" w:eastAsia="宋体" w:cs="宋体"/>
          <w:color w:val="auto"/>
          <w:sz w:val="30"/>
          <w:szCs w:val="30"/>
          <w:highlight w:val="none"/>
          <w:lang w:val="en-US" w:eastAsia="zh-CN"/>
        </w:rPr>
        <w:t>；制造商为</w:t>
      </w:r>
      <w:r>
        <w:rPr>
          <w:rFonts w:hint="eastAsia" w:ascii="宋体" w:hAnsi="宋体" w:eastAsia="宋体" w:cs="宋体"/>
          <w:color w:val="auto"/>
          <w:sz w:val="30"/>
          <w:szCs w:val="30"/>
          <w:highlight w:val="none"/>
          <w:u w:val="single"/>
          <w:lang w:val="en-US" w:eastAsia="zh-CN"/>
        </w:rPr>
        <w:t>（企业名称）</w:t>
      </w:r>
      <w:r>
        <w:rPr>
          <w:rFonts w:hint="eastAsia" w:ascii="宋体" w:hAnsi="宋体" w:eastAsia="宋体" w:cs="宋体"/>
          <w:color w:val="auto"/>
          <w:sz w:val="30"/>
          <w:szCs w:val="30"/>
          <w:highlight w:val="none"/>
          <w:lang w:val="en-US" w:eastAsia="zh-CN"/>
        </w:rPr>
        <w:t>，</w:t>
      </w:r>
      <w:r>
        <w:rPr>
          <w:rFonts w:hint="eastAsia" w:ascii="宋体" w:hAnsi="宋体" w:eastAsia="宋体" w:cs="宋体"/>
          <w:color w:val="auto"/>
          <w:sz w:val="30"/>
          <w:szCs w:val="30"/>
          <w:highlight w:val="none"/>
        </w:rPr>
        <w:t>从业人员</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人，营业收入为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万元，资产总额为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万元，属于</w:t>
      </w:r>
      <w:r>
        <w:rPr>
          <w:rFonts w:hint="eastAsia" w:ascii="宋体" w:hAnsi="宋体" w:eastAsia="宋体" w:cs="宋体"/>
          <w:color w:val="auto"/>
          <w:sz w:val="30"/>
          <w:szCs w:val="30"/>
          <w:highlight w:val="none"/>
          <w:u w:val="single"/>
        </w:rPr>
        <w:t>（中型企业、小型企业、微型企业）</w:t>
      </w:r>
      <w:r>
        <w:rPr>
          <w:rFonts w:hint="eastAsia" w:ascii="宋体" w:hAnsi="宋体" w:eastAsia="宋体" w:cs="宋体"/>
          <w:color w:val="auto"/>
          <w:sz w:val="30"/>
          <w:szCs w:val="30"/>
          <w:highlight w:val="none"/>
        </w:rPr>
        <w:t>；</w:t>
      </w:r>
    </w:p>
    <w:p w14:paraId="532CCAE8">
      <w:pPr>
        <w:adjustRightInd w:val="0"/>
        <w:snapToGrid w:val="0"/>
        <w:spacing w:line="360" w:lineRule="auto"/>
        <w:ind w:left="-5" w:leftChars="-2"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 xml:space="preserve">2. </w:t>
      </w:r>
      <w:r>
        <w:rPr>
          <w:rFonts w:hint="eastAsia" w:ascii="宋体" w:hAnsi="宋体" w:eastAsia="宋体" w:cs="宋体"/>
          <w:color w:val="auto"/>
          <w:sz w:val="30"/>
          <w:szCs w:val="30"/>
          <w:highlight w:val="none"/>
          <w:u w:val="single"/>
          <w:lang w:val="en-US" w:eastAsia="zh-CN"/>
        </w:rPr>
        <w:t xml:space="preserve">（标的名称） </w:t>
      </w:r>
      <w:r>
        <w:rPr>
          <w:rFonts w:hint="eastAsia" w:ascii="宋体" w:hAnsi="宋体" w:eastAsia="宋体" w:cs="宋体"/>
          <w:color w:val="auto"/>
          <w:sz w:val="30"/>
          <w:szCs w:val="30"/>
          <w:highlight w:val="none"/>
          <w:lang w:val="en-US" w:eastAsia="zh-CN"/>
        </w:rPr>
        <w:t>，属于</w:t>
      </w:r>
      <w:r>
        <w:rPr>
          <w:rFonts w:hint="eastAsia" w:ascii="宋体" w:hAnsi="宋体" w:eastAsia="宋体" w:cs="宋体"/>
          <w:color w:val="auto"/>
          <w:sz w:val="30"/>
          <w:szCs w:val="30"/>
          <w:highlight w:val="none"/>
          <w:u w:val="single"/>
          <w:lang w:val="en-US" w:eastAsia="zh-CN"/>
        </w:rPr>
        <w:t>（采购文件中明确的所属行业：</w:t>
      </w:r>
      <w:r>
        <w:rPr>
          <w:rFonts w:hint="eastAsia" w:ascii="宋体" w:hAnsi="宋体" w:cs="宋体"/>
          <w:b/>
          <w:bCs/>
          <w:color w:val="auto"/>
          <w:sz w:val="30"/>
          <w:szCs w:val="30"/>
          <w:highlight w:val="none"/>
          <w:u w:val="single"/>
          <w:lang w:val="en-US" w:eastAsia="zh-CN"/>
        </w:rPr>
        <w:t>卫生</w:t>
      </w:r>
      <w:r>
        <w:rPr>
          <w:rFonts w:hint="eastAsia" w:ascii="宋体" w:hAnsi="宋体" w:eastAsia="宋体" w:cs="宋体"/>
          <w:color w:val="auto"/>
          <w:sz w:val="30"/>
          <w:szCs w:val="30"/>
          <w:highlight w:val="none"/>
          <w:u w:val="single"/>
          <w:lang w:val="en-US" w:eastAsia="zh-CN"/>
        </w:rPr>
        <w:t>）</w:t>
      </w:r>
      <w:r>
        <w:rPr>
          <w:rFonts w:hint="eastAsia" w:ascii="宋体" w:hAnsi="宋体" w:eastAsia="宋体" w:cs="宋体"/>
          <w:color w:val="auto"/>
          <w:sz w:val="30"/>
          <w:szCs w:val="30"/>
          <w:highlight w:val="none"/>
          <w:lang w:val="en-US" w:eastAsia="zh-CN"/>
        </w:rPr>
        <w:t>；制造商为</w:t>
      </w:r>
      <w:r>
        <w:rPr>
          <w:rFonts w:hint="eastAsia" w:ascii="宋体" w:hAnsi="宋体" w:eastAsia="宋体" w:cs="宋体"/>
          <w:color w:val="auto"/>
          <w:sz w:val="30"/>
          <w:szCs w:val="30"/>
          <w:highlight w:val="none"/>
          <w:u w:val="single"/>
          <w:lang w:val="en-US" w:eastAsia="zh-CN"/>
        </w:rPr>
        <w:t>（企业名称）</w:t>
      </w:r>
      <w:r>
        <w:rPr>
          <w:rFonts w:hint="eastAsia" w:ascii="宋体" w:hAnsi="宋体" w:eastAsia="宋体" w:cs="宋体"/>
          <w:color w:val="auto"/>
          <w:sz w:val="30"/>
          <w:szCs w:val="30"/>
          <w:highlight w:val="none"/>
          <w:lang w:val="en-US" w:eastAsia="zh-CN"/>
        </w:rPr>
        <w:t>，</w:t>
      </w:r>
      <w:r>
        <w:rPr>
          <w:rFonts w:hint="eastAsia" w:ascii="宋体" w:hAnsi="宋体" w:eastAsia="宋体" w:cs="宋体"/>
          <w:color w:val="auto"/>
          <w:sz w:val="30"/>
          <w:szCs w:val="30"/>
          <w:highlight w:val="none"/>
        </w:rPr>
        <w:t>从业人员</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人，营业收入为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万元，资产总额为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万元，属于</w:t>
      </w:r>
      <w:r>
        <w:rPr>
          <w:rFonts w:hint="eastAsia" w:ascii="宋体" w:hAnsi="宋体" w:eastAsia="宋体" w:cs="宋体"/>
          <w:color w:val="auto"/>
          <w:sz w:val="30"/>
          <w:szCs w:val="30"/>
          <w:highlight w:val="none"/>
          <w:u w:val="single"/>
        </w:rPr>
        <w:t>（中型企业、小型企业、微型企业）</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 xml:space="preserve"> </w:t>
      </w:r>
    </w:p>
    <w:p w14:paraId="10D4733B">
      <w:pPr>
        <w:adjustRightInd w:val="0"/>
        <w:snapToGrid w:val="0"/>
        <w:spacing w:line="360" w:lineRule="auto"/>
        <w:ind w:left="-5" w:leftChars="-2"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w:t>
      </w:r>
    </w:p>
    <w:p w14:paraId="28CD0D25">
      <w:pPr>
        <w:adjustRightInd w:val="0"/>
        <w:snapToGrid w:val="0"/>
        <w:spacing w:line="440" w:lineRule="exact"/>
        <w:ind w:left="-5" w:leftChars="-2"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 xml:space="preserve">本公司对上述声明的真实性负责。如有虚假，将依法承担相应责任。 </w:t>
      </w:r>
    </w:p>
    <w:p w14:paraId="3DD29CB2">
      <w:pPr>
        <w:adjustRightInd w:val="0"/>
        <w:snapToGrid w:val="0"/>
        <w:spacing w:line="440" w:lineRule="exact"/>
        <w:ind w:left="-5" w:leftChars="-2" w:firstLine="600" w:firstLineChars="200"/>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注：若无此函，可不提供。</w:t>
      </w:r>
    </w:p>
    <w:p w14:paraId="5EF380BE">
      <w:pPr>
        <w:spacing w:line="360" w:lineRule="auto"/>
        <w:ind w:firstLine="480"/>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w:t>
      </w:r>
      <w:bookmarkStart w:id="159" w:name="_Toc21636_WPSOffice_Level3"/>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b/>
          <w:bCs/>
          <w:color w:val="auto"/>
          <w:sz w:val="30"/>
          <w:szCs w:val="30"/>
          <w:highlight w:val="none"/>
          <w:lang w:val="en-US" w:eastAsia="zh-CN"/>
        </w:rPr>
        <w:t xml:space="preserve"> </w:t>
      </w:r>
    </w:p>
    <w:p w14:paraId="5E5A8960">
      <w:pPr>
        <w:spacing w:line="360" w:lineRule="auto"/>
        <w:ind w:firstLine="3915" w:firstLineChars="130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单位名称：</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lang w:val="en-US" w:eastAsia="zh-CN"/>
        </w:rPr>
        <w:t>（公章）</w:t>
      </w:r>
      <w:bookmarkEnd w:id="159"/>
    </w:p>
    <w:p w14:paraId="21EC2083">
      <w:pPr>
        <w:spacing w:line="360" w:lineRule="auto"/>
        <w:ind w:firstLine="48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 xml:space="preserve">        </w:t>
      </w:r>
      <w:bookmarkStart w:id="160" w:name="_Toc19511_WPSOffice_Level3"/>
      <w:r>
        <w:rPr>
          <w:rFonts w:hint="eastAsia" w:ascii="宋体" w:hAnsi="宋体" w:eastAsia="宋体" w:cs="宋体"/>
          <w:b/>
          <w:bCs/>
          <w:color w:val="auto"/>
          <w:sz w:val="30"/>
          <w:szCs w:val="30"/>
          <w:highlight w:val="none"/>
          <w:lang w:val="en-US" w:eastAsia="zh-CN"/>
        </w:rPr>
        <w:t xml:space="preserve">  法定代表人或委托代理人：</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lang w:val="en-US" w:eastAsia="zh-CN"/>
        </w:rPr>
        <w:t>（签字或盖章）</w:t>
      </w:r>
      <w:bookmarkEnd w:id="160"/>
    </w:p>
    <w:p w14:paraId="7E6C4B97">
      <w:pPr>
        <w:spacing w:line="360" w:lineRule="auto"/>
        <w:ind w:firstLine="480"/>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lang w:val="en-US" w:eastAsia="zh-CN"/>
        </w:rPr>
        <w:t xml:space="preserve">                      </w:t>
      </w:r>
      <w:bookmarkStart w:id="161" w:name="_Toc20470_WPSOffice_Level3"/>
      <w:r>
        <w:rPr>
          <w:rFonts w:hint="eastAsia" w:ascii="宋体" w:hAnsi="宋体" w:eastAsia="宋体" w:cs="宋体"/>
          <w:b/>
          <w:bCs/>
          <w:color w:val="auto"/>
          <w:sz w:val="30"/>
          <w:szCs w:val="30"/>
          <w:highlight w:val="none"/>
          <w:lang w:val="en-US" w:eastAsia="zh-CN"/>
        </w:rPr>
        <w:t>年   月  日</w:t>
      </w:r>
      <w:bookmarkEnd w:id="161"/>
    </w:p>
    <w:p w14:paraId="41166597">
      <w:pPr>
        <w:widowControl/>
        <w:adjustRightInd w:val="0"/>
        <w:snapToGrid w:val="0"/>
        <w:spacing w:line="560" w:lineRule="exact"/>
        <w:ind w:firstLine="504"/>
        <w:jc w:val="left"/>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注：从业人员、营业收入、资产总额填报上一年度数据，无上一年度数据的新成立企业可不填报。</w:t>
      </w:r>
    </w:p>
    <w:p w14:paraId="0FEC9A80">
      <w:pPr>
        <w:rPr>
          <w:rFonts w:hint="eastAsia" w:ascii="宋体" w:hAnsi="宋体" w:eastAsia="宋体" w:cs="宋体"/>
          <w:color w:val="auto"/>
          <w:spacing w:val="6"/>
        </w:rPr>
      </w:pPr>
      <w:r>
        <w:rPr>
          <w:rFonts w:hint="eastAsia" w:ascii="宋体" w:hAnsi="宋体" w:eastAsia="宋体" w:cs="宋体"/>
          <w:color w:val="auto"/>
          <w:spacing w:val="6"/>
        </w:rPr>
        <w:br w:type="page"/>
      </w:r>
    </w:p>
    <w:p w14:paraId="51C36646">
      <w:pPr>
        <w:adjustRightInd w:val="0"/>
        <w:snapToGrid w:val="0"/>
        <w:spacing w:beforeLines="50" w:line="560" w:lineRule="exact"/>
        <w:ind w:firstLine="562"/>
        <w:jc w:val="center"/>
        <w:rPr>
          <w:rFonts w:hint="eastAsia" w:ascii="宋体" w:hAnsi="宋体" w:eastAsia="宋体" w:cs="宋体"/>
          <w:b/>
          <w:color w:val="auto"/>
          <w:sz w:val="30"/>
          <w:szCs w:val="30"/>
        </w:rPr>
      </w:pPr>
      <w:bookmarkStart w:id="162" w:name="_Toc14211_WPSOffice_Level3"/>
      <w:bookmarkStart w:id="163" w:name="_Toc12160"/>
      <w:bookmarkStart w:id="164" w:name="_Toc11740"/>
      <w:r>
        <w:rPr>
          <w:rFonts w:hint="eastAsia" w:ascii="宋体" w:hAnsi="宋体" w:eastAsia="宋体" w:cs="宋体"/>
          <w:b/>
          <w:color w:val="auto"/>
          <w:sz w:val="30"/>
          <w:szCs w:val="30"/>
        </w:rPr>
        <w:t>3.残疾人福利性单位声明函</w:t>
      </w:r>
      <w:bookmarkEnd w:id="162"/>
      <w:bookmarkEnd w:id="163"/>
      <w:bookmarkEnd w:id="164"/>
    </w:p>
    <w:p w14:paraId="37F0CD5D">
      <w:pPr>
        <w:adjustRightInd w:val="0"/>
        <w:snapToGrid w:val="0"/>
        <w:spacing w:line="560" w:lineRule="exact"/>
        <w:ind w:firstLine="506"/>
        <w:jc w:val="center"/>
        <w:rPr>
          <w:rFonts w:hint="eastAsia" w:ascii="宋体" w:hAnsi="宋体" w:eastAsia="宋体" w:cs="宋体"/>
          <w:color w:val="auto"/>
          <w:spacing w:val="6"/>
          <w:sz w:val="30"/>
          <w:szCs w:val="30"/>
        </w:rPr>
      </w:pPr>
      <w:bookmarkStart w:id="165" w:name="_Toc12079_WPSOffice_Level3"/>
      <w:bookmarkStart w:id="166" w:name="_Toc17469_WPSOffice_Level3"/>
      <w:r>
        <w:rPr>
          <w:rFonts w:hint="eastAsia" w:ascii="宋体" w:hAnsi="宋体" w:eastAsia="宋体" w:cs="宋体"/>
          <w:b/>
          <w:color w:val="auto"/>
          <w:spacing w:val="6"/>
          <w:sz w:val="30"/>
          <w:szCs w:val="30"/>
        </w:rPr>
        <w:t>(不属于残疾人福利性单位的无需填写)</w:t>
      </w:r>
      <w:bookmarkEnd w:id="165"/>
      <w:bookmarkEnd w:id="166"/>
    </w:p>
    <w:p w14:paraId="0E145A8E">
      <w:pPr>
        <w:spacing w:line="560" w:lineRule="exact"/>
        <w:ind w:firstLine="504"/>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pacing w:val="6"/>
          <w:sz w:val="30"/>
          <w:szCs w:val="30"/>
          <w:u w:val="single"/>
        </w:rPr>
        <w:t xml:space="preserve">       </w:t>
      </w:r>
      <w:r>
        <w:rPr>
          <w:rFonts w:hint="eastAsia" w:ascii="宋体" w:hAnsi="宋体" w:eastAsia="宋体" w:cs="宋体"/>
          <w:color w:val="auto"/>
          <w:spacing w:val="6"/>
          <w:sz w:val="30"/>
          <w:szCs w:val="30"/>
        </w:rPr>
        <w:t>人，安置的残疾人人数</w:t>
      </w:r>
      <w:r>
        <w:rPr>
          <w:rFonts w:hint="eastAsia" w:ascii="宋体" w:hAnsi="宋体" w:eastAsia="宋体" w:cs="宋体"/>
          <w:color w:val="auto"/>
          <w:spacing w:val="6"/>
          <w:sz w:val="30"/>
          <w:szCs w:val="30"/>
          <w:u w:val="single"/>
        </w:rPr>
        <w:t xml:space="preserve">      </w:t>
      </w:r>
      <w:r>
        <w:rPr>
          <w:rFonts w:hint="eastAsia" w:ascii="宋体" w:hAnsi="宋体" w:eastAsia="宋体" w:cs="宋体"/>
          <w:color w:val="auto"/>
          <w:spacing w:val="6"/>
          <w:sz w:val="30"/>
          <w:szCs w:val="30"/>
        </w:rPr>
        <w:t>人。且本单位参加</w:t>
      </w:r>
      <w:r>
        <w:rPr>
          <w:rFonts w:hint="eastAsia" w:ascii="宋体" w:hAnsi="宋体" w:eastAsia="宋体" w:cs="宋体"/>
          <w:color w:val="auto"/>
          <w:spacing w:val="6"/>
          <w:sz w:val="30"/>
          <w:szCs w:val="30"/>
          <w:u w:val="single"/>
        </w:rPr>
        <w:t xml:space="preserve">      </w:t>
      </w:r>
      <w:r>
        <w:rPr>
          <w:rFonts w:hint="eastAsia" w:ascii="宋体" w:hAnsi="宋体" w:eastAsia="宋体" w:cs="宋体"/>
          <w:color w:val="auto"/>
          <w:spacing w:val="6"/>
          <w:sz w:val="30"/>
          <w:szCs w:val="30"/>
        </w:rPr>
        <w:t>单位的</w:t>
      </w:r>
      <w:r>
        <w:rPr>
          <w:rFonts w:hint="eastAsia" w:ascii="宋体" w:hAnsi="宋体" w:eastAsia="宋体" w:cs="宋体"/>
          <w:color w:val="auto"/>
          <w:spacing w:val="6"/>
          <w:sz w:val="30"/>
          <w:szCs w:val="30"/>
          <w:u w:val="single"/>
        </w:rPr>
        <w:t xml:space="preserve">       </w:t>
      </w:r>
      <w:r>
        <w:rPr>
          <w:rFonts w:hint="eastAsia" w:ascii="宋体" w:hAnsi="宋体" w:eastAsia="宋体" w:cs="宋体"/>
          <w:color w:val="auto"/>
          <w:spacing w:val="6"/>
          <w:sz w:val="30"/>
          <w:szCs w:val="30"/>
        </w:rPr>
        <w:t>项目采购活动提供本单位制造的货物（由本单位承担工程/提供服务），或者提供其他残疾人福利性单位制造的货物（不包括使用非残疾人福利性单位注册商标的货物）。</w:t>
      </w:r>
    </w:p>
    <w:p w14:paraId="75594582">
      <w:pPr>
        <w:spacing w:line="560" w:lineRule="exact"/>
        <w:ind w:firstLine="504"/>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本单位对上述声明的真实性负责。如有虚假，将依法承担相应责任。</w:t>
      </w:r>
    </w:p>
    <w:p w14:paraId="19C827D2">
      <w:pPr>
        <w:spacing w:beforeLines="50" w:line="560" w:lineRule="exact"/>
        <w:ind w:firstLine="504"/>
        <w:jc w:val="center"/>
        <w:rPr>
          <w:rFonts w:hint="eastAsia" w:ascii="宋体" w:hAnsi="宋体" w:eastAsia="宋体" w:cs="宋体"/>
          <w:color w:val="auto"/>
          <w:spacing w:val="6"/>
        </w:rPr>
      </w:pPr>
      <w:r>
        <w:rPr>
          <w:rFonts w:hint="eastAsia" w:ascii="宋体" w:hAnsi="宋体" w:eastAsia="宋体" w:cs="宋体"/>
          <w:color w:val="auto"/>
          <w:spacing w:val="6"/>
        </w:rPr>
        <w:t xml:space="preserve">                </w:t>
      </w:r>
      <w:bookmarkStart w:id="167" w:name="_Toc17628_WPSOffice_Level3"/>
    </w:p>
    <w:p w14:paraId="66DFA2D4">
      <w:pPr>
        <w:spacing w:beforeLines="50" w:line="560" w:lineRule="exact"/>
        <w:ind w:firstLine="504"/>
        <w:jc w:val="center"/>
        <w:rPr>
          <w:rFonts w:hint="eastAsia" w:ascii="宋体" w:hAnsi="宋体" w:eastAsia="宋体" w:cs="宋体"/>
          <w:color w:val="auto"/>
          <w:spacing w:val="6"/>
          <w:sz w:val="30"/>
          <w:szCs w:val="30"/>
        </w:rPr>
      </w:pPr>
      <w:r>
        <w:rPr>
          <w:rFonts w:hint="eastAsia" w:ascii="宋体" w:hAnsi="宋体" w:eastAsia="宋体" w:cs="宋体"/>
          <w:color w:val="auto"/>
          <w:spacing w:val="6"/>
        </w:rPr>
        <w:t xml:space="preserve">         </w:t>
      </w:r>
      <w:r>
        <w:rPr>
          <w:rFonts w:hint="eastAsia" w:ascii="宋体" w:hAnsi="宋体" w:eastAsia="宋体" w:cs="宋体"/>
          <w:color w:val="auto"/>
          <w:spacing w:val="6"/>
          <w:sz w:val="30"/>
          <w:szCs w:val="30"/>
        </w:rPr>
        <w:t xml:space="preserve">       单位名称：</w:t>
      </w:r>
      <w:r>
        <w:rPr>
          <w:rFonts w:hint="eastAsia" w:ascii="宋体" w:hAnsi="宋体" w:eastAsia="宋体" w:cs="宋体"/>
          <w:color w:val="auto"/>
          <w:spacing w:val="6"/>
          <w:sz w:val="30"/>
          <w:szCs w:val="30"/>
          <w:u w:val="single"/>
        </w:rPr>
        <w:t xml:space="preserve">       </w:t>
      </w:r>
      <w:r>
        <w:rPr>
          <w:rFonts w:hint="eastAsia" w:ascii="宋体" w:hAnsi="宋体" w:eastAsia="宋体" w:cs="宋体"/>
          <w:color w:val="auto"/>
          <w:spacing w:val="6"/>
          <w:sz w:val="30"/>
          <w:szCs w:val="30"/>
        </w:rPr>
        <w:t>（公章）</w:t>
      </w:r>
      <w:bookmarkEnd w:id="167"/>
    </w:p>
    <w:p w14:paraId="3B99802F">
      <w:pPr>
        <w:spacing w:beforeLines="50" w:line="560" w:lineRule="exact"/>
        <w:ind w:firstLine="504"/>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w:t>
      </w:r>
      <w:bookmarkStart w:id="168" w:name="_Toc32124_WPSOffice_Level3"/>
      <w:r>
        <w:rPr>
          <w:rFonts w:hint="eastAsia" w:ascii="宋体" w:hAnsi="宋体" w:eastAsia="宋体" w:cs="宋体"/>
          <w:color w:val="auto"/>
          <w:spacing w:val="6"/>
          <w:sz w:val="30"/>
          <w:szCs w:val="30"/>
        </w:rPr>
        <w:t>法定代表人或委托代理人：</w:t>
      </w:r>
      <w:r>
        <w:rPr>
          <w:rFonts w:hint="eastAsia" w:ascii="宋体" w:hAnsi="宋体" w:eastAsia="宋体" w:cs="宋体"/>
          <w:color w:val="auto"/>
          <w:spacing w:val="6"/>
          <w:sz w:val="30"/>
          <w:szCs w:val="30"/>
          <w:u w:val="single"/>
        </w:rPr>
        <w:t xml:space="preserve">       </w:t>
      </w:r>
      <w:r>
        <w:rPr>
          <w:rFonts w:hint="eastAsia" w:ascii="宋体" w:hAnsi="宋体" w:eastAsia="宋体" w:cs="宋体"/>
          <w:color w:val="auto"/>
          <w:spacing w:val="6"/>
          <w:sz w:val="30"/>
          <w:szCs w:val="30"/>
        </w:rPr>
        <w:t>（签字或盖章）</w:t>
      </w:r>
      <w:bookmarkEnd w:id="168"/>
    </w:p>
    <w:p w14:paraId="5666FD70">
      <w:pPr>
        <w:spacing w:beforeLines="50" w:line="560" w:lineRule="exact"/>
        <w:ind w:firstLine="504"/>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w:t>
      </w:r>
      <w:bookmarkStart w:id="169" w:name="_Toc1871_WPSOffice_Level3"/>
      <w:r>
        <w:rPr>
          <w:rFonts w:hint="eastAsia" w:ascii="宋体" w:hAnsi="宋体" w:eastAsia="宋体" w:cs="宋体"/>
          <w:color w:val="auto"/>
          <w:spacing w:val="6"/>
          <w:sz w:val="30"/>
          <w:szCs w:val="30"/>
        </w:rPr>
        <w:t>年   月  日</w:t>
      </w:r>
      <w:bookmarkEnd w:id="169"/>
    </w:p>
    <w:p w14:paraId="0EA2F207">
      <w:pPr>
        <w:adjustRightInd w:val="0"/>
        <w:snapToGrid w:val="0"/>
        <w:spacing w:line="560" w:lineRule="exact"/>
        <w:ind w:firstLine="664"/>
        <w:rPr>
          <w:rFonts w:hint="eastAsia" w:ascii="宋体" w:hAnsi="宋体" w:eastAsia="宋体" w:cs="宋体"/>
          <w:color w:val="auto"/>
          <w:spacing w:val="6"/>
          <w:sz w:val="32"/>
          <w:szCs w:val="32"/>
        </w:rPr>
      </w:pPr>
    </w:p>
    <w:p w14:paraId="4B2E5EAC">
      <w:pPr>
        <w:adjustRightInd w:val="0"/>
        <w:snapToGrid w:val="0"/>
        <w:spacing w:line="560" w:lineRule="exact"/>
        <w:ind w:firstLine="664"/>
        <w:rPr>
          <w:rFonts w:hint="eastAsia" w:ascii="宋体" w:hAnsi="宋体" w:eastAsia="宋体" w:cs="宋体"/>
          <w:color w:val="auto"/>
          <w:spacing w:val="6"/>
          <w:sz w:val="32"/>
          <w:szCs w:val="32"/>
        </w:rPr>
      </w:pPr>
    </w:p>
    <w:p w14:paraId="233CF9F9">
      <w:pPr>
        <w:adjustRightInd w:val="0"/>
        <w:snapToGrid w:val="0"/>
        <w:spacing w:beforeLines="50" w:line="560" w:lineRule="exact"/>
        <w:ind w:firstLine="444"/>
        <w:rPr>
          <w:rFonts w:hint="eastAsia" w:ascii="宋体" w:hAnsi="宋体" w:eastAsia="宋体" w:cs="宋体"/>
          <w:color w:val="auto"/>
          <w:spacing w:val="6"/>
          <w:szCs w:val="21"/>
        </w:rPr>
      </w:pPr>
    </w:p>
    <w:p w14:paraId="7CA9977D">
      <w:pPr>
        <w:adjustRightInd w:val="0"/>
        <w:snapToGrid w:val="0"/>
        <w:spacing w:beforeLines="50" w:line="560" w:lineRule="exact"/>
        <w:ind w:firstLine="444"/>
        <w:rPr>
          <w:rFonts w:hint="eastAsia" w:ascii="宋体" w:hAnsi="宋体" w:eastAsia="宋体" w:cs="宋体"/>
          <w:color w:val="auto"/>
          <w:spacing w:val="6"/>
          <w:szCs w:val="21"/>
        </w:rPr>
      </w:pPr>
    </w:p>
    <w:p w14:paraId="3E391DD1">
      <w:pPr>
        <w:adjustRightInd w:val="0"/>
        <w:snapToGrid w:val="0"/>
        <w:spacing w:beforeLines="50" w:line="560" w:lineRule="exact"/>
        <w:ind w:firstLine="444"/>
        <w:rPr>
          <w:rFonts w:hint="eastAsia" w:ascii="宋体" w:hAnsi="宋体" w:eastAsia="宋体" w:cs="宋体"/>
          <w:color w:val="auto"/>
          <w:spacing w:val="6"/>
          <w:szCs w:val="21"/>
        </w:rPr>
      </w:pPr>
    </w:p>
    <w:p w14:paraId="6E120DE3">
      <w:pPr>
        <w:rPr>
          <w:rFonts w:hint="eastAsia" w:ascii="宋体" w:hAnsi="宋体" w:eastAsia="宋体" w:cs="宋体"/>
          <w:b/>
          <w:color w:val="auto"/>
          <w:sz w:val="30"/>
          <w:szCs w:val="30"/>
        </w:rPr>
      </w:pPr>
      <w:bookmarkStart w:id="170" w:name="_Toc9477"/>
      <w:bookmarkStart w:id="171" w:name="_Toc30801"/>
      <w:r>
        <w:rPr>
          <w:rFonts w:hint="eastAsia" w:ascii="宋体" w:hAnsi="宋体" w:eastAsia="宋体" w:cs="宋体"/>
          <w:b/>
          <w:color w:val="auto"/>
          <w:sz w:val="30"/>
          <w:szCs w:val="30"/>
        </w:rPr>
        <w:br w:type="page"/>
      </w:r>
    </w:p>
    <w:p w14:paraId="4569B513">
      <w:pPr>
        <w:adjustRightInd w:val="0"/>
        <w:snapToGrid w:val="0"/>
        <w:spacing w:beforeLines="50" w:line="560" w:lineRule="exact"/>
        <w:ind w:firstLine="562"/>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4.监狱企业证明资料</w:t>
      </w:r>
      <w:bookmarkEnd w:id="170"/>
      <w:bookmarkEnd w:id="171"/>
    </w:p>
    <w:p w14:paraId="28B58C53">
      <w:pPr>
        <w:adjustRightInd w:val="0"/>
        <w:snapToGrid w:val="0"/>
        <w:spacing w:line="560" w:lineRule="exact"/>
        <w:ind w:firstLine="506"/>
        <w:jc w:val="center"/>
        <w:rPr>
          <w:rFonts w:hint="eastAsia" w:ascii="宋体" w:hAnsi="宋体" w:eastAsia="宋体" w:cs="宋体"/>
          <w:color w:val="auto"/>
          <w:sz w:val="30"/>
          <w:szCs w:val="30"/>
        </w:rPr>
      </w:pPr>
      <w:bookmarkStart w:id="172" w:name="_Toc25903_WPSOffice_Level3"/>
      <w:bookmarkStart w:id="173" w:name="_Toc28022_WPSOffice_Level3"/>
      <w:r>
        <w:rPr>
          <w:rFonts w:hint="eastAsia" w:ascii="宋体" w:hAnsi="宋体" w:eastAsia="宋体" w:cs="宋体"/>
          <w:b/>
          <w:color w:val="auto"/>
          <w:spacing w:val="6"/>
          <w:sz w:val="30"/>
          <w:szCs w:val="30"/>
        </w:rPr>
        <w:t>(不属于监狱企业的无需提供)</w:t>
      </w:r>
      <w:bookmarkEnd w:id="172"/>
      <w:bookmarkEnd w:id="173"/>
    </w:p>
    <w:p w14:paraId="3B0275EF">
      <w:pPr>
        <w:adjustRightInd w:val="0"/>
        <w:snapToGrid w:val="0"/>
        <w:spacing w:line="560" w:lineRule="exact"/>
        <w:ind w:firstLine="504"/>
        <w:rPr>
          <w:rFonts w:hint="eastAsia" w:ascii="宋体" w:hAnsi="宋体" w:eastAsia="宋体" w:cs="宋体"/>
          <w:color w:val="auto"/>
          <w:sz w:val="30"/>
          <w:szCs w:val="30"/>
        </w:rPr>
      </w:pPr>
      <w:r>
        <w:rPr>
          <w:rFonts w:hint="eastAsia" w:ascii="宋体" w:hAnsi="宋体" w:eastAsia="宋体" w:cs="宋体"/>
          <w:bCs/>
          <w:color w:val="auto"/>
          <w:spacing w:val="6"/>
          <w:sz w:val="30"/>
          <w:szCs w:val="30"/>
        </w:rPr>
        <w:t>备注：</w:t>
      </w:r>
      <w:r>
        <w:rPr>
          <w:rFonts w:hint="eastAsia" w:ascii="宋体" w:hAnsi="宋体" w:eastAsia="宋体" w:cs="宋体"/>
          <w:color w:val="auto"/>
          <w:sz w:val="30"/>
          <w:szCs w:val="30"/>
        </w:rPr>
        <w:t>按</w:t>
      </w:r>
      <w:r>
        <w:rPr>
          <w:rFonts w:hint="eastAsia" w:ascii="宋体" w:hAnsi="宋体" w:eastAsia="宋体" w:cs="宋体"/>
          <w:color w:val="auto"/>
          <w:spacing w:val="6"/>
          <w:sz w:val="30"/>
          <w:szCs w:val="30"/>
        </w:rPr>
        <w:t>《</w:t>
      </w:r>
      <w:r>
        <w:rPr>
          <w:rFonts w:hint="eastAsia" w:ascii="宋体" w:hAnsi="宋体" w:eastAsia="宋体" w:cs="宋体"/>
          <w:color w:val="auto"/>
          <w:sz w:val="30"/>
          <w:szCs w:val="30"/>
        </w:rPr>
        <w:t>财政部 司法部关于政府采购支持监狱企业发展有关问题的通知</w:t>
      </w:r>
      <w:r>
        <w:rPr>
          <w:rFonts w:hint="eastAsia" w:ascii="宋体" w:hAnsi="宋体" w:eastAsia="宋体" w:cs="宋体"/>
          <w:color w:val="auto"/>
          <w:spacing w:val="6"/>
          <w:sz w:val="30"/>
          <w:szCs w:val="30"/>
        </w:rPr>
        <w:t>》</w:t>
      </w:r>
      <w:r>
        <w:rPr>
          <w:rFonts w:hint="eastAsia" w:ascii="宋体" w:hAnsi="宋体" w:eastAsia="宋体" w:cs="宋体"/>
          <w:color w:val="auto"/>
          <w:sz w:val="30"/>
          <w:szCs w:val="30"/>
        </w:rPr>
        <w:t>(财库〔2014〕68号)文件规定提供证明文件（复印件）。</w:t>
      </w:r>
    </w:p>
    <w:p w14:paraId="02F13E59">
      <w:pPr>
        <w:adjustRightInd w:val="0"/>
        <w:snapToGrid w:val="0"/>
        <w:spacing w:line="560" w:lineRule="exact"/>
        <w:ind w:firstLine="480"/>
        <w:rPr>
          <w:rFonts w:hint="eastAsia" w:ascii="宋体" w:hAnsi="宋体" w:eastAsia="宋体" w:cs="宋体"/>
          <w:color w:val="auto"/>
        </w:rPr>
      </w:pPr>
    </w:p>
    <w:p w14:paraId="04F80506">
      <w:pPr>
        <w:adjustRightInd w:val="0"/>
        <w:snapToGrid w:val="0"/>
        <w:spacing w:line="560" w:lineRule="exact"/>
        <w:ind w:firstLine="480"/>
        <w:rPr>
          <w:rFonts w:hint="eastAsia" w:ascii="宋体" w:hAnsi="宋体" w:eastAsia="宋体" w:cs="宋体"/>
          <w:color w:val="auto"/>
        </w:rPr>
      </w:pPr>
    </w:p>
    <w:p w14:paraId="697634F9">
      <w:pPr>
        <w:spacing w:beforeLines="50" w:line="560" w:lineRule="exact"/>
        <w:ind w:firstLine="480"/>
        <w:jc w:val="center"/>
        <w:rPr>
          <w:rFonts w:hint="eastAsia" w:ascii="宋体" w:hAnsi="宋体" w:eastAsia="宋体" w:cs="宋体"/>
          <w:bCs/>
          <w:color w:val="auto"/>
          <w:sz w:val="30"/>
          <w:szCs w:val="30"/>
        </w:rPr>
      </w:pPr>
      <w:r>
        <w:rPr>
          <w:rFonts w:hint="eastAsia" w:ascii="宋体" w:hAnsi="宋体" w:eastAsia="宋体" w:cs="宋体"/>
          <w:bCs/>
          <w:color w:val="auto"/>
        </w:rPr>
        <w:t xml:space="preserve">        </w:t>
      </w:r>
      <w:r>
        <w:rPr>
          <w:rFonts w:hint="eastAsia" w:ascii="宋体" w:hAnsi="宋体" w:eastAsia="宋体" w:cs="宋体"/>
          <w:bCs/>
          <w:color w:val="auto"/>
          <w:sz w:val="30"/>
          <w:szCs w:val="30"/>
        </w:rPr>
        <w:t xml:space="preserve">         </w:t>
      </w:r>
      <w:bookmarkStart w:id="174" w:name="_Toc22071_WPSOffice_Level3"/>
      <w:r>
        <w:rPr>
          <w:rFonts w:hint="eastAsia" w:ascii="宋体" w:hAnsi="宋体" w:eastAsia="宋体" w:cs="宋体"/>
          <w:bCs/>
          <w:color w:val="auto"/>
          <w:sz w:val="30"/>
          <w:szCs w:val="30"/>
        </w:rPr>
        <w:t>单位名称：</w:t>
      </w:r>
      <w:r>
        <w:rPr>
          <w:rFonts w:hint="eastAsia" w:ascii="宋体" w:hAnsi="宋体" w:eastAsia="宋体" w:cs="宋体"/>
          <w:bCs/>
          <w:color w:val="auto"/>
          <w:sz w:val="30"/>
          <w:szCs w:val="30"/>
          <w:u w:val="single"/>
        </w:rPr>
        <w:t xml:space="preserve">       </w:t>
      </w:r>
      <w:r>
        <w:rPr>
          <w:rFonts w:hint="eastAsia" w:ascii="宋体" w:hAnsi="宋体" w:eastAsia="宋体" w:cs="宋体"/>
          <w:bCs/>
          <w:color w:val="auto"/>
          <w:sz w:val="30"/>
          <w:szCs w:val="30"/>
        </w:rPr>
        <w:t>（公章）</w:t>
      </w:r>
      <w:bookmarkEnd w:id="174"/>
    </w:p>
    <w:p w14:paraId="10C1A343">
      <w:pPr>
        <w:spacing w:beforeLines="50" w:line="560" w:lineRule="exact"/>
        <w:ind w:firstLine="480"/>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 xml:space="preserve">        </w:t>
      </w:r>
      <w:bookmarkStart w:id="175" w:name="_Toc11539_WPSOffice_Level3"/>
      <w:r>
        <w:rPr>
          <w:rFonts w:hint="eastAsia" w:ascii="宋体" w:hAnsi="宋体" w:eastAsia="宋体" w:cs="宋体"/>
          <w:bCs/>
          <w:color w:val="auto"/>
          <w:sz w:val="30"/>
          <w:szCs w:val="30"/>
        </w:rPr>
        <w:t>法定代表人或委托代理人：</w:t>
      </w:r>
      <w:r>
        <w:rPr>
          <w:rFonts w:hint="eastAsia" w:ascii="宋体" w:hAnsi="宋体" w:eastAsia="宋体" w:cs="宋体"/>
          <w:bCs/>
          <w:color w:val="auto"/>
          <w:sz w:val="30"/>
          <w:szCs w:val="30"/>
          <w:u w:val="single"/>
        </w:rPr>
        <w:t xml:space="preserve">       </w:t>
      </w:r>
      <w:r>
        <w:rPr>
          <w:rFonts w:hint="eastAsia" w:ascii="宋体" w:hAnsi="宋体" w:eastAsia="宋体" w:cs="宋体"/>
          <w:bCs/>
          <w:color w:val="auto"/>
          <w:sz w:val="30"/>
          <w:szCs w:val="30"/>
        </w:rPr>
        <w:t>（签字或盖章）</w:t>
      </w:r>
      <w:bookmarkEnd w:id="175"/>
    </w:p>
    <w:p w14:paraId="62A6F0F6">
      <w:pPr>
        <w:spacing w:beforeLines="50" w:line="560" w:lineRule="exact"/>
        <w:ind w:firstLine="480"/>
        <w:jc w:val="center"/>
        <w:rPr>
          <w:rFonts w:hint="eastAsia" w:ascii="宋体" w:hAnsi="宋体" w:eastAsia="宋体" w:cs="宋体"/>
          <w:color w:val="auto"/>
          <w:spacing w:val="6"/>
          <w:sz w:val="30"/>
          <w:szCs w:val="30"/>
        </w:rPr>
      </w:pPr>
      <w:r>
        <w:rPr>
          <w:rFonts w:hint="eastAsia" w:ascii="宋体" w:hAnsi="宋体" w:eastAsia="宋体" w:cs="宋体"/>
          <w:bCs/>
          <w:color w:val="auto"/>
          <w:sz w:val="30"/>
          <w:szCs w:val="30"/>
        </w:rPr>
        <w:t xml:space="preserve">                                    </w:t>
      </w:r>
      <w:bookmarkStart w:id="176" w:name="_Toc3285_WPSOffice_Level3"/>
      <w:r>
        <w:rPr>
          <w:rFonts w:hint="eastAsia" w:ascii="宋体" w:hAnsi="宋体" w:eastAsia="宋体" w:cs="宋体"/>
          <w:bCs/>
          <w:color w:val="auto"/>
          <w:sz w:val="30"/>
          <w:szCs w:val="30"/>
        </w:rPr>
        <w:t>年   月  日</w:t>
      </w:r>
      <w:bookmarkEnd w:id="176"/>
    </w:p>
    <w:p w14:paraId="4C81CC43">
      <w:pPr>
        <w:pStyle w:val="25"/>
        <w:spacing w:before="0" w:after="0" w:line="520" w:lineRule="exact"/>
        <w:jc w:val="left"/>
        <w:outlineLvl w:val="1"/>
        <w:rPr>
          <w:rFonts w:hint="eastAsia" w:ascii="宋体" w:hAnsi="宋体" w:eastAsia="宋体" w:cs="宋体"/>
          <w:color w:val="auto"/>
          <w:sz w:val="30"/>
          <w:szCs w:val="30"/>
        </w:rPr>
      </w:pPr>
      <w:r>
        <w:rPr>
          <w:rFonts w:hint="eastAsia" w:ascii="宋体" w:hAnsi="宋体" w:eastAsia="宋体" w:cs="宋体"/>
          <w:color w:val="auto"/>
          <w:lang w:val="zh-CN"/>
        </w:rPr>
        <w:br w:type="page"/>
      </w:r>
      <w:bookmarkStart w:id="177" w:name="_Toc68160860"/>
      <w:bookmarkStart w:id="178" w:name="_Toc515908229"/>
      <w:bookmarkStart w:id="179" w:name="_Toc23693"/>
      <w:r>
        <w:rPr>
          <w:rFonts w:hint="eastAsia" w:ascii="宋体" w:hAnsi="宋体" w:eastAsia="宋体" w:cs="宋体"/>
          <w:color w:val="auto"/>
          <w:sz w:val="30"/>
          <w:szCs w:val="30"/>
        </w:rPr>
        <w:t>（18）</w:t>
      </w:r>
      <w:r>
        <w:rPr>
          <w:rFonts w:hint="eastAsia" w:ascii="宋体" w:hAnsi="宋体" w:eastAsia="宋体" w:cs="宋体"/>
          <w:color w:val="auto"/>
          <w:sz w:val="30"/>
          <w:szCs w:val="30"/>
          <w:lang w:val="zh-CN"/>
        </w:rPr>
        <w:t>投标人认为在其他方面有必要说明的事项</w:t>
      </w:r>
      <w:bookmarkEnd w:id="152"/>
      <w:bookmarkEnd w:id="177"/>
      <w:bookmarkEnd w:id="178"/>
      <w:bookmarkEnd w:id="179"/>
    </w:p>
    <w:p w14:paraId="60102C02">
      <w:pPr>
        <w:autoSpaceDE w:val="0"/>
        <w:autoSpaceDN w:val="0"/>
        <w:spacing w:line="520" w:lineRule="exact"/>
        <w:rPr>
          <w:rFonts w:hint="eastAsia" w:ascii="宋体" w:hAnsi="宋体" w:eastAsia="宋体" w:cs="宋体"/>
          <w:color w:val="auto"/>
          <w:kern w:val="0"/>
          <w:sz w:val="30"/>
          <w:szCs w:val="30"/>
          <w:lang w:val="zh-CN"/>
        </w:rPr>
      </w:pPr>
    </w:p>
    <w:p w14:paraId="2D86188B">
      <w:pPr>
        <w:autoSpaceDE w:val="0"/>
        <w:autoSpaceDN w:val="0"/>
        <w:spacing w:line="520" w:lineRule="exact"/>
        <w:jc w:val="center"/>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投标人认为在其他方面有必要说明的事项</w:t>
      </w:r>
    </w:p>
    <w:p w14:paraId="6AA85585">
      <w:pPr>
        <w:autoSpaceDE w:val="0"/>
        <w:autoSpaceDN w:val="0"/>
        <w:spacing w:line="520" w:lineRule="exact"/>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格式自定</w:t>
      </w:r>
    </w:p>
    <w:p w14:paraId="302EB23D">
      <w:pPr>
        <w:pStyle w:val="25"/>
        <w:spacing w:before="0" w:after="0" w:line="520" w:lineRule="exact"/>
        <w:rPr>
          <w:rFonts w:hint="eastAsia" w:ascii="宋体" w:hAnsi="宋体" w:eastAsia="宋体" w:cs="宋体"/>
          <w:color w:val="auto"/>
          <w:szCs w:val="36"/>
          <w:lang w:val="zh-CN"/>
        </w:rPr>
      </w:pPr>
      <w:r>
        <w:rPr>
          <w:rFonts w:hint="eastAsia" w:ascii="宋体" w:hAnsi="宋体" w:eastAsia="宋体" w:cs="宋体"/>
          <w:color w:val="auto"/>
          <w:lang w:val="zh-CN"/>
        </w:rPr>
        <w:br w:type="page"/>
      </w:r>
      <w:bookmarkStart w:id="180" w:name="_Toc515908230"/>
      <w:bookmarkStart w:id="181" w:name="_Toc12374"/>
      <w:bookmarkStart w:id="182" w:name="_Toc18752"/>
      <w:r>
        <w:rPr>
          <w:rFonts w:hint="eastAsia" w:ascii="宋体" w:hAnsi="宋体" w:eastAsia="宋体" w:cs="宋体"/>
          <w:color w:val="auto"/>
          <w:szCs w:val="36"/>
          <w:lang w:val="zh-CN"/>
        </w:rPr>
        <w:t>第五部分  采购项目要求及技术参数</w:t>
      </w:r>
      <w:bookmarkEnd w:id="180"/>
      <w:bookmarkEnd w:id="181"/>
      <w:bookmarkEnd w:id="182"/>
    </w:p>
    <w:p w14:paraId="141142F2">
      <w:pPr>
        <w:pStyle w:val="25"/>
        <w:keepNext w:val="0"/>
        <w:keepLines w:val="0"/>
        <w:pageBreakBefore w:val="0"/>
        <w:widowControl w:val="0"/>
        <w:kinsoku/>
        <w:wordWrap/>
        <w:overflowPunct/>
        <w:topLinePunct w:val="0"/>
        <w:bidi w:val="0"/>
        <w:snapToGrid/>
        <w:spacing w:before="0" w:after="0" w:line="460" w:lineRule="exact"/>
        <w:textAlignment w:val="auto"/>
        <w:outlineLvl w:val="1"/>
        <w:rPr>
          <w:rFonts w:hint="eastAsia" w:ascii="宋体" w:hAnsi="宋体" w:eastAsia="宋体" w:cs="宋体"/>
          <w:b/>
          <w:bCs/>
          <w:color w:val="auto"/>
          <w:kern w:val="0"/>
          <w:sz w:val="30"/>
          <w:szCs w:val="30"/>
          <w:lang w:val="zh-CN" w:eastAsia="zh-CN" w:bidi="ar-SA"/>
        </w:rPr>
      </w:pPr>
      <w:bookmarkStart w:id="183" w:name="_Toc4980"/>
      <w:bookmarkStart w:id="184" w:name="_Toc9451"/>
      <w:bookmarkStart w:id="185" w:name="_Toc11277"/>
      <w:bookmarkStart w:id="186" w:name="_Toc24220"/>
      <w:bookmarkStart w:id="187" w:name="_Toc32698"/>
      <w:bookmarkStart w:id="188" w:name="_Toc4601"/>
      <w:bookmarkStart w:id="189" w:name="_Toc68160864"/>
      <w:bookmarkStart w:id="190" w:name="_Toc515908234"/>
      <w:bookmarkStart w:id="191" w:name="_Toc18880"/>
      <w:bookmarkStart w:id="192" w:name="_Toc4950"/>
      <w:r>
        <w:rPr>
          <w:rFonts w:hint="eastAsia" w:ascii="宋体" w:hAnsi="宋体" w:cs="宋体"/>
          <w:color w:val="auto"/>
          <w:sz w:val="32"/>
          <w:szCs w:val="28"/>
          <w:highlight w:val="none"/>
          <w:lang w:val="zh-CN"/>
        </w:rPr>
        <w:t>（一）投标要求</w:t>
      </w:r>
      <w:bookmarkEnd w:id="183"/>
      <w:bookmarkEnd w:id="184"/>
      <w:bookmarkEnd w:id="185"/>
      <w:bookmarkEnd w:id="186"/>
    </w:p>
    <w:p w14:paraId="266A09BB">
      <w:pPr>
        <w:pStyle w:val="25"/>
        <w:keepNext w:val="0"/>
        <w:keepLines w:val="0"/>
        <w:pageBreakBefore w:val="0"/>
        <w:widowControl w:val="0"/>
        <w:kinsoku/>
        <w:wordWrap/>
        <w:overflowPunct/>
        <w:topLinePunct w:val="0"/>
        <w:bidi w:val="0"/>
        <w:adjustRightInd/>
        <w:snapToGrid/>
        <w:spacing w:before="0" w:after="0" w:line="560" w:lineRule="exact"/>
        <w:jc w:val="left"/>
        <w:textAlignment w:val="auto"/>
        <w:outlineLvl w:val="1"/>
        <w:rPr>
          <w:rFonts w:hint="eastAsia" w:ascii="宋体" w:hAnsi="宋体" w:eastAsia="宋体" w:cs="宋体"/>
          <w:b/>
          <w:bCs/>
          <w:color w:val="auto"/>
          <w:kern w:val="0"/>
          <w:sz w:val="30"/>
          <w:szCs w:val="30"/>
          <w:lang w:val="zh-CN" w:eastAsia="zh-CN" w:bidi="ar-SA"/>
        </w:rPr>
      </w:pPr>
      <w:r>
        <w:rPr>
          <w:rFonts w:hint="eastAsia" w:ascii="宋体" w:hAnsi="宋体" w:eastAsia="宋体" w:cs="宋体"/>
          <w:b/>
          <w:bCs/>
          <w:color w:val="auto"/>
          <w:kern w:val="0"/>
          <w:sz w:val="30"/>
          <w:szCs w:val="30"/>
          <w:lang w:val="zh-CN" w:eastAsia="zh-CN" w:bidi="ar-SA"/>
        </w:rPr>
        <w:t>1.投标说明</w:t>
      </w:r>
      <w:bookmarkEnd w:id="187"/>
      <w:bookmarkEnd w:id="188"/>
    </w:p>
    <w:p w14:paraId="66553CE1">
      <w:pPr>
        <w:pStyle w:val="25"/>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宋体" w:hAnsi="宋体" w:eastAsia="宋体" w:cs="宋体"/>
          <w:b w:val="0"/>
          <w:bCs w:val="0"/>
          <w:color w:val="auto"/>
          <w:kern w:val="0"/>
          <w:sz w:val="30"/>
          <w:szCs w:val="30"/>
          <w:lang w:val="zh-CN" w:eastAsia="zh-CN" w:bidi="ar-SA"/>
        </w:rPr>
      </w:pPr>
      <w:r>
        <w:rPr>
          <w:rFonts w:hint="eastAsia" w:ascii="宋体" w:hAnsi="宋体" w:eastAsia="宋体" w:cs="宋体"/>
          <w:b w:val="0"/>
          <w:bCs w:val="0"/>
          <w:color w:val="auto"/>
          <w:kern w:val="0"/>
          <w:sz w:val="30"/>
          <w:szCs w:val="30"/>
          <w:lang w:val="zh-CN" w:eastAsia="zh-CN" w:bidi="ar-SA"/>
        </w:rPr>
        <w:t>1.1</w:t>
      </w:r>
      <w:r>
        <w:rPr>
          <w:rFonts w:hint="eastAsia" w:ascii="宋体" w:hAnsi="宋体" w:eastAsia="宋体" w:cs="宋体"/>
          <w:b w:val="0"/>
          <w:bCs w:val="0"/>
          <w:color w:val="auto"/>
          <w:kern w:val="0"/>
          <w:sz w:val="30"/>
          <w:szCs w:val="30"/>
          <w:lang w:val="en-US" w:eastAsia="zh-CN" w:bidi="ar-SA"/>
        </w:rPr>
        <w:t xml:space="preserve"> </w:t>
      </w:r>
      <w:r>
        <w:rPr>
          <w:rFonts w:hint="eastAsia" w:ascii="宋体" w:hAnsi="宋体" w:eastAsia="宋体" w:cs="宋体"/>
          <w:b w:val="0"/>
          <w:bCs w:val="0"/>
          <w:color w:val="auto"/>
          <w:kern w:val="0"/>
          <w:sz w:val="30"/>
          <w:szCs w:val="30"/>
          <w:lang w:val="zh-CN" w:eastAsia="zh-CN" w:bidi="ar-SA"/>
        </w:rPr>
        <w:t>投标人可以按照招标文件规定的包号选择投标，但必须对所投包号中的所有内容作为一个整体进行投标，不能拆分或少报。否则，投标无效。</w:t>
      </w:r>
    </w:p>
    <w:p w14:paraId="5A9AFC94">
      <w:pPr>
        <w:pStyle w:val="25"/>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宋体" w:hAnsi="宋体" w:eastAsia="宋体" w:cs="宋体"/>
          <w:b w:val="0"/>
          <w:bCs w:val="0"/>
          <w:color w:val="auto"/>
          <w:kern w:val="0"/>
          <w:sz w:val="30"/>
          <w:szCs w:val="30"/>
          <w:lang w:val="zh-CN" w:eastAsia="zh-CN" w:bidi="ar-SA"/>
        </w:rPr>
      </w:pPr>
      <w:r>
        <w:rPr>
          <w:rFonts w:hint="eastAsia" w:ascii="宋体" w:hAnsi="宋体" w:eastAsia="宋体" w:cs="宋体"/>
          <w:b w:val="0"/>
          <w:bCs w:val="0"/>
          <w:color w:val="auto"/>
          <w:kern w:val="0"/>
          <w:sz w:val="30"/>
          <w:szCs w:val="30"/>
          <w:lang w:val="zh-CN" w:eastAsia="zh-CN" w:bidi="ar-SA"/>
        </w:rPr>
        <w:t>1.2</w:t>
      </w:r>
      <w:r>
        <w:rPr>
          <w:rFonts w:hint="eastAsia" w:ascii="宋体" w:hAnsi="宋体" w:eastAsia="宋体" w:cs="宋体"/>
          <w:b w:val="0"/>
          <w:bCs w:val="0"/>
          <w:color w:val="auto"/>
          <w:kern w:val="0"/>
          <w:sz w:val="30"/>
          <w:szCs w:val="30"/>
          <w:lang w:val="en-US" w:eastAsia="zh-CN" w:bidi="ar-SA"/>
        </w:rPr>
        <w:t xml:space="preserve"> </w:t>
      </w:r>
      <w:r>
        <w:rPr>
          <w:rFonts w:hint="eastAsia" w:ascii="宋体" w:hAnsi="宋体" w:eastAsia="宋体" w:cs="宋体"/>
          <w:b w:val="0"/>
          <w:bCs w:val="0"/>
          <w:color w:val="auto"/>
          <w:kern w:val="0"/>
          <w:sz w:val="30"/>
          <w:szCs w:val="30"/>
          <w:lang w:val="zh-CN" w:eastAsia="zh-CN" w:bidi="ar-SA"/>
        </w:rPr>
        <w:t>“投标产品技术参数、指标”必须与投标文件中提供的产品</w:t>
      </w:r>
      <w:r>
        <w:rPr>
          <w:rFonts w:hint="eastAsia" w:ascii="宋体" w:hAnsi="宋体" w:eastAsia="宋体" w:cs="宋体"/>
          <w:b w:val="0"/>
          <w:bCs w:val="0"/>
          <w:color w:val="auto"/>
          <w:kern w:val="0"/>
          <w:sz w:val="30"/>
          <w:szCs w:val="30"/>
          <w:lang w:val="en-US" w:eastAsia="zh-CN" w:bidi="ar-SA"/>
        </w:rPr>
        <w:t>相关支撑</w:t>
      </w:r>
      <w:r>
        <w:rPr>
          <w:rFonts w:hint="eastAsia" w:ascii="宋体" w:hAnsi="宋体" w:eastAsia="宋体" w:cs="宋体"/>
          <w:b w:val="0"/>
          <w:bCs w:val="0"/>
          <w:color w:val="auto"/>
          <w:kern w:val="0"/>
          <w:sz w:val="30"/>
          <w:szCs w:val="30"/>
          <w:lang w:val="zh-CN" w:eastAsia="zh-CN" w:bidi="ar-SA"/>
        </w:rPr>
        <w:t>材料的实质性响应情况相一致。若在评标环节发现该项与投标文件中提供的产品</w:t>
      </w:r>
      <w:r>
        <w:rPr>
          <w:rFonts w:hint="eastAsia" w:ascii="宋体" w:hAnsi="宋体" w:eastAsia="宋体" w:cs="宋体"/>
          <w:b w:val="0"/>
          <w:bCs w:val="0"/>
          <w:color w:val="auto"/>
          <w:kern w:val="0"/>
          <w:sz w:val="30"/>
          <w:szCs w:val="30"/>
          <w:lang w:val="en-US" w:eastAsia="zh-CN" w:bidi="ar-SA"/>
        </w:rPr>
        <w:t>相关支撑材料</w:t>
      </w:r>
      <w:r>
        <w:rPr>
          <w:rFonts w:hint="eastAsia" w:ascii="宋体" w:hAnsi="宋体" w:eastAsia="宋体" w:cs="宋体"/>
          <w:b w:val="0"/>
          <w:bCs w:val="0"/>
          <w:color w:val="auto"/>
          <w:kern w:val="0"/>
          <w:sz w:val="30"/>
          <w:szCs w:val="30"/>
          <w:lang w:val="zh-CN" w:eastAsia="zh-CN" w:bidi="ar-SA"/>
        </w:rPr>
        <w:t>等证明材料的实质性响应情况不一致</w:t>
      </w:r>
      <w:r>
        <w:rPr>
          <w:rFonts w:hint="eastAsia" w:ascii="宋体" w:hAnsi="宋体" w:eastAsia="宋体" w:cs="宋体"/>
          <w:b w:val="0"/>
          <w:bCs w:val="0"/>
          <w:color w:val="auto"/>
          <w:kern w:val="0"/>
          <w:sz w:val="30"/>
          <w:szCs w:val="30"/>
          <w:lang w:val="en-US" w:eastAsia="zh-CN" w:bidi="ar-SA"/>
        </w:rPr>
        <w:t>且</w:t>
      </w:r>
      <w:r>
        <w:rPr>
          <w:rFonts w:hint="eastAsia" w:ascii="宋体" w:hAnsi="宋体" w:eastAsia="宋体" w:cs="宋体"/>
          <w:b w:val="0"/>
          <w:bCs w:val="0"/>
          <w:color w:val="auto"/>
          <w:kern w:val="0"/>
          <w:sz w:val="30"/>
          <w:szCs w:val="30"/>
          <w:lang w:val="zh-CN" w:eastAsia="zh-CN" w:bidi="ar-SA"/>
        </w:rPr>
        <w:t>直接复制招标文件“采购需求技术参数、指标”内容的，按无效投标处理。填写此表时以招标项目参数要求为基本投标要求，满足招标项目参数要求的指标需列出“</w:t>
      </w:r>
      <w:r>
        <w:rPr>
          <w:rFonts w:hint="eastAsia" w:ascii="宋体" w:hAnsi="宋体" w:eastAsia="宋体" w:cs="宋体"/>
          <w:b w:val="0"/>
          <w:bCs w:val="0"/>
          <w:color w:val="auto"/>
          <w:kern w:val="0"/>
          <w:sz w:val="30"/>
          <w:szCs w:val="30"/>
          <w:lang w:val="en-US" w:eastAsia="zh-CN" w:bidi="ar-SA"/>
        </w:rPr>
        <w:t>0</w:t>
      </w:r>
      <w:r>
        <w:rPr>
          <w:rFonts w:hint="eastAsia" w:ascii="宋体" w:hAnsi="宋体" w:eastAsia="宋体" w:cs="宋体"/>
          <w:b w:val="0"/>
          <w:bCs w:val="0"/>
          <w:color w:val="auto"/>
          <w:kern w:val="0"/>
          <w:sz w:val="30"/>
          <w:szCs w:val="30"/>
          <w:lang w:val="zh-CN" w:eastAsia="zh-CN" w:bidi="ar-SA"/>
        </w:rPr>
        <w:t>”；超出、不满足招标项目参数要求的指标需列出“+”、“-”偏差，并做出详细说明；如果只注明“+”、“-”或未填写，将视为该项指标不响应。</w:t>
      </w:r>
    </w:p>
    <w:p w14:paraId="67B09769">
      <w:pPr>
        <w:pStyle w:val="25"/>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宋体" w:hAnsi="宋体" w:eastAsia="宋体" w:cs="宋体"/>
          <w:b w:val="0"/>
          <w:bCs w:val="0"/>
          <w:color w:val="auto"/>
          <w:kern w:val="0"/>
          <w:sz w:val="30"/>
          <w:szCs w:val="30"/>
          <w:lang w:val="en-US" w:eastAsia="zh-CN" w:bidi="ar-SA"/>
        </w:rPr>
      </w:pPr>
      <w:r>
        <w:rPr>
          <w:rFonts w:hint="eastAsia" w:ascii="宋体" w:hAnsi="宋体" w:eastAsia="宋体" w:cs="宋体"/>
          <w:b w:val="0"/>
          <w:bCs w:val="0"/>
          <w:color w:val="auto"/>
          <w:kern w:val="0"/>
          <w:sz w:val="30"/>
          <w:szCs w:val="30"/>
          <w:lang w:val="en-US" w:eastAsia="zh-CN" w:bidi="ar-SA"/>
        </w:rPr>
        <w:t xml:space="preserve">1.3 </w:t>
      </w:r>
      <w:r>
        <w:rPr>
          <w:rFonts w:hint="eastAsia" w:ascii="宋体" w:hAnsi="宋体" w:eastAsia="宋体" w:cs="宋体"/>
          <w:b w:val="0"/>
          <w:bCs w:val="0"/>
          <w:color w:val="auto"/>
          <w:kern w:val="0"/>
          <w:sz w:val="30"/>
          <w:szCs w:val="30"/>
          <w:lang w:val="zh-CN" w:eastAsia="zh-CN" w:bidi="ar-SA"/>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04CA7B7">
      <w:pPr>
        <w:pStyle w:val="25"/>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宋体" w:hAnsi="宋体" w:eastAsia="宋体" w:cs="宋体"/>
          <w:b w:val="0"/>
          <w:bCs w:val="0"/>
          <w:color w:val="auto"/>
          <w:kern w:val="0"/>
          <w:sz w:val="30"/>
          <w:szCs w:val="30"/>
          <w:lang w:val="zh-CN" w:eastAsia="zh-CN" w:bidi="ar-SA"/>
        </w:rPr>
      </w:pPr>
      <w:r>
        <w:rPr>
          <w:rFonts w:hint="eastAsia" w:ascii="宋体" w:hAnsi="宋体" w:eastAsia="宋体" w:cs="宋体"/>
          <w:b w:val="0"/>
          <w:bCs w:val="0"/>
          <w:color w:val="auto"/>
          <w:kern w:val="0"/>
          <w:sz w:val="30"/>
          <w:szCs w:val="30"/>
          <w:lang w:val="en-US" w:eastAsia="zh-CN" w:bidi="ar-SA"/>
        </w:rPr>
        <w:t>1.4 所投产品或其任何一部分不得侵犯专利权、著作权、商标权和工业设计权等知识产权。</w:t>
      </w:r>
    </w:p>
    <w:p w14:paraId="00BB6F70">
      <w:pPr>
        <w:pStyle w:val="25"/>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宋体" w:hAnsi="宋体" w:eastAsia="宋体" w:cs="宋体"/>
          <w:b w:val="0"/>
          <w:bCs w:val="0"/>
          <w:color w:val="auto"/>
          <w:kern w:val="0"/>
          <w:sz w:val="30"/>
          <w:szCs w:val="30"/>
          <w:lang w:val="en-US" w:eastAsia="zh-CN" w:bidi="ar-SA"/>
        </w:rPr>
      </w:pPr>
      <w:r>
        <w:rPr>
          <w:rFonts w:hint="eastAsia" w:ascii="宋体" w:hAnsi="宋体" w:eastAsia="宋体" w:cs="宋体"/>
          <w:b w:val="0"/>
          <w:bCs w:val="0"/>
          <w:color w:val="auto"/>
          <w:kern w:val="0"/>
          <w:sz w:val="30"/>
          <w:szCs w:val="30"/>
          <w:lang w:val="en-US" w:eastAsia="zh-CN" w:bidi="ar-SA"/>
        </w:rPr>
        <w:t>1.5 项目中标后分包情况：不允许。</w:t>
      </w:r>
    </w:p>
    <w:p w14:paraId="59476107">
      <w:pPr>
        <w:pStyle w:val="25"/>
        <w:keepNext w:val="0"/>
        <w:keepLines w:val="0"/>
        <w:pageBreakBefore w:val="0"/>
        <w:widowControl w:val="0"/>
        <w:kinsoku/>
        <w:wordWrap/>
        <w:overflowPunct/>
        <w:topLinePunct w:val="0"/>
        <w:bidi w:val="0"/>
        <w:adjustRightInd/>
        <w:snapToGrid/>
        <w:spacing w:before="0" w:after="0" w:line="560" w:lineRule="exact"/>
        <w:jc w:val="left"/>
        <w:textAlignment w:val="auto"/>
        <w:outlineLvl w:val="1"/>
        <w:rPr>
          <w:rFonts w:hint="eastAsia" w:ascii="宋体" w:hAnsi="宋体" w:eastAsia="宋体" w:cs="宋体"/>
          <w:b/>
          <w:bCs/>
          <w:color w:val="auto"/>
          <w:kern w:val="0"/>
          <w:sz w:val="30"/>
          <w:szCs w:val="30"/>
          <w:lang w:val="zh-CN" w:eastAsia="zh-CN" w:bidi="ar-SA"/>
        </w:rPr>
      </w:pPr>
      <w:bookmarkStart w:id="193" w:name="_Toc26125"/>
      <w:bookmarkStart w:id="194" w:name="_Toc18956"/>
      <w:r>
        <w:rPr>
          <w:rFonts w:hint="eastAsia" w:ascii="宋体" w:hAnsi="宋体" w:eastAsia="宋体" w:cs="宋体"/>
          <w:b/>
          <w:bCs/>
          <w:color w:val="auto"/>
          <w:kern w:val="0"/>
          <w:sz w:val="30"/>
          <w:szCs w:val="30"/>
          <w:lang w:val="en-US" w:eastAsia="zh-CN" w:bidi="ar-SA"/>
        </w:rPr>
        <w:t>2.</w:t>
      </w:r>
      <w:bookmarkEnd w:id="193"/>
      <w:bookmarkStart w:id="195" w:name="_Toc1475"/>
      <w:r>
        <w:rPr>
          <w:rFonts w:hint="eastAsia" w:ascii="宋体" w:hAnsi="宋体" w:eastAsia="宋体" w:cs="宋体"/>
          <w:b/>
          <w:bCs/>
          <w:color w:val="auto"/>
          <w:kern w:val="0"/>
          <w:sz w:val="30"/>
          <w:szCs w:val="30"/>
          <w:lang w:val="zh-CN" w:eastAsia="zh-CN" w:bidi="ar-SA"/>
        </w:rPr>
        <w:t>重要指标</w:t>
      </w:r>
      <w:bookmarkEnd w:id="194"/>
      <w:bookmarkEnd w:id="195"/>
    </w:p>
    <w:p w14:paraId="370628C0">
      <w:pPr>
        <w:pStyle w:val="25"/>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宋体" w:hAnsi="宋体" w:eastAsia="宋体" w:cs="宋体"/>
          <w:b w:val="0"/>
          <w:bCs w:val="0"/>
          <w:color w:val="auto"/>
          <w:kern w:val="0"/>
          <w:sz w:val="30"/>
          <w:szCs w:val="30"/>
          <w:lang w:val="zh-CN" w:eastAsia="zh-CN" w:bidi="ar-SA"/>
        </w:rPr>
      </w:pPr>
      <w:r>
        <w:rPr>
          <w:rFonts w:hint="eastAsia" w:ascii="宋体" w:hAnsi="宋体" w:eastAsia="宋体" w:cs="宋体"/>
          <w:b w:val="0"/>
          <w:bCs w:val="0"/>
          <w:color w:val="auto"/>
          <w:kern w:val="0"/>
          <w:sz w:val="30"/>
          <w:szCs w:val="30"/>
          <w:lang w:val="en-US" w:eastAsia="zh-CN" w:bidi="ar-SA"/>
        </w:rPr>
        <w:t>2</w:t>
      </w:r>
      <w:r>
        <w:rPr>
          <w:rFonts w:hint="eastAsia" w:ascii="宋体" w:hAnsi="宋体" w:eastAsia="宋体" w:cs="宋体"/>
          <w:b w:val="0"/>
          <w:bCs w:val="0"/>
          <w:color w:val="auto"/>
          <w:kern w:val="0"/>
          <w:sz w:val="30"/>
          <w:szCs w:val="30"/>
          <w:lang w:val="zh-CN" w:eastAsia="zh-CN" w:bidi="ar-SA"/>
        </w:rPr>
        <w:t>.</w:t>
      </w:r>
      <w:r>
        <w:rPr>
          <w:rFonts w:hint="eastAsia" w:ascii="宋体" w:hAnsi="宋体" w:eastAsia="宋体" w:cs="宋体"/>
          <w:b w:val="0"/>
          <w:bCs w:val="0"/>
          <w:color w:val="auto"/>
          <w:kern w:val="0"/>
          <w:sz w:val="30"/>
          <w:szCs w:val="30"/>
          <w:lang w:val="en-US" w:eastAsia="zh-CN" w:bidi="ar-SA"/>
        </w:rPr>
        <w:t xml:space="preserve">1 </w:t>
      </w:r>
      <w:r>
        <w:rPr>
          <w:rFonts w:hint="eastAsia" w:ascii="宋体" w:hAnsi="宋体" w:eastAsia="宋体" w:cs="宋体"/>
          <w:b w:val="0"/>
          <w:bCs w:val="0"/>
          <w:color w:val="auto"/>
          <w:kern w:val="0"/>
          <w:sz w:val="30"/>
          <w:szCs w:val="30"/>
          <w:lang w:val="zh-CN" w:eastAsia="zh-CN" w:bidi="ar-SA"/>
        </w:rPr>
        <w:t>招标文件中凡需与原有设备、系统并机、兼容、匹配等要求的，请主动和采购人联系，取得原有设备、系统相关资料，相关接口费用包含在投标报价中。若有招标文件未提及或变更内容的，请及时与采购人或者采购代理机构联系。</w:t>
      </w:r>
    </w:p>
    <w:p w14:paraId="67D5B520">
      <w:pPr>
        <w:pStyle w:val="25"/>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1"/>
        <w:rPr>
          <w:rFonts w:hint="eastAsia" w:ascii="宋体" w:hAnsi="宋体" w:eastAsia="宋体" w:cs="宋体"/>
          <w:b w:val="0"/>
          <w:bCs w:val="0"/>
          <w:color w:val="auto"/>
          <w:kern w:val="0"/>
          <w:sz w:val="30"/>
          <w:szCs w:val="30"/>
          <w:lang w:val="zh-CN" w:eastAsia="zh-CN" w:bidi="ar-SA"/>
        </w:rPr>
      </w:pPr>
      <w:r>
        <w:rPr>
          <w:rFonts w:hint="eastAsia" w:ascii="宋体" w:hAnsi="宋体" w:eastAsia="宋体" w:cs="宋体"/>
          <w:b w:val="0"/>
          <w:bCs w:val="0"/>
          <w:color w:val="auto"/>
          <w:kern w:val="0"/>
          <w:sz w:val="30"/>
          <w:szCs w:val="30"/>
          <w:lang w:val="zh-CN" w:eastAsia="zh-CN" w:bidi="ar-SA"/>
        </w:rPr>
        <w:t>2.2 技术参数中除注明签订合同时提供的相关授权、服务承诺等资料以外，其余相关资料在投标时必须附在投标文件中。</w:t>
      </w:r>
    </w:p>
    <w:p w14:paraId="4765CA82">
      <w:pPr>
        <w:pStyle w:val="25"/>
        <w:keepNext w:val="0"/>
        <w:keepLines w:val="0"/>
        <w:pageBreakBefore w:val="0"/>
        <w:widowControl w:val="0"/>
        <w:kinsoku/>
        <w:wordWrap/>
        <w:overflowPunct/>
        <w:topLinePunct w:val="0"/>
        <w:bidi w:val="0"/>
        <w:adjustRightInd/>
        <w:snapToGrid/>
        <w:spacing w:before="0" w:after="0" w:line="560" w:lineRule="exact"/>
        <w:jc w:val="left"/>
        <w:textAlignment w:val="auto"/>
        <w:outlineLvl w:val="1"/>
        <w:rPr>
          <w:rFonts w:hint="eastAsia" w:ascii="宋体" w:hAnsi="宋体" w:eastAsia="宋体" w:cs="宋体"/>
          <w:b/>
          <w:bCs/>
          <w:color w:val="auto"/>
          <w:kern w:val="0"/>
          <w:sz w:val="30"/>
          <w:szCs w:val="30"/>
          <w:lang w:val="zh-CN" w:eastAsia="zh-CN" w:bidi="ar-SA"/>
        </w:rPr>
      </w:pPr>
      <w:r>
        <w:rPr>
          <w:rFonts w:hint="eastAsia" w:ascii="宋体" w:hAnsi="宋体" w:eastAsia="宋体" w:cs="宋体"/>
          <w:b/>
          <w:bCs/>
          <w:color w:val="auto"/>
          <w:kern w:val="0"/>
          <w:sz w:val="30"/>
          <w:szCs w:val="30"/>
          <w:lang w:val="en-US" w:eastAsia="zh-CN" w:bidi="ar-SA"/>
        </w:rPr>
        <w:t>3</w:t>
      </w:r>
      <w:r>
        <w:rPr>
          <w:rFonts w:hint="eastAsia" w:ascii="宋体" w:hAnsi="宋体" w:eastAsia="宋体" w:cs="宋体"/>
          <w:b/>
          <w:bCs/>
          <w:color w:val="auto"/>
          <w:kern w:val="0"/>
          <w:sz w:val="30"/>
          <w:szCs w:val="30"/>
          <w:lang w:val="zh-CN" w:eastAsia="zh-CN" w:bidi="ar-SA"/>
        </w:rPr>
        <w:t>.商务要求</w:t>
      </w:r>
      <w:bookmarkEnd w:id="189"/>
      <w:bookmarkEnd w:id="190"/>
      <w:bookmarkEnd w:id="191"/>
      <w:bookmarkEnd w:id="192"/>
    </w:p>
    <w:p w14:paraId="43C42C3C">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rPr>
        <w:t>3</w:t>
      </w:r>
      <w:r>
        <w:rPr>
          <w:rFonts w:hint="eastAsia" w:ascii="宋体" w:hAnsi="宋体" w:eastAsia="宋体" w:cs="宋体"/>
          <w:color w:val="auto"/>
          <w:kern w:val="0"/>
          <w:sz w:val="30"/>
          <w:szCs w:val="30"/>
          <w:lang w:val="zh-CN"/>
        </w:rPr>
        <w:t>.1.交货时间：签订合同后</w:t>
      </w:r>
      <w:r>
        <w:rPr>
          <w:rFonts w:hint="eastAsia" w:ascii="宋体" w:hAnsi="宋体" w:cs="宋体"/>
          <w:color w:val="auto"/>
          <w:kern w:val="0"/>
          <w:sz w:val="30"/>
          <w:szCs w:val="30"/>
          <w:lang w:val="en-US" w:eastAsia="zh-CN"/>
        </w:rPr>
        <w:t>30</w:t>
      </w:r>
      <w:r>
        <w:rPr>
          <w:rFonts w:hint="eastAsia" w:ascii="宋体" w:hAnsi="宋体" w:eastAsia="宋体" w:cs="宋体"/>
          <w:color w:val="auto"/>
          <w:kern w:val="0"/>
          <w:sz w:val="30"/>
          <w:szCs w:val="30"/>
          <w:lang w:val="zh-CN"/>
        </w:rPr>
        <w:t>日内。</w:t>
      </w:r>
    </w:p>
    <w:p w14:paraId="763E6BDB">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rPr>
        <w:t>3</w:t>
      </w:r>
      <w:r>
        <w:rPr>
          <w:rFonts w:hint="eastAsia" w:ascii="宋体" w:hAnsi="宋体" w:eastAsia="宋体" w:cs="宋体"/>
          <w:color w:val="auto"/>
          <w:kern w:val="0"/>
          <w:sz w:val="30"/>
          <w:szCs w:val="30"/>
          <w:lang w:val="zh-CN"/>
        </w:rPr>
        <w:t>.2.交货地点：</w:t>
      </w:r>
      <w:r>
        <w:rPr>
          <w:rFonts w:hint="eastAsia" w:ascii="宋体" w:hAnsi="宋体" w:eastAsia="宋体" w:cs="宋体"/>
          <w:color w:val="auto"/>
          <w:kern w:val="0"/>
          <w:sz w:val="30"/>
          <w:szCs w:val="30"/>
          <w:lang w:val="en-US" w:eastAsia="zh-CN"/>
        </w:rPr>
        <w:t>采购人指定地点</w:t>
      </w:r>
      <w:r>
        <w:rPr>
          <w:rFonts w:hint="eastAsia" w:ascii="宋体" w:hAnsi="宋体" w:eastAsia="宋体" w:cs="宋体"/>
          <w:color w:val="auto"/>
          <w:kern w:val="0"/>
          <w:sz w:val="30"/>
          <w:szCs w:val="30"/>
          <w:lang w:val="zh-CN"/>
        </w:rPr>
        <w:t>。</w:t>
      </w:r>
    </w:p>
    <w:p w14:paraId="3BEFAEE2">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ascii="宋体" w:hAnsi="宋体" w:eastAsia="宋体" w:cs="宋体"/>
          <w:color w:val="auto"/>
          <w:kern w:val="0"/>
          <w:sz w:val="30"/>
          <w:szCs w:val="30"/>
          <w:lang w:val="zh-CN"/>
        </w:rPr>
      </w:pPr>
      <w:r>
        <w:rPr>
          <w:rFonts w:hint="eastAsia" w:ascii="宋体" w:hAnsi="宋体" w:eastAsia="宋体" w:cs="宋体"/>
          <w:color w:val="auto"/>
          <w:kern w:val="0"/>
          <w:sz w:val="30"/>
          <w:szCs w:val="30"/>
        </w:rPr>
        <w:t>3</w:t>
      </w:r>
      <w:r>
        <w:rPr>
          <w:rFonts w:hint="eastAsia" w:ascii="宋体" w:hAnsi="宋体" w:eastAsia="宋体" w:cs="宋体"/>
          <w:color w:val="auto"/>
          <w:kern w:val="0"/>
          <w:sz w:val="30"/>
          <w:szCs w:val="30"/>
          <w:lang w:val="zh-CN"/>
        </w:rPr>
        <w:t>.3.付款方式：</w:t>
      </w:r>
      <w:r>
        <w:rPr>
          <w:rFonts w:hint="eastAsia" w:ascii="宋体" w:hAnsi="宋体" w:eastAsia="宋体" w:cs="宋体"/>
          <w:color w:val="auto"/>
          <w:kern w:val="0"/>
          <w:sz w:val="30"/>
          <w:szCs w:val="30"/>
        </w:rPr>
        <w:t>详见“第三部分青海省政府采购项目合同书范本”中“四</w:t>
      </w:r>
      <w:r>
        <w:rPr>
          <w:rFonts w:hint="eastAsia" w:ascii="宋体" w:hAnsi="宋体" w:eastAsia="宋体" w:cs="宋体"/>
          <w:color w:val="auto"/>
          <w:kern w:val="0"/>
          <w:sz w:val="30"/>
          <w:szCs w:val="30"/>
          <w:lang w:val="zh-CN"/>
        </w:rPr>
        <w:t>付款方式”</w:t>
      </w:r>
    </w:p>
    <w:p w14:paraId="6AF905AF">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3.4免费质保期：</w:t>
      </w:r>
      <w:r>
        <w:rPr>
          <w:rFonts w:hint="eastAsia" w:ascii="宋体" w:hAnsi="宋体" w:cs="宋体"/>
          <w:color w:val="auto"/>
          <w:kern w:val="0"/>
          <w:sz w:val="30"/>
          <w:szCs w:val="30"/>
          <w:lang w:val="en-US" w:eastAsia="zh-CN"/>
        </w:rPr>
        <w:t>1</w:t>
      </w:r>
      <w:r>
        <w:rPr>
          <w:rFonts w:hint="eastAsia" w:ascii="宋体" w:hAnsi="宋体" w:eastAsia="宋体" w:cs="宋体"/>
          <w:color w:val="auto"/>
          <w:kern w:val="0"/>
          <w:sz w:val="30"/>
          <w:szCs w:val="30"/>
          <w:lang w:val="en-US" w:eastAsia="zh-CN"/>
        </w:rPr>
        <w:t>年。</w:t>
      </w:r>
    </w:p>
    <w:p w14:paraId="487666F5">
      <w:pPr>
        <w:spacing w:line="256" w:lineRule="auto"/>
        <w:ind w:firstLine="480" w:firstLineChars="200"/>
        <w:rPr>
          <w:rFonts w:hint="eastAsia" w:ascii="宋体" w:hAnsi="宋体" w:eastAsia="宋体" w:cs="宋体"/>
          <w:color w:val="auto"/>
          <w:kern w:val="0"/>
          <w:lang w:val="zh-CN"/>
        </w:rPr>
      </w:pPr>
    </w:p>
    <w:p w14:paraId="21A40651">
      <w:pPr>
        <w:spacing w:line="256" w:lineRule="auto"/>
        <w:ind w:firstLine="480" w:firstLineChars="200"/>
        <w:rPr>
          <w:rFonts w:hint="eastAsia" w:ascii="宋体" w:hAnsi="宋体" w:eastAsia="宋体" w:cs="宋体"/>
          <w:color w:val="auto"/>
          <w:kern w:val="0"/>
          <w:lang w:val="zh-CN"/>
        </w:rPr>
      </w:pPr>
    </w:p>
    <w:p w14:paraId="666F0FD2">
      <w:pPr>
        <w:spacing w:line="256" w:lineRule="auto"/>
        <w:ind w:firstLine="480" w:firstLineChars="200"/>
        <w:rPr>
          <w:rFonts w:hint="eastAsia" w:ascii="宋体" w:hAnsi="宋体" w:eastAsia="宋体" w:cs="宋体"/>
          <w:color w:val="auto"/>
          <w:kern w:val="0"/>
          <w:lang w:val="zh-CN"/>
        </w:rPr>
      </w:pPr>
    </w:p>
    <w:p w14:paraId="62B2337F">
      <w:pPr>
        <w:rPr>
          <w:rFonts w:hint="eastAsia" w:ascii="宋体" w:hAnsi="宋体" w:eastAsia="宋体" w:cs="宋体"/>
          <w:b/>
          <w:bCs/>
          <w:color w:val="auto"/>
          <w:kern w:val="0"/>
          <w:sz w:val="40"/>
          <w:szCs w:val="40"/>
          <w:lang w:val="en-US" w:eastAsia="zh-CN"/>
        </w:rPr>
      </w:pPr>
      <w:r>
        <w:rPr>
          <w:rFonts w:hint="eastAsia" w:ascii="宋体" w:hAnsi="宋体" w:eastAsia="宋体" w:cs="宋体"/>
          <w:b/>
          <w:bCs/>
          <w:color w:val="auto"/>
          <w:kern w:val="0"/>
          <w:sz w:val="40"/>
          <w:szCs w:val="40"/>
          <w:lang w:val="en-US" w:eastAsia="zh-CN"/>
        </w:rPr>
        <w:br w:type="page"/>
      </w:r>
    </w:p>
    <w:p w14:paraId="5A709045">
      <w:pPr>
        <w:pStyle w:val="25"/>
        <w:keepNext w:val="0"/>
        <w:keepLines w:val="0"/>
        <w:pageBreakBefore w:val="0"/>
        <w:widowControl w:val="0"/>
        <w:kinsoku/>
        <w:wordWrap/>
        <w:overflowPunct/>
        <w:topLinePunct w:val="0"/>
        <w:bidi w:val="0"/>
        <w:snapToGrid/>
        <w:spacing w:before="0" w:after="0" w:line="460" w:lineRule="exact"/>
        <w:textAlignment w:val="auto"/>
        <w:outlineLvl w:val="1"/>
        <w:rPr>
          <w:rFonts w:hint="eastAsia"/>
          <w:color w:val="auto"/>
          <w:sz w:val="32"/>
          <w:szCs w:val="32"/>
          <w:highlight w:val="none"/>
          <w:lang w:val="en-US" w:eastAsia="zh-CN"/>
        </w:rPr>
      </w:pPr>
      <w:r>
        <w:rPr>
          <w:rFonts w:hint="eastAsia" w:ascii="宋体" w:hAnsi="宋体" w:eastAsia="宋体" w:cs="宋体"/>
          <w:b/>
          <w:bCs/>
          <w:color w:val="auto"/>
          <w:sz w:val="32"/>
          <w:szCs w:val="28"/>
          <w:highlight w:val="none"/>
          <w:lang w:val="en-US" w:eastAsia="zh-CN"/>
        </w:rPr>
        <w:t>（二）项目概况及技术参数</w:t>
      </w:r>
    </w:p>
    <w:tbl>
      <w:tblPr>
        <w:tblStyle w:val="29"/>
        <w:tblW w:w="91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34"/>
        <w:gridCol w:w="908"/>
        <w:gridCol w:w="5235"/>
        <w:gridCol w:w="840"/>
      </w:tblGrid>
      <w:tr w14:paraId="5646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61" w:type="dxa"/>
            <w:noWrap/>
            <w:vAlign w:val="center"/>
          </w:tcPr>
          <w:p w14:paraId="7F03E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使用单位</w:t>
            </w:r>
          </w:p>
        </w:tc>
        <w:tc>
          <w:tcPr>
            <w:tcW w:w="1134" w:type="dxa"/>
            <w:noWrap/>
            <w:vAlign w:val="center"/>
          </w:tcPr>
          <w:p w14:paraId="4ECC5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08" w:type="dxa"/>
            <w:noWrap/>
            <w:vAlign w:val="center"/>
          </w:tcPr>
          <w:p w14:paraId="3F1D0FC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数量及单位</w:t>
            </w:r>
          </w:p>
        </w:tc>
        <w:tc>
          <w:tcPr>
            <w:tcW w:w="5235" w:type="dxa"/>
            <w:noWrap/>
            <w:vAlign w:val="center"/>
          </w:tcPr>
          <w:p w14:paraId="6FB68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840" w:type="dxa"/>
            <w:noWrap/>
            <w:vAlign w:val="center"/>
          </w:tcPr>
          <w:p w14:paraId="336E7A15">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备注</w:t>
            </w:r>
          </w:p>
        </w:tc>
      </w:tr>
      <w:tr w14:paraId="67A6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4" w:hRule="atLeast"/>
        </w:trPr>
        <w:tc>
          <w:tcPr>
            <w:tcW w:w="1061" w:type="dxa"/>
            <w:vMerge w:val="restart"/>
            <w:noWrap/>
            <w:vAlign w:val="center"/>
          </w:tcPr>
          <w:p w14:paraId="33983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杂朵乡卫生院</w:t>
            </w:r>
          </w:p>
        </w:tc>
        <w:tc>
          <w:tcPr>
            <w:tcW w:w="1134" w:type="dxa"/>
            <w:noWrap/>
            <w:vAlign w:val="center"/>
          </w:tcPr>
          <w:p w14:paraId="120A6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便携式尿液分析仪</w:t>
            </w:r>
          </w:p>
        </w:tc>
        <w:tc>
          <w:tcPr>
            <w:tcW w:w="908" w:type="dxa"/>
            <w:noWrap/>
            <w:vAlign w:val="center"/>
          </w:tcPr>
          <w:p w14:paraId="24E1E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2ADB8C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一、技术要求：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1、测定原理：反射光电比色法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2、光源系统：采用冷光源测定系统，测定波长≥4波长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3、测定速度：最快120条/h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4、试纸项目选择：兼容14项、11项、10项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5、可测项目：白细胞、酮体、亚硝酸盐、尿胆原、胆红素、尿蛋白、葡萄糖、比重、隐血、pH、维生素C、肌酐、尿钙、微白蛋白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6、工作方式：可选择单条测试或连续测试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7、显示：≥5.1英寸液晶显示器，测试结果用半定量和SI国际单位表示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8、打印：内置热敏打印机打印测试结果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9、报告模式：分析仪报告格式中有颜色、浑浊度格式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10、控制功能：自检、测试、故障判断等由机内微处理器控制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11、条形码识别：可识别一维条形码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12、仪器能自动感应试纸条，将感应到得试纸条送入仪器内部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13、存储量：≥4000个测量结果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14、校准功能：仪器具有试纸条校准功能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15、输出接口：仪器有串口和并口，可与计算机通信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16、电源：配置电源适配器，主机使用直流电源</w:t>
            </w:r>
          </w:p>
        </w:tc>
        <w:tc>
          <w:tcPr>
            <w:tcW w:w="840" w:type="dxa"/>
            <w:noWrap/>
            <w:vAlign w:val="center"/>
          </w:tcPr>
          <w:p w14:paraId="6F784194">
            <w:pPr>
              <w:rPr>
                <w:rFonts w:hint="eastAsia" w:ascii="宋体" w:hAnsi="宋体" w:eastAsia="宋体" w:cs="宋体"/>
                <w:i w:val="0"/>
                <w:iCs w:val="0"/>
                <w:color w:val="000000"/>
                <w:sz w:val="24"/>
                <w:szCs w:val="24"/>
                <w:u w:val="none"/>
              </w:rPr>
            </w:pPr>
          </w:p>
        </w:tc>
      </w:tr>
      <w:tr w14:paraId="67CA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4" w:hRule="atLeast"/>
        </w:trPr>
        <w:tc>
          <w:tcPr>
            <w:tcW w:w="1061" w:type="dxa"/>
            <w:vMerge w:val="continue"/>
            <w:noWrap/>
            <w:vAlign w:val="center"/>
          </w:tcPr>
          <w:p w14:paraId="13CCD089">
            <w:pPr>
              <w:jc w:val="center"/>
              <w:rPr>
                <w:rFonts w:hint="eastAsia" w:ascii="宋体" w:hAnsi="宋体" w:eastAsia="宋体" w:cs="宋体"/>
                <w:i w:val="0"/>
                <w:iCs w:val="0"/>
                <w:color w:val="000000"/>
                <w:sz w:val="24"/>
                <w:szCs w:val="24"/>
                <w:u w:val="none"/>
              </w:rPr>
            </w:pPr>
          </w:p>
        </w:tc>
        <w:tc>
          <w:tcPr>
            <w:tcW w:w="1134" w:type="dxa"/>
            <w:noWrap/>
            <w:vAlign w:val="center"/>
          </w:tcPr>
          <w:p w14:paraId="2E847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全自动血细胞分析仪</w:t>
            </w:r>
          </w:p>
        </w:tc>
        <w:tc>
          <w:tcPr>
            <w:tcW w:w="908" w:type="dxa"/>
            <w:noWrap/>
            <w:vAlign w:val="center"/>
          </w:tcPr>
          <w:p w14:paraId="63750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49B48B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1、工作原理：电阻抗法计数，无氰化物法检测HGB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2、检测参数：≥20项报告参数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3、直方图：3个直方图（包括WBC\RBC\PLT）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4、标本用量：全血模式≤9μl，预稀释模式≤20μl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5、测量模式：全血模式、预稀释模式，独立血红蛋白测量系统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6、工作速度：≥40样本/小时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7、结果储存：≥100000份样本的全部参数和3个直方图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8、试剂系统：提供原厂配套试剂、校准品、质控品；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9、排堵功能：具有正反冲、高压灼烧、浸泡等多种排堵方式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10、报警提示：具有WBC、RBC、PLT结果异常报警功能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11、显示屏：彩色液晶触摸显示屏，同屏显示全部检测结果、直方图、病人信息及报警提示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12、试剂管理：主机内置主要试剂，节省实验室空间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13、数据传输： ≥4个USB接口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14、报告打印：打印中英文报告，格式可选，内置高效热敏打印机，可选USB接口打印机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15、工作环境：自动适应100V~240V电源，≤180VA，50Hz/60Hz，15~30℃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、线性范围：WBC：0~100×109/L；RBC：0~8×1012/L；HGB：0~280g/L；PLT：0~1000×109/L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、支持LIS/HIS系统，实现检验科室信息联网。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、可选配原厂配套的血液细胞分析仪数据管理软件。</w:t>
            </w:r>
          </w:p>
        </w:tc>
        <w:tc>
          <w:tcPr>
            <w:tcW w:w="840" w:type="dxa"/>
            <w:noWrap/>
            <w:vAlign w:val="center"/>
          </w:tcPr>
          <w:p w14:paraId="695DA520">
            <w:pPr>
              <w:rPr>
                <w:rFonts w:hint="eastAsia" w:ascii="宋体" w:hAnsi="宋体" w:eastAsia="宋体" w:cs="宋体"/>
                <w:i w:val="0"/>
                <w:iCs w:val="0"/>
                <w:color w:val="000000"/>
                <w:sz w:val="24"/>
                <w:szCs w:val="24"/>
                <w:u w:val="none"/>
              </w:rPr>
            </w:pPr>
          </w:p>
        </w:tc>
      </w:tr>
      <w:tr w14:paraId="15E0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0" w:hRule="atLeast"/>
        </w:trPr>
        <w:tc>
          <w:tcPr>
            <w:tcW w:w="1061" w:type="dxa"/>
            <w:vMerge w:val="continue"/>
            <w:noWrap/>
            <w:vAlign w:val="center"/>
          </w:tcPr>
          <w:p w14:paraId="29F17582">
            <w:pPr>
              <w:jc w:val="center"/>
              <w:rPr>
                <w:rFonts w:hint="eastAsia" w:ascii="宋体" w:hAnsi="宋体" w:eastAsia="宋体" w:cs="宋体"/>
                <w:i w:val="0"/>
                <w:iCs w:val="0"/>
                <w:color w:val="000000"/>
                <w:sz w:val="24"/>
                <w:szCs w:val="24"/>
                <w:u w:val="none"/>
              </w:rPr>
            </w:pPr>
          </w:p>
        </w:tc>
        <w:tc>
          <w:tcPr>
            <w:tcW w:w="1134" w:type="dxa"/>
            <w:noWrap/>
            <w:vAlign w:val="center"/>
          </w:tcPr>
          <w:p w14:paraId="549CD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便携式生化仪</w:t>
            </w:r>
          </w:p>
        </w:tc>
        <w:tc>
          <w:tcPr>
            <w:tcW w:w="908" w:type="dxa"/>
            <w:noWrap/>
            <w:vAlign w:val="center"/>
          </w:tcPr>
          <w:p w14:paraId="79B2B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734667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检测标本：  肝素锂抗凝全血、血浆或者血清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样本量：    90-120 μ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条码识读：  二维条码自动读取，无需外接设备扫码。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检测时间：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12分钟/样本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检测原理：  吸收光谱比色法、透射比浊法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分析方法：  终点法、速率法、两点法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温控精度:   37±0.3℃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精密度:     0.001 Abs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交叉污染:   0                                                                                                                                     质控定标：  仪器自动实时完成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工作环境:   温度：10-30℃ 湿度：30%-70%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光源：      2500小时以上长寿命卤钨灯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光路系统：  滤光片后分光，8段波长同步检测，波长分别为：340、405、450、505、546、600、630、850(单位：nm)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      输入：AC 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  120VA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操作界面：  安卓</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7寸800*480，多点电容触摸屏，多种语言选择。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存储量：    MAX50万个客户数据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打印机：    内置热敏打印机，可接外置打印机。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数据接口：  4个USB接口，1个网口。</w:t>
            </w:r>
          </w:p>
        </w:tc>
        <w:tc>
          <w:tcPr>
            <w:tcW w:w="840" w:type="dxa"/>
            <w:noWrap/>
            <w:vAlign w:val="center"/>
          </w:tcPr>
          <w:p w14:paraId="4FB2951E">
            <w:pPr>
              <w:rPr>
                <w:rFonts w:hint="eastAsia" w:ascii="宋体" w:hAnsi="宋体" w:eastAsia="宋体" w:cs="宋体"/>
                <w:i w:val="0"/>
                <w:iCs w:val="0"/>
                <w:color w:val="000000"/>
                <w:sz w:val="24"/>
                <w:szCs w:val="24"/>
                <w:u w:val="none"/>
              </w:rPr>
            </w:pPr>
          </w:p>
        </w:tc>
      </w:tr>
      <w:tr w14:paraId="4B30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4" w:hRule="atLeast"/>
        </w:trPr>
        <w:tc>
          <w:tcPr>
            <w:tcW w:w="1061" w:type="dxa"/>
            <w:vMerge w:val="restart"/>
            <w:noWrap/>
            <w:vAlign w:val="center"/>
          </w:tcPr>
          <w:p w14:paraId="6A205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清水河镇卫生院</w:t>
            </w:r>
          </w:p>
        </w:tc>
        <w:tc>
          <w:tcPr>
            <w:tcW w:w="1134" w:type="dxa"/>
            <w:noWrap/>
            <w:vAlign w:val="center"/>
          </w:tcPr>
          <w:p w14:paraId="3B33D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便携式生化仪</w:t>
            </w:r>
          </w:p>
        </w:tc>
        <w:tc>
          <w:tcPr>
            <w:tcW w:w="908" w:type="dxa"/>
            <w:noWrap/>
            <w:vAlign w:val="center"/>
          </w:tcPr>
          <w:p w14:paraId="11A5D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0D1C2D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检测标本：  肝素锂抗凝全血、血浆或者血清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样本量：    90-120 μ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条码识读：  二维条码自动读取，无需外接设备扫码。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检测时间：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12分钟/样本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检测原理：  吸收光谱比色法、透射比浊法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分析方法：  终点法、速率法、两点法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温控精度:   37±0.3℃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精密度:     0.001 Abs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交叉污染:   0                                                                                                                                     质控定标：  仪器自动实时完成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工作环境:   温度：10-30℃ 湿度：30%-70%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光源：      2500小时以上长寿命卤钨灯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光路系统：  滤光片后分光，8段波长同步检测，波长分别为：340、405、450、505、546、600、630、850(单位：nm)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      输入：AC 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  120VA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操作界面：  安卓</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7寸800*480，多点电容触摸屏，多种语言选择。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存储量：    MAX50万个客户数据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打印机：    内置热敏打印机，可接外置打印机。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数据接口：  4个USB接口，1个网口。</w:t>
            </w:r>
          </w:p>
        </w:tc>
        <w:tc>
          <w:tcPr>
            <w:tcW w:w="840" w:type="dxa"/>
            <w:noWrap/>
            <w:vAlign w:val="center"/>
          </w:tcPr>
          <w:p w14:paraId="12785BE4">
            <w:pPr>
              <w:rPr>
                <w:rFonts w:hint="eastAsia" w:ascii="宋体" w:hAnsi="宋体" w:eastAsia="宋体" w:cs="宋体"/>
                <w:i w:val="0"/>
                <w:iCs w:val="0"/>
                <w:color w:val="000000"/>
                <w:sz w:val="24"/>
                <w:szCs w:val="24"/>
                <w:u w:val="none"/>
              </w:rPr>
            </w:pPr>
          </w:p>
        </w:tc>
      </w:tr>
      <w:tr w14:paraId="0A85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4" w:hRule="atLeast"/>
        </w:trPr>
        <w:tc>
          <w:tcPr>
            <w:tcW w:w="1061" w:type="dxa"/>
            <w:vMerge w:val="continue"/>
            <w:noWrap/>
            <w:vAlign w:val="center"/>
          </w:tcPr>
          <w:p w14:paraId="7B12C1F5">
            <w:pPr>
              <w:jc w:val="center"/>
              <w:rPr>
                <w:rFonts w:hint="eastAsia" w:ascii="宋体" w:hAnsi="宋体" w:eastAsia="宋体" w:cs="宋体"/>
                <w:i w:val="0"/>
                <w:iCs w:val="0"/>
                <w:color w:val="000000"/>
                <w:sz w:val="24"/>
                <w:szCs w:val="24"/>
                <w:u w:val="none"/>
              </w:rPr>
            </w:pPr>
          </w:p>
        </w:tc>
        <w:tc>
          <w:tcPr>
            <w:tcW w:w="1134" w:type="dxa"/>
            <w:noWrap/>
            <w:vAlign w:val="center"/>
          </w:tcPr>
          <w:p w14:paraId="1FA91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血常规分析仪</w:t>
            </w:r>
          </w:p>
        </w:tc>
        <w:tc>
          <w:tcPr>
            <w:tcW w:w="908" w:type="dxa"/>
            <w:noWrap/>
            <w:vAlign w:val="center"/>
          </w:tcPr>
          <w:p w14:paraId="2AAC9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359B1B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1、工作原理：电阻抗法计数，无氰化物法检测HGB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2、检测参数：≥20项报告参数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3、直方图：3个直方图（包括WBC\RBC\PLT）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4、标本用量：全血模式≤9μl，预稀释模式≤20μl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5、测量模式：全血模式、预稀释模式，独立血红蛋白测量系统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6、工作速度：≥40样本/小时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7、结果储存：≥100000份样本的全部参数和3个直方图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8、试剂系统：提供原厂配套试剂、校准品、质控品；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9、排堵功能：具有正反冲、高压灼烧、浸泡等多种排堵方式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10、报警提示：具有WBC、RBC、PLT结果异常报警功能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11、显示屏：彩色液晶触摸显示屏，同屏显示全部检测结果、直方图、病人信息及报警提示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12、试剂管理：主机内置主要试剂，节省实验室空间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13、数据传输： ≥4个USB接口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14、报告打印：打印中英文报告，格式可选，内置高效热敏打印机，可选USB接口打印机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15、工作环境：自动适应100V~240V电源，≤180VA，50Hz/60Hz，15~30℃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16、线性范围：WBC：0~100×109/L；RBC：0~8×1012/L；HGB：0~280g/L；PLT：0~1000×109/L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、支持LIS/HIS系统，实现检验科室信息联网。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、可选配原厂配套的血液细胞分析仪数据管理软件。</w:t>
            </w:r>
          </w:p>
        </w:tc>
        <w:tc>
          <w:tcPr>
            <w:tcW w:w="840" w:type="dxa"/>
            <w:noWrap/>
            <w:vAlign w:val="center"/>
          </w:tcPr>
          <w:p w14:paraId="3C5891EC">
            <w:pPr>
              <w:rPr>
                <w:rFonts w:hint="eastAsia" w:ascii="宋体" w:hAnsi="宋体" w:eastAsia="宋体" w:cs="宋体"/>
                <w:i w:val="0"/>
                <w:iCs w:val="0"/>
                <w:color w:val="000000"/>
                <w:sz w:val="24"/>
                <w:szCs w:val="24"/>
                <w:u w:val="none"/>
              </w:rPr>
            </w:pPr>
          </w:p>
        </w:tc>
      </w:tr>
      <w:tr w14:paraId="3866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061" w:type="dxa"/>
            <w:vMerge w:val="continue"/>
            <w:noWrap/>
            <w:vAlign w:val="center"/>
          </w:tcPr>
          <w:p w14:paraId="45AA8A38">
            <w:pPr>
              <w:jc w:val="center"/>
              <w:rPr>
                <w:rFonts w:hint="eastAsia" w:ascii="宋体" w:hAnsi="宋体" w:eastAsia="宋体" w:cs="宋体"/>
                <w:i w:val="0"/>
                <w:iCs w:val="0"/>
                <w:color w:val="000000"/>
                <w:sz w:val="24"/>
                <w:szCs w:val="24"/>
                <w:u w:val="none"/>
              </w:rPr>
            </w:pPr>
          </w:p>
        </w:tc>
        <w:tc>
          <w:tcPr>
            <w:tcW w:w="1134" w:type="dxa"/>
            <w:noWrap/>
            <w:vAlign w:val="center"/>
          </w:tcPr>
          <w:p w14:paraId="3035A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w:t>
            </w:r>
          </w:p>
        </w:tc>
        <w:tc>
          <w:tcPr>
            <w:tcW w:w="908" w:type="dxa"/>
            <w:noWrap/>
            <w:vAlign w:val="center"/>
          </w:tcPr>
          <w:p w14:paraId="56A6F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3FB763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最高转速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5000r/min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最大相对离心力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4390xg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最大容量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4x250ml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转速精度             ±30r/min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定时范围             1min~99min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                 AC220±22V50/60Hz</w:t>
            </w:r>
          </w:p>
        </w:tc>
        <w:tc>
          <w:tcPr>
            <w:tcW w:w="840" w:type="dxa"/>
            <w:noWrap/>
            <w:vAlign w:val="center"/>
          </w:tcPr>
          <w:p w14:paraId="74707236">
            <w:pPr>
              <w:rPr>
                <w:rFonts w:hint="eastAsia" w:ascii="宋体" w:hAnsi="宋体" w:eastAsia="宋体" w:cs="宋体"/>
                <w:i w:val="0"/>
                <w:iCs w:val="0"/>
                <w:color w:val="000000"/>
                <w:sz w:val="24"/>
                <w:szCs w:val="24"/>
                <w:u w:val="none"/>
              </w:rPr>
            </w:pPr>
          </w:p>
        </w:tc>
      </w:tr>
      <w:tr w14:paraId="3125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trPr>
        <w:tc>
          <w:tcPr>
            <w:tcW w:w="1061" w:type="dxa"/>
            <w:vMerge w:val="continue"/>
            <w:noWrap/>
            <w:vAlign w:val="center"/>
          </w:tcPr>
          <w:p w14:paraId="71F3D3C8">
            <w:pPr>
              <w:jc w:val="center"/>
              <w:rPr>
                <w:rFonts w:hint="eastAsia" w:ascii="宋体" w:hAnsi="宋体" w:eastAsia="宋体" w:cs="宋体"/>
                <w:i w:val="0"/>
                <w:iCs w:val="0"/>
                <w:color w:val="000000"/>
                <w:sz w:val="24"/>
                <w:szCs w:val="24"/>
                <w:u w:val="none"/>
              </w:rPr>
            </w:pPr>
          </w:p>
        </w:tc>
        <w:tc>
          <w:tcPr>
            <w:tcW w:w="1134" w:type="dxa"/>
            <w:noWrap/>
            <w:vAlign w:val="center"/>
          </w:tcPr>
          <w:p w14:paraId="0BD2A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心电图机</w:t>
            </w:r>
          </w:p>
        </w:tc>
        <w:tc>
          <w:tcPr>
            <w:tcW w:w="908" w:type="dxa"/>
            <w:noWrap/>
            <w:vAlign w:val="center"/>
          </w:tcPr>
          <w:p w14:paraId="44336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3DF97D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一、工作条件：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产品可在电源交流220V，50/60赫兹，室温5—40℃和相对湿度25%~80%的环境下正常工作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产品的电源插头符合中国标准，无需适配器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 ECG输入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  ECG输入通道：标准12导联、Cabrera导联心电信息同步采集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  输入阻抗：≥50MΩ（10Hz）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  频率响应：0.05-330Hz (-3db)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  定标电压：1mV±2%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  耐极化电压：±600mV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  内部噪声：≤15µVp-p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  时间常数：≥3.2s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 共模抑制比：≥130dB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  除颤保护：具有抗除颤电击保护功能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 导联线：导联线内附抗除颤电击保护功能，并具有防缠绕设计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三、技术及性能：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  A/D转换：24bit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  采样率：≥30000Hz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  灵敏度选择：2.5、5、10、20mm/mV±2%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  抗干扰滤波：具有交流滤波、肌电滤波、基线漂移滤波、低通滤波功能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  自诊断功能：具有设备自诊断及故障提示功能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  支持心脏起搏信号检测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  支持预采集、实时采集、触发采集、周期采集等多种采集方式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 本机支持有线、无线WiFi方式连接互联网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四、存储器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  设备内置存储器，本机可存储≥1000例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  支持外接U盘、SD卡扩展存储空间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 外观：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5.1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9.7英寸彩色触摸屏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  物理全键盘及触控软件键盘设计，方便不同习惯的医生快速操作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  显示信息：同屏显示12道心电波形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5.4  显示内容包含波形、心率、导联、走纸速度、增益、滤波器、时间、电池电量指示、输入法、文件、信息提示区、患者信息等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5.5设有导联放置指示，方便护士及实习医生使用。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六、记录器：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  多轴联动热敏打印机技术 multi-axisTP®，可确保在任何环境（运动中的救护车、不平整的野外场地）都能平滑清晰地记录每一份心电报告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6.2  走纸速度：5、6.25、12.5、25、50 mm/s ±2%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6.3  记录模式：手动/自动打印：3CH、3CH+1R、3CH+3R、6CH、6CH+1R、12CH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6.4  记录纸规格：折叠纸，210mm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6.5  打印方式：实时同步或连续12道心电波形打印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6.6  记录内容：心电波形、分析结果、明尼苏达码以及导联名称、走纸速度、增益、滤波器、日期、患者信息、标记等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6.7  支持直接外接激光打印机，通过A4纸打印心电波形和报告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6.8 支持60s波形冻结与回放。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6.9支持已保存病例的电影回放和选择任意一段波形打印。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七、外部输入接口：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7.1  USB接口，SD卡接口，网络接口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  支持外接条码扫描仪和磁卡读卡器，支持即插即用。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7.3  支持输出PDF\ PNG\ECG\等格式标准协议，满足医院联网需求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7.4支持本机直接接入第三方网络系统、医院的HIS\EMR等系统。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八、电源：交直流两用　自动转换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8.1  交流电源：交流 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  直流电源：内置可充电锂离子电池，充满电后可连续工作3小时以上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九、配置：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标准配置：主机1台，导联线1条，肢电极4个，胸电极6个，热敏打印纸1本，电源线1根，接地线1根，其它必要辅件一套</w:t>
            </w:r>
          </w:p>
        </w:tc>
        <w:tc>
          <w:tcPr>
            <w:tcW w:w="840" w:type="dxa"/>
            <w:noWrap/>
            <w:vAlign w:val="center"/>
          </w:tcPr>
          <w:p w14:paraId="3131C54A">
            <w:pPr>
              <w:rPr>
                <w:rFonts w:hint="eastAsia" w:ascii="宋体" w:hAnsi="宋体" w:eastAsia="宋体" w:cs="宋体"/>
                <w:i w:val="0"/>
                <w:iCs w:val="0"/>
                <w:color w:val="000000"/>
                <w:sz w:val="24"/>
                <w:szCs w:val="24"/>
                <w:u w:val="none"/>
              </w:rPr>
            </w:pPr>
          </w:p>
        </w:tc>
      </w:tr>
      <w:tr w14:paraId="0E1F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trPr>
        <w:tc>
          <w:tcPr>
            <w:tcW w:w="1061" w:type="dxa"/>
            <w:vMerge w:val="continue"/>
            <w:noWrap/>
            <w:vAlign w:val="center"/>
          </w:tcPr>
          <w:p w14:paraId="6253287D">
            <w:pPr>
              <w:jc w:val="center"/>
              <w:rPr>
                <w:rFonts w:hint="eastAsia" w:ascii="宋体" w:hAnsi="宋体" w:eastAsia="宋体" w:cs="宋体"/>
                <w:i w:val="0"/>
                <w:iCs w:val="0"/>
                <w:color w:val="000000"/>
                <w:sz w:val="24"/>
                <w:szCs w:val="24"/>
                <w:u w:val="none"/>
              </w:rPr>
            </w:pPr>
          </w:p>
        </w:tc>
        <w:tc>
          <w:tcPr>
            <w:tcW w:w="1134" w:type="dxa"/>
            <w:noWrap/>
            <w:vAlign w:val="center"/>
          </w:tcPr>
          <w:p w14:paraId="34C6B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便携式肺功能检测仪</w:t>
            </w:r>
          </w:p>
        </w:tc>
        <w:tc>
          <w:tcPr>
            <w:tcW w:w="908" w:type="dxa"/>
            <w:noWrap/>
            <w:vAlign w:val="center"/>
          </w:tcPr>
          <w:p w14:paraId="47912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1F9554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1、主机采用≥10寸彩色触摸屏，分辨率≥1280*800。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2、内置可充电锂电池，具有充电提示和电池电量提示功能。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3、主机内置热敏打印机，支持直接打印检测报告；打印宽度≥210mm。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4、具有快速检测键，支持一键启动测量项目。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5、测量指标至少包括用力肺活量FVC、肺活量VC、最大分钟通气量MVV、静息分钟通气量MV等。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6、FVC测试至少包括FVC、FEV1、PEF、FEV1%；FEF25、FEF75、FEF2575；FEV0.5/FVC、FEV0.75/FVC、FEV1/FIVC、FVC+FEV1、FEV6/FVC、PEF Time、PEFR、FEF50/FEF25、FEF50/FEF75、EVOL/FVC、FIVC/FVC、FIF2550、MEF、OI、ATI、MTC7550、MET2575；FEV1/VC、FEV1/FEV6、ELA、FET、EVOL、PIF；FEF50等参数。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7、VC测试至少包括VC、IC、ERV、IRV、EVC、IVC、VE、RR、tE、TV/tI、tI/ttot、tE/ttot、ttot、TLC、FRC、VC/Ht、60%VC等参数。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8、MVV测试至少包括MVV、RR（MVV）、TV（MVV）、MVV/BSA、MVVT、MVV43、MVV/（FEV1*40）、tE（MVV）、ttot（MVV）等参数。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9、MV测试至少包括MV、RR（MV）、BR、VR、TV（MV）、tI（MV）、tE（MV）、ttot（MV）等参数。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10、支持支气管舒张试验和支气管激发试验。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11、具有BTPS自矫正功能，显示测试的时间和自动测量温度、湿度、大气压力。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12、具有流速-容量图、容量-时间图显示功能；具有实时显示呼吸波形功能；具有趋势图显示功能；具有显示多次测量的最好值功能。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13、通过测试值与预期值的比率显示测试者状况。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14、具有测量质量控制功能，显示质控等级。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15、具有定标质控功能，可进行容量验证和三流速验证。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16、具有病人信息录入和管理功能、患者记录查询功能、随访问卷功能以及肺功能评估功能。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17、具有应诊管理功能。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18、具有参数显示或打印勾选功能，可自定义需要显示或打印的参数及显示顺序。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19、支持多种报告模板并可编辑，可填写诊断结论，可编辑主题、插入医院图标、医生签名图片、审核者签名图片；支持单页、已测试项目等多模式打印。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20、具有数据存储、删除、信息回顾功能。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21、具有通过数据线将数据上传至上位机软件存储的功能。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22、具有数据通讯功能，支持系统对接。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23、可选配WiFi功能和4G功能。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24、可选配身份证阅读卡快速录入病人信息。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25、容量范围至少满足0～10L，误差≤±3%或±0.05L。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26、流速范围至少满足0～16L/s，误差≤±5%或±0.17L/s。</w:t>
            </w:r>
          </w:p>
        </w:tc>
        <w:tc>
          <w:tcPr>
            <w:tcW w:w="840" w:type="dxa"/>
            <w:noWrap/>
            <w:vAlign w:val="center"/>
          </w:tcPr>
          <w:p w14:paraId="545D6A1C">
            <w:pPr>
              <w:rPr>
                <w:rFonts w:hint="eastAsia" w:ascii="宋体" w:hAnsi="宋体" w:eastAsia="宋体" w:cs="宋体"/>
                <w:i w:val="0"/>
                <w:iCs w:val="0"/>
                <w:color w:val="000000"/>
                <w:sz w:val="24"/>
                <w:szCs w:val="24"/>
                <w:u w:val="none"/>
              </w:rPr>
            </w:pPr>
          </w:p>
        </w:tc>
      </w:tr>
      <w:tr w14:paraId="24A9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5" w:hRule="atLeast"/>
        </w:trPr>
        <w:tc>
          <w:tcPr>
            <w:tcW w:w="1061" w:type="dxa"/>
            <w:vMerge w:val="continue"/>
            <w:noWrap/>
            <w:vAlign w:val="center"/>
          </w:tcPr>
          <w:p w14:paraId="74206C98">
            <w:pPr>
              <w:jc w:val="center"/>
              <w:rPr>
                <w:rFonts w:hint="eastAsia" w:ascii="宋体" w:hAnsi="宋体" w:eastAsia="宋体" w:cs="宋体"/>
                <w:i w:val="0"/>
                <w:iCs w:val="0"/>
                <w:color w:val="000000"/>
                <w:sz w:val="24"/>
                <w:szCs w:val="24"/>
                <w:u w:val="none"/>
              </w:rPr>
            </w:pPr>
          </w:p>
        </w:tc>
        <w:tc>
          <w:tcPr>
            <w:tcW w:w="1134" w:type="dxa"/>
            <w:noWrap/>
            <w:vAlign w:val="center"/>
          </w:tcPr>
          <w:p w14:paraId="7AE05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听力筛查仪</w:t>
            </w:r>
          </w:p>
        </w:tc>
        <w:tc>
          <w:tcPr>
            <w:tcW w:w="908" w:type="dxa"/>
            <w:noWrap/>
            <w:vAlign w:val="center"/>
          </w:tcPr>
          <w:p w14:paraId="4CAFF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1FB6F9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测试方法：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TEOAE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评估方法：噪音加权平均、信号峰值计算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刺激类型：Click（非线性）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刺激水平：70-84 dB SPL(45-60 dB HL) 依靠耳道容积自行校准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刺激速率：接近60Hz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频率范围：1.5-4.5kHz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显示：统计波形、测试进程、TEOAE水平、噪音水平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主机操作语言：主机全中文测试界面，中文输入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主机显示类型：彩色，TFT，触摸屏，带有可调节LED背光灯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240×320像素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按键耐用性：每个触屏点最少100万次重复使用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主机按键：电阻式触屏按键（可使用手套）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内存：主机存储器可以储存250个测试者资料或者最少500个测试结果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OAE探头连接器：14 Pin ODU Medisnap-用于连接OAE探头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实时时钟：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整合的实时时钟测试过程中的时间标志；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备份：电池卸下时，保存至少5天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运输及存储环境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温度范围：-20～+60℃ （-4～140℉）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湿度范围：20～80%（相对），不凝结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气压：500 hPa～1060 hPa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温度范围：10～40℃ （50～104℉）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湿度范围：30～80%（相对），不凝结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气压：600hPa～1060 hPa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标准：耳声发射：EN60645-6, 2型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患者安全：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EN60601-1，内部供电，BF型，IPXO</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UL 60601-1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IEC 60601-1-26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IEC 60601-2-40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EMC: EN 60601-1-2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电源及电池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电池类型：可充电锂电池3.7V/1800mAh（6.7Wh），满电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预计电池电量：连续使用8小时（基于标准使用，实际使用中或影响电池使用时长）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电池等级指示器：5级电池等级指示器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直流电源输入：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输入电压：5 V DC±5%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最大功耗：0.25VA （5V， 50mA）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电源适配器：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输入电压/范围：100-240V AC， 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输出电压：5.0 V DC/min. 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探头线：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长度约120cm （约55英寸）的柔韧屏蔽线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探头主体：</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20mm ø×23×11mm (0.8” ø×0.9”×0.43”)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探头尖：</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3.3mmø×10mm（0.13” ø×0.4”）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耳塞：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标准（圆筒状）：4种型号（3.7-5mm）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树状耳塞： 1种型号（4-7mm）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泡沫状耳塞：1种型号（13mm）</w:t>
            </w:r>
          </w:p>
        </w:tc>
        <w:tc>
          <w:tcPr>
            <w:tcW w:w="840" w:type="dxa"/>
            <w:noWrap/>
            <w:vAlign w:val="center"/>
          </w:tcPr>
          <w:p w14:paraId="1296EA25">
            <w:pPr>
              <w:rPr>
                <w:rFonts w:hint="eastAsia" w:ascii="宋体" w:hAnsi="宋体" w:eastAsia="宋体" w:cs="宋体"/>
                <w:i w:val="0"/>
                <w:iCs w:val="0"/>
                <w:color w:val="000000"/>
                <w:sz w:val="24"/>
                <w:szCs w:val="24"/>
                <w:u w:val="none"/>
              </w:rPr>
            </w:pPr>
          </w:p>
        </w:tc>
      </w:tr>
      <w:tr w14:paraId="77DE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61" w:type="dxa"/>
            <w:vMerge w:val="continue"/>
            <w:noWrap/>
            <w:vAlign w:val="center"/>
          </w:tcPr>
          <w:p w14:paraId="1618E8E5">
            <w:pPr>
              <w:jc w:val="center"/>
              <w:rPr>
                <w:rFonts w:hint="eastAsia" w:ascii="宋体" w:hAnsi="宋体" w:eastAsia="宋体" w:cs="宋体"/>
                <w:i w:val="0"/>
                <w:iCs w:val="0"/>
                <w:color w:val="000000"/>
                <w:sz w:val="24"/>
                <w:szCs w:val="24"/>
                <w:u w:val="none"/>
              </w:rPr>
            </w:pPr>
          </w:p>
        </w:tc>
        <w:tc>
          <w:tcPr>
            <w:tcW w:w="1134" w:type="dxa"/>
            <w:noWrap/>
            <w:vAlign w:val="center"/>
          </w:tcPr>
          <w:p w14:paraId="28CB3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针头毁形器</w:t>
            </w:r>
          </w:p>
        </w:tc>
        <w:tc>
          <w:tcPr>
            <w:tcW w:w="908" w:type="dxa"/>
            <w:noWrap/>
            <w:vAlign w:val="center"/>
          </w:tcPr>
          <w:p w14:paraId="6E757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highlight w:val="yellow"/>
                <w:u w:val="none"/>
                <w:lang w:val="en-US" w:eastAsia="zh-CN" w:bidi="ar"/>
              </w:rPr>
              <w:t>2</w:t>
            </w:r>
            <w:r>
              <w:rPr>
                <w:rFonts w:hint="eastAsia" w:ascii="宋体" w:hAnsi="宋体" w:eastAsia="宋体" w:cs="宋体"/>
                <w:i w:val="0"/>
                <w:iCs w:val="0"/>
                <w:color w:val="000000"/>
                <w:kern w:val="0"/>
                <w:sz w:val="24"/>
                <w:szCs w:val="24"/>
                <w:highlight w:val="yellow"/>
                <w:u w:val="none"/>
                <w:lang w:val="en-US" w:eastAsia="zh-CN" w:bidi="ar"/>
              </w:rPr>
              <w:t>台</w:t>
            </w:r>
          </w:p>
        </w:tc>
        <w:tc>
          <w:tcPr>
            <w:tcW w:w="5235" w:type="dxa"/>
            <w:noWrap w:val="0"/>
            <w:vAlign w:val="center"/>
          </w:tcPr>
          <w:p w14:paraId="6A48E9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1、采用110V-220V电压，熔化注射针头（0.45-1.0mm）、并刺破针管，从而消除了医疗垃圾重复使用、污染、伤害。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2、具有高熔点温度1250摄氏度，采用耐腐蚀、导电性好的特殊合金，安全设计制造，使用寿命长。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3、本机易损件经过特殊设计，便于清洗消毒。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4、医护人员给患者注射后无需换手、一条龙彻底销毁，操作简便，安全可靠。</w:t>
            </w:r>
          </w:p>
        </w:tc>
        <w:tc>
          <w:tcPr>
            <w:tcW w:w="840" w:type="dxa"/>
            <w:noWrap/>
            <w:vAlign w:val="center"/>
          </w:tcPr>
          <w:p w14:paraId="3EC89DB8">
            <w:pPr>
              <w:rPr>
                <w:rFonts w:hint="eastAsia" w:ascii="宋体" w:hAnsi="宋体" w:eastAsia="宋体" w:cs="宋体"/>
                <w:i w:val="0"/>
                <w:iCs w:val="0"/>
                <w:color w:val="000000"/>
                <w:sz w:val="24"/>
                <w:szCs w:val="24"/>
                <w:u w:val="none"/>
              </w:rPr>
            </w:pPr>
          </w:p>
        </w:tc>
      </w:tr>
      <w:tr w14:paraId="6C2C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61" w:type="dxa"/>
            <w:vMerge w:val="continue"/>
            <w:noWrap/>
            <w:vAlign w:val="center"/>
          </w:tcPr>
          <w:p w14:paraId="367A8C63">
            <w:pPr>
              <w:jc w:val="center"/>
              <w:rPr>
                <w:rFonts w:hint="eastAsia" w:ascii="宋体" w:hAnsi="宋体" w:eastAsia="宋体" w:cs="宋体"/>
                <w:i w:val="0"/>
                <w:iCs w:val="0"/>
                <w:color w:val="000000"/>
                <w:sz w:val="24"/>
                <w:szCs w:val="24"/>
                <w:u w:val="none"/>
              </w:rPr>
            </w:pPr>
          </w:p>
        </w:tc>
        <w:tc>
          <w:tcPr>
            <w:tcW w:w="1134" w:type="dxa"/>
            <w:noWrap/>
            <w:vAlign w:val="center"/>
          </w:tcPr>
          <w:p w14:paraId="3F0F1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类风湿因子滴度仪</w:t>
            </w:r>
          </w:p>
        </w:tc>
        <w:tc>
          <w:tcPr>
            <w:tcW w:w="908" w:type="dxa"/>
            <w:noWrap/>
            <w:vAlign w:val="center"/>
          </w:tcPr>
          <w:p w14:paraId="391E7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7C4B145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工作原理  化学发光免疫分析技术：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检测模块光谱测定范围   340nm～650nm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检测模块动态范围 1s-1～107s-1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试剂位 6个，单人份试剂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样本位 6个，批处理模式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检测通量 20T/h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 xml:space="preserve"> 样本类型 人类血清、血浆、全血、尿液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 xml:space="preserve"> 正常工作环境条件 环境温度：10℃～30℃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相对湿度：≤70%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大气压力 ：85.0kPa～106.0 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防护等级：IPX0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远离强磁场干扰源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避免强磁场干扰源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具有良好的接地环境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 仪器噪声 不超过100RLU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 xml:space="preserve"> 发光值的线性 在不小于3个发光值数量级范围内，线性相关系数(r)应≥0.99。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 xml:space="preserve"> 发光值的重复性 采用发光剂法，变异系数（CV）不超过5%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发光值的稳定性 采用发光剂法，发光值的变化不超过±10%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临床项目的批内精密度 CV≤8%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加样正确度与重复性 50μL加样量，加样正确度不超过±10%，变异系数不超过3%，100μL加样量，加样正确度不超过±5%，变异系数不超过2%，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反应区温度控制的正确度和波动度反应区温度的偏倚应在设定值（37℃）的±0.5℃内，波动度不超过0.5℃。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计算机 嵌入式微电脑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CPU：ROCKCHIP RK3288 四核Cortex-A17s 主频 1.8GHz  LPDDR3标配4GB  eMMC标配 16G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 xml:space="preserve"> 功能 </w:t>
            </w:r>
          </w:p>
          <w:p w14:paraId="24F9DB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1、用户可以通过人机对话指令，使仪器能自动完成不同样品、测试项目的分析任务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2、仪器自动提示试剂等消耗品、废弃物的状态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3、仪器具备自检功能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4、故障提示：仪器对操作错误、机械及电路故障具有相应提示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5、反应区容量：6通道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6、热敏打印机快速打印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 xml:space="preserve"> 可开展项目 甲功七项，性激素七项，肿瘤标志物15项，细胞因子13项，骨代谢3项，糖尿病8项，心肌五项，血管内皮生长因子。</w:t>
            </w:r>
          </w:p>
        </w:tc>
        <w:tc>
          <w:tcPr>
            <w:tcW w:w="840" w:type="dxa"/>
            <w:noWrap/>
            <w:vAlign w:val="center"/>
          </w:tcPr>
          <w:p w14:paraId="458F071A">
            <w:pPr>
              <w:rPr>
                <w:rFonts w:hint="eastAsia" w:ascii="宋体" w:hAnsi="宋体" w:eastAsia="宋体" w:cs="宋体"/>
                <w:i w:val="0"/>
                <w:iCs w:val="0"/>
                <w:color w:val="000000"/>
                <w:sz w:val="24"/>
                <w:szCs w:val="24"/>
                <w:u w:val="none"/>
              </w:rPr>
            </w:pPr>
          </w:p>
        </w:tc>
      </w:tr>
      <w:tr w14:paraId="2196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0" w:hRule="atLeast"/>
        </w:trPr>
        <w:tc>
          <w:tcPr>
            <w:tcW w:w="1061" w:type="dxa"/>
            <w:vMerge w:val="restart"/>
            <w:noWrap/>
            <w:vAlign w:val="center"/>
          </w:tcPr>
          <w:p w14:paraId="559D9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称文镇卫生院</w:t>
            </w:r>
          </w:p>
        </w:tc>
        <w:tc>
          <w:tcPr>
            <w:tcW w:w="1134" w:type="dxa"/>
            <w:noWrap/>
            <w:vAlign w:val="center"/>
          </w:tcPr>
          <w:p w14:paraId="5CDE0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24小时血压检测仪</w:t>
            </w:r>
          </w:p>
        </w:tc>
        <w:tc>
          <w:tcPr>
            <w:tcW w:w="908" w:type="dxa"/>
            <w:noWrap/>
            <w:vAlign w:val="center"/>
          </w:tcPr>
          <w:p w14:paraId="142DC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w:t>
            </w:r>
          </w:p>
        </w:tc>
        <w:tc>
          <w:tcPr>
            <w:tcW w:w="5235" w:type="dxa"/>
            <w:noWrap w:val="0"/>
            <w:vAlign w:val="center"/>
          </w:tcPr>
          <w:p w14:paraId="23AFCF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一、动态血压记录仪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1、数据连接：USB数据线、蓝牙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2、测量方法：示波法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3、压力测量范围：0~37.3kPa(0mmHg~280mmHg)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4、脉率测量范围：40bpm~240bpm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5、分辨率：血压读数的分辨率为1mmHg，脉搏读数的分辨率为1BPM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6、准确性：应符合YY0670-2008中4.5.4的要求，无论升压还是降压，在量程中的任何测量点上，袖带内压力测量的最大误差应为±3mmHg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7、脉率准确性：±2BPM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8、最大袖带压：血压监测仪袖带压力超过40.0kPa(300mmHg)时应自动打开电磁阀放气；袖带压处在2kPa(15mmHg)以上时间小于3min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9、泄气：在充气系统阀门全开快速放气的情况下，压力从34.67kPa(260mmHg)降到2kPa(15mmHg)的时间不超过10s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10、数据储存器：闪存储存高达999个读数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11、测量间隔时间：血压测量的间隔时间可选择为5，10，15，20，25，30，35，40，45，50，55，60，65，70，75，80，85，90，95，100，105，110，115，120分钟的任何一种，时间误差不超过选择值的5%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12、内置加速感应器，支持患者运动状态检测，帮助血压分析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13、血压示值范围：0 ～ 300 mmHg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14、测量范围： 收缩压：30 ～ 254 mmHg，  舒张压：10 ～ 220 mmHg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二、动态血压分析软件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1、存储记录全过程动态血压波形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2、分析界面操作简洁，可提供符合临床使用习惯的汇总页报告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3、支持设置昼、夜、早晨、特殊等多种不同时间间隔测量方案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4、为临床提供丰富全面的图形报告，包含圆饼图、散点图、趋势图、直方图</w:t>
            </w:r>
          </w:p>
        </w:tc>
        <w:tc>
          <w:tcPr>
            <w:tcW w:w="840" w:type="dxa"/>
            <w:noWrap/>
            <w:vAlign w:val="center"/>
          </w:tcPr>
          <w:p w14:paraId="6DAB6DE5">
            <w:pPr>
              <w:rPr>
                <w:rFonts w:hint="eastAsia" w:ascii="宋体" w:hAnsi="宋体" w:eastAsia="宋体" w:cs="宋体"/>
                <w:i w:val="0"/>
                <w:iCs w:val="0"/>
                <w:color w:val="000000"/>
                <w:sz w:val="24"/>
                <w:szCs w:val="24"/>
                <w:u w:val="none"/>
              </w:rPr>
            </w:pPr>
          </w:p>
        </w:tc>
      </w:tr>
      <w:tr w14:paraId="04D8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9" w:hRule="atLeast"/>
        </w:trPr>
        <w:tc>
          <w:tcPr>
            <w:tcW w:w="1061" w:type="dxa"/>
            <w:vMerge w:val="continue"/>
            <w:noWrap/>
            <w:vAlign w:val="center"/>
          </w:tcPr>
          <w:p w14:paraId="096FED86">
            <w:pPr>
              <w:jc w:val="center"/>
              <w:rPr>
                <w:rFonts w:hint="eastAsia" w:ascii="宋体" w:hAnsi="宋体" w:eastAsia="宋体" w:cs="宋体"/>
                <w:i w:val="0"/>
                <w:iCs w:val="0"/>
                <w:color w:val="000000"/>
                <w:sz w:val="24"/>
                <w:szCs w:val="24"/>
                <w:u w:val="none"/>
              </w:rPr>
            </w:pPr>
          </w:p>
        </w:tc>
        <w:tc>
          <w:tcPr>
            <w:tcW w:w="1134" w:type="dxa"/>
            <w:noWrap/>
            <w:vAlign w:val="center"/>
          </w:tcPr>
          <w:p w14:paraId="346AE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听力筛查仪</w:t>
            </w:r>
          </w:p>
        </w:tc>
        <w:tc>
          <w:tcPr>
            <w:tcW w:w="908" w:type="dxa"/>
            <w:noWrap/>
            <w:vAlign w:val="center"/>
          </w:tcPr>
          <w:p w14:paraId="3DC59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040C4F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测试方法：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TEOAE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评估方法：噪音加权平均、信号峰值计算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刺激类型：Click（非线性）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刺激水平：70-84 dB SPL(45-60 dB HL) 依靠耳道容积自行校准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刺激速率：接近60Hz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频率范围：1.5-4.5kHz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显示：统计波形、测试进程、TEOAE水平、噪音水平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主机操作语言：主机全中文测试界面，中文输入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主机显示类型：彩色，TFT，触摸屏，带有可调节LED背光灯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分辨率：≥240×320像素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按键耐用性：每个触屏点最少100万次重复使用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主机按键：电阻式触屏按键（可使用手套）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内存：主机存储器可以储存250个测试者资料或者最少500个测试结果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OAE探头连接器：14 Pin ODU Medisnap-用于连接OAE探头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实时时钟：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整合的实时时钟测试过程中的时间标志；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备份：电池卸下时，保存至少5天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运输及存储环境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温度范围：-20～+60℃ （-4～140℉）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湿度范围：20～80%（相对），不凝结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气压：500 hPa～1060 hPa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温度范围：10～40℃ （50～104℉）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湿度范围：30～80%（相对），不凝结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气压：600hPa～1060 hPa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标准：耳声发射：EN60645-6, 2型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患者安全：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EN60601-1，内部供电，BF型，IPXO</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UL 60601-1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IEC 60601-1-26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IEC 60601-2-40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EMC: EN 60601-1-2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电源及电池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电池类型：可充电锂电池3.7V/1800mAh（6.7Wh），满电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预计电池电量：连续使用8小时（基于标准使用，实际使用中或影响电池使用时长）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电池等级指示器：5级电池等级指示器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直流电源输入：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输入电压：5 V DC±5%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最大功耗：0.25VA （5V， 50mA）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电源适配器：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输入电压/范围：100-240V AC， 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输出电压：5.0 V DC/min. 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电源插头类型：美国，英国，欧洲及澳大利亚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探头线：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长度约120cm （约55英寸）的柔韧屏蔽线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探头主体：</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20mm ø×23×11mm (0.8” ø×0.9”×0.43”)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探头尖：</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3.3mmø×10mm（0.13” ø×0.4”）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耳塞：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标准（圆筒状）：4种型号（3.7-5mm）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树状耳塞： 1种型号（4-7mm）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泡沫状耳塞：1种型号（13mm）</w:t>
            </w:r>
          </w:p>
        </w:tc>
        <w:tc>
          <w:tcPr>
            <w:tcW w:w="840" w:type="dxa"/>
            <w:noWrap/>
            <w:vAlign w:val="center"/>
          </w:tcPr>
          <w:p w14:paraId="209FFE83">
            <w:pPr>
              <w:rPr>
                <w:rFonts w:hint="eastAsia" w:ascii="宋体" w:hAnsi="宋体" w:eastAsia="宋体" w:cs="宋体"/>
                <w:i w:val="0"/>
                <w:iCs w:val="0"/>
                <w:color w:val="000000"/>
                <w:sz w:val="24"/>
                <w:szCs w:val="24"/>
                <w:u w:val="none"/>
              </w:rPr>
            </w:pPr>
          </w:p>
        </w:tc>
      </w:tr>
      <w:tr w14:paraId="4ADF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061" w:type="dxa"/>
            <w:vMerge w:val="continue"/>
            <w:noWrap/>
            <w:vAlign w:val="center"/>
          </w:tcPr>
          <w:p w14:paraId="66557AFA">
            <w:pPr>
              <w:jc w:val="center"/>
              <w:rPr>
                <w:rFonts w:hint="eastAsia" w:ascii="宋体" w:hAnsi="宋体" w:eastAsia="宋体" w:cs="宋体"/>
                <w:i w:val="0"/>
                <w:iCs w:val="0"/>
                <w:color w:val="000000"/>
                <w:sz w:val="24"/>
                <w:szCs w:val="24"/>
                <w:u w:val="none"/>
              </w:rPr>
            </w:pPr>
          </w:p>
        </w:tc>
        <w:tc>
          <w:tcPr>
            <w:tcW w:w="1134" w:type="dxa"/>
            <w:noWrap/>
            <w:vAlign w:val="center"/>
          </w:tcPr>
          <w:p w14:paraId="2A57F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动态心电监护仪</w:t>
            </w:r>
          </w:p>
        </w:tc>
        <w:tc>
          <w:tcPr>
            <w:tcW w:w="908" w:type="dxa"/>
            <w:noWrap/>
            <w:vAlign w:val="center"/>
          </w:tcPr>
          <w:p w14:paraId="04639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w:t>
            </w:r>
          </w:p>
        </w:tc>
        <w:tc>
          <w:tcPr>
            <w:tcW w:w="5235" w:type="dxa"/>
            <w:noWrap w:val="0"/>
            <w:vAlign w:val="center"/>
          </w:tcPr>
          <w:p w14:paraId="60A357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一、技术参数及指标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1、电源：DC 1.5V，1 节AAA 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记录时间：连续记录72小时以上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、外壳材料：ABS塑料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导联(通道)：12导，3导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、频率响应：0.05～65HZ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、记录方式：全信息无压缩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、输入阻抗：≥30MΩ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、增益:5、10、20、40mm/mv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、共模抑制比：≥100dB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、采样率：128-1024次/秒/通道，起博采样率32000HZ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、显示：LCD显示文字和波形，支持中、英文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、转换精度：12或16位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、实时时钟：年、月、日；时、分、秒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、数据接口：SD卡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、存储介质：Flash卡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、导联线插头：19 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、导联线：10 芯、5芯、7芯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、起博检测：支持，起博采样率32000HZ；独立显示通道，3通道检测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、操作温度：10°C-45°C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、存储温度：-20°C-55°C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、操作湿度：10%-95%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、存储湿度：10%-95%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二、分析软件功能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1.模板分析功能 1．根据病人实际波形逐跳进行模板分类, 所以模板数目因人而异, 而非固定, 确保异常波形疏而不漏, 使心律失常分析更加细致准确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2．图形学再分解，可对形态相同，定义不同的心搏进行再分类及定义编辑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2.智能化室上性早搏分析, 具有专业分析工具 医生可根据N-N 间期比例直方图，配合同步SVE事件回顾及心电条图, 根据病人实际波形随时确认并调整提前量，使室上早搏分析更加准确快速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3.自动及手动房颤房扑分析, 具有专业分析工具 1.可用区域划分的方法手动做阵发性房颤及房扑的分析，编辑方便，某一时段出现伪差也可用这种方法编辑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2.采用自动房颤检测功能，提高阵发性房颤编辑的效率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起搏器分析功能 可做真正的起搏器分析，根据起搏参数统计起搏失败、输出失败、感知过度、感知失灵。起博采样率达32000HZ，独立起博通道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5.ST段高分辨率波形测量功能 1.在完成心律失常编辑后，对正常QRS波做实时高分辨率波形测量，保证测量的准确性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2.测量点可根据波形手动调整，更进一步保证测量的准确性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6.条图编辑功能灵活的条图编辑功能，人工参与程度高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7.事件分析及定义 对传导阻滞及暂停的事件可通过定义R-R 及N-N 间期(例如大于2000ms), 快速统计所有相关事件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8.提供多种分析工具及测量工具 1.心电波形上可实时测量并显示R-R 间期数值, 为医生提供最直接的间期分析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2.提供角规测量功能, 医生可实时测量任一间期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9.打印功能 全面支持打印御览，打印网络及光盘刻录系统,彩色打印与纵向即时打印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10.心电数据管理 holter数据可输入网络心电信息系统，实现网络共享及无纸化办公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11.分析时间单通道分析 13秒   多通道分析 30秒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直方图将24小时的RR间期直方图，用不同的颜色进行显示，可以选择，任何时刻任意RR间期的QRS，进行快速编辑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13.反混淆二次归类自动反混淆，与图形叠加反混淆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14.心率趋势图以时间为横轴，心率值为纵轴，将一段时间内的心率数据以曲线的形式呈现出来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15.直方图编辑方法手动选择指定时间，指定RR间期范围内的QRS，对QRS的属性进行编辑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16.多通道分析 多通道分析 ，选中的三个通道，即使只有一个通道有QRS，系统也不遗漏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17.QRS批量智能插入对于所有通道都为直线的区域，能够根据智能插值算法，动态批量插入QRS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18.远程动态心电网络提供院内动态心电设备互联,院外远程会诊网络系统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19.心率变异性分析分析准确，提供时域及频域变异分析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20.散点图 提供整体散点图反向混沌技术，时间分段散点图技术，分时散点图技术。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21.报告自定义功能可自定义报告打印项目、页边距、字体、行距、图条打印通道和长度等信息，支持单通道长时间打印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22.用户管理 支持医生数字签名，支持多医生登陆密码设置，提高安全性</w:t>
            </w:r>
          </w:p>
        </w:tc>
        <w:tc>
          <w:tcPr>
            <w:tcW w:w="840" w:type="dxa"/>
            <w:noWrap/>
            <w:vAlign w:val="center"/>
          </w:tcPr>
          <w:p w14:paraId="391E763F">
            <w:pPr>
              <w:rPr>
                <w:rFonts w:hint="eastAsia" w:ascii="宋体" w:hAnsi="宋体" w:eastAsia="宋体" w:cs="宋体"/>
                <w:i w:val="0"/>
                <w:iCs w:val="0"/>
                <w:color w:val="000000"/>
                <w:sz w:val="24"/>
                <w:szCs w:val="24"/>
                <w:u w:val="none"/>
              </w:rPr>
            </w:pPr>
          </w:p>
        </w:tc>
      </w:tr>
      <w:tr w14:paraId="499A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061" w:type="dxa"/>
            <w:vMerge w:val="continue"/>
            <w:noWrap/>
            <w:vAlign w:val="center"/>
          </w:tcPr>
          <w:p w14:paraId="1EB41DC1">
            <w:pPr>
              <w:jc w:val="center"/>
              <w:rPr>
                <w:rFonts w:hint="eastAsia" w:ascii="宋体" w:hAnsi="宋体" w:eastAsia="宋体" w:cs="宋体"/>
                <w:i w:val="0"/>
                <w:iCs w:val="0"/>
                <w:color w:val="000000"/>
                <w:sz w:val="24"/>
                <w:szCs w:val="24"/>
                <w:u w:val="none"/>
              </w:rPr>
            </w:pPr>
          </w:p>
        </w:tc>
        <w:tc>
          <w:tcPr>
            <w:tcW w:w="1134" w:type="dxa"/>
            <w:noWrap/>
            <w:vAlign w:val="center"/>
          </w:tcPr>
          <w:p w14:paraId="167AB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电动吸引器</w:t>
            </w:r>
          </w:p>
        </w:tc>
        <w:tc>
          <w:tcPr>
            <w:tcW w:w="908" w:type="dxa"/>
            <w:noWrap/>
            <w:vAlign w:val="center"/>
          </w:tcPr>
          <w:p w14:paraId="3DE3C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453686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产品用途：供医疗手术时作真空吸引用，不适合流产吸引用。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结构特征：产品结构主要由活塞泵、真空表、负压调节阀、空气过滤器、贮液瓶、脚踏开关等部件组成。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工作原理：采用无油润滑活塞泵，无油雾污染。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主要技术指标： 电源电压：AC220V±10%，50Hz±1Hz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输入功率：≤180VA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吸引泵：活塞泵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极限负压值：≥0.09MPa（760mmHg）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负压调节范围：0.02MPa-极限负压值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噪声：≤65dB(A)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抽气速率：≥20L/min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贮液瓶容量：2500mL/只，2只一组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熔丝管：F2AL250V，Φ5*20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本机不适合在易燃、易爆气体的场合使用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工作制：间隙加载的连续运行，最长连续工作时间30分钟,持续率50%。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电器要求：I类设备，B型应用部分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正常工作条件： 环境温度范围：+5℃- +35℃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相对湿度范围：30%-80%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大气压力范围：860hPa-1060hPa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注意：包装后的电动吸引器应贮存在相对湿度不超过93%，无腐蚀性气体和通风良好的室内，运输时避免剧震。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附件清单 腹腔吸引管  一支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吸引软导管（长度2M，7*12） 一根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熔丝管（F2AL250V，Φ5*20） 二只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空气过滤器   二只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电源线    一根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脚踏开关   一只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说明书、保修卡、合格证，各一份</w:t>
            </w:r>
          </w:p>
        </w:tc>
        <w:tc>
          <w:tcPr>
            <w:tcW w:w="840" w:type="dxa"/>
            <w:noWrap/>
            <w:vAlign w:val="center"/>
          </w:tcPr>
          <w:p w14:paraId="62E204B9">
            <w:pPr>
              <w:rPr>
                <w:rFonts w:hint="eastAsia" w:ascii="宋体" w:hAnsi="宋体" w:eastAsia="宋体" w:cs="宋体"/>
                <w:i w:val="0"/>
                <w:iCs w:val="0"/>
                <w:color w:val="000000"/>
                <w:sz w:val="24"/>
                <w:szCs w:val="24"/>
                <w:u w:val="none"/>
              </w:rPr>
            </w:pPr>
          </w:p>
        </w:tc>
      </w:tr>
      <w:tr w14:paraId="38FC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061" w:type="dxa"/>
            <w:vMerge w:val="continue"/>
            <w:noWrap/>
            <w:vAlign w:val="center"/>
          </w:tcPr>
          <w:p w14:paraId="6875849F">
            <w:pPr>
              <w:jc w:val="center"/>
              <w:rPr>
                <w:rFonts w:hint="eastAsia" w:ascii="宋体" w:hAnsi="宋体" w:eastAsia="宋体" w:cs="宋体"/>
                <w:i w:val="0"/>
                <w:iCs w:val="0"/>
                <w:color w:val="000000"/>
                <w:sz w:val="24"/>
                <w:szCs w:val="24"/>
                <w:u w:val="none"/>
              </w:rPr>
            </w:pPr>
          </w:p>
        </w:tc>
        <w:tc>
          <w:tcPr>
            <w:tcW w:w="1134" w:type="dxa"/>
            <w:noWrap/>
            <w:vAlign w:val="center"/>
          </w:tcPr>
          <w:p w14:paraId="21009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针头毁形器</w:t>
            </w:r>
          </w:p>
        </w:tc>
        <w:tc>
          <w:tcPr>
            <w:tcW w:w="908" w:type="dxa"/>
            <w:noWrap/>
            <w:vAlign w:val="center"/>
          </w:tcPr>
          <w:p w14:paraId="2B945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2A5FE2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1、采用110V-220V电压，熔化注射针头（0.45-1.0mm）、并刺破针管，从而消除了医疗垃圾重复使用、污染、伤害。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2、具有高熔点温度1250摄氏度，采用耐腐蚀、导电性好的特殊合金，安全设计制造，使用寿命长。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3、本机易损件经过特殊设计，便于清洗消毒。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4、医护人员给患者注射后无需换手、一条龙彻底销毁，操作简便，安全可靠。</w:t>
            </w:r>
          </w:p>
        </w:tc>
        <w:tc>
          <w:tcPr>
            <w:tcW w:w="840" w:type="dxa"/>
            <w:noWrap/>
            <w:vAlign w:val="center"/>
          </w:tcPr>
          <w:p w14:paraId="6F801E04">
            <w:pPr>
              <w:rPr>
                <w:rFonts w:hint="eastAsia" w:ascii="宋体" w:hAnsi="宋体" w:eastAsia="宋体" w:cs="宋体"/>
                <w:i w:val="0"/>
                <w:iCs w:val="0"/>
                <w:color w:val="000000"/>
                <w:sz w:val="24"/>
                <w:szCs w:val="24"/>
                <w:u w:val="none"/>
              </w:rPr>
            </w:pPr>
          </w:p>
        </w:tc>
      </w:tr>
      <w:tr w14:paraId="110A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061" w:type="dxa"/>
            <w:vMerge w:val="continue"/>
            <w:noWrap/>
            <w:vAlign w:val="center"/>
          </w:tcPr>
          <w:p w14:paraId="144AFED8">
            <w:pPr>
              <w:jc w:val="center"/>
              <w:rPr>
                <w:rFonts w:hint="eastAsia" w:ascii="宋体" w:hAnsi="宋体" w:eastAsia="宋体" w:cs="宋体"/>
                <w:i w:val="0"/>
                <w:iCs w:val="0"/>
                <w:color w:val="000000"/>
                <w:sz w:val="24"/>
                <w:szCs w:val="24"/>
                <w:u w:val="none"/>
              </w:rPr>
            </w:pPr>
          </w:p>
        </w:tc>
        <w:tc>
          <w:tcPr>
            <w:tcW w:w="1134" w:type="dxa"/>
            <w:noWrap/>
            <w:vAlign w:val="center"/>
          </w:tcPr>
          <w:p w14:paraId="0979A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类风湿因子滴度仪</w:t>
            </w:r>
          </w:p>
        </w:tc>
        <w:tc>
          <w:tcPr>
            <w:tcW w:w="908" w:type="dxa"/>
            <w:noWrap/>
            <w:vAlign w:val="center"/>
          </w:tcPr>
          <w:p w14:paraId="41E55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598E27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工作原理  化学发光免疫分析技术：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检测模块光谱测定范围   340nm～650nm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检测模块动态范围 1s-1～107s-1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试剂位 6个，单人份试剂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样本位 6个，批处理模式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检测通量 20T/h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 xml:space="preserve"> 样本类型 人类血清、血浆、全血、尿液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 xml:space="preserve"> 正常工作环境条件 环境温度：10℃～30℃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相对湿度：≤70%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大气压力 ：85.0kPa～106.0 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防护等级：IPX0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远离强磁场干扰源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避免强磁场干扰源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具有良好的接地环境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 仪器噪声 不超过100RLU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 xml:space="preserve"> 发光值的线性在不小于3个发光值数量级范围内，线性相关系数(r)应≥0.99。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 xml:space="preserve"> 发光值的重复性 采用发光剂法，变异系数（CV）不超过5%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发光值的稳定性 采用发光剂法，发光值的变化不超过±10%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临床项目的批内精密度 CV≤8%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加样正确度与重复性 50μL加样量，加样正确度不超过±10%，变异系数不超过3%，100μL加样量，加样正确度不超过±5%，变异系数不超过2%，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反应区温度控制的正确度和波动度 反应区温度的偏倚应在设定值（37℃）的±0.5℃内，波动度不超过0.5℃。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计算机 嵌入式微电脑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CPU：ROCKCHIP RK3288 四核Cortex-A17s 主频 1.8GHz  LPDDR3标配4GB  eMMC标配 16G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 xml:space="preserve"> 功能 1、用户可以通过人机对话指令，使仪器能自动完成不同样品、测试项目的分析任务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2、仪器自动提示试剂等消耗品、废弃物的状态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3、仪器具备自检功能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4、故障提示：仪器对操作错误、机械及电路故障具有相应提示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5、反应区容量：6通道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6、热敏打印机快速打印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 xml:space="preserve"> 可开展项目 甲功七项，性激素七项，肿瘤标志物15项，细胞因子13项，骨代谢3项，糖尿病8项，心肌五项，血管内皮生长因子。</w:t>
            </w:r>
          </w:p>
        </w:tc>
        <w:tc>
          <w:tcPr>
            <w:tcW w:w="840" w:type="dxa"/>
            <w:noWrap/>
            <w:vAlign w:val="center"/>
          </w:tcPr>
          <w:p w14:paraId="7E784E84">
            <w:pPr>
              <w:rPr>
                <w:rFonts w:hint="eastAsia" w:ascii="宋体" w:hAnsi="宋体" w:eastAsia="宋体" w:cs="宋体"/>
                <w:i w:val="0"/>
                <w:iCs w:val="0"/>
                <w:color w:val="000000"/>
                <w:sz w:val="24"/>
                <w:szCs w:val="24"/>
                <w:u w:val="none"/>
              </w:rPr>
            </w:pPr>
          </w:p>
        </w:tc>
      </w:tr>
      <w:tr w14:paraId="4B87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3" w:hRule="atLeast"/>
        </w:trPr>
        <w:tc>
          <w:tcPr>
            <w:tcW w:w="1061" w:type="dxa"/>
            <w:vMerge w:val="continue"/>
            <w:noWrap/>
            <w:vAlign w:val="center"/>
          </w:tcPr>
          <w:p w14:paraId="5BC0D217">
            <w:pPr>
              <w:jc w:val="center"/>
              <w:rPr>
                <w:rFonts w:hint="eastAsia" w:ascii="宋体" w:hAnsi="宋体" w:eastAsia="宋体" w:cs="宋体"/>
                <w:i w:val="0"/>
                <w:iCs w:val="0"/>
                <w:color w:val="000000"/>
                <w:sz w:val="24"/>
                <w:szCs w:val="24"/>
                <w:u w:val="none"/>
              </w:rPr>
            </w:pPr>
          </w:p>
        </w:tc>
        <w:tc>
          <w:tcPr>
            <w:tcW w:w="1134" w:type="dxa"/>
            <w:noWrap/>
            <w:vAlign w:val="center"/>
          </w:tcPr>
          <w:p w14:paraId="031D0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太空熏蒸治疗仪</w:t>
            </w:r>
          </w:p>
        </w:tc>
        <w:tc>
          <w:tcPr>
            <w:tcW w:w="908" w:type="dxa"/>
            <w:noWrap/>
            <w:vAlign w:val="center"/>
          </w:tcPr>
          <w:p w14:paraId="552D8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2021C3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1、电源：交流电压220V，频率50Hz。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2、功率：2300W。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3、微电脑控制操作系统，具有自动定时、自动控温、自动漏电保护、自动防干烧、雾化功能、过载保护、预热功能，治疗结束自动提示。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、治疗机温度：可在1～99℃范围设定，室温～45℃为熏蒸温度，步进1℃，允差为±5℃，46～99℃为煎药温度。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、治疗机治疗时间控制：治疗总时间可在1～99min内设定，允差±30s，治疗时间达到设定时间时，有蜂鸣提示音，加热装置自动断电。具有单独停止加热按钮。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、上水方式为自动，加热锅最大容积：5L。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、中药药液雾化功能：单区雾化量大于40mL/h。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、治疗机防干烧装置：当药液加热器无液体时，不能加热，并有提示信息。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、运行模式：连续运行。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、熏蒸模式：露头式全身熏蒸和局部式生殖系统熏蒸；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、具有雾化中药药液功能，将药液雾化的药液蒸汽颗粒超微超细，蒸汽携药能力大大增强，真正充分发挥温度、药度、湿度、中药离子渗疗的熏蒸治疗效应。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、熏蒸加热区为单区，加热方式为厚膜管状加热器。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双重超温保护功能：治疗机超过工作温度设定值时，第一路保护装置应启动，停止加热。当温度降低到设定值以下后可以恢复加热。如果第一路保护装置失效造成患者皮肤温度升高至50℃时，第二路保护装置应立即启动，切断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、臭氧消毒功能：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a.开启臭氧消毒功能10min，臭氧浓度应不低于40mg/m³；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b.正常工作是臭氧气体外泄露量应不大于0.16mg/m³。</w:t>
            </w:r>
          </w:p>
        </w:tc>
        <w:tc>
          <w:tcPr>
            <w:tcW w:w="840" w:type="dxa"/>
            <w:noWrap/>
            <w:vAlign w:val="center"/>
          </w:tcPr>
          <w:p w14:paraId="59B6BA7C">
            <w:pPr>
              <w:rPr>
                <w:rFonts w:hint="eastAsia" w:ascii="宋体" w:hAnsi="宋体" w:eastAsia="宋体" w:cs="宋体"/>
                <w:i w:val="0"/>
                <w:iCs w:val="0"/>
                <w:color w:val="000000"/>
                <w:sz w:val="24"/>
                <w:szCs w:val="24"/>
                <w:u w:val="none"/>
              </w:rPr>
            </w:pPr>
          </w:p>
        </w:tc>
      </w:tr>
      <w:tr w14:paraId="6F42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061" w:type="dxa"/>
            <w:vMerge w:val="continue"/>
            <w:noWrap/>
            <w:vAlign w:val="center"/>
          </w:tcPr>
          <w:p w14:paraId="7A11F5CB">
            <w:pPr>
              <w:jc w:val="center"/>
              <w:rPr>
                <w:rFonts w:hint="eastAsia" w:ascii="宋体" w:hAnsi="宋体" w:eastAsia="宋体" w:cs="宋体"/>
                <w:i w:val="0"/>
                <w:iCs w:val="0"/>
                <w:color w:val="000000"/>
                <w:sz w:val="24"/>
                <w:szCs w:val="24"/>
                <w:u w:val="none"/>
              </w:rPr>
            </w:pPr>
          </w:p>
        </w:tc>
        <w:tc>
          <w:tcPr>
            <w:tcW w:w="1134" w:type="dxa"/>
            <w:noWrap/>
            <w:vAlign w:val="center"/>
          </w:tcPr>
          <w:p w14:paraId="60CBD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多参数监护仪</w:t>
            </w:r>
          </w:p>
        </w:tc>
        <w:tc>
          <w:tcPr>
            <w:tcW w:w="908" w:type="dxa"/>
            <w:noWrap/>
            <w:vAlign w:val="center"/>
          </w:tcPr>
          <w:p w14:paraId="0396E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1C47B3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1.监护仪外形结构：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1.1、便携一体式监护仪,可用于监护成人,儿童,新生儿患者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1.2、≥10英寸彩色LED背光液晶显示屏，彩色高分辨率达</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800*600，8通道波形显示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1.3、整机无风扇设计，降低环境噪音干扰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2.监测参数：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2.1、标准配置可监测心电，呼吸，无创血压，血氧饱和度，脉搏和体温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2.2、心电波形速度支持≥4种选择：6.25、12.5、25和50mm/s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2.3、具备智能导联脱落监测功能，个别导联脱落的情况下仍能保持监护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2.5、血氧监测时标配支持PI血氧灌注指数的监测，有效反映血氧灌注情况。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、无创血压支持手动，连续和自动测量模式。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、成人无创血压测量范围：收缩压 25~290mmHg，舒张压 10~250mmHg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、小儿无创血压测量范围：收缩压 25~240mmHg，舒张压 10~200mmHg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、新生儿无创血压测量范围：收缩压 25~140mmHg，舒张压 10~115mmHg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3.1、具有三级声光报警，参数报警级别可调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3.2、具备报警集中设置功能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3.3、具备血液动力学、药物计算功能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3.4、支持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1000小时趋势数据的存储与回顾功能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3.5、具备监护模式、待机模式，演示模式、隐私模式和夜间模式不少于5种工作模式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3.6、具备趋势共存界面、呼吸氧合图界面，大字体显示界面，及标准显示界面等多种显示界面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3.7、标配一块高能锂电池，工作时间可达4小时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3.8、支持监护仪系统日志的向U盘设备的导出功能，日志包括：系统状态、异常和技术报警等，满足设备管理的日常维护需求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3.9、主机集成附件收纳槽，支持将心电、血氧和无创血压等导联线附件进行收纳放置，方便监护仪设备的高效管理和转移。</w:t>
            </w:r>
          </w:p>
        </w:tc>
        <w:tc>
          <w:tcPr>
            <w:tcW w:w="840" w:type="dxa"/>
            <w:noWrap/>
            <w:vAlign w:val="center"/>
          </w:tcPr>
          <w:p w14:paraId="37A7E6B5">
            <w:pPr>
              <w:rPr>
                <w:rFonts w:hint="eastAsia" w:ascii="宋体" w:hAnsi="宋体" w:eastAsia="宋体" w:cs="宋体"/>
                <w:i w:val="0"/>
                <w:iCs w:val="0"/>
                <w:color w:val="000000"/>
                <w:sz w:val="24"/>
                <w:szCs w:val="24"/>
                <w:u w:val="none"/>
              </w:rPr>
            </w:pPr>
          </w:p>
        </w:tc>
      </w:tr>
      <w:tr w14:paraId="53A1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5" w:hRule="atLeast"/>
        </w:trPr>
        <w:tc>
          <w:tcPr>
            <w:tcW w:w="1061" w:type="dxa"/>
            <w:vMerge w:val="continue"/>
            <w:noWrap/>
            <w:vAlign w:val="center"/>
          </w:tcPr>
          <w:p w14:paraId="7695F890">
            <w:pPr>
              <w:jc w:val="center"/>
              <w:rPr>
                <w:rFonts w:hint="eastAsia" w:ascii="宋体" w:hAnsi="宋体" w:eastAsia="宋体" w:cs="宋体"/>
                <w:i w:val="0"/>
                <w:iCs w:val="0"/>
                <w:color w:val="000000"/>
                <w:sz w:val="24"/>
                <w:szCs w:val="24"/>
                <w:u w:val="none"/>
              </w:rPr>
            </w:pPr>
          </w:p>
        </w:tc>
        <w:tc>
          <w:tcPr>
            <w:tcW w:w="1134" w:type="dxa"/>
            <w:noWrap/>
            <w:vAlign w:val="center"/>
          </w:tcPr>
          <w:p w14:paraId="15823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牙椅</w:t>
            </w:r>
          </w:p>
        </w:tc>
        <w:tc>
          <w:tcPr>
            <w:tcW w:w="908" w:type="dxa"/>
            <w:noWrap/>
            <w:vAlign w:val="center"/>
          </w:tcPr>
          <w:p w14:paraId="2FDB6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0688A7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1、医生治疗单元：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1.1、控制系统内置≥3套医生工作程序，满足多位医生使用，可设置的记忆椅位≥15个。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医生治疗单元配有触摸操作面板，可控制椅位运动、口腔灯开关、观片灯开关、冷热漱口水、冲痰盂、光纤手机灯开关，一键全自动水路管道消毒/冲洗功能的开关。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1.3、治疗台托盘配有硅胶衬垫，可拆卸进行高温高压灭菌。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1.4、全自动水路管道消毒冲洗系统，可完成对三用枪、高低速手机线、洁牙机尾线及漱口水的水路消毒。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1.5、下挂式治疗台，可旋转的侧面折叠式器械挂架，旋转角度≥100º。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1.6、水气调节均在器械挂架下方，无需担心因漏水漏气导致电路的损坏，便于维护。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1.7、超大的治疗台器械盘（尺寸≥30×60cm）。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2、助手治疗单元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2.1、吸唾系统采用过滤网设计，避免吸唾管路堵塞。吸唾手柄、吸唾管路均可拆卸清洗消毒。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2.2、触摸式助手位控制面板可控制电动牙科椅复位、出热漱口水、冲痰盂、口腔灯开关。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2.3、助手位配有器械托盘，助手位器械挂架≥4个。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2.4、助手位可进行≥90°旋转，为四手操作提供充足空间需求。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3、侧箱单元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3.1、侧箱可进行≥90°旋转，为四手操作提供充足空间需求。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3.2、可拆卸清洗的陶瓷漱口盆，漱口盆可进行≥180°旋转。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3.3、原厂同品牌LED口腔灯，带蓝光截止功能，光照度范围8000-30000LUX，光照度档位≥4档，感应调节光照度。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3.4、口腔灯的开关方式≥4种。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4、电动牙科椅单元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4.1、采用多关节头枕，可满足成人、儿童及轮椅患者治疗使用。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4.2、通过角度传感器实现椅位记忆。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4.3、电动牙科椅座垫与椅背在下降过程中遇到阻力时，下降自动停止并小幅上升，避免意外伤害发生。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4.4、电动牙科椅配有软启动系统，使电动牙科椅柔性启停。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4.5、超薄椅背设计，使医生有充足的腿部空间以主动体位工作。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5、脚控开关单元：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5.1、采用多功能集成脚控开关，具有器械调速、控制椅位运动、手机单喷气、手机干磨/湿磨切换、口腔灯开关等功能。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5.2、可控制的记忆椅位≥10个。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1、电压：220VAC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2、功率：≥800VA。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3、水压：200－400Kpa。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4、气压：≥550Kpa。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1、高速手机线2条。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2、低速气动马达线1条。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4、三用喷枪2把。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5、强吸/弱吸各1套。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6、LED口腔灯1套。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7、多功能集成脚控开关1套。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8、医生座椅1张。</w:t>
            </w:r>
          </w:p>
        </w:tc>
        <w:tc>
          <w:tcPr>
            <w:tcW w:w="840" w:type="dxa"/>
            <w:noWrap/>
            <w:vAlign w:val="center"/>
          </w:tcPr>
          <w:p w14:paraId="0ABAA3A4">
            <w:pPr>
              <w:rPr>
                <w:rFonts w:hint="eastAsia" w:ascii="宋体" w:hAnsi="宋体" w:eastAsia="宋体" w:cs="宋体"/>
                <w:i w:val="0"/>
                <w:iCs w:val="0"/>
                <w:color w:val="000000"/>
                <w:sz w:val="24"/>
                <w:szCs w:val="24"/>
                <w:u w:val="none"/>
              </w:rPr>
            </w:pPr>
          </w:p>
        </w:tc>
      </w:tr>
      <w:tr w14:paraId="31BC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4" w:hRule="atLeast"/>
        </w:trPr>
        <w:tc>
          <w:tcPr>
            <w:tcW w:w="1061" w:type="dxa"/>
            <w:vMerge w:val="continue"/>
            <w:noWrap/>
            <w:vAlign w:val="center"/>
          </w:tcPr>
          <w:p w14:paraId="3270184E">
            <w:pPr>
              <w:jc w:val="center"/>
              <w:rPr>
                <w:rFonts w:hint="eastAsia" w:ascii="宋体" w:hAnsi="宋体" w:eastAsia="宋体" w:cs="宋体"/>
                <w:i w:val="0"/>
                <w:iCs w:val="0"/>
                <w:color w:val="000000"/>
                <w:sz w:val="24"/>
                <w:szCs w:val="24"/>
                <w:u w:val="none"/>
              </w:rPr>
            </w:pPr>
          </w:p>
        </w:tc>
        <w:tc>
          <w:tcPr>
            <w:tcW w:w="1134" w:type="dxa"/>
            <w:noWrap/>
            <w:vAlign w:val="center"/>
          </w:tcPr>
          <w:p w14:paraId="7D98F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全自动血细胞分析仪</w:t>
            </w:r>
          </w:p>
        </w:tc>
        <w:tc>
          <w:tcPr>
            <w:tcW w:w="908" w:type="dxa"/>
            <w:noWrap/>
            <w:vAlign w:val="center"/>
          </w:tcPr>
          <w:p w14:paraId="5FAFE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317F36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1、工作原理：电阻抗法计数，无氰化物法检测HGB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2、检测参数：≥20项报告参数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3、直方图：3个直方图（包括WBC\RBC\PLT）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4、标本用量：全血模式≤9μl，预稀释模式≤20μl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5、测量模式：全血模式、预稀释模式，独立血红蛋白测量系统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6、工作速度：≥40样本/小时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7、结果储存：≥100000份样本的全部参数和3个直方图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8、试剂系统：提供原厂配套试剂、校准品、质控品；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9、排堵功能：具有正反冲、高压灼烧、浸泡等多种排堵方式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10、报警提示：具有WBC、RBC、PLT结果异常报警功能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11、显示屏：彩色液晶触摸显示屏，同屏显示全部检测结果、直方图、病人信息及报警提示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12、试剂管理：主机内置主要试剂，节省实验室空间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13、数据传输： ≥4个USB接口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14、报告打印：打印中英文报告，格式可选，内置高效热敏打印机，可选USB接口打印机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15、工作环境：自动适应100V~240V电源，≤180VA，50Hz/60Hz，15~30℃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、线性范围：WBC：0~100×109/L；RBC：0~8×1012/L；HGB：0~280g/L；PLT：0~1000×109/L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、支持LIS/HIS系统，实现检验科室信息联网。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、可选配原厂配套的血液细胞分析仪数据管理软件。</w:t>
            </w:r>
          </w:p>
        </w:tc>
        <w:tc>
          <w:tcPr>
            <w:tcW w:w="840" w:type="dxa"/>
            <w:noWrap/>
            <w:vAlign w:val="center"/>
          </w:tcPr>
          <w:p w14:paraId="7F0A3845">
            <w:pPr>
              <w:rPr>
                <w:rFonts w:hint="eastAsia" w:ascii="宋体" w:hAnsi="宋体" w:eastAsia="宋体" w:cs="宋体"/>
                <w:i w:val="0"/>
                <w:iCs w:val="0"/>
                <w:color w:val="000000"/>
                <w:sz w:val="24"/>
                <w:szCs w:val="24"/>
                <w:u w:val="none"/>
              </w:rPr>
            </w:pPr>
          </w:p>
        </w:tc>
      </w:tr>
      <w:tr w14:paraId="1B67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9" w:hRule="atLeast"/>
        </w:trPr>
        <w:tc>
          <w:tcPr>
            <w:tcW w:w="1061" w:type="dxa"/>
            <w:noWrap/>
            <w:vAlign w:val="center"/>
          </w:tcPr>
          <w:p w14:paraId="2FF2F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珍秦镇卫生院</w:t>
            </w:r>
          </w:p>
        </w:tc>
        <w:tc>
          <w:tcPr>
            <w:tcW w:w="1134" w:type="dxa"/>
            <w:noWrap/>
            <w:vAlign w:val="center"/>
          </w:tcPr>
          <w:p w14:paraId="1726B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五分类血细胞分析仪</w:t>
            </w:r>
          </w:p>
        </w:tc>
        <w:tc>
          <w:tcPr>
            <w:tcW w:w="908" w:type="dxa"/>
            <w:noWrap/>
            <w:vAlign w:val="center"/>
          </w:tcPr>
          <w:p w14:paraId="6FB3D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1DC8A7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全自动五分类血液细胞分析仪招标参数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1.检测原理：采用激光散射法对白细胞进行准确的五分类检测，采用免疫散射比浊法进行C-反应蛋白（CRP）测定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2.分类通道：具有独立的嗜碱性粒细胞通道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3.检测参数：≥28项可报告参数（不含散点图和直方图）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4.研究参数：≥12项，包括中性粒细胞和淋巴细胞比值、血小板和淋巴细胞比值、大红细胞、小红细胞、异常淋巴细胞、有核红细胞和原始细胞等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5.检测模式：具有CBC、CBC+DIFF、CBC+DIFF+CRP、CBC+CRP、CRP等5种及以上全血检测模式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6.样本添加：可随时添加样本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7.进样方式：全自动进样，单管封闭进样；急诊位有单管封闭进样仓，有效降低生物污染风险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8.进样器容量：≥40个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9.进样模式：具有独立的静脉全血、末梢全血、预稀释血检测模式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10.样本用量：五分类+CRP模式≤40μl，CRP模式≤20μl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11.检测速度：五分类+CRP模式≥50个样本/小时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12.预稀释模式：自动定量打出稀释液，具备五分类+CRP功能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13.线性范围：WBC：0~400×109/L，PLT：0～5000×109/L，HGB：0-250g/L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14.CRP线性范围：0.3~300mg/L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15.CRP试剂包装规格按人份数注册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16.全血CRP检测时可校正红细胞、白细胞、血小板体积的干扰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17.操作系统：全中文操作分析报告软件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18.排堵方式：正反冲洗，高压灼烧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19.具有原厂配套的试剂、校准品、质控品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.工作电压: (100V-240V～)允差±10%</w:t>
            </w:r>
          </w:p>
        </w:tc>
        <w:tc>
          <w:tcPr>
            <w:tcW w:w="840" w:type="dxa"/>
            <w:noWrap/>
            <w:vAlign w:val="center"/>
          </w:tcPr>
          <w:p w14:paraId="1D59CD66">
            <w:pPr>
              <w:rPr>
                <w:rFonts w:hint="eastAsia" w:ascii="宋体" w:hAnsi="宋体" w:eastAsia="宋体" w:cs="宋体"/>
                <w:i w:val="0"/>
                <w:iCs w:val="0"/>
                <w:color w:val="000000"/>
                <w:sz w:val="24"/>
                <w:szCs w:val="24"/>
                <w:u w:val="none"/>
              </w:rPr>
            </w:pPr>
          </w:p>
        </w:tc>
      </w:tr>
      <w:tr w14:paraId="5E26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1061" w:type="dxa"/>
            <w:vMerge w:val="restart"/>
            <w:noWrap/>
            <w:vAlign w:val="center"/>
          </w:tcPr>
          <w:p w14:paraId="5229F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拉布乡卫生院</w:t>
            </w:r>
          </w:p>
        </w:tc>
        <w:tc>
          <w:tcPr>
            <w:tcW w:w="1134" w:type="dxa"/>
            <w:noWrap/>
            <w:vAlign w:val="center"/>
          </w:tcPr>
          <w:p w14:paraId="22E4D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全自动生化分析仪</w:t>
            </w:r>
          </w:p>
        </w:tc>
        <w:tc>
          <w:tcPr>
            <w:tcW w:w="908" w:type="dxa"/>
            <w:noWrap/>
            <w:vAlign w:val="center"/>
          </w:tcPr>
          <w:p w14:paraId="1170C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15CE0B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1.仪器类型：分立式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2.分析速度：比色恒速≥400T/H，选配ISE速度可达600T/H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3.最大可同时分析项目：≥90个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4.测试原理：比色法、比浊法、离子选择电极法(选配)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5.多试剂支持：支持1-4种试剂的测试项目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6.样本位：100个可扩展至120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7.最小样本加样量：≤1.5μL， 0.1µl步进。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8.试剂位：≥90个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9.试剂盘制冷温度：2～8℃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10.试剂量：10μL～200uL， 0.5µl步进。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11.搅拌杆：≥2个，采用的步进电机搅拌方式，支持实时监控搅拌速度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12.反应杯位：93个,光径5mm；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13.反应体积： 100µl～300uL；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14.温控方式：固体直热，无需添加任何恒温液和保养剂，免维护免保养，反应温度：37℃±0.1℃；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15.比色杯清洗：自动8阶温水清洗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16.光学系统 ：全息凹面光栅后分光系统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17.波长：340～800nm ,12个波长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18.吸光度线性范围：0～3.5 Abs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19.样品携带污染率：≤ 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20.支持HbA1c全血测试功能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21.具有酶线性拓展功能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22.支持一个项目放置多套试剂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23.固定式条码扫描仪选配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24.电解质分析模块选配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25.操作系统：全中文操作界面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26.电脑要求：CPU 2.6G及以上，硬盘 160G及以上，内存 2G及以上</w:t>
            </w:r>
          </w:p>
        </w:tc>
        <w:tc>
          <w:tcPr>
            <w:tcW w:w="840" w:type="dxa"/>
            <w:noWrap/>
            <w:vAlign w:val="center"/>
          </w:tcPr>
          <w:p w14:paraId="38DB0FCB">
            <w:pPr>
              <w:rPr>
                <w:rFonts w:hint="eastAsia" w:ascii="宋体" w:hAnsi="宋体" w:eastAsia="宋体" w:cs="宋体"/>
                <w:i w:val="0"/>
                <w:iCs w:val="0"/>
                <w:color w:val="000000"/>
                <w:sz w:val="24"/>
                <w:szCs w:val="24"/>
                <w:u w:val="none"/>
              </w:rPr>
            </w:pPr>
          </w:p>
        </w:tc>
      </w:tr>
      <w:tr w14:paraId="660A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4" w:hRule="atLeast"/>
        </w:trPr>
        <w:tc>
          <w:tcPr>
            <w:tcW w:w="1061" w:type="dxa"/>
            <w:vMerge w:val="continue"/>
            <w:noWrap/>
            <w:vAlign w:val="center"/>
          </w:tcPr>
          <w:p w14:paraId="2F5C9753">
            <w:pPr>
              <w:jc w:val="center"/>
              <w:rPr>
                <w:rFonts w:hint="eastAsia" w:ascii="宋体" w:hAnsi="宋体" w:eastAsia="宋体" w:cs="宋体"/>
                <w:i w:val="0"/>
                <w:iCs w:val="0"/>
                <w:color w:val="000000"/>
                <w:sz w:val="24"/>
                <w:szCs w:val="24"/>
                <w:u w:val="none"/>
              </w:rPr>
            </w:pPr>
          </w:p>
        </w:tc>
        <w:tc>
          <w:tcPr>
            <w:tcW w:w="1134" w:type="dxa"/>
            <w:noWrap/>
            <w:vAlign w:val="center"/>
          </w:tcPr>
          <w:p w14:paraId="7A493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全自动血细胞分析仪</w:t>
            </w:r>
          </w:p>
        </w:tc>
        <w:tc>
          <w:tcPr>
            <w:tcW w:w="908" w:type="dxa"/>
            <w:noWrap/>
            <w:vAlign w:val="center"/>
          </w:tcPr>
          <w:p w14:paraId="38D06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170821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1、工作原理：电阻抗法计数，无氰化物法检测HGB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2、检测参数：≥20项报告参数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3、直方图：3个直方图（包括WBC\RBC\PLT）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4、标本用量：全血模式≤9μl，预稀释模式≤20μl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5、测量模式：全血模式、预稀释模式，独立血红蛋白测量系统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6、工作速度：≥40样本/小时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7、结果储存：≥100000份样本的全部参数和3个直方图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8、试剂系统：提供原厂配套试剂、校准品、质控品；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9、排堵功能：具有正反冲、高压灼烧、浸泡等多种排堵方式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10、报警提示：具有WBC、RBC、PLT结果异常报警功能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11、显示屏：彩色液晶触摸显示屏，同屏显示全部检测结果、直方图、病人信息及报警提示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12、试剂管理：主机内置主要试剂，节省实验室空间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13、数据传输： ≥4个USB接口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14、报告打印：打印中英文报告，格式可选，内置高效热敏打印机，可选USB接口打印机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15、工作环境：自动适应100V~240V电源，≤180VA，50Hz/60Hz，15~30℃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16、重量要求：重量≤20Kg，适应实验室对占地空间小、重量轻的要求。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17、线性范围：WBC：0~100×109/L；RBC：0~8×1012/L；HGB：0~280g/L；PLT：0~1000×109/L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、支持LIS/HIS系统，实现检验科室信息联网。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、可选配原厂配套的血液细胞分析仪数据管理软件。</w:t>
            </w:r>
          </w:p>
        </w:tc>
        <w:tc>
          <w:tcPr>
            <w:tcW w:w="840" w:type="dxa"/>
            <w:noWrap/>
            <w:vAlign w:val="center"/>
          </w:tcPr>
          <w:p w14:paraId="440A7947">
            <w:pPr>
              <w:rPr>
                <w:rFonts w:hint="eastAsia" w:ascii="宋体" w:hAnsi="宋体" w:eastAsia="宋体" w:cs="宋体"/>
                <w:i w:val="0"/>
                <w:iCs w:val="0"/>
                <w:color w:val="000000"/>
                <w:sz w:val="24"/>
                <w:szCs w:val="24"/>
                <w:u w:val="none"/>
              </w:rPr>
            </w:pPr>
          </w:p>
        </w:tc>
      </w:tr>
      <w:tr w14:paraId="15F9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61" w:type="dxa"/>
            <w:vMerge w:val="continue"/>
            <w:noWrap/>
            <w:vAlign w:val="center"/>
          </w:tcPr>
          <w:p w14:paraId="732C4A9E">
            <w:pPr>
              <w:jc w:val="center"/>
              <w:rPr>
                <w:rFonts w:hint="eastAsia" w:ascii="宋体" w:hAnsi="宋体" w:eastAsia="宋体" w:cs="宋体"/>
                <w:i w:val="0"/>
                <w:iCs w:val="0"/>
                <w:color w:val="000000"/>
                <w:sz w:val="24"/>
                <w:szCs w:val="24"/>
                <w:u w:val="none"/>
              </w:rPr>
            </w:pPr>
          </w:p>
        </w:tc>
        <w:tc>
          <w:tcPr>
            <w:tcW w:w="1134" w:type="dxa"/>
            <w:noWrap/>
            <w:vAlign w:val="center"/>
          </w:tcPr>
          <w:p w14:paraId="0A160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台式电脑（公卫）</w:t>
            </w:r>
          </w:p>
        </w:tc>
        <w:tc>
          <w:tcPr>
            <w:tcW w:w="908" w:type="dxa"/>
            <w:noWrap/>
            <w:vAlign w:val="center"/>
          </w:tcPr>
          <w:p w14:paraId="16246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3台</w:t>
            </w:r>
          </w:p>
        </w:tc>
        <w:tc>
          <w:tcPr>
            <w:tcW w:w="5235" w:type="dxa"/>
            <w:noWrap/>
            <w:vAlign w:val="center"/>
          </w:tcPr>
          <w:p w14:paraId="33CE10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i3-12100H，8G  512SSD   核显 24寸</w:t>
            </w:r>
          </w:p>
        </w:tc>
        <w:tc>
          <w:tcPr>
            <w:tcW w:w="840" w:type="dxa"/>
            <w:noWrap/>
            <w:vAlign w:val="center"/>
          </w:tcPr>
          <w:p w14:paraId="1DCBCB04">
            <w:pPr>
              <w:rPr>
                <w:rFonts w:hint="eastAsia" w:ascii="宋体" w:hAnsi="宋体" w:eastAsia="宋体" w:cs="宋体"/>
                <w:i w:val="0"/>
                <w:iCs w:val="0"/>
                <w:color w:val="000000"/>
                <w:sz w:val="24"/>
                <w:szCs w:val="24"/>
                <w:u w:val="none"/>
              </w:rPr>
            </w:pPr>
          </w:p>
        </w:tc>
      </w:tr>
      <w:tr w14:paraId="0531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061" w:type="dxa"/>
            <w:vMerge w:val="continue"/>
            <w:noWrap/>
            <w:vAlign w:val="center"/>
          </w:tcPr>
          <w:p w14:paraId="4ECE3CB9">
            <w:pPr>
              <w:jc w:val="center"/>
              <w:rPr>
                <w:rFonts w:hint="eastAsia" w:ascii="宋体" w:hAnsi="宋体" w:eastAsia="宋体" w:cs="宋体"/>
                <w:i w:val="0"/>
                <w:iCs w:val="0"/>
                <w:color w:val="000000"/>
                <w:sz w:val="24"/>
                <w:szCs w:val="24"/>
                <w:u w:val="none"/>
              </w:rPr>
            </w:pPr>
          </w:p>
        </w:tc>
        <w:tc>
          <w:tcPr>
            <w:tcW w:w="1134" w:type="dxa"/>
            <w:noWrap/>
            <w:vAlign w:val="center"/>
          </w:tcPr>
          <w:p w14:paraId="41E63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908" w:type="dxa"/>
            <w:noWrap/>
            <w:vAlign w:val="center"/>
          </w:tcPr>
          <w:p w14:paraId="430D5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w:t>
            </w:r>
          </w:p>
        </w:tc>
        <w:tc>
          <w:tcPr>
            <w:tcW w:w="5235" w:type="dxa"/>
            <w:noWrap w:val="0"/>
            <w:vAlign w:val="center"/>
          </w:tcPr>
          <w:p w14:paraId="3BED26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打印速度：≥22ppm(A4) ；首页打印时间：≤7.8s；最大月打印量：8000页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打印分辨率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≥600x600dpi；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处理器：600MHz；内存：256MB；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双面打印：手动双面；纸张输入容量：≥150页 ；纸张输出容量 ：≥100页；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介质类型：普通纸，厚纸，透明胶片，卡片纸，标签纸，信封、薄纸；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介质重量范围：60~163g/m；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操作系统：统信UOS，麒麟KYLIN，中科方德；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接口类型：高速USB 2.0;无线WiFi:IEEE 802.11b/g/n;    </w:t>
            </w:r>
          </w:p>
        </w:tc>
        <w:tc>
          <w:tcPr>
            <w:tcW w:w="840" w:type="dxa"/>
            <w:noWrap/>
            <w:vAlign w:val="center"/>
          </w:tcPr>
          <w:p w14:paraId="20D677AA">
            <w:pPr>
              <w:rPr>
                <w:rFonts w:hint="eastAsia" w:ascii="宋体" w:hAnsi="宋体" w:eastAsia="宋体" w:cs="宋体"/>
                <w:i w:val="0"/>
                <w:iCs w:val="0"/>
                <w:color w:val="000000"/>
                <w:sz w:val="24"/>
                <w:szCs w:val="24"/>
                <w:u w:val="none"/>
              </w:rPr>
            </w:pPr>
          </w:p>
        </w:tc>
      </w:tr>
      <w:tr w14:paraId="5112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trPr>
        <w:tc>
          <w:tcPr>
            <w:tcW w:w="1061" w:type="dxa"/>
            <w:vMerge w:val="continue"/>
            <w:noWrap/>
            <w:vAlign w:val="center"/>
          </w:tcPr>
          <w:p w14:paraId="743C908A">
            <w:pPr>
              <w:jc w:val="center"/>
              <w:rPr>
                <w:rFonts w:hint="eastAsia" w:ascii="宋体" w:hAnsi="宋体" w:eastAsia="宋体" w:cs="宋体"/>
                <w:i w:val="0"/>
                <w:iCs w:val="0"/>
                <w:color w:val="000000"/>
                <w:sz w:val="24"/>
                <w:szCs w:val="24"/>
                <w:u w:val="none"/>
              </w:rPr>
            </w:pPr>
          </w:p>
        </w:tc>
        <w:tc>
          <w:tcPr>
            <w:tcW w:w="1134" w:type="dxa"/>
            <w:noWrap/>
            <w:vAlign w:val="center"/>
          </w:tcPr>
          <w:p w14:paraId="0B440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DR机（含DR室升级）</w:t>
            </w:r>
          </w:p>
        </w:tc>
        <w:tc>
          <w:tcPr>
            <w:tcW w:w="908" w:type="dxa"/>
            <w:noWrap/>
            <w:vAlign w:val="center"/>
          </w:tcPr>
          <w:p w14:paraId="79149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top"/>
          </w:tcPr>
          <w:p w14:paraId="7F13F0AA">
            <w:pPr>
              <w:keepNext w:val="0"/>
              <w:keepLines w:val="0"/>
              <w:widowControl/>
              <w:suppressLineNumbers w:val="0"/>
              <w:jc w:val="both"/>
              <w:textAlignment w:val="top"/>
              <w:rPr>
                <w:rStyle w:val="89"/>
                <w:rFonts w:hint="eastAsia" w:ascii="宋体" w:hAnsi="宋体" w:eastAsia="宋体" w:cs="宋体"/>
                <w:sz w:val="24"/>
                <w:szCs w:val="24"/>
                <w:lang w:val="en-US" w:eastAsia="zh-CN" w:bidi="ar"/>
              </w:rPr>
            </w:pPr>
            <w:r>
              <w:rPr>
                <w:rStyle w:val="88"/>
                <w:rFonts w:hint="eastAsia" w:ascii="宋体" w:hAnsi="宋体" w:eastAsia="宋体" w:cs="宋体"/>
                <w:sz w:val="24"/>
                <w:szCs w:val="24"/>
                <w:lang w:val="en-US" w:eastAsia="zh-CN" w:bidi="ar"/>
              </w:rPr>
              <w:t xml:space="preserve">1 </w:t>
            </w:r>
            <w:r>
              <w:rPr>
                <w:rStyle w:val="89"/>
                <w:rFonts w:hint="eastAsia" w:ascii="宋体" w:hAnsi="宋体" w:eastAsia="宋体" w:cs="宋体"/>
                <w:sz w:val="24"/>
                <w:szCs w:val="24"/>
                <w:lang w:val="en-US" w:eastAsia="zh-CN" w:bidi="ar"/>
              </w:rPr>
              <w:t>一、设备名称、用途及整体要求：</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1.1 </w:t>
            </w:r>
            <w:r>
              <w:rPr>
                <w:rStyle w:val="89"/>
                <w:rFonts w:hint="eastAsia" w:ascii="宋体" w:hAnsi="宋体" w:eastAsia="宋体" w:cs="宋体"/>
                <w:sz w:val="24"/>
                <w:szCs w:val="24"/>
                <w:lang w:val="en-US" w:eastAsia="zh-CN" w:bidi="ar"/>
              </w:rPr>
              <w:t>设备名称：数字化</w:t>
            </w:r>
            <w:r>
              <w:rPr>
                <w:rStyle w:val="88"/>
                <w:rFonts w:hint="eastAsia" w:ascii="宋体" w:hAnsi="宋体" w:eastAsia="宋体" w:cs="宋体"/>
                <w:sz w:val="24"/>
                <w:szCs w:val="24"/>
                <w:lang w:val="en-US" w:eastAsia="zh-CN" w:bidi="ar"/>
              </w:rPr>
              <w:t>X</w:t>
            </w:r>
            <w:r>
              <w:rPr>
                <w:rStyle w:val="89"/>
                <w:rFonts w:hint="eastAsia" w:ascii="宋体" w:hAnsi="宋体" w:eastAsia="宋体" w:cs="宋体"/>
                <w:sz w:val="24"/>
                <w:szCs w:val="24"/>
                <w:lang w:val="en-US" w:eastAsia="zh-CN" w:bidi="ar"/>
              </w:rPr>
              <w:t>线摄影系统（</w:t>
            </w:r>
            <w:r>
              <w:rPr>
                <w:rStyle w:val="88"/>
                <w:rFonts w:hint="eastAsia" w:ascii="宋体" w:hAnsi="宋体" w:eastAsia="宋体" w:cs="宋体"/>
                <w:sz w:val="24"/>
                <w:szCs w:val="24"/>
                <w:lang w:val="en-US" w:eastAsia="zh-CN" w:bidi="ar"/>
              </w:rPr>
              <w:t>DR</w:t>
            </w:r>
            <w:r>
              <w:rPr>
                <w:rStyle w:val="89"/>
                <w:rFonts w:hint="eastAsia" w:ascii="宋体" w:hAnsi="宋体" w:eastAsia="宋体" w:cs="宋体"/>
                <w:sz w:val="24"/>
                <w:szCs w:val="24"/>
                <w:lang w:val="en-US" w:eastAsia="zh-CN" w:bidi="ar"/>
              </w:rPr>
              <w:t>）</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1.2 </w:t>
            </w:r>
            <w:r>
              <w:rPr>
                <w:rStyle w:val="89"/>
                <w:rFonts w:hint="eastAsia" w:ascii="宋体" w:hAnsi="宋体" w:eastAsia="宋体" w:cs="宋体"/>
                <w:sz w:val="24"/>
                <w:szCs w:val="24"/>
                <w:lang w:val="en-US" w:eastAsia="zh-CN" w:bidi="ar"/>
              </w:rPr>
              <w:t>设备用途：整机双立柱型机架式结构加平板探测器系统，能进行人体全身各部位的立位、卧位、水平侧位、担架位、轮椅位等</w:t>
            </w:r>
            <w:r>
              <w:rPr>
                <w:rStyle w:val="88"/>
                <w:rFonts w:hint="eastAsia" w:ascii="宋体" w:hAnsi="宋体" w:eastAsia="宋体" w:cs="宋体"/>
                <w:sz w:val="24"/>
                <w:szCs w:val="24"/>
                <w:lang w:val="en-US" w:eastAsia="zh-CN" w:bidi="ar"/>
              </w:rPr>
              <w:t>X</w:t>
            </w:r>
            <w:r>
              <w:rPr>
                <w:rStyle w:val="89"/>
                <w:rFonts w:hint="eastAsia" w:ascii="宋体" w:hAnsi="宋体" w:eastAsia="宋体" w:cs="宋体"/>
                <w:sz w:val="24"/>
                <w:szCs w:val="24"/>
                <w:lang w:val="en-US" w:eastAsia="zh-CN" w:bidi="ar"/>
              </w:rPr>
              <w:t>线影像学检查，实现</w:t>
            </w:r>
            <w:r>
              <w:rPr>
                <w:rStyle w:val="88"/>
                <w:rFonts w:hint="eastAsia" w:ascii="宋体" w:hAnsi="宋体" w:eastAsia="宋体" w:cs="宋体"/>
                <w:sz w:val="24"/>
                <w:szCs w:val="24"/>
                <w:lang w:val="en-US" w:eastAsia="zh-CN" w:bidi="ar"/>
              </w:rPr>
              <w:t>X</w:t>
            </w:r>
            <w:r>
              <w:rPr>
                <w:rStyle w:val="89"/>
                <w:rFonts w:hint="eastAsia" w:ascii="宋体" w:hAnsi="宋体" w:eastAsia="宋体" w:cs="宋体"/>
                <w:sz w:val="24"/>
                <w:szCs w:val="24"/>
                <w:lang w:val="en-US" w:eastAsia="zh-CN" w:bidi="ar"/>
              </w:rPr>
              <w:t>线数字成像、数字图像的</w:t>
            </w:r>
            <w:r>
              <w:rPr>
                <w:rStyle w:val="88"/>
                <w:rFonts w:hint="eastAsia" w:ascii="宋体" w:hAnsi="宋体" w:eastAsia="宋体" w:cs="宋体"/>
                <w:sz w:val="24"/>
                <w:szCs w:val="24"/>
                <w:lang w:val="en-US" w:eastAsia="zh-CN" w:bidi="ar"/>
              </w:rPr>
              <w:t>DICOM</w:t>
            </w:r>
            <w:r>
              <w:rPr>
                <w:rStyle w:val="89"/>
                <w:rFonts w:hint="eastAsia" w:ascii="宋体" w:hAnsi="宋体" w:eastAsia="宋体" w:cs="宋体"/>
                <w:sz w:val="24"/>
                <w:szCs w:val="24"/>
                <w:lang w:val="en-US" w:eastAsia="zh-CN" w:bidi="ar"/>
              </w:rPr>
              <w:t>网络传输、打印、存贮管理及激光打印胶片、完善的图像后处理功能。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1.3 </w:t>
            </w:r>
            <w:r>
              <w:rPr>
                <w:rStyle w:val="89"/>
                <w:rFonts w:hint="eastAsia" w:ascii="宋体" w:hAnsi="宋体" w:eastAsia="宋体" w:cs="宋体"/>
                <w:sz w:val="24"/>
                <w:szCs w:val="24"/>
                <w:lang w:val="en-US" w:eastAsia="zh-CN" w:bidi="ar"/>
              </w:rPr>
              <w:t>为了保证设备稳定性和兼容性，整套设备中，要求高压发生器，平板探测器，机械系统，限限束器，为</w:t>
            </w:r>
            <w:r>
              <w:rPr>
                <w:rStyle w:val="88"/>
                <w:rFonts w:hint="eastAsia" w:ascii="宋体" w:hAnsi="宋体" w:eastAsia="宋体" w:cs="宋体"/>
                <w:sz w:val="24"/>
                <w:szCs w:val="24"/>
                <w:lang w:val="en-US" w:eastAsia="zh-CN" w:bidi="ar"/>
              </w:rPr>
              <w:t>DR</w:t>
            </w:r>
            <w:r>
              <w:rPr>
                <w:rStyle w:val="89"/>
                <w:rFonts w:hint="eastAsia" w:ascii="宋体" w:hAnsi="宋体" w:eastAsia="宋体" w:cs="宋体"/>
                <w:sz w:val="24"/>
                <w:szCs w:val="24"/>
                <w:lang w:val="en-US" w:eastAsia="zh-CN" w:bidi="ar"/>
              </w:rPr>
              <w:t>整机制造商原厂生产。</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 </w:t>
            </w:r>
            <w:r>
              <w:rPr>
                <w:rStyle w:val="89"/>
                <w:rFonts w:hint="eastAsia" w:ascii="宋体" w:hAnsi="宋体" w:eastAsia="宋体" w:cs="宋体"/>
                <w:sz w:val="24"/>
                <w:szCs w:val="24"/>
                <w:lang w:val="en-US" w:eastAsia="zh-CN" w:bidi="ar"/>
              </w:rPr>
              <w:t>二、主要配置和技术参数要求：</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2.1  1</w:t>
            </w:r>
            <w:r>
              <w:rPr>
                <w:rStyle w:val="89"/>
                <w:rFonts w:hint="eastAsia" w:ascii="宋体" w:hAnsi="宋体" w:eastAsia="宋体" w:cs="宋体"/>
                <w:sz w:val="24"/>
                <w:szCs w:val="24"/>
                <w:lang w:val="en-US" w:eastAsia="zh-CN" w:bidi="ar"/>
              </w:rPr>
              <w:t>、高压发生器装置：</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2.1.1 </w:t>
            </w:r>
            <w:r>
              <w:rPr>
                <w:rStyle w:val="89"/>
                <w:rFonts w:hint="eastAsia" w:ascii="宋体" w:hAnsi="宋体" w:eastAsia="宋体" w:cs="宋体"/>
                <w:sz w:val="24"/>
                <w:szCs w:val="24"/>
                <w:lang w:val="en-US" w:eastAsia="zh-CN" w:bidi="ar"/>
              </w:rPr>
              <w:t>逆变频率：</w:t>
            </w:r>
            <w:r>
              <w:rPr>
                <w:rStyle w:val="88"/>
                <w:rFonts w:hint="eastAsia" w:ascii="宋体" w:hAnsi="宋体" w:eastAsia="宋体" w:cs="宋体"/>
                <w:sz w:val="24"/>
                <w:szCs w:val="24"/>
                <w:lang w:val="en-US" w:eastAsia="zh-CN" w:bidi="ar"/>
              </w:rPr>
              <w:t xml:space="preserve">≥420KHZ </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2.1.2 </w:t>
            </w:r>
            <w:r>
              <w:rPr>
                <w:rStyle w:val="89"/>
                <w:rFonts w:hint="eastAsia" w:ascii="宋体" w:hAnsi="宋体" w:eastAsia="宋体" w:cs="宋体"/>
                <w:sz w:val="24"/>
                <w:szCs w:val="24"/>
                <w:lang w:val="en-US" w:eastAsia="zh-CN" w:bidi="ar"/>
              </w:rPr>
              <w:t>管电压可调范围：</w:t>
            </w:r>
            <w:r>
              <w:rPr>
                <w:rStyle w:val="88"/>
                <w:rFonts w:hint="eastAsia" w:ascii="宋体" w:hAnsi="宋体" w:eastAsia="宋体" w:cs="宋体"/>
                <w:sz w:val="24"/>
                <w:szCs w:val="24"/>
                <w:lang w:val="en-US" w:eastAsia="zh-CN" w:bidi="ar"/>
              </w:rPr>
              <w:t>≥40-150KV</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2.1.3 </w:t>
            </w:r>
            <w:r>
              <w:rPr>
                <w:rStyle w:val="89"/>
                <w:rFonts w:hint="eastAsia" w:ascii="宋体" w:hAnsi="宋体" w:eastAsia="宋体" w:cs="宋体"/>
                <w:sz w:val="24"/>
                <w:szCs w:val="24"/>
                <w:lang w:val="en-US" w:eastAsia="zh-CN" w:bidi="ar"/>
              </w:rPr>
              <w:t>最大输出电流：</w:t>
            </w:r>
            <w:r>
              <w:rPr>
                <w:rStyle w:val="88"/>
                <w:rFonts w:hint="eastAsia" w:ascii="宋体" w:hAnsi="宋体" w:eastAsia="宋体" w:cs="宋体"/>
                <w:sz w:val="24"/>
                <w:szCs w:val="24"/>
                <w:lang w:val="en-US" w:eastAsia="zh-CN" w:bidi="ar"/>
              </w:rPr>
              <w:t>≥500mA</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2.1.4 </w:t>
            </w:r>
            <w:r>
              <w:rPr>
                <w:rStyle w:val="89"/>
                <w:rFonts w:hint="eastAsia" w:ascii="宋体" w:hAnsi="宋体" w:eastAsia="宋体" w:cs="宋体"/>
                <w:sz w:val="24"/>
                <w:szCs w:val="24"/>
                <w:lang w:val="en-US" w:eastAsia="zh-CN" w:bidi="ar"/>
              </w:rPr>
              <w:t>最短曝光时间：</w:t>
            </w:r>
            <w:r>
              <w:rPr>
                <w:rStyle w:val="88"/>
                <w:rFonts w:hint="eastAsia" w:ascii="宋体" w:hAnsi="宋体" w:eastAsia="宋体" w:cs="宋体"/>
                <w:sz w:val="24"/>
                <w:szCs w:val="24"/>
                <w:lang w:val="en-US" w:eastAsia="zh-CN" w:bidi="ar"/>
              </w:rPr>
              <w:t>≤1ms</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2.1.5 </w:t>
            </w:r>
            <w:r>
              <w:rPr>
                <w:rStyle w:val="89"/>
                <w:rFonts w:hint="eastAsia" w:ascii="宋体" w:hAnsi="宋体" w:eastAsia="宋体" w:cs="宋体"/>
                <w:sz w:val="24"/>
                <w:szCs w:val="24"/>
                <w:lang w:val="en-US" w:eastAsia="zh-CN" w:bidi="ar"/>
              </w:rPr>
              <w:t>最小时间电流积：</w:t>
            </w:r>
            <w:r>
              <w:rPr>
                <w:rStyle w:val="88"/>
                <w:rFonts w:hint="eastAsia" w:ascii="宋体" w:hAnsi="宋体" w:eastAsia="宋体" w:cs="宋体"/>
                <w:sz w:val="24"/>
                <w:szCs w:val="24"/>
                <w:lang w:val="en-US" w:eastAsia="zh-CN" w:bidi="ar"/>
              </w:rPr>
              <w:t>≤0.1mAs</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2.1.6 </w:t>
            </w:r>
            <w:r>
              <w:rPr>
                <w:rStyle w:val="89"/>
                <w:rFonts w:hint="eastAsia" w:ascii="宋体" w:hAnsi="宋体" w:eastAsia="宋体" w:cs="宋体"/>
                <w:sz w:val="24"/>
                <w:szCs w:val="24"/>
                <w:lang w:val="en-US" w:eastAsia="zh-CN" w:bidi="ar"/>
              </w:rPr>
              <w:t>最大时间电流积：</w:t>
            </w:r>
            <w:r>
              <w:rPr>
                <w:rStyle w:val="88"/>
                <w:rFonts w:hint="eastAsia" w:ascii="宋体" w:hAnsi="宋体" w:eastAsia="宋体" w:cs="宋体"/>
                <w:sz w:val="24"/>
                <w:szCs w:val="24"/>
                <w:lang w:val="en-US" w:eastAsia="zh-CN" w:bidi="ar"/>
              </w:rPr>
              <w:t>≥630mAs</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2.1.7 </w:t>
            </w:r>
            <w:r>
              <w:rPr>
                <w:rStyle w:val="89"/>
                <w:rFonts w:hint="eastAsia" w:ascii="宋体" w:hAnsi="宋体" w:eastAsia="宋体" w:cs="宋体"/>
                <w:sz w:val="24"/>
                <w:szCs w:val="24"/>
                <w:lang w:val="en-US" w:eastAsia="zh-CN" w:bidi="ar"/>
              </w:rPr>
              <w:t>具有器官程序摄影（</w:t>
            </w:r>
            <w:r>
              <w:rPr>
                <w:rStyle w:val="88"/>
                <w:rFonts w:hint="eastAsia" w:ascii="宋体" w:hAnsi="宋体" w:eastAsia="宋体" w:cs="宋体"/>
                <w:sz w:val="24"/>
                <w:szCs w:val="24"/>
                <w:lang w:val="en-US" w:eastAsia="zh-CN" w:bidi="ar"/>
              </w:rPr>
              <w:t>APR</w:t>
            </w:r>
            <w:r>
              <w:rPr>
                <w:rStyle w:val="89"/>
                <w:rFonts w:hint="eastAsia" w:ascii="宋体" w:hAnsi="宋体" w:eastAsia="宋体" w:cs="宋体"/>
                <w:sz w:val="24"/>
                <w:szCs w:val="24"/>
                <w:lang w:val="en-US" w:eastAsia="zh-CN" w:bidi="ar"/>
              </w:rPr>
              <w:t>）功能，摄影程序数量</w:t>
            </w:r>
            <w:r>
              <w:rPr>
                <w:rStyle w:val="88"/>
                <w:rFonts w:hint="eastAsia" w:ascii="宋体" w:hAnsi="宋体" w:eastAsia="宋体" w:cs="宋体"/>
                <w:sz w:val="24"/>
                <w:szCs w:val="24"/>
                <w:lang w:val="en-US" w:eastAsia="zh-CN" w:bidi="ar"/>
              </w:rPr>
              <w:t>≥800</w:t>
            </w:r>
            <w:r>
              <w:rPr>
                <w:rStyle w:val="89"/>
                <w:rFonts w:hint="eastAsia" w:ascii="宋体" w:hAnsi="宋体" w:eastAsia="宋体" w:cs="宋体"/>
                <w:sz w:val="24"/>
                <w:szCs w:val="24"/>
                <w:lang w:val="en-US" w:eastAsia="zh-CN" w:bidi="ar"/>
              </w:rPr>
              <w:t>种</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2.1.8 </w:t>
            </w:r>
            <w:r>
              <w:rPr>
                <w:rStyle w:val="89"/>
                <w:rFonts w:hint="eastAsia" w:ascii="宋体" w:hAnsi="宋体" w:eastAsia="宋体" w:cs="宋体"/>
                <w:sz w:val="24"/>
                <w:szCs w:val="24"/>
                <w:lang w:val="en-US" w:eastAsia="zh-CN" w:bidi="ar"/>
              </w:rPr>
              <w:t>高压发生器的操作与控制系统完全与主机集成，在图像采集工作站上控制曝光参数。</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2.1.9 </w:t>
            </w:r>
            <w:r>
              <w:rPr>
                <w:rStyle w:val="89"/>
                <w:rFonts w:hint="eastAsia" w:ascii="宋体" w:hAnsi="宋体" w:eastAsia="宋体" w:cs="宋体"/>
                <w:sz w:val="24"/>
                <w:szCs w:val="24"/>
                <w:lang w:val="en-US" w:eastAsia="zh-CN" w:bidi="ar"/>
              </w:rPr>
              <w:t>配备硬件电离室（要求电离室为</w:t>
            </w:r>
            <w:r>
              <w:rPr>
                <w:rStyle w:val="88"/>
                <w:rFonts w:hint="eastAsia" w:ascii="宋体" w:hAnsi="宋体" w:eastAsia="宋体" w:cs="宋体"/>
                <w:sz w:val="24"/>
                <w:szCs w:val="24"/>
                <w:lang w:val="en-US" w:eastAsia="zh-CN" w:bidi="ar"/>
              </w:rPr>
              <w:t>DR</w:t>
            </w:r>
            <w:r>
              <w:rPr>
                <w:rStyle w:val="89"/>
                <w:rFonts w:hint="eastAsia" w:ascii="宋体" w:hAnsi="宋体" w:eastAsia="宋体" w:cs="宋体"/>
                <w:sz w:val="24"/>
                <w:szCs w:val="24"/>
                <w:lang w:val="en-US" w:eastAsia="zh-CN" w:bidi="ar"/>
              </w:rPr>
              <w:t>整机制造商原厂生产），具备</w:t>
            </w:r>
            <w:r>
              <w:rPr>
                <w:rStyle w:val="88"/>
                <w:rFonts w:hint="eastAsia" w:ascii="宋体" w:hAnsi="宋体" w:eastAsia="宋体" w:cs="宋体"/>
                <w:sz w:val="24"/>
                <w:szCs w:val="24"/>
                <w:lang w:val="en-US" w:eastAsia="zh-CN" w:bidi="ar"/>
              </w:rPr>
              <w:t>AEC</w:t>
            </w:r>
            <w:r>
              <w:rPr>
                <w:rStyle w:val="89"/>
                <w:rFonts w:hint="eastAsia" w:ascii="宋体" w:hAnsi="宋体" w:eastAsia="宋体" w:cs="宋体"/>
                <w:sz w:val="24"/>
                <w:szCs w:val="24"/>
                <w:lang w:val="en-US" w:eastAsia="zh-CN" w:bidi="ar"/>
              </w:rPr>
              <w:t>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2.2  2</w:t>
            </w:r>
            <w:r>
              <w:rPr>
                <w:rStyle w:val="89"/>
                <w:rFonts w:hint="eastAsia" w:ascii="宋体" w:hAnsi="宋体" w:eastAsia="宋体" w:cs="宋体"/>
                <w:sz w:val="24"/>
                <w:szCs w:val="24"/>
                <w:lang w:val="en-US" w:eastAsia="zh-CN" w:bidi="ar"/>
              </w:rPr>
              <w:t>、平板探测器：</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2.2.1  </w:t>
            </w:r>
            <w:r>
              <w:rPr>
                <w:rStyle w:val="89"/>
                <w:rFonts w:hint="eastAsia" w:ascii="宋体" w:hAnsi="宋体" w:eastAsia="宋体" w:cs="宋体"/>
                <w:sz w:val="24"/>
                <w:szCs w:val="24"/>
                <w:lang w:val="en-US" w:eastAsia="zh-CN" w:bidi="ar"/>
              </w:rPr>
              <w:t>材料：碘化铯</w:t>
            </w:r>
            <w:r>
              <w:rPr>
                <w:rStyle w:val="88"/>
                <w:rFonts w:hint="eastAsia" w:ascii="宋体" w:hAnsi="宋体" w:eastAsia="宋体" w:cs="宋体"/>
                <w:sz w:val="24"/>
                <w:szCs w:val="24"/>
                <w:lang w:val="en-US" w:eastAsia="zh-CN" w:bidi="ar"/>
              </w:rPr>
              <w:t>+</w:t>
            </w:r>
            <w:r>
              <w:rPr>
                <w:rStyle w:val="89"/>
                <w:rFonts w:hint="eastAsia" w:ascii="宋体" w:hAnsi="宋体" w:eastAsia="宋体" w:cs="宋体"/>
                <w:sz w:val="24"/>
                <w:szCs w:val="24"/>
                <w:lang w:val="en-US" w:eastAsia="zh-CN" w:bidi="ar"/>
              </w:rPr>
              <w:t>非晶硅（整板，非拼接）</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2.2.2 </w:t>
            </w:r>
            <w:r>
              <w:rPr>
                <w:rStyle w:val="89"/>
                <w:rFonts w:hint="eastAsia" w:ascii="宋体" w:hAnsi="宋体" w:eastAsia="宋体" w:cs="宋体"/>
                <w:sz w:val="24"/>
                <w:szCs w:val="24"/>
                <w:lang w:val="en-US" w:eastAsia="zh-CN" w:bidi="ar"/>
              </w:rPr>
              <w:t>结构：移动式平板探测器</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2.2.3 </w:t>
            </w:r>
            <w:r>
              <w:rPr>
                <w:rStyle w:val="89"/>
                <w:rFonts w:hint="eastAsia" w:ascii="宋体" w:hAnsi="宋体" w:eastAsia="宋体" w:cs="宋体"/>
                <w:sz w:val="24"/>
                <w:szCs w:val="24"/>
                <w:lang w:val="en-US" w:eastAsia="zh-CN" w:bidi="ar"/>
              </w:rPr>
              <w:t>总像素：平板</w:t>
            </w:r>
            <w:r>
              <w:rPr>
                <w:rStyle w:val="88"/>
                <w:rFonts w:hint="eastAsia" w:ascii="宋体" w:hAnsi="宋体" w:eastAsia="宋体" w:cs="宋体"/>
                <w:sz w:val="24"/>
                <w:szCs w:val="24"/>
                <w:lang w:val="en-US" w:eastAsia="zh-CN" w:bidi="ar"/>
              </w:rPr>
              <w:t>≥750</w:t>
            </w:r>
            <w:r>
              <w:rPr>
                <w:rStyle w:val="89"/>
                <w:rFonts w:hint="eastAsia" w:ascii="宋体" w:hAnsi="宋体" w:eastAsia="宋体" w:cs="宋体"/>
                <w:sz w:val="24"/>
                <w:szCs w:val="24"/>
                <w:lang w:val="en-US" w:eastAsia="zh-CN" w:bidi="ar"/>
              </w:rPr>
              <w:t>万</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2.2.4 </w:t>
            </w:r>
            <w:r>
              <w:rPr>
                <w:rStyle w:val="89"/>
                <w:rFonts w:hint="eastAsia" w:ascii="宋体" w:hAnsi="宋体" w:eastAsia="宋体" w:cs="宋体"/>
                <w:sz w:val="24"/>
                <w:szCs w:val="24"/>
                <w:lang w:val="en-US" w:eastAsia="zh-CN" w:bidi="ar"/>
              </w:rPr>
              <w:t>最小像素尺寸：</w:t>
            </w:r>
            <w:r>
              <w:rPr>
                <w:rStyle w:val="88"/>
                <w:rFonts w:hint="eastAsia" w:ascii="宋体" w:hAnsi="宋体" w:eastAsia="宋体" w:cs="宋体"/>
                <w:sz w:val="24"/>
                <w:szCs w:val="24"/>
                <w:lang w:val="en-US" w:eastAsia="zh-CN" w:bidi="ar"/>
              </w:rPr>
              <w:t>≤140μm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2.2.5 </w:t>
            </w:r>
            <w:r>
              <w:rPr>
                <w:rStyle w:val="89"/>
                <w:rFonts w:hint="eastAsia" w:ascii="宋体" w:hAnsi="宋体" w:eastAsia="宋体" w:cs="宋体"/>
                <w:sz w:val="24"/>
                <w:szCs w:val="24"/>
                <w:lang w:val="en-US" w:eastAsia="zh-CN" w:bidi="ar"/>
              </w:rPr>
              <w:t>有效数据位数：</w:t>
            </w:r>
            <w:r>
              <w:rPr>
                <w:rStyle w:val="88"/>
                <w:rFonts w:hint="eastAsia" w:ascii="宋体" w:hAnsi="宋体" w:eastAsia="宋体" w:cs="宋体"/>
                <w:sz w:val="24"/>
                <w:szCs w:val="24"/>
                <w:lang w:val="en-US" w:eastAsia="zh-CN" w:bidi="ar"/>
              </w:rPr>
              <w:t>≥16bit</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2.2.6 </w:t>
            </w:r>
            <w:r>
              <w:rPr>
                <w:rStyle w:val="89"/>
                <w:rFonts w:hint="eastAsia" w:ascii="宋体" w:hAnsi="宋体" w:eastAsia="宋体" w:cs="宋体"/>
                <w:sz w:val="24"/>
                <w:szCs w:val="24"/>
                <w:lang w:val="en-US" w:eastAsia="zh-CN" w:bidi="ar"/>
              </w:rPr>
              <w:t>空间分辨率最低出厂标准：</w:t>
            </w:r>
            <w:r>
              <w:rPr>
                <w:rStyle w:val="88"/>
                <w:rFonts w:hint="eastAsia" w:ascii="宋体" w:hAnsi="宋体" w:eastAsia="宋体" w:cs="宋体"/>
                <w:sz w:val="24"/>
                <w:szCs w:val="24"/>
                <w:lang w:val="en-US" w:eastAsia="zh-CN" w:bidi="ar"/>
              </w:rPr>
              <w:t>≥3.6lp/mm</w:t>
            </w:r>
            <w:r>
              <w:rPr>
                <w:rStyle w:val="89"/>
                <w:rFonts w:hint="eastAsia" w:ascii="宋体" w:hAnsi="宋体" w:eastAsia="宋体" w:cs="宋体"/>
                <w:sz w:val="24"/>
                <w:szCs w:val="24"/>
                <w:lang w:val="en-US" w:eastAsia="zh-CN" w:bidi="ar"/>
              </w:rPr>
              <w:t>。</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2.2.7 </w:t>
            </w:r>
            <w:r>
              <w:rPr>
                <w:rStyle w:val="89"/>
                <w:rFonts w:hint="eastAsia" w:ascii="宋体" w:hAnsi="宋体" w:eastAsia="宋体" w:cs="宋体"/>
                <w:sz w:val="24"/>
                <w:szCs w:val="24"/>
                <w:lang w:val="en-US" w:eastAsia="zh-CN" w:bidi="ar"/>
              </w:rPr>
              <w:t>从曝光到获得预示图像的最短时间：</w:t>
            </w:r>
            <w:r>
              <w:rPr>
                <w:rStyle w:val="88"/>
                <w:rFonts w:hint="eastAsia" w:ascii="宋体" w:hAnsi="宋体" w:eastAsia="宋体" w:cs="宋体"/>
                <w:sz w:val="24"/>
                <w:szCs w:val="24"/>
                <w:lang w:val="en-US" w:eastAsia="zh-CN" w:bidi="ar"/>
              </w:rPr>
              <w:t>≤4.5s</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2.2.</w:t>
            </w:r>
            <w:r>
              <w:rPr>
                <w:rStyle w:val="88"/>
                <w:rFonts w:hint="eastAsia" w:ascii="宋体" w:hAnsi="宋体" w:cs="宋体"/>
                <w:sz w:val="24"/>
                <w:szCs w:val="24"/>
                <w:lang w:val="en-US" w:eastAsia="zh-CN" w:bidi="ar"/>
              </w:rPr>
              <w:t>8</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成像时间</w:t>
            </w:r>
            <w:r>
              <w:rPr>
                <w:rStyle w:val="88"/>
                <w:rFonts w:hint="eastAsia" w:ascii="宋体" w:hAnsi="宋体" w:eastAsia="宋体" w:cs="宋体"/>
                <w:sz w:val="24"/>
                <w:szCs w:val="24"/>
                <w:lang w:val="en-US" w:eastAsia="zh-CN" w:bidi="ar"/>
              </w:rPr>
              <w:t>:≤6s</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2.2.</w:t>
            </w:r>
            <w:r>
              <w:rPr>
                <w:rStyle w:val="88"/>
                <w:rFonts w:hint="eastAsia" w:ascii="宋体" w:hAnsi="宋体" w:cs="宋体"/>
                <w:sz w:val="24"/>
                <w:szCs w:val="24"/>
                <w:lang w:val="en-US" w:eastAsia="zh-CN" w:bidi="ar"/>
              </w:rPr>
              <w:t>9</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最大电池容量的最大曝光时间：</w:t>
            </w:r>
            <w:r>
              <w:rPr>
                <w:rStyle w:val="88"/>
                <w:rFonts w:hint="eastAsia" w:ascii="宋体" w:hAnsi="宋体" w:eastAsia="宋体" w:cs="宋体"/>
                <w:sz w:val="24"/>
                <w:szCs w:val="24"/>
                <w:lang w:val="en-US" w:eastAsia="zh-CN" w:bidi="ar"/>
              </w:rPr>
              <w:t xml:space="preserve">≥750 </w:t>
            </w:r>
            <w:r>
              <w:rPr>
                <w:rStyle w:val="89"/>
                <w:rFonts w:hint="eastAsia" w:ascii="宋体" w:hAnsi="宋体" w:eastAsia="宋体" w:cs="宋体"/>
                <w:sz w:val="24"/>
                <w:szCs w:val="24"/>
                <w:lang w:val="en-US" w:eastAsia="zh-CN" w:bidi="ar"/>
              </w:rPr>
              <w:t>次或</w:t>
            </w:r>
            <w:r>
              <w:rPr>
                <w:rStyle w:val="88"/>
                <w:rFonts w:hint="eastAsia" w:ascii="宋体" w:hAnsi="宋体" w:eastAsia="宋体" w:cs="宋体"/>
                <w:sz w:val="24"/>
                <w:szCs w:val="24"/>
                <w:lang w:val="en-US" w:eastAsia="zh-CN" w:bidi="ar"/>
              </w:rPr>
              <w:t xml:space="preserve"> ≥3h</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2.2.1</w:t>
            </w:r>
            <w:r>
              <w:rPr>
                <w:rStyle w:val="88"/>
                <w:rFonts w:hint="eastAsia" w:ascii="宋体" w:hAnsi="宋体" w:cs="宋体"/>
                <w:sz w:val="24"/>
                <w:szCs w:val="24"/>
                <w:lang w:val="en-US" w:eastAsia="zh-CN" w:bidi="ar"/>
              </w:rPr>
              <w:t>0</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具备与主机同步开关机功能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2.3 3. X</w:t>
            </w:r>
            <w:r>
              <w:rPr>
                <w:rStyle w:val="89"/>
                <w:rFonts w:hint="eastAsia" w:ascii="宋体" w:hAnsi="宋体" w:eastAsia="宋体" w:cs="宋体"/>
                <w:sz w:val="24"/>
                <w:szCs w:val="24"/>
                <w:lang w:val="en-US" w:eastAsia="zh-CN" w:bidi="ar"/>
              </w:rPr>
              <w:t>射线管：</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2.3.</w:t>
            </w:r>
            <w:r>
              <w:rPr>
                <w:rStyle w:val="88"/>
                <w:rFonts w:hint="eastAsia" w:ascii="宋体" w:hAnsi="宋体" w:cs="宋体"/>
                <w:sz w:val="24"/>
                <w:szCs w:val="24"/>
                <w:lang w:val="en-US" w:eastAsia="zh-CN" w:bidi="ar"/>
              </w:rPr>
              <w:t>1</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双焦点：小焦点</w:t>
            </w:r>
            <w:r>
              <w:rPr>
                <w:rStyle w:val="88"/>
                <w:rFonts w:hint="eastAsia" w:ascii="宋体" w:hAnsi="宋体" w:eastAsia="宋体" w:cs="宋体"/>
                <w:sz w:val="24"/>
                <w:szCs w:val="24"/>
                <w:lang w:val="en-US" w:eastAsia="zh-CN" w:bidi="ar"/>
              </w:rPr>
              <w:t>≤0.6mm</w:t>
            </w:r>
            <w:r>
              <w:rPr>
                <w:rStyle w:val="89"/>
                <w:rFonts w:hint="eastAsia" w:ascii="宋体" w:hAnsi="宋体" w:eastAsia="宋体" w:cs="宋体"/>
                <w:sz w:val="24"/>
                <w:szCs w:val="24"/>
                <w:lang w:val="en-US" w:eastAsia="zh-CN" w:bidi="ar"/>
              </w:rPr>
              <w:t>；大焦点</w:t>
            </w:r>
            <w:r>
              <w:rPr>
                <w:rStyle w:val="88"/>
                <w:rFonts w:hint="eastAsia" w:ascii="宋体" w:hAnsi="宋体" w:eastAsia="宋体" w:cs="宋体"/>
                <w:sz w:val="24"/>
                <w:szCs w:val="24"/>
                <w:lang w:val="en-US" w:eastAsia="zh-CN" w:bidi="ar"/>
              </w:rPr>
              <w:t>≤1.2mm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2.3.</w:t>
            </w:r>
            <w:r>
              <w:rPr>
                <w:rStyle w:val="88"/>
                <w:rFonts w:hint="eastAsia" w:ascii="宋体" w:hAnsi="宋体" w:cs="宋体"/>
                <w:sz w:val="24"/>
                <w:szCs w:val="24"/>
                <w:lang w:val="en-US" w:eastAsia="zh-CN" w:bidi="ar"/>
              </w:rPr>
              <w:t>2</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管套热容量：</w:t>
            </w:r>
            <w:r>
              <w:rPr>
                <w:rStyle w:val="88"/>
                <w:rFonts w:hint="eastAsia" w:ascii="宋体" w:hAnsi="宋体" w:eastAsia="宋体" w:cs="宋体"/>
                <w:sz w:val="24"/>
                <w:szCs w:val="24"/>
                <w:lang w:val="en-US" w:eastAsia="zh-CN" w:bidi="ar"/>
              </w:rPr>
              <w:t>≥1250kHu</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2.3.</w:t>
            </w:r>
            <w:r>
              <w:rPr>
                <w:rStyle w:val="88"/>
                <w:rFonts w:hint="eastAsia" w:ascii="宋体" w:hAnsi="宋体" w:cs="宋体"/>
                <w:sz w:val="24"/>
                <w:szCs w:val="24"/>
                <w:lang w:val="en-US" w:eastAsia="zh-CN" w:bidi="ar"/>
              </w:rPr>
              <w:t>3</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阳极最大转速：</w:t>
            </w:r>
            <w:r>
              <w:rPr>
                <w:rStyle w:val="88"/>
                <w:rFonts w:hint="eastAsia" w:ascii="宋体" w:hAnsi="宋体" w:eastAsia="宋体" w:cs="宋体"/>
                <w:sz w:val="24"/>
                <w:szCs w:val="24"/>
                <w:lang w:val="en-US" w:eastAsia="zh-CN" w:bidi="ar"/>
              </w:rPr>
              <w:t>≥3200r/min</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2.3.</w:t>
            </w:r>
            <w:r>
              <w:rPr>
                <w:rStyle w:val="88"/>
                <w:rFonts w:hint="eastAsia" w:ascii="宋体" w:hAnsi="宋体" w:cs="宋体"/>
                <w:sz w:val="24"/>
                <w:szCs w:val="24"/>
                <w:lang w:val="en-US" w:eastAsia="zh-CN" w:bidi="ar"/>
              </w:rPr>
              <w:t>4</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阳极热容量：</w:t>
            </w:r>
            <w:r>
              <w:rPr>
                <w:rStyle w:val="88"/>
                <w:rFonts w:hint="eastAsia" w:ascii="宋体" w:hAnsi="宋体" w:eastAsia="宋体" w:cs="宋体"/>
                <w:sz w:val="24"/>
                <w:szCs w:val="24"/>
                <w:lang w:val="en-US" w:eastAsia="zh-CN" w:bidi="ar"/>
              </w:rPr>
              <w:t>≥130kHu</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2.3.</w:t>
            </w:r>
            <w:r>
              <w:rPr>
                <w:rStyle w:val="88"/>
                <w:rFonts w:hint="eastAsia" w:ascii="宋体" w:hAnsi="宋体" w:cs="宋体"/>
                <w:sz w:val="24"/>
                <w:szCs w:val="24"/>
                <w:lang w:val="en-US" w:eastAsia="zh-CN" w:bidi="ar"/>
              </w:rPr>
              <w:t>5</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靶角：</w:t>
            </w:r>
            <w:r>
              <w:rPr>
                <w:rStyle w:val="88"/>
                <w:rFonts w:hint="eastAsia" w:ascii="宋体" w:hAnsi="宋体" w:eastAsia="宋体" w:cs="宋体"/>
                <w:sz w:val="24"/>
                <w:szCs w:val="24"/>
                <w:lang w:val="en-US" w:eastAsia="zh-CN" w:bidi="ar"/>
              </w:rPr>
              <w:t>≤12°</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2.3.</w:t>
            </w:r>
            <w:r>
              <w:rPr>
                <w:rStyle w:val="88"/>
                <w:rFonts w:hint="eastAsia" w:ascii="宋体" w:hAnsi="宋体" w:cs="宋体"/>
                <w:sz w:val="24"/>
                <w:szCs w:val="24"/>
                <w:lang w:val="en-US" w:eastAsia="zh-CN" w:bidi="ar"/>
              </w:rPr>
              <w:t>6</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焦点额定功率：小焦点</w:t>
            </w:r>
            <w:r>
              <w:rPr>
                <w:rStyle w:val="88"/>
                <w:rFonts w:hint="eastAsia" w:ascii="宋体" w:hAnsi="宋体" w:eastAsia="宋体" w:cs="宋体"/>
                <w:sz w:val="24"/>
                <w:szCs w:val="24"/>
                <w:lang w:val="en-US" w:eastAsia="zh-CN" w:bidi="ar"/>
              </w:rPr>
              <w:t>≥15kW</w:t>
            </w:r>
            <w:r>
              <w:rPr>
                <w:rStyle w:val="89"/>
                <w:rFonts w:hint="eastAsia" w:ascii="宋体" w:hAnsi="宋体" w:eastAsia="宋体" w:cs="宋体"/>
                <w:sz w:val="24"/>
                <w:szCs w:val="24"/>
                <w:lang w:val="en-US" w:eastAsia="zh-CN" w:bidi="ar"/>
              </w:rPr>
              <w:t>；大焦点</w:t>
            </w:r>
            <w:r>
              <w:rPr>
                <w:rStyle w:val="88"/>
                <w:rFonts w:hint="eastAsia" w:ascii="宋体" w:hAnsi="宋体" w:eastAsia="宋体" w:cs="宋体"/>
                <w:sz w:val="24"/>
                <w:szCs w:val="24"/>
                <w:lang w:val="en-US" w:eastAsia="zh-CN" w:bidi="ar"/>
              </w:rPr>
              <w:t>≥30kW</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2.3.</w:t>
            </w:r>
            <w:r>
              <w:rPr>
                <w:rStyle w:val="88"/>
                <w:rFonts w:hint="eastAsia" w:ascii="宋体" w:hAnsi="宋体" w:cs="宋体"/>
                <w:sz w:val="24"/>
                <w:szCs w:val="24"/>
                <w:lang w:val="en-US" w:eastAsia="zh-CN" w:bidi="ar"/>
              </w:rPr>
              <w:t>7</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最大管电流</w:t>
            </w:r>
            <w:r>
              <w:rPr>
                <w:rStyle w:val="88"/>
                <w:rFonts w:hint="eastAsia" w:ascii="宋体" w:hAnsi="宋体" w:eastAsia="宋体" w:cs="宋体"/>
                <w:sz w:val="24"/>
                <w:szCs w:val="24"/>
                <w:lang w:val="en-US" w:eastAsia="zh-CN" w:bidi="ar"/>
              </w:rPr>
              <w:t>:≥500mA</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2.3.</w:t>
            </w:r>
            <w:r>
              <w:rPr>
                <w:rStyle w:val="88"/>
                <w:rFonts w:hint="eastAsia" w:ascii="宋体" w:hAnsi="宋体" w:cs="宋体"/>
                <w:sz w:val="24"/>
                <w:szCs w:val="24"/>
                <w:lang w:val="en-US" w:eastAsia="zh-CN" w:bidi="ar"/>
              </w:rPr>
              <w:t>8</w:t>
            </w:r>
            <w:r>
              <w:rPr>
                <w:rStyle w:val="88"/>
                <w:rFonts w:hint="eastAsia" w:ascii="宋体" w:hAnsi="宋体" w:eastAsia="宋体" w:cs="宋体"/>
                <w:sz w:val="24"/>
                <w:szCs w:val="24"/>
                <w:lang w:val="en-US" w:eastAsia="zh-CN" w:bidi="ar"/>
              </w:rPr>
              <w:t xml:space="preserve"> </w:t>
            </w:r>
            <w:r>
              <w:rPr>
                <w:rStyle w:val="89"/>
                <w:rFonts w:hint="eastAsia" w:ascii="宋体" w:hAnsi="宋体" w:eastAsia="宋体" w:cs="宋体"/>
                <w:sz w:val="24"/>
                <w:szCs w:val="24"/>
                <w:lang w:val="en-US" w:eastAsia="zh-CN" w:bidi="ar"/>
              </w:rPr>
              <w:t>采用球管全包设计，以便保护球管，球管外表面不可外露</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2.4 4</w:t>
            </w:r>
            <w:r>
              <w:rPr>
                <w:rStyle w:val="89"/>
                <w:rFonts w:hint="eastAsia" w:ascii="宋体" w:hAnsi="宋体" w:eastAsia="宋体" w:cs="宋体"/>
                <w:sz w:val="24"/>
                <w:szCs w:val="24"/>
                <w:lang w:val="en-US" w:eastAsia="zh-CN" w:bidi="ar"/>
              </w:rPr>
              <w:t>、</w:t>
            </w:r>
            <w:r>
              <w:rPr>
                <w:rStyle w:val="88"/>
                <w:rFonts w:hint="eastAsia" w:ascii="宋体" w:hAnsi="宋体" w:eastAsia="宋体" w:cs="宋体"/>
                <w:sz w:val="24"/>
                <w:szCs w:val="24"/>
                <w:lang w:val="en-US" w:eastAsia="zh-CN" w:bidi="ar"/>
              </w:rPr>
              <w:t>X</w:t>
            </w:r>
            <w:r>
              <w:rPr>
                <w:rStyle w:val="89"/>
                <w:rFonts w:hint="eastAsia" w:ascii="宋体" w:hAnsi="宋体" w:eastAsia="宋体" w:cs="宋体"/>
                <w:sz w:val="24"/>
                <w:szCs w:val="24"/>
                <w:lang w:val="en-US" w:eastAsia="zh-CN" w:bidi="ar"/>
              </w:rPr>
              <w:t>射线管支撑装置：</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2.4.1 </w:t>
            </w:r>
            <w:r>
              <w:rPr>
                <w:rStyle w:val="89"/>
                <w:rFonts w:hint="eastAsia" w:ascii="宋体" w:hAnsi="宋体" w:eastAsia="宋体" w:cs="宋体"/>
                <w:sz w:val="24"/>
                <w:szCs w:val="24"/>
                <w:lang w:val="en-US" w:eastAsia="zh-CN" w:bidi="ar"/>
              </w:rPr>
              <w:t>类型：落地式、非</w:t>
            </w:r>
            <w:r>
              <w:rPr>
                <w:rStyle w:val="88"/>
                <w:rFonts w:hint="eastAsia" w:ascii="宋体" w:hAnsi="宋体" w:eastAsia="宋体" w:cs="宋体"/>
                <w:sz w:val="24"/>
                <w:szCs w:val="24"/>
                <w:lang w:val="en-US" w:eastAsia="zh-CN" w:bidi="ar"/>
              </w:rPr>
              <w:t>U</w:t>
            </w:r>
            <w:r>
              <w:rPr>
                <w:rStyle w:val="89"/>
                <w:rFonts w:hint="eastAsia" w:ascii="宋体" w:hAnsi="宋体" w:eastAsia="宋体" w:cs="宋体"/>
                <w:sz w:val="24"/>
                <w:szCs w:val="24"/>
                <w:lang w:val="en-US" w:eastAsia="zh-CN" w:bidi="ar"/>
              </w:rPr>
              <w:t>臂或</w:t>
            </w:r>
            <w:r>
              <w:rPr>
                <w:rStyle w:val="88"/>
                <w:rFonts w:hint="eastAsia" w:ascii="宋体" w:hAnsi="宋体" w:eastAsia="宋体" w:cs="宋体"/>
                <w:sz w:val="24"/>
                <w:szCs w:val="24"/>
                <w:lang w:val="en-US" w:eastAsia="zh-CN" w:bidi="ar"/>
              </w:rPr>
              <w:t>UC</w:t>
            </w:r>
            <w:r>
              <w:rPr>
                <w:rStyle w:val="89"/>
                <w:rFonts w:hint="eastAsia" w:ascii="宋体" w:hAnsi="宋体" w:eastAsia="宋体" w:cs="宋体"/>
                <w:sz w:val="24"/>
                <w:szCs w:val="24"/>
                <w:lang w:val="en-US" w:eastAsia="zh-CN" w:bidi="ar"/>
              </w:rPr>
              <w:t>臂机架，</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2.4.2 </w:t>
            </w:r>
            <w:r>
              <w:rPr>
                <w:rStyle w:val="89"/>
                <w:rFonts w:hint="eastAsia" w:ascii="宋体" w:hAnsi="宋体" w:eastAsia="宋体" w:cs="宋体"/>
                <w:sz w:val="24"/>
                <w:szCs w:val="24"/>
                <w:lang w:val="en-US" w:eastAsia="zh-CN" w:bidi="ar"/>
              </w:rPr>
              <w:t>无需天轨即可完成安装</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2.4.3 </w:t>
            </w:r>
            <w:r>
              <w:rPr>
                <w:rStyle w:val="89"/>
                <w:rFonts w:hint="eastAsia" w:ascii="宋体" w:hAnsi="宋体" w:eastAsia="宋体" w:cs="宋体"/>
                <w:sz w:val="24"/>
                <w:szCs w:val="24"/>
                <w:lang w:val="en-US" w:eastAsia="zh-CN" w:bidi="ar"/>
              </w:rPr>
              <w:t>球管沿水平轴旋转</w:t>
            </w:r>
            <w:r>
              <w:rPr>
                <w:rStyle w:val="88"/>
                <w:rFonts w:hint="eastAsia" w:ascii="宋体" w:hAnsi="宋体" w:eastAsia="宋体" w:cs="宋体"/>
                <w:sz w:val="24"/>
                <w:szCs w:val="24"/>
                <w:lang w:val="en-US" w:eastAsia="zh-CN" w:bidi="ar"/>
              </w:rPr>
              <w:t>≥±270°</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2.4.4 </w:t>
            </w:r>
            <w:r>
              <w:rPr>
                <w:rStyle w:val="89"/>
                <w:rFonts w:hint="eastAsia" w:ascii="宋体" w:hAnsi="宋体" w:eastAsia="宋体" w:cs="宋体"/>
                <w:sz w:val="24"/>
                <w:szCs w:val="24"/>
                <w:lang w:val="en-US" w:eastAsia="zh-CN" w:bidi="ar"/>
              </w:rPr>
              <w:t>球管立柱沿垂直轴旋转</w:t>
            </w:r>
            <w:r>
              <w:rPr>
                <w:rStyle w:val="88"/>
                <w:rFonts w:hint="eastAsia" w:ascii="宋体" w:hAnsi="宋体" w:eastAsia="宋体" w:cs="宋体"/>
                <w:sz w:val="24"/>
                <w:szCs w:val="24"/>
                <w:lang w:val="en-US" w:eastAsia="zh-CN" w:bidi="ar"/>
              </w:rPr>
              <w:t>≥±180°</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2.4.5 </w:t>
            </w:r>
            <w:r>
              <w:rPr>
                <w:rStyle w:val="89"/>
                <w:rFonts w:hint="eastAsia" w:ascii="宋体" w:hAnsi="宋体" w:eastAsia="宋体" w:cs="宋体"/>
                <w:sz w:val="24"/>
                <w:szCs w:val="24"/>
                <w:lang w:val="en-US" w:eastAsia="zh-CN" w:bidi="ar"/>
              </w:rPr>
              <w:t>球管垂直移动范围</w:t>
            </w:r>
            <w:r>
              <w:rPr>
                <w:rStyle w:val="88"/>
                <w:rFonts w:hint="eastAsia" w:ascii="宋体" w:hAnsi="宋体" w:eastAsia="宋体" w:cs="宋体"/>
                <w:sz w:val="24"/>
                <w:szCs w:val="24"/>
                <w:lang w:val="en-US" w:eastAsia="zh-CN" w:bidi="ar"/>
              </w:rPr>
              <w:t>≥1400mm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2.4.6 </w:t>
            </w:r>
            <w:r>
              <w:rPr>
                <w:rStyle w:val="89"/>
                <w:rFonts w:hint="eastAsia" w:ascii="宋体" w:hAnsi="宋体" w:eastAsia="宋体" w:cs="宋体"/>
                <w:sz w:val="24"/>
                <w:szCs w:val="24"/>
                <w:lang w:val="en-US" w:eastAsia="zh-CN" w:bidi="ar"/>
              </w:rPr>
              <w:t>球管垂直移动到最低处</w:t>
            </w:r>
            <w:r>
              <w:rPr>
                <w:rStyle w:val="88"/>
                <w:rFonts w:hint="eastAsia" w:ascii="宋体" w:hAnsi="宋体" w:eastAsia="宋体" w:cs="宋体"/>
                <w:sz w:val="24"/>
                <w:szCs w:val="24"/>
                <w:lang w:val="en-US" w:eastAsia="zh-CN" w:bidi="ar"/>
              </w:rPr>
              <w:t>≤350mm</w:t>
            </w:r>
            <w:r>
              <w:rPr>
                <w:rStyle w:val="89"/>
                <w:rFonts w:hint="eastAsia" w:ascii="宋体" w:hAnsi="宋体" w:eastAsia="宋体" w:cs="宋体"/>
                <w:sz w:val="24"/>
                <w:szCs w:val="24"/>
                <w:lang w:val="en-US" w:eastAsia="zh-CN" w:bidi="ar"/>
              </w:rPr>
              <w:t>（球管中心距地）</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2.4.7 </w:t>
            </w:r>
            <w:r>
              <w:rPr>
                <w:rStyle w:val="89"/>
                <w:rFonts w:hint="eastAsia" w:ascii="宋体" w:hAnsi="宋体" w:eastAsia="宋体" w:cs="宋体"/>
                <w:sz w:val="24"/>
                <w:szCs w:val="24"/>
                <w:lang w:val="en-US" w:eastAsia="zh-CN" w:bidi="ar"/>
              </w:rPr>
              <w:t>具备手动控制球管垂直运动功能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2.4.8 </w:t>
            </w:r>
            <w:r>
              <w:rPr>
                <w:rStyle w:val="89"/>
                <w:rFonts w:hint="eastAsia" w:ascii="宋体" w:hAnsi="宋体" w:eastAsia="宋体" w:cs="宋体"/>
                <w:sz w:val="24"/>
                <w:szCs w:val="24"/>
                <w:lang w:val="en-US" w:eastAsia="zh-CN" w:bidi="ar"/>
              </w:rPr>
              <w:t>机头具备感应把手，可单手触控解锁，并可同时控制球管沿立柱的垂直向与横向运动</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2.4.9 </w:t>
            </w:r>
            <w:r>
              <w:rPr>
                <w:rStyle w:val="89"/>
                <w:rFonts w:hint="eastAsia" w:ascii="宋体" w:hAnsi="宋体" w:eastAsia="宋体" w:cs="宋体"/>
                <w:sz w:val="24"/>
                <w:szCs w:val="24"/>
                <w:lang w:val="en-US" w:eastAsia="zh-CN" w:bidi="ar"/>
              </w:rPr>
              <w:t>具有一个动作即可完成</w:t>
            </w:r>
            <w:r>
              <w:rPr>
                <w:rStyle w:val="88"/>
                <w:rFonts w:hint="eastAsia" w:ascii="宋体" w:hAnsi="宋体" w:eastAsia="宋体" w:cs="宋体"/>
                <w:sz w:val="24"/>
                <w:szCs w:val="24"/>
                <w:lang w:val="en-US" w:eastAsia="zh-CN" w:bidi="ar"/>
              </w:rPr>
              <w:t>X</w:t>
            </w:r>
            <w:r>
              <w:rPr>
                <w:rStyle w:val="89"/>
                <w:rFonts w:hint="eastAsia" w:ascii="宋体" w:hAnsi="宋体" w:eastAsia="宋体" w:cs="宋体"/>
                <w:sz w:val="24"/>
                <w:szCs w:val="24"/>
                <w:lang w:val="en-US" w:eastAsia="zh-CN" w:bidi="ar"/>
              </w:rPr>
              <w:t>射线管升降、</w:t>
            </w:r>
            <w:r>
              <w:rPr>
                <w:rStyle w:val="88"/>
                <w:rFonts w:hint="eastAsia" w:ascii="宋体" w:hAnsi="宋体" w:eastAsia="宋体" w:cs="宋体"/>
                <w:sz w:val="24"/>
                <w:szCs w:val="24"/>
                <w:lang w:val="en-US" w:eastAsia="zh-CN" w:bidi="ar"/>
              </w:rPr>
              <w:t>X</w:t>
            </w:r>
            <w:r>
              <w:rPr>
                <w:rStyle w:val="89"/>
                <w:rFonts w:hint="eastAsia" w:ascii="宋体" w:hAnsi="宋体" w:eastAsia="宋体" w:cs="宋体"/>
                <w:sz w:val="24"/>
                <w:szCs w:val="24"/>
                <w:lang w:val="en-US" w:eastAsia="zh-CN" w:bidi="ar"/>
              </w:rPr>
              <w:t>射线管纵向运动、</w:t>
            </w:r>
            <w:r>
              <w:rPr>
                <w:rStyle w:val="88"/>
                <w:rFonts w:hint="eastAsia" w:ascii="宋体" w:hAnsi="宋体" w:eastAsia="宋体" w:cs="宋体"/>
                <w:sz w:val="24"/>
                <w:szCs w:val="24"/>
                <w:lang w:val="en-US" w:eastAsia="zh-CN" w:bidi="ar"/>
              </w:rPr>
              <w:t>X</w:t>
            </w:r>
            <w:r>
              <w:rPr>
                <w:rStyle w:val="89"/>
                <w:rFonts w:hint="eastAsia" w:ascii="宋体" w:hAnsi="宋体" w:eastAsia="宋体" w:cs="宋体"/>
                <w:sz w:val="24"/>
                <w:szCs w:val="24"/>
                <w:lang w:val="en-US" w:eastAsia="zh-CN" w:bidi="ar"/>
              </w:rPr>
              <w:t>射线管垂直旋转的运动解锁装置</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2.5  5</w:t>
            </w:r>
            <w:r>
              <w:rPr>
                <w:rStyle w:val="89"/>
                <w:rFonts w:hint="eastAsia" w:ascii="宋体" w:hAnsi="宋体" w:eastAsia="宋体" w:cs="宋体"/>
                <w:sz w:val="24"/>
                <w:szCs w:val="24"/>
                <w:lang w:val="en-US" w:eastAsia="zh-CN" w:bidi="ar"/>
              </w:rPr>
              <w:t>、摄影床</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2.5.1 </w:t>
            </w:r>
            <w:r>
              <w:rPr>
                <w:rStyle w:val="89"/>
                <w:rFonts w:hint="eastAsia" w:ascii="宋体" w:hAnsi="宋体" w:eastAsia="宋体" w:cs="宋体"/>
                <w:sz w:val="24"/>
                <w:szCs w:val="24"/>
                <w:lang w:val="en-US" w:eastAsia="zh-CN" w:bidi="ar"/>
              </w:rPr>
              <w:t>固定式摄影床，床面具备四方浮动功能，电磁锁定</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2.5.2 </w:t>
            </w:r>
            <w:r>
              <w:rPr>
                <w:rStyle w:val="89"/>
                <w:rFonts w:hint="eastAsia" w:ascii="宋体" w:hAnsi="宋体" w:eastAsia="宋体" w:cs="宋体"/>
                <w:sz w:val="24"/>
                <w:szCs w:val="24"/>
                <w:lang w:val="en-US" w:eastAsia="zh-CN" w:bidi="ar"/>
              </w:rPr>
              <w:t>床面纵向移动：</w:t>
            </w:r>
            <w:r>
              <w:rPr>
                <w:rStyle w:val="88"/>
                <w:rFonts w:hint="eastAsia" w:ascii="宋体" w:hAnsi="宋体" w:eastAsia="宋体" w:cs="宋体"/>
                <w:sz w:val="24"/>
                <w:szCs w:val="24"/>
                <w:lang w:val="en-US" w:eastAsia="zh-CN" w:bidi="ar"/>
              </w:rPr>
              <w:t>≥910mm</w:t>
            </w:r>
            <w:r>
              <w:rPr>
                <w:rStyle w:val="89"/>
                <w:rFonts w:hint="eastAsia" w:ascii="宋体" w:hAnsi="宋体" w:eastAsia="宋体" w:cs="宋体"/>
                <w:sz w:val="24"/>
                <w:szCs w:val="24"/>
                <w:lang w:val="en-US" w:eastAsia="zh-CN" w:bidi="ar"/>
              </w:rPr>
              <w:t>，横向移动：</w:t>
            </w:r>
            <w:r>
              <w:rPr>
                <w:rStyle w:val="88"/>
                <w:rFonts w:hint="eastAsia" w:ascii="宋体" w:hAnsi="宋体" w:eastAsia="宋体" w:cs="宋体"/>
                <w:sz w:val="24"/>
                <w:szCs w:val="24"/>
                <w:lang w:val="en-US" w:eastAsia="zh-CN" w:bidi="ar"/>
              </w:rPr>
              <w:t>≥260mm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2.5.3 </w:t>
            </w:r>
            <w:r>
              <w:rPr>
                <w:rStyle w:val="89"/>
                <w:rFonts w:hint="eastAsia" w:ascii="宋体" w:hAnsi="宋体" w:eastAsia="宋体" w:cs="宋体"/>
                <w:sz w:val="24"/>
                <w:szCs w:val="24"/>
                <w:lang w:val="en-US" w:eastAsia="zh-CN" w:bidi="ar"/>
              </w:rPr>
              <w:t>床面高度：</w:t>
            </w:r>
            <w:r>
              <w:rPr>
                <w:rStyle w:val="88"/>
                <w:rFonts w:hint="eastAsia" w:ascii="宋体" w:hAnsi="宋体" w:eastAsia="宋体" w:cs="宋体"/>
                <w:sz w:val="24"/>
                <w:szCs w:val="24"/>
                <w:lang w:val="en-US" w:eastAsia="zh-CN" w:bidi="ar"/>
              </w:rPr>
              <w:t>≤650mm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2.5.4 </w:t>
            </w:r>
            <w:r>
              <w:rPr>
                <w:rStyle w:val="89"/>
                <w:rFonts w:hint="eastAsia" w:ascii="宋体" w:hAnsi="宋体" w:eastAsia="宋体" w:cs="宋体"/>
                <w:sz w:val="24"/>
                <w:szCs w:val="24"/>
                <w:lang w:val="en-US" w:eastAsia="zh-CN" w:bidi="ar"/>
              </w:rPr>
              <w:t>床面下表面至片盒上表面的距离应小于</w:t>
            </w:r>
            <w:r>
              <w:rPr>
                <w:rStyle w:val="88"/>
                <w:rFonts w:hint="eastAsia" w:ascii="宋体" w:hAnsi="宋体" w:eastAsia="宋体" w:cs="宋体"/>
                <w:sz w:val="24"/>
                <w:szCs w:val="24"/>
                <w:lang w:val="en-US" w:eastAsia="zh-CN" w:bidi="ar"/>
              </w:rPr>
              <w:t>60mm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2.5.5 </w:t>
            </w:r>
            <w:r>
              <w:rPr>
                <w:rStyle w:val="89"/>
                <w:rFonts w:hint="eastAsia" w:ascii="宋体" w:hAnsi="宋体" w:eastAsia="宋体" w:cs="宋体"/>
                <w:sz w:val="24"/>
                <w:szCs w:val="24"/>
                <w:lang w:val="en-US" w:eastAsia="zh-CN" w:bidi="ar"/>
              </w:rPr>
              <w:t>承重：</w:t>
            </w:r>
            <w:r>
              <w:rPr>
                <w:rStyle w:val="88"/>
                <w:rFonts w:hint="eastAsia" w:ascii="宋体" w:hAnsi="宋体" w:eastAsia="宋体" w:cs="宋体"/>
                <w:sz w:val="24"/>
                <w:szCs w:val="24"/>
                <w:lang w:val="en-US" w:eastAsia="zh-CN" w:bidi="ar"/>
              </w:rPr>
              <w:t>≥270kg</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2.5.6 </w:t>
            </w:r>
            <w:r>
              <w:rPr>
                <w:rStyle w:val="89"/>
                <w:rFonts w:hint="eastAsia" w:ascii="宋体" w:hAnsi="宋体" w:eastAsia="宋体" w:cs="宋体"/>
                <w:sz w:val="24"/>
                <w:szCs w:val="24"/>
                <w:lang w:val="en-US" w:eastAsia="zh-CN" w:bidi="ar"/>
              </w:rPr>
              <w:t>固定滤线栅栅密度</w:t>
            </w:r>
            <w:r>
              <w:rPr>
                <w:rStyle w:val="88"/>
                <w:rFonts w:hint="eastAsia" w:ascii="宋体" w:hAnsi="宋体" w:eastAsia="宋体" w:cs="宋体"/>
                <w:sz w:val="24"/>
                <w:szCs w:val="24"/>
                <w:lang w:val="en-US" w:eastAsia="zh-CN" w:bidi="ar"/>
              </w:rPr>
              <w:t xml:space="preserve">≥40L/cm </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2.5.7 </w:t>
            </w:r>
            <w:r>
              <w:rPr>
                <w:rStyle w:val="89"/>
                <w:rFonts w:hint="eastAsia" w:ascii="宋体" w:hAnsi="宋体" w:eastAsia="宋体" w:cs="宋体"/>
                <w:sz w:val="24"/>
                <w:szCs w:val="24"/>
                <w:lang w:val="en-US" w:eastAsia="zh-CN" w:bidi="ar"/>
              </w:rPr>
              <w:t>固定滤线栅尺寸</w:t>
            </w:r>
            <w:r>
              <w:rPr>
                <w:rStyle w:val="88"/>
                <w:rFonts w:hint="eastAsia" w:ascii="宋体" w:hAnsi="宋体" w:eastAsia="宋体" w:cs="宋体"/>
                <w:sz w:val="24"/>
                <w:szCs w:val="24"/>
                <w:lang w:val="en-US" w:eastAsia="zh-CN" w:bidi="ar"/>
              </w:rPr>
              <w:t>≥470×450mm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2.5.8 </w:t>
            </w:r>
            <w:r>
              <w:rPr>
                <w:rStyle w:val="89"/>
                <w:rFonts w:hint="eastAsia" w:ascii="宋体" w:hAnsi="宋体" w:eastAsia="宋体" w:cs="宋体"/>
                <w:sz w:val="24"/>
                <w:szCs w:val="24"/>
                <w:lang w:val="en-US" w:eastAsia="zh-CN" w:bidi="ar"/>
              </w:rPr>
              <w:t>探测器托盘覆盖范围</w:t>
            </w:r>
            <w:r>
              <w:rPr>
                <w:rStyle w:val="88"/>
                <w:rFonts w:hint="eastAsia" w:ascii="宋体" w:hAnsi="宋体" w:eastAsia="宋体" w:cs="宋体"/>
                <w:sz w:val="24"/>
                <w:szCs w:val="24"/>
                <w:lang w:val="en-US" w:eastAsia="zh-CN" w:bidi="ar"/>
              </w:rPr>
              <w:t>≥1000mm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2.5.9 </w:t>
            </w:r>
            <w:r>
              <w:rPr>
                <w:rStyle w:val="89"/>
                <w:rFonts w:hint="eastAsia" w:ascii="宋体" w:hAnsi="宋体" w:eastAsia="宋体" w:cs="宋体"/>
                <w:sz w:val="24"/>
                <w:szCs w:val="24"/>
                <w:lang w:val="en-US" w:eastAsia="zh-CN" w:bidi="ar"/>
              </w:rPr>
              <w:t>片盒内提供无线平板探测器自动充电装置，且支持任意放置均可充电，无需考虑无线平板探测器的插入方向</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2.5.10 </w:t>
            </w:r>
            <w:r>
              <w:rPr>
                <w:rStyle w:val="89"/>
                <w:rFonts w:hint="eastAsia" w:ascii="宋体" w:hAnsi="宋体" w:eastAsia="宋体" w:cs="宋体"/>
                <w:sz w:val="24"/>
                <w:szCs w:val="24"/>
                <w:lang w:val="en-US" w:eastAsia="zh-CN" w:bidi="ar"/>
              </w:rPr>
              <w:t>高压内置：体现一体化设计，高压内置于床下，操作更便利</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2.6  6</w:t>
            </w:r>
            <w:r>
              <w:rPr>
                <w:rStyle w:val="89"/>
                <w:rFonts w:hint="eastAsia" w:ascii="宋体" w:hAnsi="宋体" w:eastAsia="宋体" w:cs="宋体"/>
                <w:sz w:val="24"/>
                <w:szCs w:val="24"/>
                <w:lang w:val="en-US" w:eastAsia="zh-CN" w:bidi="ar"/>
              </w:rPr>
              <w:t>、立式平板探测器摄影架</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2.6.1 </w:t>
            </w:r>
            <w:r>
              <w:rPr>
                <w:rStyle w:val="89"/>
                <w:rFonts w:hint="eastAsia" w:ascii="宋体" w:hAnsi="宋体" w:eastAsia="宋体" w:cs="宋体"/>
                <w:sz w:val="24"/>
                <w:szCs w:val="24"/>
                <w:lang w:val="en-US" w:eastAsia="zh-CN" w:bidi="ar"/>
              </w:rPr>
              <w:t>平板探测器垂直移动范围</w:t>
            </w:r>
            <w:r>
              <w:rPr>
                <w:rStyle w:val="88"/>
                <w:rFonts w:hint="eastAsia" w:ascii="宋体" w:hAnsi="宋体" w:eastAsia="宋体" w:cs="宋体"/>
                <w:sz w:val="24"/>
                <w:szCs w:val="24"/>
                <w:lang w:val="en-US" w:eastAsia="zh-CN" w:bidi="ar"/>
              </w:rPr>
              <w:t>≥1510mm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2.6.2 </w:t>
            </w:r>
            <w:r>
              <w:rPr>
                <w:rStyle w:val="89"/>
                <w:rFonts w:hint="eastAsia" w:ascii="宋体" w:hAnsi="宋体" w:eastAsia="宋体" w:cs="宋体"/>
                <w:sz w:val="24"/>
                <w:szCs w:val="24"/>
                <w:lang w:val="en-US" w:eastAsia="zh-CN" w:bidi="ar"/>
              </w:rPr>
              <w:t>平板探测器垂直移动到最低处</w:t>
            </w:r>
            <w:r>
              <w:rPr>
                <w:rStyle w:val="88"/>
                <w:rFonts w:hint="eastAsia" w:ascii="宋体" w:hAnsi="宋体" w:eastAsia="宋体" w:cs="宋体"/>
                <w:sz w:val="24"/>
                <w:szCs w:val="24"/>
                <w:lang w:val="en-US" w:eastAsia="zh-CN" w:bidi="ar"/>
              </w:rPr>
              <w:t>≤350mm</w:t>
            </w:r>
            <w:r>
              <w:rPr>
                <w:rStyle w:val="89"/>
                <w:rFonts w:hint="eastAsia" w:ascii="宋体" w:hAnsi="宋体" w:eastAsia="宋体" w:cs="宋体"/>
                <w:sz w:val="24"/>
                <w:szCs w:val="24"/>
                <w:lang w:val="en-US" w:eastAsia="zh-CN" w:bidi="ar"/>
              </w:rPr>
              <w:t>（平板中心距地）</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2.6.3 </w:t>
            </w:r>
            <w:r>
              <w:rPr>
                <w:rStyle w:val="89"/>
                <w:rFonts w:hint="eastAsia" w:ascii="宋体" w:hAnsi="宋体" w:eastAsia="宋体" w:cs="宋体"/>
                <w:sz w:val="24"/>
                <w:szCs w:val="24"/>
                <w:lang w:val="en-US" w:eastAsia="zh-CN" w:bidi="ar"/>
              </w:rPr>
              <w:t>具备手动控制平板探测器垂直运动功能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2.6.4 </w:t>
            </w:r>
            <w:r>
              <w:rPr>
                <w:rStyle w:val="89"/>
                <w:rFonts w:hint="eastAsia" w:ascii="宋体" w:hAnsi="宋体" w:eastAsia="宋体" w:cs="宋体"/>
                <w:sz w:val="24"/>
                <w:szCs w:val="24"/>
                <w:lang w:val="en-US" w:eastAsia="zh-CN" w:bidi="ar"/>
              </w:rPr>
              <w:t>片盒内提供无线平板探测器自动充电装置，且支持任意放置均可充电，无需考虑无线平板探测器的插入方向</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2.7  7</w:t>
            </w:r>
            <w:r>
              <w:rPr>
                <w:rStyle w:val="89"/>
                <w:rFonts w:hint="eastAsia" w:ascii="宋体" w:hAnsi="宋体" w:eastAsia="宋体" w:cs="宋体"/>
                <w:sz w:val="24"/>
                <w:szCs w:val="24"/>
                <w:lang w:val="en-US" w:eastAsia="zh-CN" w:bidi="ar"/>
              </w:rPr>
              <w:t>、限束器</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2.7.1 </w:t>
            </w:r>
            <w:r>
              <w:rPr>
                <w:rStyle w:val="89"/>
                <w:rFonts w:hint="eastAsia" w:ascii="宋体" w:hAnsi="宋体" w:eastAsia="宋体" w:cs="宋体"/>
                <w:sz w:val="24"/>
                <w:szCs w:val="24"/>
                <w:lang w:val="en-US" w:eastAsia="zh-CN" w:bidi="ar"/>
              </w:rPr>
              <w:t>固有滤过</w:t>
            </w:r>
            <w:r>
              <w:rPr>
                <w:rStyle w:val="88"/>
                <w:rFonts w:hint="eastAsia" w:ascii="宋体" w:hAnsi="宋体" w:eastAsia="宋体" w:cs="宋体"/>
                <w:sz w:val="24"/>
                <w:szCs w:val="24"/>
                <w:lang w:val="en-US" w:eastAsia="zh-CN" w:bidi="ar"/>
              </w:rPr>
              <w:t>(70kV): ≤1.3 mmAl</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2.7.2 </w:t>
            </w:r>
            <w:r>
              <w:rPr>
                <w:rStyle w:val="89"/>
                <w:rFonts w:hint="eastAsia" w:ascii="宋体" w:hAnsi="宋体" w:eastAsia="宋体" w:cs="宋体"/>
                <w:sz w:val="24"/>
                <w:szCs w:val="24"/>
                <w:lang w:val="en-US" w:eastAsia="zh-CN" w:bidi="ar"/>
              </w:rPr>
              <w:t>具备内置不遮挡光野的可调式附加滤过板：</w:t>
            </w:r>
            <w:r>
              <w:rPr>
                <w:rStyle w:val="88"/>
                <w:rFonts w:hint="eastAsia" w:ascii="宋体" w:hAnsi="宋体" w:eastAsia="宋体" w:cs="宋体"/>
                <w:sz w:val="24"/>
                <w:szCs w:val="24"/>
                <w:lang w:val="en-US" w:eastAsia="zh-CN" w:bidi="ar"/>
              </w:rPr>
              <w:t>1.5mmAl/2.0mmAl</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2.7.3 </w:t>
            </w:r>
            <w:r>
              <w:rPr>
                <w:rStyle w:val="89"/>
                <w:rFonts w:hint="eastAsia" w:ascii="宋体" w:hAnsi="宋体" w:eastAsia="宋体" w:cs="宋体"/>
                <w:sz w:val="24"/>
                <w:szCs w:val="24"/>
                <w:lang w:val="en-US" w:eastAsia="zh-CN" w:bidi="ar"/>
              </w:rPr>
              <w:t>最小照射野</w:t>
            </w:r>
            <w:r>
              <w:rPr>
                <w:rStyle w:val="88"/>
                <w:rFonts w:hint="eastAsia" w:ascii="宋体" w:hAnsi="宋体" w:eastAsia="宋体" w:cs="宋体"/>
                <w:sz w:val="24"/>
                <w:szCs w:val="24"/>
                <w:lang w:val="en-US" w:eastAsia="zh-CN" w:bidi="ar"/>
              </w:rPr>
              <w:t>(SID=100cm)</w:t>
            </w:r>
            <w:r>
              <w:rPr>
                <w:rStyle w:val="89"/>
                <w:rFonts w:hint="eastAsia" w:ascii="宋体" w:hAnsi="宋体" w:eastAsia="宋体" w:cs="宋体"/>
                <w:sz w:val="24"/>
                <w:szCs w:val="24"/>
                <w:lang w:val="en-US" w:eastAsia="zh-CN" w:bidi="ar"/>
              </w:rPr>
              <w:t>：</w:t>
            </w:r>
            <w:r>
              <w:rPr>
                <w:rStyle w:val="88"/>
                <w:rFonts w:hint="eastAsia" w:ascii="宋体" w:hAnsi="宋体" w:eastAsia="宋体" w:cs="宋体"/>
                <w:sz w:val="24"/>
                <w:szCs w:val="24"/>
                <w:lang w:val="en-US" w:eastAsia="zh-CN" w:bidi="ar"/>
              </w:rPr>
              <w:t>≤10mm×10mm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2.7.4 </w:t>
            </w:r>
            <w:r>
              <w:rPr>
                <w:rStyle w:val="89"/>
                <w:rFonts w:hint="eastAsia" w:ascii="宋体" w:hAnsi="宋体" w:eastAsia="宋体" w:cs="宋体"/>
                <w:sz w:val="24"/>
                <w:szCs w:val="24"/>
                <w:lang w:val="en-US" w:eastAsia="zh-CN" w:bidi="ar"/>
              </w:rPr>
              <w:t>最大照射野</w:t>
            </w:r>
            <w:r>
              <w:rPr>
                <w:rStyle w:val="88"/>
                <w:rFonts w:hint="eastAsia" w:ascii="宋体" w:hAnsi="宋体" w:eastAsia="宋体" w:cs="宋体"/>
                <w:sz w:val="24"/>
                <w:szCs w:val="24"/>
                <w:lang w:val="en-US" w:eastAsia="zh-CN" w:bidi="ar"/>
              </w:rPr>
              <w:t>(SID=100cm)</w:t>
            </w:r>
            <w:r>
              <w:rPr>
                <w:rStyle w:val="89"/>
                <w:rFonts w:hint="eastAsia" w:ascii="宋体" w:hAnsi="宋体" w:eastAsia="宋体" w:cs="宋体"/>
                <w:sz w:val="24"/>
                <w:szCs w:val="24"/>
                <w:lang w:val="en-US" w:eastAsia="zh-CN" w:bidi="ar"/>
              </w:rPr>
              <w:t>：</w:t>
            </w:r>
            <w:r>
              <w:rPr>
                <w:rStyle w:val="88"/>
                <w:rFonts w:hint="eastAsia" w:ascii="宋体" w:hAnsi="宋体" w:eastAsia="宋体" w:cs="宋体"/>
                <w:sz w:val="24"/>
                <w:szCs w:val="24"/>
                <w:lang w:val="en-US" w:eastAsia="zh-CN" w:bidi="ar"/>
              </w:rPr>
              <w:t>≥430mm×430mm</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2.7.5 </w:t>
            </w:r>
            <w:r>
              <w:rPr>
                <w:rStyle w:val="89"/>
                <w:rFonts w:hint="eastAsia" w:ascii="宋体" w:hAnsi="宋体" w:eastAsia="宋体" w:cs="宋体"/>
                <w:sz w:val="24"/>
                <w:szCs w:val="24"/>
                <w:lang w:val="en-US" w:eastAsia="zh-CN" w:bidi="ar"/>
              </w:rPr>
              <w:t>光野指示灯：</w:t>
            </w:r>
            <w:r>
              <w:rPr>
                <w:rStyle w:val="88"/>
                <w:rFonts w:hint="eastAsia" w:ascii="宋体" w:hAnsi="宋体" w:eastAsia="宋体" w:cs="宋体"/>
                <w:sz w:val="24"/>
                <w:szCs w:val="24"/>
                <w:lang w:val="en-US" w:eastAsia="zh-CN" w:bidi="ar"/>
              </w:rPr>
              <w:t>LED</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2.7.6 </w:t>
            </w:r>
            <w:r>
              <w:rPr>
                <w:rStyle w:val="89"/>
                <w:rFonts w:hint="eastAsia" w:ascii="宋体" w:hAnsi="宋体" w:eastAsia="宋体" w:cs="宋体"/>
                <w:sz w:val="24"/>
                <w:szCs w:val="24"/>
                <w:lang w:val="en-US" w:eastAsia="zh-CN" w:bidi="ar"/>
              </w:rPr>
              <w:t>光野指示灯：具备延时功能，延时时间</w:t>
            </w:r>
            <w:r>
              <w:rPr>
                <w:rStyle w:val="88"/>
                <w:rFonts w:hint="eastAsia" w:ascii="宋体" w:hAnsi="宋体" w:eastAsia="宋体" w:cs="宋体"/>
                <w:sz w:val="24"/>
                <w:szCs w:val="24"/>
                <w:lang w:val="en-US" w:eastAsia="zh-CN" w:bidi="ar"/>
              </w:rPr>
              <w:t>≥30s</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2.8  8</w:t>
            </w:r>
            <w:r>
              <w:rPr>
                <w:rStyle w:val="89"/>
                <w:rFonts w:hint="eastAsia" w:ascii="宋体" w:hAnsi="宋体" w:eastAsia="宋体" w:cs="宋体"/>
                <w:sz w:val="24"/>
                <w:szCs w:val="24"/>
                <w:lang w:val="en-US" w:eastAsia="zh-CN" w:bidi="ar"/>
              </w:rPr>
              <w:t>、图像采集工作站</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 </w:t>
            </w:r>
            <w:r>
              <w:rPr>
                <w:rStyle w:val="89"/>
                <w:rFonts w:hint="eastAsia" w:ascii="宋体" w:hAnsi="宋体" w:eastAsia="宋体" w:cs="宋体"/>
                <w:sz w:val="24"/>
                <w:szCs w:val="24"/>
                <w:lang w:val="en-US" w:eastAsia="zh-CN" w:bidi="ar"/>
              </w:rPr>
              <w:t>控制台配置，可控制</w:t>
            </w:r>
            <w:r>
              <w:rPr>
                <w:rStyle w:val="88"/>
                <w:rFonts w:hint="eastAsia" w:ascii="宋体" w:hAnsi="宋体" w:eastAsia="宋体" w:cs="宋体"/>
                <w:sz w:val="24"/>
                <w:szCs w:val="24"/>
                <w:lang w:val="en-US" w:eastAsia="zh-CN" w:bidi="ar"/>
              </w:rPr>
              <w:t>X</w:t>
            </w:r>
            <w:r>
              <w:rPr>
                <w:rStyle w:val="89"/>
                <w:rFonts w:hint="eastAsia" w:ascii="宋体" w:hAnsi="宋体" w:eastAsia="宋体" w:cs="宋体"/>
                <w:sz w:val="24"/>
                <w:szCs w:val="24"/>
                <w:lang w:val="en-US" w:eastAsia="zh-CN" w:bidi="ar"/>
              </w:rPr>
              <w:t>线发生器、病人资料处理、图像显示及图像传输等，配备最新版本的专业</w:t>
            </w:r>
            <w:r>
              <w:rPr>
                <w:rStyle w:val="88"/>
                <w:rFonts w:hint="eastAsia" w:ascii="宋体" w:hAnsi="宋体" w:eastAsia="宋体" w:cs="宋体"/>
                <w:sz w:val="24"/>
                <w:szCs w:val="24"/>
                <w:lang w:val="en-US" w:eastAsia="zh-CN" w:bidi="ar"/>
              </w:rPr>
              <w:t>DR</w:t>
            </w:r>
            <w:r>
              <w:rPr>
                <w:rStyle w:val="89"/>
                <w:rFonts w:hint="eastAsia" w:ascii="宋体" w:hAnsi="宋体" w:eastAsia="宋体" w:cs="宋体"/>
                <w:sz w:val="24"/>
                <w:szCs w:val="24"/>
                <w:lang w:val="en-US" w:eastAsia="zh-CN" w:bidi="ar"/>
              </w:rPr>
              <w:t>处理软件</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2.8.2 </w:t>
            </w:r>
            <w:r>
              <w:rPr>
                <w:rStyle w:val="89"/>
                <w:rFonts w:hint="eastAsia" w:ascii="宋体" w:hAnsi="宋体" w:eastAsia="宋体" w:cs="宋体"/>
                <w:sz w:val="24"/>
                <w:szCs w:val="24"/>
                <w:lang w:val="en-US" w:eastAsia="zh-CN" w:bidi="ar"/>
              </w:rPr>
              <w:t>一体化工作站，各功能非模块设计。</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2.8.3 </w:t>
            </w:r>
            <w:r>
              <w:rPr>
                <w:rStyle w:val="89"/>
                <w:rFonts w:hint="eastAsia" w:ascii="宋体" w:hAnsi="宋体" w:eastAsia="宋体" w:cs="宋体"/>
                <w:sz w:val="24"/>
                <w:szCs w:val="24"/>
                <w:lang w:val="en-US" w:eastAsia="zh-CN" w:bidi="ar"/>
              </w:rPr>
              <w:t>一键开关机控制盒：具备一键开关机功能，使医生开关机操作更加方便，同时保护机器及病人数据的安全</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2.8.4 </w:t>
            </w:r>
            <w:r>
              <w:rPr>
                <w:rStyle w:val="89"/>
                <w:rFonts w:hint="eastAsia" w:ascii="宋体" w:hAnsi="宋体" w:eastAsia="宋体" w:cs="宋体"/>
                <w:sz w:val="24"/>
                <w:szCs w:val="24"/>
                <w:lang w:val="en-US" w:eastAsia="zh-CN" w:bidi="ar"/>
              </w:rPr>
              <w:t>操作系统：</w:t>
            </w:r>
            <w:r>
              <w:rPr>
                <w:rStyle w:val="88"/>
                <w:rFonts w:hint="eastAsia" w:ascii="宋体" w:hAnsi="宋体" w:eastAsia="宋体" w:cs="宋体"/>
                <w:sz w:val="24"/>
                <w:szCs w:val="24"/>
                <w:lang w:val="en-US" w:eastAsia="zh-CN" w:bidi="ar"/>
              </w:rPr>
              <w:t>Windows</w:t>
            </w:r>
            <w:r>
              <w:rPr>
                <w:rStyle w:val="89"/>
                <w:rFonts w:hint="eastAsia" w:ascii="宋体" w:hAnsi="宋体" w:eastAsia="宋体" w:cs="宋体"/>
                <w:sz w:val="24"/>
                <w:szCs w:val="24"/>
                <w:lang w:val="en-US" w:eastAsia="zh-CN" w:bidi="ar"/>
              </w:rPr>
              <w:t>，全中文操作界面</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2.8.5 </w:t>
            </w:r>
            <w:r>
              <w:rPr>
                <w:rStyle w:val="89"/>
                <w:rFonts w:hint="eastAsia" w:ascii="宋体" w:hAnsi="宋体" w:eastAsia="宋体" w:cs="宋体"/>
                <w:sz w:val="24"/>
                <w:szCs w:val="24"/>
                <w:lang w:val="en-US" w:eastAsia="zh-CN" w:bidi="ar"/>
              </w:rPr>
              <w:t>硬件配置：</w:t>
            </w:r>
            <w:r>
              <w:rPr>
                <w:rStyle w:val="88"/>
                <w:rFonts w:hint="eastAsia" w:ascii="宋体" w:hAnsi="宋体" w:eastAsia="宋体" w:cs="宋体"/>
                <w:sz w:val="24"/>
                <w:szCs w:val="24"/>
                <w:lang w:val="en-US" w:eastAsia="zh-CN" w:bidi="ar"/>
              </w:rPr>
              <w:t>CPU≥2GHz</w:t>
            </w:r>
            <w:r>
              <w:rPr>
                <w:rStyle w:val="89"/>
                <w:rFonts w:hint="eastAsia" w:ascii="宋体" w:hAnsi="宋体" w:eastAsia="宋体" w:cs="宋体"/>
                <w:sz w:val="24"/>
                <w:szCs w:val="24"/>
                <w:lang w:val="en-US" w:eastAsia="zh-CN" w:bidi="ar"/>
              </w:rPr>
              <w:t>，内存容量</w:t>
            </w:r>
            <w:r>
              <w:rPr>
                <w:rStyle w:val="88"/>
                <w:rFonts w:hint="eastAsia" w:ascii="宋体" w:hAnsi="宋体" w:eastAsia="宋体" w:cs="宋体"/>
                <w:sz w:val="24"/>
                <w:szCs w:val="24"/>
                <w:lang w:val="en-US" w:eastAsia="zh-CN" w:bidi="ar"/>
              </w:rPr>
              <w:t>≥4G</w:t>
            </w:r>
            <w:r>
              <w:rPr>
                <w:rStyle w:val="89"/>
                <w:rFonts w:hint="eastAsia" w:ascii="宋体" w:hAnsi="宋体" w:eastAsia="宋体" w:cs="宋体"/>
                <w:sz w:val="24"/>
                <w:szCs w:val="24"/>
                <w:lang w:val="en-US" w:eastAsia="zh-CN" w:bidi="ar"/>
              </w:rPr>
              <w:t>，硬盘容量</w:t>
            </w:r>
            <w:r>
              <w:rPr>
                <w:rStyle w:val="88"/>
                <w:rFonts w:hint="eastAsia" w:ascii="宋体" w:hAnsi="宋体" w:eastAsia="宋体" w:cs="宋体"/>
                <w:sz w:val="24"/>
                <w:szCs w:val="24"/>
                <w:lang w:val="en-US" w:eastAsia="zh-CN" w:bidi="ar"/>
              </w:rPr>
              <w:t>≥1T</w:t>
            </w:r>
            <w:r>
              <w:rPr>
                <w:rStyle w:val="89"/>
                <w:rFonts w:hint="eastAsia" w:ascii="宋体" w:hAnsi="宋体" w:eastAsia="宋体" w:cs="宋体"/>
                <w:sz w:val="24"/>
                <w:szCs w:val="24"/>
                <w:lang w:val="en-US" w:eastAsia="zh-CN" w:bidi="ar"/>
              </w:rPr>
              <w:t>，液晶显示器：</w:t>
            </w:r>
            <w:r>
              <w:rPr>
                <w:rStyle w:val="88"/>
                <w:rFonts w:hint="eastAsia" w:ascii="宋体" w:hAnsi="宋体" w:eastAsia="宋体" w:cs="宋体"/>
                <w:sz w:val="24"/>
                <w:szCs w:val="24"/>
                <w:lang w:val="en-US" w:eastAsia="zh-CN" w:bidi="ar"/>
              </w:rPr>
              <w:t>≥23″</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2.8.6 </w:t>
            </w:r>
            <w:r>
              <w:rPr>
                <w:rStyle w:val="89"/>
                <w:rFonts w:hint="eastAsia" w:ascii="宋体" w:hAnsi="宋体" w:eastAsia="宋体" w:cs="宋体"/>
                <w:sz w:val="24"/>
                <w:szCs w:val="24"/>
                <w:lang w:val="en-US" w:eastAsia="zh-CN" w:bidi="ar"/>
              </w:rPr>
              <w:t>病人数据输入：鼠标、键盘</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2.8.7 </w:t>
            </w:r>
            <w:r>
              <w:rPr>
                <w:rStyle w:val="89"/>
                <w:rFonts w:hint="eastAsia" w:ascii="宋体" w:hAnsi="宋体" w:eastAsia="宋体" w:cs="宋体"/>
                <w:sz w:val="24"/>
                <w:szCs w:val="24"/>
                <w:lang w:val="en-US" w:eastAsia="zh-CN" w:bidi="ar"/>
              </w:rPr>
              <w:t>配有标准</w:t>
            </w:r>
            <w:r>
              <w:rPr>
                <w:rStyle w:val="88"/>
                <w:rFonts w:hint="eastAsia" w:ascii="宋体" w:hAnsi="宋体" w:eastAsia="宋体" w:cs="宋体"/>
                <w:sz w:val="24"/>
                <w:szCs w:val="24"/>
                <w:lang w:val="en-US" w:eastAsia="zh-CN" w:bidi="ar"/>
              </w:rPr>
              <w:t>DICOM3.0</w:t>
            </w:r>
            <w:r>
              <w:rPr>
                <w:rStyle w:val="89"/>
                <w:rFonts w:hint="eastAsia" w:ascii="宋体" w:hAnsi="宋体" w:eastAsia="宋体" w:cs="宋体"/>
                <w:sz w:val="24"/>
                <w:szCs w:val="24"/>
                <w:lang w:val="en-US" w:eastAsia="zh-CN" w:bidi="ar"/>
              </w:rPr>
              <w:t>输入输出接口，具有</w:t>
            </w:r>
            <w:r>
              <w:rPr>
                <w:rStyle w:val="88"/>
                <w:rFonts w:hint="eastAsia" w:ascii="宋体" w:hAnsi="宋体" w:eastAsia="宋体" w:cs="宋体"/>
                <w:sz w:val="24"/>
                <w:szCs w:val="24"/>
                <w:lang w:val="en-US" w:eastAsia="zh-CN" w:bidi="ar"/>
              </w:rPr>
              <w:t>DICOM</w:t>
            </w:r>
            <w:r>
              <w:rPr>
                <w:rStyle w:val="89"/>
                <w:rFonts w:hint="eastAsia" w:ascii="宋体" w:hAnsi="宋体" w:eastAsia="宋体" w:cs="宋体"/>
                <w:sz w:val="24"/>
                <w:szCs w:val="24"/>
                <w:lang w:val="en-US" w:eastAsia="zh-CN" w:bidi="ar"/>
              </w:rPr>
              <w:t>打印、存储、一体化光盘刻录、传输和获取以及</w:t>
            </w:r>
            <w:r>
              <w:rPr>
                <w:rStyle w:val="88"/>
                <w:rFonts w:hint="eastAsia" w:ascii="宋体" w:hAnsi="宋体" w:eastAsia="宋体" w:cs="宋体"/>
                <w:sz w:val="24"/>
                <w:szCs w:val="24"/>
                <w:lang w:val="en-US" w:eastAsia="zh-CN" w:bidi="ar"/>
              </w:rPr>
              <w:t>Worklist</w:t>
            </w:r>
            <w:r>
              <w:rPr>
                <w:rStyle w:val="89"/>
                <w:rFonts w:hint="eastAsia" w:ascii="宋体" w:hAnsi="宋体" w:eastAsia="宋体" w:cs="宋体"/>
                <w:sz w:val="24"/>
                <w:szCs w:val="24"/>
                <w:lang w:val="en-US" w:eastAsia="zh-CN" w:bidi="ar"/>
              </w:rPr>
              <w:t>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2.8.8 </w:t>
            </w:r>
            <w:r>
              <w:rPr>
                <w:rStyle w:val="89"/>
                <w:rFonts w:hint="eastAsia" w:ascii="宋体" w:hAnsi="宋体" w:eastAsia="宋体" w:cs="宋体"/>
                <w:sz w:val="24"/>
                <w:szCs w:val="24"/>
                <w:lang w:val="en-US" w:eastAsia="zh-CN" w:bidi="ar"/>
              </w:rPr>
              <w:t>具备患者信息登记、编辑功能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2.8.9 </w:t>
            </w:r>
            <w:r>
              <w:rPr>
                <w:rStyle w:val="89"/>
                <w:rFonts w:hint="eastAsia" w:ascii="宋体" w:hAnsi="宋体" w:eastAsia="宋体" w:cs="宋体"/>
                <w:sz w:val="24"/>
                <w:szCs w:val="24"/>
                <w:lang w:val="en-US" w:eastAsia="zh-CN" w:bidi="ar"/>
              </w:rPr>
              <w:t>具备曝光参数调节功能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2.8.10 </w:t>
            </w:r>
            <w:r>
              <w:rPr>
                <w:rStyle w:val="89"/>
                <w:rFonts w:hint="eastAsia" w:ascii="宋体" w:hAnsi="宋体" w:eastAsia="宋体" w:cs="宋体"/>
                <w:sz w:val="24"/>
                <w:szCs w:val="24"/>
                <w:lang w:val="en-US" w:eastAsia="zh-CN" w:bidi="ar"/>
              </w:rPr>
              <w:t>具备</w:t>
            </w:r>
            <w:r>
              <w:rPr>
                <w:rStyle w:val="88"/>
                <w:rFonts w:hint="eastAsia" w:ascii="宋体" w:hAnsi="宋体" w:eastAsia="宋体" w:cs="宋体"/>
                <w:sz w:val="24"/>
                <w:szCs w:val="24"/>
                <w:lang w:val="en-US" w:eastAsia="zh-CN" w:bidi="ar"/>
              </w:rPr>
              <w:t>3D</w:t>
            </w:r>
            <w:r>
              <w:rPr>
                <w:rStyle w:val="89"/>
                <w:rFonts w:hint="eastAsia" w:ascii="宋体" w:hAnsi="宋体" w:eastAsia="宋体" w:cs="宋体"/>
                <w:sz w:val="24"/>
                <w:szCs w:val="24"/>
                <w:lang w:val="en-US" w:eastAsia="zh-CN" w:bidi="ar"/>
              </w:rPr>
              <w:t>投照体位示意图</w:t>
            </w:r>
            <w:r>
              <w:rPr>
                <w:rStyle w:val="88"/>
                <w:rFonts w:hint="eastAsia" w:ascii="宋体" w:hAnsi="宋体" w:eastAsia="宋体" w:cs="宋体"/>
                <w:sz w:val="24"/>
                <w:szCs w:val="24"/>
                <w:lang w:val="en-US" w:eastAsia="zh-CN" w:bidi="ar"/>
              </w:rPr>
              <w:t xml:space="preserve"> </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2.8.11 </w:t>
            </w:r>
            <w:r>
              <w:rPr>
                <w:rStyle w:val="89"/>
                <w:rFonts w:hint="eastAsia" w:ascii="宋体" w:hAnsi="宋体" w:eastAsia="宋体" w:cs="宋体"/>
                <w:sz w:val="24"/>
                <w:szCs w:val="24"/>
                <w:lang w:val="en-US" w:eastAsia="zh-CN" w:bidi="ar"/>
              </w:rPr>
              <w:t>图像显示</w:t>
            </w:r>
            <w:r>
              <w:rPr>
                <w:rStyle w:val="88"/>
                <w:rFonts w:hint="eastAsia" w:ascii="宋体" w:hAnsi="宋体" w:eastAsia="宋体" w:cs="宋体"/>
                <w:sz w:val="24"/>
                <w:szCs w:val="24"/>
                <w:lang w:val="en-US" w:eastAsia="zh-CN" w:bidi="ar"/>
              </w:rPr>
              <w:t>/</w:t>
            </w:r>
            <w:r>
              <w:rPr>
                <w:rStyle w:val="89"/>
                <w:rFonts w:hint="eastAsia" w:ascii="宋体" w:hAnsi="宋体" w:eastAsia="宋体" w:cs="宋体"/>
                <w:sz w:val="24"/>
                <w:szCs w:val="24"/>
                <w:lang w:val="en-US" w:eastAsia="zh-CN" w:bidi="ar"/>
              </w:rPr>
              <w:t>查看</w:t>
            </w:r>
            <w:r>
              <w:rPr>
                <w:rStyle w:val="88"/>
                <w:rFonts w:hint="eastAsia" w:ascii="宋体" w:hAnsi="宋体" w:eastAsia="宋体" w:cs="宋体"/>
                <w:sz w:val="24"/>
                <w:szCs w:val="24"/>
                <w:lang w:val="en-US" w:eastAsia="zh-CN" w:bidi="ar"/>
              </w:rPr>
              <w:t>/</w:t>
            </w:r>
            <w:r>
              <w:rPr>
                <w:rStyle w:val="89"/>
                <w:rFonts w:hint="eastAsia" w:ascii="宋体" w:hAnsi="宋体" w:eastAsia="宋体" w:cs="宋体"/>
                <w:sz w:val="24"/>
                <w:szCs w:val="24"/>
                <w:lang w:val="en-US" w:eastAsia="zh-CN" w:bidi="ar"/>
              </w:rPr>
              <w:t>处理</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2.8.12 </w:t>
            </w:r>
            <w:r>
              <w:rPr>
                <w:rStyle w:val="89"/>
                <w:rFonts w:hint="eastAsia" w:ascii="宋体" w:hAnsi="宋体" w:eastAsia="宋体" w:cs="宋体"/>
                <w:sz w:val="24"/>
                <w:szCs w:val="24"/>
                <w:lang w:val="en-US" w:eastAsia="zh-CN" w:bidi="ar"/>
              </w:rPr>
              <w:t>图像支持任意角度旋转</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2.8.13 </w:t>
            </w:r>
            <w:r>
              <w:rPr>
                <w:rStyle w:val="89"/>
                <w:rFonts w:hint="eastAsia" w:ascii="宋体" w:hAnsi="宋体" w:eastAsia="宋体" w:cs="宋体"/>
                <w:sz w:val="24"/>
                <w:szCs w:val="24"/>
                <w:lang w:val="en-US" w:eastAsia="zh-CN" w:bidi="ar"/>
              </w:rPr>
              <w:t>胶片打印排版，支持不同病人拼图打印</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2.8.14 </w:t>
            </w:r>
            <w:r>
              <w:rPr>
                <w:rStyle w:val="89"/>
                <w:rFonts w:hint="eastAsia" w:ascii="宋体" w:hAnsi="宋体" w:eastAsia="宋体" w:cs="宋体"/>
                <w:sz w:val="24"/>
                <w:szCs w:val="24"/>
                <w:lang w:val="en-US" w:eastAsia="zh-CN" w:bidi="ar"/>
              </w:rPr>
              <w:t>图像删除原因统计功能等</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2.8.15 </w:t>
            </w:r>
            <w:r>
              <w:rPr>
                <w:rStyle w:val="89"/>
                <w:rFonts w:hint="eastAsia" w:ascii="宋体" w:hAnsi="宋体" w:eastAsia="宋体" w:cs="宋体"/>
                <w:sz w:val="24"/>
                <w:szCs w:val="24"/>
                <w:lang w:val="en-US" w:eastAsia="zh-CN" w:bidi="ar"/>
              </w:rPr>
              <w:t>数据备份定期提醒，自动清理</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2.8.16 </w:t>
            </w:r>
            <w:r>
              <w:rPr>
                <w:rStyle w:val="89"/>
                <w:rFonts w:hint="eastAsia" w:ascii="宋体" w:hAnsi="宋体" w:eastAsia="宋体" w:cs="宋体"/>
                <w:sz w:val="24"/>
                <w:szCs w:val="24"/>
                <w:lang w:val="en-US" w:eastAsia="zh-CN" w:bidi="ar"/>
              </w:rPr>
              <w:t>具备栅影抑制功能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2.8.17 </w:t>
            </w:r>
            <w:r>
              <w:rPr>
                <w:rStyle w:val="89"/>
                <w:rFonts w:hint="eastAsia" w:ascii="宋体" w:hAnsi="宋体" w:eastAsia="宋体" w:cs="宋体"/>
                <w:sz w:val="24"/>
                <w:szCs w:val="24"/>
                <w:lang w:val="en-US" w:eastAsia="zh-CN" w:bidi="ar"/>
              </w:rPr>
              <w:t>为确保图像传输的稳定性和及时性，具备在不依赖于医院的网络覆盖下，支持</w:t>
            </w:r>
            <w:r>
              <w:rPr>
                <w:rStyle w:val="88"/>
                <w:rFonts w:hint="eastAsia" w:ascii="宋体" w:hAnsi="宋体" w:eastAsia="宋体" w:cs="宋体"/>
                <w:sz w:val="24"/>
                <w:szCs w:val="24"/>
                <w:lang w:val="en-US" w:eastAsia="zh-CN" w:bidi="ar"/>
              </w:rPr>
              <w:t>DICOM</w:t>
            </w:r>
            <w:r>
              <w:rPr>
                <w:rStyle w:val="89"/>
                <w:rFonts w:hint="eastAsia" w:ascii="宋体" w:hAnsi="宋体" w:eastAsia="宋体" w:cs="宋体"/>
                <w:sz w:val="24"/>
                <w:szCs w:val="24"/>
                <w:lang w:val="en-US" w:eastAsia="zh-CN" w:bidi="ar"/>
              </w:rPr>
              <w:t>图远程传输功能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2.8.18 </w:t>
            </w:r>
            <w:r>
              <w:rPr>
                <w:rStyle w:val="89"/>
                <w:rFonts w:hint="eastAsia" w:ascii="宋体" w:hAnsi="宋体" w:eastAsia="宋体" w:cs="宋体"/>
                <w:sz w:val="24"/>
                <w:szCs w:val="24"/>
                <w:lang w:val="en-US" w:eastAsia="zh-CN" w:bidi="ar"/>
              </w:rPr>
              <w:t>具备远程</w:t>
            </w:r>
            <w:r>
              <w:rPr>
                <w:rStyle w:val="88"/>
                <w:rFonts w:hint="eastAsia" w:ascii="宋体" w:hAnsi="宋体" w:eastAsia="宋体" w:cs="宋体"/>
                <w:sz w:val="24"/>
                <w:szCs w:val="24"/>
                <w:lang w:val="en-US" w:eastAsia="zh-CN" w:bidi="ar"/>
              </w:rPr>
              <w:t>PC</w:t>
            </w:r>
            <w:r>
              <w:rPr>
                <w:rStyle w:val="89"/>
                <w:rFonts w:hint="eastAsia" w:ascii="宋体" w:hAnsi="宋体" w:eastAsia="宋体" w:cs="宋体"/>
                <w:sz w:val="24"/>
                <w:szCs w:val="24"/>
                <w:lang w:val="en-US" w:eastAsia="zh-CN" w:bidi="ar"/>
              </w:rPr>
              <w:t>端</w:t>
            </w:r>
            <w:r>
              <w:rPr>
                <w:rStyle w:val="88"/>
                <w:rFonts w:hint="eastAsia" w:ascii="宋体" w:hAnsi="宋体" w:eastAsia="宋体" w:cs="宋体"/>
                <w:sz w:val="24"/>
                <w:szCs w:val="24"/>
                <w:lang w:val="en-US" w:eastAsia="zh-CN" w:bidi="ar"/>
              </w:rPr>
              <w:t>DICOM</w:t>
            </w:r>
            <w:r>
              <w:rPr>
                <w:rStyle w:val="89"/>
                <w:rFonts w:hint="eastAsia" w:ascii="宋体" w:hAnsi="宋体" w:eastAsia="宋体" w:cs="宋体"/>
                <w:sz w:val="24"/>
                <w:szCs w:val="24"/>
                <w:lang w:val="en-US" w:eastAsia="zh-CN" w:bidi="ar"/>
              </w:rPr>
              <w:t>阅片功能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2.8.19 </w:t>
            </w:r>
            <w:r>
              <w:rPr>
                <w:rStyle w:val="89"/>
                <w:rFonts w:hint="eastAsia" w:ascii="宋体" w:hAnsi="宋体" w:eastAsia="宋体" w:cs="宋体"/>
                <w:sz w:val="24"/>
                <w:szCs w:val="24"/>
                <w:lang w:val="en-US" w:eastAsia="zh-CN" w:bidi="ar"/>
              </w:rPr>
              <w:t>具备远程手机移动端</w:t>
            </w:r>
            <w:r>
              <w:rPr>
                <w:rStyle w:val="88"/>
                <w:rFonts w:hint="eastAsia" w:ascii="宋体" w:hAnsi="宋体" w:eastAsia="宋体" w:cs="宋体"/>
                <w:sz w:val="24"/>
                <w:szCs w:val="24"/>
                <w:lang w:val="en-US" w:eastAsia="zh-CN" w:bidi="ar"/>
              </w:rPr>
              <w:t>DICOM</w:t>
            </w:r>
            <w:r>
              <w:rPr>
                <w:rStyle w:val="89"/>
                <w:rFonts w:hint="eastAsia" w:ascii="宋体" w:hAnsi="宋体" w:eastAsia="宋体" w:cs="宋体"/>
                <w:sz w:val="24"/>
                <w:szCs w:val="24"/>
                <w:lang w:val="en-US" w:eastAsia="zh-CN" w:bidi="ar"/>
              </w:rPr>
              <w:t>阅片功能</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2.8.20 </w:t>
            </w:r>
            <w:r>
              <w:rPr>
                <w:rStyle w:val="89"/>
                <w:rFonts w:hint="eastAsia" w:ascii="宋体" w:hAnsi="宋体" w:eastAsia="宋体" w:cs="宋体"/>
                <w:sz w:val="24"/>
                <w:szCs w:val="24"/>
                <w:lang w:val="en-US" w:eastAsia="zh-CN" w:bidi="ar"/>
              </w:rPr>
              <w:t>软件支持</w:t>
            </w:r>
            <w:r>
              <w:rPr>
                <w:rStyle w:val="88"/>
                <w:rFonts w:hint="eastAsia" w:ascii="宋体" w:hAnsi="宋体" w:eastAsia="宋体" w:cs="宋体"/>
                <w:sz w:val="24"/>
                <w:szCs w:val="24"/>
                <w:lang w:val="en-US" w:eastAsia="zh-CN" w:bidi="ar"/>
              </w:rPr>
              <w:t>3</w:t>
            </w:r>
            <w:r>
              <w:rPr>
                <w:rStyle w:val="89"/>
                <w:rFonts w:hint="eastAsia" w:ascii="宋体" w:hAnsi="宋体" w:eastAsia="宋体" w:cs="宋体"/>
                <w:sz w:val="24"/>
                <w:szCs w:val="24"/>
                <w:lang w:val="en-US" w:eastAsia="zh-CN" w:bidi="ar"/>
              </w:rPr>
              <w:t>台以上打印机链接</w:t>
            </w:r>
          </w:p>
          <w:p w14:paraId="45410072">
            <w:pPr>
              <w:keepNext w:val="0"/>
              <w:keepLines w:val="0"/>
              <w:widowControl/>
              <w:suppressLineNumbers w:val="0"/>
              <w:jc w:val="both"/>
              <w:textAlignment w:val="top"/>
              <w:rPr>
                <w:rStyle w:val="89"/>
                <w:rFonts w:hint="eastAsia" w:ascii="宋体" w:hAnsi="宋体" w:eastAsia="宋体" w:cs="宋体"/>
                <w:sz w:val="24"/>
                <w:szCs w:val="24"/>
                <w:lang w:val="en-US" w:eastAsia="zh-CN" w:bidi="ar"/>
              </w:rPr>
            </w:pPr>
            <w:r>
              <w:rPr>
                <w:rStyle w:val="88"/>
                <w:rFonts w:hint="eastAsia" w:ascii="宋体" w:hAnsi="宋体" w:eastAsia="宋体" w:cs="宋体"/>
                <w:sz w:val="24"/>
                <w:szCs w:val="24"/>
                <w:lang w:val="en-US" w:eastAsia="zh-CN" w:bidi="ar"/>
              </w:rPr>
              <w:t xml:space="preserve">2.8.21 </w:t>
            </w:r>
            <w:r>
              <w:rPr>
                <w:rStyle w:val="89"/>
                <w:rFonts w:hint="eastAsia" w:ascii="宋体" w:hAnsi="宋体" w:eastAsia="宋体" w:cs="宋体"/>
                <w:sz w:val="24"/>
                <w:szCs w:val="24"/>
                <w:lang w:val="en-US" w:eastAsia="zh-CN" w:bidi="ar"/>
              </w:rPr>
              <w:t>具备辐射剂量面积指示，并在图像上显示</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2.8.22 </w:t>
            </w:r>
            <w:r>
              <w:rPr>
                <w:rStyle w:val="89"/>
                <w:rFonts w:hint="eastAsia" w:ascii="宋体" w:hAnsi="宋体" w:eastAsia="宋体" w:cs="宋体"/>
                <w:sz w:val="24"/>
                <w:szCs w:val="24"/>
                <w:lang w:val="en-US" w:eastAsia="zh-CN" w:bidi="ar"/>
              </w:rPr>
              <w:t>具备常规模式、急诊模式、体检模式，儿童检查模式。</w:t>
            </w:r>
            <w:r>
              <w:rPr>
                <w:rStyle w:val="88"/>
                <w:rFonts w:hint="eastAsia" w:ascii="宋体" w:hAnsi="宋体" w:eastAsia="宋体" w:cs="宋体"/>
                <w:sz w:val="24"/>
                <w:szCs w:val="24"/>
                <w:lang w:val="en-US" w:eastAsia="zh-CN" w:bidi="ar"/>
              </w:rPr>
              <w:t xml:space="preserve"> </w:t>
            </w:r>
            <w:r>
              <w:rPr>
                <w:rStyle w:val="88"/>
                <w:rFonts w:hint="eastAsia" w:ascii="宋体" w:hAnsi="宋体" w:eastAsia="宋体" w:cs="宋体"/>
                <w:sz w:val="24"/>
                <w:szCs w:val="24"/>
                <w:lang w:val="en-US" w:eastAsia="zh-CN" w:bidi="ar"/>
              </w:rPr>
              <w:br w:type="textWrapping"/>
            </w:r>
            <w:r>
              <w:rPr>
                <w:rStyle w:val="88"/>
                <w:rFonts w:hint="eastAsia" w:ascii="宋体" w:hAnsi="宋体" w:eastAsia="宋体" w:cs="宋体"/>
                <w:sz w:val="24"/>
                <w:szCs w:val="24"/>
                <w:lang w:val="en-US" w:eastAsia="zh-CN" w:bidi="ar"/>
              </w:rPr>
              <w:t xml:space="preserve">2.8.23 </w:t>
            </w:r>
            <w:r>
              <w:rPr>
                <w:rStyle w:val="89"/>
                <w:rFonts w:hint="eastAsia" w:ascii="宋体" w:hAnsi="宋体" w:eastAsia="宋体" w:cs="宋体"/>
                <w:sz w:val="24"/>
                <w:szCs w:val="24"/>
                <w:lang w:val="en-US" w:eastAsia="zh-CN" w:bidi="ar"/>
              </w:rPr>
              <w:t>远程会诊及培训系统：具备视频直播、点播、即时消息、影像数据存储、影像数据采集、病人档案管理、视频推流、用户交互等功能</w:t>
            </w:r>
          </w:p>
          <w:p w14:paraId="4FAA25C8">
            <w:pPr>
              <w:keepNext w:val="0"/>
              <w:keepLines w:val="0"/>
              <w:widowControl/>
              <w:numPr>
                <w:ilvl w:val="0"/>
                <w:numId w:val="0"/>
              </w:numPr>
              <w:suppressLineNumbers w:val="0"/>
              <w:jc w:val="both"/>
              <w:textAlignment w:val="top"/>
              <w:rPr>
                <w:rStyle w:val="89"/>
                <w:rFonts w:hint="eastAsia" w:ascii="宋体" w:hAnsi="宋体" w:eastAsia="宋体" w:cs="宋体"/>
                <w:sz w:val="24"/>
                <w:szCs w:val="24"/>
                <w:lang w:val="en-US" w:eastAsia="zh-CN" w:bidi="ar"/>
              </w:rPr>
            </w:pPr>
            <w:r>
              <w:rPr>
                <w:rStyle w:val="89"/>
                <w:rFonts w:hint="eastAsia" w:ascii="宋体" w:hAnsi="宋体" w:eastAsia="宋体" w:cs="宋体"/>
                <w:sz w:val="24"/>
                <w:szCs w:val="24"/>
                <w:lang w:val="en-US" w:eastAsia="zh-CN" w:bidi="ar"/>
              </w:rPr>
              <w:t>第三方附件:</w:t>
            </w:r>
          </w:p>
          <w:p w14:paraId="1BAFC243">
            <w:pPr>
              <w:keepNext w:val="0"/>
              <w:keepLines w:val="0"/>
              <w:widowControl/>
              <w:numPr>
                <w:ilvl w:val="0"/>
                <w:numId w:val="0"/>
              </w:numPr>
              <w:suppressLineNumbers w:val="0"/>
              <w:jc w:val="both"/>
              <w:textAlignment w:val="top"/>
              <w:rPr>
                <w:rStyle w:val="89"/>
                <w:rFonts w:hint="eastAsia" w:ascii="宋体" w:hAnsi="宋体" w:eastAsia="宋体" w:cs="宋体"/>
                <w:sz w:val="24"/>
                <w:szCs w:val="24"/>
                <w:lang w:val="en-US" w:eastAsia="zh-CN" w:bidi="ar"/>
              </w:rPr>
            </w:pPr>
            <w:r>
              <w:rPr>
                <w:rStyle w:val="89"/>
                <w:rFonts w:hint="eastAsia" w:ascii="宋体" w:hAnsi="宋体" w:eastAsia="宋体" w:cs="宋体"/>
                <w:sz w:val="24"/>
                <w:szCs w:val="24"/>
                <w:lang w:val="en-US" w:eastAsia="zh-CN" w:bidi="ar"/>
              </w:rPr>
              <w:t>1、胶片打印机</w:t>
            </w:r>
          </w:p>
          <w:p w14:paraId="095C1A6F">
            <w:pPr>
              <w:keepNext w:val="0"/>
              <w:keepLines w:val="0"/>
              <w:widowControl/>
              <w:numPr>
                <w:ilvl w:val="0"/>
                <w:numId w:val="0"/>
              </w:numPr>
              <w:suppressLineNumbers w:val="0"/>
              <w:jc w:val="both"/>
              <w:textAlignment w:val="top"/>
              <w:rPr>
                <w:rStyle w:val="89"/>
                <w:rFonts w:hint="eastAsia" w:ascii="宋体" w:hAnsi="宋体" w:eastAsia="宋体" w:cs="宋体"/>
                <w:sz w:val="24"/>
                <w:szCs w:val="24"/>
                <w:lang w:val="en-US" w:eastAsia="zh-CN" w:bidi="ar"/>
              </w:rPr>
            </w:pPr>
            <w:r>
              <w:rPr>
                <w:rStyle w:val="89"/>
                <w:rFonts w:hint="eastAsia" w:ascii="宋体" w:hAnsi="宋体" w:eastAsia="宋体" w:cs="宋体"/>
                <w:sz w:val="24"/>
                <w:szCs w:val="24"/>
                <w:lang w:val="en-US" w:eastAsia="zh-CN" w:bidi="ar"/>
              </w:rPr>
              <w:t>2、DR 机房、DR 操作间改造建设及防护装修(交钥匙工程)</w:t>
            </w:r>
          </w:p>
          <w:p w14:paraId="50C4C3F0">
            <w:pPr>
              <w:keepNext w:val="0"/>
              <w:keepLines w:val="0"/>
              <w:widowControl/>
              <w:numPr>
                <w:ilvl w:val="0"/>
                <w:numId w:val="0"/>
              </w:numPr>
              <w:suppressLineNumbers w:val="0"/>
              <w:jc w:val="both"/>
              <w:textAlignment w:val="top"/>
              <w:rPr>
                <w:rStyle w:val="89"/>
                <w:rFonts w:hint="eastAsia" w:ascii="宋体" w:hAnsi="宋体" w:eastAsia="宋体" w:cs="宋体"/>
                <w:sz w:val="24"/>
                <w:szCs w:val="24"/>
                <w:lang w:val="en-US" w:eastAsia="zh-CN" w:bidi="ar"/>
              </w:rPr>
            </w:pPr>
            <w:r>
              <w:rPr>
                <w:rStyle w:val="89"/>
                <w:rFonts w:hint="eastAsia" w:ascii="宋体" w:hAnsi="宋体" w:eastAsia="宋体" w:cs="宋体"/>
                <w:sz w:val="24"/>
                <w:szCs w:val="24"/>
                <w:lang w:val="en-US" w:eastAsia="zh-CN" w:bidi="ar"/>
              </w:rPr>
              <w:t>3、验收时提供DR 室的装修和环评</w:t>
            </w:r>
          </w:p>
        </w:tc>
        <w:tc>
          <w:tcPr>
            <w:tcW w:w="840" w:type="dxa"/>
            <w:noWrap w:val="0"/>
            <w:vAlign w:val="top"/>
          </w:tcPr>
          <w:p w14:paraId="1A4672B5">
            <w:pPr>
              <w:jc w:val="both"/>
              <w:rPr>
                <w:rFonts w:hint="eastAsia" w:ascii="宋体" w:hAnsi="宋体" w:eastAsia="宋体" w:cs="宋体"/>
                <w:b/>
                <w:bCs/>
                <w:i w:val="0"/>
                <w:iCs w:val="0"/>
                <w:color w:val="000000"/>
                <w:sz w:val="24"/>
                <w:szCs w:val="24"/>
                <w:u w:val="none"/>
              </w:rPr>
            </w:pPr>
          </w:p>
        </w:tc>
      </w:tr>
      <w:tr w14:paraId="119C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61" w:type="dxa"/>
            <w:vMerge w:val="restart"/>
            <w:noWrap/>
            <w:vAlign w:val="center"/>
          </w:tcPr>
          <w:p w14:paraId="04F30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highlight w:val="yellow"/>
                <w:u w:val="none"/>
                <w:lang w:val="en-US" w:eastAsia="zh-CN" w:bidi="ar"/>
              </w:rPr>
              <w:t>歇</w:t>
            </w:r>
            <w:r>
              <w:rPr>
                <w:rFonts w:hint="eastAsia" w:ascii="宋体" w:hAnsi="宋体" w:eastAsia="宋体" w:cs="宋体"/>
                <w:i w:val="0"/>
                <w:iCs w:val="0"/>
                <w:color w:val="000000"/>
                <w:kern w:val="0"/>
                <w:sz w:val="24"/>
                <w:szCs w:val="24"/>
                <w:u w:val="none"/>
                <w:lang w:val="en-US" w:eastAsia="zh-CN" w:bidi="ar"/>
              </w:rPr>
              <w:t>武</w:t>
            </w:r>
            <w:bookmarkStart w:id="196" w:name="_GoBack"/>
            <w:bookmarkEnd w:id="196"/>
            <w:r>
              <w:rPr>
                <w:rFonts w:hint="eastAsia" w:ascii="宋体" w:hAnsi="宋体" w:eastAsia="宋体" w:cs="宋体"/>
                <w:i w:val="0"/>
                <w:iCs w:val="0"/>
                <w:color w:val="000000"/>
                <w:kern w:val="0"/>
                <w:sz w:val="24"/>
                <w:szCs w:val="24"/>
                <w:u w:val="none"/>
                <w:lang w:val="en-US" w:eastAsia="zh-CN" w:bidi="ar"/>
              </w:rPr>
              <w:t>镇卫生院</w:t>
            </w:r>
          </w:p>
        </w:tc>
        <w:tc>
          <w:tcPr>
            <w:tcW w:w="1134" w:type="dxa"/>
            <w:noWrap/>
            <w:vAlign w:val="center"/>
          </w:tcPr>
          <w:p w14:paraId="68E62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机制火罐（大、中、小）</w:t>
            </w:r>
          </w:p>
        </w:tc>
        <w:tc>
          <w:tcPr>
            <w:tcW w:w="908" w:type="dxa"/>
            <w:noWrap/>
            <w:vAlign w:val="center"/>
          </w:tcPr>
          <w:p w14:paraId="08A8B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各3个</w:t>
            </w:r>
          </w:p>
        </w:tc>
        <w:tc>
          <w:tcPr>
            <w:tcW w:w="5235" w:type="dxa"/>
            <w:noWrap/>
            <w:vAlign w:val="center"/>
          </w:tcPr>
          <w:p w14:paraId="330F0C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定制产品</w:t>
            </w:r>
          </w:p>
        </w:tc>
        <w:tc>
          <w:tcPr>
            <w:tcW w:w="840" w:type="dxa"/>
            <w:noWrap/>
            <w:vAlign w:val="center"/>
          </w:tcPr>
          <w:p w14:paraId="06C18DE4">
            <w:pPr>
              <w:rPr>
                <w:rFonts w:hint="eastAsia" w:ascii="宋体" w:hAnsi="宋体" w:eastAsia="宋体" w:cs="宋体"/>
                <w:i w:val="0"/>
                <w:iCs w:val="0"/>
                <w:color w:val="000000"/>
                <w:sz w:val="24"/>
                <w:szCs w:val="24"/>
                <w:u w:val="none"/>
              </w:rPr>
            </w:pPr>
          </w:p>
        </w:tc>
      </w:tr>
      <w:tr w14:paraId="7F0A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61" w:type="dxa"/>
            <w:vMerge w:val="continue"/>
            <w:noWrap/>
            <w:vAlign w:val="center"/>
          </w:tcPr>
          <w:p w14:paraId="6BEA3875">
            <w:pPr>
              <w:jc w:val="center"/>
              <w:rPr>
                <w:rFonts w:hint="eastAsia" w:ascii="宋体" w:hAnsi="宋体" w:eastAsia="宋体" w:cs="宋体"/>
                <w:i w:val="0"/>
                <w:iCs w:val="0"/>
                <w:color w:val="000000"/>
                <w:sz w:val="24"/>
                <w:szCs w:val="24"/>
                <w:u w:val="none"/>
              </w:rPr>
            </w:pPr>
          </w:p>
        </w:tc>
        <w:tc>
          <w:tcPr>
            <w:tcW w:w="1134" w:type="dxa"/>
            <w:noWrap/>
            <w:vAlign w:val="center"/>
          </w:tcPr>
          <w:p w14:paraId="3E5D7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优杰（长杆，双头，鸡蛋）</w:t>
            </w:r>
          </w:p>
        </w:tc>
        <w:tc>
          <w:tcPr>
            <w:tcW w:w="908" w:type="dxa"/>
            <w:noWrap/>
            <w:vAlign w:val="center"/>
          </w:tcPr>
          <w:p w14:paraId="7FDF9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5235" w:type="dxa"/>
            <w:noWrap/>
            <w:vAlign w:val="center"/>
          </w:tcPr>
          <w:p w14:paraId="055BAD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定制产品</w:t>
            </w:r>
          </w:p>
        </w:tc>
        <w:tc>
          <w:tcPr>
            <w:tcW w:w="840" w:type="dxa"/>
            <w:noWrap/>
            <w:vAlign w:val="center"/>
          </w:tcPr>
          <w:p w14:paraId="1550FA65">
            <w:pPr>
              <w:rPr>
                <w:rFonts w:hint="eastAsia" w:ascii="宋体" w:hAnsi="宋体" w:eastAsia="宋体" w:cs="宋体"/>
                <w:i w:val="0"/>
                <w:iCs w:val="0"/>
                <w:color w:val="000000"/>
                <w:sz w:val="24"/>
                <w:szCs w:val="24"/>
                <w:u w:val="none"/>
              </w:rPr>
            </w:pPr>
          </w:p>
        </w:tc>
      </w:tr>
      <w:tr w14:paraId="4782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61" w:type="dxa"/>
            <w:vMerge w:val="continue"/>
            <w:noWrap/>
            <w:vAlign w:val="center"/>
          </w:tcPr>
          <w:p w14:paraId="1A39071A">
            <w:pPr>
              <w:jc w:val="center"/>
              <w:rPr>
                <w:rFonts w:hint="eastAsia" w:ascii="宋体" w:hAnsi="宋体" w:eastAsia="宋体" w:cs="宋体"/>
                <w:i w:val="0"/>
                <w:iCs w:val="0"/>
                <w:color w:val="000000"/>
                <w:sz w:val="24"/>
                <w:szCs w:val="24"/>
                <w:u w:val="none"/>
              </w:rPr>
            </w:pPr>
          </w:p>
        </w:tc>
        <w:tc>
          <w:tcPr>
            <w:tcW w:w="1134" w:type="dxa"/>
            <w:noWrap/>
            <w:vAlign w:val="center"/>
          </w:tcPr>
          <w:p w14:paraId="01F9F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藏医针刺器械</w:t>
            </w:r>
          </w:p>
        </w:tc>
        <w:tc>
          <w:tcPr>
            <w:tcW w:w="908" w:type="dxa"/>
            <w:noWrap/>
            <w:vAlign w:val="center"/>
          </w:tcPr>
          <w:p w14:paraId="0F25C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5235" w:type="dxa"/>
            <w:noWrap/>
            <w:vAlign w:val="center"/>
          </w:tcPr>
          <w:p w14:paraId="2F6CE9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定制产品</w:t>
            </w:r>
          </w:p>
        </w:tc>
        <w:tc>
          <w:tcPr>
            <w:tcW w:w="840" w:type="dxa"/>
            <w:noWrap/>
            <w:vAlign w:val="center"/>
          </w:tcPr>
          <w:p w14:paraId="029717AF">
            <w:pPr>
              <w:rPr>
                <w:rFonts w:hint="eastAsia" w:ascii="宋体" w:hAnsi="宋体" w:eastAsia="宋体" w:cs="宋体"/>
                <w:i w:val="0"/>
                <w:iCs w:val="0"/>
                <w:color w:val="000000"/>
                <w:sz w:val="24"/>
                <w:szCs w:val="24"/>
                <w:u w:val="none"/>
              </w:rPr>
            </w:pPr>
          </w:p>
        </w:tc>
      </w:tr>
      <w:tr w14:paraId="2E47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61" w:type="dxa"/>
            <w:vMerge w:val="continue"/>
            <w:noWrap/>
            <w:vAlign w:val="center"/>
          </w:tcPr>
          <w:p w14:paraId="5EC90B1F">
            <w:pPr>
              <w:jc w:val="center"/>
              <w:rPr>
                <w:rFonts w:hint="eastAsia" w:ascii="宋体" w:hAnsi="宋体" w:eastAsia="宋体" w:cs="宋体"/>
                <w:i w:val="0"/>
                <w:iCs w:val="0"/>
                <w:color w:val="000000"/>
                <w:sz w:val="24"/>
                <w:szCs w:val="24"/>
                <w:u w:val="none"/>
              </w:rPr>
            </w:pPr>
          </w:p>
        </w:tc>
        <w:tc>
          <w:tcPr>
            <w:tcW w:w="1134" w:type="dxa"/>
            <w:noWrap/>
            <w:vAlign w:val="center"/>
          </w:tcPr>
          <w:p w14:paraId="26F6D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金针，银针，铜针</w:t>
            </w:r>
          </w:p>
        </w:tc>
        <w:tc>
          <w:tcPr>
            <w:tcW w:w="908" w:type="dxa"/>
            <w:noWrap/>
            <w:vAlign w:val="center"/>
          </w:tcPr>
          <w:p w14:paraId="657A0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各1个</w:t>
            </w:r>
          </w:p>
        </w:tc>
        <w:tc>
          <w:tcPr>
            <w:tcW w:w="5235" w:type="dxa"/>
            <w:noWrap/>
            <w:vAlign w:val="center"/>
          </w:tcPr>
          <w:p w14:paraId="42346F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定制产品</w:t>
            </w:r>
          </w:p>
        </w:tc>
        <w:tc>
          <w:tcPr>
            <w:tcW w:w="840" w:type="dxa"/>
            <w:noWrap/>
            <w:vAlign w:val="center"/>
          </w:tcPr>
          <w:p w14:paraId="5E870033">
            <w:pPr>
              <w:rPr>
                <w:rFonts w:hint="eastAsia" w:ascii="宋体" w:hAnsi="宋体" w:eastAsia="宋体" w:cs="宋体"/>
                <w:i w:val="0"/>
                <w:iCs w:val="0"/>
                <w:color w:val="000000"/>
                <w:sz w:val="24"/>
                <w:szCs w:val="24"/>
                <w:u w:val="none"/>
              </w:rPr>
            </w:pPr>
          </w:p>
        </w:tc>
      </w:tr>
      <w:tr w14:paraId="6D80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061" w:type="dxa"/>
            <w:vMerge w:val="continue"/>
            <w:noWrap/>
            <w:vAlign w:val="center"/>
          </w:tcPr>
          <w:p w14:paraId="074BE1B5">
            <w:pPr>
              <w:jc w:val="center"/>
              <w:rPr>
                <w:rFonts w:hint="eastAsia" w:ascii="宋体" w:hAnsi="宋体" w:eastAsia="宋体" w:cs="宋体"/>
                <w:i w:val="0"/>
                <w:iCs w:val="0"/>
                <w:color w:val="000000"/>
                <w:sz w:val="24"/>
                <w:szCs w:val="24"/>
                <w:u w:val="none"/>
              </w:rPr>
            </w:pPr>
          </w:p>
        </w:tc>
        <w:tc>
          <w:tcPr>
            <w:tcW w:w="1134" w:type="dxa"/>
            <w:noWrap/>
            <w:vAlign w:val="center"/>
          </w:tcPr>
          <w:p w14:paraId="17E24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藏医火针（金，银，铜，铁）</w:t>
            </w:r>
          </w:p>
        </w:tc>
        <w:tc>
          <w:tcPr>
            <w:tcW w:w="908" w:type="dxa"/>
            <w:noWrap/>
            <w:vAlign w:val="center"/>
          </w:tcPr>
          <w:p w14:paraId="3DC6E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各1个</w:t>
            </w:r>
          </w:p>
        </w:tc>
        <w:tc>
          <w:tcPr>
            <w:tcW w:w="5235" w:type="dxa"/>
            <w:noWrap/>
            <w:vAlign w:val="center"/>
          </w:tcPr>
          <w:p w14:paraId="6CAD40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定制产品</w:t>
            </w:r>
          </w:p>
        </w:tc>
        <w:tc>
          <w:tcPr>
            <w:tcW w:w="840" w:type="dxa"/>
            <w:noWrap/>
            <w:vAlign w:val="center"/>
          </w:tcPr>
          <w:p w14:paraId="521C24AC">
            <w:pPr>
              <w:rPr>
                <w:rFonts w:hint="eastAsia" w:ascii="宋体" w:hAnsi="宋体" w:eastAsia="宋体" w:cs="宋体"/>
                <w:i w:val="0"/>
                <w:iCs w:val="0"/>
                <w:color w:val="000000"/>
                <w:sz w:val="24"/>
                <w:szCs w:val="24"/>
                <w:u w:val="none"/>
              </w:rPr>
            </w:pPr>
          </w:p>
        </w:tc>
      </w:tr>
      <w:tr w14:paraId="0288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61" w:type="dxa"/>
            <w:vMerge w:val="continue"/>
            <w:noWrap/>
            <w:vAlign w:val="center"/>
          </w:tcPr>
          <w:p w14:paraId="7EB315F1">
            <w:pPr>
              <w:jc w:val="center"/>
              <w:rPr>
                <w:rFonts w:hint="eastAsia" w:ascii="宋体" w:hAnsi="宋体" w:eastAsia="宋体" w:cs="宋体"/>
                <w:i w:val="0"/>
                <w:iCs w:val="0"/>
                <w:color w:val="000000"/>
                <w:sz w:val="24"/>
                <w:szCs w:val="24"/>
                <w:u w:val="none"/>
              </w:rPr>
            </w:pPr>
          </w:p>
        </w:tc>
        <w:tc>
          <w:tcPr>
            <w:tcW w:w="1134" w:type="dxa"/>
            <w:noWrap/>
            <w:vAlign w:val="center"/>
          </w:tcPr>
          <w:p w14:paraId="7038E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烫烙</w:t>
            </w:r>
          </w:p>
        </w:tc>
        <w:tc>
          <w:tcPr>
            <w:tcW w:w="908" w:type="dxa"/>
            <w:noWrap/>
            <w:vAlign w:val="center"/>
          </w:tcPr>
          <w:p w14:paraId="46EDB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5235" w:type="dxa"/>
            <w:noWrap/>
            <w:vAlign w:val="center"/>
          </w:tcPr>
          <w:p w14:paraId="5A5FAD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定制产品</w:t>
            </w:r>
          </w:p>
        </w:tc>
        <w:tc>
          <w:tcPr>
            <w:tcW w:w="840" w:type="dxa"/>
            <w:noWrap/>
            <w:vAlign w:val="center"/>
          </w:tcPr>
          <w:p w14:paraId="172C993C">
            <w:pPr>
              <w:rPr>
                <w:rFonts w:hint="eastAsia" w:ascii="宋体" w:hAnsi="宋体" w:eastAsia="宋体" w:cs="宋体"/>
                <w:i w:val="0"/>
                <w:iCs w:val="0"/>
                <w:color w:val="000000"/>
                <w:sz w:val="24"/>
                <w:szCs w:val="24"/>
                <w:u w:val="none"/>
              </w:rPr>
            </w:pPr>
          </w:p>
        </w:tc>
      </w:tr>
      <w:tr w14:paraId="40FE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9" w:hRule="atLeast"/>
        </w:trPr>
        <w:tc>
          <w:tcPr>
            <w:tcW w:w="1061" w:type="dxa"/>
            <w:vMerge w:val="continue"/>
            <w:noWrap/>
            <w:vAlign w:val="center"/>
          </w:tcPr>
          <w:p w14:paraId="7A01568C">
            <w:pPr>
              <w:jc w:val="center"/>
              <w:rPr>
                <w:rFonts w:hint="eastAsia" w:ascii="宋体" w:hAnsi="宋体" w:eastAsia="宋体" w:cs="宋体"/>
                <w:i w:val="0"/>
                <w:iCs w:val="0"/>
                <w:color w:val="000000"/>
                <w:sz w:val="24"/>
                <w:szCs w:val="24"/>
                <w:u w:val="none"/>
              </w:rPr>
            </w:pPr>
          </w:p>
        </w:tc>
        <w:tc>
          <w:tcPr>
            <w:tcW w:w="1134" w:type="dxa"/>
            <w:noWrap/>
            <w:vAlign w:val="center"/>
          </w:tcPr>
          <w:p w14:paraId="59252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太空船熏蒸治疗仪</w:t>
            </w:r>
          </w:p>
        </w:tc>
        <w:tc>
          <w:tcPr>
            <w:tcW w:w="908" w:type="dxa"/>
            <w:noWrap/>
            <w:vAlign w:val="center"/>
          </w:tcPr>
          <w:p w14:paraId="07D96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3DB58A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1、电源：交流电压220V，频率50Hz。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2、功率：2300W。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3、微电脑控制操作系统，具有自动定时、自动控温、自动漏电保护、自动防干烧、雾化功能、过载保护、预热功能，治疗结束自动提示。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4、外形尺寸：长1620mm，宽720mm，高1350mm，允差±10%。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5、治疗机温度：可在1～99℃范围设定，室温～45℃为熏蒸温度，步进1℃，允差为±5℃，46～99℃为煎药温度。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6、治疗机治疗时间控制：治疗总时间可在1～99min内设定，允差±30s，治疗时间达到设定时间时，有蜂鸣提示音，加热装置自动断电。具有单独停止加热按钮。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7、上水方式为自动，加热锅最大容积：5L。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8、中药药液雾化功能：单区雾化量大于40mL/h。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9、治疗机防干烧装置：当药液加热器无液体时，不能加热，并有提示信息。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10、运行模式：连续运行。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11、熏蒸模式：露头式全身熏蒸和局部式生殖系统熏蒸；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12、具有雾化中药药液功能，将药液雾化的药液蒸汽颗粒超微超细，蒸汽携药能力大大增强，真正充分发挥温度、药度、湿度、中药离子渗疗的熏蒸治疗效应。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13、熏蒸加热区为单区，加热方式为厚膜管状加热器。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双重超温保护功能：治疗机超过工作温度设定值时，第一路保护装置应启动，停止加热。当温度降低到设定值以下后可以恢复加热。如果第一路保护装置失效造成患者皮肤温度升高至50℃时，第二路保护装置应立即启动，切断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15、臭氧消毒功能：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a.开启臭氧消毒功能10min，臭氧浓度应不低于40mg/m³；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b.正常工作是臭氧气体外泄露量应不大于0.16mg/m³。</w:t>
            </w:r>
          </w:p>
        </w:tc>
        <w:tc>
          <w:tcPr>
            <w:tcW w:w="840" w:type="dxa"/>
            <w:noWrap/>
            <w:vAlign w:val="center"/>
          </w:tcPr>
          <w:p w14:paraId="4DE900C0">
            <w:pPr>
              <w:rPr>
                <w:rFonts w:hint="eastAsia" w:ascii="宋体" w:hAnsi="宋体" w:eastAsia="宋体" w:cs="宋体"/>
                <w:i w:val="0"/>
                <w:iCs w:val="0"/>
                <w:color w:val="000000"/>
                <w:sz w:val="24"/>
                <w:szCs w:val="24"/>
                <w:u w:val="none"/>
              </w:rPr>
            </w:pPr>
          </w:p>
        </w:tc>
      </w:tr>
      <w:tr w14:paraId="6762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1061" w:type="dxa"/>
            <w:vMerge w:val="continue"/>
            <w:noWrap/>
            <w:vAlign w:val="center"/>
          </w:tcPr>
          <w:p w14:paraId="779CD298">
            <w:pPr>
              <w:jc w:val="center"/>
              <w:rPr>
                <w:rFonts w:hint="eastAsia" w:ascii="宋体" w:hAnsi="宋体" w:eastAsia="宋体" w:cs="宋体"/>
                <w:i w:val="0"/>
                <w:iCs w:val="0"/>
                <w:color w:val="000000"/>
                <w:sz w:val="24"/>
                <w:szCs w:val="24"/>
                <w:u w:val="none"/>
              </w:rPr>
            </w:pPr>
          </w:p>
        </w:tc>
        <w:tc>
          <w:tcPr>
            <w:tcW w:w="1134" w:type="dxa"/>
            <w:noWrap/>
            <w:vAlign w:val="center"/>
          </w:tcPr>
          <w:p w14:paraId="6F3C2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盆底康复机</w:t>
            </w:r>
          </w:p>
        </w:tc>
        <w:tc>
          <w:tcPr>
            <w:tcW w:w="908" w:type="dxa"/>
            <w:noWrap/>
            <w:vAlign w:val="center"/>
          </w:tcPr>
          <w:p w14:paraId="5668E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1A1997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1、操作显示：≥12英寸液晶触摸屏。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2、尺寸规格：510×480×960mm，允差±10%。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3、输出通道：六通道输出。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4、两种治疗模式：产后康复、盆底康复。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5、产后电极片：椭圆形、环形、半圆形电极片。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6、产后治疗处方：三种，乳汁分泌少、术后镇痛、子宫复旧。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7、产后输出强度：电极片输出幅度不大于30V。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8、产后电极片输出载波频率：800Hz。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9、调幅度：0%、100%，允差±10%。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10、电极片输出载波脉冲周期：1.25ms，允差±10%。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11、产后电极片输出调制波频率：0Hz、1.1Hz、1.7Hz、3.3Hz、4.5Hz、5Hz、6.3Hz、6.7Hz、8.3Hz、12.5Hz，允差±10%。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12、产后电极片输出载波波形：方波。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13、产后电极片输出调制波波形：连续波、三角波、梯形波。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14、产后电极片输出脉冲宽度：300μs，允差±10%。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15、盆底电极：腔内电极、腔内探头。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16、腔内电极输出频率：2Hz～100Hz，步进1Hz，允差±10%。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17、腔内电极输出脉冲宽度：50μs～450μs，步进10μs，允差±10%。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18、丛宽：2s～99s，级差1s，允差±10%。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19、丛间：2s～99s，级差1s，允差±10%。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20、腔内电极输出脉冲周期：10ms～500ms，允差±10%。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21、腔内电极输出波形：双向不对称方波。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22、盆底检测基础气压：7.33kpa，肌力等级分9级。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23、腔内电极输出幅度：不大于50V。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24、盆底模块治疗处方：12种，含3个自定义处方。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25、治疗时间：1min～99min可调，级差1min，允差±30s。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26、电极片具有一类医疗器械备案信息。</w:t>
            </w:r>
          </w:p>
        </w:tc>
        <w:tc>
          <w:tcPr>
            <w:tcW w:w="840" w:type="dxa"/>
            <w:noWrap/>
            <w:vAlign w:val="center"/>
          </w:tcPr>
          <w:p w14:paraId="722996C1">
            <w:pPr>
              <w:rPr>
                <w:rFonts w:hint="eastAsia" w:ascii="宋体" w:hAnsi="宋体" w:eastAsia="宋体" w:cs="宋体"/>
                <w:i w:val="0"/>
                <w:iCs w:val="0"/>
                <w:color w:val="000000"/>
                <w:sz w:val="24"/>
                <w:szCs w:val="24"/>
                <w:u w:val="none"/>
              </w:rPr>
            </w:pPr>
          </w:p>
        </w:tc>
      </w:tr>
      <w:tr w14:paraId="0089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9" w:hRule="atLeast"/>
        </w:trPr>
        <w:tc>
          <w:tcPr>
            <w:tcW w:w="1061" w:type="dxa"/>
            <w:vMerge w:val="continue"/>
            <w:noWrap/>
            <w:vAlign w:val="center"/>
          </w:tcPr>
          <w:p w14:paraId="2A7B98EA">
            <w:pPr>
              <w:jc w:val="center"/>
              <w:rPr>
                <w:rFonts w:hint="eastAsia" w:ascii="宋体" w:hAnsi="宋体" w:eastAsia="宋体" w:cs="宋体"/>
                <w:i w:val="0"/>
                <w:iCs w:val="0"/>
                <w:color w:val="000000"/>
                <w:sz w:val="24"/>
                <w:szCs w:val="24"/>
                <w:u w:val="none"/>
              </w:rPr>
            </w:pPr>
          </w:p>
        </w:tc>
        <w:tc>
          <w:tcPr>
            <w:tcW w:w="1134" w:type="dxa"/>
            <w:noWrap/>
            <w:vAlign w:val="center"/>
          </w:tcPr>
          <w:p w14:paraId="6A942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红光治疗仪</w:t>
            </w:r>
          </w:p>
        </w:tc>
        <w:tc>
          <w:tcPr>
            <w:tcW w:w="908" w:type="dxa"/>
            <w:noWrap/>
            <w:vAlign w:val="center"/>
          </w:tcPr>
          <w:p w14:paraId="42EF9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5C05CF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1.光源类型：矩阵集成高功率半导体固态光源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2.灯珠数量及排列方式：100颗灯珠每治疗头，10*10矩阵排布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3.治疗时间：1-60min可调，步进1min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4.时间记忆：具备智能化时间记忆功能，根据临床医生操作习惯自动设定设备治疗时间一键启动，减少临床操作步骤及操作时间，方便临床治疗。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5.能量调节方式：三级能量调节。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a.第1档，有效红光辐照度为21mw/cm2，允差±25%；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b.第2档，有效红光辐照度为34mW/cm2，允差±25%；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c.第3档，有效红光辐照度为60mW/cm2，允差±25%。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6.波长范围：640nm±10nm（冷光源波段）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7.光功率密度：在距离光杯口15cm处测量时（推荐治疗距离）＞60mW/cm2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8.操作面板：≥7寸电容液晶触摸屏、智能触控操作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9.辐照度均匀性：采用光学透镜式聚光设计，有效红光辐照度的均匀性＞0.7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皮肤温度动态管理：内置无线测温模块，实时监测及显示治疗面皮肤温度。可自主设置报警阈值，高于阈值自动停止输出并发出提示报警声音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11.支臂结构：采用气弹簧结构设计，可根据灯头重力无级调节支撑力度，保证治疗时光源稳定性，定位精准、操作简便。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12.支臂活动范围：支臂长度：700mm，允差±20mm；垂直调节角度30°-160°；水平调节角度0-180°；允差10%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13.灯头设计：采用三维立体灯头旋转设计，辐射面积更广。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14.安全设计：防倾倒设计，倾倒自动断电。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15.漏电保护：具有自动漏电保护功能。</w:t>
            </w:r>
          </w:p>
        </w:tc>
        <w:tc>
          <w:tcPr>
            <w:tcW w:w="840" w:type="dxa"/>
            <w:noWrap/>
            <w:vAlign w:val="center"/>
          </w:tcPr>
          <w:p w14:paraId="76394887">
            <w:pPr>
              <w:rPr>
                <w:rFonts w:hint="eastAsia" w:ascii="宋体" w:hAnsi="宋体" w:eastAsia="宋体" w:cs="宋体"/>
                <w:i w:val="0"/>
                <w:iCs w:val="0"/>
                <w:color w:val="000000"/>
                <w:sz w:val="24"/>
                <w:szCs w:val="24"/>
                <w:u w:val="none"/>
              </w:rPr>
            </w:pPr>
          </w:p>
        </w:tc>
      </w:tr>
      <w:tr w14:paraId="4CE5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4" w:hRule="atLeast"/>
        </w:trPr>
        <w:tc>
          <w:tcPr>
            <w:tcW w:w="1061" w:type="dxa"/>
            <w:vMerge w:val="continue"/>
            <w:noWrap/>
            <w:vAlign w:val="center"/>
          </w:tcPr>
          <w:p w14:paraId="2F455EA9">
            <w:pPr>
              <w:jc w:val="center"/>
              <w:rPr>
                <w:rFonts w:hint="eastAsia" w:ascii="宋体" w:hAnsi="宋体" w:eastAsia="宋体" w:cs="宋体"/>
                <w:i w:val="0"/>
                <w:iCs w:val="0"/>
                <w:color w:val="000000"/>
                <w:sz w:val="24"/>
                <w:szCs w:val="24"/>
                <w:u w:val="none"/>
              </w:rPr>
            </w:pPr>
          </w:p>
        </w:tc>
        <w:tc>
          <w:tcPr>
            <w:tcW w:w="1134" w:type="dxa"/>
            <w:noWrap/>
            <w:vAlign w:val="center"/>
          </w:tcPr>
          <w:p w14:paraId="3D166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多功能打印复印一体机</w:t>
            </w:r>
          </w:p>
        </w:tc>
        <w:tc>
          <w:tcPr>
            <w:tcW w:w="908" w:type="dxa"/>
            <w:noWrap/>
            <w:vAlign w:val="center"/>
          </w:tcPr>
          <w:p w14:paraId="41A57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7E9EBB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1、A3 黑白多功能复合机,网络打印、复印、彩色扫描；输出速度≥22张/分钟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600×600dpi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3、内存容量≥256MB；灰阶≥256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4、原稿类型纸张，书本，三维物体（最重：2Kg）、最大原稿尺寸A3，Ledger(297mm x 420mm / 279mm x 432mm)、非复印区域图像的顶部/底部/右侧/左侧，距边缘约4mm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5、预热时间15秒或以下、首页输出时间7秒或以下、连续复印数1-999页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6、复印缩放倍率缩放0.25/0.50/0.70/0.81/1.00/1.15/1.41/2.00/4.00、固定倍率0.25~4.00（以0.01为变量进行调节）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7、标配1个250页纸盒+100张多功能手送，最大1350页、纸张克重标准纸盒64-157g/m2、手送64~157g/m2，选购纸盒64-90g/m2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8、标配双面器、可选配自动双面输稿器</w:t>
            </w:r>
          </w:p>
        </w:tc>
        <w:tc>
          <w:tcPr>
            <w:tcW w:w="840" w:type="dxa"/>
            <w:noWrap/>
            <w:vAlign w:val="center"/>
          </w:tcPr>
          <w:p w14:paraId="7EB99DC4">
            <w:pPr>
              <w:rPr>
                <w:rFonts w:hint="eastAsia" w:ascii="宋体" w:hAnsi="宋体" w:eastAsia="宋体" w:cs="宋体"/>
                <w:i w:val="0"/>
                <w:iCs w:val="0"/>
                <w:color w:val="000000"/>
                <w:sz w:val="24"/>
                <w:szCs w:val="24"/>
                <w:u w:val="none"/>
              </w:rPr>
            </w:pPr>
          </w:p>
        </w:tc>
      </w:tr>
      <w:tr w14:paraId="1717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1061" w:type="dxa"/>
            <w:vMerge w:val="continue"/>
            <w:noWrap/>
            <w:vAlign w:val="center"/>
          </w:tcPr>
          <w:p w14:paraId="65618C94">
            <w:pPr>
              <w:jc w:val="center"/>
              <w:rPr>
                <w:rFonts w:hint="eastAsia" w:ascii="宋体" w:hAnsi="宋体" w:eastAsia="宋体" w:cs="宋体"/>
                <w:i w:val="0"/>
                <w:iCs w:val="0"/>
                <w:color w:val="000000"/>
                <w:sz w:val="24"/>
                <w:szCs w:val="24"/>
                <w:u w:val="none"/>
              </w:rPr>
            </w:pPr>
          </w:p>
        </w:tc>
        <w:tc>
          <w:tcPr>
            <w:tcW w:w="1134" w:type="dxa"/>
            <w:noWrap/>
            <w:vAlign w:val="center"/>
          </w:tcPr>
          <w:p w14:paraId="31979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妇科检查床（电动升压）</w:t>
            </w:r>
          </w:p>
        </w:tc>
        <w:tc>
          <w:tcPr>
            <w:tcW w:w="908" w:type="dxa"/>
            <w:noWrap/>
            <w:vAlign w:val="center"/>
          </w:tcPr>
          <w:p w14:paraId="1F2FA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2D498F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床面长度及宽度 ≥1450mm*600mm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床面最低及最高高度 600mm-1000mm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座板上折角度 ≥18°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背板折转角度 上折≥70°  下折≥17°                                                                                                                                                                                                                                                                                                    电动检查床是为方便妇科临床检查而设计，是由电动推杆提供动力，其所有电动的运动位置调整功能由手持操作器或脚踏开关控制，床垫采用一次发泡成型，床架采用优质碳钢喷塑，外观美观、抗菌、易清洁。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手术台配有高性能充电电池，单次充电可满足30台以上手术需要，并具有智能充电及电量不足提示功能。</w:t>
            </w:r>
          </w:p>
        </w:tc>
        <w:tc>
          <w:tcPr>
            <w:tcW w:w="840" w:type="dxa"/>
            <w:noWrap/>
            <w:vAlign w:val="center"/>
          </w:tcPr>
          <w:p w14:paraId="117FE592">
            <w:pPr>
              <w:rPr>
                <w:rFonts w:hint="eastAsia" w:ascii="宋体" w:hAnsi="宋体" w:eastAsia="宋体" w:cs="宋体"/>
                <w:i w:val="0"/>
                <w:iCs w:val="0"/>
                <w:color w:val="000000"/>
                <w:sz w:val="24"/>
                <w:szCs w:val="24"/>
                <w:u w:val="none"/>
              </w:rPr>
            </w:pPr>
          </w:p>
        </w:tc>
      </w:tr>
      <w:tr w14:paraId="0495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1061" w:type="dxa"/>
            <w:vMerge w:val="continue"/>
            <w:noWrap/>
            <w:vAlign w:val="center"/>
          </w:tcPr>
          <w:p w14:paraId="26764405">
            <w:pPr>
              <w:jc w:val="center"/>
              <w:rPr>
                <w:rFonts w:hint="eastAsia" w:ascii="宋体" w:hAnsi="宋体" w:eastAsia="宋体" w:cs="宋体"/>
                <w:i w:val="0"/>
                <w:iCs w:val="0"/>
                <w:color w:val="000000"/>
                <w:sz w:val="24"/>
                <w:szCs w:val="24"/>
                <w:u w:val="none"/>
              </w:rPr>
            </w:pPr>
          </w:p>
        </w:tc>
        <w:tc>
          <w:tcPr>
            <w:tcW w:w="1134" w:type="dxa"/>
            <w:noWrap/>
            <w:vAlign w:val="center"/>
          </w:tcPr>
          <w:p w14:paraId="1DF44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腰椎颈椎牵引床</w:t>
            </w:r>
          </w:p>
        </w:tc>
        <w:tc>
          <w:tcPr>
            <w:tcW w:w="908" w:type="dxa"/>
            <w:noWrap/>
            <w:vAlign w:val="center"/>
          </w:tcPr>
          <w:p w14:paraId="07407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50FC8E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1、电源电压：220V，50Hz。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2、额定输入功率：100VA（允差±15%）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3、腰椎牵引行程：0～200mm，允差±10mm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4、腰椎牵引总时间：0～99min范围内设定，级差1min，允差不大于30s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5、腰椎牵引力：0～990N范围内可调，级差10N，实际输出的牵引力与预置值的偏差不大于：牵引力不大于200N时，允差：±10％或±10N取大值；牵引力大于200N时，允差：±20％或±50N取小值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6、牵引时间：0～9min范围内设定，级差1min，误差不大于30s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7、间歇时间：0～9min范围内设定，级差1min，误差不大于30s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8、颈椎牵引力：0～300N范围内可调，级差10N，实际输出的牵引力与预置值的偏差不大于：牵引力不大于200N时，允差：±10％或±10N取大值；牵引力大于200N时，允差：±20％或±50N取小值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9、颈椎牵引行程：0～300mm，允差±10mm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10、颈椎牵引总时间：0～99min范围内设定，级差1min，允差不大于30s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11、成角动作范围：-10°～+30°连续可调*，允差±2°，成角零位误差不大于±1°，上成角保持稳定。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12、旋转动作范围：左右各25°连续可调，允差±2°，左右旋转动作速度：165°/min，允差±15%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13、牵引床加热功能：床面工作温度45℃，允差±3℃。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14、三维立体牵引，可做平面纵向牵引、上成角牵引、下成角牵引、自动旋转侧扳牵引，上述三种功能可单独使用，也可组合使用；牵引床腰椎牵引具有8种牵引模式；牵引力自动补偿功能；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15、20种治疗方案存储并读取；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16、颈腰椎一体化牵引，可以针对两个患者分别或同时进行颈椎或腰椎牵引；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17、多种安全设计（最大牵引力990N，患者应急线控手柄开关、医务人员操作急退键）。</w:t>
            </w:r>
          </w:p>
        </w:tc>
        <w:tc>
          <w:tcPr>
            <w:tcW w:w="840" w:type="dxa"/>
            <w:noWrap/>
            <w:vAlign w:val="center"/>
          </w:tcPr>
          <w:p w14:paraId="6DEE5C0A">
            <w:pPr>
              <w:rPr>
                <w:rFonts w:hint="eastAsia" w:ascii="宋体" w:hAnsi="宋体" w:eastAsia="宋体" w:cs="宋体"/>
                <w:i w:val="0"/>
                <w:iCs w:val="0"/>
                <w:color w:val="000000"/>
                <w:sz w:val="24"/>
                <w:szCs w:val="24"/>
                <w:u w:val="none"/>
              </w:rPr>
            </w:pPr>
          </w:p>
        </w:tc>
      </w:tr>
      <w:tr w14:paraId="29F4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0" w:hRule="atLeast"/>
        </w:trPr>
        <w:tc>
          <w:tcPr>
            <w:tcW w:w="1061" w:type="dxa"/>
            <w:vMerge w:val="continue"/>
            <w:noWrap/>
            <w:vAlign w:val="center"/>
          </w:tcPr>
          <w:p w14:paraId="2AB6AE61">
            <w:pPr>
              <w:jc w:val="center"/>
              <w:rPr>
                <w:rFonts w:hint="eastAsia" w:ascii="宋体" w:hAnsi="宋体" w:eastAsia="宋体" w:cs="宋体"/>
                <w:i w:val="0"/>
                <w:iCs w:val="0"/>
                <w:color w:val="000000"/>
                <w:sz w:val="24"/>
                <w:szCs w:val="24"/>
                <w:u w:val="none"/>
              </w:rPr>
            </w:pPr>
          </w:p>
        </w:tc>
        <w:tc>
          <w:tcPr>
            <w:tcW w:w="1134" w:type="dxa"/>
            <w:noWrap/>
            <w:vAlign w:val="center"/>
          </w:tcPr>
          <w:p w14:paraId="565CB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红绒线艾灸电灸仪器</w:t>
            </w:r>
          </w:p>
        </w:tc>
        <w:tc>
          <w:tcPr>
            <w:tcW w:w="908" w:type="dxa"/>
            <w:noWrap/>
            <w:vAlign w:val="center"/>
          </w:tcPr>
          <w:p w14:paraId="0A93F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2380AD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1、电源：AC 220V，频率：50Hz。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2、额定输入功率：1000VA。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3、主机外形尺寸（长宽高）：455×405×980mm，允差±10%。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4、输出通道：单通道。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5、支架高度调节范围：460～1400mm，允差±30mm。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6、显示方式：数码管显示。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7、治疗头：支持三维旋转方向；具有磁吸装置，确保在不同位置下盖子不掉落。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8、艾灸能量裙，使艾灸集中于病灶，又避免暴露隐私。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9、红外光波长范围：580nm～1050nm。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10、输出光功率：最大10W，允差±2W。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11、光疗档位：1～3档可调。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12、光疗频率：on、60Hz、50Hz、25Hz、10Hz、5Hz共6档。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13、艾灸加热温度：100℃～160℃可调，允差±10℃，级差10℃。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14、工作时间：1min～99min可调，级差1min，允差±60s。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15、具有两路独立的温度保护装置。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16、红光和艾灸可单独或同时使用。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17、具备防倾倒保护功能。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18、无烟灸疗，自动控温，环保高效。</w:t>
            </w:r>
          </w:p>
        </w:tc>
        <w:tc>
          <w:tcPr>
            <w:tcW w:w="840" w:type="dxa"/>
            <w:noWrap/>
            <w:vAlign w:val="center"/>
          </w:tcPr>
          <w:p w14:paraId="56753462">
            <w:pPr>
              <w:rPr>
                <w:rFonts w:hint="eastAsia" w:ascii="宋体" w:hAnsi="宋体" w:eastAsia="宋体" w:cs="宋体"/>
                <w:i w:val="0"/>
                <w:iCs w:val="0"/>
                <w:color w:val="000000"/>
                <w:sz w:val="24"/>
                <w:szCs w:val="24"/>
                <w:u w:val="none"/>
              </w:rPr>
            </w:pPr>
          </w:p>
        </w:tc>
      </w:tr>
      <w:tr w14:paraId="1817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61" w:type="dxa"/>
            <w:vMerge w:val="continue"/>
            <w:noWrap/>
            <w:vAlign w:val="center"/>
          </w:tcPr>
          <w:p w14:paraId="1339A5D6">
            <w:pPr>
              <w:jc w:val="center"/>
              <w:rPr>
                <w:rFonts w:hint="eastAsia" w:ascii="宋体" w:hAnsi="宋体" w:eastAsia="宋体" w:cs="宋体"/>
                <w:i w:val="0"/>
                <w:iCs w:val="0"/>
                <w:color w:val="000000"/>
                <w:sz w:val="24"/>
                <w:szCs w:val="24"/>
                <w:u w:val="none"/>
              </w:rPr>
            </w:pPr>
          </w:p>
        </w:tc>
        <w:tc>
          <w:tcPr>
            <w:tcW w:w="1134" w:type="dxa"/>
            <w:noWrap/>
            <w:vAlign w:val="center"/>
          </w:tcPr>
          <w:p w14:paraId="2B52C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台式电脑（国产）</w:t>
            </w:r>
          </w:p>
        </w:tc>
        <w:tc>
          <w:tcPr>
            <w:tcW w:w="908" w:type="dxa"/>
            <w:noWrap/>
            <w:vAlign w:val="center"/>
          </w:tcPr>
          <w:p w14:paraId="27380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w:t>
            </w:r>
          </w:p>
        </w:tc>
        <w:tc>
          <w:tcPr>
            <w:tcW w:w="5235" w:type="dxa"/>
            <w:noWrap/>
            <w:vAlign w:val="center"/>
          </w:tcPr>
          <w:p w14:paraId="7FBCC5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i3-12100H，8G  512SSD   核显 24寸</w:t>
            </w:r>
          </w:p>
        </w:tc>
        <w:tc>
          <w:tcPr>
            <w:tcW w:w="840" w:type="dxa"/>
            <w:noWrap/>
            <w:vAlign w:val="center"/>
          </w:tcPr>
          <w:p w14:paraId="1062AF82">
            <w:pPr>
              <w:rPr>
                <w:rFonts w:hint="eastAsia" w:ascii="宋体" w:hAnsi="宋体" w:eastAsia="宋体" w:cs="宋体"/>
                <w:i w:val="0"/>
                <w:iCs w:val="0"/>
                <w:color w:val="000000"/>
                <w:sz w:val="24"/>
                <w:szCs w:val="24"/>
                <w:u w:val="none"/>
              </w:rPr>
            </w:pPr>
          </w:p>
        </w:tc>
      </w:tr>
      <w:tr w14:paraId="62F2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5" w:hRule="atLeast"/>
        </w:trPr>
        <w:tc>
          <w:tcPr>
            <w:tcW w:w="1061" w:type="dxa"/>
            <w:noWrap/>
            <w:vAlign w:val="center"/>
          </w:tcPr>
          <w:p w14:paraId="2F645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扎朵镇卫生院</w:t>
            </w:r>
          </w:p>
        </w:tc>
        <w:tc>
          <w:tcPr>
            <w:tcW w:w="1134" w:type="dxa"/>
            <w:noWrap/>
            <w:vAlign w:val="center"/>
          </w:tcPr>
          <w:p w14:paraId="41710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十二道心电图机</w:t>
            </w:r>
          </w:p>
        </w:tc>
        <w:tc>
          <w:tcPr>
            <w:tcW w:w="908" w:type="dxa"/>
            <w:noWrap/>
            <w:vAlign w:val="center"/>
          </w:tcPr>
          <w:p w14:paraId="4A7BF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5235" w:type="dxa"/>
            <w:noWrap w:val="0"/>
            <w:vAlign w:val="center"/>
          </w:tcPr>
          <w:p w14:paraId="75D7854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一、工作条件：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产品可在电源交流220V，50/60赫兹，室温5—40℃和相对湿度25%~80%的环境下正常工作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产品的电源插头符合中国标准，无需适配器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 ECG输入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  ECG输入通道：标准12导联、Cabrera导联心电信息同步采集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  输入阻抗：≥50MΩ（10Hz）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  频率响应：0.05-330Hz (-3db)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  定标电压：1mV±2%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  耐极化电压：±600mV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  内部噪声：≤15µVp-p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  时间常数：≥3.2s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 共模抑制比：≥130dB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  除颤保护：具有抗除颤电击保护功能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 导联线：导联线内附抗除颤电击保护功能，并具有防缠绕设计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三、技术及性能：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  A/D转换：24bit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  采样率：≥30000Hz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  灵敏度选择：2.5、5、10、20mm/mV±2%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  抗干扰滤波：具有交流滤波、肌电滤波、基线漂移滤波、低通滤波功能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  自诊断功能：具有设备自诊断及故障提示功能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  支持心脏起搏信号检测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  支持预采集、实时采集、触发采集、周期采集等多种采集方式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 本机支持有线、无线WiFi方式连接互联网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四、存储器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  设备内置存储器，本机可存储≥1000例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  支持外接U盘、SD卡扩展存储空间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 外观：</w:t>
            </w:r>
          </w:p>
          <w:p w14:paraId="7CDFD2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  ≥9.7英寸彩色触摸屏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  物理全键盘及触控软件键盘设计，方便不同习惯的医生快速操作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  显示信息：同屏显示12道心电波形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5.4  显示内容包含波形、心率、导联、走纸速度、增益、滤波器、时间、电池电量指示、输入法、文件、信息提示区、患者信息等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5.5设有导联放置指示，方便护士及实习医生使用。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六、记录器：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  多轴联动热敏打印机技术 multi-axisTP®，可确保在任何环境（运动中的救护车、不平整的野外场地）都能平滑清晰地记录每一份心电报告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6.2  走纸速度：5、6.25、12.5、25、50 mm/s ±2%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6.3  记录模式：手动/自动打印：3CH、3CH+1R、3CH+3R、6CH、6CH+1R、12CH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6.4  记录纸规格：折叠纸，210mm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6.5  打印方式：实时同步或连续12道心电波形打印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6.6  记录内容：心电波形、分析结果、明尼苏达码以及导联名称、走纸速度、增益、滤波器、日期、患者信息、标记等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6.7  支持直接外接激光打印机，通过A4纸打印心电波形和报告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6.8 支持60s波形冻结与回放。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6.9支持已保存病例的电影回放和选择任意一段波形打印。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七、外部输入接口：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7.1  USB接口，SD卡接口，网络接口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  支持外接条码扫描仪和磁卡读卡器，支持即插即用。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7.3  支持输出PDF\ PNG\ECG\等格式标准协议，满足医院联网需求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7.4支持本机直接接入第三方网络系统、医院的HIS\EMR等系统。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八、电源：交直流两用　自动转换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8.1  交流电源：交流 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  直流电源：内置可充电锂离子电池，充满电后可连续工作3小时以上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九、配置：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标准配置：主机1台，导联线1条，肢电极4个，胸电极6个，热敏打印纸1本，电源线1根，接地线1根，其它必要辅件一套</w:t>
            </w:r>
          </w:p>
        </w:tc>
        <w:tc>
          <w:tcPr>
            <w:tcW w:w="840" w:type="dxa"/>
            <w:noWrap/>
            <w:vAlign w:val="center"/>
          </w:tcPr>
          <w:p w14:paraId="22084AAD">
            <w:pPr>
              <w:rPr>
                <w:rFonts w:hint="eastAsia" w:ascii="宋体" w:hAnsi="宋体" w:eastAsia="宋体" w:cs="宋体"/>
                <w:i w:val="0"/>
                <w:iCs w:val="0"/>
                <w:color w:val="000000"/>
                <w:sz w:val="24"/>
                <w:szCs w:val="24"/>
                <w:u w:val="none"/>
              </w:rPr>
            </w:pPr>
          </w:p>
        </w:tc>
      </w:tr>
    </w:tbl>
    <w:p w14:paraId="3AA0B941">
      <w:pPr>
        <w:rPr>
          <w:rFonts w:hint="eastAsia" w:ascii="宋体" w:hAnsi="宋体" w:eastAsia="宋体" w:cs="宋体"/>
          <w:color w:val="auto"/>
          <w:kern w:val="0"/>
          <w:lang w:val="zh-CN" w:eastAsia="zh-CN"/>
        </w:rPr>
      </w:pPr>
    </w:p>
    <w:p w14:paraId="4A7D8B1D">
      <w:pPr>
        <w:rPr>
          <w:rFonts w:hint="eastAsia" w:ascii="宋体" w:hAnsi="宋体" w:eastAsia="宋体" w:cs="宋体"/>
          <w:color w:val="auto"/>
          <w:kern w:val="0"/>
          <w:lang w:val="zh-CN" w:eastAsia="zh-CN"/>
        </w:rPr>
      </w:pPr>
    </w:p>
    <w:p w14:paraId="50F84557">
      <w:pPr>
        <w:rPr>
          <w:rFonts w:hint="eastAsia" w:ascii="宋体" w:hAnsi="宋体" w:eastAsia="宋体" w:cs="宋体"/>
          <w:color w:val="auto"/>
          <w:kern w:val="0"/>
          <w:lang w:val="zh-CN" w:eastAsia="zh-CN"/>
        </w:rPr>
      </w:pPr>
    </w:p>
    <w:sectPr>
      <w:footerReference r:id="rId5" w:type="default"/>
      <w:pgSz w:w="11849" w:h="16781"/>
      <w:pgMar w:top="1618" w:right="1440" w:bottom="1984" w:left="1440" w:header="851" w:footer="992" w:gutter="0"/>
      <w:pgNumType w:fmt="decimal"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D4C7">
    <w:pPr>
      <w:pStyle w:val="20"/>
      <w:framePr w:wrap="around" w:vAnchor="text" w:hAnchor="margin" w:xAlign="center" w:y="1"/>
      <w:rPr>
        <w:rStyle w:val="33"/>
      </w:rPr>
    </w:pPr>
    <w:r>
      <w:fldChar w:fldCharType="begin"/>
    </w:r>
    <w:r>
      <w:rPr>
        <w:rStyle w:val="33"/>
      </w:rPr>
      <w:instrText xml:space="preserve">PAGE  </w:instrText>
    </w:r>
    <w:r>
      <w:fldChar w:fldCharType="end"/>
    </w:r>
  </w:p>
  <w:p w14:paraId="4F2ACB39">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1483">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578C3">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4578C3">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2646">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0000000A"/>
    <w:multiLevelType w:val="singleLevel"/>
    <w:tmpl w:val="0000000A"/>
    <w:lvl w:ilvl="0" w:tentative="0">
      <w:start w:val="1"/>
      <w:numFmt w:val="decimal"/>
      <w:suff w:val="nothing"/>
      <w:lvlText w:val="（%1）"/>
      <w:lvlJc w:val="left"/>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D"/>
    <w:multiLevelType w:val="singleLevel"/>
    <w:tmpl w:val="0000000D"/>
    <w:lvl w:ilvl="0" w:tentative="0">
      <w:start w:val="1"/>
      <w:numFmt w:val="decimal"/>
      <w:suff w:val="nothing"/>
      <w:lvlText w:val="（%1）"/>
      <w:lvlJc w:val="left"/>
    </w:lvl>
  </w:abstractNum>
  <w:abstractNum w:abstractNumId="4">
    <w:nsid w:val="0000000F"/>
    <w:multiLevelType w:val="singleLevel"/>
    <w:tmpl w:val="0000000F"/>
    <w:lvl w:ilvl="0" w:tentative="0">
      <w:start w:val="1"/>
      <w:numFmt w:val="decimal"/>
      <w:suff w:val="nothing"/>
      <w:lvlText w:val="（%1）"/>
      <w:lvlJc w:val="left"/>
      <w:rPr>
        <w:rFonts w:hint="default"/>
        <w:b w:val="0"/>
        <w:bCs w:val="0"/>
        <w:sz w:val="24"/>
        <w:szCs w:val="24"/>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99"/>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MDIyNjQzMjBmZWViNWZhOTZlMTQ3MDY0ZmMzNTIifQ=="/>
  </w:docVars>
  <w:rsids>
    <w:rsidRoot w:val="00172A27"/>
    <w:rsid w:val="00001133"/>
    <w:rsid w:val="00010F33"/>
    <w:rsid w:val="00011CCD"/>
    <w:rsid w:val="0001401E"/>
    <w:rsid w:val="00015BB7"/>
    <w:rsid w:val="00017F09"/>
    <w:rsid w:val="000221CF"/>
    <w:rsid w:val="00022F6A"/>
    <w:rsid w:val="00024686"/>
    <w:rsid w:val="0002777A"/>
    <w:rsid w:val="00030F07"/>
    <w:rsid w:val="00033CB0"/>
    <w:rsid w:val="00034746"/>
    <w:rsid w:val="00036488"/>
    <w:rsid w:val="00040C84"/>
    <w:rsid w:val="00040FA9"/>
    <w:rsid w:val="000431F9"/>
    <w:rsid w:val="00046343"/>
    <w:rsid w:val="00047EB0"/>
    <w:rsid w:val="000500C2"/>
    <w:rsid w:val="000520A9"/>
    <w:rsid w:val="00053F84"/>
    <w:rsid w:val="0005504E"/>
    <w:rsid w:val="00056327"/>
    <w:rsid w:val="00062374"/>
    <w:rsid w:val="000661D0"/>
    <w:rsid w:val="00070568"/>
    <w:rsid w:val="00070B43"/>
    <w:rsid w:val="000730F8"/>
    <w:rsid w:val="0007570E"/>
    <w:rsid w:val="0008026C"/>
    <w:rsid w:val="00081057"/>
    <w:rsid w:val="000875EB"/>
    <w:rsid w:val="000905E7"/>
    <w:rsid w:val="00096BBD"/>
    <w:rsid w:val="000A3592"/>
    <w:rsid w:val="000A36E7"/>
    <w:rsid w:val="000A6A97"/>
    <w:rsid w:val="000B064A"/>
    <w:rsid w:val="000B1200"/>
    <w:rsid w:val="000B3653"/>
    <w:rsid w:val="000B652B"/>
    <w:rsid w:val="000B6728"/>
    <w:rsid w:val="000B67ED"/>
    <w:rsid w:val="000C0D8F"/>
    <w:rsid w:val="000C2687"/>
    <w:rsid w:val="000C2C06"/>
    <w:rsid w:val="000C38E9"/>
    <w:rsid w:val="000C3DE1"/>
    <w:rsid w:val="000C4524"/>
    <w:rsid w:val="000C73D1"/>
    <w:rsid w:val="000D2AAD"/>
    <w:rsid w:val="000D3225"/>
    <w:rsid w:val="000D36E0"/>
    <w:rsid w:val="000D5A34"/>
    <w:rsid w:val="000E0EFF"/>
    <w:rsid w:val="000E498B"/>
    <w:rsid w:val="000F01D2"/>
    <w:rsid w:val="000F3EE7"/>
    <w:rsid w:val="000F51BE"/>
    <w:rsid w:val="000F5423"/>
    <w:rsid w:val="000F5785"/>
    <w:rsid w:val="000F6EE6"/>
    <w:rsid w:val="001028EE"/>
    <w:rsid w:val="00102BAF"/>
    <w:rsid w:val="00110C51"/>
    <w:rsid w:val="00111BC2"/>
    <w:rsid w:val="00112A90"/>
    <w:rsid w:val="00113E49"/>
    <w:rsid w:val="001175B6"/>
    <w:rsid w:val="00124843"/>
    <w:rsid w:val="00124DAB"/>
    <w:rsid w:val="00126514"/>
    <w:rsid w:val="00126DA8"/>
    <w:rsid w:val="00127DA5"/>
    <w:rsid w:val="00150ABF"/>
    <w:rsid w:val="00151A00"/>
    <w:rsid w:val="0015358C"/>
    <w:rsid w:val="0015452E"/>
    <w:rsid w:val="0015513D"/>
    <w:rsid w:val="0016282D"/>
    <w:rsid w:val="0016452F"/>
    <w:rsid w:val="00164F93"/>
    <w:rsid w:val="001729F4"/>
    <w:rsid w:val="00172A27"/>
    <w:rsid w:val="0017460E"/>
    <w:rsid w:val="00183CC6"/>
    <w:rsid w:val="00183E15"/>
    <w:rsid w:val="0018767B"/>
    <w:rsid w:val="00190005"/>
    <w:rsid w:val="001915ED"/>
    <w:rsid w:val="00191A63"/>
    <w:rsid w:val="00194B78"/>
    <w:rsid w:val="0019690C"/>
    <w:rsid w:val="00197108"/>
    <w:rsid w:val="001A050B"/>
    <w:rsid w:val="001A4929"/>
    <w:rsid w:val="001A4D9A"/>
    <w:rsid w:val="001A6C4A"/>
    <w:rsid w:val="001B3699"/>
    <w:rsid w:val="001B45D7"/>
    <w:rsid w:val="001B603E"/>
    <w:rsid w:val="001B6DBF"/>
    <w:rsid w:val="001C2819"/>
    <w:rsid w:val="001C2C26"/>
    <w:rsid w:val="001C4726"/>
    <w:rsid w:val="001D57CD"/>
    <w:rsid w:val="001E1AF6"/>
    <w:rsid w:val="001E2AB4"/>
    <w:rsid w:val="001E3864"/>
    <w:rsid w:val="001E4914"/>
    <w:rsid w:val="001E59F2"/>
    <w:rsid w:val="001E726B"/>
    <w:rsid w:val="001F494D"/>
    <w:rsid w:val="001F5C10"/>
    <w:rsid w:val="001F67C5"/>
    <w:rsid w:val="001F7CAC"/>
    <w:rsid w:val="002001E7"/>
    <w:rsid w:val="00200987"/>
    <w:rsid w:val="00202E8B"/>
    <w:rsid w:val="002053F6"/>
    <w:rsid w:val="002133D4"/>
    <w:rsid w:val="002135BE"/>
    <w:rsid w:val="00215410"/>
    <w:rsid w:val="00215D96"/>
    <w:rsid w:val="0022342E"/>
    <w:rsid w:val="002237B5"/>
    <w:rsid w:val="00224C9B"/>
    <w:rsid w:val="00225287"/>
    <w:rsid w:val="00226C1F"/>
    <w:rsid w:val="00227129"/>
    <w:rsid w:val="002327DB"/>
    <w:rsid w:val="00232EDD"/>
    <w:rsid w:val="00234A02"/>
    <w:rsid w:val="00234DEB"/>
    <w:rsid w:val="0023756D"/>
    <w:rsid w:val="00237917"/>
    <w:rsid w:val="00240473"/>
    <w:rsid w:val="002453A3"/>
    <w:rsid w:val="0024625D"/>
    <w:rsid w:val="002508D9"/>
    <w:rsid w:val="00250C21"/>
    <w:rsid w:val="00252763"/>
    <w:rsid w:val="00255D41"/>
    <w:rsid w:val="00257892"/>
    <w:rsid w:val="00260694"/>
    <w:rsid w:val="00267527"/>
    <w:rsid w:val="00270E67"/>
    <w:rsid w:val="00271C7E"/>
    <w:rsid w:val="00274DA3"/>
    <w:rsid w:val="00275E5B"/>
    <w:rsid w:val="002769F1"/>
    <w:rsid w:val="00276FD3"/>
    <w:rsid w:val="002801EC"/>
    <w:rsid w:val="00281071"/>
    <w:rsid w:val="0028223C"/>
    <w:rsid w:val="00282B22"/>
    <w:rsid w:val="00283765"/>
    <w:rsid w:val="00283CC2"/>
    <w:rsid w:val="00283FF2"/>
    <w:rsid w:val="00284F5D"/>
    <w:rsid w:val="00286755"/>
    <w:rsid w:val="00291666"/>
    <w:rsid w:val="0029307A"/>
    <w:rsid w:val="00295165"/>
    <w:rsid w:val="00295B2E"/>
    <w:rsid w:val="002973DD"/>
    <w:rsid w:val="002A208B"/>
    <w:rsid w:val="002A2599"/>
    <w:rsid w:val="002A6A11"/>
    <w:rsid w:val="002A6A83"/>
    <w:rsid w:val="002A738C"/>
    <w:rsid w:val="002A7CB3"/>
    <w:rsid w:val="002B2ED4"/>
    <w:rsid w:val="002B37FF"/>
    <w:rsid w:val="002B3EE4"/>
    <w:rsid w:val="002B58F2"/>
    <w:rsid w:val="002C0258"/>
    <w:rsid w:val="002C4E14"/>
    <w:rsid w:val="002D1E0B"/>
    <w:rsid w:val="002D2150"/>
    <w:rsid w:val="002D4C42"/>
    <w:rsid w:val="002D4FFF"/>
    <w:rsid w:val="002D67AF"/>
    <w:rsid w:val="002D7B2A"/>
    <w:rsid w:val="002E13D8"/>
    <w:rsid w:val="002E4BCC"/>
    <w:rsid w:val="002E5D01"/>
    <w:rsid w:val="002E737B"/>
    <w:rsid w:val="002F2C09"/>
    <w:rsid w:val="002F3581"/>
    <w:rsid w:val="002F61B4"/>
    <w:rsid w:val="002F7E23"/>
    <w:rsid w:val="00300FE4"/>
    <w:rsid w:val="00302870"/>
    <w:rsid w:val="00303711"/>
    <w:rsid w:val="00304229"/>
    <w:rsid w:val="00304403"/>
    <w:rsid w:val="003046DB"/>
    <w:rsid w:val="00307667"/>
    <w:rsid w:val="00310FF2"/>
    <w:rsid w:val="00312C1C"/>
    <w:rsid w:val="00320E94"/>
    <w:rsid w:val="00321EAD"/>
    <w:rsid w:val="003224A2"/>
    <w:rsid w:val="0032349D"/>
    <w:rsid w:val="00332F2E"/>
    <w:rsid w:val="003330B2"/>
    <w:rsid w:val="003416FB"/>
    <w:rsid w:val="003451C4"/>
    <w:rsid w:val="00345A61"/>
    <w:rsid w:val="00345A81"/>
    <w:rsid w:val="00360BEB"/>
    <w:rsid w:val="0036431D"/>
    <w:rsid w:val="00364550"/>
    <w:rsid w:val="00364F67"/>
    <w:rsid w:val="003725D3"/>
    <w:rsid w:val="00372982"/>
    <w:rsid w:val="00375CF6"/>
    <w:rsid w:val="0038064F"/>
    <w:rsid w:val="003844C6"/>
    <w:rsid w:val="003850AB"/>
    <w:rsid w:val="00386B80"/>
    <w:rsid w:val="00387C61"/>
    <w:rsid w:val="00390EE5"/>
    <w:rsid w:val="00391537"/>
    <w:rsid w:val="003916D0"/>
    <w:rsid w:val="0039172F"/>
    <w:rsid w:val="003A0ED3"/>
    <w:rsid w:val="003A478D"/>
    <w:rsid w:val="003A7DE1"/>
    <w:rsid w:val="003B054E"/>
    <w:rsid w:val="003B0BD4"/>
    <w:rsid w:val="003B0D63"/>
    <w:rsid w:val="003B2370"/>
    <w:rsid w:val="003B46FA"/>
    <w:rsid w:val="003B60DD"/>
    <w:rsid w:val="003C11CC"/>
    <w:rsid w:val="003C6B12"/>
    <w:rsid w:val="003C6B40"/>
    <w:rsid w:val="003C6CBE"/>
    <w:rsid w:val="003C7D58"/>
    <w:rsid w:val="003D3223"/>
    <w:rsid w:val="003D365E"/>
    <w:rsid w:val="003D3BFB"/>
    <w:rsid w:val="003D691D"/>
    <w:rsid w:val="003E06B0"/>
    <w:rsid w:val="003E285F"/>
    <w:rsid w:val="003E6607"/>
    <w:rsid w:val="003F19CF"/>
    <w:rsid w:val="003F1D54"/>
    <w:rsid w:val="003F213D"/>
    <w:rsid w:val="003F306A"/>
    <w:rsid w:val="003F3D1A"/>
    <w:rsid w:val="003F7F76"/>
    <w:rsid w:val="003F7FA8"/>
    <w:rsid w:val="00406D38"/>
    <w:rsid w:val="004109D8"/>
    <w:rsid w:val="004140D8"/>
    <w:rsid w:val="0041505E"/>
    <w:rsid w:val="004173C4"/>
    <w:rsid w:val="0042182E"/>
    <w:rsid w:val="00422572"/>
    <w:rsid w:val="004248DE"/>
    <w:rsid w:val="00433037"/>
    <w:rsid w:val="00433838"/>
    <w:rsid w:val="004373F0"/>
    <w:rsid w:val="004403DF"/>
    <w:rsid w:val="004415F1"/>
    <w:rsid w:val="004423DF"/>
    <w:rsid w:val="0044651A"/>
    <w:rsid w:val="004528B2"/>
    <w:rsid w:val="004569A9"/>
    <w:rsid w:val="004569DC"/>
    <w:rsid w:val="00456BAD"/>
    <w:rsid w:val="00456D4D"/>
    <w:rsid w:val="00461CCC"/>
    <w:rsid w:val="00461DA4"/>
    <w:rsid w:val="004648CB"/>
    <w:rsid w:val="00465E85"/>
    <w:rsid w:val="00466572"/>
    <w:rsid w:val="00466CE5"/>
    <w:rsid w:val="004710D8"/>
    <w:rsid w:val="004757A3"/>
    <w:rsid w:val="00476768"/>
    <w:rsid w:val="0048778F"/>
    <w:rsid w:val="004919C2"/>
    <w:rsid w:val="00492B7F"/>
    <w:rsid w:val="00492BAC"/>
    <w:rsid w:val="00492C07"/>
    <w:rsid w:val="004953D1"/>
    <w:rsid w:val="00496754"/>
    <w:rsid w:val="004A1525"/>
    <w:rsid w:val="004A1CBF"/>
    <w:rsid w:val="004A2713"/>
    <w:rsid w:val="004A286D"/>
    <w:rsid w:val="004A338E"/>
    <w:rsid w:val="004A3763"/>
    <w:rsid w:val="004A37D5"/>
    <w:rsid w:val="004A4510"/>
    <w:rsid w:val="004A4FE4"/>
    <w:rsid w:val="004B12B2"/>
    <w:rsid w:val="004B35C8"/>
    <w:rsid w:val="004B7BCB"/>
    <w:rsid w:val="004D046D"/>
    <w:rsid w:val="004D1C64"/>
    <w:rsid w:val="004D3483"/>
    <w:rsid w:val="004D4812"/>
    <w:rsid w:val="004D6733"/>
    <w:rsid w:val="004D7AF0"/>
    <w:rsid w:val="004E0FBF"/>
    <w:rsid w:val="004E108E"/>
    <w:rsid w:val="004E13AA"/>
    <w:rsid w:val="004E296C"/>
    <w:rsid w:val="004E385A"/>
    <w:rsid w:val="004F2BE5"/>
    <w:rsid w:val="004F6FEC"/>
    <w:rsid w:val="00500BD7"/>
    <w:rsid w:val="005013F1"/>
    <w:rsid w:val="00501761"/>
    <w:rsid w:val="00504AB2"/>
    <w:rsid w:val="005059B4"/>
    <w:rsid w:val="00510851"/>
    <w:rsid w:val="00513F16"/>
    <w:rsid w:val="00515976"/>
    <w:rsid w:val="00533B8B"/>
    <w:rsid w:val="00534828"/>
    <w:rsid w:val="00540E18"/>
    <w:rsid w:val="005411F7"/>
    <w:rsid w:val="00543AFF"/>
    <w:rsid w:val="00544BDD"/>
    <w:rsid w:val="00545A8B"/>
    <w:rsid w:val="0055204B"/>
    <w:rsid w:val="005536D7"/>
    <w:rsid w:val="005539EA"/>
    <w:rsid w:val="005545EE"/>
    <w:rsid w:val="0056021F"/>
    <w:rsid w:val="005653BD"/>
    <w:rsid w:val="00566EE0"/>
    <w:rsid w:val="005739BB"/>
    <w:rsid w:val="00577AAF"/>
    <w:rsid w:val="00580CD1"/>
    <w:rsid w:val="00580E9F"/>
    <w:rsid w:val="00585952"/>
    <w:rsid w:val="005902FC"/>
    <w:rsid w:val="005930AA"/>
    <w:rsid w:val="00596606"/>
    <w:rsid w:val="00597D59"/>
    <w:rsid w:val="00597FB2"/>
    <w:rsid w:val="005A2DAB"/>
    <w:rsid w:val="005A4552"/>
    <w:rsid w:val="005A724E"/>
    <w:rsid w:val="005A73BB"/>
    <w:rsid w:val="005B2A87"/>
    <w:rsid w:val="005B48E6"/>
    <w:rsid w:val="005B4EAB"/>
    <w:rsid w:val="005B5287"/>
    <w:rsid w:val="005C2BFE"/>
    <w:rsid w:val="005C31BA"/>
    <w:rsid w:val="005C492F"/>
    <w:rsid w:val="005D17F3"/>
    <w:rsid w:val="005D2D18"/>
    <w:rsid w:val="005D7BDC"/>
    <w:rsid w:val="005E21BA"/>
    <w:rsid w:val="005E29D2"/>
    <w:rsid w:val="005E3280"/>
    <w:rsid w:val="005E3818"/>
    <w:rsid w:val="005E5AA7"/>
    <w:rsid w:val="005E637C"/>
    <w:rsid w:val="005F02CB"/>
    <w:rsid w:val="005F08D1"/>
    <w:rsid w:val="005F2B7C"/>
    <w:rsid w:val="005F4A24"/>
    <w:rsid w:val="005F6BD8"/>
    <w:rsid w:val="005F7625"/>
    <w:rsid w:val="0060544F"/>
    <w:rsid w:val="00613F0E"/>
    <w:rsid w:val="0062504E"/>
    <w:rsid w:val="0062560D"/>
    <w:rsid w:val="006324B4"/>
    <w:rsid w:val="006363AC"/>
    <w:rsid w:val="006517CE"/>
    <w:rsid w:val="006529B8"/>
    <w:rsid w:val="0065456E"/>
    <w:rsid w:val="0065474B"/>
    <w:rsid w:val="006557C8"/>
    <w:rsid w:val="00656C3F"/>
    <w:rsid w:val="00657B0B"/>
    <w:rsid w:val="006603A7"/>
    <w:rsid w:val="006610D8"/>
    <w:rsid w:val="00670695"/>
    <w:rsid w:val="0067191A"/>
    <w:rsid w:val="0067497E"/>
    <w:rsid w:val="006765B6"/>
    <w:rsid w:val="00681AF6"/>
    <w:rsid w:val="006825AC"/>
    <w:rsid w:val="006825E5"/>
    <w:rsid w:val="006845EA"/>
    <w:rsid w:val="00686935"/>
    <w:rsid w:val="0068700C"/>
    <w:rsid w:val="00694657"/>
    <w:rsid w:val="00695B97"/>
    <w:rsid w:val="0069796D"/>
    <w:rsid w:val="006A0A9F"/>
    <w:rsid w:val="006A5595"/>
    <w:rsid w:val="006B2D52"/>
    <w:rsid w:val="006C1005"/>
    <w:rsid w:val="006C436C"/>
    <w:rsid w:val="006C6361"/>
    <w:rsid w:val="006C74F8"/>
    <w:rsid w:val="006D3C88"/>
    <w:rsid w:val="006D6ADA"/>
    <w:rsid w:val="006D73F1"/>
    <w:rsid w:val="006E0804"/>
    <w:rsid w:val="006E0923"/>
    <w:rsid w:val="006E1E85"/>
    <w:rsid w:val="006E5DD3"/>
    <w:rsid w:val="00700AAE"/>
    <w:rsid w:val="0071184D"/>
    <w:rsid w:val="0071360E"/>
    <w:rsid w:val="00723959"/>
    <w:rsid w:val="00723C48"/>
    <w:rsid w:val="00725A21"/>
    <w:rsid w:val="007262EE"/>
    <w:rsid w:val="00743ED7"/>
    <w:rsid w:val="00744022"/>
    <w:rsid w:val="0075045E"/>
    <w:rsid w:val="00751C4F"/>
    <w:rsid w:val="00753BE8"/>
    <w:rsid w:val="00763DFC"/>
    <w:rsid w:val="0076543D"/>
    <w:rsid w:val="00770FC8"/>
    <w:rsid w:val="00773AF5"/>
    <w:rsid w:val="00776220"/>
    <w:rsid w:val="00777142"/>
    <w:rsid w:val="00777958"/>
    <w:rsid w:val="0078258F"/>
    <w:rsid w:val="00784C6D"/>
    <w:rsid w:val="00796378"/>
    <w:rsid w:val="00796710"/>
    <w:rsid w:val="007A0039"/>
    <w:rsid w:val="007A4977"/>
    <w:rsid w:val="007A500E"/>
    <w:rsid w:val="007A562A"/>
    <w:rsid w:val="007A638C"/>
    <w:rsid w:val="007B120A"/>
    <w:rsid w:val="007B2084"/>
    <w:rsid w:val="007B25FF"/>
    <w:rsid w:val="007B3F87"/>
    <w:rsid w:val="007B40D3"/>
    <w:rsid w:val="007B6583"/>
    <w:rsid w:val="007C0A07"/>
    <w:rsid w:val="007C639E"/>
    <w:rsid w:val="007C6E32"/>
    <w:rsid w:val="007C7A5A"/>
    <w:rsid w:val="007D1266"/>
    <w:rsid w:val="007D1AA1"/>
    <w:rsid w:val="007D2638"/>
    <w:rsid w:val="007D2E2E"/>
    <w:rsid w:val="007D4CD7"/>
    <w:rsid w:val="007D4F9E"/>
    <w:rsid w:val="007D66DC"/>
    <w:rsid w:val="007D68B4"/>
    <w:rsid w:val="007E18FF"/>
    <w:rsid w:val="007E2968"/>
    <w:rsid w:val="007E4F30"/>
    <w:rsid w:val="007E790F"/>
    <w:rsid w:val="007F0FFF"/>
    <w:rsid w:val="007F221C"/>
    <w:rsid w:val="007F5B99"/>
    <w:rsid w:val="007F5E2E"/>
    <w:rsid w:val="007F620C"/>
    <w:rsid w:val="008004A5"/>
    <w:rsid w:val="008035E5"/>
    <w:rsid w:val="00807E82"/>
    <w:rsid w:val="00816D7C"/>
    <w:rsid w:val="00821862"/>
    <w:rsid w:val="00823282"/>
    <w:rsid w:val="00826D51"/>
    <w:rsid w:val="00830224"/>
    <w:rsid w:val="00832EAD"/>
    <w:rsid w:val="0083563D"/>
    <w:rsid w:val="008370A4"/>
    <w:rsid w:val="00837F06"/>
    <w:rsid w:val="008461D9"/>
    <w:rsid w:val="008520C3"/>
    <w:rsid w:val="008542AE"/>
    <w:rsid w:val="00857398"/>
    <w:rsid w:val="0086224F"/>
    <w:rsid w:val="00863600"/>
    <w:rsid w:val="00866E94"/>
    <w:rsid w:val="00871646"/>
    <w:rsid w:val="00872A77"/>
    <w:rsid w:val="0087430D"/>
    <w:rsid w:val="0088258E"/>
    <w:rsid w:val="00883E7A"/>
    <w:rsid w:val="0088679E"/>
    <w:rsid w:val="00890B72"/>
    <w:rsid w:val="00894E70"/>
    <w:rsid w:val="00895F13"/>
    <w:rsid w:val="00897449"/>
    <w:rsid w:val="008A0BF7"/>
    <w:rsid w:val="008A1029"/>
    <w:rsid w:val="008A19DF"/>
    <w:rsid w:val="008A504B"/>
    <w:rsid w:val="008A723B"/>
    <w:rsid w:val="008B21CD"/>
    <w:rsid w:val="008B45AF"/>
    <w:rsid w:val="008B6807"/>
    <w:rsid w:val="008C11DD"/>
    <w:rsid w:val="008C4821"/>
    <w:rsid w:val="008D128B"/>
    <w:rsid w:val="008D16B3"/>
    <w:rsid w:val="008D393B"/>
    <w:rsid w:val="008D6341"/>
    <w:rsid w:val="008E3069"/>
    <w:rsid w:val="008E3FEC"/>
    <w:rsid w:val="008E4FA6"/>
    <w:rsid w:val="008E6F8C"/>
    <w:rsid w:val="008F380D"/>
    <w:rsid w:val="008F6B95"/>
    <w:rsid w:val="00900CEE"/>
    <w:rsid w:val="0090105F"/>
    <w:rsid w:val="0090162F"/>
    <w:rsid w:val="00902E34"/>
    <w:rsid w:val="00903C6A"/>
    <w:rsid w:val="009078F2"/>
    <w:rsid w:val="009130B7"/>
    <w:rsid w:val="00915D8E"/>
    <w:rsid w:val="00916470"/>
    <w:rsid w:val="0092082C"/>
    <w:rsid w:val="009210E9"/>
    <w:rsid w:val="00925BF7"/>
    <w:rsid w:val="00926027"/>
    <w:rsid w:val="00927C50"/>
    <w:rsid w:val="00930448"/>
    <w:rsid w:val="009304CE"/>
    <w:rsid w:val="0093372B"/>
    <w:rsid w:val="00933A7F"/>
    <w:rsid w:val="00933ED3"/>
    <w:rsid w:val="00940840"/>
    <w:rsid w:val="00942454"/>
    <w:rsid w:val="0094491C"/>
    <w:rsid w:val="00946920"/>
    <w:rsid w:val="0095113C"/>
    <w:rsid w:val="009518EC"/>
    <w:rsid w:val="00962D6A"/>
    <w:rsid w:val="00962F69"/>
    <w:rsid w:val="00963749"/>
    <w:rsid w:val="00963DFF"/>
    <w:rsid w:val="0096480F"/>
    <w:rsid w:val="00965B85"/>
    <w:rsid w:val="0097673F"/>
    <w:rsid w:val="009818C0"/>
    <w:rsid w:val="00981B2E"/>
    <w:rsid w:val="00986BD3"/>
    <w:rsid w:val="0099074C"/>
    <w:rsid w:val="00992E83"/>
    <w:rsid w:val="00994116"/>
    <w:rsid w:val="009A1B45"/>
    <w:rsid w:val="009A44A2"/>
    <w:rsid w:val="009B0032"/>
    <w:rsid w:val="009B1754"/>
    <w:rsid w:val="009B3857"/>
    <w:rsid w:val="009C0AE6"/>
    <w:rsid w:val="009D1F59"/>
    <w:rsid w:val="009D3A77"/>
    <w:rsid w:val="009D57BC"/>
    <w:rsid w:val="009D66C5"/>
    <w:rsid w:val="009D7C28"/>
    <w:rsid w:val="009E04AF"/>
    <w:rsid w:val="009E053A"/>
    <w:rsid w:val="009E3D6E"/>
    <w:rsid w:val="009E465E"/>
    <w:rsid w:val="009E505F"/>
    <w:rsid w:val="009E6BE7"/>
    <w:rsid w:val="009E717D"/>
    <w:rsid w:val="009F24FE"/>
    <w:rsid w:val="009F412D"/>
    <w:rsid w:val="009F4C02"/>
    <w:rsid w:val="009F4D00"/>
    <w:rsid w:val="009F6231"/>
    <w:rsid w:val="009F7326"/>
    <w:rsid w:val="009F7371"/>
    <w:rsid w:val="009F7D4B"/>
    <w:rsid w:val="00A06455"/>
    <w:rsid w:val="00A06C11"/>
    <w:rsid w:val="00A07AD7"/>
    <w:rsid w:val="00A1048F"/>
    <w:rsid w:val="00A10993"/>
    <w:rsid w:val="00A121AE"/>
    <w:rsid w:val="00A27151"/>
    <w:rsid w:val="00A2722E"/>
    <w:rsid w:val="00A27B25"/>
    <w:rsid w:val="00A27D9A"/>
    <w:rsid w:val="00A30A2D"/>
    <w:rsid w:val="00A338E3"/>
    <w:rsid w:val="00A34403"/>
    <w:rsid w:val="00A35576"/>
    <w:rsid w:val="00A35CC8"/>
    <w:rsid w:val="00A37D9E"/>
    <w:rsid w:val="00A41102"/>
    <w:rsid w:val="00A41442"/>
    <w:rsid w:val="00A45FF3"/>
    <w:rsid w:val="00A477C2"/>
    <w:rsid w:val="00A47AF2"/>
    <w:rsid w:val="00A50871"/>
    <w:rsid w:val="00A519C9"/>
    <w:rsid w:val="00A51F53"/>
    <w:rsid w:val="00A52478"/>
    <w:rsid w:val="00A55CA7"/>
    <w:rsid w:val="00A55D01"/>
    <w:rsid w:val="00A60305"/>
    <w:rsid w:val="00A667E4"/>
    <w:rsid w:val="00A66DDB"/>
    <w:rsid w:val="00A70B8D"/>
    <w:rsid w:val="00A715F0"/>
    <w:rsid w:val="00A72F0A"/>
    <w:rsid w:val="00A73F74"/>
    <w:rsid w:val="00A74307"/>
    <w:rsid w:val="00A80A3F"/>
    <w:rsid w:val="00A8152B"/>
    <w:rsid w:val="00A826CB"/>
    <w:rsid w:val="00A83833"/>
    <w:rsid w:val="00A8401A"/>
    <w:rsid w:val="00A85C4F"/>
    <w:rsid w:val="00A86673"/>
    <w:rsid w:val="00A95B30"/>
    <w:rsid w:val="00A97A2C"/>
    <w:rsid w:val="00AA07F7"/>
    <w:rsid w:val="00AA208C"/>
    <w:rsid w:val="00AA2354"/>
    <w:rsid w:val="00AA2C5E"/>
    <w:rsid w:val="00AB23FC"/>
    <w:rsid w:val="00AB48F6"/>
    <w:rsid w:val="00AC3693"/>
    <w:rsid w:val="00AC736C"/>
    <w:rsid w:val="00AC75D7"/>
    <w:rsid w:val="00AC7D3A"/>
    <w:rsid w:val="00AD39F5"/>
    <w:rsid w:val="00AD5865"/>
    <w:rsid w:val="00AD5E02"/>
    <w:rsid w:val="00AD6396"/>
    <w:rsid w:val="00AE3114"/>
    <w:rsid w:val="00AE5937"/>
    <w:rsid w:val="00B04ABF"/>
    <w:rsid w:val="00B04E70"/>
    <w:rsid w:val="00B055EE"/>
    <w:rsid w:val="00B05ED7"/>
    <w:rsid w:val="00B1113E"/>
    <w:rsid w:val="00B13061"/>
    <w:rsid w:val="00B1353E"/>
    <w:rsid w:val="00B14EA8"/>
    <w:rsid w:val="00B20785"/>
    <w:rsid w:val="00B26540"/>
    <w:rsid w:val="00B270AA"/>
    <w:rsid w:val="00B27724"/>
    <w:rsid w:val="00B3017F"/>
    <w:rsid w:val="00B36A5A"/>
    <w:rsid w:val="00B41C7E"/>
    <w:rsid w:val="00B4258F"/>
    <w:rsid w:val="00B46F91"/>
    <w:rsid w:val="00B47D6A"/>
    <w:rsid w:val="00B52769"/>
    <w:rsid w:val="00B53B68"/>
    <w:rsid w:val="00B54E02"/>
    <w:rsid w:val="00B602F3"/>
    <w:rsid w:val="00B67441"/>
    <w:rsid w:val="00B7273B"/>
    <w:rsid w:val="00B73BE3"/>
    <w:rsid w:val="00B77FEE"/>
    <w:rsid w:val="00B81C5A"/>
    <w:rsid w:val="00B8226C"/>
    <w:rsid w:val="00B84075"/>
    <w:rsid w:val="00B87060"/>
    <w:rsid w:val="00BA2D4D"/>
    <w:rsid w:val="00BA3A46"/>
    <w:rsid w:val="00BA3B6B"/>
    <w:rsid w:val="00BA3C12"/>
    <w:rsid w:val="00BA45D2"/>
    <w:rsid w:val="00BA4E3F"/>
    <w:rsid w:val="00BA5E74"/>
    <w:rsid w:val="00BA756C"/>
    <w:rsid w:val="00BB5939"/>
    <w:rsid w:val="00BC0429"/>
    <w:rsid w:val="00BC403A"/>
    <w:rsid w:val="00BC4D0A"/>
    <w:rsid w:val="00BC6465"/>
    <w:rsid w:val="00BD63DC"/>
    <w:rsid w:val="00BE18A1"/>
    <w:rsid w:val="00BE58D2"/>
    <w:rsid w:val="00BF0167"/>
    <w:rsid w:val="00BF0E15"/>
    <w:rsid w:val="00BF1378"/>
    <w:rsid w:val="00BF5A9F"/>
    <w:rsid w:val="00C00458"/>
    <w:rsid w:val="00C00663"/>
    <w:rsid w:val="00C0073E"/>
    <w:rsid w:val="00C00F2D"/>
    <w:rsid w:val="00C01ED7"/>
    <w:rsid w:val="00C02256"/>
    <w:rsid w:val="00C02A98"/>
    <w:rsid w:val="00C03B62"/>
    <w:rsid w:val="00C048CE"/>
    <w:rsid w:val="00C07EE3"/>
    <w:rsid w:val="00C23680"/>
    <w:rsid w:val="00C41BC3"/>
    <w:rsid w:val="00C44013"/>
    <w:rsid w:val="00C44CC8"/>
    <w:rsid w:val="00C52DBF"/>
    <w:rsid w:val="00C56574"/>
    <w:rsid w:val="00C5665D"/>
    <w:rsid w:val="00C569E9"/>
    <w:rsid w:val="00C60140"/>
    <w:rsid w:val="00C60CE2"/>
    <w:rsid w:val="00C64CCD"/>
    <w:rsid w:val="00C65A11"/>
    <w:rsid w:val="00C66329"/>
    <w:rsid w:val="00C72796"/>
    <w:rsid w:val="00C74559"/>
    <w:rsid w:val="00C74964"/>
    <w:rsid w:val="00C76CF6"/>
    <w:rsid w:val="00C8029E"/>
    <w:rsid w:val="00C8069F"/>
    <w:rsid w:val="00C80BAC"/>
    <w:rsid w:val="00C8242C"/>
    <w:rsid w:val="00C84863"/>
    <w:rsid w:val="00C85C78"/>
    <w:rsid w:val="00C87809"/>
    <w:rsid w:val="00C9132E"/>
    <w:rsid w:val="00C91EC9"/>
    <w:rsid w:val="00C93F6C"/>
    <w:rsid w:val="00C94601"/>
    <w:rsid w:val="00C94A70"/>
    <w:rsid w:val="00C94F66"/>
    <w:rsid w:val="00C95A02"/>
    <w:rsid w:val="00C95C10"/>
    <w:rsid w:val="00CA32C7"/>
    <w:rsid w:val="00CA5AD8"/>
    <w:rsid w:val="00CB0B8F"/>
    <w:rsid w:val="00CB431A"/>
    <w:rsid w:val="00CB4A78"/>
    <w:rsid w:val="00CB4C89"/>
    <w:rsid w:val="00CB769E"/>
    <w:rsid w:val="00CC1E25"/>
    <w:rsid w:val="00CC4294"/>
    <w:rsid w:val="00CC6E2A"/>
    <w:rsid w:val="00CC74BE"/>
    <w:rsid w:val="00CC7621"/>
    <w:rsid w:val="00CD0A85"/>
    <w:rsid w:val="00CD2D66"/>
    <w:rsid w:val="00CD536D"/>
    <w:rsid w:val="00CD60D8"/>
    <w:rsid w:val="00CE1056"/>
    <w:rsid w:val="00CE1166"/>
    <w:rsid w:val="00CE3FB9"/>
    <w:rsid w:val="00CE540E"/>
    <w:rsid w:val="00CE78D7"/>
    <w:rsid w:val="00CF214A"/>
    <w:rsid w:val="00CF716C"/>
    <w:rsid w:val="00D00925"/>
    <w:rsid w:val="00D00C07"/>
    <w:rsid w:val="00D01964"/>
    <w:rsid w:val="00D06314"/>
    <w:rsid w:val="00D06C42"/>
    <w:rsid w:val="00D120B4"/>
    <w:rsid w:val="00D13F4F"/>
    <w:rsid w:val="00D14DD9"/>
    <w:rsid w:val="00D160B5"/>
    <w:rsid w:val="00D167A0"/>
    <w:rsid w:val="00D22225"/>
    <w:rsid w:val="00D237A1"/>
    <w:rsid w:val="00D240E7"/>
    <w:rsid w:val="00D27AAB"/>
    <w:rsid w:val="00D27B01"/>
    <w:rsid w:val="00D30E5E"/>
    <w:rsid w:val="00D31D0D"/>
    <w:rsid w:val="00D33ADF"/>
    <w:rsid w:val="00D407C7"/>
    <w:rsid w:val="00D41005"/>
    <w:rsid w:val="00D43521"/>
    <w:rsid w:val="00D4546E"/>
    <w:rsid w:val="00D45D77"/>
    <w:rsid w:val="00D46074"/>
    <w:rsid w:val="00D46676"/>
    <w:rsid w:val="00D46E83"/>
    <w:rsid w:val="00D520EB"/>
    <w:rsid w:val="00D53002"/>
    <w:rsid w:val="00D55D94"/>
    <w:rsid w:val="00D5689D"/>
    <w:rsid w:val="00D60915"/>
    <w:rsid w:val="00D61171"/>
    <w:rsid w:val="00D62A34"/>
    <w:rsid w:val="00D70793"/>
    <w:rsid w:val="00D716AF"/>
    <w:rsid w:val="00D72081"/>
    <w:rsid w:val="00D7419B"/>
    <w:rsid w:val="00D74810"/>
    <w:rsid w:val="00D7640A"/>
    <w:rsid w:val="00D869F7"/>
    <w:rsid w:val="00D86B54"/>
    <w:rsid w:val="00D86DF0"/>
    <w:rsid w:val="00D94775"/>
    <w:rsid w:val="00D9796C"/>
    <w:rsid w:val="00D97AE5"/>
    <w:rsid w:val="00DA0348"/>
    <w:rsid w:val="00DA2326"/>
    <w:rsid w:val="00DA389F"/>
    <w:rsid w:val="00DA46DF"/>
    <w:rsid w:val="00DA515A"/>
    <w:rsid w:val="00DA7B8E"/>
    <w:rsid w:val="00DB023F"/>
    <w:rsid w:val="00DB3B8C"/>
    <w:rsid w:val="00DB3FA5"/>
    <w:rsid w:val="00DB52E6"/>
    <w:rsid w:val="00DB57FA"/>
    <w:rsid w:val="00DB5DE1"/>
    <w:rsid w:val="00DC1B6B"/>
    <w:rsid w:val="00DC1BEC"/>
    <w:rsid w:val="00DC2E1F"/>
    <w:rsid w:val="00DD6B21"/>
    <w:rsid w:val="00DE02D0"/>
    <w:rsid w:val="00DE181E"/>
    <w:rsid w:val="00DE19AC"/>
    <w:rsid w:val="00DE415F"/>
    <w:rsid w:val="00DE6986"/>
    <w:rsid w:val="00DE7BFC"/>
    <w:rsid w:val="00DF2894"/>
    <w:rsid w:val="00DF2BF6"/>
    <w:rsid w:val="00DF46E7"/>
    <w:rsid w:val="00E022B1"/>
    <w:rsid w:val="00E02B23"/>
    <w:rsid w:val="00E058B5"/>
    <w:rsid w:val="00E06384"/>
    <w:rsid w:val="00E06854"/>
    <w:rsid w:val="00E07BF5"/>
    <w:rsid w:val="00E10F94"/>
    <w:rsid w:val="00E110C5"/>
    <w:rsid w:val="00E11458"/>
    <w:rsid w:val="00E119F3"/>
    <w:rsid w:val="00E16FE2"/>
    <w:rsid w:val="00E20E18"/>
    <w:rsid w:val="00E2268D"/>
    <w:rsid w:val="00E232D9"/>
    <w:rsid w:val="00E24FF0"/>
    <w:rsid w:val="00E25C10"/>
    <w:rsid w:val="00E32A0E"/>
    <w:rsid w:val="00E32ECE"/>
    <w:rsid w:val="00E3351D"/>
    <w:rsid w:val="00E35E74"/>
    <w:rsid w:val="00E37DD5"/>
    <w:rsid w:val="00E416F3"/>
    <w:rsid w:val="00E42E72"/>
    <w:rsid w:val="00E44211"/>
    <w:rsid w:val="00E44491"/>
    <w:rsid w:val="00E46034"/>
    <w:rsid w:val="00E5063B"/>
    <w:rsid w:val="00E511EF"/>
    <w:rsid w:val="00E5150B"/>
    <w:rsid w:val="00E604A4"/>
    <w:rsid w:val="00E65B23"/>
    <w:rsid w:val="00E6755B"/>
    <w:rsid w:val="00E76349"/>
    <w:rsid w:val="00E82C4B"/>
    <w:rsid w:val="00E83E55"/>
    <w:rsid w:val="00E85961"/>
    <w:rsid w:val="00E91429"/>
    <w:rsid w:val="00E92C1B"/>
    <w:rsid w:val="00E95126"/>
    <w:rsid w:val="00E97815"/>
    <w:rsid w:val="00EA2C37"/>
    <w:rsid w:val="00EA33D2"/>
    <w:rsid w:val="00EA7651"/>
    <w:rsid w:val="00EB20DC"/>
    <w:rsid w:val="00EB75BA"/>
    <w:rsid w:val="00EC3A6C"/>
    <w:rsid w:val="00EC5226"/>
    <w:rsid w:val="00EC67C3"/>
    <w:rsid w:val="00ED488E"/>
    <w:rsid w:val="00ED5795"/>
    <w:rsid w:val="00ED7415"/>
    <w:rsid w:val="00EE193F"/>
    <w:rsid w:val="00EE2CCC"/>
    <w:rsid w:val="00EE3F0B"/>
    <w:rsid w:val="00EE4B74"/>
    <w:rsid w:val="00EE59A9"/>
    <w:rsid w:val="00EE66CD"/>
    <w:rsid w:val="00EF62DE"/>
    <w:rsid w:val="00F01F7C"/>
    <w:rsid w:val="00F027CF"/>
    <w:rsid w:val="00F03A51"/>
    <w:rsid w:val="00F046AF"/>
    <w:rsid w:val="00F07837"/>
    <w:rsid w:val="00F07E72"/>
    <w:rsid w:val="00F107C8"/>
    <w:rsid w:val="00F164C8"/>
    <w:rsid w:val="00F21643"/>
    <w:rsid w:val="00F22378"/>
    <w:rsid w:val="00F22BCC"/>
    <w:rsid w:val="00F25350"/>
    <w:rsid w:val="00F25794"/>
    <w:rsid w:val="00F33751"/>
    <w:rsid w:val="00F3453D"/>
    <w:rsid w:val="00F41601"/>
    <w:rsid w:val="00F431B9"/>
    <w:rsid w:val="00F56A7D"/>
    <w:rsid w:val="00F62546"/>
    <w:rsid w:val="00F65A5C"/>
    <w:rsid w:val="00F733C3"/>
    <w:rsid w:val="00F7415E"/>
    <w:rsid w:val="00F7498F"/>
    <w:rsid w:val="00F7613F"/>
    <w:rsid w:val="00F778DB"/>
    <w:rsid w:val="00F90D7A"/>
    <w:rsid w:val="00F9163A"/>
    <w:rsid w:val="00F91D90"/>
    <w:rsid w:val="00F93C08"/>
    <w:rsid w:val="00F961CC"/>
    <w:rsid w:val="00FA3A4D"/>
    <w:rsid w:val="00FA3EB2"/>
    <w:rsid w:val="00FA40F8"/>
    <w:rsid w:val="00FA62DE"/>
    <w:rsid w:val="00FA755B"/>
    <w:rsid w:val="00FB0387"/>
    <w:rsid w:val="00FB102E"/>
    <w:rsid w:val="00FB4495"/>
    <w:rsid w:val="00FB4808"/>
    <w:rsid w:val="00FB484C"/>
    <w:rsid w:val="00FB6710"/>
    <w:rsid w:val="00FC4A1C"/>
    <w:rsid w:val="00FC777B"/>
    <w:rsid w:val="00FD4C00"/>
    <w:rsid w:val="00FE07EF"/>
    <w:rsid w:val="00FE0BD8"/>
    <w:rsid w:val="00FE0F7E"/>
    <w:rsid w:val="00FE6885"/>
    <w:rsid w:val="00FF0C1B"/>
    <w:rsid w:val="00FF10DA"/>
    <w:rsid w:val="00FF23BC"/>
    <w:rsid w:val="00FF3A1B"/>
    <w:rsid w:val="00FF3EB9"/>
    <w:rsid w:val="012E439E"/>
    <w:rsid w:val="013435B5"/>
    <w:rsid w:val="01347A59"/>
    <w:rsid w:val="01453A14"/>
    <w:rsid w:val="01505F15"/>
    <w:rsid w:val="018117C1"/>
    <w:rsid w:val="019B1886"/>
    <w:rsid w:val="01CF32DE"/>
    <w:rsid w:val="01DF6AA8"/>
    <w:rsid w:val="01E925F2"/>
    <w:rsid w:val="02070CCA"/>
    <w:rsid w:val="02117D9A"/>
    <w:rsid w:val="023E3381"/>
    <w:rsid w:val="02CB7F49"/>
    <w:rsid w:val="02D0279F"/>
    <w:rsid w:val="02FC0103"/>
    <w:rsid w:val="03083283"/>
    <w:rsid w:val="0341645D"/>
    <w:rsid w:val="03993BA4"/>
    <w:rsid w:val="039D426C"/>
    <w:rsid w:val="03AD764F"/>
    <w:rsid w:val="03D36506"/>
    <w:rsid w:val="03FD7293"/>
    <w:rsid w:val="0402799B"/>
    <w:rsid w:val="04090D29"/>
    <w:rsid w:val="04447FB3"/>
    <w:rsid w:val="04785EAF"/>
    <w:rsid w:val="04B14F1D"/>
    <w:rsid w:val="04C64E6C"/>
    <w:rsid w:val="04C72B63"/>
    <w:rsid w:val="04D03D41"/>
    <w:rsid w:val="051060E7"/>
    <w:rsid w:val="05234C71"/>
    <w:rsid w:val="05404C1F"/>
    <w:rsid w:val="054F4E62"/>
    <w:rsid w:val="0583332C"/>
    <w:rsid w:val="05890C31"/>
    <w:rsid w:val="058A40EC"/>
    <w:rsid w:val="058A5E9A"/>
    <w:rsid w:val="058D14E6"/>
    <w:rsid w:val="05AD3936"/>
    <w:rsid w:val="05D13C9E"/>
    <w:rsid w:val="05D9297D"/>
    <w:rsid w:val="064E2D82"/>
    <w:rsid w:val="065E2E82"/>
    <w:rsid w:val="068154EF"/>
    <w:rsid w:val="06A25465"/>
    <w:rsid w:val="06B33D22"/>
    <w:rsid w:val="06DC2725"/>
    <w:rsid w:val="06DE46EF"/>
    <w:rsid w:val="06E70B53"/>
    <w:rsid w:val="06ED4932"/>
    <w:rsid w:val="07342F56"/>
    <w:rsid w:val="073E30BF"/>
    <w:rsid w:val="07402527"/>
    <w:rsid w:val="074D4254"/>
    <w:rsid w:val="075C1AB8"/>
    <w:rsid w:val="077E7207"/>
    <w:rsid w:val="07E51AAD"/>
    <w:rsid w:val="07EF46DA"/>
    <w:rsid w:val="07F46FEF"/>
    <w:rsid w:val="082E6D53"/>
    <w:rsid w:val="08620AE1"/>
    <w:rsid w:val="087F5A5E"/>
    <w:rsid w:val="0882554E"/>
    <w:rsid w:val="08872B64"/>
    <w:rsid w:val="088A4403"/>
    <w:rsid w:val="08C16076"/>
    <w:rsid w:val="08CB50A1"/>
    <w:rsid w:val="08DB6A0C"/>
    <w:rsid w:val="08DD09D6"/>
    <w:rsid w:val="08E81855"/>
    <w:rsid w:val="08F82D4D"/>
    <w:rsid w:val="08FA1E68"/>
    <w:rsid w:val="09095B15"/>
    <w:rsid w:val="090B72F2"/>
    <w:rsid w:val="09420839"/>
    <w:rsid w:val="094840A2"/>
    <w:rsid w:val="0949606C"/>
    <w:rsid w:val="09A17C56"/>
    <w:rsid w:val="09B81388"/>
    <w:rsid w:val="09FC4E43"/>
    <w:rsid w:val="0A002BCE"/>
    <w:rsid w:val="0A03621B"/>
    <w:rsid w:val="0A310FDA"/>
    <w:rsid w:val="0A31609A"/>
    <w:rsid w:val="0A7333A0"/>
    <w:rsid w:val="0A786C09"/>
    <w:rsid w:val="0A797FAB"/>
    <w:rsid w:val="0A860A22"/>
    <w:rsid w:val="0AA52EBD"/>
    <w:rsid w:val="0ACD3EC4"/>
    <w:rsid w:val="0B0B182B"/>
    <w:rsid w:val="0B1D2D48"/>
    <w:rsid w:val="0B49554C"/>
    <w:rsid w:val="0B5F3925"/>
    <w:rsid w:val="0B725406"/>
    <w:rsid w:val="0BC24F08"/>
    <w:rsid w:val="0BC35C62"/>
    <w:rsid w:val="0BF26B94"/>
    <w:rsid w:val="0BFE5AAE"/>
    <w:rsid w:val="0C0A3890"/>
    <w:rsid w:val="0C0F0EA7"/>
    <w:rsid w:val="0C236B74"/>
    <w:rsid w:val="0C300E1D"/>
    <w:rsid w:val="0C394176"/>
    <w:rsid w:val="0D141031"/>
    <w:rsid w:val="0D5F5E5E"/>
    <w:rsid w:val="0DEB14A0"/>
    <w:rsid w:val="0E4A08BC"/>
    <w:rsid w:val="0E666D78"/>
    <w:rsid w:val="0EB14CF1"/>
    <w:rsid w:val="0F034AD1"/>
    <w:rsid w:val="0F135152"/>
    <w:rsid w:val="0F1A64E0"/>
    <w:rsid w:val="0F44530B"/>
    <w:rsid w:val="0F5C32C3"/>
    <w:rsid w:val="0F9D28CF"/>
    <w:rsid w:val="0FB029A1"/>
    <w:rsid w:val="0FD81EB4"/>
    <w:rsid w:val="10135052"/>
    <w:rsid w:val="10233173"/>
    <w:rsid w:val="1043173D"/>
    <w:rsid w:val="10516791"/>
    <w:rsid w:val="107C0AD5"/>
    <w:rsid w:val="10A32505"/>
    <w:rsid w:val="10B152FE"/>
    <w:rsid w:val="10D66587"/>
    <w:rsid w:val="10F52E48"/>
    <w:rsid w:val="111950E2"/>
    <w:rsid w:val="11337FFE"/>
    <w:rsid w:val="11592BC4"/>
    <w:rsid w:val="11665A0D"/>
    <w:rsid w:val="117874EE"/>
    <w:rsid w:val="118934A9"/>
    <w:rsid w:val="11CB1D14"/>
    <w:rsid w:val="11FD5C45"/>
    <w:rsid w:val="12274A70"/>
    <w:rsid w:val="12530CCC"/>
    <w:rsid w:val="12706417"/>
    <w:rsid w:val="12AD19F7"/>
    <w:rsid w:val="12BC165D"/>
    <w:rsid w:val="132F0080"/>
    <w:rsid w:val="134B2AB8"/>
    <w:rsid w:val="13662727"/>
    <w:rsid w:val="13A5602C"/>
    <w:rsid w:val="13F310AE"/>
    <w:rsid w:val="13F60B9E"/>
    <w:rsid w:val="141352AC"/>
    <w:rsid w:val="14172FEE"/>
    <w:rsid w:val="14215C1B"/>
    <w:rsid w:val="143D67CD"/>
    <w:rsid w:val="145002AE"/>
    <w:rsid w:val="14681A9C"/>
    <w:rsid w:val="149E6CA8"/>
    <w:rsid w:val="150F1F18"/>
    <w:rsid w:val="1519109A"/>
    <w:rsid w:val="152A6D51"/>
    <w:rsid w:val="153A3C2D"/>
    <w:rsid w:val="15714980"/>
    <w:rsid w:val="15897F1C"/>
    <w:rsid w:val="16491459"/>
    <w:rsid w:val="16A50D85"/>
    <w:rsid w:val="16BF2150"/>
    <w:rsid w:val="16CB1E6E"/>
    <w:rsid w:val="16CB4564"/>
    <w:rsid w:val="16F413C5"/>
    <w:rsid w:val="16FD5728"/>
    <w:rsid w:val="1739327C"/>
    <w:rsid w:val="174F484D"/>
    <w:rsid w:val="1796054D"/>
    <w:rsid w:val="17966920"/>
    <w:rsid w:val="17B46DA6"/>
    <w:rsid w:val="17E51656"/>
    <w:rsid w:val="17F45E20"/>
    <w:rsid w:val="18362E55"/>
    <w:rsid w:val="188D1AD1"/>
    <w:rsid w:val="189F7A56"/>
    <w:rsid w:val="18AC6894"/>
    <w:rsid w:val="18D70F9E"/>
    <w:rsid w:val="191E6BCD"/>
    <w:rsid w:val="19215FE2"/>
    <w:rsid w:val="192D5062"/>
    <w:rsid w:val="194B7296"/>
    <w:rsid w:val="197A0BCC"/>
    <w:rsid w:val="19856C4C"/>
    <w:rsid w:val="19C57049"/>
    <w:rsid w:val="1A33351B"/>
    <w:rsid w:val="1A473F02"/>
    <w:rsid w:val="1A56528C"/>
    <w:rsid w:val="1A5F749D"/>
    <w:rsid w:val="1AB21051"/>
    <w:rsid w:val="1AC27A2C"/>
    <w:rsid w:val="1AD82DAC"/>
    <w:rsid w:val="1ADF238C"/>
    <w:rsid w:val="1AE300CE"/>
    <w:rsid w:val="1AE9320B"/>
    <w:rsid w:val="1AF44089"/>
    <w:rsid w:val="1B041DF3"/>
    <w:rsid w:val="1B2E6E70"/>
    <w:rsid w:val="1B430B6D"/>
    <w:rsid w:val="1B7104CB"/>
    <w:rsid w:val="1B7A07DE"/>
    <w:rsid w:val="1BA005F2"/>
    <w:rsid w:val="1BD712B5"/>
    <w:rsid w:val="1BDD0528"/>
    <w:rsid w:val="1BDF3A33"/>
    <w:rsid w:val="1C3E1334"/>
    <w:rsid w:val="1C427076"/>
    <w:rsid w:val="1C534DE0"/>
    <w:rsid w:val="1C9F6277"/>
    <w:rsid w:val="1CB906BF"/>
    <w:rsid w:val="1CE43C8A"/>
    <w:rsid w:val="1CFC5477"/>
    <w:rsid w:val="1D0F6BF6"/>
    <w:rsid w:val="1D73442E"/>
    <w:rsid w:val="1D880AB9"/>
    <w:rsid w:val="1D9F5E03"/>
    <w:rsid w:val="1DA653E3"/>
    <w:rsid w:val="1DAC0C4B"/>
    <w:rsid w:val="1DB75127"/>
    <w:rsid w:val="1DBC0763"/>
    <w:rsid w:val="1DD04AF0"/>
    <w:rsid w:val="1DDB2360"/>
    <w:rsid w:val="1E2702D2"/>
    <w:rsid w:val="1E7D4396"/>
    <w:rsid w:val="1E920021"/>
    <w:rsid w:val="1E9B0744"/>
    <w:rsid w:val="1ECD061A"/>
    <w:rsid w:val="1ED03C27"/>
    <w:rsid w:val="1ED50893"/>
    <w:rsid w:val="1EF02DBA"/>
    <w:rsid w:val="1EF5217E"/>
    <w:rsid w:val="1EF84668"/>
    <w:rsid w:val="1EFF2FFD"/>
    <w:rsid w:val="1F2F4872"/>
    <w:rsid w:val="1F5C044F"/>
    <w:rsid w:val="1F8352B0"/>
    <w:rsid w:val="1FB243AB"/>
    <w:rsid w:val="200A1C59"/>
    <w:rsid w:val="205B24B5"/>
    <w:rsid w:val="206F41B2"/>
    <w:rsid w:val="20DA5ACF"/>
    <w:rsid w:val="20E70C92"/>
    <w:rsid w:val="20F848F5"/>
    <w:rsid w:val="210A06DB"/>
    <w:rsid w:val="21425423"/>
    <w:rsid w:val="21470C8B"/>
    <w:rsid w:val="21696E53"/>
    <w:rsid w:val="21731A80"/>
    <w:rsid w:val="21747CD2"/>
    <w:rsid w:val="217952E8"/>
    <w:rsid w:val="218F3F51"/>
    <w:rsid w:val="21D01A69"/>
    <w:rsid w:val="21E26745"/>
    <w:rsid w:val="21E464DA"/>
    <w:rsid w:val="22350AE4"/>
    <w:rsid w:val="224C6559"/>
    <w:rsid w:val="225D0766"/>
    <w:rsid w:val="22835CF3"/>
    <w:rsid w:val="22861367"/>
    <w:rsid w:val="22873A35"/>
    <w:rsid w:val="22C16952"/>
    <w:rsid w:val="22DD18A7"/>
    <w:rsid w:val="22F66958"/>
    <w:rsid w:val="22FA4207"/>
    <w:rsid w:val="22FB2E98"/>
    <w:rsid w:val="231D7EF5"/>
    <w:rsid w:val="234C07DB"/>
    <w:rsid w:val="237C10C0"/>
    <w:rsid w:val="23A10B26"/>
    <w:rsid w:val="23B03722"/>
    <w:rsid w:val="23BC770E"/>
    <w:rsid w:val="23E42C63"/>
    <w:rsid w:val="23FE1644"/>
    <w:rsid w:val="242A28CA"/>
    <w:rsid w:val="246758CC"/>
    <w:rsid w:val="24E30CCB"/>
    <w:rsid w:val="2507722A"/>
    <w:rsid w:val="253F23A5"/>
    <w:rsid w:val="25453733"/>
    <w:rsid w:val="255D6CCF"/>
    <w:rsid w:val="25706A02"/>
    <w:rsid w:val="25981AB5"/>
    <w:rsid w:val="25B85CB3"/>
    <w:rsid w:val="25BE438D"/>
    <w:rsid w:val="26170B5A"/>
    <w:rsid w:val="26445799"/>
    <w:rsid w:val="26597496"/>
    <w:rsid w:val="26647BE9"/>
    <w:rsid w:val="266F0475"/>
    <w:rsid w:val="268B01DB"/>
    <w:rsid w:val="26976211"/>
    <w:rsid w:val="26B96CEB"/>
    <w:rsid w:val="26BB5A5B"/>
    <w:rsid w:val="27046992"/>
    <w:rsid w:val="273E1166"/>
    <w:rsid w:val="27723922"/>
    <w:rsid w:val="27764078"/>
    <w:rsid w:val="27BD3A55"/>
    <w:rsid w:val="27FA6A57"/>
    <w:rsid w:val="281F64BE"/>
    <w:rsid w:val="282835C4"/>
    <w:rsid w:val="28345CDD"/>
    <w:rsid w:val="28940C5A"/>
    <w:rsid w:val="28EC45F2"/>
    <w:rsid w:val="29210A82"/>
    <w:rsid w:val="29231FDE"/>
    <w:rsid w:val="295354ED"/>
    <w:rsid w:val="29690152"/>
    <w:rsid w:val="29842A7C"/>
    <w:rsid w:val="29882870"/>
    <w:rsid w:val="29916F47"/>
    <w:rsid w:val="29A273A6"/>
    <w:rsid w:val="29BF3793"/>
    <w:rsid w:val="29C27101"/>
    <w:rsid w:val="29CB3C83"/>
    <w:rsid w:val="29EE6148"/>
    <w:rsid w:val="29F6324E"/>
    <w:rsid w:val="2A0F2FD8"/>
    <w:rsid w:val="2A1D6A2D"/>
    <w:rsid w:val="2A524929"/>
    <w:rsid w:val="2A587A65"/>
    <w:rsid w:val="2A7F1496"/>
    <w:rsid w:val="2A88702D"/>
    <w:rsid w:val="2ABF1892"/>
    <w:rsid w:val="2AE337D3"/>
    <w:rsid w:val="2AEB4A25"/>
    <w:rsid w:val="2AFC4894"/>
    <w:rsid w:val="2AFE060C"/>
    <w:rsid w:val="2B08148B"/>
    <w:rsid w:val="2B0F6AF1"/>
    <w:rsid w:val="2B434271"/>
    <w:rsid w:val="2B445552"/>
    <w:rsid w:val="2B5621F6"/>
    <w:rsid w:val="2B8A6344"/>
    <w:rsid w:val="2BDA2E28"/>
    <w:rsid w:val="2BFD74D4"/>
    <w:rsid w:val="2C4D184B"/>
    <w:rsid w:val="2CDE24A4"/>
    <w:rsid w:val="2D1C2FCC"/>
    <w:rsid w:val="2D2F6528"/>
    <w:rsid w:val="2D8A43D9"/>
    <w:rsid w:val="2DAD17FB"/>
    <w:rsid w:val="2DC23B73"/>
    <w:rsid w:val="2E536EC1"/>
    <w:rsid w:val="2E821554"/>
    <w:rsid w:val="2E84707B"/>
    <w:rsid w:val="2E9C2616"/>
    <w:rsid w:val="2EDA735E"/>
    <w:rsid w:val="2EE7458A"/>
    <w:rsid w:val="2F1A178D"/>
    <w:rsid w:val="2F2A7C22"/>
    <w:rsid w:val="2F364819"/>
    <w:rsid w:val="2F3926C8"/>
    <w:rsid w:val="2F837332"/>
    <w:rsid w:val="2FB35E69"/>
    <w:rsid w:val="2FB52FCD"/>
    <w:rsid w:val="2FB9707C"/>
    <w:rsid w:val="2FD858D0"/>
    <w:rsid w:val="302617FE"/>
    <w:rsid w:val="302A27E2"/>
    <w:rsid w:val="3034687E"/>
    <w:rsid w:val="304A7E50"/>
    <w:rsid w:val="304E16EE"/>
    <w:rsid w:val="305F259A"/>
    <w:rsid w:val="306058C5"/>
    <w:rsid w:val="306627E3"/>
    <w:rsid w:val="30914BF5"/>
    <w:rsid w:val="30AB2608"/>
    <w:rsid w:val="30EB518F"/>
    <w:rsid w:val="30FC3690"/>
    <w:rsid w:val="311350AC"/>
    <w:rsid w:val="315076E8"/>
    <w:rsid w:val="3170390B"/>
    <w:rsid w:val="31853836"/>
    <w:rsid w:val="31975317"/>
    <w:rsid w:val="319B4E07"/>
    <w:rsid w:val="31B341E9"/>
    <w:rsid w:val="31BB2DB3"/>
    <w:rsid w:val="31BC6B2B"/>
    <w:rsid w:val="31D35BAC"/>
    <w:rsid w:val="320504D2"/>
    <w:rsid w:val="322F554F"/>
    <w:rsid w:val="3234700A"/>
    <w:rsid w:val="326276D3"/>
    <w:rsid w:val="32932670"/>
    <w:rsid w:val="32A3528C"/>
    <w:rsid w:val="32D00569"/>
    <w:rsid w:val="32E21EBD"/>
    <w:rsid w:val="32FD2735"/>
    <w:rsid w:val="332B26BD"/>
    <w:rsid w:val="334C34A8"/>
    <w:rsid w:val="337E517F"/>
    <w:rsid w:val="33814BD7"/>
    <w:rsid w:val="33925D96"/>
    <w:rsid w:val="33B32A62"/>
    <w:rsid w:val="33E800AC"/>
    <w:rsid w:val="33F17F05"/>
    <w:rsid w:val="33FF13EE"/>
    <w:rsid w:val="341B5D8B"/>
    <w:rsid w:val="34394463"/>
    <w:rsid w:val="348558FB"/>
    <w:rsid w:val="349D2C44"/>
    <w:rsid w:val="34BA37F6"/>
    <w:rsid w:val="34C87BA0"/>
    <w:rsid w:val="34EF2A8C"/>
    <w:rsid w:val="34FA5E74"/>
    <w:rsid w:val="3549014E"/>
    <w:rsid w:val="355C48AD"/>
    <w:rsid w:val="35777449"/>
    <w:rsid w:val="358D4A67"/>
    <w:rsid w:val="35A26038"/>
    <w:rsid w:val="35B97E0C"/>
    <w:rsid w:val="35FA5D98"/>
    <w:rsid w:val="36105698"/>
    <w:rsid w:val="36453593"/>
    <w:rsid w:val="36626C16"/>
    <w:rsid w:val="36743E79"/>
    <w:rsid w:val="36981915"/>
    <w:rsid w:val="369B5353"/>
    <w:rsid w:val="36CC7811"/>
    <w:rsid w:val="36DF7858"/>
    <w:rsid w:val="37092813"/>
    <w:rsid w:val="373759DA"/>
    <w:rsid w:val="373B04F2"/>
    <w:rsid w:val="37544A7A"/>
    <w:rsid w:val="37906A90"/>
    <w:rsid w:val="37D26396"/>
    <w:rsid w:val="37D470DF"/>
    <w:rsid w:val="38172D0E"/>
    <w:rsid w:val="38210D36"/>
    <w:rsid w:val="38272968"/>
    <w:rsid w:val="3832742B"/>
    <w:rsid w:val="383E473E"/>
    <w:rsid w:val="3864178A"/>
    <w:rsid w:val="386C12AB"/>
    <w:rsid w:val="3890394B"/>
    <w:rsid w:val="38E2331B"/>
    <w:rsid w:val="38E8321F"/>
    <w:rsid w:val="391159AF"/>
    <w:rsid w:val="393D67A4"/>
    <w:rsid w:val="394515AA"/>
    <w:rsid w:val="39551D3F"/>
    <w:rsid w:val="39893797"/>
    <w:rsid w:val="39BB7CA8"/>
    <w:rsid w:val="39BF18AF"/>
    <w:rsid w:val="39DC5FBD"/>
    <w:rsid w:val="39E66E3B"/>
    <w:rsid w:val="3A072C82"/>
    <w:rsid w:val="3A0B0650"/>
    <w:rsid w:val="3A175247"/>
    <w:rsid w:val="3A1A0893"/>
    <w:rsid w:val="3A267238"/>
    <w:rsid w:val="3A535CE8"/>
    <w:rsid w:val="3A5A5133"/>
    <w:rsid w:val="3AE212EA"/>
    <w:rsid w:val="3AFA0DF0"/>
    <w:rsid w:val="3B1654FE"/>
    <w:rsid w:val="3B304F41"/>
    <w:rsid w:val="3B35498E"/>
    <w:rsid w:val="3BB80364"/>
    <w:rsid w:val="3BC96A15"/>
    <w:rsid w:val="3BDD601C"/>
    <w:rsid w:val="3C0256F9"/>
    <w:rsid w:val="3C026603"/>
    <w:rsid w:val="3C12216A"/>
    <w:rsid w:val="3C2C3217"/>
    <w:rsid w:val="3C385593"/>
    <w:rsid w:val="3C493E09"/>
    <w:rsid w:val="3C985261"/>
    <w:rsid w:val="3CB21257"/>
    <w:rsid w:val="3CDB69FF"/>
    <w:rsid w:val="3D0329CE"/>
    <w:rsid w:val="3D1C4922"/>
    <w:rsid w:val="3D376FB8"/>
    <w:rsid w:val="3D4520CB"/>
    <w:rsid w:val="3D6C58AA"/>
    <w:rsid w:val="3D806E0C"/>
    <w:rsid w:val="3DC21AB7"/>
    <w:rsid w:val="3E467EA9"/>
    <w:rsid w:val="3E4D1237"/>
    <w:rsid w:val="3E5317A2"/>
    <w:rsid w:val="3E5E3417"/>
    <w:rsid w:val="3E7A2248"/>
    <w:rsid w:val="3E8E35FE"/>
    <w:rsid w:val="3E946E66"/>
    <w:rsid w:val="3EA82911"/>
    <w:rsid w:val="3EBB6EA6"/>
    <w:rsid w:val="3EDC080D"/>
    <w:rsid w:val="3F5B7984"/>
    <w:rsid w:val="3F794D8F"/>
    <w:rsid w:val="3F8C11CB"/>
    <w:rsid w:val="3FA0000A"/>
    <w:rsid w:val="3FA54CB9"/>
    <w:rsid w:val="3FBB6674"/>
    <w:rsid w:val="3FE61943"/>
    <w:rsid w:val="4019347F"/>
    <w:rsid w:val="40391CF5"/>
    <w:rsid w:val="404F573E"/>
    <w:rsid w:val="40544E2E"/>
    <w:rsid w:val="4061721C"/>
    <w:rsid w:val="40972C3D"/>
    <w:rsid w:val="40F35992"/>
    <w:rsid w:val="41E41EB2"/>
    <w:rsid w:val="42321598"/>
    <w:rsid w:val="42DC4556"/>
    <w:rsid w:val="43180119"/>
    <w:rsid w:val="433E3844"/>
    <w:rsid w:val="43672D9B"/>
    <w:rsid w:val="437E6337"/>
    <w:rsid w:val="43A7763B"/>
    <w:rsid w:val="43B96CB2"/>
    <w:rsid w:val="43D1257B"/>
    <w:rsid w:val="43D83C99"/>
    <w:rsid w:val="43D917BF"/>
    <w:rsid w:val="43DE6DD5"/>
    <w:rsid w:val="441D78FE"/>
    <w:rsid w:val="445B21D4"/>
    <w:rsid w:val="446472DA"/>
    <w:rsid w:val="4484172B"/>
    <w:rsid w:val="44983428"/>
    <w:rsid w:val="44B6565C"/>
    <w:rsid w:val="44BA6EFA"/>
    <w:rsid w:val="45216F7A"/>
    <w:rsid w:val="459C73B1"/>
    <w:rsid w:val="45BE0C6C"/>
    <w:rsid w:val="45D16BF2"/>
    <w:rsid w:val="45F66658"/>
    <w:rsid w:val="460074D7"/>
    <w:rsid w:val="463E26A5"/>
    <w:rsid w:val="46401681"/>
    <w:rsid w:val="4645313C"/>
    <w:rsid w:val="46565349"/>
    <w:rsid w:val="466E1AA9"/>
    <w:rsid w:val="46A2233C"/>
    <w:rsid w:val="46B53E1D"/>
    <w:rsid w:val="471843AC"/>
    <w:rsid w:val="4796518A"/>
    <w:rsid w:val="47D143BA"/>
    <w:rsid w:val="47DD39B8"/>
    <w:rsid w:val="485423E1"/>
    <w:rsid w:val="48931989"/>
    <w:rsid w:val="48972E18"/>
    <w:rsid w:val="489C38B5"/>
    <w:rsid w:val="48A130B9"/>
    <w:rsid w:val="48E629B4"/>
    <w:rsid w:val="49080B7C"/>
    <w:rsid w:val="491237A9"/>
    <w:rsid w:val="498456FE"/>
    <w:rsid w:val="498D5A32"/>
    <w:rsid w:val="49C3723F"/>
    <w:rsid w:val="4A01737A"/>
    <w:rsid w:val="4A100A66"/>
    <w:rsid w:val="4A174DEF"/>
    <w:rsid w:val="4A3E685E"/>
    <w:rsid w:val="4A677B24"/>
    <w:rsid w:val="4AC258AB"/>
    <w:rsid w:val="4AFE29C3"/>
    <w:rsid w:val="4B0075A3"/>
    <w:rsid w:val="4B013AD5"/>
    <w:rsid w:val="4B245A16"/>
    <w:rsid w:val="4B337A07"/>
    <w:rsid w:val="4B7F2C4C"/>
    <w:rsid w:val="4B9E1324"/>
    <w:rsid w:val="4BF76C86"/>
    <w:rsid w:val="4C0849EF"/>
    <w:rsid w:val="4C0F4D8B"/>
    <w:rsid w:val="4C561BFF"/>
    <w:rsid w:val="4C5D7111"/>
    <w:rsid w:val="4C6A38FC"/>
    <w:rsid w:val="4C806C7C"/>
    <w:rsid w:val="4CA30BBC"/>
    <w:rsid w:val="4CA46E0E"/>
    <w:rsid w:val="4CB74B57"/>
    <w:rsid w:val="4CC528E0"/>
    <w:rsid w:val="4CCC0113"/>
    <w:rsid w:val="4CD60F91"/>
    <w:rsid w:val="4CDA1D3F"/>
    <w:rsid w:val="4CE74F4D"/>
    <w:rsid w:val="4D21045F"/>
    <w:rsid w:val="4D227D33"/>
    <w:rsid w:val="4D61085B"/>
    <w:rsid w:val="4DCD4142"/>
    <w:rsid w:val="4DDA5000"/>
    <w:rsid w:val="4DF01DBC"/>
    <w:rsid w:val="4E1727A1"/>
    <w:rsid w:val="4E192EE4"/>
    <w:rsid w:val="4E433CEC"/>
    <w:rsid w:val="4EBD1E90"/>
    <w:rsid w:val="4EE2777A"/>
    <w:rsid w:val="4F144885"/>
    <w:rsid w:val="4F2B6157"/>
    <w:rsid w:val="4F423789"/>
    <w:rsid w:val="4F50412A"/>
    <w:rsid w:val="4F734876"/>
    <w:rsid w:val="4F822D0B"/>
    <w:rsid w:val="4F9A62A6"/>
    <w:rsid w:val="4F9C4463"/>
    <w:rsid w:val="4F9F1B0F"/>
    <w:rsid w:val="4FB47D66"/>
    <w:rsid w:val="4FC06F61"/>
    <w:rsid w:val="4FF0236A"/>
    <w:rsid w:val="500D4CCA"/>
    <w:rsid w:val="501C1A9C"/>
    <w:rsid w:val="50243DC2"/>
    <w:rsid w:val="5051105B"/>
    <w:rsid w:val="50810A2B"/>
    <w:rsid w:val="508C2093"/>
    <w:rsid w:val="5098349E"/>
    <w:rsid w:val="50A70C7B"/>
    <w:rsid w:val="50AA1A16"/>
    <w:rsid w:val="50B9275C"/>
    <w:rsid w:val="50D4451E"/>
    <w:rsid w:val="50F87728"/>
    <w:rsid w:val="51015C59"/>
    <w:rsid w:val="51053BF3"/>
    <w:rsid w:val="510734C7"/>
    <w:rsid w:val="51937451"/>
    <w:rsid w:val="519A2A2F"/>
    <w:rsid w:val="51AC406F"/>
    <w:rsid w:val="51FF1C39"/>
    <w:rsid w:val="520D0FB1"/>
    <w:rsid w:val="521C385A"/>
    <w:rsid w:val="522D2622"/>
    <w:rsid w:val="525070F0"/>
    <w:rsid w:val="52C86E0F"/>
    <w:rsid w:val="530D4FE1"/>
    <w:rsid w:val="5311687F"/>
    <w:rsid w:val="53435D95"/>
    <w:rsid w:val="536A3F48"/>
    <w:rsid w:val="536F7A4A"/>
    <w:rsid w:val="53762B86"/>
    <w:rsid w:val="539D45B7"/>
    <w:rsid w:val="53AF7E46"/>
    <w:rsid w:val="53C102A5"/>
    <w:rsid w:val="53E144A4"/>
    <w:rsid w:val="53F51CF5"/>
    <w:rsid w:val="53F57F4F"/>
    <w:rsid w:val="54091C4C"/>
    <w:rsid w:val="542B750D"/>
    <w:rsid w:val="544016A4"/>
    <w:rsid w:val="54493DF7"/>
    <w:rsid w:val="54562C35"/>
    <w:rsid w:val="547A4883"/>
    <w:rsid w:val="54A522B5"/>
    <w:rsid w:val="54E3249D"/>
    <w:rsid w:val="54FC70BB"/>
    <w:rsid w:val="54FF095A"/>
    <w:rsid w:val="552C0A96"/>
    <w:rsid w:val="5536079B"/>
    <w:rsid w:val="554A28A3"/>
    <w:rsid w:val="55582E57"/>
    <w:rsid w:val="557E669D"/>
    <w:rsid w:val="55EF09CE"/>
    <w:rsid w:val="563C20A5"/>
    <w:rsid w:val="56B37B32"/>
    <w:rsid w:val="56B45E9F"/>
    <w:rsid w:val="56D54068"/>
    <w:rsid w:val="56DC53F6"/>
    <w:rsid w:val="570566FB"/>
    <w:rsid w:val="57144B90"/>
    <w:rsid w:val="571526B6"/>
    <w:rsid w:val="57160908"/>
    <w:rsid w:val="571F7091"/>
    <w:rsid w:val="57353725"/>
    <w:rsid w:val="57534A32"/>
    <w:rsid w:val="577E64AD"/>
    <w:rsid w:val="5791740F"/>
    <w:rsid w:val="579327F9"/>
    <w:rsid w:val="57947A7F"/>
    <w:rsid w:val="57B41ECF"/>
    <w:rsid w:val="57D367F9"/>
    <w:rsid w:val="57EE3633"/>
    <w:rsid w:val="57F35C7F"/>
    <w:rsid w:val="57F624E8"/>
    <w:rsid w:val="58153E74"/>
    <w:rsid w:val="581970B6"/>
    <w:rsid w:val="581E6EFC"/>
    <w:rsid w:val="58694A68"/>
    <w:rsid w:val="58767185"/>
    <w:rsid w:val="58847AF3"/>
    <w:rsid w:val="58900246"/>
    <w:rsid w:val="58937D37"/>
    <w:rsid w:val="58BC2896"/>
    <w:rsid w:val="58DA4E56"/>
    <w:rsid w:val="591A2206"/>
    <w:rsid w:val="59253085"/>
    <w:rsid w:val="593B4656"/>
    <w:rsid w:val="594F3C5E"/>
    <w:rsid w:val="597638E0"/>
    <w:rsid w:val="59CD11BA"/>
    <w:rsid w:val="5A207BC6"/>
    <w:rsid w:val="5A661CFB"/>
    <w:rsid w:val="5A81078E"/>
    <w:rsid w:val="5A975865"/>
    <w:rsid w:val="5AB126F6"/>
    <w:rsid w:val="5AB93F1D"/>
    <w:rsid w:val="5ACC7530"/>
    <w:rsid w:val="5AD402AE"/>
    <w:rsid w:val="5AE8436A"/>
    <w:rsid w:val="5AEE394A"/>
    <w:rsid w:val="5B0647F0"/>
    <w:rsid w:val="5B2555BE"/>
    <w:rsid w:val="5B461090"/>
    <w:rsid w:val="5B527A35"/>
    <w:rsid w:val="5B56778D"/>
    <w:rsid w:val="5B71145A"/>
    <w:rsid w:val="5B8C73EB"/>
    <w:rsid w:val="5BC70423"/>
    <w:rsid w:val="5BC91427"/>
    <w:rsid w:val="5C1729C6"/>
    <w:rsid w:val="5C3E29C3"/>
    <w:rsid w:val="5C69772C"/>
    <w:rsid w:val="5C9347A9"/>
    <w:rsid w:val="5C9643DA"/>
    <w:rsid w:val="5C9E6D8C"/>
    <w:rsid w:val="5CDD5A24"/>
    <w:rsid w:val="5CDE7104"/>
    <w:rsid w:val="5D121B72"/>
    <w:rsid w:val="5D445AA3"/>
    <w:rsid w:val="5D500C14"/>
    <w:rsid w:val="5D771F1C"/>
    <w:rsid w:val="5D883BE2"/>
    <w:rsid w:val="5DF67D66"/>
    <w:rsid w:val="5E6554CB"/>
    <w:rsid w:val="5E7222F1"/>
    <w:rsid w:val="5E8C325E"/>
    <w:rsid w:val="5E99597B"/>
    <w:rsid w:val="5EA06D09"/>
    <w:rsid w:val="5EE25574"/>
    <w:rsid w:val="5EF16681"/>
    <w:rsid w:val="5EF37781"/>
    <w:rsid w:val="5EF63A66"/>
    <w:rsid w:val="5F245B8C"/>
    <w:rsid w:val="5F385194"/>
    <w:rsid w:val="5F904FD0"/>
    <w:rsid w:val="5FF11F12"/>
    <w:rsid w:val="601A60B5"/>
    <w:rsid w:val="606C0827"/>
    <w:rsid w:val="6098413C"/>
    <w:rsid w:val="610619ED"/>
    <w:rsid w:val="61285BD1"/>
    <w:rsid w:val="6146003C"/>
    <w:rsid w:val="61581B1D"/>
    <w:rsid w:val="620468A5"/>
    <w:rsid w:val="622540F5"/>
    <w:rsid w:val="62436329"/>
    <w:rsid w:val="6247406C"/>
    <w:rsid w:val="626D15F8"/>
    <w:rsid w:val="62CF7BBD"/>
    <w:rsid w:val="62E01DCA"/>
    <w:rsid w:val="62F835B8"/>
    <w:rsid w:val="636C3B11"/>
    <w:rsid w:val="63732899"/>
    <w:rsid w:val="63776E7B"/>
    <w:rsid w:val="63B03BB2"/>
    <w:rsid w:val="63C92C54"/>
    <w:rsid w:val="63CD1F89"/>
    <w:rsid w:val="63CE3967"/>
    <w:rsid w:val="63E4785C"/>
    <w:rsid w:val="641F11B2"/>
    <w:rsid w:val="643740DF"/>
    <w:rsid w:val="644F0FB6"/>
    <w:rsid w:val="648A6FFC"/>
    <w:rsid w:val="648C220A"/>
    <w:rsid w:val="64A70DF2"/>
    <w:rsid w:val="64CA0F84"/>
    <w:rsid w:val="64D92F75"/>
    <w:rsid w:val="652E1513"/>
    <w:rsid w:val="654B3E73"/>
    <w:rsid w:val="654E3963"/>
    <w:rsid w:val="655F791E"/>
    <w:rsid w:val="657456CE"/>
    <w:rsid w:val="657A0163"/>
    <w:rsid w:val="65FF2BB8"/>
    <w:rsid w:val="66443C77"/>
    <w:rsid w:val="66855163"/>
    <w:rsid w:val="669971F6"/>
    <w:rsid w:val="66A302D7"/>
    <w:rsid w:val="66C22D3A"/>
    <w:rsid w:val="670D6F06"/>
    <w:rsid w:val="67157E68"/>
    <w:rsid w:val="671E60CA"/>
    <w:rsid w:val="67281F92"/>
    <w:rsid w:val="6744501E"/>
    <w:rsid w:val="67492C79"/>
    <w:rsid w:val="678C2521"/>
    <w:rsid w:val="679A69EC"/>
    <w:rsid w:val="67C24194"/>
    <w:rsid w:val="67DD3829"/>
    <w:rsid w:val="67E01428"/>
    <w:rsid w:val="6853303E"/>
    <w:rsid w:val="685F3791"/>
    <w:rsid w:val="686D2352"/>
    <w:rsid w:val="686E1C26"/>
    <w:rsid w:val="69036813"/>
    <w:rsid w:val="690A4AA4"/>
    <w:rsid w:val="69C53AC8"/>
    <w:rsid w:val="6A190595"/>
    <w:rsid w:val="6A38073E"/>
    <w:rsid w:val="6A462CC6"/>
    <w:rsid w:val="6A9516EC"/>
    <w:rsid w:val="6ADB40DC"/>
    <w:rsid w:val="6AF01164"/>
    <w:rsid w:val="6B071089"/>
    <w:rsid w:val="6B2807B2"/>
    <w:rsid w:val="6B3453A9"/>
    <w:rsid w:val="6B362ECF"/>
    <w:rsid w:val="6B4D0219"/>
    <w:rsid w:val="6B4E33AF"/>
    <w:rsid w:val="6B797260"/>
    <w:rsid w:val="6BAC5757"/>
    <w:rsid w:val="6BBC1336"/>
    <w:rsid w:val="6BD811F2"/>
    <w:rsid w:val="6BE24E05"/>
    <w:rsid w:val="6C0D0938"/>
    <w:rsid w:val="6C5C4BB7"/>
    <w:rsid w:val="6C7F08A6"/>
    <w:rsid w:val="6C975BF0"/>
    <w:rsid w:val="6CD475BF"/>
    <w:rsid w:val="6CF03552"/>
    <w:rsid w:val="6CFE1604"/>
    <w:rsid w:val="6D2F0485"/>
    <w:rsid w:val="6D34343E"/>
    <w:rsid w:val="6D5533B5"/>
    <w:rsid w:val="6D6A50B2"/>
    <w:rsid w:val="6D920165"/>
    <w:rsid w:val="6D934609"/>
    <w:rsid w:val="6DBD0123"/>
    <w:rsid w:val="6E0252EB"/>
    <w:rsid w:val="6E3545CC"/>
    <w:rsid w:val="6E385D4D"/>
    <w:rsid w:val="6E4753F3"/>
    <w:rsid w:val="6E4E0530"/>
    <w:rsid w:val="6E5C0E9F"/>
    <w:rsid w:val="6E9543B1"/>
    <w:rsid w:val="6EB34837"/>
    <w:rsid w:val="6EDF562C"/>
    <w:rsid w:val="6F037FAB"/>
    <w:rsid w:val="6F094584"/>
    <w:rsid w:val="6F174DC6"/>
    <w:rsid w:val="6F285225"/>
    <w:rsid w:val="6F6A75EB"/>
    <w:rsid w:val="6FD35156"/>
    <w:rsid w:val="6FE3114C"/>
    <w:rsid w:val="6FE76318"/>
    <w:rsid w:val="70131A31"/>
    <w:rsid w:val="703A3256"/>
    <w:rsid w:val="703B4AE4"/>
    <w:rsid w:val="70415F30"/>
    <w:rsid w:val="7046087A"/>
    <w:rsid w:val="706B361B"/>
    <w:rsid w:val="70783D6C"/>
    <w:rsid w:val="70BC019B"/>
    <w:rsid w:val="70BC5C25"/>
    <w:rsid w:val="71266D0C"/>
    <w:rsid w:val="71285ED6"/>
    <w:rsid w:val="714325E3"/>
    <w:rsid w:val="714571EE"/>
    <w:rsid w:val="714D0DEE"/>
    <w:rsid w:val="7176612B"/>
    <w:rsid w:val="718179DC"/>
    <w:rsid w:val="71C4488E"/>
    <w:rsid w:val="72013776"/>
    <w:rsid w:val="721209C7"/>
    <w:rsid w:val="72514A93"/>
    <w:rsid w:val="72E2393D"/>
    <w:rsid w:val="73683F57"/>
    <w:rsid w:val="73D72D76"/>
    <w:rsid w:val="74130252"/>
    <w:rsid w:val="743957DE"/>
    <w:rsid w:val="745443C6"/>
    <w:rsid w:val="746F1200"/>
    <w:rsid w:val="748051BB"/>
    <w:rsid w:val="7493478C"/>
    <w:rsid w:val="74A07644"/>
    <w:rsid w:val="74FF3F3F"/>
    <w:rsid w:val="750A2CD7"/>
    <w:rsid w:val="751678CE"/>
    <w:rsid w:val="75572054"/>
    <w:rsid w:val="75690BD8"/>
    <w:rsid w:val="759A2E2E"/>
    <w:rsid w:val="75D5148B"/>
    <w:rsid w:val="75EB36D0"/>
    <w:rsid w:val="769B55BF"/>
    <w:rsid w:val="76B35000"/>
    <w:rsid w:val="770671F4"/>
    <w:rsid w:val="77324E93"/>
    <w:rsid w:val="77414619"/>
    <w:rsid w:val="77431FA4"/>
    <w:rsid w:val="77AD08D9"/>
    <w:rsid w:val="77E048EF"/>
    <w:rsid w:val="78540E39"/>
    <w:rsid w:val="786652B5"/>
    <w:rsid w:val="7878508A"/>
    <w:rsid w:val="78887081"/>
    <w:rsid w:val="78974512"/>
    <w:rsid w:val="78B8118C"/>
    <w:rsid w:val="78D83818"/>
    <w:rsid w:val="792C3B64"/>
    <w:rsid w:val="79306E62"/>
    <w:rsid w:val="793D7B1F"/>
    <w:rsid w:val="794F1AE7"/>
    <w:rsid w:val="796B2D94"/>
    <w:rsid w:val="798578C2"/>
    <w:rsid w:val="79B3109C"/>
    <w:rsid w:val="79C43D9C"/>
    <w:rsid w:val="79DE4766"/>
    <w:rsid w:val="79E63D12"/>
    <w:rsid w:val="7A0B7A16"/>
    <w:rsid w:val="7A124B07"/>
    <w:rsid w:val="7A613399"/>
    <w:rsid w:val="7A6A66F1"/>
    <w:rsid w:val="7A813A3B"/>
    <w:rsid w:val="7A8A05F8"/>
    <w:rsid w:val="7A9E639B"/>
    <w:rsid w:val="7A9F7D20"/>
    <w:rsid w:val="7AB43E11"/>
    <w:rsid w:val="7AB70836"/>
    <w:rsid w:val="7ACF47A6"/>
    <w:rsid w:val="7AE00762"/>
    <w:rsid w:val="7B193C74"/>
    <w:rsid w:val="7B310FBD"/>
    <w:rsid w:val="7B4038F6"/>
    <w:rsid w:val="7B445194"/>
    <w:rsid w:val="7B856B20"/>
    <w:rsid w:val="7B9F061D"/>
    <w:rsid w:val="7BBD4F47"/>
    <w:rsid w:val="7BC736D0"/>
    <w:rsid w:val="7BF24BF0"/>
    <w:rsid w:val="7C1A7CA3"/>
    <w:rsid w:val="7C2E374F"/>
    <w:rsid w:val="7C396B93"/>
    <w:rsid w:val="7C4F45D9"/>
    <w:rsid w:val="7C792C1C"/>
    <w:rsid w:val="7C8E205D"/>
    <w:rsid w:val="7C9061B7"/>
    <w:rsid w:val="7C9C2DAE"/>
    <w:rsid w:val="7CA0289E"/>
    <w:rsid w:val="7CB4634A"/>
    <w:rsid w:val="7CBA21F6"/>
    <w:rsid w:val="7D2C7C8E"/>
    <w:rsid w:val="7D3D1E9B"/>
    <w:rsid w:val="7D4D6604"/>
    <w:rsid w:val="7D60202E"/>
    <w:rsid w:val="7D845D1C"/>
    <w:rsid w:val="7DEB5D9B"/>
    <w:rsid w:val="7DEB7233"/>
    <w:rsid w:val="7DF02678"/>
    <w:rsid w:val="7DFB4006"/>
    <w:rsid w:val="7E0956BD"/>
    <w:rsid w:val="7E1D5C24"/>
    <w:rsid w:val="7E211FA2"/>
    <w:rsid w:val="7E6B2A38"/>
    <w:rsid w:val="7E8F2BCB"/>
    <w:rsid w:val="7E9755DB"/>
    <w:rsid w:val="7EB0162C"/>
    <w:rsid w:val="7EC45C91"/>
    <w:rsid w:val="7EF35BBC"/>
    <w:rsid w:val="7F250E39"/>
    <w:rsid w:val="7F392B36"/>
    <w:rsid w:val="7F404F1B"/>
    <w:rsid w:val="7F6618EC"/>
    <w:rsid w:val="7F8813C8"/>
    <w:rsid w:val="7FC543CA"/>
    <w:rsid w:val="7FD54B44"/>
    <w:rsid w:val="7FDD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8"/>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3"/>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1"/>
    <w:link w:val="44"/>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link w:val="45"/>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7"/>
    <w:link w:val="46"/>
    <w:qFormat/>
    <w:uiPriority w:val="0"/>
    <w:pPr>
      <w:keepNext/>
      <w:keepLines/>
      <w:numPr>
        <w:ilvl w:val="5"/>
        <w:numId w:val="1"/>
      </w:numPr>
      <w:spacing w:before="240" w:after="64" w:line="320" w:lineRule="auto"/>
      <w:outlineLvl w:val="5"/>
    </w:pPr>
    <w:rPr>
      <w:rFonts w:ascii="Arial" w:hAnsi="Arial" w:eastAsia="黑体"/>
      <w:b/>
      <w:szCs w:val="20"/>
    </w:rPr>
  </w:style>
  <w:style w:type="paragraph" w:styleId="9">
    <w:name w:val="heading 7"/>
    <w:basedOn w:val="1"/>
    <w:next w:val="7"/>
    <w:link w:val="47"/>
    <w:qFormat/>
    <w:uiPriority w:val="0"/>
    <w:pPr>
      <w:keepNext/>
      <w:keepLines/>
      <w:numPr>
        <w:ilvl w:val="6"/>
        <w:numId w:val="1"/>
      </w:numPr>
      <w:spacing w:before="240" w:after="64" w:line="320" w:lineRule="auto"/>
      <w:outlineLvl w:val="6"/>
    </w:pPr>
    <w:rPr>
      <w:b/>
      <w:szCs w:val="20"/>
    </w:rPr>
  </w:style>
  <w:style w:type="paragraph" w:styleId="10">
    <w:name w:val="heading 8"/>
    <w:basedOn w:val="1"/>
    <w:next w:val="7"/>
    <w:link w:val="48"/>
    <w:qFormat/>
    <w:uiPriority w:val="0"/>
    <w:pPr>
      <w:keepNext/>
      <w:keepLines/>
      <w:numPr>
        <w:ilvl w:val="7"/>
        <w:numId w:val="1"/>
      </w:numPr>
      <w:spacing w:before="240" w:after="64" w:line="320" w:lineRule="auto"/>
      <w:outlineLvl w:val="7"/>
    </w:pPr>
    <w:rPr>
      <w:rFonts w:ascii="Arial" w:hAnsi="Arial" w:eastAsia="黑体"/>
      <w:szCs w:val="20"/>
    </w:rPr>
  </w:style>
  <w:style w:type="paragraph" w:styleId="11">
    <w:name w:val="heading 9"/>
    <w:basedOn w:val="1"/>
    <w:next w:val="7"/>
    <w:link w:val="49"/>
    <w:qFormat/>
    <w:uiPriority w:val="0"/>
    <w:pPr>
      <w:keepNext/>
      <w:keepLines/>
      <w:numPr>
        <w:ilvl w:val="8"/>
        <w:numId w:val="1"/>
      </w:numPr>
      <w:spacing w:before="240" w:after="64" w:line="320" w:lineRule="auto"/>
      <w:outlineLvl w:val="8"/>
    </w:pPr>
    <w:rPr>
      <w:rFonts w:ascii="Arial" w:hAnsi="Arial" w:eastAsia="黑体"/>
      <w:sz w:val="21"/>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annotation text"/>
    <w:basedOn w:val="1"/>
    <w:link w:val="80"/>
    <w:qFormat/>
    <w:uiPriority w:val="0"/>
    <w:pPr>
      <w:jc w:val="left"/>
    </w:pPr>
  </w:style>
  <w:style w:type="paragraph" w:styleId="14">
    <w:name w:val="Body Text"/>
    <w:basedOn w:val="1"/>
    <w:link w:val="50"/>
    <w:qFormat/>
    <w:uiPriority w:val="0"/>
    <w:pPr>
      <w:spacing w:after="120"/>
    </w:pPr>
    <w:rPr>
      <w:sz w:val="21"/>
    </w:rPr>
  </w:style>
  <w:style w:type="paragraph" w:styleId="15">
    <w:name w:val="Body Text Indent"/>
    <w:basedOn w:val="1"/>
    <w:next w:val="5"/>
    <w:link w:val="51"/>
    <w:qFormat/>
    <w:uiPriority w:val="0"/>
    <w:pPr>
      <w:spacing w:after="120"/>
      <w:ind w:left="420" w:leftChars="200"/>
    </w:pPr>
    <w:rPr>
      <w:sz w:val="21"/>
    </w:rPr>
  </w:style>
  <w:style w:type="paragraph" w:styleId="16">
    <w:name w:val="toc 3"/>
    <w:basedOn w:val="1"/>
    <w:next w:val="1"/>
    <w:qFormat/>
    <w:uiPriority w:val="39"/>
    <w:pPr>
      <w:ind w:left="840" w:leftChars="400"/>
    </w:pPr>
  </w:style>
  <w:style w:type="paragraph" w:styleId="17">
    <w:name w:val="Plain Text"/>
    <w:basedOn w:val="1"/>
    <w:link w:val="52"/>
    <w:qFormat/>
    <w:uiPriority w:val="99"/>
    <w:rPr>
      <w:rFonts w:ascii="宋体" w:hAnsi="Courier New"/>
      <w:sz w:val="21"/>
      <w:szCs w:val="21"/>
    </w:rPr>
  </w:style>
  <w:style w:type="paragraph" w:styleId="18">
    <w:name w:val="Date"/>
    <w:basedOn w:val="1"/>
    <w:next w:val="1"/>
    <w:qFormat/>
    <w:uiPriority w:val="0"/>
    <w:pPr>
      <w:ind w:left="100" w:leftChars="2500"/>
    </w:pPr>
    <w:rPr>
      <w:rFonts w:eastAsia="仿宋_GB2312"/>
      <w:sz w:val="32"/>
    </w:rPr>
  </w:style>
  <w:style w:type="paragraph" w:styleId="19">
    <w:name w:val="Balloon Text"/>
    <w:basedOn w:val="1"/>
    <w:qFormat/>
    <w:uiPriority w:val="0"/>
    <w:rPr>
      <w:sz w:val="18"/>
      <w:szCs w:val="18"/>
    </w:rPr>
  </w:style>
  <w:style w:type="paragraph" w:styleId="20">
    <w:name w:val="footer"/>
    <w:basedOn w:val="1"/>
    <w:link w:val="53"/>
    <w:qFormat/>
    <w:uiPriority w:val="0"/>
    <w:pPr>
      <w:tabs>
        <w:tab w:val="center" w:pos="4153"/>
        <w:tab w:val="right" w:pos="8306"/>
      </w:tabs>
      <w:snapToGrid w:val="0"/>
      <w:jc w:val="left"/>
    </w:pPr>
    <w:rPr>
      <w:sz w:val="18"/>
      <w:szCs w:val="18"/>
    </w:rPr>
  </w:style>
  <w:style w:type="paragraph" w:styleId="21">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400" w:lineRule="atLeast"/>
      <w:ind w:firstLine="200" w:firstLineChars="200"/>
      <w:jc w:val="left"/>
    </w:pPr>
    <w:rPr>
      <w:rFonts w:ascii="Calibri" w:hAnsi="Calibri"/>
      <w:b/>
      <w:bCs/>
      <w:caps/>
      <w:szCs w:val="20"/>
    </w:rPr>
  </w:style>
  <w:style w:type="paragraph" w:styleId="23">
    <w:name w:val="Subtitle"/>
    <w:basedOn w:val="1"/>
    <w:next w:val="1"/>
    <w:link w:val="55"/>
    <w:qFormat/>
    <w:uiPriority w:val="0"/>
    <w:pPr>
      <w:spacing w:before="240" w:after="60" w:line="312" w:lineRule="auto"/>
      <w:jc w:val="center"/>
      <w:outlineLvl w:val="1"/>
    </w:pPr>
    <w:rPr>
      <w:rFonts w:ascii="Cambria" w:hAnsi="Cambria"/>
      <w:b/>
      <w:bCs/>
      <w:kern w:val="28"/>
      <w:sz w:val="32"/>
      <w:szCs w:val="32"/>
    </w:rPr>
  </w:style>
  <w:style w:type="paragraph" w:styleId="24">
    <w:name w:val="Normal (Web)"/>
    <w:basedOn w:val="1"/>
    <w:qFormat/>
    <w:uiPriority w:val="0"/>
    <w:pPr>
      <w:spacing w:before="100" w:beforeAutospacing="1" w:after="100" w:afterAutospacing="1"/>
      <w:jc w:val="left"/>
    </w:pPr>
    <w:rPr>
      <w:kern w:val="0"/>
    </w:rPr>
  </w:style>
  <w:style w:type="paragraph" w:styleId="25">
    <w:name w:val="Title"/>
    <w:basedOn w:val="1"/>
    <w:next w:val="1"/>
    <w:link w:val="56"/>
    <w:qFormat/>
    <w:uiPriority w:val="0"/>
    <w:pPr>
      <w:spacing w:before="240" w:after="60"/>
      <w:jc w:val="center"/>
      <w:outlineLvl w:val="0"/>
    </w:pPr>
    <w:rPr>
      <w:rFonts w:ascii="Cambria" w:hAnsi="Cambria"/>
      <w:b/>
      <w:bCs/>
      <w:sz w:val="36"/>
      <w:szCs w:val="32"/>
    </w:rPr>
  </w:style>
  <w:style w:type="paragraph" w:styleId="26">
    <w:name w:val="annotation subject"/>
    <w:basedOn w:val="13"/>
    <w:next w:val="13"/>
    <w:link w:val="81"/>
    <w:qFormat/>
    <w:uiPriority w:val="0"/>
    <w:rPr>
      <w:b/>
      <w:bCs/>
    </w:rPr>
  </w:style>
  <w:style w:type="paragraph" w:styleId="27">
    <w:name w:val="Body Text First Indent"/>
    <w:basedOn w:val="14"/>
    <w:next w:val="1"/>
    <w:qFormat/>
    <w:uiPriority w:val="0"/>
    <w:pPr>
      <w:ind w:firstLine="420" w:firstLineChars="100"/>
    </w:pPr>
    <w:rPr>
      <w:kern w:val="0"/>
      <w:sz w:val="20"/>
      <w:szCs w:val="20"/>
    </w:rPr>
  </w:style>
  <w:style w:type="paragraph" w:styleId="28">
    <w:name w:val="Body Text First Indent 2"/>
    <w:basedOn w:val="15"/>
    <w:link w:val="57"/>
    <w:qFormat/>
    <w:uiPriority w:val="0"/>
    <w:pPr>
      <w:widowControl/>
      <w:spacing w:line="276" w:lineRule="auto"/>
      <w:ind w:left="200" w:firstLine="420" w:firstLineChars="200"/>
      <w:jc w:val="left"/>
    </w:pPr>
    <w:rPr>
      <w:rFonts w:ascii="Arial" w:hAnsi="Arial" w:eastAsia="仿宋_GB2312"/>
      <w:sz w:val="32"/>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rFonts w:ascii="Times New Roman" w:hAnsi="Times New Roman" w:eastAsia="宋体" w:cs="Times New Roman"/>
      <w:b/>
      <w:bCs/>
    </w:rPr>
  </w:style>
  <w:style w:type="character" w:styleId="33">
    <w:name w:val="page number"/>
    <w:basedOn w:val="31"/>
    <w:qFormat/>
    <w:uiPriority w:val="0"/>
    <w:rPr>
      <w:rFonts w:ascii="Times New Roman" w:hAnsi="Times New Roman" w:eastAsia="宋体" w:cs="Times New Roman"/>
    </w:rPr>
  </w:style>
  <w:style w:type="character" w:styleId="34">
    <w:name w:val="FollowedHyperlink"/>
    <w:qFormat/>
    <w:uiPriority w:val="0"/>
    <w:rPr>
      <w:rFonts w:ascii="Times New Roman" w:hAnsi="Times New Roman" w:eastAsia="宋体" w:cs="Times New Roman"/>
      <w:color w:val="000000"/>
      <w:u w:val="none"/>
    </w:rPr>
  </w:style>
  <w:style w:type="character" w:styleId="35">
    <w:name w:val="Emphasis"/>
    <w:qFormat/>
    <w:uiPriority w:val="0"/>
    <w:rPr>
      <w:rFonts w:ascii="Times New Roman" w:hAnsi="Times New Roman" w:eastAsia="宋体" w:cs="Times New Roman"/>
    </w:rPr>
  </w:style>
  <w:style w:type="character" w:styleId="36">
    <w:name w:val="Hyperlink"/>
    <w:basedOn w:val="31"/>
    <w:qFormat/>
    <w:uiPriority w:val="0"/>
    <w:rPr>
      <w:rFonts w:ascii="Times New Roman" w:hAnsi="Times New Roman" w:eastAsia="宋体" w:cs="Times New Roman"/>
      <w:color w:val="000000"/>
      <w:u w:val="none"/>
    </w:rPr>
  </w:style>
  <w:style w:type="character" w:styleId="37">
    <w:name w:val="annotation reference"/>
    <w:basedOn w:val="31"/>
    <w:qFormat/>
    <w:uiPriority w:val="0"/>
    <w:rPr>
      <w:rFonts w:ascii="Times New Roman" w:hAnsi="Times New Roman" w:eastAsia="宋体" w:cs="Times New Roman"/>
      <w:sz w:val="21"/>
      <w:szCs w:val="21"/>
    </w:rPr>
  </w:style>
  <w:style w:type="character" w:customStyle="1" w:styleId="38">
    <w:name w:val="标题 1 Char"/>
    <w:link w:val="2"/>
    <w:qFormat/>
    <w:uiPriority w:val="0"/>
    <w:rPr>
      <w:rFonts w:ascii="Times New Roman" w:hAnsi="Times New Roman" w:eastAsia="宋体" w:cs="Times New Roman"/>
      <w:b/>
      <w:bCs/>
      <w:kern w:val="44"/>
      <w:sz w:val="30"/>
      <w:szCs w:val="44"/>
    </w:rPr>
  </w:style>
  <w:style w:type="paragraph" w:customStyle="1" w:styleId="39">
    <w:name w:val="一级条标题"/>
    <w:basedOn w:val="40"/>
    <w:next w:val="41"/>
    <w:qFormat/>
    <w:uiPriority w:val="0"/>
    <w:pPr>
      <w:spacing w:line="240" w:lineRule="auto"/>
      <w:ind w:left="420"/>
      <w:outlineLvl w:val="2"/>
    </w:pPr>
  </w:style>
  <w:style w:type="paragraph" w:customStyle="1" w:styleId="40">
    <w:name w:val="章标题"/>
    <w:next w:val="1"/>
    <w:qFormat/>
    <w:uiPriority w:val="0"/>
    <w:pPr>
      <w:spacing w:line="360" w:lineRule="auto"/>
      <w:jc w:val="both"/>
      <w:outlineLvl w:val="1"/>
    </w:pPr>
    <w:rPr>
      <w:rFonts w:ascii="黑体" w:hAnsi="Calibri" w:eastAsia="黑体" w:cs="Calibri"/>
      <w:sz w:val="21"/>
      <w:szCs w:val="22"/>
      <w:lang w:val="en-US" w:eastAsia="zh-CN" w:bidi="ar-SA"/>
    </w:rPr>
  </w:style>
  <w:style w:type="paragraph" w:customStyle="1" w:styleId="41">
    <w:name w:val="段"/>
    <w:next w:val="1"/>
    <w:qFormat/>
    <w:uiPriority w:val="0"/>
    <w:pPr>
      <w:autoSpaceDE w:val="0"/>
      <w:autoSpaceDN w:val="0"/>
      <w:ind w:firstLine="200" w:firstLineChars="200"/>
      <w:jc w:val="both"/>
    </w:pPr>
    <w:rPr>
      <w:rFonts w:ascii="宋体" w:hAnsi="Calibri" w:eastAsia="等线" w:cs="Calibri"/>
      <w:sz w:val="21"/>
      <w:lang w:val="en-US" w:eastAsia="zh-CN" w:bidi="ar-SA"/>
    </w:rPr>
  </w:style>
  <w:style w:type="character" w:customStyle="1" w:styleId="42">
    <w:name w:val="标题 2 Char"/>
    <w:link w:val="3"/>
    <w:qFormat/>
    <w:uiPriority w:val="0"/>
    <w:rPr>
      <w:rFonts w:ascii="Cambria" w:hAnsi="Cambria" w:eastAsia="宋体" w:cs="Times New Roman"/>
      <w:b/>
      <w:bCs/>
      <w:kern w:val="2"/>
      <w:sz w:val="32"/>
      <w:szCs w:val="32"/>
    </w:rPr>
  </w:style>
  <w:style w:type="character" w:customStyle="1" w:styleId="43">
    <w:name w:val="标题 3 Char"/>
    <w:link w:val="4"/>
    <w:qFormat/>
    <w:uiPriority w:val="0"/>
    <w:rPr>
      <w:rFonts w:ascii="Times New Roman" w:hAnsi="Times New Roman" w:eastAsia="宋体" w:cs="Times New Roman"/>
      <w:b/>
      <w:sz w:val="32"/>
    </w:rPr>
  </w:style>
  <w:style w:type="character" w:customStyle="1" w:styleId="44">
    <w:name w:val="标题 4 Char"/>
    <w:link w:val="5"/>
    <w:qFormat/>
    <w:uiPriority w:val="0"/>
    <w:rPr>
      <w:rFonts w:ascii="Arial" w:hAnsi="Arial" w:eastAsia="黑体" w:cs="Times New Roman"/>
      <w:b/>
      <w:kern w:val="2"/>
      <w:sz w:val="28"/>
    </w:rPr>
  </w:style>
  <w:style w:type="character" w:customStyle="1" w:styleId="45">
    <w:name w:val="标题 5 Char"/>
    <w:link w:val="6"/>
    <w:qFormat/>
    <w:uiPriority w:val="0"/>
    <w:rPr>
      <w:rFonts w:ascii="Times New Roman" w:hAnsi="Times New Roman" w:eastAsia="宋体" w:cs="Times New Roman"/>
      <w:b/>
      <w:kern w:val="2"/>
      <w:sz w:val="28"/>
    </w:rPr>
  </w:style>
  <w:style w:type="character" w:customStyle="1" w:styleId="46">
    <w:name w:val="标题 6 Char"/>
    <w:link w:val="8"/>
    <w:qFormat/>
    <w:uiPriority w:val="0"/>
    <w:rPr>
      <w:rFonts w:ascii="Arial" w:hAnsi="Arial" w:eastAsia="黑体" w:cs="Times New Roman"/>
      <w:b/>
      <w:kern w:val="2"/>
      <w:sz w:val="24"/>
    </w:rPr>
  </w:style>
  <w:style w:type="character" w:customStyle="1" w:styleId="47">
    <w:name w:val="标题 7 Char"/>
    <w:link w:val="9"/>
    <w:qFormat/>
    <w:uiPriority w:val="0"/>
    <w:rPr>
      <w:rFonts w:ascii="Times New Roman" w:hAnsi="Times New Roman" w:eastAsia="宋体" w:cs="Times New Roman"/>
      <w:b/>
      <w:kern w:val="2"/>
      <w:sz w:val="24"/>
    </w:rPr>
  </w:style>
  <w:style w:type="character" w:customStyle="1" w:styleId="48">
    <w:name w:val="标题 8 Char"/>
    <w:link w:val="10"/>
    <w:qFormat/>
    <w:uiPriority w:val="0"/>
    <w:rPr>
      <w:rFonts w:ascii="Arial" w:hAnsi="Arial" w:eastAsia="黑体" w:cs="Times New Roman"/>
      <w:kern w:val="2"/>
      <w:sz w:val="24"/>
    </w:rPr>
  </w:style>
  <w:style w:type="character" w:customStyle="1" w:styleId="49">
    <w:name w:val="标题 9 Char"/>
    <w:link w:val="11"/>
    <w:qFormat/>
    <w:uiPriority w:val="0"/>
    <w:rPr>
      <w:rFonts w:ascii="Arial" w:hAnsi="Arial" w:eastAsia="黑体" w:cs="Times New Roman"/>
      <w:kern w:val="2"/>
      <w:sz w:val="21"/>
    </w:rPr>
  </w:style>
  <w:style w:type="character" w:customStyle="1" w:styleId="50">
    <w:name w:val="正文文本 Char"/>
    <w:link w:val="14"/>
    <w:qFormat/>
    <w:uiPriority w:val="0"/>
    <w:rPr>
      <w:rFonts w:ascii="Times New Roman" w:hAnsi="Times New Roman" w:eastAsia="宋体" w:cs="Times New Roman"/>
      <w:kern w:val="2"/>
      <w:sz w:val="21"/>
      <w:szCs w:val="24"/>
    </w:rPr>
  </w:style>
  <w:style w:type="character" w:customStyle="1" w:styleId="51">
    <w:name w:val="正文文本缩进 Char"/>
    <w:link w:val="15"/>
    <w:qFormat/>
    <w:uiPriority w:val="0"/>
    <w:rPr>
      <w:rFonts w:ascii="Times New Roman" w:hAnsi="Times New Roman" w:eastAsia="宋体" w:cs="Times New Roman"/>
      <w:kern w:val="2"/>
      <w:sz w:val="21"/>
      <w:szCs w:val="24"/>
    </w:rPr>
  </w:style>
  <w:style w:type="character" w:customStyle="1" w:styleId="52">
    <w:name w:val="纯文本 Char"/>
    <w:link w:val="17"/>
    <w:qFormat/>
    <w:uiPriority w:val="0"/>
    <w:rPr>
      <w:rFonts w:ascii="宋体" w:hAnsi="Courier New" w:eastAsia="宋体" w:cs="Courier New"/>
      <w:kern w:val="2"/>
      <w:sz w:val="21"/>
      <w:szCs w:val="21"/>
    </w:rPr>
  </w:style>
  <w:style w:type="character" w:customStyle="1" w:styleId="53">
    <w:name w:val="页脚 Char"/>
    <w:link w:val="20"/>
    <w:qFormat/>
    <w:uiPriority w:val="0"/>
    <w:rPr>
      <w:rFonts w:ascii="Times New Roman" w:hAnsi="Times New Roman" w:eastAsia="宋体" w:cs="Times New Roman"/>
      <w:kern w:val="2"/>
      <w:sz w:val="18"/>
      <w:szCs w:val="18"/>
    </w:rPr>
  </w:style>
  <w:style w:type="character" w:customStyle="1" w:styleId="54">
    <w:name w:val="页眉 Char"/>
    <w:link w:val="21"/>
    <w:qFormat/>
    <w:uiPriority w:val="0"/>
    <w:rPr>
      <w:rFonts w:ascii="Times New Roman" w:hAnsi="Times New Roman" w:eastAsia="宋体" w:cs="Times New Roman"/>
      <w:kern w:val="2"/>
      <w:sz w:val="18"/>
      <w:szCs w:val="18"/>
    </w:rPr>
  </w:style>
  <w:style w:type="character" w:customStyle="1" w:styleId="55">
    <w:name w:val="副标题 Char"/>
    <w:link w:val="23"/>
    <w:qFormat/>
    <w:uiPriority w:val="0"/>
    <w:rPr>
      <w:rFonts w:ascii="Cambria" w:hAnsi="Cambria" w:eastAsia="宋体" w:cs="Times New Roman"/>
      <w:b/>
      <w:bCs/>
      <w:kern w:val="28"/>
      <w:sz w:val="32"/>
      <w:szCs w:val="32"/>
    </w:rPr>
  </w:style>
  <w:style w:type="character" w:customStyle="1" w:styleId="56">
    <w:name w:val="标题 Char"/>
    <w:link w:val="25"/>
    <w:qFormat/>
    <w:uiPriority w:val="0"/>
    <w:rPr>
      <w:rFonts w:ascii="Cambria" w:hAnsi="Cambria" w:eastAsia="宋体" w:cs="Times New Roman"/>
      <w:b/>
      <w:bCs/>
      <w:kern w:val="2"/>
      <w:sz w:val="36"/>
      <w:szCs w:val="32"/>
    </w:rPr>
  </w:style>
  <w:style w:type="character" w:customStyle="1" w:styleId="57">
    <w:name w:val="正文首行缩进 2 Char"/>
    <w:link w:val="28"/>
    <w:qFormat/>
    <w:uiPriority w:val="0"/>
    <w:rPr>
      <w:rFonts w:ascii="Arial" w:hAnsi="Arial" w:eastAsia="仿宋_GB2312" w:cs="Times New Roman"/>
      <w:kern w:val="2"/>
      <w:sz w:val="32"/>
      <w:szCs w:val="24"/>
    </w:rPr>
  </w:style>
  <w:style w:type="character" w:customStyle="1" w:styleId="58">
    <w:name w:val="正文文本 Char1"/>
    <w:qFormat/>
    <w:uiPriority w:val="0"/>
    <w:rPr>
      <w:rFonts w:ascii="Times New Roman" w:hAnsi="Times New Roman" w:eastAsia="宋体" w:cs="Times New Roman"/>
      <w:kern w:val="2"/>
      <w:sz w:val="24"/>
      <w:szCs w:val="24"/>
    </w:rPr>
  </w:style>
  <w:style w:type="character" w:customStyle="1" w:styleId="59">
    <w:name w:val="bg01"/>
    <w:qFormat/>
    <w:uiPriority w:val="0"/>
    <w:rPr>
      <w:rFonts w:ascii="Times New Roman" w:hAnsi="Times New Roman" w:eastAsia="宋体" w:cs="Times New Roman"/>
    </w:rPr>
  </w:style>
  <w:style w:type="character" w:customStyle="1" w:styleId="60">
    <w:name w:val="副标题 Char1"/>
    <w:qFormat/>
    <w:uiPriority w:val="0"/>
    <w:rPr>
      <w:rFonts w:ascii="Cambria" w:hAnsi="Cambria" w:eastAsia="宋体" w:cs="Times New Roman"/>
      <w:b/>
      <w:bCs/>
      <w:kern w:val="28"/>
      <w:sz w:val="32"/>
      <w:szCs w:val="32"/>
    </w:rPr>
  </w:style>
  <w:style w:type="character" w:customStyle="1" w:styleId="61">
    <w:name w:val="more"/>
    <w:qFormat/>
    <w:uiPriority w:val="0"/>
    <w:rPr>
      <w:rFonts w:ascii="Times New Roman" w:hAnsi="Times New Roman" w:eastAsia="宋体" w:cs="Times New Roman"/>
      <w:color w:val="666666"/>
      <w:sz w:val="18"/>
      <w:szCs w:val="18"/>
    </w:rPr>
  </w:style>
  <w:style w:type="character" w:customStyle="1" w:styleId="62">
    <w:name w:val="bg02"/>
    <w:qFormat/>
    <w:uiPriority w:val="0"/>
    <w:rPr>
      <w:rFonts w:ascii="Times New Roman" w:hAnsi="Times New Roman" w:eastAsia="宋体" w:cs="Times New Roman"/>
    </w:rPr>
  </w:style>
  <w:style w:type="character" w:customStyle="1" w:styleId="63">
    <w:name w:val="表内文字 Char"/>
    <w:link w:val="64"/>
    <w:qFormat/>
    <w:uiPriority w:val="0"/>
    <w:rPr>
      <w:rFonts w:ascii="仿宋_GB2312" w:hAnsi="Times New Roman" w:eastAsia="仿宋_GB2312" w:cs="Times New Roman"/>
      <w:kern w:val="2"/>
      <w:sz w:val="21"/>
      <w:szCs w:val="21"/>
    </w:rPr>
  </w:style>
  <w:style w:type="paragraph" w:customStyle="1" w:styleId="64">
    <w:name w:val="表内文字"/>
    <w:basedOn w:val="1"/>
    <w:link w:val="63"/>
    <w:qFormat/>
    <w:uiPriority w:val="0"/>
    <w:pPr>
      <w:jc w:val="left"/>
    </w:pPr>
    <w:rPr>
      <w:rFonts w:ascii="仿宋_GB2312" w:eastAsia="仿宋_GB2312"/>
      <w:sz w:val="21"/>
      <w:szCs w:val="21"/>
    </w:rPr>
  </w:style>
  <w:style w:type="character" w:customStyle="1" w:styleId="65">
    <w:name w:val="标题 Char1"/>
    <w:qFormat/>
    <w:uiPriority w:val="0"/>
    <w:rPr>
      <w:rFonts w:ascii="Cambria" w:hAnsi="Cambria" w:eastAsia="宋体" w:cs="Times New Roman"/>
      <w:b/>
      <w:bCs/>
      <w:kern w:val="2"/>
      <w:sz w:val="32"/>
      <w:szCs w:val="32"/>
    </w:rPr>
  </w:style>
  <w:style w:type="character" w:customStyle="1" w:styleId="66">
    <w:name w:val="tabg"/>
    <w:qFormat/>
    <w:uiPriority w:val="0"/>
    <w:rPr>
      <w:rFonts w:ascii="微软雅黑" w:hAnsi="微软雅黑" w:eastAsia="微软雅黑" w:cs="微软雅黑"/>
      <w:color w:val="FFFFFF"/>
      <w:sz w:val="27"/>
      <w:szCs w:val="27"/>
    </w:rPr>
  </w:style>
  <w:style w:type="paragraph" w:customStyle="1" w:styleId="67">
    <w:name w:val="Char Char Char Char Char Char Char1 Char"/>
    <w:basedOn w:val="1"/>
    <w:qFormat/>
    <w:uiPriority w:val="0"/>
    <w:rPr>
      <w:rFonts w:ascii="Tahoma" w:hAnsi="Tahoma"/>
      <w:szCs w:val="20"/>
    </w:rPr>
  </w:style>
  <w:style w:type="paragraph" w:customStyle="1" w:styleId="6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9">
    <w:name w:val="Char"/>
    <w:basedOn w:val="1"/>
    <w:qFormat/>
    <w:uiPriority w:val="0"/>
    <w:rPr>
      <w:szCs w:val="21"/>
    </w:rPr>
  </w:style>
  <w:style w:type="paragraph" w:customStyle="1" w:styleId="70">
    <w:name w:val="样式1"/>
    <w:basedOn w:val="1"/>
    <w:qFormat/>
    <w:uiPriority w:val="0"/>
    <w:rPr>
      <w:rFonts w:eastAsia="仿宋_GB2312"/>
      <w:sz w:val="32"/>
    </w:rPr>
  </w:style>
  <w:style w:type="paragraph" w:customStyle="1" w:styleId="71">
    <w:name w:val="样式3"/>
    <w:basedOn w:val="72"/>
    <w:qFormat/>
    <w:uiPriority w:val="0"/>
    <w:pPr>
      <w:jc w:val="center"/>
    </w:pPr>
    <w:rPr>
      <w:rFonts w:eastAsia="宋体"/>
    </w:rPr>
  </w:style>
  <w:style w:type="paragraph" w:customStyle="1" w:styleId="72">
    <w:name w:val="样式2"/>
    <w:basedOn w:val="1"/>
    <w:qFormat/>
    <w:uiPriority w:val="0"/>
    <w:rPr>
      <w:rFonts w:eastAsia="华文中宋"/>
      <w:sz w:val="44"/>
    </w:rPr>
  </w:style>
  <w:style w:type="paragraph" w:customStyle="1" w:styleId="73">
    <w:name w:val="List Paragraph1"/>
    <w:basedOn w:val="1"/>
    <w:qFormat/>
    <w:uiPriority w:val="0"/>
    <w:pPr>
      <w:ind w:firstLine="420" w:firstLineChars="200"/>
    </w:pPr>
    <w:rPr>
      <w:rFonts w:ascii="Calibri" w:hAnsi="Calibri"/>
      <w:sz w:val="21"/>
      <w:szCs w:val="22"/>
    </w:rPr>
  </w:style>
  <w:style w:type="paragraph" w:customStyle="1" w:styleId="74">
    <w:name w:val="_Style 31"/>
    <w:basedOn w:val="12"/>
    <w:qFormat/>
    <w:uiPriority w:val="0"/>
    <w:rPr>
      <w:szCs w:val="20"/>
      <w:shd w:val="clear" w:color="auto" w:fill="000080"/>
    </w:rPr>
  </w:style>
  <w:style w:type="paragraph" w:styleId="75">
    <w:name w:val="List Paragraph"/>
    <w:basedOn w:val="1"/>
    <w:qFormat/>
    <w:uiPriority w:val="34"/>
    <w:pPr>
      <w:ind w:firstLine="420" w:firstLineChars="200"/>
    </w:pPr>
    <w:rPr>
      <w:rFonts w:ascii="Calibri" w:hAnsi="Calibri"/>
      <w:sz w:val="21"/>
    </w:rPr>
  </w:style>
  <w:style w:type="paragraph" w:customStyle="1" w:styleId="76">
    <w:name w:val="Colorful List - Accent 11"/>
    <w:basedOn w:val="1"/>
    <w:qFormat/>
    <w:uiPriority w:val="34"/>
    <w:pPr>
      <w:widowControl/>
      <w:ind w:left="720"/>
      <w:jc w:val="left"/>
    </w:pPr>
    <w:rPr>
      <w:rFonts w:ascii="Calibri" w:hAnsi="Calibri" w:cs="宋体"/>
      <w:kern w:val="0"/>
      <w:sz w:val="22"/>
      <w:szCs w:val="22"/>
    </w:rPr>
  </w:style>
  <w:style w:type="paragraph" w:customStyle="1" w:styleId="77">
    <w:name w:val="表格文字"/>
    <w:basedOn w:val="1"/>
    <w:qFormat/>
    <w:uiPriority w:val="0"/>
    <w:pPr>
      <w:spacing w:before="25" w:after="25"/>
    </w:pPr>
    <w:rPr>
      <w:bCs/>
      <w:spacing w:val="10"/>
      <w:kern w:val="0"/>
    </w:rPr>
  </w:style>
  <w:style w:type="character" w:customStyle="1" w:styleId="78">
    <w:name w:val="font21"/>
    <w:basedOn w:val="31"/>
    <w:qFormat/>
    <w:uiPriority w:val="0"/>
    <w:rPr>
      <w:rFonts w:hint="default" w:ascii="Times New Roman" w:hAnsi="Times New Roman" w:eastAsia="宋体" w:cs="Times New Roman"/>
      <w:b/>
      <w:bCs/>
      <w:color w:val="000000"/>
      <w:sz w:val="36"/>
      <w:szCs w:val="36"/>
      <w:u w:val="none"/>
    </w:rPr>
  </w:style>
  <w:style w:type="character" w:customStyle="1" w:styleId="79">
    <w:name w:val="font81"/>
    <w:basedOn w:val="31"/>
    <w:qFormat/>
    <w:uiPriority w:val="0"/>
    <w:rPr>
      <w:rFonts w:hint="eastAsia" w:ascii="宋体" w:hAnsi="宋体" w:eastAsia="宋体" w:cs="宋体"/>
      <w:b/>
      <w:bCs/>
      <w:color w:val="000000"/>
      <w:sz w:val="36"/>
      <w:szCs w:val="36"/>
      <w:u w:val="none"/>
    </w:rPr>
  </w:style>
  <w:style w:type="character" w:customStyle="1" w:styleId="80">
    <w:name w:val="批注文字 Char"/>
    <w:basedOn w:val="31"/>
    <w:link w:val="13"/>
    <w:qFormat/>
    <w:uiPriority w:val="0"/>
    <w:rPr>
      <w:rFonts w:ascii="Times New Roman" w:hAnsi="Times New Roman" w:eastAsia="宋体" w:cs="Times New Roman"/>
      <w:kern w:val="2"/>
      <w:sz w:val="24"/>
      <w:szCs w:val="24"/>
    </w:rPr>
  </w:style>
  <w:style w:type="character" w:customStyle="1" w:styleId="81">
    <w:name w:val="批注主题 Char"/>
    <w:basedOn w:val="80"/>
    <w:link w:val="26"/>
    <w:qFormat/>
    <w:uiPriority w:val="0"/>
    <w:rPr>
      <w:rFonts w:ascii="Times New Roman" w:hAnsi="Times New Roman" w:eastAsia="宋体" w:cs="Times New Roman"/>
      <w:b/>
      <w:bCs/>
      <w:kern w:val="2"/>
      <w:sz w:val="24"/>
      <w:szCs w:val="24"/>
    </w:rPr>
  </w:style>
  <w:style w:type="paragraph" w:customStyle="1" w:styleId="82">
    <w:name w:val="Body Text First Indent 2"/>
    <w:basedOn w:val="83"/>
    <w:qFormat/>
    <w:uiPriority w:val="0"/>
    <w:pPr>
      <w:spacing w:after="120" w:afterLines="0" w:line="240" w:lineRule="auto"/>
      <w:ind w:left="420" w:leftChars="200" w:firstLine="420" w:firstLineChars="200"/>
    </w:pPr>
    <w:rPr>
      <w:sz w:val="21"/>
    </w:rPr>
  </w:style>
  <w:style w:type="paragraph" w:customStyle="1" w:styleId="83">
    <w:name w:val="Body Text Indent"/>
    <w:basedOn w:val="1"/>
    <w:qFormat/>
    <w:uiPriority w:val="0"/>
    <w:pPr>
      <w:ind w:firstLine="480"/>
    </w:pPr>
    <w:rPr>
      <w:rFonts w:ascii="宋体" w:hAnsi="宋体"/>
    </w:rPr>
  </w:style>
  <w:style w:type="paragraph" w:customStyle="1" w:styleId="84">
    <w:name w:val="纯文本2"/>
    <w:basedOn w:val="1"/>
    <w:qFormat/>
    <w:uiPriority w:val="0"/>
    <w:rPr>
      <w:rFonts w:ascii="宋体" w:hAnsi="Courier New"/>
      <w:szCs w:val="21"/>
    </w:rPr>
  </w:style>
  <w:style w:type="paragraph" w:customStyle="1" w:styleId="85">
    <w:name w:val="Table Text"/>
    <w:basedOn w:val="1"/>
    <w:semiHidden/>
    <w:qFormat/>
    <w:uiPriority w:val="0"/>
    <w:rPr>
      <w:rFonts w:ascii="宋体" w:hAnsi="宋体" w:eastAsia="宋体" w:cs="宋体"/>
      <w:sz w:val="17"/>
      <w:szCs w:val="17"/>
      <w:lang w:val="en-US" w:eastAsia="en-US" w:bidi="ar-SA"/>
    </w:rPr>
  </w:style>
  <w:style w:type="table" w:customStyle="1" w:styleId="86">
    <w:name w:val="Table Normal"/>
    <w:semiHidden/>
    <w:unhideWhenUsed/>
    <w:qFormat/>
    <w:uiPriority w:val="0"/>
    <w:tblPr>
      <w:tblCellMar>
        <w:top w:w="0" w:type="dxa"/>
        <w:left w:w="0" w:type="dxa"/>
        <w:bottom w:w="0" w:type="dxa"/>
        <w:right w:w="0" w:type="dxa"/>
      </w:tblCellMar>
    </w:tblPr>
  </w:style>
  <w:style w:type="paragraph" w:customStyle="1" w:styleId="87">
    <w:name w:val="列出段落1"/>
    <w:basedOn w:val="1"/>
    <w:qFormat/>
    <w:uiPriority w:val="0"/>
    <w:pPr>
      <w:ind w:firstLine="420" w:firstLineChars="200"/>
    </w:pPr>
    <w:rPr>
      <w:rFonts w:ascii="Calibri" w:hAnsi="Calibri"/>
      <w:szCs w:val="22"/>
    </w:rPr>
  </w:style>
  <w:style w:type="character" w:customStyle="1" w:styleId="88">
    <w:name w:val="font11"/>
    <w:basedOn w:val="31"/>
    <w:qFormat/>
    <w:uiPriority w:val="0"/>
    <w:rPr>
      <w:rFonts w:hint="default" w:ascii="Times New Roman" w:hAnsi="Times New Roman" w:cs="Times New Roman"/>
      <w:color w:val="000000"/>
      <w:sz w:val="21"/>
      <w:szCs w:val="21"/>
      <w:u w:val="none"/>
    </w:rPr>
  </w:style>
  <w:style w:type="character" w:customStyle="1" w:styleId="89">
    <w:name w:val="font31"/>
    <w:basedOn w:val="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czt</Company>
  <Pages>106</Pages>
  <Words>45839</Words>
  <Characters>51882</Characters>
  <Lines>341</Lines>
  <Paragraphs>96</Paragraphs>
  <TotalTime>8</TotalTime>
  <ScaleCrop>false</ScaleCrop>
  <LinksUpToDate>false</LinksUpToDate>
  <CharactersWithSpaces>55646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2022-04-27T04:01:00Z</dcterms:created>
  <dc:creator>太子弹琴</dc:creator>
  <cp:lastModifiedBy>dell</cp:lastModifiedBy>
  <cp:lastPrinted>2024-10-12T11:09:00Z</cp:lastPrinted>
  <dcterms:modified xsi:type="dcterms:W3CDTF">2025-06-13T09:46:07Z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0BC44071A72942628933AFB6561D2C86_13</vt:lpwstr>
  </property>
  <property fmtid="{D5CDD505-2E9C-101B-9397-08002B2CF9AE}" pid="4" name="KSOTemplateDocerSaveRecord">
    <vt:lpwstr>eyJoZGlkIjoiMTcxZjUyNjBmMDYzY2ZhODc0YTM3NDY1MzkzZmE3M2QiLCJ1c2VySWQiOiI1NzQ4OTQxNzcifQ==</vt:lpwstr>
  </property>
</Properties>
</file>