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spacing w:before="157" w:beforeLines="50" w:line="560" w:lineRule="exact"/>
        <w:jc w:val="center"/>
        <w:rPr>
          <w:rFonts w:hint="eastAsia" w:ascii="隶书" w:hAnsi="华文中宋" w:eastAsia="隶书"/>
          <w:color w:val="auto"/>
          <w:sz w:val="84"/>
          <w:szCs w:val="84"/>
          <w:highlight w:val="none"/>
        </w:rPr>
      </w:pPr>
    </w:p>
    <w:p>
      <w:pPr>
        <w:pStyle w:val="14"/>
        <w:wordWrap/>
        <w:spacing w:before="157" w:beforeLines="50" w:line="560" w:lineRule="exact"/>
        <w:jc w:val="center"/>
        <w:rPr>
          <w:rFonts w:hint="eastAsia" w:ascii="隶书" w:hAnsi="华文中宋" w:eastAsia="隶书"/>
          <w:color w:val="auto"/>
          <w:sz w:val="84"/>
          <w:szCs w:val="84"/>
          <w:highlight w:val="none"/>
        </w:rPr>
      </w:pPr>
    </w:p>
    <w:p>
      <w:pPr>
        <w:pStyle w:val="14"/>
        <w:wordWrap/>
        <w:spacing w:before="157" w:beforeLines="50" w:line="560" w:lineRule="exact"/>
        <w:jc w:val="center"/>
        <w:rPr>
          <w:rFonts w:hint="eastAsia" w:ascii="隶书" w:hAnsi="华文中宋" w:eastAsia="隶书"/>
          <w:color w:val="auto"/>
          <w:sz w:val="84"/>
          <w:szCs w:val="84"/>
          <w:highlight w:val="none"/>
        </w:rPr>
      </w:pPr>
    </w:p>
    <w:p>
      <w:pPr>
        <w:pStyle w:val="14"/>
        <w:widowControl w:val="0"/>
        <w:wordWrap/>
        <w:spacing w:before="313" w:beforeLines="100" w:line="560" w:lineRule="exact"/>
        <w:jc w:val="center"/>
        <w:textAlignment w:val="auto"/>
        <w:rPr>
          <w:rFonts w:hint="eastAsia" w:ascii="华文中宋" w:hAnsi="华文中宋" w:eastAsia="华文中宋" w:cs="华文中宋"/>
          <w:color w:val="auto"/>
          <w:sz w:val="84"/>
          <w:szCs w:val="84"/>
          <w:highlight w:val="none"/>
        </w:rPr>
      </w:pPr>
    </w:p>
    <w:p>
      <w:pPr>
        <w:pStyle w:val="14"/>
        <w:widowControl w:val="0"/>
        <w:wordWrap/>
        <w:spacing w:before="313" w:beforeLines="100" w:line="560" w:lineRule="exact"/>
        <w:jc w:val="center"/>
        <w:textAlignment w:val="auto"/>
        <w:rPr>
          <w:rFonts w:hint="eastAsia" w:ascii="华文中宋" w:hAnsi="华文中宋" w:eastAsia="华文中宋" w:cs="华文中宋"/>
          <w:bCs/>
          <w:color w:val="auto"/>
          <w:sz w:val="84"/>
          <w:szCs w:val="84"/>
          <w:highlight w:val="none"/>
        </w:rPr>
      </w:pPr>
      <w:r>
        <w:rPr>
          <w:rFonts w:hint="eastAsia" w:ascii="华文中宋" w:hAnsi="华文中宋" w:eastAsia="华文中宋" w:cs="华文中宋"/>
          <w:color w:val="auto"/>
          <w:sz w:val="84"/>
          <w:szCs w:val="84"/>
          <w:highlight w:val="none"/>
        </w:rPr>
        <w:t>政府采购</w:t>
      </w:r>
    </w:p>
    <w:p>
      <w:pPr>
        <w:pStyle w:val="14"/>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highlight w:val="none"/>
        </w:rPr>
      </w:pPr>
    </w:p>
    <w:p>
      <w:pPr>
        <w:pStyle w:val="14"/>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highlight w:val="none"/>
        </w:rPr>
      </w:pPr>
    </w:p>
    <w:p>
      <w:pPr>
        <w:pStyle w:val="14"/>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highlight w:val="none"/>
        </w:rPr>
      </w:pPr>
      <w:r>
        <w:rPr>
          <w:rFonts w:hint="eastAsia" w:ascii="华文中宋" w:hAnsi="华文中宋" w:eastAsia="华文中宋" w:cs="华文中宋"/>
          <w:color w:val="auto"/>
          <w:sz w:val="84"/>
          <w:szCs w:val="84"/>
          <w:highlight w:val="none"/>
        </w:rPr>
        <w:t>竞争性谈判文件</w:t>
      </w:r>
    </w:p>
    <w:p>
      <w:pPr>
        <w:pStyle w:val="14"/>
        <w:widowControl w:val="0"/>
        <w:wordWrap/>
        <w:adjustRightInd w:val="0"/>
        <w:snapToGrid w:val="0"/>
        <w:spacing w:before="313" w:beforeLines="100" w:line="560" w:lineRule="exact"/>
        <w:textAlignment w:val="auto"/>
        <w:rPr>
          <w:rFonts w:ascii="Tahoma" w:hAnsi="Tahoma" w:cs="Tahoma"/>
          <w:color w:val="auto"/>
          <w:sz w:val="20"/>
          <w:szCs w:val="20"/>
          <w:highlight w:val="none"/>
        </w:rPr>
      </w:pPr>
    </w:p>
    <w:p>
      <w:pPr>
        <w:pStyle w:val="14"/>
        <w:widowControl w:val="0"/>
        <w:wordWrap/>
        <w:adjustRightInd w:val="0"/>
        <w:snapToGrid w:val="0"/>
        <w:spacing w:before="313" w:beforeLines="100" w:line="560" w:lineRule="exact"/>
        <w:textAlignment w:val="auto"/>
        <w:rPr>
          <w:rFonts w:ascii="Tahoma" w:hAnsi="Tahoma" w:cs="Tahoma"/>
          <w:color w:val="auto"/>
          <w:sz w:val="20"/>
          <w:szCs w:val="20"/>
          <w:highlight w:val="none"/>
        </w:rPr>
      </w:pPr>
    </w:p>
    <w:p>
      <w:pPr>
        <w:pStyle w:val="14"/>
        <w:widowControl w:val="0"/>
        <w:wordWrap/>
        <w:adjustRightInd w:val="0"/>
        <w:snapToGrid w:val="0"/>
        <w:spacing w:before="313" w:beforeLines="100" w:line="560" w:lineRule="exact"/>
        <w:textAlignment w:val="auto"/>
        <w:rPr>
          <w:rFonts w:ascii="Tahoma" w:hAnsi="Tahoma" w:cs="Tahoma"/>
          <w:color w:val="auto"/>
          <w:sz w:val="20"/>
          <w:szCs w:val="20"/>
          <w:highlight w:val="none"/>
        </w:rPr>
      </w:pPr>
    </w:p>
    <w:p>
      <w:pPr>
        <w:jc w:val="center"/>
        <w:rPr>
          <w:rFonts w:hint="eastAsia"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采购项目名称：</w:t>
      </w:r>
      <w:r>
        <w:rPr>
          <w:rFonts w:hint="eastAsia" w:ascii="宋体" w:hAnsi="宋体" w:cs="Times New Roman"/>
          <w:b/>
          <w:bCs/>
          <w:color w:val="auto"/>
          <w:sz w:val="32"/>
          <w:szCs w:val="32"/>
          <w:highlight w:val="none"/>
          <w:lang w:val="en-US" w:eastAsia="zh-CN"/>
        </w:rPr>
        <w:t>玉树市结古市政设施管理有限公司2022年快速路、北环路段更换太阳能路灯电池工程</w:t>
      </w:r>
    </w:p>
    <w:p>
      <w:pPr>
        <w:ind w:left="3213" w:hanging="3213" w:hangingChars="1000"/>
        <w:jc w:val="left"/>
        <w:rPr>
          <w:rFonts w:hint="default"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政府采购编号：</w:t>
      </w:r>
      <w:r>
        <w:rPr>
          <w:rFonts w:hint="eastAsia" w:ascii="宋体" w:hAnsi="宋体" w:cs="Times New Roman"/>
          <w:b/>
          <w:bCs/>
          <w:color w:val="auto"/>
          <w:sz w:val="32"/>
          <w:szCs w:val="32"/>
          <w:highlight w:val="none"/>
          <w:lang w:val="en-US" w:eastAsia="zh-CN"/>
        </w:rPr>
        <w:t>青海晓成竞谈（货物）2022-021号</w:t>
      </w:r>
    </w:p>
    <w:p>
      <w:pPr>
        <w:ind w:left="3213" w:hanging="3213" w:hangingChars="1000"/>
        <w:jc w:val="left"/>
        <w:rPr>
          <w:rFonts w:hint="eastAsia" w:ascii="宋体" w:hAnsi="宋体" w:eastAsia="宋体" w:cs="Times New Roman"/>
          <w:b/>
          <w:bCs/>
          <w:color w:val="auto"/>
          <w:sz w:val="32"/>
          <w:szCs w:val="32"/>
          <w:highlight w:val="none"/>
          <w:lang w:val="zh-CN" w:eastAsia="zh-CN"/>
        </w:rPr>
      </w:pPr>
      <w:r>
        <w:rPr>
          <w:rFonts w:hint="eastAsia" w:ascii="宋体" w:hAnsi="宋体" w:eastAsia="宋体" w:cs="Times New Roman"/>
          <w:b/>
          <w:bCs/>
          <w:color w:val="auto"/>
          <w:sz w:val="32"/>
          <w:szCs w:val="32"/>
          <w:highlight w:val="none"/>
          <w:lang w:val="en-US" w:eastAsia="zh-CN"/>
        </w:rPr>
        <w:t>采   购   人：</w:t>
      </w:r>
      <w:r>
        <w:rPr>
          <w:rFonts w:hint="eastAsia" w:ascii="宋体" w:hAnsi="宋体" w:cs="Times New Roman"/>
          <w:b/>
          <w:bCs/>
          <w:color w:val="auto"/>
          <w:sz w:val="32"/>
          <w:szCs w:val="32"/>
          <w:highlight w:val="none"/>
          <w:lang w:val="zh-CN" w:eastAsia="zh-CN"/>
        </w:rPr>
        <w:t>玉树市结古市政设施管理有限公司</w:t>
      </w:r>
    </w:p>
    <w:p>
      <w:pPr>
        <w:ind w:left="3213" w:hanging="3213" w:hangingChars="1000"/>
        <w:jc w:val="left"/>
        <w:rPr>
          <w:rFonts w:hint="eastAsia"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采购代理机构：青海晓成工程项目管理有限公司</w:t>
      </w:r>
    </w:p>
    <w:p>
      <w:pPr>
        <w:jc w:val="left"/>
        <w:rPr>
          <w:rFonts w:hint="eastAsia" w:ascii="宋体" w:hAnsi="宋体" w:eastAsia="宋体" w:cs="Times New Roman"/>
          <w:b/>
          <w:bCs/>
          <w:color w:val="auto"/>
          <w:sz w:val="32"/>
          <w:szCs w:val="32"/>
          <w:highlight w:val="none"/>
          <w:lang w:val="en-US" w:eastAsia="zh-CN"/>
        </w:rPr>
      </w:pPr>
    </w:p>
    <w:p>
      <w:pPr>
        <w:tabs>
          <w:tab w:val="center" w:pos="4153"/>
          <w:tab w:val="right" w:pos="8306"/>
        </w:tabs>
        <w:spacing w:line="440" w:lineRule="exact"/>
        <w:jc w:val="center"/>
        <w:rPr>
          <w:rFonts w:hint="eastAsia" w:ascii="仿宋" w:hAnsi="仿宋" w:eastAsia="仿宋" w:cs="仿宋"/>
          <w:b/>
          <w:bCs/>
          <w:color w:val="auto"/>
          <w:sz w:val="32"/>
          <w:szCs w:val="32"/>
          <w:highlight w:val="none"/>
          <w:lang w:val="en-US" w:eastAsia="zh-CN"/>
        </w:rPr>
      </w:pPr>
    </w:p>
    <w:p>
      <w:pPr>
        <w:ind w:left="3213" w:hanging="3213" w:hangingChars="1000"/>
        <w:jc w:val="center"/>
        <w:rPr>
          <w:rFonts w:hint="eastAsia"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二○二</w:t>
      </w:r>
      <w:r>
        <w:rPr>
          <w:rFonts w:hint="eastAsia" w:ascii="宋体" w:hAnsi="宋体" w:cs="Times New Roman"/>
          <w:b/>
          <w:bCs/>
          <w:color w:val="auto"/>
          <w:sz w:val="32"/>
          <w:szCs w:val="32"/>
          <w:highlight w:val="none"/>
          <w:lang w:val="en-US" w:eastAsia="zh-CN"/>
        </w:rPr>
        <w:t>二</w:t>
      </w:r>
      <w:r>
        <w:rPr>
          <w:rFonts w:hint="eastAsia" w:ascii="宋体" w:hAnsi="宋体" w:eastAsia="宋体" w:cs="Times New Roman"/>
          <w:b/>
          <w:bCs/>
          <w:color w:val="auto"/>
          <w:sz w:val="32"/>
          <w:szCs w:val="32"/>
          <w:highlight w:val="none"/>
          <w:lang w:val="en-US" w:eastAsia="zh-CN"/>
        </w:rPr>
        <w:t>年</w:t>
      </w:r>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lang w:val="en-US" w:eastAsia="zh-CN"/>
        </w:rPr>
        <w:t>月</w:t>
      </w:r>
    </w:p>
    <w:p>
      <w:pPr>
        <w:spacing w:line="360" w:lineRule="auto"/>
        <w:jc w:val="center"/>
        <w:rPr>
          <w:b/>
          <w:bCs/>
          <w:color w:val="auto"/>
          <w:sz w:val="28"/>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spacing w:before="0" w:beforeLines="0" w:after="0" w:afterLines="0" w:line="240" w:lineRule="auto"/>
        <w:ind w:left="0" w:leftChars="0" w:right="0" w:firstLine="0" w:firstLineChars="0"/>
        <w:jc w:val="center"/>
        <w:rPr>
          <w:color w:val="auto"/>
          <w:highlight w:val="none"/>
        </w:rPr>
      </w:pPr>
      <w:r>
        <w:rPr>
          <w:rFonts w:hint="eastAsia" w:ascii="华文中宋" w:hAnsi="华文中宋" w:eastAsia="华文中宋" w:cs="华文中宋"/>
          <w:color w:val="auto"/>
          <w:sz w:val="44"/>
          <w:szCs w:val="44"/>
          <w:highlight w:val="none"/>
        </w:rPr>
        <w:t>目</w:t>
      </w:r>
      <w:r>
        <w:rPr>
          <w:rFonts w:hint="eastAsia" w:ascii="华文中宋" w:hAnsi="华文中宋" w:eastAsia="华文中宋" w:cs="华文中宋"/>
          <w:color w:val="auto"/>
          <w:sz w:val="44"/>
          <w:szCs w:val="44"/>
          <w:highlight w:val="none"/>
          <w:lang w:val="en-US" w:eastAsia="zh-CN"/>
        </w:rPr>
        <w:t xml:space="preserve">  </w:t>
      </w:r>
      <w:r>
        <w:rPr>
          <w:rFonts w:hint="eastAsia" w:ascii="华文中宋" w:hAnsi="华文中宋" w:eastAsia="华文中宋" w:cs="华文中宋"/>
          <w:color w:val="auto"/>
          <w:sz w:val="44"/>
          <w:szCs w:val="44"/>
          <w:highlight w:val="none"/>
        </w:rPr>
        <w:t>录</w:t>
      </w:r>
    </w:p>
    <w:p>
      <w:pPr>
        <w:pStyle w:val="17"/>
        <w:tabs>
          <w:tab w:val="right" w:leader="dot" w:pos="8958"/>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_Toc19795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lang w:val="en-US" w:eastAsia="zh-CN"/>
        </w:rPr>
        <w:t xml:space="preserve">第一部分 </w:t>
      </w:r>
      <w:r>
        <w:rPr>
          <w:rFonts w:hint="eastAsia" w:ascii="仿宋" w:hAnsi="仿宋" w:eastAsia="仿宋" w:cs="仿宋"/>
          <w:bCs w:val="0"/>
          <w:sz w:val="28"/>
          <w:szCs w:val="28"/>
          <w:highlight w:val="none"/>
          <w:lang w:val="en-US" w:eastAsia="zh-CN"/>
        </w:rPr>
        <w:t>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_Toc19795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pPr>
        <w:pStyle w:val="17"/>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_Toc19072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sz w:val="28"/>
          <w:szCs w:val="28"/>
          <w:highlight w:val="none"/>
          <w:lang w:val="en-US" w:eastAsia="zh-CN"/>
        </w:rPr>
        <w:t>第二部分  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_Toc19072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_Toc21404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一、说明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_Toc21404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_Toc29331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_Toc29243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2.采购人及代理机构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_Toc29243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_Toc31567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3.供应商的资格要求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_Toc31567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_Toc11996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4.谈判费用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_Toc11996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_Toc13067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二、谈判文件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_Toc13067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_Toc26735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5.谈判文件的组成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_Toc26735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_Toc26398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6.谈判文件的澄清</w:t>
      </w:r>
      <w:r>
        <w:rPr>
          <w:rFonts w:hint="eastAsia" w:ascii="仿宋" w:hAnsi="仿宋" w:eastAsia="仿宋" w:cs="仿宋"/>
          <w:bCs/>
          <w:kern w:val="2"/>
          <w:sz w:val="28"/>
          <w:szCs w:val="28"/>
          <w:highlight w:val="none"/>
          <w:lang w:val="zh-CN" w:eastAsia="zh-CN" w:bidi="ar-SA"/>
        </w:rPr>
        <w:t>或者</w:t>
      </w:r>
      <w:r>
        <w:rPr>
          <w:rFonts w:hint="eastAsia" w:ascii="仿宋" w:hAnsi="仿宋" w:eastAsia="仿宋" w:cs="仿宋"/>
          <w:bCs/>
          <w:kern w:val="2"/>
          <w:sz w:val="28"/>
          <w:szCs w:val="28"/>
          <w:highlight w:val="none"/>
          <w:lang w:val="en-US" w:eastAsia="zh-CN" w:bidi="ar-SA"/>
        </w:rPr>
        <w:t>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_Toc26398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_Toc8301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7.谈判文件的询问或质疑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_Toc8301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_Toc24217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三、响应文件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_Toc24217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_Toc1848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8.一般要求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_Toc16291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9.报价要求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_Toc11391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10.保证金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_Toc11391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_Toc23749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11.响应文件的组成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_Toc23749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_Toc31698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12.响应文件有效期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_Toc31698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_Toc4538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13.响应文件的签署及规定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_Toc4538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_Toc11979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四、响应文件的递交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_Toc11979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_Toc21358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14.响应文件的密封和标记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_Toc21358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_Toc26992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15.响应文件的</w:t>
      </w:r>
      <w:r>
        <w:rPr>
          <w:rFonts w:hint="eastAsia" w:ascii="仿宋" w:hAnsi="仿宋" w:eastAsia="仿宋" w:cs="仿宋"/>
          <w:bCs/>
          <w:kern w:val="2"/>
          <w:sz w:val="28"/>
          <w:szCs w:val="28"/>
          <w:highlight w:val="none"/>
          <w:lang w:val="zh-CN" w:eastAsia="zh-CN" w:bidi="ar-SA"/>
        </w:rPr>
        <w:t>补充、修改或者撤回</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_Toc26992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_Toc30041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五、响应文件的评审与谈判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_Toc30041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_Toc6847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16.谈判小组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_Toc6847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_Toc30302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17.响应文件审查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_Toc30302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_Toc19073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18.响应文件的递交与接收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_Toc19073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_Toc31174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19.谈判程序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_Toc31174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_Toc1755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20.澄清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_Toc29985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21.退出谈判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_Toc29985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_Toc30514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22.最后报价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_Toc30514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_Toc8711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23.确定成交供应商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_Toc8711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_Toc1883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24.重新评审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_Toc1883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_Toc31510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25.谈判终止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_Toc31510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_Toc30004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26.串通情形认定及处理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_Toc30004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_Toc1435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27.成交信息的公布与通知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_Toc7190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28.授予合同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_Toc7190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_Toc30150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29.履约验收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_Toc30150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_Toc29887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七、询问与质疑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_Toc29887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_Toc26983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30.对采购过程、结果的询问及质疑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_Toc26983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_Toc13734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八、政府采购政策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_Toc13734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_Toc5493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31.政府采购政策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_Toc5493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_Toc7895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九、其他规定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_Toc7895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_Toc25843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32.代理服务费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_Toc25843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_Toc5577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en-US" w:eastAsia="zh-CN" w:bidi="ar-SA"/>
        </w:rPr>
        <w:t>33.其他规定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_Toc5577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7"/>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_Toc15351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sz w:val="28"/>
          <w:szCs w:val="28"/>
          <w:highlight w:val="none"/>
          <w:lang w:val="en-US" w:eastAsia="zh-CN"/>
        </w:rPr>
        <w:t>第三部分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_Toc15351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_Toc6350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zh-CN" w:eastAsia="zh-CN" w:bidi="ar-SA"/>
        </w:rPr>
        <w:t>十、响应说明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_Toc6350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_Toc26582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zh-CN" w:eastAsia="zh-CN" w:bidi="ar-SA"/>
        </w:rPr>
        <w:t>十一、重要指标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_Toc26582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_Toc3847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lang w:eastAsia="zh-CN"/>
        </w:rPr>
        <w:t>（一）项目概况及技术参数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_Toc3847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7"/>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_Toc24842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sz w:val="28"/>
          <w:szCs w:val="28"/>
          <w:highlight w:val="none"/>
          <w:lang w:eastAsia="zh-CN"/>
        </w:rPr>
        <w:t>第四部分</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lang w:eastAsia="zh-CN"/>
        </w:rPr>
        <w:t>谈判响应文件格式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_Toc24842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_Toc13167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十二、谈判响应文件的组成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_Toc13167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_Toc26517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zh-CN" w:eastAsia="zh-CN" w:bidi="ar-SA"/>
        </w:rPr>
        <w:t>（一）资格审查部分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_Toc26517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_Toc6480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kern w:val="2"/>
          <w:sz w:val="28"/>
          <w:szCs w:val="28"/>
          <w:highlight w:val="none"/>
          <w:lang w:val="zh-CN" w:eastAsia="zh-CN" w:bidi="ar-SA"/>
        </w:rPr>
        <w:t>（二）有效性、完整性、响应程度审查部分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_Toc6480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_Toc26888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附件1：响应函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_Toc26888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_Toc7382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附件2：法定代表人证明书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_Toc7382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_Toc25466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附件3：法定代表人授权书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_Toc25466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3"/>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_Toc18581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附件4：供应商承诺函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_Toc18581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_Toc4257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附件5：供应商诚信承诺书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_Toc4257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_Toc11026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附件6：供应商资格证明文件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_Toc11026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_Toc14832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附件7：财务状况、缴纳税收和社会保障资金证明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_Toc14832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_Toc4338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sz w:val="28"/>
          <w:szCs w:val="28"/>
          <w:highlight w:val="none"/>
          <w:lang w:eastAsia="zh-CN"/>
        </w:rPr>
        <w:t>附件8：无重大违法记录声明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_Toc4338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_Toc26252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附件10：谈判首次报价表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_Toc26252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_Toc25997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附件11：分项报价表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_Toc25997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_Toc31245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附件12：技术规格响应表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_Toc31245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_Toc5432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附件13：产品相关资料（具备履行合同所必须的设备和专业技术能力证明）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_Toc5432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_Toc21029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附件14：享受政府采购政策优惠的证明资料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_Toc21029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8"/>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_Toc26309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kern w:val="2"/>
          <w:sz w:val="28"/>
          <w:szCs w:val="28"/>
          <w:highlight w:val="none"/>
          <w:lang w:val="en-US" w:eastAsia="zh-CN" w:bidi="ar-SA"/>
        </w:rPr>
        <w:t>附件15：最后报价表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_Toc26309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7"/>
        <w:tabs>
          <w:tab w:val="right" w:leader="dot" w:pos="8958"/>
        </w:tabs>
        <w:rPr>
          <w:rFonts w:hint="eastAsia" w:ascii="仿宋" w:hAnsi="仿宋" w:eastAsia="仿宋" w:cs="仿宋"/>
          <w:sz w:val="28"/>
          <w:szCs w:val="28"/>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_Toc8866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sz w:val="28"/>
          <w:szCs w:val="28"/>
          <w:highlight w:val="none"/>
          <w:lang w:eastAsia="zh-CN"/>
        </w:rPr>
        <w:t>第五部分</w:t>
      </w:r>
      <w:r>
        <w:rPr>
          <w:rFonts w:hint="eastAsia" w:ascii="仿宋" w:hAnsi="仿宋" w:eastAsia="仿宋" w:cs="仿宋"/>
          <w:bCs w:val="0"/>
          <w:sz w:val="28"/>
          <w:szCs w:val="28"/>
          <w:highlight w:val="none"/>
        </w:rPr>
        <w:t xml:space="preserve"> 青海省政府采购项目合同书范本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_Toc8866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pStyle w:val="17"/>
        <w:tabs>
          <w:tab w:val="right" w:leader="dot" w:pos="8958"/>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\l _Toc11777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bCs w:val="0"/>
          <w:sz w:val="28"/>
          <w:szCs w:val="28"/>
          <w:highlight w:val="none"/>
        </w:rPr>
        <w:t>（货物类）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_Toc11777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lang w:val="en-US" w:eastAsia="zh-CN" w:bidi="ar-SA"/>
        </w:rPr>
        <w:fldChar w:fldCharType="end"/>
      </w:r>
    </w:p>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br w:type="page"/>
      </w:r>
    </w:p>
    <w:p>
      <w:pPr>
        <w:rPr>
          <w:rFonts w:hint="eastAsia"/>
        </w:rPr>
      </w:pPr>
    </w:p>
    <w:p>
      <w:pPr>
        <w:pStyle w:val="3"/>
        <w:keepNext/>
        <w:keepLines w:val="0"/>
        <w:pageBreakBefore w:val="0"/>
        <w:widowControl w:val="0"/>
        <w:numPr>
          <w:ilvl w:val="0"/>
          <w:numId w:val="1"/>
        </w:numPr>
        <w:kinsoku/>
        <w:wordWrap/>
        <w:overflowPunct/>
        <w:topLinePunct w:val="0"/>
        <w:autoSpaceDE/>
        <w:autoSpaceDN/>
        <w:bidi w:val="0"/>
        <w:adjustRightInd w:val="0"/>
        <w:snapToGrid w:val="0"/>
        <w:spacing w:line="620" w:lineRule="exact"/>
        <w:jc w:val="center"/>
        <w:textAlignment w:val="auto"/>
        <w:outlineLvl w:val="0"/>
        <w:rPr>
          <w:rFonts w:hint="eastAsia" w:ascii="华文中宋" w:hAnsi="华文中宋" w:eastAsia="华文中宋" w:cs="华文中宋"/>
          <w:b w:val="0"/>
          <w:bCs w:val="0"/>
          <w:color w:val="auto"/>
          <w:sz w:val="44"/>
          <w:szCs w:val="44"/>
          <w:highlight w:val="none"/>
          <w:lang w:val="en-US" w:eastAsia="zh-CN"/>
        </w:rPr>
      </w:pPr>
      <w:r>
        <w:rPr>
          <w:rFonts w:hint="eastAsia" w:ascii="仿宋" w:hAnsi="仿宋" w:eastAsia="仿宋" w:cs="仿宋"/>
          <w:color w:val="auto"/>
          <w:kern w:val="2"/>
          <w:sz w:val="28"/>
          <w:szCs w:val="28"/>
          <w:highlight w:val="none"/>
          <w:lang w:val="en-US" w:eastAsia="zh-CN" w:bidi="ar-SA"/>
        </w:rPr>
        <w:fldChar w:fldCharType="end"/>
      </w:r>
      <w:bookmarkStart w:id="0" w:name="_Toc20903"/>
      <w:bookmarkStart w:id="1" w:name="_Toc19795"/>
      <w:r>
        <w:rPr>
          <w:rFonts w:hint="eastAsia" w:ascii="华文中宋" w:hAnsi="华文中宋" w:eastAsia="华文中宋" w:cs="华文中宋"/>
          <w:b w:val="0"/>
          <w:bCs w:val="0"/>
          <w:color w:val="auto"/>
          <w:sz w:val="44"/>
          <w:szCs w:val="44"/>
          <w:highlight w:val="none"/>
          <w:lang w:val="en-US" w:eastAsia="zh-CN"/>
        </w:rPr>
        <w:t>谈判</w:t>
      </w:r>
      <w:bookmarkEnd w:id="0"/>
      <w:r>
        <w:rPr>
          <w:rFonts w:hint="eastAsia" w:ascii="华文中宋" w:hAnsi="华文中宋" w:eastAsia="华文中宋" w:cs="华文中宋"/>
          <w:b w:val="0"/>
          <w:bCs w:val="0"/>
          <w:color w:val="auto"/>
          <w:sz w:val="44"/>
          <w:szCs w:val="44"/>
          <w:highlight w:val="none"/>
          <w:lang w:val="en-US" w:eastAsia="zh-CN"/>
        </w:rPr>
        <w:t>邀请</w:t>
      </w:r>
      <w:bookmarkEnd w:id="1"/>
    </w:p>
    <w:p>
      <w:pPr>
        <w:numPr>
          <w:ilvl w:val="0"/>
          <w:numId w:val="0"/>
        </w:numPr>
        <w:rPr>
          <w:rFonts w:hint="eastAsia"/>
          <w:color w:val="auto"/>
          <w:highlight w:val="none"/>
        </w:rPr>
      </w:pPr>
    </w:p>
    <w:tbl>
      <w:tblPr>
        <w:tblStyle w:val="24"/>
        <w:tblW w:w="9700" w:type="dxa"/>
        <w:tblInd w:w="-31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58"/>
        <w:gridCol w:w="67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采购项目</w:t>
            </w:r>
            <w:r>
              <w:rPr>
                <w:rFonts w:hint="eastAsia" w:ascii="宋体" w:hAnsi="宋体" w:eastAsia="宋体" w:cs="宋体"/>
                <w:color w:val="auto"/>
                <w:sz w:val="28"/>
                <w:szCs w:val="28"/>
                <w:highlight w:val="none"/>
                <w:lang w:eastAsia="zh-CN"/>
              </w:rPr>
              <w:t>名称</w:t>
            </w:r>
          </w:p>
        </w:tc>
        <w:tc>
          <w:tcPr>
            <w:tcW w:w="6742" w:type="dxa"/>
            <w:tcBorders>
              <w:tl2br w:val="nil"/>
              <w:tr2bl w:val="nil"/>
            </w:tcBorders>
            <w:vAlign w:val="top"/>
          </w:tcPr>
          <w:p>
            <w:pPr>
              <w:wordWrap/>
              <w:adjustRightInd w:val="0"/>
              <w:snapToGrid w:val="0"/>
              <w:spacing w:before="157" w:beforeLines="50" w:line="560" w:lineRule="exact"/>
              <w:jc w:val="both"/>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玉树市结古市政设施管理有限公司2022年快速路、北环路段更换太阳能路灯电池工程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采购项目编号</w:t>
            </w:r>
          </w:p>
        </w:tc>
        <w:tc>
          <w:tcPr>
            <w:tcW w:w="6742" w:type="dxa"/>
            <w:tcBorders>
              <w:tl2br w:val="nil"/>
              <w:tr2bl w:val="nil"/>
            </w:tcBorders>
            <w:vAlign w:val="top"/>
          </w:tcPr>
          <w:p>
            <w:pPr>
              <w:wordWrap/>
              <w:adjustRightInd w:val="0"/>
              <w:snapToGrid w:val="0"/>
              <w:spacing w:before="157" w:beforeLines="50" w:line="560" w:lineRule="exact"/>
              <w:jc w:val="both"/>
              <w:rPr>
                <w:rFonts w:hint="eastAsia" w:ascii="宋体" w:hAnsi="宋体" w:eastAsia="宋体" w:cs="宋体"/>
                <w:color w:val="auto"/>
                <w:sz w:val="28"/>
                <w:szCs w:val="28"/>
                <w:highlight w:val="none"/>
                <w:lang w:val="zh-CN" w:eastAsia="zh-CN"/>
              </w:rPr>
            </w:pPr>
            <w:r>
              <w:rPr>
                <w:rFonts w:hint="eastAsia" w:ascii="宋体" w:hAnsi="宋体" w:cs="宋体"/>
                <w:color w:val="auto"/>
                <w:sz w:val="28"/>
                <w:szCs w:val="28"/>
                <w:highlight w:val="none"/>
                <w:lang w:val="en-US" w:eastAsia="zh-CN"/>
              </w:rPr>
              <w:t>青海晓成竞谈（货物）2022-021号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采购方式</w:t>
            </w:r>
          </w:p>
        </w:tc>
        <w:tc>
          <w:tcPr>
            <w:tcW w:w="6742" w:type="dxa"/>
            <w:tcBorders>
              <w:tl2br w:val="nil"/>
              <w:tr2bl w:val="nil"/>
            </w:tcBorders>
            <w:vAlign w:val="top"/>
          </w:tcPr>
          <w:p>
            <w:pPr>
              <w:wordWrap/>
              <w:adjustRightInd w:val="0"/>
              <w:snapToGrid w:val="0"/>
              <w:spacing w:before="157" w:beforeLines="50" w:line="56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采购预算额度</w:t>
            </w:r>
          </w:p>
        </w:tc>
        <w:tc>
          <w:tcPr>
            <w:tcW w:w="6742"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小写：676000.00元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大写：陆拾柒万陆仟元整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项目分包个数</w:t>
            </w:r>
          </w:p>
        </w:tc>
        <w:tc>
          <w:tcPr>
            <w:tcW w:w="6742" w:type="dxa"/>
            <w:tcBorders>
              <w:tl2br w:val="nil"/>
              <w:tr2bl w:val="nil"/>
            </w:tcBorders>
            <w:vAlign w:val="top"/>
          </w:tcPr>
          <w:p>
            <w:pPr>
              <w:wordWrap/>
              <w:adjustRightInd w:val="0"/>
              <w:snapToGrid w:val="0"/>
              <w:spacing w:before="157" w:beforeLines="50" w:line="560" w:lineRule="exact"/>
              <w:jc w:val="both"/>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供应商</w:t>
            </w:r>
            <w:r>
              <w:rPr>
                <w:rFonts w:hint="eastAsia" w:ascii="宋体" w:hAnsi="宋体" w:eastAsia="宋体" w:cs="宋体"/>
                <w:color w:val="auto"/>
                <w:sz w:val="28"/>
                <w:szCs w:val="28"/>
                <w:highlight w:val="none"/>
              </w:rPr>
              <w:t>资格条件</w:t>
            </w:r>
          </w:p>
        </w:tc>
        <w:tc>
          <w:tcPr>
            <w:tcW w:w="6742"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符合《中华人民共和国政府采购法》第22条及政府采购法实施条例第17条的规定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经信用中国（www.creditchina.gov.cn）、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zh-CN" w:eastAsia="zh-CN"/>
              </w:rPr>
              <w:t>天内）；</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单位负责人为同一人或者存在直接控股、管理关系的不同供应商，不得参加同一合同项下的政府采购活动。否则，取消谈判资格；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eastAsia="zh-CN"/>
              </w:rPr>
              <w:t>为本采购项目提供整体设计、规范编制或者项目管理、监理、检测等服务的供应商，不得再参加该采购项目的其他采购活动</w:t>
            </w:r>
            <w:r>
              <w:rPr>
                <w:rFonts w:hint="eastAsia" w:ascii="宋体" w:hAnsi="宋体" w:cs="宋体"/>
                <w:color w:val="auto"/>
                <w:sz w:val="28"/>
                <w:szCs w:val="28"/>
                <w:highlight w:val="none"/>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是否接收联合体形式</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本项目</w:t>
            </w:r>
            <w:r>
              <w:rPr>
                <w:rFonts w:hint="eastAsia" w:ascii="宋体" w:hAnsi="宋体" w:eastAsia="宋体" w:cs="宋体"/>
                <w:color w:val="auto"/>
                <w:kern w:val="0"/>
                <w:sz w:val="28"/>
                <w:szCs w:val="28"/>
                <w:highlight w:val="none"/>
                <w:lang w:val="en-US" w:eastAsia="zh-CN"/>
              </w:rPr>
              <w:t>不接受</w:t>
            </w:r>
            <w:r>
              <w:rPr>
                <w:rFonts w:hint="eastAsia" w:ascii="宋体" w:hAnsi="宋体" w:eastAsia="宋体" w:cs="宋体"/>
                <w:color w:val="auto"/>
                <w:kern w:val="0"/>
                <w:sz w:val="28"/>
                <w:szCs w:val="28"/>
                <w:highlight w:val="none"/>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进口产品</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本项目</w:t>
            </w:r>
            <w:r>
              <w:rPr>
                <w:rFonts w:hint="eastAsia" w:ascii="宋体" w:hAnsi="宋体" w:eastAsia="宋体" w:cs="宋体"/>
                <w:color w:val="auto"/>
                <w:kern w:val="0"/>
                <w:sz w:val="28"/>
                <w:szCs w:val="28"/>
                <w:highlight w:val="none"/>
                <w:lang w:val="zh-CN" w:eastAsia="zh-CN"/>
              </w:rPr>
              <w:t>拒绝</w:t>
            </w:r>
            <w:r>
              <w:rPr>
                <w:rFonts w:hint="eastAsia" w:ascii="宋体" w:hAnsi="宋体" w:eastAsia="宋体" w:cs="宋体"/>
                <w:color w:val="auto"/>
                <w:kern w:val="0"/>
                <w:sz w:val="28"/>
                <w:szCs w:val="28"/>
                <w:highlight w:val="none"/>
                <w:lang w:val="zh-CN"/>
              </w:rPr>
              <w:t>进口产品参加谈判采购</w:t>
            </w:r>
            <w:r>
              <w:rPr>
                <w:rFonts w:hint="eastAsia" w:ascii="宋体" w:hAnsi="宋体" w:eastAsia="宋体" w:cs="宋体"/>
                <w:color w:val="auto"/>
                <w:kern w:val="0"/>
                <w:sz w:val="28"/>
                <w:szCs w:val="28"/>
                <w:highlight w:val="none"/>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u w:val="single" w:color="auto"/>
                <w:lang w:eastAsia="zh-CN"/>
              </w:rPr>
            </w:pPr>
            <w:r>
              <w:rPr>
                <w:rFonts w:hint="eastAsia" w:ascii="宋体" w:hAnsi="宋体" w:eastAsia="宋体" w:cs="宋体"/>
                <w:color w:val="auto"/>
                <w:kern w:val="0"/>
                <w:sz w:val="28"/>
                <w:szCs w:val="28"/>
                <w:highlight w:val="none"/>
                <w:lang w:val="en-US" w:eastAsia="zh-CN"/>
              </w:rPr>
              <w:t>谈判文件的实质性变动内容</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允许根据谈判工作实际情况，对合同条款内容进行实质性修改。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公告发布时间</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cs="宋体"/>
                <w:color w:val="auto"/>
                <w:kern w:val="0"/>
                <w:sz w:val="28"/>
                <w:szCs w:val="28"/>
                <w:highlight w:val="none"/>
                <w:lang w:val="en-US" w:eastAsia="zh-CN"/>
              </w:rPr>
              <w:t>2022年07月12日</w:t>
            </w:r>
            <w:r>
              <w:rPr>
                <w:rFonts w:hint="eastAsia" w:ascii="宋体" w:hAnsi="宋体" w:eastAsia="宋体" w:cs="宋体"/>
                <w:color w:val="auto"/>
                <w:kern w:val="0"/>
                <w:sz w:val="28"/>
                <w:szCs w:val="28"/>
                <w:highlight w:val="none"/>
                <w:lang w:val="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spacing w:before="157" w:beforeLines="50"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文件发售起止时间</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2022年07月</w:t>
            </w:r>
            <w:r>
              <w:rPr>
                <w:rFonts w:hint="eastAsia" w:ascii="宋体" w:hAnsi="宋体" w:cs="宋体"/>
                <w:color w:val="auto"/>
                <w:kern w:val="0"/>
                <w:sz w:val="28"/>
                <w:szCs w:val="28"/>
                <w:highlight w:val="none"/>
                <w:lang w:val="en-US" w:eastAsia="zh-CN"/>
              </w:rPr>
              <w:t>13</w:t>
            </w:r>
            <w:r>
              <w:rPr>
                <w:rFonts w:hint="eastAsia" w:ascii="宋体" w:hAnsi="宋体" w:eastAsia="宋体" w:cs="宋体"/>
                <w:color w:val="auto"/>
                <w:kern w:val="0"/>
                <w:sz w:val="28"/>
                <w:szCs w:val="28"/>
                <w:highlight w:val="none"/>
                <w:lang w:val="en-US" w:eastAsia="zh-CN"/>
              </w:rPr>
              <w:t>日至2022年07月1</w:t>
            </w: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en-US" w:eastAsia="zh-CN"/>
              </w:rPr>
              <w:t>日</w:t>
            </w:r>
            <w:r>
              <w:rPr>
                <w:rFonts w:hint="eastAsia" w:ascii="宋体" w:hAnsi="宋体" w:eastAsia="宋体" w:cs="宋体"/>
                <w:color w:val="auto"/>
                <w:kern w:val="0"/>
                <w:sz w:val="28"/>
                <w:szCs w:val="28"/>
                <w:highlight w:val="none"/>
                <w:lang w:val="zh-CN"/>
              </w:rPr>
              <w:t>（北京时间）</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上午：</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lang w:val="zh-CN"/>
              </w:rPr>
              <w:t xml:space="preserve"> 时 </w:t>
            </w:r>
            <w:r>
              <w:rPr>
                <w:rFonts w:hint="eastAsia" w:ascii="宋体" w:hAnsi="宋体" w:eastAsia="宋体" w:cs="宋体"/>
                <w:color w:val="auto"/>
                <w:kern w:val="0"/>
                <w:sz w:val="28"/>
                <w:szCs w:val="28"/>
                <w:highlight w:val="none"/>
                <w:lang w:val="en-US" w:eastAsia="zh-CN"/>
              </w:rPr>
              <w:t>00</w:t>
            </w:r>
            <w:r>
              <w:rPr>
                <w:rFonts w:hint="eastAsia" w:ascii="宋体" w:hAnsi="宋体" w:eastAsia="宋体" w:cs="宋体"/>
                <w:color w:val="auto"/>
                <w:kern w:val="0"/>
                <w:sz w:val="28"/>
                <w:szCs w:val="28"/>
                <w:highlight w:val="none"/>
                <w:lang w:val="zh-CN"/>
              </w:rPr>
              <w:t xml:space="preserve"> 分至 </w:t>
            </w:r>
            <w:r>
              <w:rPr>
                <w:rFonts w:hint="eastAsia" w:ascii="宋体" w:hAnsi="宋体" w:eastAsia="宋体" w:cs="宋体"/>
                <w:color w:val="auto"/>
                <w:kern w:val="0"/>
                <w:sz w:val="28"/>
                <w:szCs w:val="28"/>
                <w:highlight w:val="none"/>
                <w:lang w:val="en-US" w:eastAsia="zh-CN"/>
              </w:rPr>
              <w:t>12</w:t>
            </w:r>
            <w:r>
              <w:rPr>
                <w:rFonts w:hint="eastAsia" w:ascii="宋体" w:hAnsi="宋体" w:eastAsia="宋体" w:cs="宋体"/>
                <w:color w:val="auto"/>
                <w:kern w:val="0"/>
                <w:sz w:val="28"/>
                <w:szCs w:val="28"/>
                <w:highlight w:val="none"/>
                <w:lang w:val="zh-CN"/>
              </w:rPr>
              <w:t xml:space="preserve"> 时 </w:t>
            </w:r>
            <w:r>
              <w:rPr>
                <w:rFonts w:hint="eastAsia" w:ascii="宋体" w:hAnsi="宋体" w:eastAsia="宋体" w:cs="宋体"/>
                <w:color w:val="auto"/>
                <w:kern w:val="0"/>
                <w:sz w:val="28"/>
                <w:szCs w:val="28"/>
                <w:highlight w:val="none"/>
                <w:lang w:val="en-US" w:eastAsia="zh-CN"/>
              </w:rPr>
              <w:t>00</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zh-CN"/>
              </w:rPr>
              <w:t>分（北京时间）</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下午：</w:t>
            </w:r>
            <w:r>
              <w:rPr>
                <w:rFonts w:hint="eastAsia" w:ascii="宋体" w:hAnsi="宋体" w:eastAsia="宋体" w:cs="宋体"/>
                <w:color w:val="auto"/>
                <w:kern w:val="0"/>
                <w:sz w:val="28"/>
                <w:szCs w:val="28"/>
                <w:highlight w:val="none"/>
                <w:lang w:val="en-US" w:eastAsia="zh-CN"/>
              </w:rPr>
              <w:t>14</w:t>
            </w:r>
            <w:r>
              <w:rPr>
                <w:rFonts w:hint="eastAsia" w:ascii="宋体" w:hAnsi="宋体" w:eastAsia="宋体" w:cs="宋体"/>
                <w:color w:val="auto"/>
                <w:kern w:val="0"/>
                <w:sz w:val="28"/>
                <w:szCs w:val="28"/>
                <w:highlight w:val="none"/>
                <w:lang w:val="zh-CN"/>
              </w:rPr>
              <w:t xml:space="preserve"> 时 </w:t>
            </w:r>
            <w:r>
              <w:rPr>
                <w:rFonts w:hint="eastAsia" w:ascii="宋体" w:hAnsi="宋体" w:cs="宋体"/>
                <w:color w:val="auto"/>
                <w:kern w:val="0"/>
                <w:sz w:val="28"/>
                <w:szCs w:val="28"/>
                <w:highlight w:val="none"/>
                <w:lang w:val="en-US" w:eastAsia="zh-CN"/>
              </w:rPr>
              <w:t>30</w:t>
            </w:r>
            <w:r>
              <w:rPr>
                <w:rFonts w:hint="eastAsia" w:ascii="宋体" w:hAnsi="宋体" w:eastAsia="宋体" w:cs="宋体"/>
                <w:color w:val="auto"/>
                <w:kern w:val="0"/>
                <w:sz w:val="28"/>
                <w:szCs w:val="28"/>
                <w:highlight w:val="none"/>
                <w:lang w:val="zh-CN"/>
              </w:rPr>
              <w:t xml:space="preserve"> 分至 </w:t>
            </w:r>
            <w:r>
              <w:rPr>
                <w:rFonts w:hint="eastAsia" w:ascii="宋体" w:hAnsi="宋体" w:eastAsia="宋体" w:cs="宋体"/>
                <w:color w:val="auto"/>
                <w:kern w:val="0"/>
                <w:sz w:val="28"/>
                <w:szCs w:val="28"/>
                <w:highlight w:val="none"/>
                <w:lang w:val="en-US" w:eastAsia="zh-CN"/>
              </w:rPr>
              <w:t>17</w:t>
            </w:r>
            <w:r>
              <w:rPr>
                <w:rFonts w:hint="eastAsia" w:ascii="宋体" w:hAnsi="宋体" w:eastAsia="宋体" w:cs="宋体"/>
                <w:color w:val="auto"/>
                <w:kern w:val="0"/>
                <w:sz w:val="28"/>
                <w:szCs w:val="28"/>
                <w:highlight w:val="none"/>
                <w:lang w:val="zh-CN"/>
              </w:rPr>
              <w:t xml:space="preserve"> 时 </w:t>
            </w:r>
            <w:r>
              <w:rPr>
                <w:rFonts w:hint="eastAsia" w:ascii="宋体" w:hAnsi="宋体" w:cs="宋体"/>
                <w:color w:val="auto"/>
                <w:kern w:val="0"/>
                <w:sz w:val="28"/>
                <w:szCs w:val="28"/>
                <w:highlight w:val="none"/>
                <w:lang w:val="en-US" w:eastAsia="zh-CN"/>
              </w:rPr>
              <w:t xml:space="preserve">30 </w:t>
            </w:r>
            <w:r>
              <w:rPr>
                <w:rFonts w:hint="eastAsia" w:ascii="宋体" w:hAnsi="宋体" w:eastAsia="宋体" w:cs="宋体"/>
                <w:color w:val="auto"/>
                <w:kern w:val="0"/>
                <w:sz w:val="28"/>
                <w:szCs w:val="28"/>
                <w:highlight w:val="none"/>
                <w:lang w:val="zh-CN"/>
              </w:rPr>
              <w:t>分（北京时间）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获取方式</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现场或网上购买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spacing w:before="157" w:beforeLines="50"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文件售价</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 xml:space="preserve">500 </w:t>
            </w:r>
            <w:r>
              <w:rPr>
                <w:rFonts w:hint="eastAsia" w:ascii="宋体" w:hAnsi="宋体" w:eastAsia="宋体" w:cs="宋体"/>
                <w:color w:val="auto"/>
                <w:kern w:val="0"/>
                <w:sz w:val="28"/>
                <w:szCs w:val="28"/>
                <w:highlight w:val="none"/>
                <w:lang w:val="zh-CN"/>
              </w:rPr>
              <w:t>元/份（谈判文件售后不退, 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文件发售地点</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u w:val="none"/>
                <w:lang w:val="zh-CN"/>
              </w:rPr>
            </w:pPr>
            <w:r>
              <w:rPr>
                <w:rFonts w:hint="eastAsia" w:ascii="宋体" w:hAnsi="宋体" w:eastAsia="宋体" w:cs="宋体"/>
                <w:color w:val="auto"/>
                <w:sz w:val="28"/>
                <w:szCs w:val="28"/>
                <w:highlight w:val="none"/>
              </w:rPr>
              <w:t>文件发售地点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val="en-US" w:eastAsia="zh-CN"/>
              </w:rPr>
              <w:t>青海省西宁市城西区五四西路71号安泰公寓B座14楼21407室</w:t>
            </w:r>
          </w:p>
          <w:p>
            <w:pPr>
              <w:widowControl w:val="0"/>
              <w:tabs>
                <w:tab w:val="left" w:pos="4290"/>
              </w:tabs>
              <w:wordWrap/>
              <w:autoSpaceDE w:val="0"/>
              <w:autoSpaceDN w:val="0"/>
              <w:spacing w:line="560" w:lineRule="exact"/>
              <w:jc w:val="both"/>
              <w:textAlignment w:val="auto"/>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lang w:val="zh-CN"/>
              </w:rPr>
              <w:t>文件购买联</w:t>
            </w:r>
            <w:r>
              <w:rPr>
                <w:rFonts w:hint="eastAsia" w:ascii="宋体" w:hAnsi="宋体" w:eastAsia="宋体" w:cs="宋体"/>
                <w:color w:val="auto"/>
                <w:kern w:val="0"/>
                <w:sz w:val="28"/>
                <w:szCs w:val="28"/>
                <w:highlight w:val="none"/>
                <w:u w:val="none"/>
                <w:lang w:val="zh-CN" w:eastAsia="zh-CN"/>
              </w:rPr>
              <w:t>系</w:t>
            </w:r>
            <w:r>
              <w:rPr>
                <w:rFonts w:hint="eastAsia" w:ascii="宋体" w:hAnsi="宋体" w:eastAsia="宋体" w:cs="宋体"/>
                <w:color w:val="auto"/>
                <w:kern w:val="0"/>
                <w:sz w:val="28"/>
                <w:szCs w:val="28"/>
                <w:highlight w:val="none"/>
                <w:u w:val="none"/>
                <w:lang w:val="en-US" w:eastAsia="zh-CN"/>
              </w:rPr>
              <w:t>人：张女士</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rPr>
              <w:t>联系电话</w:t>
            </w:r>
            <w:r>
              <w:rPr>
                <w:rFonts w:hint="eastAsia" w:ascii="宋体" w:hAnsi="宋体" w:eastAsia="宋体" w:cs="宋体"/>
                <w:color w:val="auto"/>
                <w:kern w:val="0"/>
                <w:sz w:val="28"/>
                <w:szCs w:val="28"/>
                <w:highlight w:val="none"/>
                <w:lang w:val="zh-CN" w:eastAsia="zh-CN"/>
              </w:rPr>
              <w:t>：</w:t>
            </w:r>
            <w:r>
              <w:rPr>
                <w:rFonts w:hint="eastAsia" w:ascii="宋体" w:hAnsi="宋体" w:eastAsia="宋体" w:cs="宋体"/>
                <w:color w:val="auto"/>
                <w:kern w:val="0"/>
                <w:sz w:val="28"/>
                <w:szCs w:val="28"/>
                <w:highlight w:val="none"/>
                <w:lang w:val="en-US" w:eastAsia="zh-CN"/>
              </w:rPr>
              <w:t>0971-8189958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购买</w:t>
            </w:r>
            <w:r>
              <w:rPr>
                <w:rFonts w:hint="eastAsia" w:ascii="宋体" w:hAnsi="宋体" w:eastAsia="宋体" w:cs="宋体"/>
                <w:color w:val="auto"/>
                <w:sz w:val="28"/>
                <w:szCs w:val="28"/>
                <w:highlight w:val="none"/>
                <w:lang w:eastAsia="zh-CN"/>
              </w:rPr>
              <w:t>谈判</w:t>
            </w:r>
            <w:r>
              <w:rPr>
                <w:rFonts w:hint="eastAsia" w:ascii="宋体" w:hAnsi="宋体" w:eastAsia="宋体" w:cs="宋体"/>
                <w:color w:val="auto"/>
                <w:sz w:val="28"/>
                <w:szCs w:val="28"/>
                <w:highlight w:val="none"/>
              </w:rPr>
              <w:t>文件时应提供的材料</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购买竞争性谈判文件时需提交：</w:t>
            </w:r>
            <w:r>
              <w:rPr>
                <w:rFonts w:hint="eastAsia" w:ascii="宋体" w:hAnsi="宋体" w:eastAsia="宋体" w:cs="宋体"/>
                <w:color w:val="auto"/>
                <w:kern w:val="0"/>
                <w:sz w:val="28"/>
                <w:szCs w:val="28"/>
                <w:highlight w:val="none"/>
                <w:lang w:val="zh-CN"/>
              </w:rPr>
              <w:t>法定代表人或本单位员工持供应商的营业执照（副本）复印件、组织机构代码证（副本）复印件、税务登记证（副本）复印件（或三证合一复印件）、开户许可证复印件、公司介绍信或法人授权委托书（原件）</w:t>
            </w:r>
            <w:r>
              <w:rPr>
                <w:rFonts w:hint="eastAsia" w:ascii="宋体" w:hAnsi="宋体" w:eastAsia="宋体" w:cs="宋体"/>
                <w:color w:val="auto"/>
                <w:kern w:val="0"/>
                <w:sz w:val="28"/>
                <w:szCs w:val="28"/>
                <w:highlight w:val="none"/>
                <w:lang w:val="zh-CN" w:eastAsia="zh-CN"/>
              </w:rPr>
              <w:t>法定代表人授权委托书（参考</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lang w:val="zh-CN" w:eastAsia="zh-CN"/>
              </w:rPr>
              <w:t>格式</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zh-CN" w:eastAsia="zh-CN"/>
              </w:rPr>
              <w:t>）</w:t>
            </w:r>
            <w:r>
              <w:rPr>
                <w:rFonts w:hint="eastAsia" w:ascii="宋体" w:hAnsi="宋体" w:eastAsia="宋体" w:cs="宋体"/>
                <w:color w:val="auto"/>
                <w:kern w:val="0"/>
                <w:sz w:val="28"/>
                <w:szCs w:val="28"/>
                <w:highlight w:val="none"/>
                <w:lang w:val="zh-CN"/>
              </w:rPr>
              <w:t>及法人身份证复印件、被授权人身份证原件及复印件到指定地点购买招标文件，以上资料除原件外均需加盖公章。</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注：需网上购买谈判文件的供应商应将以上材料扫描后发送至（qhxc8189958@126.com）联系邮箱，在邮件中标明谈判项目名称、项目编号、联系人及联系方式，并与代理机构工作人员进行联系确认。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采购人名称、地址、电话、联系人</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采购单位：玉树市结古市政设施管理有限公司</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联 系 人：马老师</w:t>
            </w:r>
          </w:p>
          <w:p>
            <w:pPr>
              <w:widowControl w:val="0"/>
              <w:wordWrap/>
              <w:autoSpaceDE w:val="0"/>
              <w:autoSpaceDN w:val="0"/>
              <w:spacing w:line="560" w:lineRule="exact"/>
              <w:jc w:val="both"/>
              <w:textAlignment w:val="auto"/>
              <w:rPr>
                <w:rFonts w:hint="eastAsia"/>
                <w:lang w:val="zh-CN" w:eastAsia="zh-CN"/>
              </w:rPr>
            </w:pPr>
            <w:r>
              <w:rPr>
                <w:rFonts w:hint="eastAsia" w:ascii="宋体" w:hAnsi="宋体" w:eastAsia="宋体" w:cs="宋体"/>
                <w:color w:val="auto"/>
                <w:kern w:val="0"/>
                <w:sz w:val="28"/>
                <w:szCs w:val="28"/>
                <w:highlight w:val="none"/>
                <w:lang w:val="en-US" w:eastAsia="zh-CN"/>
              </w:rPr>
              <w:t>联系电话：18291006887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采购代理机构及联系人电话</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采购代理机构：青海晓成工程项目管理有限公司</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联系人：</w:t>
            </w:r>
            <w:r>
              <w:rPr>
                <w:rFonts w:hint="eastAsia" w:ascii="宋体" w:hAnsi="宋体" w:cs="宋体"/>
                <w:color w:val="auto"/>
                <w:kern w:val="0"/>
                <w:sz w:val="28"/>
                <w:szCs w:val="28"/>
                <w:highlight w:val="none"/>
                <w:lang w:val="zh-CN" w:eastAsia="zh-CN"/>
              </w:rPr>
              <w:t>张</w:t>
            </w:r>
            <w:r>
              <w:rPr>
                <w:rFonts w:hint="eastAsia" w:ascii="宋体" w:hAnsi="宋体" w:eastAsia="宋体" w:cs="宋体"/>
                <w:color w:val="auto"/>
                <w:kern w:val="0"/>
                <w:sz w:val="28"/>
                <w:szCs w:val="28"/>
                <w:highlight w:val="none"/>
                <w:lang w:val="zh-CN" w:eastAsia="zh-CN"/>
              </w:rPr>
              <w:t>女士</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联系电话：0971-8189958</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eastAsia="zh-CN"/>
              </w:rPr>
              <w:t>邮箱地址：</w:t>
            </w:r>
            <w:r>
              <w:rPr>
                <w:rFonts w:hint="eastAsia" w:ascii="宋体" w:hAnsi="宋体" w:eastAsia="宋体" w:cs="宋体"/>
                <w:color w:val="auto"/>
                <w:kern w:val="0"/>
                <w:sz w:val="28"/>
                <w:szCs w:val="28"/>
                <w:highlight w:val="none"/>
                <w:lang w:val="en-US" w:eastAsia="zh-CN"/>
              </w:rPr>
              <w:t>qhxc8189958@126.com</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eastAsia="zh-CN"/>
              </w:rPr>
              <w:t>联系地址：青海省西宁市城西区五四西路71号安泰公寓B座14楼21407室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代理费及标书费</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收款账户</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cs="宋体"/>
                <w:color w:val="auto"/>
                <w:kern w:val="0"/>
                <w:sz w:val="28"/>
                <w:szCs w:val="28"/>
                <w:highlight w:val="none"/>
                <w:lang w:val="zh-CN" w:eastAsia="zh-CN"/>
              </w:rPr>
            </w:pPr>
            <w:r>
              <w:rPr>
                <w:rFonts w:hint="eastAsia" w:ascii="宋体" w:hAnsi="宋体" w:cs="宋体"/>
                <w:color w:val="auto"/>
                <w:kern w:val="0"/>
                <w:sz w:val="28"/>
                <w:szCs w:val="28"/>
                <w:highlight w:val="none"/>
                <w:lang w:val="zh-CN" w:eastAsia="zh-CN"/>
              </w:rPr>
              <w:t>开户名：青海晓成工程项目管理有限公司</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开户银行：中国银行股份有限公司青海省西宁市五四西路支行</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en-US" w:eastAsia="zh-CN"/>
              </w:rPr>
              <w:t>收款账号：105058848889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保证金</w:t>
            </w:r>
            <w:r>
              <w:rPr>
                <w:rFonts w:hint="eastAsia" w:ascii="宋体" w:hAnsi="宋体" w:cs="宋体"/>
                <w:color w:val="auto"/>
                <w:sz w:val="28"/>
                <w:szCs w:val="28"/>
                <w:highlight w:val="none"/>
                <w:lang w:eastAsia="zh-CN"/>
              </w:rPr>
              <w:t>账户</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保证金金额：</w:t>
            </w:r>
            <w:r>
              <w:rPr>
                <w:rFonts w:hint="eastAsia" w:ascii="宋体" w:hAnsi="宋体" w:cs="宋体"/>
                <w:b/>
                <w:bCs/>
                <w:color w:val="auto"/>
                <w:kern w:val="0"/>
                <w:sz w:val="28"/>
                <w:szCs w:val="28"/>
                <w:highlight w:val="none"/>
                <w:lang w:val="en-US" w:eastAsia="zh-CN"/>
              </w:rPr>
              <w:t>13000</w:t>
            </w:r>
            <w:r>
              <w:rPr>
                <w:rFonts w:hint="eastAsia" w:ascii="宋体" w:hAnsi="宋体" w:eastAsia="宋体" w:cs="宋体"/>
                <w:b/>
                <w:bCs/>
                <w:color w:val="auto"/>
                <w:kern w:val="0"/>
                <w:sz w:val="28"/>
                <w:szCs w:val="28"/>
                <w:highlight w:val="none"/>
                <w:lang w:val="en-US" w:eastAsia="zh-CN"/>
              </w:rPr>
              <w:t>.00元</w:t>
            </w:r>
          </w:p>
          <w:p>
            <w:pPr>
              <w:widowControl w:val="0"/>
              <w:wordWrap/>
              <w:autoSpaceDE w:val="0"/>
              <w:autoSpaceDN w:val="0"/>
              <w:spacing w:line="560" w:lineRule="exact"/>
              <w:jc w:val="both"/>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户名：玉树州政务服务和公共资源交易中心</w:t>
            </w:r>
          </w:p>
          <w:p>
            <w:pPr>
              <w:widowControl w:val="0"/>
              <w:wordWrap/>
              <w:autoSpaceDE w:val="0"/>
              <w:autoSpaceDN w:val="0"/>
              <w:spacing w:line="560" w:lineRule="exact"/>
              <w:jc w:val="both"/>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开户银行：中国农业银行股份有限公司玉树市民主路支行</w:t>
            </w:r>
          </w:p>
          <w:p>
            <w:pPr>
              <w:widowControl w:val="0"/>
              <w:wordWrap/>
              <w:autoSpaceDE w:val="0"/>
              <w:autoSpaceDN w:val="0"/>
              <w:spacing w:line="560" w:lineRule="exact"/>
              <w:jc w:val="both"/>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收款账号：</w:t>
            </w:r>
            <w:r>
              <w:rPr>
                <w:rFonts w:hint="eastAsia" w:ascii="宋体" w:hAnsi="宋体" w:cs="宋体"/>
                <w:b/>
                <w:bCs/>
                <w:color w:val="auto"/>
                <w:kern w:val="0"/>
                <w:sz w:val="28"/>
                <w:szCs w:val="28"/>
                <w:highlight w:val="none"/>
                <w:lang w:val="en-US" w:eastAsia="zh-CN"/>
              </w:rPr>
              <w:t>287010010400191350000002277</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交付方式：</w:t>
            </w:r>
            <w:r>
              <w:rPr>
                <w:rFonts w:hint="eastAsia" w:ascii="宋体" w:hAnsi="宋体" w:eastAsia="宋体" w:cs="宋体"/>
                <w:color w:val="auto"/>
                <w:kern w:val="0"/>
                <w:sz w:val="28"/>
                <w:szCs w:val="28"/>
                <w:highlight w:val="none"/>
                <w:lang w:val="zh-CN"/>
              </w:rPr>
              <w:t>谈判保证金应当以转账、支票、本票或者金融机构、担保机构出具的保函等非现金形式提交。供应商未按照谈判文件要求提交谈判保证金的，谈判无效。</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其他注意事项（详见谈判文件）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响应文件有效期</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自谈判提交响应文件截止之日起不少于 60 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文件份数</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lang w:val="en-US" w:eastAsia="zh-CN"/>
              </w:rPr>
              <w:t>一份正本、两份副本、一份电子文档（U盘制作）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封套上应载明的信息</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1.项目名称、采购项目编号；</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2.供应商名称；</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3.响应文件送达时间、地址；</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4.响应文件密封情况；</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响应文件的递交</w:t>
            </w:r>
            <w:r>
              <w:rPr>
                <w:rFonts w:hint="eastAsia" w:ascii="宋体" w:hAnsi="宋体" w:eastAsia="宋体" w:cs="宋体"/>
                <w:color w:val="auto"/>
                <w:sz w:val="28"/>
                <w:szCs w:val="28"/>
                <w:highlight w:val="none"/>
                <w:lang w:eastAsia="zh-CN"/>
              </w:rPr>
              <w:t>截止时间</w:t>
            </w:r>
          </w:p>
        </w:tc>
        <w:tc>
          <w:tcPr>
            <w:tcW w:w="6742" w:type="dxa"/>
            <w:tcBorders>
              <w:tl2br w:val="nil"/>
              <w:tr2bl w:val="nil"/>
            </w:tcBorders>
            <w:vAlign w:val="center"/>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2022年07月18日14时30分</w:t>
            </w:r>
            <w:r>
              <w:rPr>
                <w:rFonts w:hint="eastAsia" w:ascii="宋体" w:hAnsi="宋体" w:eastAsia="宋体" w:cs="宋体"/>
                <w:color w:val="auto"/>
                <w:kern w:val="0"/>
                <w:sz w:val="28"/>
                <w:szCs w:val="28"/>
                <w:highlight w:val="none"/>
                <w:lang w:val="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开启时间及</w:t>
            </w:r>
          </w:p>
          <w:p>
            <w:pPr>
              <w:wordWrap/>
              <w:adjustRightInd w:val="0"/>
              <w:snapToGrid w:val="0"/>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谈判地点</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en-US" w:eastAsia="zh-CN"/>
              </w:rPr>
              <w:t>响应文件开启时间：</w:t>
            </w:r>
            <w:r>
              <w:rPr>
                <w:rFonts w:hint="eastAsia" w:ascii="宋体" w:hAnsi="宋体" w:cs="宋体"/>
                <w:color w:val="auto"/>
                <w:kern w:val="0"/>
                <w:sz w:val="28"/>
                <w:szCs w:val="28"/>
                <w:highlight w:val="none"/>
                <w:lang w:val="en-US" w:eastAsia="zh-CN"/>
              </w:rPr>
              <w:t>2022年07月18日14时30分</w:t>
            </w:r>
            <w:r>
              <w:rPr>
                <w:rFonts w:hint="eastAsia" w:ascii="宋体" w:hAnsi="宋体" w:eastAsia="宋体" w:cs="宋体"/>
                <w:color w:val="auto"/>
                <w:kern w:val="0"/>
                <w:sz w:val="28"/>
                <w:szCs w:val="28"/>
                <w:highlight w:val="none"/>
                <w:lang w:val="en-US" w:eastAsia="zh-CN"/>
              </w:rPr>
              <w:t>（北京时间）</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谈判地点：青海省西宁市城西区五四西路71号安泰公寓B座14楼21407室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财政部门指定的媒体</w:t>
            </w:r>
          </w:p>
        </w:tc>
        <w:tc>
          <w:tcPr>
            <w:tcW w:w="6742" w:type="dxa"/>
            <w:tcBorders>
              <w:tl2br w:val="nil"/>
              <w:tr2bl w:val="nil"/>
            </w:tcBorders>
            <w:vAlign w:val="center"/>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青海政府采购网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2958" w:type="dxa"/>
            <w:tcBorders>
              <w:tl2br w:val="nil"/>
              <w:tr2bl w:val="nil"/>
            </w:tcBorders>
            <w:vAlign w:val="center"/>
          </w:tcPr>
          <w:p>
            <w:pPr>
              <w:wordWrap/>
              <w:spacing w:before="157" w:beforeLines="50" w:line="560" w:lineRule="exact"/>
              <w:jc w:val="center"/>
              <w:rPr>
                <w:rFonts w:hint="eastAsia" w:ascii="宋体" w:hAnsi="宋体" w:eastAsia="宋体" w:cs="宋体"/>
                <w:color w:val="auto"/>
                <w:sz w:val="28"/>
                <w:szCs w:val="28"/>
                <w:highlight w:val="none"/>
                <w:lang w:eastAsia="zh-CN"/>
              </w:rPr>
            </w:pPr>
          </w:p>
          <w:p>
            <w:pPr>
              <w:wordWrap/>
              <w:spacing w:before="157" w:beforeLines="50" w:line="560" w:lineRule="exact"/>
              <w:ind w:firstLine="280" w:firstLineChars="100"/>
              <w:jc w:val="center"/>
              <w:rPr>
                <w:rFonts w:hint="eastAsia" w:ascii="宋体" w:hAnsi="宋体" w:eastAsia="宋体" w:cs="宋体"/>
                <w:color w:val="auto"/>
                <w:sz w:val="28"/>
                <w:szCs w:val="28"/>
                <w:highlight w:val="none"/>
                <w:lang w:eastAsia="zh-CN"/>
              </w:rPr>
            </w:pPr>
          </w:p>
          <w:p>
            <w:pPr>
              <w:wordWrap/>
              <w:spacing w:before="157" w:beforeLines="50" w:line="560" w:lineRule="exact"/>
              <w:jc w:val="center"/>
              <w:rPr>
                <w:rFonts w:hint="eastAsia" w:ascii="宋体" w:hAnsi="宋体" w:eastAsia="宋体" w:cs="宋体"/>
                <w:color w:val="auto"/>
                <w:sz w:val="28"/>
                <w:szCs w:val="28"/>
                <w:highlight w:val="none"/>
                <w:lang w:eastAsia="zh-CN"/>
              </w:rPr>
            </w:pPr>
          </w:p>
          <w:p>
            <w:pPr>
              <w:wordWrap/>
              <w:spacing w:before="157" w:beforeLines="50"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政策功能</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宋体" w:hAnsi="宋体" w:cs="宋体"/>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lang w:val="en-US" w:eastAsia="zh-CN"/>
              </w:rPr>
              <w:t>10</w:t>
            </w:r>
            <w:r>
              <w:rPr>
                <w:rFonts w:hint="eastAsia" w:ascii="宋体" w:hAnsi="宋体" w:eastAsia="宋体" w:cs="宋体"/>
                <w:b/>
                <w:bCs/>
                <w:color w:val="auto"/>
                <w:kern w:val="0"/>
                <w:sz w:val="28"/>
                <w:szCs w:val="28"/>
                <w:highlight w:val="none"/>
                <w:lang w:val="en-US" w:eastAsia="zh-CN"/>
              </w:rPr>
              <w:t>%</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en-US" w:eastAsia="zh-CN"/>
              </w:rPr>
              <w:t>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代理服务费</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收取对象：成交供应商</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zh-CN"/>
              </w:rPr>
              <w:t>小写：</w:t>
            </w:r>
            <w:r>
              <w:rPr>
                <w:rFonts w:hint="eastAsia" w:ascii="宋体" w:hAnsi="宋体" w:cs="宋体"/>
                <w:color w:val="auto"/>
                <w:kern w:val="0"/>
                <w:sz w:val="28"/>
                <w:szCs w:val="28"/>
                <w:highlight w:val="none"/>
                <w:lang w:val="en-US" w:eastAsia="zh-CN"/>
              </w:rPr>
              <w:t>10000.00</w:t>
            </w:r>
            <w:r>
              <w:rPr>
                <w:rFonts w:hint="eastAsia" w:ascii="宋体" w:hAnsi="宋体" w:eastAsia="宋体" w:cs="宋体"/>
                <w:color w:val="auto"/>
                <w:kern w:val="0"/>
                <w:sz w:val="28"/>
                <w:szCs w:val="28"/>
                <w:highlight w:val="none"/>
                <w:lang w:val="en-US" w:eastAsia="zh-CN"/>
              </w:rPr>
              <w:t>元</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en-US" w:eastAsia="zh-CN"/>
              </w:rPr>
              <w:t>大写：</w:t>
            </w:r>
            <w:r>
              <w:rPr>
                <w:rFonts w:hint="eastAsia" w:ascii="宋体" w:hAnsi="宋体" w:cs="宋体"/>
                <w:color w:val="auto"/>
                <w:kern w:val="0"/>
                <w:sz w:val="28"/>
                <w:szCs w:val="28"/>
                <w:highlight w:val="none"/>
                <w:lang w:val="en-US" w:eastAsia="zh-CN"/>
              </w:rPr>
              <w:t>壹万元整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其他规定</w:t>
            </w:r>
          </w:p>
        </w:tc>
        <w:tc>
          <w:tcPr>
            <w:tcW w:w="6742" w:type="dxa"/>
            <w:tcBorders>
              <w:tl2br w:val="nil"/>
              <w:tr2bl w:val="nil"/>
            </w:tcBorders>
            <w:vAlign w:val="top"/>
          </w:tcPr>
          <w:p>
            <w:pPr>
              <w:widowControl w:val="0"/>
              <w:numPr>
                <w:ilvl w:val="0"/>
                <w:numId w:val="2"/>
              </w:numPr>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采购项目联系人：张女士；电话：0971-8189958；</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en-US" w:eastAsia="zh-CN"/>
              </w:rPr>
              <w:t>2)公告期限：自《青海政府采购网》发布之日起3个工作日；</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3)公告发布：《青海政府采购网》、《青海省电子招投标交易平台》，公告内容以《青海政府采购网》发布的为准。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58"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财政监管部门及电话</w:t>
            </w:r>
          </w:p>
        </w:tc>
        <w:tc>
          <w:tcPr>
            <w:tcW w:w="6742" w:type="dxa"/>
            <w:tcBorders>
              <w:tl2br w:val="nil"/>
              <w:tr2bl w:val="nil"/>
            </w:tcBorders>
            <w:vAlign w:val="top"/>
          </w:tcPr>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zh-CN" w:eastAsia="zh-CN"/>
              </w:rPr>
              <w:t>监督单位：玉树市财政局</w:t>
            </w:r>
          </w:p>
          <w:p>
            <w:pPr>
              <w:widowControl w:val="0"/>
              <w:wordWrap/>
              <w:autoSpaceDE w:val="0"/>
              <w:autoSpaceDN w:val="0"/>
              <w:spacing w:line="560" w:lineRule="exact"/>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zh-CN" w:eastAsia="zh-CN"/>
              </w:rPr>
              <w:t>联系电话：0976-8824177</w:t>
            </w:r>
          </w:p>
        </w:tc>
      </w:tr>
    </w:tbl>
    <w:p>
      <w:pPr>
        <w:bidi w:val="0"/>
        <w:rPr>
          <w:rFonts w:hint="eastAsia"/>
          <w:lang w:val="en-US" w:eastAsia="zh-CN"/>
        </w:rPr>
      </w:pPr>
      <w:bookmarkStart w:id="2" w:name="_Toc17554"/>
      <w:bookmarkStart w:id="3" w:name="_Toc7063_WPSOffice_Level1"/>
      <w:bookmarkStart w:id="4" w:name="_Toc29348_WPSOffice_Level1"/>
      <w:bookmarkStart w:id="5" w:name="_Toc25918_WPSOffice_Level1"/>
      <w:bookmarkStart w:id="6" w:name="_Toc26774_WPSOffice_Level1"/>
      <w:bookmarkStart w:id="7" w:name="_Toc19849"/>
      <w:bookmarkStart w:id="8" w:name="_Toc29806_WPSOffice_Level1"/>
      <w:bookmarkStart w:id="9" w:name="_Toc13430_WPSOffice_Level1"/>
      <w:bookmarkStart w:id="10" w:name="_Toc68"/>
    </w:p>
    <w:p>
      <w:pPr>
        <w:widowControl w:val="0"/>
        <w:wordWrap/>
        <w:autoSpaceDE w:val="0"/>
        <w:autoSpaceDN w:val="0"/>
        <w:spacing w:line="560" w:lineRule="exact"/>
        <w:ind w:firstLine="4160" w:firstLineChars="13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青海晓成工程项目管理有限公司</w:t>
      </w:r>
    </w:p>
    <w:p>
      <w:pPr>
        <w:pStyle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2022年07月12日</w:t>
      </w:r>
    </w:p>
    <w:p>
      <w:pPr>
        <w:widowControl w:val="0"/>
        <w:wordWrap/>
        <w:autoSpaceDE w:val="0"/>
        <w:autoSpaceDN w:val="0"/>
        <w:spacing w:line="560" w:lineRule="exact"/>
        <w:ind w:left="6400" w:hanging="6400" w:hangingChars="2000"/>
        <w:jc w:val="both"/>
        <w:textAlignment w:val="auto"/>
        <w:rPr>
          <w:rFonts w:hint="default" w:ascii="仿宋_GB2312" w:hAnsi="仿宋_GB2312" w:eastAsia="仿宋_GB2312" w:cs="仿宋_GB2312"/>
          <w:color w:val="auto"/>
          <w:kern w:val="0"/>
          <w:sz w:val="32"/>
          <w:szCs w:val="32"/>
          <w:highlight w:val="none"/>
          <w:lang w:val="en-US" w:eastAsia="zh-CN"/>
        </w:rPr>
        <w:sectPr>
          <w:footerReference r:id="rId5"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ind w:left="0" w:leftChars="0" w:firstLine="0" w:firstLineChars="0"/>
        <w:rPr>
          <w:rFonts w:hint="eastAsia"/>
          <w:lang w:val="en-US" w:eastAsia="zh-CN"/>
        </w:rPr>
      </w:pPr>
    </w:p>
    <w:p>
      <w:pPr>
        <w:pStyle w:val="3"/>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32"/>
          <w:szCs w:val="32"/>
          <w:highlight w:val="none"/>
          <w:lang w:val="en-US" w:eastAsia="zh-CN"/>
        </w:rPr>
      </w:pPr>
      <w:bookmarkStart w:id="11" w:name="_Toc19072"/>
      <w:r>
        <w:rPr>
          <w:rFonts w:hint="eastAsia" w:ascii="华文中宋" w:hAnsi="华文中宋" w:eastAsia="华文中宋" w:cs="华文中宋"/>
          <w:b w:val="0"/>
          <w:bCs w:val="0"/>
          <w:color w:val="auto"/>
          <w:sz w:val="44"/>
          <w:szCs w:val="44"/>
          <w:highlight w:val="none"/>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12" w:name="_Toc16562"/>
      <w:bookmarkStart w:id="13" w:name="_Toc7063_WPSOffice_Level2"/>
      <w:bookmarkStart w:id="14" w:name="_Toc27795"/>
      <w:bookmarkStart w:id="15" w:name="_Toc9336"/>
      <w:bookmarkStart w:id="16" w:name="_Toc21404"/>
      <w:bookmarkStart w:id="17" w:name="_Toc29348_WPSOffice_Level2"/>
      <w:bookmarkStart w:id="18" w:name="_Toc34637765"/>
      <w:bookmarkStart w:id="19" w:name="_Toc17019_WPSOffice_Level2"/>
      <w:r>
        <w:rPr>
          <w:rFonts w:hint="eastAsia" w:ascii="黑体" w:hAnsi="黑体" w:eastAsia="黑体" w:cs="黑体"/>
          <w:b w:val="0"/>
          <w:bCs w:val="0"/>
          <w:color w:val="auto"/>
          <w:kern w:val="2"/>
          <w:sz w:val="32"/>
          <w:szCs w:val="32"/>
          <w:highlight w:val="none"/>
          <w:lang w:val="en-US" w:eastAsia="zh-CN" w:bidi="ar-SA"/>
        </w:rPr>
        <w:t>一、说明</w:t>
      </w:r>
      <w:bookmarkEnd w:id="12"/>
      <w:bookmarkEnd w:id="13"/>
      <w:bookmarkEnd w:id="14"/>
      <w:bookmarkEnd w:id="15"/>
      <w:bookmarkEnd w:id="16"/>
      <w:bookmarkEnd w:id="17"/>
      <w:bookmarkEnd w:id="18"/>
      <w:bookmarkEnd w:id="19"/>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20" w:name="_Toc13645"/>
      <w:bookmarkStart w:id="21" w:name="_Toc11775_WPSOffice_Level3"/>
      <w:bookmarkStart w:id="22" w:name="_Toc29331"/>
      <w:bookmarkStart w:id="23" w:name="_Toc7063_WPSOffice_Level3"/>
      <w:bookmarkStart w:id="24" w:name="_Toc29026"/>
      <w:r>
        <w:rPr>
          <w:rFonts w:hint="eastAsia" w:ascii="楷体_GB2312" w:hAnsi="楷体_GB2312" w:eastAsia="楷体_GB2312" w:cs="楷体_GB2312"/>
          <w:b/>
          <w:bCs/>
          <w:color w:val="auto"/>
          <w:kern w:val="2"/>
          <w:sz w:val="32"/>
          <w:szCs w:val="32"/>
          <w:highlight w:val="none"/>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本竞争性谈判文件仅适用于</w:t>
      </w:r>
      <w:r>
        <w:rPr>
          <w:rFonts w:hint="eastAsia" w:ascii="仿宋_GB2312" w:hAnsi="仿宋_GB2312" w:eastAsia="仿宋_GB2312" w:cs="仿宋_GB2312"/>
          <w:color w:val="auto"/>
          <w:sz w:val="32"/>
          <w:szCs w:val="32"/>
          <w:highlight w:val="none"/>
          <w:lang w:eastAsia="zh-CN"/>
        </w:rPr>
        <w:t>前述</w:t>
      </w:r>
      <w:r>
        <w:rPr>
          <w:rFonts w:hint="eastAsia" w:ascii="仿宋_GB2312" w:hAnsi="仿宋_GB2312" w:eastAsia="仿宋_GB2312" w:cs="仿宋_GB2312"/>
          <w:b/>
          <w:color w:val="auto"/>
          <w:sz w:val="32"/>
          <w:szCs w:val="32"/>
          <w:highlight w:val="none"/>
        </w:rPr>
        <w:t>【谈判须知前附表】</w:t>
      </w:r>
      <w:r>
        <w:rPr>
          <w:rFonts w:hint="eastAsia" w:ascii="仿宋_GB2312" w:hAnsi="仿宋_GB2312" w:eastAsia="仿宋_GB2312" w:cs="仿宋_GB2312"/>
          <w:color w:val="auto"/>
          <w:sz w:val="32"/>
          <w:szCs w:val="32"/>
          <w:highlight w:val="none"/>
        </w:rPr>
        <w:t>中所叙述的采购项目。</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25" w:name="_Toc12080"/>
      <w:bookmarkStart w:id="26" w:name="_Toc15754_WPSOffice_Level3"/>
      <w:bookmarkStart w:id="27" w:name="_Toc29243"/>
      <w:bookmarkStart w:id="28" w:name="_Toc1646"/>
      <w:bookmarkStart w:id="29" w:name="_Toc2404_WPSOffice_Level3"/>
      <w:r>
        <w:rPr>
          <w:rFonts w:hint="eastAsia" w:ascii="楷体_GB2312" w:hAnsi="楷体_GB2312" w:eastAsia="楷体_GB2312" w:cs="楷体_GB2312"/>
          <w:b/>
          <w:bCs/>
          <w:color w:val="auto"/>
          <w:kern w:val="2"/>
          <w:sz w:val="32"/>
          <w:szCs w:val="32"/>
          <w:highlight w:val="none"/>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采购人名称、地址、电话、联系人见【谈判须知前附表】。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采购代理机构名称、地址、电话、联系人</w:t>
      </w:r>
      <w:r>
        <w:rPr>
          <w:rFonts w:hint="eastAsia" w:ascii="仿宋_GB2312" w:hAnsi="仿宋_GB2312" w:eastAsia="仿宋_GB2312" w:cs="仿宋_GB2312"/>
          <w:color w:val="auto"/>
          <w:sz w:val="32"/>
          <w:szCs w:val="32"/>
          <w:highlight w:val="none"/>
          <w:lang w:eastAsia="zh-CN"/>
        </w:rPr>
        <w:t>、邮箱</w:t>
      </w:r>
      <w:r>
        <w:rPr>
          <w:rFonts w:hint="eastAsia" w:ascii="仿宋_GB2312" w:hAnsi="仿宋_GB2312" w:eastAsia="仿宋_GB2312" w:cs="仿宋_GB2312"/>
          <w:color w:val="auto"/>
          <w:sz w:val="32"/>
          <w:szCs w:val="32"/>
          <w:highlight w:val="none"/>
        </w:rPr>
        <w:t>见【谈判须知前附表】。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30" w:name="_Toc8089_WPSOffice_Level3"/>
      <w:bookmarkStart w:id="31" w:name="_Toc31395"/>
      <w:bookmarkStart w:id="32" w:name="_Toc21695"/>
      <w:bookmarkStart w:id="33" w:name="_Toc31567"/>
      <w:bookmarkStart w:id="34" w:name="_Toc955_WPSOffice_Level3"/>
      <w:r>
        <w:rPr>
          <w:rFonts w:hint="eastAsia" w:ascii="楷体_GB2312" w:hAnsi="楷体_GB2312" w:eastAsia="楷体_GB2312" w:cs="楷体_GB2312"/>
          <w:b/>
          <w:bCs/>
          <w:color w:val="auto"/>
          <w:kern w:val="2"/>
          <w:sz w:val="32"/>
          <w:szCs w:val="32"/>
          <w:highlight w:val="none"/>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3.1供应商是指响应谈判文件要求、参加竞争性谈判采购的法人、其他组织或者自然人。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3.2供应商应当符合【谈判须知前附表】规定的供应商资格条件。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rPr>
        <w:t>（3）联合体各方签订联合体协议书后，</w:t>
      </w:r>
      <w:r>
        <w:rPr>
          <w:rFonts w:hint="eastAsia" w:ascii="仿宋_GB2312" w:hAnsi="仿宋_GB2312" w:eastAsia="仿宋_GB2312" w:cs="仿宋_GB2312"/>
          <w:color w:val="auto"/>
          <w:sz w:val="32"/>
          <w:szCs w:val="32"/>
          <w:highlight w:val="none"/>
          <w:lang w:val="zh-CN"/>
        </w:rPr>
        <w:t>不得再单独参加或者与其他供应商组成新的联合体参加同一合同项下的采购活动。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35" w:name="_Toc11996"/>
      <w:bookmarkStart w:id="36" w:name="_Toc29322_WPSOffice_Level3"/>
      <w:bookmarkStart w:id="37" w:name="_Toc24112_WPSOffice_Level3"/>
      <w:bookmarkStart w:id="38" w:name="_Toc18921"/>
      <w:bookmarkStart w:id="39" w:name="_Toc15386"/>
      <w:r>
        <w:rPr>
          <w:rFonts w:hint="eastAsia" w:ascii="楷体_GB2312" w:hAnsi="楷体_GB2312" w:eastAsia="楷体_GB2312" w:cs="楷体_GB2312"/>
          <w:b/>
          <w:bCs/>
          <w:color w:val="auto"/>
          <w:kern w:val="2"/>
          <w:sz w:val="32"/>
          <w:szCs w:val="32"/>
          <w:highlight w:val="none"/>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color w:val="auto"/>
          <w:kern w:val="2"/>
          <w:sz w:val="32"/>
          <w:szCs w:val="32"/>
          <w:highlight w:val="none"/>
          <w:lang w:val="en-US" w:eastAsia="zh-CN" w:bidi="ar-SA"/>
        </w:rPr>
        <w:t xml:space="preserve"> </w:t>
      </w:r>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40" w:name="_Toc28758"/>
      <w:bookmarkStart w:id="41" w:name="_Toc4912_WPSOffice_Level2"/>
      <w:bookmarkStart w:id="42" w:name="_Toc24182"/>
      <w:bookmarkStart w:id="43" w:name="_Toc24356"/>
      <w:bookmarkStart w:id="44" w:name="_Toc34637766"/>
      <w:bookmarkStart w:id="45" w:name="_Toc13067"/>
      <w:bookmarkStart w:id="46" w:name="_Toc19663_WPSOffice_Level2"/>
      <w:bookmarkStart w:id="47" w:name="_Toc2404_WPSOffice_Level2"/>
      <w:r>
        <w:rPr>
          <w:rFonts w:hint="eastAsia" w:ascii="黑体" w:hAnsi="黑体" w:eastAsia="黑体" w:cs="黑体"/>
          <w:b w:val="0"/>
          <w:bCs w:val="0"/>
          <w:color w:val="auto"/>
          <w:kern w:val="2"/>
          <w:sz w:val="32"/>
          <w:szCs w:val="32"/>
          <w:highlight w:val="none"/>
          <w:lang w:val="en-US" w:eastAsia="zh-CN" w:bidi="ar-SA"/>
        </w:rPr>
        <w:t>二、谈判文件</w:t>
      </w:r>
      <w:bookmarkEnd w:id="40"/>
      <w:bookmarkEnd w:id="41"/>
      <w:bookmarkEnd w:id="42"/>
      <w:bookmarkEnd w:id="43"/>
      <w:bookmarkEnd w:id="44"/>
      <w:bookmarkEnd w:id="45"/>
      <w:bookmarkEnd w:id="46"/>
      <w:bookmarkEnd w:id="47"/>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48" w:name="_Toc29785_WPSOffice_Level3"/>
      <w:bookmarkStart w:id="49" w:name="_Toc18786_WPSOffice_Level3"/>
      <w:bookmarkStart w:id="50" w:name="_Toc1826"/>
      <w:bookmarkStart w:id="51" w:name="_Toc26735"/>
      <w:bookmarkStart w:id="52" w:name="_Toc14464"/>
      <w:r>
        <w:rPr>
          <w:rFonts w:hint="eastAsia" w:ascii="楷体_GB2312" w:hAnsi="楷体_GB2312" w:eastAsia="楷体_GB2312" w:cs="楷体_GB2312"/>
          <w:b/>
          <w:bCs/>
          <w:color w:val="auto"/>
          <w:kern w:val="2"/>
          <w:sz w:val="32"/>
          <w:szCs w:val="32"/>
          <w:highlight w:val="none"/>
          <w:lang w:val="en-US" w:eastAsia="zh-CN" w:bidi="ar-SA"/>
        </w:rPr>
        <w:t>5.谈判文件的组成</w:t>
      </w:r>
      <w:bookmarkEnd w:id="48"/>
      <w:bookmarkEnd w:id="49"/>
      <w:bookmarkEnd w:id="50"/>
      <w:bookmarkEnd w:id="51"/>
      <w:bookmarkEnd w:id="52"/>
    </w:p>
    <w:p>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5.1谈判文件由下列文件组成：</w:t>
      </w:r>
    </w:p>
    <w:p>
      <w:pPr>
        <w:pStyle w:val="14"/>
        <w:widowControl w:val="0"/>
        <w:numPr>
          <w:ilvl w:val="0"/>
          <w:numId w:val="3"/>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谈判邀请</w:t>
      </w:r>
    </w:p>
    <w:p>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（2）谈判须知</w:t>
      </w:r>
    </w:p>
    <w:p>
      <w:pPr>
        <w:pStyle w:val="14"/>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（3）采购需求</w:t>
      </w:r>
    </w:p>
    <w:p>
      <w:pPr>
        <w:pStyle w:val="14"/>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（4）谈判响应文件格式</w:t>
      </w:r>
    </w:p>
    <w:p>
      <w:pPr>
        <w:pStyle w:val="14"/>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（5）政府采购项目合同书范本</w:t>
      </w:r>
    </w:p>
    <w:p>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5.2采购人、采购代理机构或者谈判小组在提交首次响应文件截止之日前对已发出的谈判文件进行的澄清或者修改，构成谈判文件的组成部分。</w:t>
      </w:r>
    </w:p>
    <w:p>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5.3谈判文件中，谈判小组根据与供应商谈判情况可能实质性变动的内容见【谈判须知前附表】。对谈判文件作出的实质性变动是谈判文件的有效组成部分。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53" w:name="_Toc26398"/>
      <w:bookmarkStart w:id="54" w:name="_Toc1317"/>
      <w:bookmarkStart w:id="55" w:name="_Toc31604_WPSOffice_Level3"/>
      <w:bookmarkStart w:id="56" w:name="_Toc25455_WPSOffice_Level3"/>
      <w:bookmarkStart w:id="57" w:name="_Toc18056"/>
      <w:r>
        <w:rPr>
          <w:rFonts w:hint="eastAsia" w:ascii="楷体_GB2312" w:hAnsi="楷体_GB2312" w:eastAsia="楷体_GB2312" w:cs="楷体_GB2312"/>
          <w:b/>
          <w:bCs/>
          <w:color w:val="auto"/>
          <w:kern w:val="2"/>
          <w:sz w:val="32"/>
          <w:szCs w:val="32"/>
          <w:highlight w:val="none"/>
          <w:lang w:val="en-US" w:eastAsia="zh-CN" w:bidi="ar-SA"/>
        </w:rPr>
        <w:t>6.谈判文件的澄清</w:t>
      </w:r>
      <w:r>
        <w:rPr>
          <w:rFonts w:hint="eastAsia" w:ascii="楷体_GB2312" w:hAnsi="楷体_GB2312" w:eastAsia="楷体_GB2312" w:cs="楷体_GB2312"/>
          <w:b/>
          <w:bCs/>
          <w:color w:val="auto"/>
          <w:kern w:val="2"/>
          <w:sz w:val="32"/>
          <w:szCs w:val="32"/>
          <w:highlight w:val="none"/>
          <w:lang w:val="zh-CN" w:eastAsia="zh-CN" w:bidi="ar-SA"/>
        </w:rPr>
        <w:t>或者</w:t>
      </w:r>
      <w:r>
        <w:rPr>
          <w:rFonts w:hint="eastAsia" w:ascii="楷体_GB2312" w:hAnsi="楷体_GB2312" w:eastAsia="楷体_GB2312" w:cs="楷体_GB2312"/>
          <w:b/>
          <w:bCs/>
          <w:color w:val="auto"/>
          <w:kern w:val="2"/>
          <w:sz w:val="32"/>
          <w:szCs w:val="32"/>
          <w:highlight w:val="none"/>
          <w:lang w:val="en-US" w:eastAsia="zh-CN" w:bidi="ar-SA"/>
        </w:rPr>
        <w:t>修改</w:t>
      </w:r>
      <w:bookmarkEnd w:id="53"/>
      <w:bookmarkEnd w:id="54"/>
      <w:bookmarkEnd w:id="55"/>
      <w:bookmarkEnd w:id="56"/>
      <w:bookmarkEnd w:id="57"/>
    </w:p>
    <w:p>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6.1在提交首次响应文件截止之日前，采购人、采购代理机构或者谈判小组可以对已发出的谈判文件进行必要的澄清或者修改。</w:t>
      </w:r>
    </w:p>
    <w:p>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58" w:name="_Toc30"/>
      <w:bookmarkStart w:id="59" w:name="_Toc4138_WPSOffice_Level3"/>
      <w:bookmarkStart w:id="60" w:name="_Toc25126"/>
      <w:bookmarkStart w:id="61" w:name="_Toc6866_WPSOffice_Level3"/>
      <w:bookmarkStart w:id="62" w:name="_Toc27004"/>
      <w:bookmarkStart w:id="63" w:name="_Toc8301"/>
      <w:bookmarkStart w:id="64" w:name="_Toc34637767"/>
      <w:r>
        <w:rPr>
          <w:rFonts w:hint="eastAsia" w:ascii="楷体_GB2312" w:hAnsi="楷体_GB2312" w:eastAsia="楷体_GB2312" w:cs="楷体_GB2312"/>
          <w:b/>
          <w:bCs/>
          <w:color w:val="auto"/>
          <w:kern w:val="2"/>
          <w:sz w:val="32"/>
          <w:szCs w:val="32"/>
          <w:highlight w:val="none"/>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7.1供应商对谈判文件有疑问的，可以向采购人、采购代理机构提出询问。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color w:val="auto"/>
          <w:kern w:val="2"/>
          <w:sz w:val="32"/>
          <w:szCs w:val="32"/>
          <w:highlight w:val="none"/>
          <w:lang w:val="en-US" w:eastAsia="zh-CN" w:bidi="ar-SA"/>
        </w:rPr>
      </w:pPr>
      <w:bookmarkStart w:id="65" w:name="_Toc23235_WPSOffice_Level2"/>
      <w:bookmarkStart w:id="66" w:name="_Toc5732_WPSOffice_Level2"/>
      <w:bookmarkStart w:id="67" w:name="_Toc16902"/>
      <w:bookmarkStart w:id="68" w:name="_Toc955_WPSOffice_Level2"/>
      <w:bookmarkStart w:id="69" w:name="_Toc28815"/>
      <w:bookmarkStart w:id="70" w:name="_Toc24217"/>
      <w:r>
        <w:rPr>
          <w:rFonts w:hint="eastAsia" w:ascii="黑体" w:hAnsi="黑体" w:eastAsia="黑体" w:cs="黑体"/>
          <w:color w:val="auto"/>
          <w:kern w:val="2"/>
          <w:sz w:val="32"/>
          <w:szCs w:val="32"/>
          <w:highlight w:val="none"/>
          <w:lang w:val="en-US" w:eastAsia="zh-CN" w:bidi="ar-SA"/>
        </w:rPr>
        <w:t>三、响应文件</w:t>
      </w:r>
      <w:bookmarkEnd w:id="64"/>
      <w:bookmarkEnd w:id="65"/>
      <w:bookmarkEnd w:id="66"/>
      <w:bookmarkEnd w:id="67"/>
      <w:bookmarkEnd w:id="68"/>
      <w:bookmarkEnd w:id="69"/>
      <w:bookmarkEnd w:id="70"/>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71" w:name="_Toc10843_WPSOffice_Level3"/>
      <w:bookmarkStart w:id="72" w:name="_Toc22063"/>
      <w:bookmarkStart w:id="73" w:name="_Toc1848"/>
      <w:bookmarkStart w:id="74" w:name="_Toc2475"/>
      <w:bookmarkStart w:id="75" w:name="_Toc1096_WPSOffice_Level3"/>
      <w:bookmarkStart w:id="76" w:name="_Toc17983"/>
      <w:r>
        <w:rPr>
          <w:rFonts w:hint="eastAsia" w:ascii="楷体_GB2312" w:hAnsi="楷体_GB2312" w:eastAsia="楷体_GB2312" w:cs="楷体_GB2312"/>
          <w:b/>
          <w:bCs/>
          <w:color w:val="auto"/>
          <w:kern w:val="2"/>
          <w:sz w:val="32"/>
          <w:szCs w:val="32"/>
          <w:highlight w:val="none"/>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8.4响应文件应采用书面形式，电报、传真、电子邮件形式的响应文件概不接受。</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8.5供应商应按谈判文件中提供的响应文件格式进行填写。</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77" w:name="_Toc14527_WPSOffice_Level3"/>
      <w:bookmarkStart w:id="78" w:name="_Toc16291"/>
      <w:bookmarkStart w:id="79" w:name="_Toc16030"/>
      <w:bookmarkStart w:id="80" w:name="_Toc20423_WPSOffice_Level3"/>
      <w:bookmarkStart w:id="81" w:name="_Toc12007"/>
      <w:r>
        <w:rPr>
          <w:rFonts w:hint="eastAsia" w:ascii="楷体_GB2312" w:hAnsi="楷体_GB2312" w:eastAsia="楷体_GB2312" w:cs="楷体_GB2312"/>
          <w:b/>
          <w:bCs/>
          <w:color w:val="auto"/>
          <w:kern w:val="2"/>
          <w:sz w:val="32"/>
          <w:szCs w:val="32"/>
          <w:highlight w:val="none"/>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9.1供应商应当根据谈判文件“分项报价表”逐一报价；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9.2在首次报价表、分项报价表、最后报价表填写报价时应注意下列要求：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（1）采购需求要求的</w:t>
      </w:r>
      <w:r>
        <w:rPr>
          <w:rFonts w:hint="eastAsia" w:ascii="仿宋_GB2312" w:hAnsi="仿宋_GB2312" w:eastAsia="仿宋_GB2312" w:cs="仿宋_GB2312"/>
          <w:color w:val="auto"/>
          <w:kern w:val="2"/>
          <w:sz w:val="32"/>
          <w:szCs w:val="32"/>
          <w:highlight w:val="none"/>
          <w:u w:val="single" w:color="auto"/>
          <w:lang w:val="en-US" w:eastAsia="zh-CN" w:bidi="ar-SA"/>
        </w:rPr>
        <w:t>安装、调试、培训、售后服务及其它附</w:t>
      </w:r>
      <w:r>
        <w:rPr>
          <w:rFonts w:hint="eastAsia" w:ascii="仿宋_GB2312" w:hAnsi="仿宋_GB2312" w:eastAsia="仿宋_GB2312" w:cs="仿宋_GB2312"/>
          <w:color w:val="auto"/>
          <w:kern w:val="2"/>
          <w:sz w:val="32"/>
          <w:szCs w:val="32"/>
          <w:highlight w:val="none"/>
          <w:lang w:val="en-US" w:eastAsia="zh-CN" w:bidi="ar-SA"/>
        </w:rPr>
        <w:t>加服务的费用。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（2）所有根据合同或其它原因应由供应商交纳和支付的税款和费用。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（3）供应商报价应为完成本竞争性谈判文件中所要求的货物/服务/工程所应包括内容的所有价格。</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9.3</w:t>
      </w:r>
      <w:r>
        <w:rPr>
          <w:rFonts w:hint="eastAsia" w:ascii="仿宋_GB2312" w:hAnsi="仿宋_GB2312" w:eastAsia="仿宋_GB2312" w:cs="仿宋_GB2312"/>
          <w:color w:val="auto"/>
          <w:kern w:val="2"/>
          <w:sz w:val="32"/>
          <w:szCs w:val="32"/>
          <w:highlight w:val="none"/>
          <w:lang w:val="zh-CN" w:eastAsia="zh-CN" w:bidi="ar-SA"/>
        </w:rPr>
        <w:t>供应商</w:t>
      </w:r>
      <w:r>
        <w:rPr>
          <w:rFonts w:hint="eastAsia" w:ascii="仿宋_GB2312" w:hAnsi="仿宋_GB2312" w:eastAsia="仿宋_GB2312" w:cs="仿宋_GB2312"/>
          <w:color w:val="auto"/>
          <w:kern w:val="2"/>
          <w:sz w:val="32"/>
          <w:szCs w:val="32"/>
          <w:highlight w:val="none"/>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9.4供应商提交的最后报价在合同执行过程中是固定不变的，不得以任何理由予以变更。以可变动价格提交的报价将被认为是非实质响应而被拒绝。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9.5谈判报价为总价。供应商须按要求填写谈判总报价，最后报价不得出现两个或两个以上的报价方案。 </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9.6报价币种为人民币。</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82" w:name="_Toc11391"/>
      <w:bookmarkStart w:id="83" w:name="_Toc19609_WPSOffice_Level3"/>
      <w:bookmarkStart w:id="84" w:name="_Toc30839"/>
      <w:bookmarkStart w:id="85" w:name="_Toc30481"/>
      <w:bookmarkStart w:id="86" w:name="_Toc24956_WPSOffice_Level3"/>
      <w:r>
        <w:rPr>
          <w:rFonts w:hint="eastAsia" w:ascii="楷体_GB2312" w:hAnsi="楷体_GB2312" w:eastAsia="楷体_GB2312" w:cs="楷体_GB2312"/>
          <w:b/>
          <w:bCs/>
          <w:color w:val="auto"/>
          <w:kern w:val="2"/>
          <w:sz w:val="32"/>
          <w:szCs w:val="32"/>
          <w:highlight w:val="none"/>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10.2</w:t>
      </w:r>
      <w:r>
        <w:rPr>
          <w:rFonts w:hint="eastAsia" w:ascii="仿宋_GB2312" w:hAnsi="仿宋_GB2312" w:eastAsia="仿宋_GB2312" w:cs="仿宋_GB2312"/>
          <w:color w:val="auto"/>
          <w:kern w:val="2"/>
          <w:sz w:val="32"/>
          <w:szCs w:val="32"/>
          <w:highlight w:val="none"/>
          <w:lang w:val="zh-CN" w:eastAsia="zh-CN" w:bidi="ar-SA"/>
        </w:rPr>
        <w:t>供应商为联合体的，可以由联合体中的一方或者共同交纳保证金，其交纳的保证金，对联合体各方均具有约束力。</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10.3保证金的退还按以下规定办理：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（2）未成交供应商的保证金，在成交通知书发出后5个工作日内退还。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（3）终止竞争性谈判采购活动的，在发布项目终止公告后5个工作日内退还。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10.4有下列情形之一的，保证金不予退还，并上缴同级财政国库：</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（1）供应商在提交响应文件截止时间后撤回响应文件的；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（2）供应商在响应文件中提供虚假材料的；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（4）供应商与采购人、其他供应商或者采购代理机构恶意串通的；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（5）谈判文件规定的其他情形。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87" w:name="_Toc18765_WPSOffice_Level3"/>
      <w:bookmarkStart w:id="88" w:name="_Toc5897"/>
      <w:bookmarkStart w:id="89" w:name="_Toc4945_WPSOffice_Level3"/>
      <w:bookmarkStart w:id="90" w:name="_Toc14144"/>
      <w:bookmarkStart w:id="91" w:name="_Toc23749"/>
      <w:r>
        <w:rPr>
          <w:rFonts w:hint="eastAsia" w:ascii="楷体_GB2312" w:hAnsi="楷体_GB2312" w:eastAsia="楷体_GB2312" w:cs="楷体_GB2312"/>
          <w:b/>
          <w:bCs/>
          <w:color w:val="auto"/>
          <w:kern w:val="2"/>
          <w:sz w:val="32"/>
          <w:szCs w:val="32"/>
          <w:highlight w:val="none"/>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11.1响应文件包括下列内容：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供应商应提交相关证明材料，作为其参加谈判和成交后有能力履行合同的证明。编写的谈判响应文件须包括以下内容（格式详见谈判文件第四部分内容）：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11.1.1</w:t>
      </w:r>
      <w:r>
        <w:rPr>
          <w:rFonts w:hint="eastAsia" w:ascii="仿宋_GB2312" w:hAnsi="仿宋_GB2312" w:eastAsia="仿宋_GB2312" w:cs="仿宋_GB2312"/>
          <w:color w:val="auto"/>
          <w:kern w:val="2"/>
          <w:sz w:val="32"/>
          <w:szCs w:val="32"/>
          <w:highlight w:val="none"/>
          <w:lang w:val="zh-CN" w:eastAsia="zh-CN" w:bidi="ar-SA"/>
        </w:rPr>
        <w:t>资格审查部分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1、响应函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2、法定代表人证明书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3、法定代表人授权书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4、供应商承诺函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5、供应商诚信承诺书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6、供应商资格证明文件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7、财务状况、缴纳税收和社会保障资金证明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8、无重大违法记录声明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9、谈判保证金证明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11.1.2有效性、完整性、响应程度审查</w:t>
      </w:r>
      <w:r>
        <w:rPr>
          <w:rFonts w:hint="eastAsia" w:ascii="仿宋_GB2312" w:hAnsi="仿宋_GB2312" w:eastAsia="仿宋_GB2312" w:cs="仿宋_GB2312"/>
          <w:color w:val="auto"/>
          <w:kern w:val="2"/>
          <w:sz w:val="32"/>
          <w:szCs w:val="32"/>
          <w:highlight w:val="none"/>
          <w:lang w:val="zh-CN" w:eastAsia="zh-CN" w:bidi="ar-SA"/>
        </w:rPr>
        <w:t>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1、谈判首次报价表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2、分项报价表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3、技术规格响应表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4、具备履行合同所必须的设备和专业技术能力证明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、供应商认为在其他方面有必要说明的事项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、享受政府采购政策优惠的证明资料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7、谈判最后报价表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w:t>
      </w:r>
      <w:r>
        <w:rPr>
          <w:rFonts w:hint="eastAsia" w:ascii="仿宋_GB2312" w:hAnsi="仿宋_GB2312" w:eastAsia="仿宋_GB2312" w:cs="仿宋_GB2312"/>
          <w:color w:val="auto"/>
          <w:kern w:val="2"/>
          <w:sz w:val="32"/>
          <w:szCs w:val="32"/>
          <w:highlight w:val="none"/>
          <w:lang w:val="zh-CN" w:eastAsia="zh-CN" w:bidi="ar-SA"/>
        </w:rPr>
        <w:t>、其他证明材料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11.2在谈判过程中，供应商根据谈判小组书面形式要求提交的最后报价是响应文件的有效组成部分。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92" w:name="_Toc31698"/>
      <w:bookmarkStart w:id="93" w:name="_Toc26621"/>
      <w:bookmarkStart w:id="94" w:name="_Toc3694_WPSOffice_Level3"/>
      <w:bookmarkStart w:id="95" w:name="_Toc14930_WPSOffice_Level3"/>
      <w:bookmarkStart w:id="96" w:name="_Toc11674"/>
      <w:r>
        <w:rPr>
          <w:rFonts w:hint="eastAsia" w:ascii="楷体_GB2312" w:hAnsi="楷体_GB2312" w:eastAsia="楷体_GB2312" w:cs="楷体_GB2312"/>
          <w:b/>
          <w:bCs/>
          <w:color w:val="auto"/>
          <w:kern w:val="2"/>
          <w:sz w:val="32"/>
          <w:szCs w:val="32"/>
          <w:highlight w:val="none"/>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97" w:name="_Toc21033"/>
      <w:bookmarkStart w:id="98" w:name="_Toc8507_WPSOffice_Level3"/>
      <w:bookmarkStart w:id="99" w:name="_Toc31682_WPSOffice_Level3"/>
      <w:bookmarkStart w:id="100" w:name="_Toc20265"/>
      <w:bookmarkStart w:id="101" w:name="_Toc4538"/>
      <w:r>
        <w:rPr>
          <w:rFonts w:hint="eastAsia" w:ascii="楷体_GB2312" w:hAnsi="楷体_GB2312" w:eastAsia="楷体_GB2312" w:cs="楷体_GB2312"/>
          <w:b/>
          <w:bCs/>
          <w:color w:val="auto"/>
          <w:kern w:val="2"/>
          <w:sz w:val="32"/>
          <w:szCs w:val="32"/>
          <w:highlight w:val="none"/>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13.2 </w:t>
      </w:r>
      <w:r>
        <w:rPr>
          <w:rFonts w:hint="eastAsia" w:ascii="仿宋_GB2312" w:hAnsi="仿宋_GB2312" w:eastAsia="仿宋_GB2312" w:cs="仿宋_GB2312"/>
          <w:color w:val="auto"/>
          <w:kern w:val="2"/>
          <w:sz w:val="32"/>
          <w:szCs w:val="32"/>
          <w:highlight w:val="none"/>
          <w:lang w:val="zh-CN" w:eastAsia="zh-CN" w:bidi="ar-SA"/>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13.3响应文件正本一份，副本份数见【谈判须知前附表】；响应文件电子文档（U盘形式）：一份。纸质响应文件须清楚地注明“正本”或“副本”的字样。</w:t>
      </w:r>
      <w:r>
        <w:rPr>
          <w:rFonts w:hint="eastAsia" w:ascii="仿宋_GB2312" w:hAnsi="仿宋_GB2312" w:eastAsia="仿宋_GB2312" w:cs="仿宋_GB2312"/>
          <w:color w:val="auto"/>
          <w:kern w:val="2"/>
          <w:sz w:val="32"/>
          <w:szCs w:val="32"/>
          <w:highlight w:val="none"/>
          <w:lang w:val="zh-CN" w:eastAsia="zh-CN" w:bidi="ar-SA"/>
        </w:rPr>
        <w:t>电子文档用U盘制作，采用不可修改文档格式（如PDF格式），内容必须和纸质响应文件正本完全一致，包括封面、页码、签字、盖章等，</w:t>
      </w:r>
      <w:r>
        <w:rPr>
          <w:rFonts w:hint="eastAsia" w:ascii="仿宋_GB2312" w:hAnsi="仿宋_GB2312" w:eastAsia="仿宋_GB2312" w:cs="仿宋_GB2312"/>
          <w:color w:val="auto"/>
          <w:sz w:val="32"/>
          <w:szCs w:val="32"/>
          <w:highlight w:val="none"/>
        </w:rPr>
        <w:t>若副本和正本不一致或电子版文件和纸质正本文件不一致时，以纸质正本文件为准。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13.4 响应</w:t>
      </w:r>
      <w:r>
        <w:rPr>
          <w:rFonts w:hint="eastAsia" w:ascii="仿宋_GB2312" w:hAnsi="仿宋_GB2312" w:eastAsia="仿宋_GB2312" w:cs="仿宋_GB2312"/>
          <w:color w:val="auto"/>
          <w:kern w:val="2"/>
          <w:sz w:val="32"/>
          <w:szCs w:val="32"/>
          <w:highlight w:val="none"/>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color w:val="auto"/>
          <w:kern w:val="2"/>
          <w:sz w:val="32"/>
          <w:szCs w:val="32"/>
          <w:highlight w:val="none"/>
          <w:lang w:val="zh-CN"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13.7供应商无论成交与否，其响应文件不予退还。</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102" w:name="_Toc25869"/>
      <w:bookmarkStart w:id="103" w:name="_Toc30575"/>
      <w:bookmarkStart w:id="104" w:name="_Toc8361"/>
      <w:bookmarkStart w:id="105" w:name="_Toc34637768"/>
      <w:bookmarkStart w:id="106" w:name="_Toc24112_WPSOffice_Level2"/>
      <w:bookmarkStart w:id="107" w:name="_Toc31349_WPSOffice_Level2"/>
      <w:bookmarkStart w:id="108" w:name="_Toc11979"/>
      <w:bookmarkStart w:id="109" w:name="_Toc32627_WPSOffice_Level2"/>
      <w:r>
        <w:rPr>
          <w:rFonts w:hint="eastAsia" w:ascii="黑体" w:hAnsi="黑体" w:eastAsia="黑体" w:cs="黑体"/>
          <w:b w:val="0"/>
          <w:bCs w:val="0"/>
          <w:color w:val="auto"/>
          <w:kern w:val="2"/>
          <w:sz w:val="32"/>
          <w:szCs w:val="32"/>
          <w:highlight w:val="none"/>
          <w:lang w:val="en-US" w:eastAsia="zh-CN" w:bidi="ar-SA"/>
        </w:rPr>
        <w:t>四、响应文件的递交</w:t>
      </w:r>
      <w:bookmarkEnd w:id="102"/>
      <w:bookmarkEnd w:id="103"/>
      <w:bookmarkEnd w:id="104"/>
      <w:bookmarkEnd w:id="105"/>
      <w:bookmarkEnd w:id="106"/>
      <w:bookmarkEnd w:id="107"/>
      <w:bookmarkEnd w:id="108"/>
      <w:bookmarkEnd w:id="109"/>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10" w:name="_Toc23622_WPSOffice_Level3"/>
      <w:bookmarkStart w:id="111" w:name="_Toc6095"/>
      <w:bookmarkStart w:id="112" w:name="_Toc20825_WPSOffice_Level3"/>
      <w:bookmarkStart w:id="113" w:name="_Toc21358"/>
      <w:bookmarkStart w:id="114" w:name="_Toc4459"/>
      <w:r>
        <w:rPr>
          <w:rFonts w:hint="eastAsia" w:ascii="楷体_GB2312" w:hAnsi="楷体_GB2312" w:eastAsia="楷体_GB2312" w:cs="楷体_GB2312"/>
          <w:b/>
          <w:bCs/>
          <w:color w:val="auto"/>
          <w:kern w:val="2"/>
          <w:sz w:val="32"/>
          <w:szCs w:val="32"/>
          <w:highlight w:val="none"/>
          <w:lang w:val="en-US" w:eastAsia="zh-CN" w:bidi="ar-SA"/>
        </w:rPr>
        <w:t>14.响应文件的密封和标记</w:t>
      </w:r>
      <w:bookmarkEnd w:id="110"/>
      <w:bookmarkEnd w:id="111"/>
      <w:bookmarkEnd w:id="112"/>
      <w:bookmarkEnd w:id="113"/>
      <w:bookmarkEnd w:id="11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14.1响应文件应密封包装，以保证其响应文件信息在提交首次响应文件截止时间前不被透露。</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14.2</w:t>
      </w:r>
      <w:r>
        <w:rPr>
          <w:rFonts w:hint="eastAsia" w:ascii="仿宋" w:hAnsi="仿宋" w:eastAsia="仿宋" w:cs="仿宋"/>
          <w:color w:val="auto"/>
          <w:sz w:val="32"/>
          <w:szCs w:val="32"/>
          <w:highlight w:val="none"/>
        </w:rPr>
        <w:t>响应文件正本、所有副本应密封包装</w:t>
      </w:r>
      <w:r>
        <w:rPr>
          <w:rFonts w:hint="eastAsia" w:ascii="仿宋_GB2312" w:hAnsi="仿宋_GB2312" w:eastAsia="仿宋_GB2312" w:cs="仿宋_GB2312"/>
          <w:color w:val="auto"/>
          <w:kern w:val="2"/>
          <w:sz w:val="32"/>
          <w:szCs w:val="32"/>
          <w:highlight w:val="none"/>
          <w:lang w:val="en-US" w:eastAsia="zh-CN" w:bidi="ar-SA"/>
        </w:rPr>
        <w:t>，密封袋上应写明的内容见【谈判须知前附表】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15" w:name="_Toc31959"/>
      <w:bookmarkStart w:id="116" w:name="_Toc26992"/>
      <w:bookmarkStart w:id="117" w:name="_Toc19521_WPSOffice_Level3"/>
      <w:bookmarkStart w:id="118" w:name="_Toc17912"/>
      <w:bookmarkStart w:id="119" w:name="_Toc5063_WPSOffice_Level3"/>
      <w:r>
        <w:rPr>
          <w:rFonts w:hint="eastAsia" w:ascii="楷体_GB2312" w:hAnsi="楷体_GB2312" w:eastAsia="楷体_GB2312" w:cs="楷体_GB2312"/>
          <w:b/>
          <w:bCs/>
          <w:color w:val="auto"/>
          <w:kern w:val="2"/>
          <w:sz w:val="32"/>
          <w:szCs w:val="32"/>
          <w:highlight w:val="none"/>
          <w:lang w:val="en-US" w:eastAsia="zh-CN" w:bidi="ar-SA"/>
        </w:rPr>
        <w:t>15.响应文件的</w:t>
      </w:r>
      <w:r>
        <w:rPr>
          <w:rFonts w:hint="eastAsia" w:ascii="楷体_GB2312" w:hAnsi="楷体_GB2312" w:eastAsia="楷体_GB2312" w:cs="楷体_GB2312"/>
          <w:b/>
          <w:bCs/>
          <w:color w:val="auto"/>
          <w:kern w:val="2"/>
          <w:sz w:val="32"/>
          <w:szCs w:val="32"/>
          <w:highlight w:val="none"/>
          <w:lang w:val="zh-CN" w:eastAsia="zh-CN" w:bidi="ar-SA"/>
        </w:rPr>
        <w:t>补充、修改或者撤回</w:t>
      </w:r>
      <w:bookmarkEnd w:id="115"/>
      <w:bookmarkEnd w:id="116"/>
      <w:bookmarkEnd w:id="117"/>
      <w:bookmarkEnd w:id="118"/>
      <w:bookmarkEnd w:id="119"/>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bookmarkStart w:id="120" w:name="_Toc32435"/>
      <w:bookmarkStart w:id="121" w:name="_Toc34637769"/>
      <w:r>
        <w:rPr>
          <w:rFonts w:hint="eastAsia" w:ascii="仿宋_GB2312" w:hAnsi="仿宋_GB2312" w:eastAsia="仿宋_GB2312" w:cs="仿宋_GB2312"/>
          <w:color w:val="auto"/>
          <w:kern w:val="2"/>
          <w:sz w:val="32"/>
          <w:szCs w:val="32"/>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0"/>
    </w:p>
    <w:p>
      <w:pPr>
        <w:wordWrap/>
        <w:adjustRightInd w:val="0"/>
        <w:snapToGrid w:val="0"/>
        <w:spacing w:before="157" w:beforeLines="50" w:line="560" w:lineRule="exact"/>
        <w:jc w:val="center"/>
        <w:outlineLvl w:val="1"/>
        <w:rPr>
          <w:rFonts w:hint="eastAsia" w:ascii="黑体" w:hAnsi="黑体" w:eastAsia="黑体" w:cs="黑体"/>
          <w:b w:val="0"/>
          <w:bCs w:val="0"/>
          <w:color w:val="auto"/>
          <w:kern w:val="2"/>
          <w:sz w:val="32"/>
          <w:szCs w:val="32"/>
          <w:highlight w:val="none"/>
          <w:lang w:val="en-US" w:eastAsia="zh-CN" w:bidi="ar-SA"/>
        </w:rPr>
      </w:pPr>
      <w:bookmarkStart w:id="122" w:name="_Toc31993"/>
      <w:bookmarkStart w:id="123" w:name="_Toc30041"/>
      <w:bookmarkStart w:id="124" w:name="_Toc29785_WPSOffice_Level2"/>
      <w:bookmarkStart w:id="125" w:name="_Toc12974"/>
      <w:bookmarkStart w:id="126" w:name="_Toc25721_WPSOffice_Level2"/>
      <w:bookmarkStart w:id="127" w:name="_Toc10968"/>
      <w:bookmarkStart w:id="128" w:name="_Toc18610_WPSOffice_Level2"/>
      <w:r>
        <w:rPr>
          <w:rFonts w:hint="eastAsia" w:ascii="黑体" w:hAnsi="黑体" w:eastAsia="黑体" w:cs="黑体"/>
          <w:b w:val="0"/>
          <w:bCs w:val="0"/>
          <w:color w:val="auto"/>
          <w:kern w:val="2"/>
          <w:sz w:val="32"/>
          <w:szCs w:val="32"/>
          <w:highlight w:val="none"/>
          <w:lang w:val="en-US" w:eastAsia="zh-CN" w:bidi="ar-SA"/>
        </w:rPr>
        <w:t>五、响应文件的评审与谈判</w:t>
      </w:r>
      <w:bookmarkEnd w:id="121"/>
      <w:bookmarkEnd w:id="122"/>
      <w:bookmarkEnd w:id="123"/>
      <w:bookmarkEnd w:id="124"/>
      <w:bookmarkEnd w:id="125"/>
      <w:bookmarkEnd w:id="126"/>
      <w:bookmarkEnd w:id="127"/>
      <w:bookmarkEnd w:id="128"/>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29" w:name="_Toc19596_WPSOffice_Level3"/>
      <w:bookmarkStart w:id="130" w:name="_Toc26446"/>
      <w:bookmarkStart w:id="131" w:name="_Toc6847"/>
      <w:bookmarkStart w:id="132" w:name="_Toc18713_WPSOffice_Level3"/>
      <w:bookmarkStart w:id="133" w:name="_Toc174"/>
      <w:r>
        <w:rPr>
          <w:rFonts w:hint="eastAsia" w:ascii="楷体_GB2312" w:hAnsi="楷体_GB2312" w:eastAsia="楷体_GB2312" w:cs="楷体_GB2312"/>
          <w:b/>
          <w:bCs/>
          <w:color w:val="auto"/>
          <w:kern w:val="2"/>
          <w:sz w:val="32"/>
          <w:szCs w:val="32"/>
          <w:highlight w:val="none"/>
          <w:lang w:val="en-US" w:eastAsia="zh-CN" w:bidi="ar-SA"/>
        </w:rPr>
        <w:t>16.谈判小组</w:t>
      </w:r>
      <w:bookmarkEnd w:id="129"/>
      <w:bookmarkEnd w:id="130"/>
      <w:bookmarkEnd w:id="131"/>
      <w:bookmarkEnd w:id="132"/>
      <w:bookmarkEnd w:id="13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17.1竞争性谈判小组由采购人代表和评审专家共</w:t>
      </w:r>
      <w:r>
        <w:rPr>
          <w:rFonts w:hint="eastAsia" w:ascii="仿宋_GB2312" w:hAnsi="仿宋_GB2312" w:eastAsia="仿宋_GB2312" w:cs="仿宋_GB2312"/>
          <w:color w:val="auto"/>
          <w:kern w:val="2"/>
          <w:sz w:val="32"/>
          <w:szCs w:val="32"/>
          <w:highlight w:val="none"/>
          <w:u w:val="single"/>
          <w:lang w:val="en-US" w:eastAsia="zh-CN" w:bidi="ar-SA"/>
        </w:rPr>
        <w:t xml:space="preserve"> 3 </w:t>
      </w:r>
      <w:r>
        <w:rPr>
          <w:rFonts w:hint="eastAsia" w:ascii="仿宋_GB2312" w:hAnsi="仿宋_GB2312" w:eastAsia="仿宋_GB2312" w:cs="仿宋_GB2312"/>
          <w:color w:val="auto"/>
          <w:kern w:val="2"/>
          <w:sz w:val="32"/>
          <w:szCs w:val="32"/>
          <w:highlight w:val="none"/>
          <w:lang w:val="en-US" w:eastAsia="zh-CN" w:bidi="ar-SA"/>
        </w:rPr>
        <w:t>人组成（3人以上单数组成），其中评审专家</w:t>
      </w:r>
      <w:r>
        <w:rPr>
          <w:rFonts w:hint="eastAsia" w:ascii="仿宋_GB2312" w:hAnsi="仿宋_GB2312" w:eastAsia="仿宋_GB2312" w:cs="仿宋_GB2312"/>
          <w:color w:val="auto"/>
          <w:kern w:val="2"/>
          <w:sz w:val="32"/>
          <w:szCs w:val="32"/>
          <w:highlight w:val="none"/>
          <w:u w:val="single"/>
          <w:lang w:val="en-US" w:eastAsia="zh-CN" w:bidi="ar-SA"/>
        </w:rPr>
        <w:t xml:space="preserve">  2  </w:t>
      </w:r>
      <w:r>
        <w:rPr>
          <w:rFonts w:hint="eastAsia" w:ascii="仿宋_GB2312" w:hAnsi="仿宋_GB2312" w:eastAsia="仿宋_GB2312" w:cs="仿宋_GB2312"/>
          <w:color w:val="auto"/>
          <w:kern w:val="2"/>
          <w:sz w:val="32"/>
          <w:szCs w:val="32"/>
          <w:highlight w:val="none"/>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17.2谈判由采购代理机构负责组织，具体谈判事务由依法组建的谈判小组负责，并独立履行下列职责：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u w:val="none"/>
          <w:lang w:val="en-US" w:eastAsia="zh-CN" w:bidi="ar-SA"/>
        </w:rPr>
        <w:t>确认谈判文件</w:t>
      </w:r>
      <w:r>
        <w:rPr>
          <w:rFonts w:hint="eastAsia" w:ascii="仿宋_GB2312" w:hAnsi="仿宋_GB2312" w:eastAsia="仿宋_GB2312" w:cs="仿宋_GB2312"/>
          <w:color w:val="auto"/>
          <w:kern w:val="2"/>
          <w:sz w:val="32"/>
          <w:szCs w:val="32"/>
          <w:highlight w:val="none"/>
          <w:lang w:val="en-US" w:eastAsia="zh-CN" w:bidi="ar-SA"/>
        </w:rPr>
        <w:t>；</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（2）审查供应商的响应文件并作出评价；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（3）要求供应商对谈判文件有关事项作出澄清或者说明；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（4）编写评审报告；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（5）确定成交候选人名单，以及根据采购人委托直接确定成交供应商；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（6）告知采购人、采购代理机构在评审过程中发现的供应商的违法违规行为。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17.3谈判小组应遵守并履行下列义务：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（1）遵纪守法，客观、公正、廉洁地履行职责；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（2）按照谈判文件规定的成交方法评审，对评审意见承担谈判小组成员责任；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（3）对谈判响应文件、谈判情况和谈判中获悉的国家秘密、商业秘密保密；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（4）参与评审报告的起草；</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（5）配合采购人、采购代理机构答复供应商提出的质疑；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（6）配合财政部门的投诉处理和监督检查工作。</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17.4谈判小组成员有下列情形之一的，应当回避：</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（1）参加采购活动前 3 年内与供应商存在劳动关系；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（2）参加采购活动前 3 年内担任供应商的董事、监事；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（3）参加采购活动前 3 年内是供应商的控股股东或者实际控制人；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（5）与供应商有其他可能影响政府采购活动公平、公正进行的关系。</w:t>
      </w:r>
      <w:bookmarkStart w:id="134" w:name="_Toc16350_WPSOffice_Level3"/>
      <w:bookmarkStart w:id="135" w:name="_Toc19122"/>
    </w:p>
    <w:p>
      <w:pPr>
        <w:pStyle w:val="5"/>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color w:val="auto"/>
          <w:kern w:val="2"/>
          <w:sz w:val="32"/>
          <w:szCs w:val="32"/>
          <w:highlight w:val="none"/>
          <w:lang w:val="en-US" w:eastAsia="zh-CN" w:bidi="ar-SA"/>
        </w:rPr>
      </w:pPr>
      <w:bookmarkStart w:id="136" w:name="_Toc30302"/>
      <w:bookmarkStart w:id="137" w:name="_Toc22044_WPSOffice_Level3"/>
      <w:r>
        <w:rPr>
          <w:rFonts w:hint="eastAsia" w:ascii="楷体_GB2312" w:hAnsi="楷体_GB2312" w:eastAsia="楷体_GB2312" w:cs="楷体_GB2312"/>
          <w:b/>
          <w:bCs/>
          <w:color w:val="auto"/>
          <w:kern w:val="2"/>
          <w:sz w:val="32"/>
          <w:szCs w:val="32"/>
          <w:highlight w:val="none"/>
          <w:lang w:val="en-US" w:eastAsia="zh-CN" w:bidi="ar-SA"/>
        </w:rPr>
        <w:t>17.响应文件审查</w:t>
      </w:r>
      <w:bookmarkEnd w:id="134"/>
      <w:bookmarkEnd w:id="135"/>
      <w:bookmarkEnd w:id="136"/>
      <w:bookmarkEnd w:id="13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18.1谈判小组应当对响应文件进行评审，并根据谈判文件规定的程序、评定成交的标准等事项与实质性响应谈判文件要求的供应商进行谈判。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18.2在对供应商进行审查时，存在下列情况之一的，按无效处理：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（1）不符合谈判文件第一部分谈判须知前附表“供应商资格条件”的；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（2）未按第11.1.1款“</w:t>
      </w:r>
      <w:r>
        <w:rPr>
          <w:rFonts w:hint="eastAsia" w:ascii="仿宋_GB2312" w:hAnsi="仿宋_GB2312" w:eastAsia="仿宋_GB2312" w:cs="仿宋_GB2312"/>
          <w:color w:val="auto"/>
          <w:kern w:val="2"/>
          <w:sz w:val="32"/>
          <w:szCs w:val="32"/>
          <w:highlight w:val="none"/>
          <w:lang w:val="zh-CN" w:eastAsia="zh-CN" w:bidi="ar-SA"/>
        </w:rPr>
        <w:t>资格审查部分</w:t>
      </w:r>
      <w:r>
        <w:rPr>
          <w:rFonts w:hint="eastAsia" w:ascii="仿宋_GB2312" w:hAnsi="仿宋_GB2312" w:eastAsia="仿宋_GB2312" w:cs="仿宋_GB2312"/>
          <w:color w:val="auto"/>
          <w:kern w:val="2"/>
          <w:sz w:val="32"/>
          <w:szCs w:val="32"/>
          <w:highlight w:val="none"/>
          <w:lang w:val="en-US" w:eastAsia="zh-CN" w:bidi="ar-SA"/>
        </w:rPr>
        <w:t>”要求提供相关资料的；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（3）响应文件没有按谈判文件规定和要求签字、盖章的；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（4）谈判有效期不能满足谈判文件要求的；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（5）谈判报价超过谈判文件规定的采购预算额度的；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（6）所提供产品的技术规格、技术标准不符合采购项目要求的；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（7）谈判响应文件含有采购人不能接受的附加条件的；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（8）响应文件不满足谈判文件实质性要求和条件的；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（9）谈判小组认为应按无效谈判处理的其他情况；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（10）法律、法规规定的其他情形。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38" w:name="_Toc18048"/>
      <w:bookmarkStart w:id="139" w:name="_Toc1241"/>
      <w:bookmarkStart w:id="140" w:name="_Toc7845_WPSOffice_Level3"/>
      <w:bookmarkStart w:id="141" w:name="_Toc13231_WPSOffice_Level3"/>
      <w:bookmarkStart w:id="142" w:name="_Toc19073"/>
      <w:bookmarkStart w:id="143" w:name="_Toc11154"/>
      <w:bookmarkStart w:id="144" w:name="_Toc17887_WPSOffice_Level3"/>
      <w:bookmarkStart w:id="145" w:name="_Toc17197"/>
      <w:bookmarkStart w:id="146" w:name="_Toc1673_WPSOffice_Level3"/>
      <w:r>
        <w:rPr>
          <w:rFonts w:hint="eastAsia" w:ascii="楷体_GB2312" w:hAnsi="楷体_GB2312" w:eastAsia="楷体_GB2312" w:cs="楷体_GB2312"/>
          <w:b/>
          <w:bCs/>
          <w:color w:val="auto"/>
          <w:kern w:val="2"/>
          <w:sz w:val="32"/>
          <w:szCs w:val="32"/>
          <w:highlight w:val="none"/>
          <w:lang w:val="en-US" w:eastAsia="zh-CN" w:bidi="ar-SA"/>
        </w:rPr>
        <w:t>18.响应文件的递交与接收</w:t>
      </w:r>
      <w:bookmarkEnd w:id="138"/>
      <w:bookmarkEnd w:id="139"/>
      <w:bookmarkEnd w:id="140"/>
      <w:bookmarkEnd w:id="141"/>
      <w:bookmarkEnd w:id="142"/>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供应商应在【谈判须知前附表】规定的时间和地点提交响应文件。在截止时间后送达的响应文件为无效文件，采购人、采购代理机构或者谈判小组拒收逾期送达的响应文件。</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47" w:name="_Toc31174"/>
      <w:r>
        <w:rPr>
          <w:rFonts w:hint="eastAsia" w:ascii="楷体_GB2312" w:hAnsi="楷体_GB2312" w:eastAsia="楷体_GB2312" w:cs="楷体_GB2312"/>
          <w:b/>
          <w:bCs/>
          <w:color w:val="auto"/>
          <w:kern w:val="2"/>
          <w:sz w:val="32"/>
          <w:szCs w:val="32"/>
          <w:highlight w:val="none"/>
          <w:lang w:val="en-US" w:eastAsia="zh-CN" w:bidi="ar-SA"/>
        </w:rPr>
        <w:t>19.谈判程序</w:t>
      </w:r>
      <w:bookmarkEnd w:id="143"/>
      <w:bookmarkEnd w:id="144"/>
      <w:bookmarkEnd w:id="145"/>
      <w:bookmarkEnd w:id="146"/>
      <w:bookmarkEnd w:id="14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19.2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19.4响应文件中首次报价表内的报价为首次报价，根据技术、服务等满足谈判文件要求的情况，供应商可进行二次报价。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19.6谈判工作在有关部门的监督下依法开展，任何单位和个人不得非法干预、影响谈判工作和谈判结果。</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48" w:name="_Toc24288_WPSOffice_Level3"/>
      <w:bookmarkStart w:id="149" w:name="_Toc2176"/>
      <w:bookmarkStart w:id="150" w:name="_Toc14903"/>
      <w:bookmarkStart w:id="151" w:name="_Toc1755"/>
      <w:bookmarkStart w:id="152" w:name="_Toc25644_WPSOffice_Level3"/>
      <w:r>
        <w:rPr>
          <w:rFonts w:hint="eastAsia" w:ascii="楷体_GB2312" w:hAnsi="楷体_GB2312" w:eastAsia="楷体_GB2312" w:cs="楷体_GB2312"/>
          <w:b/>
          <w:bCs/>
          <w:color w:val="auto"/>
          <w:kern w:val="2"/>
          <w:sz w:val="32"/>
          <w:szCs w:val="32"/>
          <w:highlight w:val="none"/>
          <w:lang w:val="en-US" w:eastAsia="zh-CN" w:bidi="ar-SA"/>
        </w:rPr>
        <w:t>20.澄清</w:t>
      </w:r>
      <w:bookmarkEnd w:id="148"/>
      <w:bookmarkEnd w:id="149"/>
      <w:bookmarkEnd w:id="150"/>
      <w:bookmarkEnd w:id="151"/>
      <w:bookmarkEnd w:id="15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53" w:name="_Toc4997"/>
      <w:bookmarkStart w:id="154" w:name="_Toc8374"/>
      <w:bookmarkStart w:id="155" w:name="_Toc29985"/>
      <w:bookmarkStart w:id="156" w:name="_Toc6898_WPSOffice_Level3"/>
      <w:bookmarkStart w:id="157" w:name="_Toc13262_WPSOffice_Level3"/>
      <w:r>
        <w:rPr>
          <w:rFonts w:hint="eastAsia" w:ascii="楷体_GB2312" w:hAnsi="楷体_GB2312" w:eastAsia="楷体_GB2312" w:cs="楷体_GB2312"/>
          <w:b/>
          <w:bCs/>
          <w:color w:val="auto"/>
          <w:kern w:val="2"/>
          <w:sz w:val="32"/>
          <w:szCs w:val="32"/>
          <w:highlight w:val="none"/>
          <w:lang w:val="en-US" w:eastAsia="zh-CN" w:bidi="ar-SA"/>
        </w:rPr>
        <w:t>21.退出谈判</w:t>
      </w:r>
      <w:bookmarkEnd w:id="153"/>
      <w:bookmarkEnd w:id="154"/>
      <w:bookmarkEnd w:id="155"/>
      <w:bookmarkEnd w:id="156"/>
      <w:bookmarkEnd w:id="157"/>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58" w:name="_Toc5048_WPSOffice_Level3"/>
      <w:bookmarkStart w:id="159" w:name="_Toc14748"/>
      <w:bookmarkStart w:id="160" w:name="_Toc30514"/>
      <w:bookmarkStart w:id="161" w:name="_Toc32003"/>
      <w:bookmarkStart w:id="162" w:name="_Toc18169_WPSOffice_Level3"/>
      <w:r>
        <w:rPr>
          <w:rFonts w:hint="eastAsia" w:ascii="楷体_GB2312" w:hAnsi="楷体_GB2312" w:eastAsia="楷体_GB2312" w:cs="楷体_GB2312"/>
          <w:b/>
          <w:bCs/>
          <w:color w:val="auto"/>
          <w:kern w:val="2"/>
          <w:sz w:val="32"/>
          <w:szCs w:val="32"/>
          <w:highlight w:val="none"/>
          <w:lang w:val="en-US" w:eastAsia="zh-CN" w:bidi="ar-SA"/>
        </w:rPr>
        <w:t>22.最后报价</w:t>
      </w:r>
      <w:bookmarkEnd w:id="158"/>
      <w:bookmarkEnd w:id="159"/>
      <w:bookmarkEnd w:id="160"/>
      <w:bookmarkEnd w:id="161"/>
      <w:bookmarkEnd w:id="16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u w:val="single" w:color="auto"/>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22.2</w:t>
      </w:r>
      <w:r>
        <w:rPr>
          <w:rFonts w:hint="eastAsia" w:ascii="仿宋_GB2312" w:hAnsi="仿宋_GB2312" w:eastAsia="仿宋_GB2312" w:cs="仿宋_GB2312"/>
          <w:color w:val="auto"/>
          <w:kern w:val="2"/>
          <w:sz w:val="32"/>
          <w:szCs w:val="32"/>
          <w:highlight w:val="none"/>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22.3最后报价的评审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（1）最后报价出现大写金额和小写金额不一致的，以大写金额为准。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（2）需落实政府采购政策的，按相关规定进行价格扣除。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22.4</w:t>
      </w:r>
      <w:r>
        <w:rPr>
          <w:rFonts w:hint="eastAsia" w:ascii="仿宋_GB2312" w:hAnsi="仿宋_GB2312" w:eastAsia="仿宋_GB2312" w:cs="仿宋_GB2312"/>
          <w:color w:val="auto"/>
          <w:kern w:val="2"/>
          <w:sz w:val="32"/>
          <w:szCs w:val="32"/>
          <w:highlight w:val="none"/>
          <w:u w:val="none" w:color="auto"/>
          <w:lang w:val="en-US" w:eastAsia="zh-CN" w:bidi="ar-SA"/>
        </w:rPr>
        <w:t>最</w:t>
      </w:r>
      <w:r>
        <w:rPr>
          <w:rFonts w:hint="eastAsia" w:ascii="仿宋_GB2312" w:hAnsi="仿宋_GB2312" w:eastAsia="仿宋_GB2312" w:cs="仿宋_GB2312"/>
          <w:color w:val="auto"/>
          <w:kern w:val="2"/>
          <w:sz w:val="32"/>
          <w:szCs w:val="32"/>
          <w:highlight w:val="none"/>
          <w:lang w:val="en-US" w:eastAsia="zh-CN" w:bidi="ar-SA"/>
        </w:rPr>
        <w:t>后报价如果高于其响应文件中的首次报价的，以最后报价为准。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22.5采购人、采购代理机构在按规定公布供应商的最后报价前，不得公开供应商的技术资料、价格和其他信息。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22.6若最后报价时出现最低价相同的情形，谈判小组应召集报价相同的供应商进行再次报价（或直接提出成交候选人）（由采购人、代理机构自主选择）。</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63" w:name="_Toc1797"/>
      <w:bookmarkStart w:id="164" w:name="_Toc8242_WPSOffice_Level3"/>
      <w:bookmarkStart w:id="165" w:name="_Toc8711"/>
      <w:bookmarkStart w:id="166" w:name="_Toc16084_WPSOffice_Level3"/>
      <w:bookmarkStart w:id="167" w:name="_Toc7275"/>
      <w:r>
        <w:rPr>
          <w:rFonts w:hint="eastAsia" w:ascii="楷体_GB2312" w:hAnsi="楷体_GB2312" w:eastAsia="楷体_GB2312" w:cs="楷体_GB2312"/>
          <w:b/>
          <w:bCs/>
          <w:color w:val="auto"/>
          <w:kern w:val="2"/>
          <w:sz w:val="32"/>
          <w:szCs w:val="32"/>
          <w:highlight w:val="none"/>
          <w:lang w:val="en-US" w:eastAsia="zh-CN" w:bidi="ar-SA"/>
        </w:rPr>
        <w:t>23.确定成交供应商</w:t>
      </w:r>
      <w:bookmarkEnd w:id="163"/>
      <w:bookmarkEnd w:id="164"/>
      <w:bookmarkEnd w:id="165"/>
      <w:bookmarkEnd w:id="166"/>
      <w:bookmarkEnd w:id="16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23.3采购代理机构应当在评审结束后2个工作日内将评审报告送采购人确认。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23.5采购人逾期未确定成交供应商且不提出异议的，视为确定评审报告提出的最后报价最低的供应商为成交供应商。</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68" w:name="_Toc1883"/>
      <w:bookmarkStart w:id="169" w:name="_Toc24684"/>
      <w:bookmarkStart w:id="170" w:name="_Toc10295"/>
      <w:bookmarkStart w:id="171" w:name="_Toc20869_WPSOffice_Level3"/>
      <w:bookmarkStart w:id="172" w:name="_Toc17639_WPSOffice_Level3"/>
      <w:r>
        <w:rPr>
          <w:rFonts w:hint="eastAsia" w:ascii="楷体_GB2312" w:hAnsi="楷体_GB2312" w:eastAsia="楷体_GB2312" w:cs="楷体_GB2312"/>
          <w:b/>
          <w:bCs/>
          <w:color w:val="auto"/>
          <w:kern w:val="2"/>
          <w:sz w:val="32"/>
          <w:szCs w:val="32"/>
          <w:highlight w:val="none"/>
          <w:lang w:val="en-US" w:eastAsia="zh-CN" w:bidi="ar-SA"/>
        </w:rPr>
        <w:t>24.重新评审</w:t>
      </w:r>
      <w:bookmarkEnd w:id="168"/>
      <w:bookmarkEnd w:id="169"/>
      <w:bookmarkEnd w:id="170"/>
      <w:bookmarkEnd w:id="171"/>
      <w:bookmarkEnd w:id="17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24.1除资格审查认定错误和价格计算错误外，采购人、采购代理机构不以任何理由组织重新评审。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24.2采购人、采购代理机构发现谈判小组未按照谈判文件规定的评定成交标准进行评审的，应当重新开展采购活动，并同时书面报告同级财政部门。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73" w:name="_Toc31510"/>
      <w:bookmarkStart w:id="174" w:name="_Toc3509"/>
      <w:bookmarkStart w:id="175" w:name="_Toc1388_WPSOffice_Level3"/>
      <w:bookmarkStart w:id="176" w:name="_Toc26374_WPSOffice_Level3"/>
      <w:bookmarkStart w:id="177" w:name="_Toc12673"/>
      <w:r>
        <w:rPr>
          <w:rFonts w:hint="eastAsia" w:ascii="楷体_GB2312" w:hAnsi="楷体_GB2312" w:eastAsia="楷体_GB2312" w:cs="楷体_GB2312"/>
          <w:b/>
          <w:bCs/>
          <w:color w:val="auto"/>
          <w:kern w:val="2"/>
          <w:sz w:val="32"/>
          <w:szCs w:val="32"/>
          <w:highlight w:val="none"/>
          <w:lang w:val="en-US" w:eastAsia="zh-CN" w:bidi="ar-SA"/>
        </w:rPr>
        <w:t>25.谈判终止</w:t>
      </w:r>
      <w:bookmarkEnd w:id="173"/>
      <w:bookmarkEnd w:id="174"/>
      <w:bookmarkEnd w:id="175"/>
      <w:bookmarkEnd w:id="176"/>
      <w:bookmarkEnd w:id="17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25.1出现下列情形之一的，采购人、采购代理机构应当终止竞争性谈判采购活动，在指定的媒体上发布项目终止公告并说明原因，重新开展采购活动：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（1）因情况变化，不再符合规定的竞争性谈判采购方式适用情形的；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（2）出现影响采购公正的违法、违规行为的；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（4）因重大变故，采购任务取消的。</w:t>
      </w:r>
    </w:p>
    <w:p>
      <w:pPr>
        <w:pStyle w:val="5"/>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78" w:name="_Toc32730"/>
      <w:bookmarkStart w:id="179" w:name="_Toc30004"/>
      <w:bookmarkStart w:id="180" w:name="_Toc11721"/>
      <w:bookmarkStart w:id="181" w:name="_Toc20688_WPSOffice_Level3"/>
      <w:bookmarkStart w:id="182" w:name="_Toc18635_WPSOffice_Level3"/>
      <w:r>
        <w:rPr>
          <w:rFonts w:hint="eastAsia" w:ascii="楷体_GB2312" w:hAnsi="楷体_GB2312" w:eastAsia="楷体_GB2312" w:cs="楷体_GB2312"/>
          <w:b/>
          <w:bCs/>
          <w:color w:val="auto"/>
          <w:kern w:val="2"/>
          <w:sz w:val="32"/>
          <w:szCs w:val="32"/>
          <w:highlight w:val="none"/>
          <w:lang w:val="en-US" w:eastAsia="zh-CN" w:bidi="ar-SA"/>
        </w:rPr>
        <w:t>26.串通情形认定及处理</w:t>
      </w:r>
      <w:bookmarkEnd w:id="178"/>
      <w:bookmarkEnd w:id="179"/>
      <w:bookmarkEnd w:id="180"/>
      <w:bookmarkEnd w:id="181"/>
      <w:bookmarkEnd w:id="182"/>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color w:val="auto"/>
          <w:sz w:val="32"/>
          <w:szCs w:val="32"/>
          <w:highlight w:val="none"/>
          <w:lang w:val="en-US" w:eastAsia="zh-CN"/>
        </w:rPr>
        <w:t>采购工作。</w:t>
      </w:r>
    </w:p>
    <w:p>
      <w:pPr>
        <w:widowControl w:val="0"/>
        <w:wordWrap/>
        <w:spacing w:line="560" w:lineRule="exact"/>
        <w:ind w:left="0" w:leftChars="0" w:right="0" w:firstLine="640" w:firstLineChars="200"/>
        <w:textAlignment w:val="auto"/>
        <w:outlineLvl w:val="9"/>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en-US" w:eastAsia="zh-CN"/>
        </w:rPr>
        <w:t>26.2有下列情形之一的，成交无效，对供应商</w:t>
      </w:r>
      <w:r>
        <w:rPr>
          <w:rFonts w:hint="eastAsia" w:ascii="仿宋" w:hAnsi="仿宋" w:eastAsia="仿宋" w:cs="仿宋"/>
          <w:color w:val="auto"/>
          <w:sz w:val="32"/>
          <w:szCs w:val="32"/>
          <w:highlight w:val="none"/>
          <w:lang w:val="zh-CN" w:eastAsia="zh-CN"/>
        </w:rPr>
        <w:t>依照《政府采购法》第七十七条的规定追究法律责任：</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bookmarkStart w:id="183" w:name="_Toc22761"/>
      <w:bookmarkStart w:id="184" w:name="_Toc34637770"/>
      <w:r>
        <w:rPr>
          <w:rFonts w:hint="eastAsia" w:ascii="仿宋" w:hAnsi="仿宋" w:eastAsia="仿宋" w:cs="仿宋"/>
          <w:color w:val="auto"/>
          <w:sz w:val="32"/>
          <w:szCs w:val="32"/>
          <w:highlight w:val="none"/>
          <w:lang w:val="en-US" w:eastAsia="zh-CN"/>
        </w:rPr>
        <w:t xml:space="preserve">   （1）供应商直接或者间接从采购人或者采购代理机构处获得其他供应商的相关情况并修改其响应文件；</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（2）供应商按照采购人或者采购代理机构的授意撤换、修改响应文件；</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（3）供应商之间协商报价、技术方案等响应文件的实质性内容；</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（4）属于同一集团、协会、商会等组织成员的供应商按照该组织要求协同参加政府采购活动；</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（5）供应商之间事先约定由某一特定供应商成交；</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（6）供应商之间商定部分供应商放弃参加政府采购活动或者放弃成交；</w:t>
      </w:r>
    </w:p>
    <w:p>
      <w:pPr>
        <w:widowControl w:val="0"/>
        <w:wordWrap/>
        <w:spacing w:line="560" w:lineRule="exact"/>
        <w:ind w:right="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26.3 有下列情形之一的，视为供应商串通，其响应无效：</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（1）不同供应商的响应文件由同一单位或者个人编制；</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（2）不同供应商委托同一单位或者个人办理谈判事宜；</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（3）不同供应商的响应文件载明的项目管理成员或者联系人员为同一人；</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（4）不同供应商的响应文件异常一致或者报价呈规律性差异；</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（5）不同供应商的响应文件相互混装；</w:t>
      </w:r>
    </w:p>
    <w:p>
      <w:pPr>
        <w:widowControl w:val="0"/>
        <w:wordWrap/>
        <w:spacing w:line="560" w:lineRule="exact"/>
        <w:ind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（6）不同供应商的保证金从同一单位或者个人的账户转出。</w:t>
      </w:r>
    </w:p>
    <w:p>
      <w:pPr>
        <w:widowControl w:val="0"/>
        <w:wordWrap/>
        <w:spacing w:line="560" w:lineRule="exact"/>
        <w:ind w:right="0" w:firstLine="640" w:firstLineChars="200"/>
        <w:textAlignment w:val="auto"/>
        <w:outlineLvl w:val="9"/>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               六、成交结果信息公布与授予合同</w:t>
      </w:r>
      <w:bookmarkEnd w:id="183"/>
      <w:bookmarkEnd w:id="184"/>
    </w:p>
    <w:p>
      <w:pPr>
        <w:pStyle w:val="5"/>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color w:val="auto"/>
          <w:kern w:val="2"/>
          <w:sz w:val="30"/>
          <w:szCs w:val="30"/>
          <w:highlight w:val="none"/>
          <w:lang w:val="en-US" w:eastAsia="zh-CN" w:bidi="ar-SA"/>
        </w:rPr>
      </w:pPr>
      <w:bookmarkStart w:id="185" w:name="_Toc1435"/>
      <w:bookmarkStart w:id="186" w:name="_Toc947"/>
      <w:bookmarkStart w:id="187" w:name="_Toc8339_WPSOffice_Level3"/>
      <w:bookmarkStart w:id="188" w:name="_Toc23126"/>
      <w:bookmarkStart w:id="189" w:name="_Toc30784_WPSOffice_Level3"/>
      <w:r>
        <w:rPr>
          <w:rFonts w:hint="eastAsia" w:ascii="楷体_GB2312" w:hAnsi="楷体_GB2312" w:eastAsia="楷体_GB2312" w:cs="楷体_GB2312"/>
          <w:b/>
          <w:bCs/>
          <w:color w:val="auto"/>
          <w:kern w:val="2"/>
          <w:sz w:val="32"/>
          <w:szCs w:val="32"/>
          <w:highlight w:val="none"/>
          <w:lang w:val="en-US" w:eastAsia="zh-CN" w:bidi="ar-SA"/>
        </w:rPr>
        <w:t>27.成交信息的公布与通知</w:t>
      </w:r>
      <w:bookmarkEnd w:id="185"/>
      <w:bookmarkEnd w:id="186"/>
      <w:bookmarkEnd w:id="187"/>
      <w:bookmarkEnd w:id="188"/>
      <w:bookmarkEnd w:id="18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27.2成交结果公告应当包括以下内容：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（1）采购人和采购代理机构的名称、地址和联系方式；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（2）项目名称和项目编号；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（3）成交供应商名称、地址和成交金额；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（4）主要成交标的的名称、规格型号、数量、单价、服务要求；</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（5）谈判小组成员名单。</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27.3《成交通知书》发出后，采购人不得违法改变采购结果，成交供应商无正当理由不得放弃。</w:t>
      </w:r>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90" w:name="_Toc7190"/>
      <w:bookmarkStart w:id="191" w:name="_Toc20586"/>
      <w:bookmarkStart w:id="192" w:name="_Toc29441"/>
      <w:bookmarkStart w:id="193" w:name="_Toc5068_WPSOffice_Level3"/>
      <w:bookmarkStart w:id="194" w:name="_Toc13860_WPSOffice_Level3"/>
      <w:r>
        <w:rPr>
          <w:rFonts w:hint="eastAsia" w:ascii="楷体_GB2312" w:hAnsi="楷体_GB2312" w:eastAsia="楷体_GB2312" w:cs="楷体_GB2312"/>
          <w:b/>
          <w:bCs/>
          <w:color w:val="auto"/>
          <w:kern w:val="2"/>
          <w:sz w:val="32"/>
          <w:szCs w:val="32"/>
          <w:highlight w:val="none"/>
          <w:lang w:val="en-US" w:eastAsia="zh-CN" w:bidi="ar-SA"/>
        </w:rPr>
        <w:t>28.授予合同</w:t>
      </w:r>
      <w:bookmarkEnd w:id="190"/>
      <w:bookmarkEnd w:id="191"/>
      <w:bookmarkEnd w:id="192"/>
      <w:bookmarkEnd w:id="193"/>
      <w:bookmarkEnd w:id="19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28.1谈判文件、成交供应商的响应文件及其补充的响应文件、成交通知书等均为签订政府采购合同的依据。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bookmarkStart w:id="195" w:name="_Toc376936761"/>
      <w:bookmarkStart w:id="196" w:name="_Toc325726030"/>
      <w:r>
        <w:rPr>
          <w:rFonts w:hint="eastAsia" w:ascii="仿宋_GB2312" w:hAnsi="仿宋_GB2312" w:eastAsia="仿宋_GB2312" w:cs="仿宋_GB2312"/>
          <w:color w:val="auto"/>
          <w:kern w:val="2"/>
          <w:sz w:val="32"/>
          <w:szCs w:val="32"/>
          <w:highlight w:val="none"/>
          <w:lang w:val="en-US" w:eastAsia="zh-CN" w:bidi="ar-SA"/>
        </w:rPr>
        <w:t>28.4采购人或采购代理机构应当自采购合同签订之日起2个工作日内，将采购合同在青海政府采购信息网上公告，但政府采购合同中涉及国家秘密、商业秘密的内容除外。</w:t>
      </w:r>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197" w:name="_Toc30150"/>
      <w:bookmarkStart w:id="198" w:name="_Toc8740_WPSOffice_Level3"/>
      <w:bookmarkStart w:id="199" w:name="_Toc16374"/>
      <w:bookmarkStart w:id="200" w:name="_Toc32538"/>
      <w:bookmarkStart w:id="201" w:name="_Toc16258_WPSOffice_Level3"/>
      <w:r>
        <w:rPr>
          <w:rFonts w:hint="eastAsia" w:ascii="楷体_GB2312" w:hAnsi="楷体_GB2312" w:eastAsia="楷体_GB2312" w:cs="楷体_GB2312"/>
          <w:b/>
          <w:bCs/>
          <w:color w:val="auto"/>
          <w:kern w:val="2"/>
          <w:sz w:val="32"/>
          <w:szCs w:val="32"/>
          <w:highlight w:val="none"/>
          <w:lang w:val="en-US" w:eastAsia="zh-CN" w:bidi="ar-SA"/>
        </w:rPr>
        <w:t>29.履约验收</w:t>
      </w:r>
      <w:bookmarkEnd w:id="197"/>
      <w:bookmarkEnd w:id="198"/>
      <w:bookmarkEnd w:id="199"/>
      <w:bookmarkEnd w:id="200"/>
      <w:bookmarkEnd w:id="2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29.1履约保证金：</w:t>
      </w:r>
      <w:r>
        <w:rPr>
          <w:rFonts w:hint="eastAsia" w:ascii="仿宋_GB2312" w:hAnsi="仿宋_GB2312" w:eastAsia="仿宋_GB2312" w:cs="仿宋_GB2312"/>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（或根据《政府采购实施条例》第四十八条明确约定保证金缴纳数额及方式）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02" w:name="_Toc31604_WPSOffice_Level2"/>
      <w:bookmarkStart w:id="203" w:name="_Toc2658_WPSOffice_Level2"/>
      <w:bookmarkStart w:id="204" w:name="_Toc4328"/>
      <w:bookmarkStart w:id="205" w:name="_Toc3517_WPSOffice_Level2"/>
      <w:bookmarkStart w:id="206" w:name="_Toc6881"/>
      <w:bookmarkStart w:id="207" w:name="_Toc32362"/>
      <w:bookmarkStart w:id="208" w:name="_Toc29887"/>
      <w:r>
        <w:rPr>
          <w:rFonts w:hint="eastAsia" w:ascii="黑体" w:hAnsi="黑体" w:eastAsia="黑体" w:cs="黑体"/>
          <w:b w:val="0"/>
          <w:bCs w:val="0"/>
          <w:color w:val="auto"/>
          <w:kern w:val="2"/>
          <w:sz w:val="32"/>
          <w:szCs w:val="32"/>
          <w:highlight w:val="none"/>
          <w:lang w:val="en-US" w:eastAsia="zh-CN" w:bidi="ar-SA"/>
        </w:rPr>
        <w:t>七、询问与质疑</w:t>
      </w:r>
      <w:bookmarkEnd w:id="195"/>
      <w:bookmarkEnd w:id="196"/>
      <w:bookmarkEnd w:id="202"/>
      <w:bookmarkEnd w:id="203"/>
      <w:bookmarkEnd w:id="204"/>
      <w:bookmarkEnd w:id="205"/>
      <w:bookmarkEnd w:id="206"/>
      <w:bookmarkEnd w:id="207"/>
      <w:bookmarkEnd w:id="208"/>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209" w:name="_Toc26983"/>
      <w:bookmarkStart w:id="210" w:name="_Toc21641"/>
      <w:bookmarkStart w:id="211" w:name="_Toc23314_WPSOffice_Level3"/>
      <w:bookmarkStart w:id="212" w:name="_Toc25982_WPSOffice_Level3"/>
      <w:bookmarkStart w:id="213" w:name="_Toc29785"/>
      <w:r>
        <w:rPr>
          <w:rFonts w:hint="eastAsia" w:ascii="楷体_GB2312" w:hAnsi="楷体_GB2312" w:eastAsia="楷体_GB2312" w:cs="楷体_GB2312"/>
          <w:b/>
          <w:bCs/>
          <w:color w:val="auto"/>
          <w:kern w:val="2"/>
          <w:sz w:val="32"/>
          <w:szCs w:val="32"/>
          <w:highlight w:val="none"/>
          <w:lang w:val="en-US" w:eastAsia="zh-CN" w:bidi="ar-SA"/>
        </w:rPr>
        <w:t>30.对采购过程、结果的询问及质疑</w:t>
      </w:r>
      <w:bookmarkEnd w:id="209"/>
      <w:bookmarkEnd w:id="210"/>
      <w:bookmarkEnd w:id="211"/>
      <w:bookmarkEnd w:id="212"/>
      <w:bookmarkEnd w:id="21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30.1供应商对政府采购过程、结果有疑问的，可以向采购人、采购代理机构提出询问。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30.3供应商应在法定质疑期内一次性提出针对同一采购程序环节的质疑。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14" w:name="_Toc9701_WPSOffice_Level2"/>
      <w:bookmarkStart w:id="215" w:name="_Toc11509_WPSOffice_Level2"/>
      <w:bookmarkStart w:id="216" w:name="_Toc4534"/>
      <w:bookmarkStart w:id="217" w:name="_Toc34637771"/>
      <w:bookmarkStart w:id="218" w:name="_Toc22889"/>
      <w:bookmarkStart w:id="219" w:name="_Toc6866_WPSOffice_Level2"/>
      <w:bookmarkStart w:id="220" w:name="_Toc21832"/>
      <w:bookmarkStart w:id="221" w:name="_Toc13734"/>
      <w:bookmarkStart w:id="222" w:name="_Toc22201076"/>
      <w:r>
        <w:rPr>
          <w:rFonts w:hint="eastAsia" w:ascii="黑体" w:hAnsi="黑体" w:eastAsia="黑体" w:cs="黑体"/>
          <w:b w:val="0"/>
          <w:bCs w:val="0"/>
          <w:color w:val="auto"/>
          <w:kern w:val="2"/>
          <w:sz w:val="32"/>
          <w:szCs w:val="32"/>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223" w:name="_Toc19360_WPSOffice_Level3"/>
      <w:bookmarkStart w:id="224" w:name="_Toc5493"/>
      <w:bookmarkStart w:id="225" w:name="_Toc27584"/>
      <w:bookmarkStart w:id="226" w:name="_Toc16893"/>
      <w:bookmarkStart w:id="227" w:name="_Toc17253_WPSOffice_Level3"/>
      <w:r>
        <w:rPr>
          <w:rFonts w:hint="eastAsia" w:ascii="楷体_GB2312" w:hAnsi="楷体_GB2312" w:eastAsia="楷体_GB2312" w:cs="楷体_GB2312"/>
          <w:b/>
          <w:bCs/>
          <w:color w:val="auto"/>
          <w:kern w:val="2"/>
          <w:sz w:val="32"/>
          <w:szCs w:val="32"/>
          <w:highlight w:val="none"/>
          <w:lang w:val="en-US" w:eastAsia="zh-CN" w:bidi="ar-SA"/>
        </w:rPr>
        <w:t>31.政府采购政策</w:t>
      </w:r>
      <w:bookmarkEnd w:id="223"/>
      <w:bookmarkEnd w:id="224"/>
      <w:bookmarkEnd w:id="225"/>
      <w:bookmarkEnd w:id="226"/>
      <w:bookmarkEnd w:id="22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31.1节能产品、环境标志产品的采购：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31.2价格评审优惠：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供应商为小型、微型企业，且提供本企业生产的货物或者提供其他小型、微型企业生产的货物，价格按相关规定给予10%-20%的价格折扣，用扣除后的价格参与评审。本项所称货物不包括使用大型企业注册商标的货物；</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（3）监狱企业、残疾人福利性单位视同小型、微型企业，享受评审中价格扣除等促进中小企业发展的政府采购政策。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31.3供应商同时符合小型、微型企业及监狱企业、残疾人福利性单位要求的，评审时只有一种类型享受价格评审优惠政策；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28" w:name="_Toc34637772"/>
      <w:bookmarkStart w:id="229" w:name="_Toc10843_WPSOffice_Level2"/>
      <w:bookmarkStart w:id="230" w:name="_Toc7895"/>
      <w:bookmarkStart w:id="231" w:name="_Toc28078_WPSOffice_Level2"/>
      <w:bookmarkStart w:id="232" w:name="_Toc3719_WPSOffice_Level2"/>
      <w:bookmarkStart w:id="233" w:name="_Toc30960"/>
      <w:bookmarkStart w:id="234" w:name="_Toc15316"/>
      <w:bookmarkStart w:id="235" w:name="_Toc15805"/>
      <w:r>
        <w:rPr>
          <w:rFonts w:hint="eastAsia" w:ascii="黑体" w:hAnsi="黑体" w:eastAsia="黑体" w:cs="黑体"/>
          <w:b w:val="0"/>
          <w:bCs w:val="0"/>
          <w:color w:val="auto"/>
          <w:kern w:val="2"/>
          <w:sz w:val="32"/>
          <w:szCs w:val="32"/>
          <w:highlight w:val="none"/>
          <w:lang w:val="en-US" w:eastAsia="zh-CN" w:bidi="ar-SA"/>
        </w:rPr>
        <w:t>九、其他规定</w:t>
      </w:r>
      <w:bookmarkEnd w:id="228"/>
      <w:bookmarkEnd w:id="229"/>
      <w:bookmarkEnd w:id="230"/>
      <w:bookmarkEnd w:id="231"/>
      <w:bookmarkEnd w:id="232"/>
      <w:bookmarkEnd w:id="233"/>
      <w:bookmarkEnd w:id="234"/>
      <w:bookmarkEnd w:id="235"/>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highlight w:val="none"/>
          <w:lang w:val="en-US" w:eastAsia="zh-CN" w:bidi="ar-SA"/>
        </w:rPr>
      </w:pPr>
      <w:bookmarkStart w:id="236" w:name="_Toc10247"/>
      <w:bookmarkStart w:id="237" w:name="_Toc22185_WPSOffice_Level3"/>
      <w:bookmarkStart w:id="238" w:name="_Toc10855"/>
      <w:bookmarkStart w:id="239" w:name="_Toc12390_WPSOffice_Level3"/>
      <w:bookmarkStart w:id="240" w:name="_Toc25843"/>
      <w:r>
        <w:rPr>
          <w:rFonts w:hint="eastAsia" w:ascii="楷体_GB2312" w:hAnsi="楷体_GB2312" w:eastAsia="楷体_GB2312" w:cs="楷体_GB2312"/>
          <w:b/>
          <w:bCs/>
          <w:color w:val="auto"/>
          <w:kern w:val="2"/>
          <w:sz w:val="32"/>
          <w:szCs w:val="32"/>
          <w:highlight w:val="none"/>
          <w:lang w:val="en-US" w:eastAsia="zh-CN" w:bidi="ar-SA"/>
        </w:rPr>
        <w:t>32.代理服务费</w:t>
      </w:r>
      <w:bookmarkEnd w:id="236"/>
      <w:bookmarkEnd w:id="237"/>
      <w:bookmarkEnd w:id="238"/>
      <w:bookmarkEnd w:id="239"/>
      <w:bookmarkEnd w:id="24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采购代理服务费由成交供应商支付的，供应商应按【谈判须知前附表】规定向采购代理机构交纳代理服务费，并在谈判文件中提供代理服务费承诺书。</w:t>
      </w:r>
    </w:p>
    <w:p>
      <w:pPr>
        <w:pStyle w:val="5"/>
        <w:wordWrap/>
        <w:adjustRightInd w:val="0"/>
        <w:snapToGrid w:val="0"/>
        <w:spacing w:before="157" w:beforeLines="50" w:after="0" w:line="560" w:lineRule="exact"/>
        <w:outlineLvl w:val="2"/>
        <w:rPr>
          <w:rFonts w:hint="eastAsia" w:ascii="楷体_GB2312" w:hAnsi="楷体_GB2312" w:eastAsia="楷体_GB2312" w:cs="楷体_GB2312"/>
          <w:b/>
          <w:bCs/>
          <w:color w:val="auto"/>
          <w:kern w:val="2"/>
          <w:sz w:val="32"/>
          <w:szCs w:val="32"/>
          <w:highlight w:val="none"/>
          <w:lang w:val="en-US" w:eastAsia="zh-CN" w:bidi="ar-SA"/>
        </w:rPr>
      </w:pPr>
      <w:bookmarkStart w:id="241" w:name="_Toc14580"/>
      <w:bookmarkStart w:id="242" w:name="_Toc18975"/>
      <w:bookmarkStart w:id="243" w:name="_Toc1461_WPSOffice_Level3"/>
      <w:bookmarkStart w:id="244" w:name="_Toc27699_WPSOffice_Level3"/>
      <w:bookmarkStart w:id="245" w:name="_Toc5577"/>
      <w:r>
        <w:rPr>
          <w:rFonts w:hint="eastAsia" w:ascii="楷体_GB2312" w:hAnsi="楷体_GB2312" w:eastAsia="楷体_GB2312" w:cs="楷体_GB2312"/>
          <w:b/>
          <w:bCs/>
          <w:color w:val="auto"/>
          <w:kern w:val="2"/>
          <w:sz w:val="32"/>
          <w:szCs w:val="32"/>
          <w:highlight w:val="none"/>
          <w:lang w:val="en-US" w:eastAsia="zh-CN" w:bidi="ar-SA"/>
        </w:rPr>
        <w:t>33.其他规定</w:t>
      </w:r>
      <w:bookmarkEnd w:id="241"/>
      <w:bookmarkEnd w:id="242"/>
      <w:bookmarkEnd w:id="243"/>
      <w:bookmarkEnd w:id="244"/>
      <w:bookmarkEnd w:id="245"/>
    </w:p>
    <w:p>
      <w:pPr>
        <w:widowControl w:val="0"/>
        <w:wordWrap/>
        <w:adjustRightInd w:val="0"/>
        <w:snapToGrid w:val="0"/>
        <w:spacing w:line="560" w:lineRule="exact"/>
        <w:ind w:firstLine="640" w:firstLineChars="200"/>
        <w:jc w:val="left"/>
        <w:textAlignment w:val="auto"/>
        <w:rPr>
          <w:rFonts w:hint="eastAsia" w:ascii="宋体" w:hAnsi="宋体"/>
          <w:color w:val="auto"/>
          <w:szCs w:val="21"/>
          <w:highlight w:val="none"/>
        </w:rPr>
      </w:pPr>
      <w:r>
        <w:rPr>
          <w:rFonts w:hint="eastAsia" w:ascii="仿宋_GB2312" w:hAnsi="仿宋_GB2312" w:eastAsia="仿宋_GB2312" w:cs="仿宋_GB2312"/>
          <w:color w:val="auto"/>
          <w:kern w:val="2"/>
          <w:sz w:val="32"/>
          <w:szCs w:val="32"/>
          <w:highlight w:val="none"/>
          <w:lang w:val="en-US" w:eastAsia="zh-CN" w:bidi="ar-SA"/>
        </w:rPr>
        <w:t>谈判文件的其他规定见【谈判须知前附表】</w:t>
      </w:r>
      <w:r>
        <w:rPr>
          <w:rFonts w:hint="eastAsia" w:ascii="仿宋_GB2312" w:hAnsi="仿宋_GB2312" w:eastAsia="仿宋_GB2312" w:cs="仿宋_GB2312"/>
          <w:color w:val="auto"/>
          <w:kern w:val="2"/>
          <w:sz w:val="30"/>
          <w:szCs w:val="30"/>
          <w:highlight w:val="none"/>
          <w:lang w:val="en-US" w:eastAsia="zh-CN" w:bidi="ar-SA"/>
        </w:rPr>
        <w:t>。</w:t>
      </w:r>
    </w:p>
    <w:p>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color w:val="auto"/>
          <w:sz w:val="44"/>
          <w:szCs w:val="44"/>
          <w:highlight w:val="none"/>
          <w:lang w:val="en-US" w:eastAsia="zh-CN"/>
        </w:rPr>
      </w:pPr>
      <w:bookmarkStart w:id="246" w:name="_Toc2404_WPSOffice_Level1"/>
      <w:bookmarkStart w:id="247" w:name="_Toc18130_WPSOffice_Level1"/>
      <w:bookmarkStart w:id="248" w:name="_Toc7566"/>
      <w:bookmarkStart w:id="249" w:name="_Toc20750"/>
      <w:bookmarkStart w:id="250" w:name="_Toc4912_WPSOffice_Level1"/>
      <w:bookmarkStart w:id="251" w:name="_Toc7780_WPSOffice_Level1"/>
      <w:bookmarkStart w:id="252" w:name="_Toc13204"/>
      <w:bookmarkStart w:id="253" w:name="_Toc29561_WPSOffice_Level1"/>
      <w:bookmarkStart w:id="254" w:name="_Toc34637773"/>
      <w:bookmarkStart w:id="255" w:name="_Toc31765_WPSOffice_Level1"/>
      <w:r>
        <w:rPr>
          <w:rFonts w:hint="eastAsia" w:ascii="华文中宋" w:hAnsi="华文中宋" w:eastAsia="华文中宋" w:cs="华文中宋"/>
          <w:b w:val="0"/>
          <w:bCs w:val="0"/>
          <w:color w:val="auto"/>
          <w:sz w:val="44"/>
          <w:szCs w:val="44"/>
          <w:highlight w:val="none"/>
          <w:lang w:val="en-US" w:eastAsia="zh-CN"/>
        </w:rPr>
        <w:br w:type="page"/>
      </w:r>
      <w:bookmarkStart w:id="256" w:name="_Toc15351"/>
      <w:r>
        <w:rPr>
          <w:rFonts w:hint="eastAsia" w:ascii="华文中宋" w:hAnsi="华文中宋" w:eastAsia="华文中宋" w:cs="华文中宋"/>
          <w:b w:val="0"/>
          <w:bCs w:val="0"/>
          <w:color w:val="auto"/>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zh-CN" w:eastAsia="zh-CN" w:bidi="ar-SA"/>
        </w:rPr>
      </w:pPr>
      <w:bookmarkStart w:id="257" w:name="_Toc17070"/>
      <w:bookmarkStart w:id="258" w:name="_Toc4601"/>
      <w:bookmarkStart w:id="259" w:name="_Toc8656"/>
      <w:bookmarkStart w:id="260" w:name="_Toc20423_WPSOffice_Level2"/>
      <w:bookmarkStart w:id="261" w:name="_Toc6350"/>
      <w:bookmarkStart w:id="262" w:name="_Toc13326_WPSOffice_Level2"/>
      <w:bookmarkStart w:id="263" w:name="_Toc515908232"/>
      <w:bookmarkStart w:id="264" w:name="_Toc19812_WPSOffice_Level2"/>
      <w:r>
        <w:rPr>
          <w:rFonts w:hint="eastAsia" w:ascii="黑体" w:hAnsi="黑体" w:eastAsia="黑体" w:cs="黑体"/>
          <w:b w:val="0"/>
          <w:bCs w:val="0"/>
          <w:color w:val="auto"/>
          <w:kern w:val="2"/>
          <w:sz w:val="32"/>
          <w:szCs w:val="32"/>
          <w:highlight w:val="none"/>
          <w:lang w:val="zh-CN" w:eastAsia="zh-CN" w:bidi="ar-SA"/>
        </w:rPr>
        <w:t>十、响应说明</w:t>
      </w:r>
      <w:bookmarkEnd w:id="257"/>
      <w:bookmarkEnd w:id="258"/>
      <w:bookmarkEnd w:id="259"/>
      <w:bookmarkEnd w:id="260"/>
      <w:bookmarkEnd w:id="261"/>
      <w:bookmarkEnd w:id="262"/>
      <w:bookmarkEnd w:id="263"/>
      <w:bookmarkEnd w:id="264"/>
    </w:p>
    <w:p>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供应商可以按照谈判文件规定的包号选择响应，但必须对所响应包号中的所有内容作为一个整体进行响应，不能拆分或少报，</w:t>
      </w:r>
      <w:r>
        <w:rPr>
          <w:rFonts w:hint="eastAsia" w:ascii="仿宋_GB2312" w:hAnsi="仿宋_GB2312" w:eastAsia="仿宋_GB2312" w:cs="仿宋_GB2312"/>
          <w:color w:val="auto"/>
          <w:kern w:val="2"/>
          <w:sz w:val="32"/>
          <w:szCs w:val="32"/>
          <w:highlight w:val="none"/>
          <w:lang w:val="en-US" w:eastAsia="zh-CN" w:bidi="ar-SA"/>
        </w:rPr>
        <w:t>如有缺项、漏项，其响应无效。</w:t>
      </w:r>
    </w:p>
    <w:p>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供应商必须如实填写“项目需求及技术参数表”（样表如下），在响应产品“技术参数”栏中列出所响应产品的具体技术参数、指标；如果与谈判文件中提供的产品检测报告、彩页等证明材料中的实质性响应情况不一致或直接复制谈判文件“技术参数”内容的，按无效响应处理。</w:t>
      </w:r>
    </w:p>
    <w:p>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3.谈判</w:t>
      </w:r>
      <w:r>
        <w:rPr>
          <w:rFonts w:hint="eastAsia" w:ascii="仿宋_GB2312" w:hAnsi="仿宋_GB2312" w:eastAsia="仿宋_GB2312" w:cs="仿宋_GB2312"/>
          <w:color w:val="auto"/>
          <w:kern w:val="2"/>
          <w:sz w:val="32"/>
          <w:szCs w:val="32"/>
          <w:highlight w:val="none"/>
          <w:lang w:val="zh-CN" w:eastAsia="zh-CN" w:bidi="ar-SA"/>
        </w:rPr>
        <w:t>内容中未特别标注为“</w:t>
      </w:r>
      <w:r>
        <w:rPr>
          <w:rFonts w:hint="eastAsia" w:ascii="仿宋_GB2312" w:hAnsi="仿宋_GB2312" w:eastAsia="仿宋_GB2312" w:cs="仿宋_GB2312"/>
          <w:color w:val="auto"/>
          <w:sz w:val="32"/>
          <w:szCs w:val="32"/>
          <w:highlight w:val="none"/>
          <w:lang w:val="zh-CN"/>
        </w:rPr>
        <w:t>原装进口</w:t>
      </w:r>
      <w:r>
        <w:rPr>
          <w:rFonts w:hint="eastAsia" w:ascii="仿宋_GB2312" w:hAnsi="仿宋_GB2312" w:eastAsia="仿宋_GB2312" w:cs="仿宋_GB2312"/>
          <w:color w:val="auto"/>
          <w:kern w:val="2"/>
          <w:sz w:val="32"/>
          <w:szCs w:val="32"/>
          <w:highlight w:val="none"/>
          <w:lang w:val="zh-CN" w:eastAsia="zh-CN" w:bidi="ar-SA"/>
        </w:rPr>
        <w:t>”字样的产品，供应商必须提供国产产品；标注为“</w:t>
      </w:r>
      <w:r>
        <w:rPr>
          <w:rFonts w:hint="eastAsia" w:ascii="仿宋_GB2312" w:hAnsi="仿宋_GB2312" w:eastAsia="仿宋_GB2312" w:cs="仿宋_GB2312"/>
          <w:color w:val="auto"/>
          <w:sz w:val="32"/>
          <w:szCs w:val="32"/>
          <w:highlight w:val="none"/>
          <w:lang w:val="zh-CN"/>
        </w:rPr>
        <w:t>原装进口</w:t>
      </w:r>
      <w:r>
        <w:rPr>
          <w:rFonts w:hint="eastAsia" w:ascii="仿宋_GB2312" w:hAnsi="仿宋_GB2312" w:eastAsia="仿宋_GB2312" w:cs="仿宋_GB2312"/>
          <w:color w:val="auto"/>
          <w:kern w:val="2"/>
          <w:sz w:val="32"/>
          <w:szCs w:val="32"/>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4.所提供产品或其任何一部分不得侵犯专利权、著作权、商标权和工业设计权等知识产权。</w:t>
      </w:r>
    </w:p>
    <w:p>
      <w:pPr>
        <w:widowControl w:val="0"/>
        <w:wordWrap/>
        <w:adjustRightInd w:val="0"/>
        <w:snapToGrid w:val="0"/>
        <w:spacing w:before="157" w:beforeLines="50" w:line="560" w:lineRule="exact"/>
        <w:ind w:left="0" w:leftChars="0" w:right="0" w:firstLine="640" w:firstLineChars="200"/>
        <w:jc w:val="center"/>
        <w:textAlignment w:val="auto"/>
        <w:outlineLvl w:val="1"/>
        <w:rPr>
          <w:rFonts w:hint="eastAsia" w:ascii="黑体" w:hAnsi="黑体" w:eastAsia="黑体" w:cs="黑体"/>
          <w:b w:val="0"/>
          <w:bCs w:val="0"/>
          <w:color w:val="auto"/>
          <w:kern w:val="2"/>
          <w:sz w:val="32"/>
          <w:szCs w:val="32"/>
          <w:highlight w:val="none"/>
          <w:lang w:val="zh-CN" w:eastAsia="zh-CN" w:bidi="ar-SA"/>
        </w:rPr>
      </w:pPr>
      <w:bookmarkStart w:id="265" w:name="_Toc28791"/>
      <w:bookmarkStart w:id="266" w:name="_Toc1475"/>
      <w:bookmarkStart w:id="267" w:name="_Toc22092"/>
      <w:bookmarkStart w:id="268" w:name="_Toc26560_WPSOffice_Level2"/>
      <w:bookmarkStart w:id="269" w:name="_Toc19609_WPSOffice_Level2"/>
      <w:bookmarkStart w:id="270" w:name="_Toc515908233"/>
      <w:bookmarkStart w:id="271" w:name="_Toc16271_WPSOffice_Level2"/>
      <w:bookmarkStart w:id="272" w:name="_Toc26582"/>
      <w:r>
        <w:rPr>
          <w:rFonts w:hint="eastAsia" w:ascii="黑体" w:hAnsi="黑体" w:eastAsia="黑体" w:cs="黑体"/>
          <w:b w:val="0"/>
          <w:bCs w:val="0"/>
          <w:color w:val="auto"/>
          <w:kern w:val="2"/>
          <w:sz w:val="32"/>
          <w:szCs w:val="32"/>
          <w:highlight w:val="none"/>
          <w:lang w:val="zh-CN" w:eastAsia="zh-CN" w:bidi="ar-SA"/>
        </w:rPr>
        <w:t>十一、重要指标</w:t>
      </w:r>
      <w:bookmarkEnd w:id="265"/>
      <w:bookmarkEnd w:id="266"/>
      <w:bookmarkEnd w:id="267"/>
      <w:bookmarkEnd w:id="268"/>
      <w:bookmarkEnd w:id="269"/>
      <w:bookmarkEnd w:id="270"/>
      <w:bookmarkEnd w:id="271"/>
      <w:bookmarkEnd w:id="272"/>
    </w:p>
    <w:p>
      <w:pPr>
        <w:pStyle w:val="9"/>
        <w:bidi w:val="0"/>
        <w:rPr>
          <w:rFonts w:hint="eastAsia" w:ascii="仿宋_GB2312" w:hAnsi="仿宋_GB2312" w:eastAsia="仿宋_GB2312" w:cs="仿宋_GB2312"/>
          <w:color w:val="auto"/>
          <w:kern w:val="2"/>
          <w:sz w:val="32"/>
          <w:szCs w:val="32"/>
          <w:highlight w:val="none"/>
          <w:lang w:val="zh-CN" w:eastAsia="zh-CN" w:bidi="ar-SA"/>
        </w:rPr>
      </w:pPr>
      <w:bookmarkStart w:id="273" w:name="_Toc18880"/>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pPr>
        <w:pStyle w:val="9"/>
        <w:bidi w:val="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pPr>
        <w:pStyle w:val="9"/>
        <w:bidi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技术参数”中除注明签订合同时提供</w:t>
      </w:r>
      <w:r>
        <w:rPr>
          <w:rFonts w:hint="eastAsia" w:ascii="仿宋_GB2312" w:hAnsi="仿宋_GB2312" w:eastAsia="仿宋_GB2312" w:cs="仿宋_GB2312"/>
          <w:color w:val="auto"/>
          <w:kern w:val="2"/>
          <w:sz w:val="32"/>
          <w:szCs w:val="32"/>
          <w:highlight w:val="none"/>
          <w:lang w:val="en-US" w:eastAsia="zh-CN" w:bidi="ar-SA"/>
        </w:rPr>
        <w:t>的相关授权、服务承诺等资料以外，其余相关资料在响应时必须附在响应文件中。</w:t>
      </w:r>
    </w:p>
    <w:p>
      <w:pPr>
        <w:pStyle w:val="9"/>
        <w:bidi w:val="0"/>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w:t>
      </w:r>
      <w:bookmarkStart w:id="274" w:name="_Toc27575_WPSOffice_Level2"/>
      <w:bookmarkStart w:id="275" w:name="_Toc12052_WPSOffice_Level2"/>
      <w:bookmarkStart w:id="276" w:name="_Toc10531"/>
      <w:bookmarkStart w:id="277" w:name="_Toc10797"/>
      <w:bookmarkStart w:id="278" w:name="_Toc14243"/>
      <w:r>
        <w:rPr>
          <w:rFonts w:hint="eastAsia" w:ascii="仿宋_GB2312" w:hAnsi="仿宋_GB2312" w:eastAsia="仿宋_GB2312" w:cs="仿宋_GB2312"/>
          <w:color w:val="auto"/>
          <w:kern w:val="2"/>
          <w:sz w:val="32"/>
          <w:szCs w:val="32"/>
          <w:highlight w:val="none"/>
          <w:lang w:val="en-US" w:eastAsia="zh-CN" w:bidi="ar-SA"/>
        </w:rPr>
        <w:t>交货</w:t>
      </w:r>
      <w:r>
        <w:rPr>
          <w:rFonts w:hint="eastAsia" w:ascii="仿宋_GB2312" w:hAnsi="仿宋_GB2312" w:eastAsia="仿宋_GB2312" w:cs="仿宋_GB2312"/>
          <w:color w:val="auto"/>
          <w:kern w:val="2"/>
          <w:sz w:val="32"/>
          <w:szCs w:val="32"/>
          <w:highlight w:val="none"/>
          <w:lang w:val="zh-CN" w:eastAsia="zh-CN" w:bidi="ar-SA"/>
        </w:rPr>
        <w:t>期：</w:t>
      </w:r>
      <w:bookmarkEnd w:id="274"/>
      <w:bookmarkEnd w:id="275"/>
      <w:bookmarkEnd w:id="276"/>
      <w:bookmarkEnd w:id="277"/>
      <w:bookmarkEnd w:id="278"/>
      <w:r>
        <w:rPr>
          <w:rFonts w:hint="eastAsia" w:ascii="仿宋_GB2312" w:hAnsi="仿宋_GB2312" w:eastAsia="仿宋_GB2312" w:cs="仿宋_GB2312"/>
          <w:color w:val="auto"/>
          <w:kern w:val="2"/>
          <w:sz w:val="32"/>
          <w:szCs w:val="32"/>
          <w:highlight w:val="none"/>
          <w:lang w:val="en-US" w:eastAsia="zh-CN" w:bidi="ar-SA"/>
        </w:rPr>
        <w:t>合同签订后45个日历日（负责安装与运输）。</w:t>
      </w:r>
    </w:p>
    <w:p>
      <w:pPr>
        <w:pStyle w:val="9"/>
        <w:bidi w:val="0"/>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交货地点：甲方指定地点。</w:t>
      </w:r>
    </w:p>
    <w:p>
      <w:pPr>
        <w:pStyle w:val="9"/>
        <w:bidi w:val="0"/>
        <w:ind w:left="639" w:leftChars="152" w:hanging="320" w:hanging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免费质保期：免费质保期至少为壹年（技术参数中有要求的</w:t>
      </w:r>
    </w:p>
    <w:p>
      <w:pPr>
        <w:pStyle w:val="9"/>
        <w:bidi w:val="0"/>
        <w:ind w:left="639" w:leftChars="152" w:hanging="320" w:hanging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按参数要求执行）。</w:t>
      </w:r>
    </w:p>
    <w:p>
      <w:pPr>
        <w:pStyle w:val="9"/>
        <w:bidi w:val="0"/>
        <w:rPr>
          <w:rFonts w:hint="eastAsia" w:ascii="仿宋_GB2312" w:hAnsi="仿宋_GB2312" w:eastAsia="仿宋_GB2312" w:cs="仿宋_GB2312"/>
          <w:color w:val="auto"/>
          <w:kern w:val="2"/>
          <w:sz w:val="32"/>
          <w:szCs w:val="32"/>
          <w:highlight w:val="none"/>
          <w:lang w:val="en-US" w:eastAsia="zh-CN" w:bidi="ar-SA"/>
        </w:rPr>
      </w:pPr>
    </w:p>
    <w:p>
      <w:pPr>
        <w:pStyle w:val="46"/>
        <w:rPr>
          <w:rFonts w:hint="eastAsia"/>
          <w:color w:val="auto"/>
          <w:highlight w:val="none"/>
          <w:lang w:val="en-US" w:eastAsia="zh-CN"/>
        </w:rPr>
      </w:pPr>
    </w:p>
    <w:p>
      <w:pPr>
        <w:widowControl w:val="0"/>
        <w:wordWrap/>
        <w:adjustRightInd w:val="0"/>
        <w:snapToGrid w:val="0"/>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p>
    <w:p>
      <w:pPr>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br w:type="page"/>
      </w:r>
    </w:p>
    <w:p>
      <w:pPr>
        <w:pStyle w:val="4"/>
        <w:bidi w:val="0"/>
        <w:jc w:val="center"/>
        <w:rPr>
          <w:rFonts w:hint="eastAsia"/>
          <w:lang w:eastAsia="zh-CN"/>
        </w:rPr>
      </w:pPr>
      <w:bookmarkStart w:id="279" w:name="_Toc3847"/>
      <w:r>
        <w:rPr>
          <w:rFonts w:hint="eastAsia"/>
          <w:sz w:val="32"/>
          <w:szCs w:val="32"/>
          <w:lang w:eastAsia="zh-CN"/>
        </w:rPr>
        <w:t>（一）项目概况及技术参数</w:t>
      </w:r>
      <w:bookmarkEnd w:id="279"/>
    </w:p>
    <w:bookmarkEnd w:id="273"/>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20"/>
        <w:gridCol w:w="2647"/>
        <w:gridCol w:w="1469"/>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9"/>
              <w:bidi w:val="0"/>
              <w:jc w:val="center"/>
              <w:rPr>
                <w:rFonts w:hint="default" w:ascii="仿宋" w:hAnsi="仿宋" w:eastAsia="仿宋" w:cs="仿宋"/>
                <w:b/>
                <w:bCs/>
                <w:sz w:val="28"/>
                <w:szCs w:val="28"/>
                <w:vertAlign w:val="baseline"/>
                <w:lang w:val="en-US" w:eastAsia="zh-CN"/>
              </w:rPr>
            </w:pPr>
            <w:bookmarkStart w:id="280" w:name="_Toc31138"/>
            <w:bookmarkStart w:id="281" w:name="_Toc5732_WPSOffice_Level1"/>
            <w:bookmarkStart w:id="282" w:name="_Toc22544"/>
            <w:bookmarkStart w:id="283" w:name="_Toc6923_WPSOffice_Level1"/>
            <w:bookmarkStart w:id="284" w:name="_Toc18208_WPSOffice_Level1"/>
            <w:bookmarkStart w:id="285" w:name="_Toc955_WPSOffice_Level1"/>
            <w:bookmarkStart w:id="286" w:name="_Toc18643_WPSOffice_Level1"/>
            <w:bookmarkStart w:id="287" w:name="_Toc15487_WPSOffice_Level1"/>
            <w:r>
              <w:rPr>
                <w:rFonts w:hint="eastAsia" w:ascii="仿宋" w:hAnsi="仿宋" w:eastAsia="仿宋" w:cs="仿宋"/>
                <w:b/>
                <w:bCs/>
                <w:sz w:val="28"/>
                <w:szCs w:val="28"/>
                <w:vertAlign w:val="baseline"/>
                <w:lang w:val="en-US" w:eastAsia="zh-CN"/>
              </w:rPr>
              <w:t>序号</w:t>
            </w:r>
          </w:p>
        </w:tc>
        <w:tc>
          <w:tcPr>
            <w:tcW w:w="1920"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名称</w:t>
            </w:r>
          </w:p>
        </w:tc>
        <w:tc>
          <w:tcPr>
            <w:tcW w:w="2647"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型号规格</w:t>
            </w:r>
          </w:p>
        </w:tc>
        <w:tc>
          <w:tcPr>
            <w:tcW w:w="1469"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2346"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1920"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磷酸铁锂电池</w:t>
            </w:r>
          </w:p>
        </w:tc>
        <w:tc>
          <w:tcPr>
            <w:tcW w:w="2647" w:type="dxa"/>
          </w:tcPr>
          <w:p>
            <w:pPr>
              <w:pStyle w:val="9"/>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3.2v 90ah</w:t>
            </w:r>
          </w:p>
          <w:p>
            <w:pPr>
              <w:pStyle w:val="10"/>
              <w:widowControl w:val="0"/>
              <w:rPr>
                <w:rFonts w:hint="default"/>
                <w:b/>
                <w:bCs/>
                <w:lang w:val="en-US" w:eastAsia="zh-CN"/>
              </w:rPr>
            </w:pPr>
            <w:bookmarkStart w:id="288" w:name="_Toc19909"/>
            <w:r>
              <w:rPr>
                <w:rFonts w:hint="eastAsia" w:ascii="仿宋" w:hAnsi="仿宋" w:eastAsia="仿宋" w:cs="仿宋"/>
                <w:b/>
                <w:bCs/>
                <w:sz w:val="24"/>
                <w:szCs w:val="24"/>
                <w:vertAlign w:val="baseline"/>
                <w:lang w:val="en-US" w:eastAsia="zh-CN"/>
              </w:rPr>
              <w:t>32700电芯15并</w:t>
            </w:r>
            <w:bookmarkEnd w:id="288"/>
          </w:p>
        </w:tc>
        <w:tc>
          <w:tcPr>
            <w:tcW w:w="1469"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套</w:t>
            </w:r>
          </w:p>
        </w:tc>
        <w:tc>
          <w:tcPr>
            <w:tcW w:w="2346" w:type="dxa"/>
          </w:tcPr>
          <w:p>
            <w:pPr>
              <w:pStyle w:val="9"/>
              <w:bidi w:val="0"/>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800</w:t>
            </w:r>
          </w:p>
        </w:tc>
      </w:tr>
    </w:tbl>
    <w:p>
      <w:pPr>
        <w:rPr>
          <w:rFonts w:hint="eastAsia"/>
          <w:lang w:val="en-US" w:eastAsia="zh-CN"/>
        </w:rPr>
      </w:pPr>
      <w:r>
        <w:rPr>
          <w:rFonts w:hint="eastAsia" w:ascii="仿宋" w:hAnsi="仿宋" w:eastAsia="仿宋" w:cs="仿宋"/>
          <w:sz w:val="28"/>
          <w:szCs w:val="28"/>
          <w:lang w:val="en-US" w:eastAsia="zh-CN"/>
        </w:rPr>
        <w:br w:type="page"/>
      </w:r>
    </w:p>
    <w:p>
      <w:pPr>
        <w:pStyle w:val="9"/>
        <w:bidi w:val="0"/>
        <w:rPr>
          <w:rFonts w:hint="eastAsia"/>
          <w:lang w:eastAsia="zh-CN"/>
        </w:rPr>
      </w:pPr>
    </w:p>
    <w:p>
      <w:pPr>
        <w:widowControl/>
        <w:wordWrap/>
        <w:spacing w:before="157" w:beforeLines="50" w:line="560" w:lineRule="exact"/>
        <w:jc w:val="center"/>
        <w:outlineLvl w:val="0"/>
        <w:rPr>
          <w:rFonts w:hint="eastAsia" w:ascii="宋体"/>
          <w:b/>
          <w:color w:val="auto"/>
          <w:sz w:val="44"/>
          <w:szCs w:val="44"/>
          <w:highlight w:val="none"/>
        </w:rPr>
      </w:pPr>
      <w:bookmarkStart w:id="289" w:name="_Toc24842"/>
      <w:r>
        <w:rPr>
          <w:rFonts w:hint="eastAsia" w:ascii="华文中宋" w:hAnsi="华文中宋" w:eastAsia="华文中宋" w:cs="华文中宋"/>
          <w:b w:val="0"/>
          <w:bCs w:val="0"/>
          <w:color w:val="auto"/>
          <w:sz w:val="44"/>
          <w:szCs w:val="44"/>
          <w:highlight w:val="none"/>
          <w:lang w:eastAsia="zh-CN"/>
        </w:rPr>
        <w:t>第四部分</w:t>
      </w:r>
      <w:r>
        <w:rPr>
          <w:rFonts w:hint="eastAsia" w:ascii="华文中宋" w:hAnsi="华文中宋" w:eastAsia="华文中宋" w:cs="华文中宋"/>
          <w:b w:val="0"/>
          <w:bCs w:val="0"/>
          <w:color w:val="auto"/>
          <w:sz w:val="44"/>
          <w:szCs w:val="44"/>
          <w:highlight w:val="none"/>
          <w:lang w:val="en-US" w:eastAsia="zh-CN"/>
        </w:rPr>
        <w:t xml:space="preserve"> </w:t>
      </w:r>
      <w:r>
        <w:rPr>
          <w:rFonts w:hint="eastAsia" w:ascii="华文中宋" w:hAnsi="华文中宋" w:eastAsia="华文中宋" w:cs="华文中宋"/>
          <w:b w:val="0"/>
          <w:bCs w:val="0"/>
          <w:color w:val="auto"/>
          <w:sz w:val="44"/>
          <w:szCs w:val="44"/>
          <w:highlight w:val="none"/>
          <w:lang w:eastAsia="zh-CN"/>
        </w:rPr>
        <w:t>谈判响应文件格式</w:t>
      </w:r>
      <w:bookmarkEnd w:id="280"/>
      <w:bookmarkEnd w:id="281"/>
      <w:bookmarkEnd w:id="282"/>
      <w:bookmarkEnd w:id="283"/>
      <w:bookmarkEnd w:id="284"/>
      <w:bookmarkEnd w:id="285"/>
      <w:bookmarkEnd w:id="286"/>
      <w:bookmarkEnd w:id="287"/>
      <w:bookmarkEnd w:id="289"/>
    </w:p>
    <w:p>
      <w:pPr>
        <w:widowControl w:val="0"/>
        <w:wordWrap/>
        <w:adjustRightInd w:val="0"/>
        <w:snapToGrid w:val="0"/>
        <w:spacing w:line="560" w:lineRule="exact"/>
        <w:jc w:val="center"/>
        <w:textAlignment w:val="auto"/>
        <w:outlineLvl w:val="1"/>
        <w:rPr>
          <w:rFonts w:hint="eastAsia" w:ascii="黑体" w:hAnsi="黑体" w:eastAsia="黑体" w:cs="黑体"/>
          <w:color w:val="auto"/>
          <w:kern w:val="2"/>
          <w:sz w:val="32"/>
          <w:szCs w:val="32"/>
          <w:highlight w:val="none"/>
          <w:lang w:val="en-US" w:eastAsia="zh-CN" w:bidi="ar-SA"/>
        </w:rPr>
      </w:pPr>
      <w:bookmarkStart w:id="290" w:name="_Toc13167"/>
      <w:bookmarkStart w:id="291" w:name="_Toc11968"/>
      <w:bookmarkStart w:id="292" w:name="_Toc4945_WPSOffice_Level2"/>
      <w:bookmarkStart w:id="293" w:name="_Toc12691_WPSOffice_Level2"/>
      <w:bookmarkStart w:id="294" w:name="_Toc20166_WPSOffice_Level2"/>
      <w:r>
        <w:rPr>
          <w:rFonts w:hint="eastAsia" w:ascii="黑体" w:hAnsi="黑体" w:eastAsia="黑体" w:cs="黑体"/>
          <w:color w:val="auto"/>
          <w:kern w:val="2"/>
          <w:sz w:val="32"/>
          <w:szCs w:val="32"/>
          <w:highlight w:val="none"/>
          <w:lang w:val="en-US" w:eastAsia="zh-CN" w:bidi="ar-SA"/>
        </w:rPr>
        <w:t>十二、谈判响应文件的组成</w:t>
      </w:r>
      <w:bookmarkEnd w:id="290"/>
      <w:bookmarkEnd w:id="291"/>
      <w:bookmarkEnd w:id="292"/>
      <w:bookmarkEnd w:id="293"/>
      <w:bookmarkEnd w:id="294"/>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color w:val="auto"/>
          <w:kern w:val="2"/>
          <w:sz w:val="32"/>
          <w:szCs w:val="32"/>
          <w:highlight w:val="none"/>
          <w:lang w:val="zh-CN" w:eastAsia="zh-CN" w:bidi="ar-SA"/>
        </w:rPr>
      </w:pPr>
      <w:bookmarkStart w:id="295" w:name="_Toc26517"/>
      <w:bookmarkStart w:id="296" w:name="_Toc31451_WPSOffice_Level3"/>
      <w:bookmarkStart w:id="297" w:name="_Toc185_WPSOffice_Level2"/>
      <w:bookmarkStart w:id="298" w:name="_Toc22172"/>
      <w:r>
        <w:rPr>
          <w:rFonts w:hint="eastAsia" w:ascii="楷体_GB2312" w:hAnsi="楷体_GB2312" w:eastAsia="楷体_GB2312" w:cs="楷体_GB2312"/>
          <w:b/>
          <w:bCs/>
          <w:color w:val="auto"/>
          <w:kern w:val="2"/>
          <w:sz w:val="32"/>
          <w:szCs w:val="32"/>
          <w:highlight w:val="none"/>
          <w:lang w:val="zh-CN" w:eastAsia="zh-CN" w:bidi="ar-SA"/>
        </w:rPr>
        <w:t>（一）资格审查部分</w:t>
      </w:r>
      <w:bookmarkEnd w:id="295"/>
      <w:bookmarkEnd w:id="296"/>
      <w:bookmarkEnd w:id="297"/>
      <w:bookmarkEnd w:id="298"/>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299" w:name="_Toc19260_WPSOffice_Level3"/>
      <w:r>
        <w:rPr>
          <w:rFonts w:hint="eastAsia" w:ascii="仿宋_GB2312" w:hAnsi="仿宋_GB2312" w:eastAsia="仿宋_GB2312" w:cs="仿宋_GB2312"/>
          <w:color w:val="auto"/>
          <w:kern w:val="2"/>
          <w:sz w:val="32"/>
          <w:szCs w:val="32"/>
          <w:highlight w:val="none"/>
          <w:lang w:val="zh-CN" w:eastAsia="zh-CN" w:bidi="ar-SA"/>
        </w:rPr>
        <w:t>1、响应函（见附件1）</w:t>
      </w:r>
      <w:bookmarkEnd w:id="299"/>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0" w:name="_Toc13122_WPSOffice_Level3"/>
      <w:r>
        <w:rPr>
          <w:rFonts w:hint="eastAsia" w:ascii="仿宋_GB2312" w:hAnsi="仿宋_GB2312" w:eastAsia="仿宋_GB2312" w:cs="仿宋_GB2312"/>
          <w:color w:val="auto"/>
          <w:kern w:val="2"/>
          <w:sz w:val="32"/>
          <w:szCs w:val="32"/>
          <w:highlight w:val="none"/>
          <w:lang w:val="zh-CN" w:eastAsia="zh-CN" w:bidi="ar-SA"/>
        </w:rPr>
        <w:t>2、法定代表人证明书（见附件2）</w:t>
      </w:r>
      <w:bookmarkEnd w:id="300"/>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1" w:name="_Toc5677_WPSOffice_Level3"/>
      <w:r>
        <w:rPr>
          <w:rFonts w:hint="eastAsia" w:ascii="仿宋_GB2312" w:hAnsi="仿宋_GB2312" w:eastAsia="仿宋_GB2312" w:cs="仿宋_GB2312"/>
          <w:color w:val="auto"/>
          <w:kern w:val="2"/>
          <w:sz w:val="32"/>
          <w:szCs w:val="32"/>
          <w:highlight w:val="none"/>
          <w:lang w:val="zh-CN" w:eastAsia="zh-CN" w:bidi="ar-SA"/>
        </w:rPr>
        <w:t>3、法定代表人授权书（见附件3）</w:t>
      </w:r>
      <w:bookmarkEnd w:id="301"/>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2" w:name="_Toc1890_WPSOffice_Level3"/>
      <w:r>
        <w:rPr>
          <w:rFonts w:hint="eastAsia" w:ascii="仿宋_GB2312" w:hAnsi="仿宋_GB2312" w:eastAsia="仿宋_GB2312" w:cs="仿宋_GB2312"/>
          <w:color w:val="auto"/>
          <w:kern w:val="2"/>
          <w:sz w:val="32"/>
          <w:szCs w:val="32"/>
          <w:highlight w:val="none"/>
          <w:lang w:val="zh-CN" w:eastAsia="zh-CN" w:bidi="ar-SA"/>
        </w:rPr>
        <w:t>4、供应商承诺函（见附件4）</w:t>
      </w:r>
      <w:bookmarkEnd w:id="302"/>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3" w:name="_Toc25873_WPSOffice_Level3"/>
      <w:r>
        <w:rPr>
          <w:rFonts w:hint="eastAsia" w:ascii="仿宋_GB2312" w:hAnsi="仿宋_GB2312" w:eastAsia="仿宋_GB2312" w:cs="仿宋_GB2312"/>
          <w:color w:val="auto"/>
          <w:kern w:val="2"/>
          <w:sz w:val="32"/>
          <w:szCs w:val="32"/>
          <w:highlight w:val="none"/>
          <w:lang w:val="zh-CN" w:eastAsia="zh-CN" w:bidi="ar-SA"/>
        </w:rPr>
        <w:t>5、供应商诚信承诺书（见附件5）</w:t>
      </w:r>
      <w:bookmarkEnd w:id="303"/>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4" w:name="_Toc31370_WPSOffice_Level3"/>
      <w:r>
        <w:rPr>
          <w:rFonts w:hint="eastAsia" w:ascii="仿宋_GB2312" w:hAnsi="仿宋_GB2312" w:eastAsia="仿宋_GB2312" w:cs="仿宋_GB2312"/>
          <w:color w:val="auto"/>
          <w:kern w:val="2"/>
          <w:sz w:val="32"/>
          <w:szCs w:val="32"/>
          <w:highlight w:val="none"/>
          <w:lang w:val="zh-CN" w:eastAsia="zh-CN" w:bidi="ar-SA"/>
        </w:rPr>
        <w:t>6、供应商资格证明文件（见附件6）</w:t>
      </w:r>
      <w:bookmarkEnd w:id="304"/>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5" w:name="_Toc10045_WPSOffice_Level3"/>
      <w:r>
        <w:rPr>
          <w:rFonts w:hint="eastAsia" w:ascii="仿宋_GB2312" w:hAnsi="仿宋_GB2312" w:eastAsia="仿宋_GB2312" w:cs="仿宋_GB2312"/>
          <w:color w:val="auto"/>
          <w:kern w:val="2"/>
          <w:sz w:val="32"/>
          <w:szCs w:val="32"/>
          <w:highlight w:val="none"/>
          <w:lang w:val="zh-CN" w:eastAsia="zh-CN" w:bidi="ar-SA"/>
        </w:rPr>
        <w:t>7、财务状况、缴纳税收和社会保障资金证明（见附件7）</w:t>
      </w:r>
      <w:bookmarkEnd w:id="305"/>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06" w:name="_Toc12223_WPSOffice_Level3"/>
      <w:r>
        <w:rPr>
          <w:rFonts w:hint="eastAsia" w:ascii="仿宋_GB2312" w:hAnsi="仿宋_GB2312" w:eastAsia="仿宋_GB2312" w:cs="仿宋_GB2312"/>
          <w:color w:val="auto"/>
          <w:kern w:val="2"/>
          <w:sz w:val="32"/>
          <w:szCs w:val="32"/>
          <w:highlight w:val="none"/>
          <w:lang w:val="zh-CN" w:eastAsia="zh-CN" w:bidi="ar-SA"/>
        </w:rPr>
        <w:t>8、无重大违法记录声明（见附件</w:t>
      </w:r>
      <w:r>
        <w:rPr>
          <w:rFonts w:hint="eastAsia" w:ascii="仿宋_GB2312" w:hAnsi="仿宋_GB2312" w:eastAsia="仿宋_GB2312" w:cs="仿宋_GB2312"/>
          <w:color w:val="auto"/>
          <w:kern w:val="2"/>
          <w:sz w:val="32"/>
          <w:szCs w:val="32"/>
          <w:highlight w:val="none"/>
          <w:lang w:val="en-US" w:eastAsia="zh-CN" w:bidi="ar-SA"/>
        </w:rPr>
        <w:t>8</w:t>
      </w:r>
      <w:r>
        <w:rPr>
          <w:rFonts w:hint="eastAsia" w:ascii="仿宋_GB2312" w:hAnsi="仿宋_GB2312" w:eastAsia="仿宋_GB2312" w:cs="仿宋_GB2312"/>
          <w:color w:val="auto"/>
          <w:kern w:val="2"/>
          <w:sz w:val="32"/>
          <w:szCs w:val="32"/>
          <w:highlight w:val="none"/>
          <w:lang w:val="zh-CN" w:eastAsia="zh-CN" w:bidi="ar-SA"/>
        </w:rPr>
        <w:t>）</w:t>
      </w:r>
      <w:bookmarkEnd w:id="306"/>
    </w:p>
    <w:p>
      <w:pPr>
        <w:widowControl w:val="0"/>
        <w:wordWrap/>
        <w:adjustRightInd w:val="0"/>
        <w:snapToGrid w:val="0"/>
        <w:spacing w:line="560" w:lineRule="exact"/>
        <w:jc w:val="left"/>
        <w:textAlignment w:val="auto"/>
        <w:rPr>
          <w:rFonts w:hint="default" w:ascii="仿宋_GB2312" w:hAnsi="仿宋_GB2312" w:eastAsia="仿宋_GB2312" w:cs="仿宋_GB2312"/>
          <w:color w:val="auto"/>
          <w:kern w:val="2"/>
          <w:sz w:val="32"/>
          <w:szCs w:val="32"/>
          <w:highlight w:val="none"/>
          <w:lang w:val="en-US" w:eastAsia="zh-CN" w:bidi="ar-SA"/>
        </w:rPr>
      </w:pPr>
      <w:bookmarkStart w:id="307" w:name="_Toc10394_WPSOffice_Level3"/>
      <w:r>
        <w:rPr>
          <w:rFonts w:hint="eastAsia" w:ascii="仿宋_GB2312" w:hAnsi="仿宋_GB2312" w:eastAsia="仿宋_GB2312" w:cs="仿宋_GB2312"/>
          <w:color w:val="auto"/>
          <w:kern w:val="2"/>
          <w:sz w:val="32"/>
          <w:szCs w:val="32"/>
          <w:highlight w:val="none"/>
          <w:lang w:val="en-US" w:eastAsia="zh-CN" w:bidi="ar-SA"/>
        </w:rPr>
        <w:t>9、谈判保证金证明（见附件9）</w:t>
      </w:r>
      <w:bookmarkEnd w:id="307"/>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color w:val="auto"/>
          <w:kern w:val="2"/>
          <w:sz w:val="32"/>
          <w:szCs w:val="32"/>
          <w:highlight w:val="none"/>
          <w:lang w:val="zh-CN" w:eastAsia="zh-CN" w:bidi="ar-SA"/>
        </w:rPr>
      </w:pPr>
      <w:bookmarkStart w:id="308" w:name="_Toc21135"/>
      <w:bookmarkStart w:id="309" w:name="_Toc18301_WPSOffice_Level3"/>
      <w:bookmarkStart w:id="310" w:name="_Toc3154_WPSOffice_Level2"/>
      <w:bookmarkStart w:id="311" w:name="_Toc6480"/>
      <w:r>
        <w:rPr>
          <w:rFonts w:hint="eastAsia" w:ascii="楷体_GB2312" w:hAnsi="楷体_GB2312" w:eastAsia="楷体_GB2312" w:cs="楷体_GB2312"/>
          <w:b/>
          <w:bCs/>
          <w:color w:val="auto"/>
          <w:kern w:val="2"/>
          <w:sz w:val="32"/>
          <w:szCs w:val="32"/>
          <w:highlight w:val="none"/>
          <w:lang w:val="zh-CN" w:eastAsia="zh-CN" w:bidi="ar-SA"/>
        </w:rPr>
        <w:t>（二）有效性、完整性、响应程度审查部分</w:t>
      </w:r>
      <w:bookmarkEnd w:id="308"/>
      <w:bookmarkEnd w:id="309"/>
      <w:bookmarkEnd w:id="310"/>
      <w:bookmarkEnd w:id="311"/>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12" w:name="_Toc9730_WPSOffice_Level3"/>
      <w:r>
        <w:rPr>
          <w:rFonts w:hint="eastAsia" w:ascii="仿宋_GB2312" w:hAnsi="仿宋_GB2312" w:eastAsia="仿宋_GB2312" w:cs="仿宋_GB2312"/>
          <w:color w:val="auto"/>
          <w:kern w:val="2"/>
          <w:sz w:val="32"/>
          <w:szCs w:val="32"/>
          <w:highlight w:val="none"/>
          <w:lang w:val="zh-CN" w:eastAsia="zh-CN" w:bidi="ar-SA"/>
        </w:rPr>
        <w:t>1、谈判首次报价表（见附件</w:t>
      </w:r>
      <w:r>
        <w:rPr>
          <w:rFonts w:hint="eastAsia" w:ascii="仿宋_GB2312" w:hAnsi="仿宋_GB2312" w:eastAsia="仿宋_GB2312" w:cs="仿宋_GB2312"/>
          <w:color w:val="auto"/>
          <w:kern w:val="2"/>
          <w:sz w:val="32"/>
          <w:szCs w:val="32"/>
          <w:highlight w:val="none"/>
          <w:lang w:val="en-US" w:eastAsia="zh-CN" w:bidi="ar-SA"/>
        </w:rPr>
        <w:t>10</w:t>
      </w:r>
      <w:r>
        <w:rPr>
          <w:rFonts w:hint="eastAsia" w:ascii="仿宋_GB2312" w:hAnsi="仿宋_GB2312" w:eastAsia="仿宋_GB2312" w:cs="仿宋_GB2312"/>
          <w:color w:val="auto"/>
          <w:kern w:val="2"/>
          <w:sz w:val="32"/>
          <w:szCs w:val="32"/>
          <w:highlight w:val="none"/>
          <w:lang w:val="zh-CN" w:eastAsia="zh-CN" w:bidi="ar-SA"/>
        </w:rPr>
        <w:t>）</w:t>
      </w:r>
      <w:bookmarkEnd w:id="312"/>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13" w:name="_Toc15196_WPSOffice_Level3"/>
      <w:r>
        <w:rPr>
          <w:rFonts w:hint="eastAsia" w:ascii="仿宋_GB2312" w:hAnsi="仿宋_GB2312" w:eastAsia="仿宋_GB2312" w:cs="仿宋_GB2312"/>
          <w:color w:val="auto"/>
          <w:kern w:val="2"/>
          <w:sz w:val="32"/>
          <w:szCs w:val="32"/>
          <w:highlight w:val="none"/>
          <w:lang w:val="zh-CN" w:eastAsia="zh-CN" w:bidi="ar-SA"/>
        </w:rPr>
        <w:t>2、分项报价表（见附件1</w:t>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w:t>
      </w:r>
      <w:bookmarkEnd w:id="313"/>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14" w:name="_Toc319_WPSOffice_Level3"/>
      <w:r>
        <w:rPr>
          <w:rFonts w:hint="eastAsia" w:ascii="仿宋_GB2312" w:hAnsi="仿宋_GB2312" w:eastAsia="仿宋_GB2312" w:cs="仿宋_GB2312"/>
          <w:color w:val="auto"/>
          <w:kern w:val="2"/>
          <w:sz w:val="32"/>
          <w:szCs w:val="32"/>
          <w:highlight w:val="none"/>
          <w:lang w:val="zh-CN" w:eastAsia="zh-CN" w:bidi="ar-SA"/>
        </w:rPr>
        <w:t>3、技术规格响应表（见附件1</w:t>
      </w: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w:t>
      </w:r>
      <w:bookmarkEnd w:id="314"/>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15" w:name="_Toc22060_WPSOffice_Level3"/>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、具备履行合同所必须的设备和专业技术能力证明（附件1</w:t>
      </w: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w:t>
      </w:r>
    </w:p>
    <w:bookmarkEnd w:id="315"/>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16" w:name="_Toc16307_WPSOffice_Level3"/>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、供应商认为在其他方面有必要说明的事项（格式自定）</w:t>
      </w:r>
      <w:bookmarkEnd w:id="316"/>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bidi="ar-SA"/>
        </w:rPr>
      </w:pPr>
      <w:bookmarkStart w:id="317" w:name="_Toc1748_WPSOffice_Level3"/>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享受政府采购政策优惠的证明资料（见附件</w:t>
      </w:r>
      <w:r>
        <w:rPr>
          <w:rFonts w:hint="eastAsia" w:ascii="仿宋_GB2312" w:hAnsi="仿宋_GB2312" w:eastAsia="仿宋_GB2312" w:cs="仿宋_GB2312"/>
          <w:color w:val="auto"/>
          <w:kern w:val="2"/>
          <w:sz w:val="32"/>
          <w:szCs w:val="32"/>
          <w:highlight w:val="none"/>
          <w:lang w:val="en-US" w:eastAsia="zh-CN" w:bidi="ar-SA"/>
        </w:rPr>
        <w:t>14</w:t>
      </w:r>
      <w:r>
        <w:rPr>
          <w:rFonts w:hint="eastAsia" w:ascii="仿宋_GB2312" w:hAnsi="仿宋_GB2312" w:eastAsia="仿宋_GB2312" w:cs="仿宋_GB2312"/>
          <w:color w:val="auto"/>
          <w:kern w:val="2"/>
          <w:sz w:val="32"/>
          <w:szCs w:val="32"/>
          <w:highlight w:val="none"/>
          <w:lang w:val="zh-CN" w:eastAsia="zh-CN" w:bidi="ar-SA"/>
        </w:rPr>
        <w:t>）</w:t>
      </w:r>
      <w:bookmarkEnd w:id="317"/>
    </w:p>
    <w:p>
      <w:pPr>
        <w:widowControl w:val="0"/>
        <w:wordWrap/>
        <w:adjustRightInd w:val="0"/>
        <w:snapToGrid w:val="0"/>
        <w:spacing w:line="560" w:lineRule="exact"/>
        <w:jc w:val="left"/>
        <w:textAlignment w:val="auto"/>
        <w:rPr>
          <w:rFonts w:hint="default" w:ascii="仿宋_GB2312" w:hAnsi="仿宋_GB2312" w:eastAsia="仿宋_GB2312" w:cs="仿宋_GB2312"/>
          <w:color w:val="auto"/>
          <w:kern w:val="2"/>
          <w:sz w:val="32"/>
          <w:szCs w:val="32"/>
          <w:highlight w:val="none"/>
          <w:lang w:val="en-US" w:eastAsia="zh-CN" w:bidi="ar-SA"/>
        </w:rPr>
      </w:pPr>
      <w:bookmarkStart w:id="318" w:name="_Toc30100_WPSOffice_Level3"/>
      <w:r>
        <w:rPr>
          <w:rFonts w:hint="eastAsia" w:ascii="仿宋_GB2312" w:hAnsi="仿宋_GB2312" w:eastAsia="仿宋_GB2312" w:cs="仿宋_GB2312"/>
          <w:color w:val="auto"/>
          <w:kern w:val="2"/>
          <w:sz w:val="32"/>
          <w:szCs w:val="32"/>
          <w:highlight w:val="none"/>
          <w:lang w:val="en-US" w:eastAsia="zh-CN" w:bidi="ar-SA"/>
        </w:rPr>
        <w:t>7、谈判最后报价表（见附件15）</w:t>
      </w:r>
      <w:bookmarkEnd w:id="318"/>
    </w:p>
    <w:p>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highlight w:val="none"/>
          <w:lang w:val="en-US" w:eastAsia="zh-CN" w:bidi="ar-SA"/>
        </w:rPr>
      </w:pPr>
      <w:bookmarkStart w:id="319" w:name="_Toc5088_WPSOffice_Level3"/>
      <w:r>
        <w:rPr>
          <w:rFonts w:hint="eastAsia" w:ascii="仿宋_GB2312" w:hAnsi="仿宋_GB2312" w:eastAsia="仿宋_GB2312" w:cs="仿宋_GB2312"/>
          <w:color w:val="auto"/>
          <w:kern w:val="2"/>
          <w:sz w:val="32"/>
          <w:szCs w:val="32"/>
          <w:highlight w:val="none"/>
          <w:lang w:val="en-US" w:eastAsia="zh-CN" w:bidi="ar-SA"/>
        </w:rPr>
        <w:t>8、其他证明材料（格式自定）</w:t>
      </w:r>
      <w:bookmarkEnd w:id="319"/>
    </w:p>
    <w:p>
      <w:pPr>
        <w:widowControl w:val="0"/>
        <w:wordWrap/>
        <w:adjustRightInd w:val="0"/>
        <w:snapToGrid w:val="0"/>
        <w:spacing w:line="560" w:lineRule="exact"/>
        <w:jc w:val="left"/>
        <w:textAlignment w:val="auto"/>
        <w:rPr>
          <w:rFonts w:hint="default" w:ascii="仿宋_GB2312" w:hAnsi="仿宋_GB2312" w:eastAsia="仿宋_GB2312" w:cs="仿宋_GB2312"/>
          <w:color w:val="auto"/>
          <w:kern w:val="2"/>
          <w:sz w:val="32"/>
          <w:szCs w:val="32"/>
          <w:highlight w:val="none"/>
          <w:lang w:val="en-US" w:eastAsia="zh-CN" w:bidi="ar-SA"/>
        </w:rPr>
      </w:pPr>
    </w:p>
    <w:p>
      <w:pPr>
        <w:rPr>
          <w:rFonts w:hint="eastAsia" w:ascii="黑体" w:hAnsi="黑体" w:eastAsia="黑体" w:cs="黑体"/>
          <w:color w:val="auto"/>
          <w:kern w:val="2"/>
          <w:sz w:val="32"/>
          <w:szCs w:val="32"/>
          <w:highlight w:val="none"/>
          <w:lang w:val="en-US" w:eastAsia="zh-CN" w:bidi="ar-SA"/>
        </w:rPr>
      </w:pPr>
      <w:bookmarkStart w:id="320" w:name="_Toc5252_WPSOffice_Level2"/>
      <w:bookmarkStart w:id="321" w:name="_Toc11918"/>
      <w:bookmarkStart w:id="322" w:name="_Toc14930_WPSOffice_Level2"/>
      <w:bookmarkStart w:id="323" w:name="_Toc1684_WPSOffice_Level2"/>
      <w:r>
        <w:rPr>
          <w:rFonts w:hint="eastAsia" w:ascii="黑体" w:hAnsi="黑体" w:eastAsia="黑体" w:cs="黑体"/>
          <w:color w:val="auto"/>
          <w:kern w:val="2"/>
          <w:sz w:val="32"/>
          <w:szCs w:val="32"/>
          <w:highlight w:val="none"/>
          <w:lang w:val="en-US" w:eastAsia="zh-CN" w:bidi="ar-SA"/>
        </w:rPr>
        <w:t>十三、谈判响应文件</w:t>
      </w:r>
      <w:bookmarkEnd w:id="320"/>
      <w:bookmarkEnd w:id="321"/>
      <w:bookmarkEnd w:id="322"/>
      <w:bookmarkEnd w:id="323"/>
    </w:p>
    <w:p>
      <w:pPr>
        <w:wordWrap/>
        <w:spacing w:before="157" w:beforeLines="50" w:line="560" w:lineRule="exact"/>
        <w:ind w:firstLine="1285" w:firstLineChars="400"/>
        <w:rPr>
          <w:rFonts w:hint="eastAsia" w:ascii="仿宋_GB2312" w:hAnsi="仿宋_GB2312" w:eastAsia="仿宋_GB2312" w:cs="仿宋_GB2312"/>
          <w:b/>
          <w:color w:val="auto"/>
          <w:sz w:val="32"/>
          <w:szCs w:val="32"/>
          <w:highlight w:val="none"/>
        </w:rPr>
      </w:pPr>
      <w:bookmarkStart w:id="324" w:name="_Toc28269_WPSOffice_Level3"/>
    </w:p>
    <w:p>
      <w:pPr>
        <w:wordWrap/>
        <w:spacing w:before="157" w:beforeLines="50" w:line="560" w:lineRule="exact"/>
        <w:ind w:firstLine="2610" w:firstLineChars="500"/>
        <w:jc w:val="left"/>
        <w:outlineLvl w:val="9"/>
        <w:rPr>
          <w:rFonts w:hint="eastAsia" w:ascii="仿宋_GB2312" w:hAnsi="仿宋_GB2312" w:eastAsia="仿宋_GB2312" w:cs="仿宋_GB2312"/>
          <w:b/>
          <w:color w:val="auto"/>
          <w:sz w:val="52"/>
          <w:szCs w:val="52"/>
          <w:highlight w:val="none"/>
        </w:rPr>
      </w:pPr>
      <w:bookmarkStart w:id="325" w:name="_Toc10997_WPSOffice_Level2"/>
      <w:bookmarkStart w:id="326" w:name="_Toc31682_WPSOffice_Level2"/>
      <w:r>
        <w:rPr>
          <w:rFonts w:hint="eastAsia" w:ascii="仿宋_GB2312" w:hAnsi="仿宋_GB2312" w:eastAsia="仿宋_GB2312" w:cs="仿宋_GB2312"/>
          <w:b/>
          <w:color w:val="auto"/>
          <w:sz w:val="52"/>
          <w:szCs w:val="52"/>
          <w:highlight w:val="none"/>
        </w:rPr>
        <w:t>青海省政府采购项目</w:t>
      </w:r>
      <w:bookmarkEnd w:id="324"/>
      <w:bookmarkEnd w:id="325"/>
      <w:bookmarkEnd w:id="326"/>
    </w:p>
    <w:p>
      <w:pPr>
        <w:wordWrap/>
        <w:spacing w:before="157" w:beforeLines="50" w:line="560" w:lineRule="exact"/>
        <w:ind w:firstLine="3654" w:firstLineChars="700"/>
        <w:jc w:val="left"/>
        <w:outlineLvl w:val="9"/>
        <w:rPr>
          <w:rFonts w:hint="eastAsia" w:ascii="仿宋_GB2312" w:hAnsi="仿宋_GB2312" w:eastAsia="仿宋_GB2312" w:cs="仿宋_GB2312"/>
          <w:b/>
          <w:color w:val="auto"/>
          <w:sz w:val="52"/>
          <w:szCs w:val="52"/>
          <w:highlight w:val="none"/>
        </w:rPr>
      </w:pPr>
      <w:bookmarkStart w:id="327" w:name="_Toc25378_WPSOffice_Level2"/>
      <w:bookmarkStart w:id="328" w:name="_Toc23622_WPSOffice_Level2"/>
      <w:r>
        <w:rPr>
          <w:rFonts w:hint="eastAsia" w:ascii="仿宋_GB2312" w:hAnsi="仿宋_GB2312" w:eastAsia="仿宋_GB2312" w:cs="仿宋_GB2312"/>
          <w:b/>
          <w:color w:val="auto"/>
          <w:sz w:val="52"/>
          <w:szCs w:val="52"/>
          <w:highlight w:val="none"/>
        </w:rPr>
        <w:t>谈判响应文件</w:t>
      </w:r>
      <w:bookmarkEnd w:id="327"/>
      <w:bookmarkEnd w:id="328"/>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highlight w:val="none"/>
        </w:rPr>
      </w:pPr>
      <w:bookmarkStart w:id="329" w:name="_Toc28825_WPSOffice_Level2"/>
      <w:bookmarkStart w:id="330" w:name="_Toc13231_WPSOffice_Level2"/>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bidi="ar-SA"/>
        </w:rPr>
        <w:t>资格审查部分</w:t>
      </w:r>
      <w:r>
        <w:rPr>
          <w:rFonts w:hint="eastAsia" w:ascii="仿宋_GB2312" w:hAnsi="仿宋_GB2312" w:eastAsia="仿宋_GB2312" w:cs="仿宋_GB2312"/>
          <w:b/>
          <w:bCs/>
          <w:color w:val="auto"/>
          <w:sz w:val="32"/>
          <w:szCs w:val="32"/>
          <w:highlight w:val="none"/>
        </w:rPr>
        <w:t>）</w:t>
      </w:r>
      <w:bookmarkEnd w:id="329"/>
      <w:bookmarkEnd w:id="330"/>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lang w:eastAsia="zh-CN"/>
        </w:rPr>
      </w:pPr>
      <w:bookmarkStart w:id="331" w:name="_Toc19521_WPSOffice_Level2"/>
      <w:bookmarkStart w:id="332" w:name="_Toc29803_WPSOffice_Level2"/>
      <w:r>
        <w:rPr>
          <w:rFonts w:hint="eastAsia" w:ascii="仿宋_GB2312" w:hAnsi="仿宋_GB2312" w:eastAsia="仿宋_GB2312" w:cs="仿宋_GB2312"/>
          <w:b/>
          <w:bCs/>
          <w:color w:val="auto"/>
          <w:sz w:val="32"/>
          <w:szCs w:val="32"/>
          <w:highlight w:val="none"/>
        </w:rPr>
        <w:t>采购项目编号:</w:t>
      </w:r>
      <w:bookmarkEnd w:id="331"/>
      <w:bookmarkEnd w:id="332"/>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highlight w:val="none"/>
        </w:rPr>
      </w:pPr>
      <w:bookmarkStart w:id="333" w:name="_Toc18713_WPSOffice_Level2"/>
      <w:bookmarkStart w:id="334" w:name="_Toc14786_WPSOffice_Level2"/>
      <w:r>
        <w:rPr>
          <w:rFonts w:hint="eastAsia" w:ascii="仿宋_GB2312" w:hAnsi="仿宋_GB2312" w:eastAsia="仿宋_GB2312" w:cs="仿宋_GB2312"/>
          <w:b/>
          <w:bCs/>
          <w:color w:val="auto"/>
          <w:sz w:val="32"/>
          <w:szCs w:val="32"/>
          <w:highlight w:val="none"/>
        </w:rPr>
        <w:t>采购项目名称:</w:t>
      </w:r>
      <w:bookmarkEnd w:id="333"/>
      <w:bookmarkEnd w:id="334"/>
      <w:r>
        <w:rPr>
          <w:rFonts w:hint="eastAsia" w:ascii="仿宋_GB2312" w:hAnsi="仿宋_GB2312" w:eastAsia="仿宋_GB2312" w:cs="仿宋_GB2312"/>
          <w:b/>
          <w:bCs/>
          <w:color w:val="auto"/>
          <w:sz w:val="32"/>
          <w:szCs w:val="32"/>
          <w:highlight w:val="none"/>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highlight w:val="none"/>
          <w:lang w:eastAsia="zh-CN"/>
        </w:rPr>
      </w:pPr>
      <w:bookmarkStart w:id="335" w:name="_Toc14087_WPSOffice_Level2"/>
      <w:bookmarkStart w:id="336" w:name="_Toc22044_WPSOffice_Level2"/>
      <w:r>
        <w:rPr>
          <w:rFonts w:hint="eastAsia" w:ascii="仿宋_GB2312" w:hAnsi="仿宋_GB2312" w:eastAsia="仿宋_GB2312" w:cs="仿宋_GB2312"/>
          <w:b/>
          <w:bCs/>
          <w:color w:val="auto"/>
          <w:sz w:val="32"/>
          <w:szCs w:val="32"/>
          <w:highlight w:val="none"/>
          <w:lang w:eastAsia="zh-CN"/>
        </w:rPr>
        <w:t>供应商名称：</w:t>
      </w:r>
      <w:bookmarkEnd w:id="335"/>
      <w:bookmarkEnd w:id="336"/>
    </w:p>
    <w:p>
      <w:pPr>
        <w:wordWrap/>
        <w:spacing w:before="157" w:beforeLines="50" w:line="560" w:lineRule="exact"/>
        <w:jc w:val="center"/>
        <w:outlineLvl w:val="9"/>
        <w:rPr>
          <w:rFonts w:hint="eastAsia" w:ascii="仿宋_GB2312" w:hAnsi="仿宋_GB2312" w:eastAsia="仿宋_GB2312" w:cs="仿宋_GB2312"/>
          <w:b/>
          <w:bCs/>
          <w:color w:val="auto"/>
          <w:sz w:val="32"/>
          <w:szCs w:val="32"/>
          <w:highlight w:val="none"/>
        </w:rPr>
      </w:pPr>
    </w:p>
    <w:p>
      <w:pPr>
        <w:wordWrap/>
        <w:spacing w:before="157" w:beforeLines="50" w:line="560" w:lineRule="exact"/>
        <w:jc w:val="center"/>
        <w:outlineLvl w:val="9"/>
        <w:rPr>
          <w:rFonts w:hint="eastAsia" w:ascii="仿宋_GB2312" w:hAnsi="仿宋_GB2312" w:eastAsia="仿宋_GB2312" w:cs="仿宋_GB2312"/>
          <w:b/>
          <w:color w:val="auto"/>
          <w:sz w:val="32"/>
          <w:szCs w:val="32"/>
          <w:highlight w:val="none"/>
        </w:rPr>
      </w:pPr>
      <w:bookmarkStart w:id="337" w:name="_Toc1142_WPSOffice_Level3"/>
      <w:r>
        <w:rPr>
          <w:rFonts w:hint="eastAsia" w:ascii="仿宋_GB2312" w:hAnsi="仿宋_GB2312" w:eastAsia="仿宋_GB2312" w:cs="仿宋_GB2312"/>
          <w:b/>
          <w:color w:val="auto"/>
          <w:sz w:val="32"/>
          <w:szCs w:val="32"/>
          <w:highlight w:val="none"/>
        </w:rPr>
        <w:t>年  月  日</w:t>
      </w:r>
      <w:bookmarkEnd w:id="337"/>
    </w:p>
    <w:p>
      <w:pPr>
        <w:widowControl/>
        <w:wordWrap/>
        <w:snapToGrid w:val="0"/>
        <w:spacing w:before="157" w:beforeLines="50" w:line="560" w:lineRule="exact"/>
        <w:jc w:val="left"/>
        <w:outlineLvl w:val="9"/>
        <w:rPr>
          <w:rFonts w:hint="eastAsia" w:ascii="宋体"/>
          <w:b/>
          <w:color w:val="auto"/>
          <w:sz w:val="28"/>
          <w:szCs w:val="28"/>
          <w:highlight w:val="none"/>
        </w:rPr>
      </w:pPr>
    </w:p>
    <w:p>
      <w:pPr>
        <w:widowControl/>
        <w:wordWrap/>
        <w:snapToGrid w:val="0"/>
        <w:spacing w:before="157" w:beforeLines="50" w:line="560" w:lineRule="exact"/>
        <w:jc w:val="left"/>
        <w:outlineLvl w:val="2"/>
        <w:rPr>
          <w:rFonts w:hint="eastAsia" w:ascii="宋体"/>
          <w:b/>
          <w:color w:val="auto"/>
          <w:sz w:val="28"/>
          <w:szCs w:val="28"/>
          <w:highlight w:val="none"/>
        </w:rPr>
      </w:pPr>
      <w:r>
        <w:rPr>
          <w:rFonts w:ascii="宋体"/>
          <w:b/>
          <w:color w:val="auto"/>
          <w:sz w:val="28"/>
          <w:szCs w:val="28"/>
          <w:highlight w:val="none"/>
        </w:rPr>
        <w:br w:type="page"/>
      </w:r>
      <w:bookmarkStart w:id="338" w:name="_Toc19203"/>
      <w:bookmarkStart w:id="339" w:name="_Toc27578"/>
      <w:bookmarkStart w:id="340" w:name="_Toc26888"/>
      <w:bookmarkStart w:id="341" w:name="_Toc27597"/>
      <w:bookmarkStart w:id="342" w:name="_Toc32479_WPSOffice_Level3"/>
      <w:r>
        <w:rPr>
          <w:rFonts w:hint="eastAsia" w:ascii="楷体_GB2312" w:hAnsi="楷体_GB2312" w:eastAsia="楷体_GB2312" w:cs="楷体_GB2312"/>
          <w:b/>
          <w:color w:val="auto"/>
          <w:sz w:val="32"/>
          <w:szCs w:val="32"/>
          <w:highlight w:val="none"/>
          <w:lang w:eastAsia="zh-CN"/>
        </w:rPr>
        <w:t>附件1：响应函</w:t>
      </w:r>
      <w:bookmarkEnd w:id="338"/>
      <w:bookmarkEnd w:id="339"/>
      <w:bookmarkEnd w:id="340"/>
      <w:bookmarkEnd w:id="341"/>
      <w:bookmarkEnd w:id="342"/>
    </w:p>
    <w:p>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auto"/>
          <w:sz w:val="32"/>
          <w:szCs w:val="32"/>
          <w:highlight w:val="none"/>
        </w:rPr>
      </w:pPr>
      <w:bookmarkStart w:id="343" w:name="_Toc22598_WPSOffice_Level2"/>
      <w:bookmarkStart w:id="344" w:name="_Toc24288_WPSOffice_Level2"/>
      <w:r>
        <w:rPr>
          <w:rFonts w:hint="eastAsia" w:ascii="仿宋_GB2312" w:hAnsi="仿宋_GB2312" w:eastAsia="仿宋_GB2312" w:cs="仿宋_GB2312"/>
          <w:b/>
          <w:color w:val="auto"/>
          <w:sz w:val="32"/>
          <w:szCs w:val="32"/>
          <w:highlight w:val="none"/>
          <w:lang w:eastAsia="zh-CN"/>
        </w:rPr>
        <w:t>响</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应</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函</w:t>
      </w:r>
      <w:bookmarkEnd w:id="343"/>
      <w:bookmarkEnd w:id="34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bookmarkStart w:id="345" w:name="_Toc16867_WPSOffice_Level2"/>
      <w:r>
        <w:rPr>
          <w:rFonts w:hint="eastAsia" w:ascii="仿宋_GB2312" w:hAnsi="仿宋_GB2312" w:eastAsia="仿宋_GB2312" w:cs="仿宋_GB2312"/>
          <w:b w:val="0"/>
          <w:bCs w:val="0"/>
          <w:color w:val="auto"/>
          <w:sz w:val="32"/>
          <w:szCs w:val="32"/>
          <w:highlight w:val="none"/>
        </w:rPr>
        <w:t>致：</w:t>
      </w:r>
      <w:bookmarkEnd w:id="345"/>
      <w:r>
        <w:rPr>
          <w:rFonts w:hint="eastAsia" w:ascii="仿宋_GB2312" w:hAnsi="仿宋_GB2312" w:eastAsia="仿宋_GB2312" w:cs="仿宋_GB2312"/>
          <w:b w:val="0"/>
          <w:bCs w:val="0"/>
          <w:color w:val="auto"/>
          <w:sz w:val="32"/>
          <w:szCs w:val="32"/>
          <w:highlight w:val="none"/>
          <w:u w:val="single"/>
          <w:lang w:eastAsia="zh-CN"/>
        </w:rPr>
        <w:t>青海晓成工程项目管理有限公司</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我们收到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val="en-US" w:eastAsia="zh-CN"/>
        </w:rPr>
        <w:t>（项目名称及编号）</w:t>
      </w:r>
      <w:r>
        <w:rPr>
          <w:rFonts w:hint="eastAsia" w:ascii="仿宋_GB2312" w:hAnsi="仿宋_GB2312" w:eastAsia="仿宋_GB2312" w:cs="仿宋_GB2312"/>
          <w:color w:val="auto"/>
          <w:sz w:val="32"/>
          <w:szCs w:val="32"/>
          <w:highlight w:val="none"/>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据此函，签字代表宣布同意如下：</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1、我方已详阅谈判文件的全部内容，包括澄清、修改条款等有关附件，承诺对其完全理解并接受。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若在响应文件发出后，</w:t>
      </w:r>
      <w:r>
        <w:rPr>
          <w:rFonts w:hint="eastAsia" w:ascii="仿宋_GB2312" w:hAnsi="仿宋_GB2312" w:eastAsia="仿宋_GB2312" w:cs="仿宋_GB2312"/>
          <w:color w:val="auto"/>
          <w:sz w:val="32"/>
          <w:szCs w:val="32"/>
          <w:highlight w:val="none"/>
        </w:rPr>
        <w:t>我方在</w:t>
      </w:r>
      <w:r>
        <w:rPr>
          <w:rFonts w:hint="eastAsia" w:ascii="仿宋_GB2312" w:hAnsi="仿宋_GB2312" w:eastAsia="仿宋_GB2312" w:cs="仿宋_GB2312"/>
          <w:color w:val="auto"/>
          <w:sz w:val="32"/>
          <w:szCs w:val="32"/>
          <w:highlight w:val="none"/>
          <w:lang w:eastAsia="zh-CN"/>
        </w:rPr>
        <w:t>响应文件</w:t>
      </w:r>
      <w:r>
        <w:rPr>
          <w:rFonts w:hint="eastAsia" w:ascii="仿宋_GB2312" w:hAnsi="仿宋_GB2312" w:eastAsia="仿宋_GB2312" w:cs="仿宋_GB2312"/>
          <w:color w:val="auto"/>
          <w:sz w:val="32"/>
          <w:szCs w:val="32"/>
          <w:highlight w:val="none"/>
        </w:rPr>
        <w:t>有效期内撤回或成交后不签约的，</w:t>
      </w:r>
      <w:r>
        <w:rPr>
          <w:rFonts w:hint="eastAsia" w:ascii="仿宋_GB2312" w:hAnsi="仿宋_GB2312" w:eastAsia="仿宋_GB2312" w:cs="仿宋_GB2312"/>
          <w:color w:val="auto"/>
          <w:sz w:val="32"/>
          <w:szCs w:val="32"/>
          <w:highlight w:val="none"/>
          <w:lang w:eastAsia="zh-CN"/>
        </w:rPr>
        <w:t>谈判</w:t>
      </w:r>
      <w:r>
        <w:rPr>
          <w:rFonts w:hint="eastAsia" w:ascii="仿宋_GB2312" w:hAnsi="仿宋_GB2312" w:eastAsia="仿宋_GB2312" w:cs="仿宋_GB2312"/>
          <w:color w:val="auto"/>
          <w:sz w:val="32"/>
          <w:szCs w:val="32"/>
          <w:highlight w:val="none"/>
        </w:rPr>
        <w:t>保证金将被贵方没收。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3、我方同意按照贵方要求提供与</w:t>
      </w:r>
      <w:r>
        <w:rPr>
          <w:rFonts w:hint="eastAsia" w:ascii="仿宋_GB2312" w:hAnsi="仿宋_GB2312" w:eastAsia="仿宋_GB2312" w:cs="仿宋_GB2312"/>
          <w:color w:val="auto"/>
          <w:sz w:val="32"/>
          <w:szCs w:val="32"/>
          <w:highlight w:val="none"/>
          <w:lang w:eastAsia="zh-CN"/>
        </w:rPr>
        <w:t>谈判</w:t>
      </w:r>
      <w:r>
        <w:rPr>
          <w:rFonts w:hint="eastAsia" w:ascii="仿宋_GB2312" w:hAnsi="仿宋_GB2312" w:eastAsia="仿宋_GB2312" w:cs="仿宋_GB2312"/>
          <w:color w:val="auto"/>
          <w:sz w:val="32"/>
          <w:szCs w:val="32"/>
          <w:highlight w:val="none"/>
        </w:rPr>
        <w:t>有关的一切数据或资料，理解并接受贵方制定的评标办法。</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4、与本</w:t>
      </w:r>
      <w:r>
        <w:rPr>
          <w:rFonts w:hint="eastAsia" w:ascii="仿宋_GB2312" w:hAnsi="仿宋_GB2312" w:eastAsia="仿宋_GB2312" w:cs="仿宋_GB2312"/>
          <w:color w:val="auto"/>
          <w:sz w:val="32"/>
          <w:szCs w:val="32"/>
          <w:highlight w:val="none"/>
          <w:lang w:eastAsia="zh-CN"/>
        </w:rPr>
        <w:t>次竞争性谈判</w:t>
      </w:r>
      <w:r>
        <w:rPr>
          <w:rFonts w:hint="eastAsia" w:ascii="仿宋_GB2312" w:hAnsi="仿宋_GB2312" w:eastAsia="仿宋_GB2312" w:cs="仿宋_GB2312"/>
          <w:color w:val="auto"/>
          <w:sz w:val="32"/>
          <w:szCs w:val="32"/>
          <w:highlight w:val="none"/>
        </w:rPr>
        <w:t>有关的一切正式往来通讯请寄：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地址：_______________   邮编：______________</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电话：_______________   传真：______________</w:t>
      </w:r>
    </w:p>
    <w:p>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auto"/>
          <w:sz w:val="28"/>
          <w:szCs w:val="28"/>
          <w:highlight w:val="none"/>
        </w:rPr>
      </w:pPr>
      <w:r>
        <w:rPr>
          <w:rFonts w:hint="eastAsia" w:ascii="仿宋_GB2312" w:hAnsi="仿宋_GB2312" w:eastAsia="仿宋_GB2312" w:cs="仿宋_GB2312"/>
          <w:color w:val="auto"/>
          <w:sz w:val="32"/>
          <w:szCs w:val="32"/>
          <w:highlight w:val="none"/>
        </w:rPr>
        <w:t>法定代表人姓名： ___________ 职务：_________</w:t>
      </w:r>
    </w:p>
    <w:p>
      <w:pPr>
        <w:wordWrap/>
        <w:spacing w:before="157" w:beforeLines="50" w:line="560" w:lineRule="exact"/>
        <w:ind w:firstLine="56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宋体" w:eastAsia="仿宋_GB2312"/>
          <w:color w:val="auto"/>
          <w:sz w:val="28"/>
          <w:szCs w:val="28"/>
          <w:highlight w:val="none"/>
        </w:rPr>
        <w:t xml:space="preserve">         </w:t>
      </w:r>
      <w:r>
        <w:rPr>
          <w:rFonts w:hint="eastAsia" w:ascii="宋体" w:hAnsi="宋体"/>
          <w:b/>
          <w:color w:val="auto"/>
          <w:sz w:val="24"/>
          <w:highlight w:val="none"/>
        </w:rPr>
        <w:t xml:space="preserve">  </w:t>
      </w:r>
      <w:r>
        <w:rPr>
          <w:rFonts w:hint="eastAsia" w:ascii="仿宋_GB2312" w:hAnsi="仿宋_GB2312" w:eastAsia="仿宋_GB2312" w:cs="仿宋_GB2312"/>
          <w:b w:val="0"/>
          <w:bCs/>
          <w:color w:val="auto"/>
          <w:sz w:val="32"/>
          <w:szCs w:val="32"/>
          <w:highlight w:val="none"/>
        </w:rPr>
        <w:t xml:space="preserve">  </w:t>
      </w:r>
      <w:bookmarkStart w:id="346" w:name="_Toc1506_WPSOffice_Level3"/>
      <w:r>
        <w:rPr>
          <w:rFonts w:hint="eastAsia" w:ascii="仿宋_GB2312" w:hAnsi="仿宋_GB2312" w:eastAsia="仿宋_GB2312" w:cs="仿宋_GB2312"/>
          <w:b w:val="0"/>
          <w:bCs/>
          <w:color w:val="auto"/>
          <w:sz w:val="32"/>
          <w:szCs w:val="32"/>
          <w:highlight w:val="none"/>
          <w:lang w:val="en-US" w:eastAsia="zh-CN"/>
        </w:rPr>
        <w:t xml:space="preserve">               </w:t>
      </w:r>
      <w:bookmarkStart w:id="347" w:name="_Toc28112_WPSOffice_Level3"/>
      <w:r>
        <w:rPr>
          <w:rFonts w:hint="eastAsia" w:ascii="仿宋_GB2312" w:hAnsi="仿宋_GB2312" w:eastAsia="仿宋_GB2312" w:cs="仿宋_GB2312"/>
          <w:b w:val="0"/>
          <w:bCs/>
          <w:color w:val="auto"/>
          <w:sz w:val="32"/>
          <w:szCs w:val="32"/>
          <w:highlight w:val="none"/>
          <w:lang w:eastAsia="zh-CN"/>
        </w:rPr>
        <w:t>单</w:t>
      </w:r>
      <w:r>
        <w:rPr>
          <w:rFonts w:hint="eastAsia" w:ascii="仿宋_GB2312" w:hAnsi="仿宋_GB2312" w:eastAsia="仿宋_GB2312" w:cs="仿宋_GB2312"/>
          <w:b w:val="0"/>
          <w:bCs/>
          <w:color w:val="auto"/>
          <w:sz w:val="32"/>
          <w:szCs w:val="32"/>
          <w:highlight w:val="none"/>
        </w:rPr>
        <w:t>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346"/>
      <w:bookmarkEnd w:id="347"/>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348" w:name="_Toc6385_WPSOffice_Level3"/>
      <w:bookmarkStart w:id="349" w:name="_Toc28651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348"/>
      <w:bookmarkEnd w:id="349"/>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bookmarkStart w:id="350" w:name="_Toc13325_WPSOffice_Level3"/>
      <w:bookmarkStart w:id="351" w:name="_Toc130_WPSOffice_Level3"/>
      <w:r>
        <w:rPr>
          <w:rFonts w:hint="eastAsia" w:ascii="仿宋_GB2312" w:hAnsi="仿宋_GB2312" w:eastAsia="仿宋_GB2312" w:cs="仿宋_GB2312"/>
          <w:b w:val="0"/>
          <w:bCs/>
          <w:color w:val="auto"/>
          <w:sz w:val="32"/>
          <w:szCs w:val="32"/>
          <w:highlight w:val="none"/>
        </w:rPr>
        <w:t>年   月  日</w:t>
      </w:r>
      <w:bookmarkEnd w:id="350"/>
      <w:bookmarkEnd w:id="351"/>
    </w:p>
    <w:p>
      <w:pPr>
        <w:widowControl/>
        <w:wordWrap/>
        <w:snapToGrid w:val="0"/>
        <w:spacing w:before="157" w:beforeLines="50" w:line="560" w:lineRule="exact"/>
        <w:outlineLvl w:val="9"/>
        <w:rPr>
          <w:rFonts w:hint="eastAsia" w:ascii="宋体"/>
          <w:b/>
          <w:color w:val="auto"/>
          <w:sz w:val="28"/>
          <w:szCs w:val="28"/>
          <w:highlight w:val="none"/>
        </w:rPr>
      </w:pPr>
    </w:p>
    <w:p>
      <w:pPr>
        <w:widowControl/>
        <w:wordWrap/>
        <w:snapToGrid w:val="0"/>
        <w:spacing w:before="157" w:beforeLines="50" w:line="560" w:lineRule="exact"/>
        <w:jc w:val="left"/>
        <w:outlineLvl w:val="2"/>
        <w:rPr>
          <w:rFonts w:hint="eastAsia" w:ascii="宋体" w:hAnsi="宋体"/>
          <w:b/>
          <w:bCs/>
          <w:color w:val="auto"/>
          <w:sz w:val="36"/>
          <w:szCs w:val="36"/>
          <w:highlight w:val="none"/>
        </w:rPr>
      </w:pPr>
      <w:bookmarkStart w:id="352" w:name="_Toc26257_WPSOffice_Level2"/>
      <w:bookmarkStart w:id="353" w:name="_Toc3082"/>
      <w:bookmarkStart w:id="354" w:name="_Toc12487"/>
      <w:bookmarkStart w:id="355" w:name="_Toc20882_WPSOffice_Level3"/>
      <w:bookmarkStart w:id="356" w:name="_Toc16050"/>
      <w:bookmarkStart w:id="357" w:name="_Toc17887_WPSOffice_Level2"/>
      <w:bookmarkStart w:id="358" w:name="_Toc7382"/>
      <w:r>
        <w:rPr>
          <w:rFonts w:hint="eastAsia" w:ascii="楷体_GB2312" w:hAnsi="楷体_GB2312" w:eastAsia="楷体_GB2312" w:cs="楷体_GB2312"/>
          <w:b/>
          <w:color w:val="auto"/>
          <w:sz w:val="32"/>
          <w:szCs w:val="32"/>
          <w:highlight w:val="none"/>
          <w:lang w:eastAsia="zh-CN"/>
        </w:rPr>
        <w:t>附件2：法定代表人证明书</w:t>
      </w:r>
      <w:bookmarkEnd w:id="352"/>
      <w:bookmarkEnd w:id="353"/>
      <w:bookmarkEnd w:id="354"/>
      <w:bookmarkEnd w:id="355"/>
      <w:bookmarkEnd w:id="356"/>
      <w:bookmarkEnd w:id="357"/>
      <w:bookmarkEnd w:id="358"/>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highlight w:val="none"/>
          <w:lang w:eastAsia="zh-CN"/>
        </w:rPr>
      </w:pPr>
      <w:bookmarkStart w:id="359" w:name="_Toc6898_WPSOffice_Level2"/>
      <w:bookmarkStart w:id="360" w:name="_Toc28170_WPSOffice_Level2"/>
      <w:bookmarkStart w:id="361" w:name="_Toc32036_WPSOffice_Level1"/>
      <w:bookmarkStart w:id="362" w:name="_Toc14917_WPSOffice_Level1"/>
      <w:r>
        <w:rPr>
          <w:rFonts w:hint="eastAsia" w:ascii="仿宋_GB2312" w:hAnsi="仿宋_GB2312" w:eastAsia="仿宋_GB2312" w:cs="仿宋_GB2312"/>
          <w:b/>
          <w:color w:val="auto"/>
          <w:sz w:val="32"/>
          <w:szCs w:val="32"/>
          <w:highlight w:val="none"/>
          <w:lang w:eastAsia="zh-CN"/>
        </w:rPr>
        <w:t>法定代表人证明书</w:t>
      </w:r>
      <w:bookmarkEnd w:id="359"/>
      <w:bookmarkEnd w:id="360"/>
      <w:bookmarkEnd w:id="361"/>
      <w:bookmarkEnd w:id="362"/>
    </w:p>
    <w:p>
      <w:pPr>
        <w:wordWrap/>
        <w:spacing w:before="157" w:beforeLines="50" w:line="560" w:lineRule="exact"/>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致：</w:t>
      </w:r>
      <w:r>
        <w:rPr>
          <w:rFonts w:hint="eastAsia" w:ascii="仿宋_GB2312" w:hAnsi="仿宋_GB2312" w:eastAsia="仿宋_GB2312" w:cs="仿宋_GB2312"/>
          <w:b w:val="0"/>
          <w:bCs w:val="0"/>
          <w:color w:val="auto"/>
          <w:sz w:val="32"/>
          <w:szCs w:val="32"/>
          <w:highlight w:val="none"/>
          <w:u w:val="single"/>
          <w:lang w:eastAsia="zh-CN"/>
        </w:rPr>
        <w:t>青海晓成工程项目管理有限公司</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u w:val="single"/>
        </w:rPr>
        <w:t xml:space="preserve">  （法定代表人姓名）  </w:t>
      </w:r>
      <w:r>
        <w:rPr>
          <w:rFonts w:hint="eastAsia" w:ascii="仿宋_GB2312" w:hAnsi="仿宋_GB2312" w:eastAsia="仿宋_GB2312" w:cs="仿宋_GB2312"/>
          <w:b w:val="0"/>
          <w:bCs w:val="0"/>
          <w:color w:val="auto"/>
          <w:sz w:val="32"/>
          <w:szCs w:val="32"/>
          <w:highlight w:val="none"/>
        </w:rPr>
        <w:t>现任我单位</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职务，为法定代表人，特此证明。</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法定代表人基本情况：</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性别：</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年龄：</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民族：</w:t>
      </w:r>
      <w:r>
        <w:rPr>
          <w:rFonts w:hint="eastAsia" w:ascii="仿宋_GB2312" w:hAnsi="仿宋_GB2312" w:eastAsia="仿宋_GB2312" w:cs="仿宋_GB2312"/>
          <w:b w:val="0"/>
          <w:bCs w:val="0"/>
          <w:color w:val="auto"/>
          <w:sz w:val="32"/>
          <w:szCs w:val="32"/>
          <w:highlight w:val="none"/>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地址：</w:t>
      </w:r>
      <w:r>
        <w:rPr>
          <w:rFonts w:hint="eastAsia" w:ascii="仿宋_GB2312" w:hAnsi="仿宋_GB2312" w:eastAsia="仿宋_GB2312" w:cs="仿宋_GB2312"/>
          <w:b w:val="0"/>
          <w:bCs w:val="0"/>
          <w:color w:val="auto"/>
          <w:sz w:val="32"/>
          <w:szCs w:val="32"/>
          <w:highlight w:val="none"/>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身份证号码：</w:t>
      </w:r>
      <w:r>
        <w:rPr>
          <w:rFonts w:hint="eastAsia" w:ascii="仿宋_GB2312" w:hAnsi="仿宋_GB2312" w:eastAsia="仿宋_GB2312" w:cs="仿宋_GB2312"/>
          <w:b w:val="0"/>
          <w:bCs w:val="0"/>
          <w:color w:val="auto"/>
          <w:sz w:val="32"/>
          <w:szCs w:val="32"/>
          <w:highlight w:val="none"/>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附法定代表人第二代身份证双面扫描</w:t>
      </w:r>
      <w:r>
        <w:rPr>
          <w:rFonts w:hint="eastAsia" w:ascii="仿宋_GB2312" w:hAnsi="仿宋_GB2312" w:eastAsia="仿宋_GB2312" w:cs="仿宋_GB2312"/>
          <w:b w:val="0"/>
          <w:bCs w:val="0"/>
          <w:color w:val="auto"/>
          <w:sz w:val="32"/>
          <w:szCs w:val="32"/>
          <w:highlight w:val="none"/>
          <w:lang w:eastAsia="zh-CN"/>
        </w:rPr>
        <w:t>或其他身份证明材料</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cs="宋体"/>
          <w:color w:val="auto"/>
          <w:kern w:val="0"/>
          <w:sz w:val="24"/>
          <w:highlight w:val="none"/>
        </w:rPr>
      </w:pPr>
    </w:p>
    <w:p>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单位</w:t>
      </w:r>
      <w:r>
        <w:rPr>
          <w:rFonts w:hint="eastAsia" w:ascii="仿宋_GB2312" w:hAnsi="仿宋_GB2312" w:eastAsia="仿宋_GB2312" w:cs="仿宋_GB2312"/>
          <w:b w:val="0"/>
          <w:bCs w:val="0"/>
          <w:color w:val="auto"/>
          <w:sz w:val="32"/>
          <w:szCs w:val="32"/>
          <w:highlight w:val="none"/>
          <w:lang w:eastAsia="zh-CN"/>
        </w:rPr>
        <w:t>名称</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（公章）</w:t>
      </w:r>
    </w:p>
    <w:p>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宋体" w:hAnsi="宋体"/>
          <w:color w:val="auto"/>
          <w:sz w:val="24"/>
          <w:highlight w:val="none"/>
        </w:rPr>
        <w:t xml:space="preserve">         </w:t>
      </w:r>
      <w:r>
        <w:rPr>
          <w:rFonts w:hint="eastAsia" w:ascii="仿宋_GB2312" w:hAnsi="仿宋_GB2312" w:eastAsia="仿宋_GB2312" w:cs="仿宋_GB2312"/>
          <w:b w:val="0"/>
          <w:bCs/>
          <w:color w:val="auto"/>
          <w:sz w:val="32"/>
          <w:szCs w:val="32"/>
          <w:highlight w:val="none"/>
        </w:rPr>
        <w:t xml:space="preserve">   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p>
    <w:p>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auto"/>
          <w:sz w:val="32"/>
          <w:szCs w:val="32"/>
          <w:highlight w:val="none"/>
        </w:rPr>
      </w:pPr>
      <w:bookmarkStart w:id="363" w:name="_Toc10597_WPSOffice_Level3"/>
      <w:r>
        <w:rPr>
          <w:rFonts w:hint="eastAsia" w:ascii="仿宋_GB2312" w:hAnsi="仿宋_GB2312" w:eastAsia="仿宋_GB2312" w:cs="仿宋_GB2312"/>
          <w:b w:val="0"/>
          <w:bCs w:val="0"/>
          <w:color w:val="auto"/>
          <w:sz w:val="32"/>
          <w:szCs w:val="32"/>
          <w:highlight w:val="none"/>
          <w:lang w:val="en-US" w:eastAsia="zh-CN"/>
        </w:rPr>
        <w:t xml:space="preserve">                                       </w:t>
      </w:r>
      <w:bookmarkStart w:id="364" w:name="_Toc16117_WPSOffice_Level3"/>
      <w:r>
        <w:rPr>
          <w:rFonts w:hint="eastAsia" w:ascii="仿宋_GB2312" w:hAnsi="仿宋_GB2312" w:eastAsia="仿宋_GB2312" w:cs="仿宋_GB2312"/>
          <w:b w:val="0"/>
          <w:bCs w:val="0"/>
          <w:color w:val="auto"/>
          <w:sz w:val="32"/>
          <w:szCs w:val="32"/>
          <w:highlight w:val="none"/>
        </w:rPr>
        <w:t>年   月   日</w:t>
      </w:r>
      <w:bookmarkEnd w:id="363"/>
      <w:bookmarkEnd w:id="364"/>
    </w:p>
    <w:p>
      <w:pPr>
        <w:wordWrap/>
        <w:spacing w:before="157" w:beforeLines="50" w:line="560" w:lineRule="exact"/>
        <w:ind w:right="480"/>
        <w:jc w:val="right"/>
        <w:outlineLvl w:val="9"/>
        <w:rPr>
          <w:rFonts w:hint="eastAsia" w:ascii="宋体"/>
          <w:b/>
          <w:color w:val="auto"/>
          <w:sz w:val="36"/>
          <w:szCs w:val="36"/>
          <w:highlight w:val="none"/>
        </w:rPr>
      </w:pPr>
    </w:p>
    <w:p>
      <w:pPr>
        <w:wordWrap/>
        <w:spacing w:before="157" w:beforeLines="50" w:line="560" w:lineRule="exact"/>
        <w:jc w:val="right"/>
        <w:rPr>
          <w:rFonts w:hint="eastAsia" w:ascii="宋体"/>
          <w:b/>
          <w:color w:val="auto"/>
          <w:sz w:val="36"/>
          <w:szCs w:val="36"/>
          <w:highlight w:val="none"/>
        </w:rPr>
      </w:pPr>
    </w:p>
    <w:p>
      <w:pPr>
        <w:wordWrap/>
        <w:spacing w:before="157" w:beforeLines="50" w:line="560" w:lineRule="exact"/>
        <w:rPr>
          <w:rFonts w:hint="eastAsia" w:ascii="宋体"/>
          <w:b/>
          <w:color w:val="auto"/>
          <w:sz w:val="36"/>
          <w:szCs w:val="36"/>
          <w:highlight w:val="none"/>
        </w:rPr>
      </w:pPr>
    </w:p>
    <w:p>
      <w:pPr>
        <w:widowControl/>
        <w:wordWrap/>
        <w:snapToGrid w:val="0"/>
        <w:spacing w:before="157" w:beforeLines="50" w:line="560" w:lineRule="exact"/>
        <w:jc w:val="left"/>
        <w:outlineLvl w:val="2"/>
        <w:rPr>
          <w:rFonts w:hint="eastAsia" w:ascii="宋体" w:hAnsi="宋体"/>
          <w:b/>
          <w:color w:val="auto"/>
          <w:sz w:val="36"/>
          <w:szCs w:val="36"/>
          <w:highlight w:val="none"/>
        </w:rPr>
      </w:pPr>
      <w:bookmarkStart w:id="365" w:name="_Toc23035_WPSOffice_Level2"/>
      <w:bookmarkStart w:id="366" w:name="_Toc31901"/>
      <w:bookmarkStart w:id="367" w:name="_Toc18183"/>
      <w:bookmarkStart w:id="368" w:name="_Toc27782"/>
      <w:bookmarkStart w:id="369" w:name="_Toc21545_WPSOffice_Level3"/>
      <w:bookmarkStart w:id="370" w:name="_Toc25466"/>
      <w:r>
        <w:rPr>
          <w:rFonts w:hint="eastAsia" w:ascii="楷体_GB2312" w:hAnsi="楷体_GB2312" w:eastAsia="楷体_GB2312" w:cs="楷体_GB2312"/>
          <w:b/>
          <w:color w:val="auto"/>
          <w:sz w:val="32"/>
          <w:szCs w:val="32"/>
          <w:highlight w:val="none"/>
          <w:lang w:eastAsia="zh-CN"/>
        </w:rPr>
        <w:t>附件3：法定代表人授权书</w:t>
      </w:r>
      <w:bookmarkEnd w:id="365"/>
      <w:bookmarkEnd w:id="366"/>
      <w:bookmarkEnd w:id="367"/>
      <w:bookmarkEnd w:id="368"/>
      <w:bookmarkEnd w:id="369"/>
      <w:bookmarkEnd w:id="370"/>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highlight w:val="none"/>
          <w:lang w:eastAsia="zh-CN"/>
        </w:rPr>
      </w:pPr>
      <w:bookmarkStart w:id="371" w:name="_Toc26434_WPSOffice_Level2"/>
      <w:bookmarkStart w:id="372" w:name="_Toc5048_WPSOffice_Level2"/>
      <w:bookmarkStart w:id="373" w:name="_Toc1148_WPSOffice_Level3"/>
      <w:r>
        <w:rPr>
          <w:rFonts w:hint="eastAsia" w:ascii="仿宋_GB2312" w:hAnsi="仿宋_GB2312" w:eastAsia="仿宋_GB2312" w:cs="仿宋_GB2312"/>
          <w:b/>
          <w:color w:val="auto"/>
          <w:sz w:val="32"/>
          <w:szCs w:val="32"/>
          <w:highlight w:val="none"/>
          <w:lang w:eastAsia="zh-CN"/>
        </w:rPr>
        <w:t>法定代表人授权书</w:t>
      </w:r>
      <w:bookmarkEnd w:id="371"/>
      <w:bookmarkEnd w:id="372"/>
      <w:bookmarkEnd w:id="373"/>
    </w:p>
    <w:p>
      <w:pPr>
        <w:widowControl w:val="0"/>
        <w:wordWrap/>
        <w:adjustRightInd/>
        <w:snapToGrid/>
        <w:spacing w:line="560" w:lineRule="exact"/>
        <w:ind w:firstLine="263" w:firstLineChars="82"/>
        <w:textAlignment w:val="auto"/>
        <w:outlineLvl w:val="9"/>
        <w:rPr>
          <w:rFonts w:hint="eastAsia" w:ascii="仿宋_GB2312" w:hAnsi="仿宋_GB2312" w:eastAsia="仿宋_GB2312" w:cs="仿宋_GB2312"/>
          <w:color w:val="auto"/>
          <w:sz w:val="32"/>
          <w:szCs w:val="32"/>
          <w:highlight w:val="none"/>
          <w:u w:val="single"/>
        </w:rPr>
      </w:pPr>
      <w:bookmarkStart w:id="374" w:name="_Toc6307_WPSOffice_Level2"/>
      <w:bookmarkStart w:id="375" w:name="_Toc25306_WPSOffice_Level2"/>
      <w:bookmarkStart w:id="376" w:name="_Toc16084_WPSOffice_Level2"/>
      <w:r>
        <w:rPr>
          <w:rFonts w:hint="eastAsia" w:ascii="仿宋_GB2312" w:hAnsi="仿宋_GB2312" w:eastAsia="仿宋_GB2312" w:cs="仿宋_GB2312"/>
          <w:b/>
          <w:bCs/>
          <w:color w:val="auto"/>
          <w:sz w:val="32"/>
          <w:szCs w:val="32"/>
          <w:highlight w:val="none"/>
        </w:rPr>
        <w:t>致：</w:t>
      </w:r>
      <w:bookmarkEnd w:id="374"/>
      <w:bookmarkEnd w:id="375"/>
      <w:bookmarkEnd w:id="376"/>
      <w:r>
        <w:rPr>
          <w:rFonts w:hint="eastAsia" w:ascii="仿宋_GB2312" w:hAnsi="仿宋_GB2312" w:eastAsia="仿宋_GB2312" w:cs="仿宋_GB2312"/>
          <w:b/>
          <w:bCs/>
          <w:color w:val="auto"/>
          <w:sz w:val="32"/>
          <w:szCs w:val="32"/>
          <w:highlight w:val="none"/>
          <w:u w:val="single"/>
          <w:lang w:eastAsia="zh-CN"/>
        </w:rPr>
        <w:t>青海晓成工程项目管理有限公司</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（供应商名称）  </w:t>
      </w:r>
      <w:r>
        <w:rPr>
          <w:rFonts w:hint="eastAsia" w:ascii="仿宋_GB2312" w:hAnsi="仿宋_GB2312" w:eastAsia="仿宋_GB2312" w:cs="仿宋_GB2312"/>
          <w:color w:val="auto"/>
          <w:sz w:val="32"/>
          <w:szCs w:val="32"/>
          <w:highlight w:val="none"/>
        </w:rPr>
        <w:t>系中华人民共和国合法企业，法定地址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（法定代表人姓名）   </w:t>
      </w:r>
      <w:r>
        <w:rPr>
          <w:rFonts w:hint="eastAsia" w:ascii="仿宋_GB2312" w:hAnsi="仿宋_GB2312" w:eastAsia="仿宋_GB2312" w:cs="仿宋_GB2312"/>
          <w:color w:val="auto"/>
          <w:sz w:val="32"/>
          <w:szCs w:val="32"/>
          <w:highlight w:val="none"/>
        </w:rPr>
        <w:t>特授权</w:t>
      </w:r>
      <w:r>
        <w:rPr>
          <w:rFonts w:hint="eastAsia" w:ascii="仿宋_GB2312" w:hAnsi="仿宋_GB2312" w:eastAsia="仿宋_GB2312" w:cs="仿宋_GB2312"/>
          <w:color w:val="auto"/>
          <w:sz w:val="32"/>
          <w:szCs w:val="32"/>
          <w:highlight w:val="none"/>
          <w:u w:val="single"/>
        </w:rPr>
        <w:t xml:space="preserve"> （委托代理人姓名）    </w:t>
      </w:r>
      <w:r>
        <w:rPr>
          <w:rFonts w:hint="eastAsia" w:ascii="仿宋_GB2312" w:hAnsi="仿宋_GB2312" w:eastAsia="仿宋_GB2312" w:cs="仿宋_GB2312"/>
          <w:color w:val="auto"/>
          <w:sz w:val="32"/>
          <w:szCs w:val="32"/>
          <w:highlight w:val="none"/>
        </w:rPr>
        <w:t>代表我单位全权办理针对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项目的</w:t>
      </w:r>
      <w:r>
        <w:rPr>
          <w:rFonts w:hint="eastAsia" w:ascii="仿宋_GB2312" w:hAnsi="仿宋_GB2312" w:eastAsia="仿宋_GB2312" w:cs="仿宋_GB2312"/>
          <w:color w:val="auto"/>
          <w:sz w:val="32"/>
          <w:szCs w:val="32"/>
          <w:highlight w:val="none"/>
          <w:lang w:eastAsia="zh-CN"/>
        </w:rPr>
        <w:t>谈判、答疑</w:t>
      </w:r>
      <w:r>
        <w:rPr>
          <w:rFonts w:hint="eastAsia" w:ascii="仿宋_GB2312" w:hAnsi="仿宋_GB2312" w:eastAsia="仿宋_GB2312" w:cs="仿宋_GB2312"/>
          <w:color w:val="auto"/>
          <w:sz w:val="32"/>
          <w:szCs w:val="32"/>
          <w:highlight w:val="none"/>
        </w:rPr>
        <w:t>等具体工作，并签署全部有关的文件、资料。</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我单位对被授权人的签名负全部责任。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授权期限：自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需满足投标有效期、否则投标无效</w:t>
      </w:r>
      <w:r>
        <w:rPr>
          <w:rFonts w:hint="eastAsia" w:ascii="仿宋_GB2312" w:hAnsi="仿宋_GB2312" w:eastAsia="仿宋_GB2312" w:cs="仿宋_GB2312"/>
          <w:color w:val="auto"/>
          <w:sz w:val="32"/>
          <w:szCs w:val="32"/>
          <w:highlight w:val="none"/>
          <w:lang w:eastAsia="zh-CN"/>
        </w:rPr>
        <w:t>）</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被授权人联系电话：</w:t>
      </w:r>
      <w:r>
        <w:rPr>
          <w:rFonts w:hint="eastAsia" w:ascii="仿宋_GB2312" w:hAnsi="仿宋_GB2312" w:eastAsia="仿宋_GB2312" w:cs="仿宋_GB2312"/>
          <w:color w:val="auto"/>
          <w:sz w:val="32"/>
          <w:szCs w:val="32"/>
          <w:highlight w:val="none"/>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被授权人（委托代理人）签字或盖章：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职务：</w:t>
      </w:r>
      <w:r>
        <w:rPr>
          <w:rFonts w:hint="eastAsia" w:ascii="仿宋_GB2312" w:hAnsi="仿宋_GB2312" w:eastAsia="仿宋_GB2312" w:cs="仿宋_GB2312"/>
          <w:color w:val="auto"/>
          <w:sz w:val="32"/>
          <w:szCs w:val="32"/>
          <w:highlight w:val="none"/>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授权人（法定代表人）签字或盖章：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职务：</w:t>
      </w:r>
      <w:r>
        <w:rPr>
          <w:rFonts w:hint="eastAsia" w:ascii="仿宋_GB2312" w:hAnsi="仿宋_GB2312" w:eastAsia="仿宋_GB2312" w:cs="仿宋_GB2312"/>
          <w:color w:val="auto"/>
          <w:sz w:val="32"/>
          <w:szCs w:val="32"/>
          <w:highlight w:val="none"/>
          <w:u w:val="single"/>
        </w:rPr>
        <w:t xml:space="preserve">            </w:t>
      </w:r>
    </w:p>
    <w:p>
      <w:pPr>
        <w:widowControl w:val="0"/>
        <w:wordWrap/>
        <w:adjustRightInd/>
        <w:snapToGrid/>
        <w:spacing w:line="560" w:lineRule="exact"/>
        <w:ind w:firstLine="640" w:firstLineChars="200"/>
        <w:textAlignment w:val="auto"/>
        <w:outlineLvl w:val="9"/>
        <w:rPr>
          <w:rFonts w:hint="eastAsia" w:ascii="宋体" w:hAnsi="宋体"/>
          <w:color w:val="auto"/>
          <w:sz w:val="36"/>
          <w:szCs w:val="36"/>
          <w:highlight w:val="none"/>
        </w:rPr>
      </w:pPr>
      <w:r>
        <w:rPr>
          <w:rFonts w:hint="eastAsia" w:ascii="仿宋_GB2312" w:hAnsi="仿宋_GB2312" w:eastAsia="仿宋_GB2312" w:cs="仿宋_GB2312"/>
          <w:color w:val="auto"/>
          <w:kern w:val="0"/>
          <w:sz w:val="32"/>
          <w:szCs w:val="32"/>
          <w:highlight w:val="none"/>
        </w:rPr>
        <w:t>附被授权人第二代身份证双面扫描（或复印）件</w:t>
      </w:r>
    </w:p>
    <w:p>
      <w:pPr>
        <w:wordWrap/>
        <w:spacing w:before="157" w:beforeLines="50" w:line="560" w:lineRule="exact"/>
        <w:ind w:firstLine="4800" w:firstLineChars="1500"/>
        <w:jc w:val="right"/>
        <w:outlineLvl w:val="9"/>
        <w:rPr>
          <w:rFonts w:hint="eastAsia" w:ascii="仿宋_GB2312" w:hAnsi="仿宋_GB2312" w:eastAsia="仿宋_GB2312" w:cs="仿宋_GB2312"/>
          <w:b w:val="0"/>
          <w:bCs/>
          <w:color w:val="auto"/>
          <w:sz w:val="32"/>
          <w:szCs w:val="32"/>
          <w:highlight w:val="none"/>
        </w:rPr>
      </w:pPr>
      <w:bookmarkStart w:id="377" w:name="_Toc13837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kern w:val="0"/>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377"/>
      <w:r>
        <w:rPr>
          <w:rFonts w:hint="eastAsia" w:ascii="仿宋_GB2312" w:hAnsi="仿宋_GB2312" w:eastAsia="仿宋_GB2312" w:cs="仿宋_GB2312"/>
          <w:b w:val="0"/>
          <w:bCs/>
          <w:color w:val="auto"/>
          <w:sz w:val="32"/>
          <w:szCs w:val="32"/>
          <w:highlight w:val="none"/>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auto"/>
          <w:sz w:val="32"/>
          <w:szCs w:val="32"/>
          <w:highlight w:val="none"/>
        </w:rPr>
      </w:pPr>
      <w:r>
        <w:rPr>
          <w:rFonts w:hint="eastAsia" w:ascii="宋体" w:hAnsi="宋体"/>
          <w:color w:val="auto"/>
          <w:sz w:val="24"/>
          <w:highlight w:val="none"/>
        </w:rPr>
        <w:t xml:space="preserve">         </w:t>
      </w:r>
      <w:r>
        <w:rPr>
          <w:rFonts w:hint="eastAsia" w:ascii="仿宋_GB2312" w:hAnsi="仿宋_GB2312" w:eastAsia="仿宋_GB2312" w:cs="仿宋_GB2312"/>
          <w:b w:val="0"/>
          <w:bCs/>
          <w:color w:val="auto"/>
          <w:sz w:val="32"/>
          <w:szCs w:val="32"/>
          <w:highlight w:val="none"/>
        </w:rPr>
        <w:t xml:space="preserve">   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 xml:space="preserve">（签字或盖章）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bookmarkStart w:id="378" w:name="_Toc6591_WPSOffice_Level3"/>
      <w:bookmarkStart w:id="379" w:name="_Toc32599_WPSOffice_Level3"/>
      <w:r>
        <w:rPr>
          <w:rFonts w:hint="eastAsia" w:ascii="仿宋_GB2312" w:hAnsi="仿宋_GB2312" w:eastAsia="仿宋_GB2312" w:cs="仿宋_GB2312"/>
          <w:b w:val="0"/>
          <w:bCs/>
          <w:color w:val="auto"/>
          <w:sz w:val="32"/>
          <w:szCs w:val="32"/>
          <w:highlight w:val="none"/>
        </w:rPr>
        <w:t>年   月   日</w:t>
      </w:r>
      <w:bookmarkEnd w:id="378"/>
      <w:bookmarkEnd w:id="379"/>
    </w:p>
    <w:p>
      <w:pPr>
        <w:wordWrap/>
        <w:spacing w:before="157" w:beforeLines="50" w:line="560" w:lineRule="exact"/>
        <w:outlineLvl w:val="9"/>
        <w:rPr>
          <w:rFonts w:hint="eastAsia" w:ascii="宋体" w:hAnsi="宋体"/>
          <w:b/>
          <w:bCs/>
          <w:color w:val="auto"/>
          <w:sz w:val="24"/>
          <w:highlight w:val="none"/>
        </w:rPr>
      </w:pPr>
    </w:p>
    <w:p>
      <w:pPr>
        <w:widowControl/>
        <w:wordWrap/>
        <w:snapToGrid w:val="0"/>
        <w:spacing w:before="157" w:beforeLines="50" w:line="560" w:lineRule="exact"/>
        <w:jc w:val="left"/>
        <w:outlineLvl w:val="2"/>
        <w:rPr>
          <w:rFonts w:hint="eastAsia" w:ascii="楷体_GB2312" w:hAnsi="楷体_GB2312" w:eastAsia="楷体_GB2312" w:cs="楷体_GB2312"/>
          <w:b/>
          <w:color w:val="auto"/>
          <w:sz w:val="32"/>
          <w:szCs w:val="32"/>
          <w:highlight w:val="none"/>
          <w:lang w:eastAsia="zh-CN"/>
        </w:rPr>
      </w:pPr>
      <w:bookmarkStart w:id="380" w:name="_Toc18581"/>
      <w:bookmarkStart w:id="381" w:name="_Toc26653_WPSOffice_Level3"/>
      <w:bookmarkStart w:id="382" w:name="_Toc16704"/>
      <w:bookmarkStart w:id="383" w:name="_Toc30919"/>
      <w:bookmarkStart w:id="384" w:name="_Toc23618"/>
      <w:bookmarkStart w:id="385" w:name="_Toc7737_WPSOffice_Level3"/>
      <w:r>
        <w:rPr>
          <w:rFonts w:hint="eastAsia" w:ascii="楷体_GB2312" w:hAnsi="楷体_GB2312" w:eastAsia="楷体_GB2312" w:cs="楷体_GB2312"/>
          <w:b/>
          <w:color w:val="auto"/>
          <w:sz w:val="32"/>
          <w:szCs w:val="32"/>
          <w:highlight w:val="none"/>
          <w:lang w:eastAsia="zh-CN"/>
        </w:rPr>
        <w:t>附件4：供应商承诺函</w:t>
      </w:r>
      <w:bookmarkEnd w:id="380"/>
      <w:bookmarkEnd w:id="381"/>
      <w:bookmarkEnd w:id="382"/>
      <w:bookmarkEnd w:id="383"/>
      <w:bookmarkEnd w:id="384"/>
      <w:bookmarkEnd w:id="385"/>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highlight w:val="none"/>
          <w:lang w:eastAsia="zh-CN"/>
        </w:rPr>
      </w:pPr>
      <w:bookmarkStart w:id="386" w:name="_Toc2453_WPSOffice_Level2"/>
      <w:bookmarkStart w:id="387" w:name="_Toc27597_WPSOffice_Level3"/>
      <w:bookmarkStart w:id="388" w:name="_Toc17639_WPSOffice_Level2"/>
      <w:r>
        <w:rPr>
          <w:rFonts w:hint="eastAsia" w:ascii="仿宋_GB2312" w:hAnsi="仿宋_GB2312" w:eastAsia="仿宋_GB2312" w:cs="仿宋_GB2312"/>
          <w:b/>
          <w:color w:val="auto"/>
          <w:sz w:val="32"/>
          <w:szCs w:val="32"/>
          <w:highlight w:val="none"/>
          <w:lang w:eastAsia="zh-CN"/>
        </w:rPr>
        <w:t>供应商承诺函</w:t>
      </w:r>
      <w:bookmarkEnd w:id="386"/>
      <w:bookmarkEnd w:id="387"/>
      <w:bookmarkEnd w:id="388"/>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致：</w:t>
      </w:r>
      <w:r>
        <w:rPr>
          <w:rFonts w:hint="eastAsia" w:ascii="仿宋_GB2312" w:hAnsi="仿宋_GB2312" w:eastAsia="仿宋_GB2312" w:cs="仿宋_GB2312"/>
          <w:b w:val="0"/>
          <w:bCs w:val="0"/>
          <w:color w:val="auto"/>
          <w:sz w:val="32"/>
          <w:szCs w:val="32"/>
          <w:highlight w:val="none"/>
          <w:u w:val="single"/>
          <w:lang w:eastAsia="zh-CN"/>
        </w:rPr>
        <w:t>青海晓成工程项目管理有限公司</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关于贵方</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（项目名称及编号）</w:t>
      </w:r>
      <w:r>
        <w:rPr>
          <w:rFonts w:hint="eastAsia" w:ascii="仿宋_GB2312" w:hAnsi="仿宋_GB2312" w:eastAsia="仿宋_GB2312" w:cs="仿宋_GB2312"/>
          <w:b w:val="0"/>
          <w:bCs w:val="0"/>
          <w:color w:val="auto"/>
          <w:sz w:val="32"/>
          <w:szCs w:val="32"/>
          <w:highlight w:val="none"/>
        </w:rPr>
        <w:t>采购项目，本签字人愿意参加</w:t>
      </w:r>
      <w:r>
        <w:rPr>
          <w:rFonts w:hint="eastAsia" w:ascii="仿宋_GB2312" w:hAnsi="仿宋_GB2312" w:eastAsia="仿宋_GB2312" w:cs="仿宋_GB2312"/>
          <w:b w:val="0"/>
          <w:bCs w:val="0"/>
          <w:color w:val="auto"/>
          <w:sz w:val="32"/>
          <w:szCs w:val="32"/>
          <w:highlight w:val="none"/>
          <w:lang w:eastAsia="zh-CN"/>
        </w:rPr>
        <w:t>谈判</w:t>
      </w:r>
      <w:r>
        <w:rPr>
          <w:rFonts w:hint="eastAsia" w:ascii="仿宋_GB2312" w:hAnsi="仿宋_GB2312" w:eastAsia="仿宋_GB2312" w:cs="仿宋_GB2312"/>
          <w:b w:val="0"/>
          <w:bCs w:val="0"/>
          <w:color w:val="auto"/>
          <w:sz w:val="32"/>
          <w:szCs w:val="32"/>
          <w:highlight w:val="none"/>
        </w:rPr>
        <w:t>，提供采购一览表中要求的所有产品，并证实提交的所有资料是准确的和真实的。同时，我代表</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u w:val="single"/>
        </w:rPr>
        <w:t>（供应商名称）</w:t>
      </w:r>
      <w:r>
        <w:rPr>
          <w:rFonts w:hint="eastAsia" w:ascii="仿宋_GB2312" w:hAnsi="仿宋_GB2312" w:eastAsia="仿宋_GB2312" w:cs="仿宋_GB2312"/>
          <w:b w:val="0"/>
          <w:bCs w:val="0"/>
          <w:color w:val="auto"/>
          <w:sz w:val="32"/>
          <w:szCs w:val="32"/>
          <w:highlight w:val="none"/>
        </w:rPr>
        <w:t>，在此作如下承诺：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1、完全理解和接受谈判文件的一切规定和要求；</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2、若</w:t>
      </w:r>
      <w:r>
        <w:rPr>
          <w:rFonts w:hint="eastAsia" w:ascii="仿宋_GB2312" w:hAnsi="仿宋_GB2312" w:eastAsia="仿宋_GB2312" w:cs="仿宋_GB2312"/>
          <w:b w:val="0"/>
          <w:bCs w:val="0"/>
          <w:color w:val="auto"/>
          <w:sz w:val="32"/>
          <w:szCs w:val="32"/>
          <w:highlight w:val="none"/>
          <w:lang w:eastAsia="zh-CN"/>
        </w:rPr>
        <w:t>成交</w:t>
      </w:r>
      <w:r>
        <w:rPr>
          <w:rFonts w:hint="eastAsia" w:ascii="仿宋_GB2312" w:hAnsi="仿宋_GB2312" w:eastAsia="仿宋_GB2312" w:cs="仿宋_GB2312"/>
          <w:b w:val="0"/>
          <w:bCs w:val="0"/>
          <w:color w:val="auto"/>
          <w:sz w:val="32"/>
          <w:szCs w:val="32"/>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auto"/>
          <w:sz w:val="32"/>
          <w:szCs w:val="32"/>
          <w:highlight w:val="none"/>
          <w:lang w:eastAsia="zh-CN"/>
        </w:rPr>
        <w:t>违反</w:t>
      </w:r>
      <w:r>
        <w:rPr>
          <w:rFonts w:hint="eastAsia" w:ascii="仿宋_GB2312" w:hAnsi="仿宋_GB2312" w:eastAsia="仿宋_GB2312" w:cs="仿宋_GB2312"/>
          <w:b w:val="0"/>
          <w:bCs w:val="0"/>
          <w:color w:val="auto"/>
          <w:sz w:val="32"/>
          <w:szCs w:val="32"/>
          <w:highlight w:val="none"/>
        </w:rPr>
        <w:t>，愿承担相应的一切责任。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5、在整个谈判过程中我方若有违规行为，贵方可按谈判文件之规定给予处罚，我方完全接受。</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6、若成交，本承诺将成为合同不可分割的一部分，与合同具有同等的法律效力。</w:t>
      </w:r>
    </w:p>
    <w:p>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rPr>
        <w:t xml:space="preserve"> </w:t>
      </w:r>
      <w:bookmarkStart w:id="389" w:name="_Toc29941_WPSOffice_Level3"/>
      <w:r>
        <w:rPr>
          <w:rFonts w:hint="eastAsia" w:ascii="仿宋_GB2312" w:hAnsi="仿宋_GB2312" w:eastAsia="仿宋_GB2312" w:cs="仿宋_GB2312"/>
          <w:b w:val="0"/>
          <w:bCs/>
          <w:color w:val="auto"/>
          <w:sz w:val="32"/>
          <w:szCs w:val="32"/>
          <w:highlight w:val="none"/>
          <w:lang w:val="en-US" w:eastAsia="zh-CN"/>
        </w:rPr>
        <w:t xml:space="preserve">  </w:t>
      </w:r>
      <w:bookmarkStart w:id="390" w:name="_Toc11979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389"/>
      <w:bookmarkEnd w:id="390"/>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391" w:name="_Toc15106_WPSOffice_Level3"/>
      <w:bookmarkStart w:id="392" w:name="_Toc22507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391"/>
      <w:bookmarkEnd w:id="392"/>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393" w:name="_Toc24254_WPSOffice_Level3"/>
      <w:r>
        <w:rPr>
          <w:rFonts w:hint="eastAsia" w:ascii="仿宋_GB2312" w:hAnsi="仿宋_GB2312" w:eastAsia="仿宋_GB2312" w:cs="仿宋_GB2312"/>
          <w:b w:val="0"/>
          <w:bCs/>
          <w:color w:val="auto"/>
          <w:sz w:val="32"/>
          <w:szCs w:val="32"/>
          <w:highlight w:val="none"/>
          <w:lang w:val="en-US" w:eastAsia="zh-CN"/>
        </w:rPr>
        <w:t xml:space="preserve">                      </w:t>
      </w:r>
      <w:bookmarkStart w:id="394" w:name="_Toc9343_WPSOffice_Level3"/>
      <w:r>
        <w:rPr>
          <w:rFonts w:hint="eastAsia" w:ascii="仿宋_GB2312" w:hAnsi="仿宋_GB2312" w:eastAsia="仿宋_GB2312" w:cs="仿宋_GB2312"/>
          <w:b w:val="0"/>
          <w:bCs/>
          <w:color w:val="auto"/>
          <w:sz w:val="32"/>
          <w:szCs w:val="32"/>
          <w:highlight w:val="none"/>
        </w:rPr>
        <w:t>年   月  日</w:t>
      </w:r>
      <w:bookmarkEnd w:id="393"/>
      <w:bookmarkEnd w:id="394"/>
    </w:p>
    <w:p>
      <w:pPr>
        <w:widowControl/>
        <w:wordWrap/>
        <w:snapToGrid w:val="0"/>
        <w:spacing w:before="157" w:beforeLines="50" w:line="560" w:lineRule="exact"/>
        <w:outlineLvl w:val="1"/>
        <w:rPr>
          <w:rFonts w:hint="eastAsia" w:ascii="宋体" w:hAnsi="宋体"/>
          <w:b/>
          <w:color w:val="auto"/>
          <w:sz w:val="36"/>
          <w:szCs w:val="36"/>
          <w:highlight w:val="none"/>
        </w:rPr>
      </w:pPr>
      <w:r>
        <w:rPr>
          <w:rFonts w:ascii="宋体"/>
          <w:b/>
          <w:color w:val="auto"/>
          <w:sz w:val="28"/>
          <w:szCs w:val="28"/>
          <w:highlight w:val="none"/>
        </w:rPr>
        <w:br w:type="page"/>
      </w:r>
      <w:bookmarkStart w:id="395" w:name="_Toc6416"/>
      <w:bookmarkStart w:id="396" w:name="_Toc25740"/>
      <w:bookmarkStart w:id="397" w:name="_Toc20884"/>
      <w:bookmarkStart w:id="398" w:name="_Toc26773_WPSOffice_Level3"/>
      <w:bookmarkStart w:id="399" w:name="_Toc4257"/>
      <w:bookmarkStart w:id="400" w:name="_Toc653_WPSOffice_Level3"/>
      <w:r>
        <w:rPr>
          <w:rFonts w:hint="eastAsia" w:ascii="楷体_GB2312" w:hAnsi="楷体_GB2312" w:eastAsia="楷体_GB2312" w:cs="楷体_GB2312"/>
          <w:b/>
          <w:color w:val="auto"/>
          <w:sz w:val="32"/>
          <w:szCs w:val="32"/>
          <w:highlight w:val="none"/>
          <w:lang w:eastAsia="zh-CN"/>
        </w:rPr>
        <w:t>附件5：供应商诚信承诺书</w:t>
      </w:r>
      <w:bookmarkEnd w:id="395"/>
      <w:bookmarkEnd w:id="396"/>
      <w:bookmarkEnd w:id="397"/>
      <w:bookmarkEnd w:id="398"/>
      <w:bookmarkEnd w:id="399"/>
      <w:bookmarkEnd w:id="400"/>
    </w:p>
    <w:p>
      <w:pPr>
        <w:wordWrap/>
        <w:spacing w:before="157" w:beforeLines="50" w:line="560" w:lineRule="exact"/>
        <w:jc w:val="center"/>
        <w:outlineLvl w:val="9"/>
        <w:rPr>
          <w:rFonts w:hint="eastAsia" w:ascii="宋体" w:hAnsi="宋体"/>
          <w:b/>
          <w:color w:val="auto"/>
          <w:sz w:val="36"/>
          <w:szCs w:val="36"/>
          <w:highlight w:val="none"/>
        </w:rPr>
      </w:pPr>
      <w:bookmarkStart w:id="401" w:name="_Toc22989_WPSOffice_Level3"/>
      <w:bookmarkStart w:id="402" w:name="_Toc22537_WPSOffice_Level3"/>
      <w:r>
        <w:rPr>
          <w:rFonts w:hint="eastAsia" w:ascii="仿宋_GB2312" w:hAnsi="仿宋_GB2312" w:eastAsia="仿宋_GB2312" w:cs="仿宋_GB2312"/>
          <w:b/>
          <w:color w:val="auto"/>
          <w:sz w:val="32"/>
          <w:szCs w:val="32"/>
          <w:highlight w:val="none"/>
          <w:lang w:eastAsia="zh-CN"/>
        </w:rPr>
        <w:t>供应商诚信承诺书</w:t>
      </w:r>
      <w:bookmarkEnd w:id="401"/>
      <w:bookmarkEnd w:id="402"/>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致：</w:t>
      </w:r>
      <w:r>
        <w:rPr>
          <w:rFonts w:hint="eastAsia" w:ascii="仿宋_GB2312" w:hAnsi="仿宋_GB2312" w:eastAsia="仿宋_GB2312" w:cs="仿宋_GB2312"/>
          <w:b w:val="0"/>
          <w:bCs w:val="0"/>
          <w:color w:val="auto"/>
          <w:sz w:val="32"/>
          <w:szCs w:val="32"/>
          <w:highlight w:val="none"/>
          <w:u w:val="single"/>
          <w:lang w:eastAsia="zh-CN"/>
        </w:rPr>
        <w:t>青海晓成工程项目管理有限公司</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为了诚实、客观、有序地参与青海省政府采购活动，愿就以下内容作出承诺：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、自觉遵守各项法律、法规、规章、制度以及社会公德，维护廉洁环境，与同场竞争的供应商平等参加政府采购活动。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、参加</w:t>
      </w:r>
      <w:r>
        <w:rPr>
          <w:rFonts w:hint="eastAsia" w:ascii="仿宋_GB2312" w:hAnsi="仿宋_GB2312" w:eastAsia="仿宋_GB2312" w:cs="仿宋_GB2312"/>
          <w:b w:val="0"/>
          <w:bCs w:val="0"/>
          <w:color w:val="auto"/>
          <w:sz w:val="32"/>
          <w:szCs w:val="32"/>
          <w:highlight w:val="none"/>
          <w:lang w:val="en-US" w:eastAsia="zh-CN"/>
        </w:rPr>
        <w:t>该</w:t>
      </w:r>
      <w:bookmarkStart w:id="783" w:name="_GoBack"/>
      <w:bookmarkEnd w:id="783"/>
      <w:r>
        <w:rPr>
          <w:rFonts w:hint="eastAsia" w:ascii="仿宋_GB2312" w:hAnsi="仿宋_GB2312" w:eastAsia="仿宋_GB2312" w:cs="仿宋_GB2312"/>
          <w:b w:val="0"/>
          <w:bCs w:val="0"/>
          <w:color w:val="auto"/>
          <w:sz w:val="32"/>
          <w:szCs w:val="32"/>
          <w:highlight w:val="none"/>
        </w:rPr>
        <w:t>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auto"/>
          <w:sz w:val="32"/>
          <w:szCs w:val="32"/>
          <w:highlight w:val="none"/>
          <w:lang w:eastAsia="zh-CN"/>
        </w:rPr>
        <w:t>响应</w:t>
      </w:r>
      <w:r>
        <w:rPr>
          <w:rFonts w:hint="eastAsia" w:ascii="仿宋_GB2312" w:hAnsi="仿宋_GB2312" w:eastAsia="仿宋_GB2312" w:cs="仿宋_GB2312"/>
          <w:b w:val="0"/>
          <w:bCs w:val="0"/>
          <w:color w:val="auto"/>
          <w:sz w:val="32"/>
          <w:szCs w:val="32"/>
          <w:highlight w:val="none"/>
        </w:rPr>
        <w:t>，不虚列业绩。</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、尊重参与政府采购活动各相关方的合法行为，接受政府采购活动依法形成的意见、结果。</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、依法参加政府采购活动，不围标、串标，维护市场秩序，不提供“三无”产品、以次充好。</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、积极推动政府采购活动健康开展，对采购活动有疑问、异议时，按法律规定的程序实名（加盖单位</w:t>
      </w:r>
      <w:r>
        <w:rPr>
          <w:rFonts w:hint="eastAsia" w:ascii="仿宋_GB2312" w:hAnsi="仿宋_GB2312" w:eastAsia="仿宋_GB2312" w:cs="仿宋_GB2312"/>
          <w:b w:val="0"/>
          <w:bCs w:val="0"/>
          <w:color w:val="auto"/>
          <w:sz w:val="32"/>
          <w:szCs w:val="32"/>
          <w:highlight w:val="none"/>
          <w:lang w:eastAsia="zh-CN"/>
        </w:rPr>
        <w:t>公</w:t>
      </w:r>
      <w:r>
        <w:rPr>
          <w:rFonts w:hint="eastAsia" w:ascii="仿宋_GB2312" w:hAnsi="仿宋_GB2312" w:eastAsia="仿宋_GB2312" w:cs="仿宋_GB2312"/>
          <w:b w:val="0"/>
          <w:bCs w:val="0"/>
          <w:color w:val="auto"/>
          <w:sz w:val="32"/>
          <w:szCs w:val="32"/>
          <w:highlight w:val="none"/>
        </w:rPr>
        <w:t>章和法定代表人签名）反映情况，不恶意中伤、无事生非，以和谐、平等的心态参加政府采购活动。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、认真履行成交供应商应承担的责任和义务，全面执行采购合同规定的各项内容，保质保量地按时提供采购物品。</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本承诺是采购项目谈判响应文件的组成部分。</w:t>
      </w:r>
    </w:p>
    <w:p>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rPr>
        <w:t xml:space="preserve"> </w:t>
      </w:r>
      <w:bookmarkStart w:id="403" w:name="_Toc23784_WPSOffice_Level3"/>
      <w:bookmarkStart w:id="404" w:name="_Toc2830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403"/>
      <w:bookmarkEnd w:id="404"/>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05" w:name="_Toc25026_WPSOffice_Level3"/>
      <w:bookmarkStart w:id="406" w:name="_Toc13573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405"/>
      <w:bookmarkEnd w:id="406"/>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07" w:name="_Toc5564_WPSOffice_Level3"/>
      <w:r>
        <w:rPr>
          <w:rFonts w:hint="eastAsia" w:ascii="仿宋_GB2312" w:hAnsi="仿宋_GB2312" w:eastAsia="仿宋_GB2312" w:cs="仿宋_GB2312"/>
          <w:b w:val="0"/>
          <w:bCs/>
          <w:color w:val="auto"/>
          <w:sz w:val="32"/>
          <w:szCs w:val="32"/>
          <w:highlight w:val="none"/>
          <w:lang w:val="en-US" w:eastAsia="zh-CN"/>
        </w:rPr>
        <w:t xml:space="preserve">                      </w:t>
      </w:r>
      <w:bookmarkStart w:id="408" w:name="_Toc12645_WPSOffice_Level3"/>
      <w:r>
        <w:rPr>
          <w:rFonts w:hint="eastAsia" w:ascii="仿宋_GB2312" w:hAnsi="仿宋_GB2312" w:eastAsia="仿宋_GB2312" w:cs="仿宋_GB2312"/>
          <w:b w:val="0"/>
          <w:bCs/>
          <w:color w:val="auto"/>
          <w:sz w:val="32"/>
          <w:szCs w:val="32"/>
          <w:highlight w:val="none"/>
        </w:rPr>
        <w:t>年   月  日</w:t>
      </w:r>
      <w:bookmarkEnd w:id="407"/>
      <w:bookmarkEnd w:id="408"/>
    </w:p>
    <w:p>
      <w:pPr>
        <w:wordWrap/>
        <w:spacing w:before="157" w:beforeLines="50" w:line="560" w:lineRule="exact"/>
        <w:rPr>
          <w:rFonts w:hint="eastAsia" w:ascii="宋体" w:hAnsi="宋体"/>
          <w:b/>
          <w:color w:val="auto"/>
          <w:sz w:val="24"/>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rPr>
          <w:rFonts w:hint="eastAsia" w:ascii="楷体_GB2312" w:hAnsi="楷体_GB2312" w:eastAsia="楷体_GB2312" w:cs="楷体_GB2312"/>
          <w:b/>
          <w:color w:val="auto"/>
          <w:sz w:val="32"/>
          <w:szCs w:val="32"/>
          <w:highlight w:val="none"/>
          <w:lang w:eastAsia="zh-CN"/>
        </w:rPr>
      </w:pPr>
      <w:bookmarkStart w:id="409" w:name="_Toc25242"/>
      <w:bookmarkStart w:id="410" w:name="_Toc19930_WPSOffice_Level3"/>
      <w:bookmarkStart w:id="411" w:name="_Toc8368_WPSOffice_Level3"/>
      <w:bookmarkStart w:id="412" w:name="_Toc16847"/>
      <w:bookmarkStart w:id="413" w:name="_Toc6033"/>
      <w:r>
        <w:rPr>
          <w:rFonts w:hint="eastAsia" w:ascii="楷体_GB2312" w:hAnsi="楷体_GB2312" w:eastAsia="楷体_GB2312" w:cs="楷体_GB2312"/>
          <w:b/>
          <w:color w:val="auto"/>
          <w:sz w:val="32"/>
          <w:szCs w:val="32"/>
          <w:highlight w:val="none"/>
          <w:lang w:eastAsia="zh-CN"/>
        </w:rPr>
        <w:br w:type="page"/>
      </w:r>
    </w:p>
    <w:p>
      <w:pPr>
        <w:widowControl/>
        <w:wordWrap/>
        <w:snapToGrid w:val="0"/>
        <w:spacing w:before="157" w:beforeLines="50" w:line="560" w:lineRule="exact"/>
        <w:outlineLvl w:val="1"/>
        <w:rPr>
          <w:rFonts w:hint="eastAsia" w:ascii="宋体" w:hAnsi="宋体"/>
          <w:b/>
          <w:color w:val="auto"/>
          <w:sz w:val="36"/>
          <w:szCs w:val="36"/>
          <w:highlight w:val="none"/>
        </w:rPr>
      </w:pPr>
      <w:bookmarkStart w:id="414" w:name="_Toc11026"/>
      <w:r>
        <w:rPr>
          <w:rFonts w:hint="eastAsia" w:ascii="楷体_GB2312" w:hAnsi="楷体_GB2312" w:eastAsia="楷体_GB2312" w:cs="楷体_GB2312"/>
          <w:b/>
          <w:color w:val="auto"/>
          <w:sz w:val="32"/>
          <w:szCs w:val="32"/>
          <w:highlight w:val="none"/>
          <w:lang w:eastAsia="zh-CN"/>
        </w:rPr>
        <w:t>附件6：供应商资格证明文件</w:t>
      </w:r>
      <w:bookmarkEnd w:id="409"/>
      <w:bookmarkEnd w:id="410"/>
      <w:bookmarkEnd w:id="411"/>
      <w:bookmarkEnd w:id="412"/>
      <w:bookmarkEnd w:id="413"/>
      <w:bookmarkEnd w:id="414"/>
    </w:p>
    <w:p>
      <w:pPr>
        <w:wordWrap/>
        <w:spacing w:before="157" w:beforeLines="50" w:line="560" w:lineRule="exact"/>
        <w:jc w:val="center"/>
        <w:outlineLvl w:val="9"/>
        <w:rPr>
          <w:rFonts w:hint="eastAsia" w:ascii="宋体" w:hAnsi="宋体"/>
          <w:color w:val="auto"/>
          <w:sz w:val="21"/>
          <w:szCs w:val="21"/>
          <w:highlight w:val="none"/>
        </w:rPr>
      </w:pPr>
      <w:bookmarkStart w:id="415" w:name="_Toc23997_WPSOffice_Level3"/>
      <w:bookmarkStart w:id="416" w:name="_Toc9360_WPSOffice_Level3"/>
      <w:r>
        <w:rPr>
          <w:rFonts w:hint="eastAsia" w:ascii="仿宋_GB2312" w:hAnsi="仿宋_GB2312" w:eastAsia="仿宋_GB2312" w:cs="仿宋_GB2312"/>
          <w:b/>
          <w:color w:val="auto"/>
          <w:sz w:val="32"/>
          <w:szCs w:val="32"/>
          <w:highlight w:val="none"/>
          <w:lang w:eastAsia="zh-CN"/>
        </w:rPr>
        <w:t>供应商资格证明文件</w:t>
      </w:r>
      <w:bookmarkEnd w:id="415"/>
      <w:bookmarkEnd w:id="416"/>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2、根据采购项目内容，提供供应商的相关资质证书、许可证等。</w:t>
      </w:r>
    </w:p>
    <w:p>
      <w:pPr>
        <w:widowControl/>
        <w:wordWrap/>
        <w:snapToGrid w:val="0"/>
        <w:spacing w:before="157" w:beforeLines="50" w:line="560" w:lineRule="exact"/>
        <w:outlineLvl w:val="9"/>
        <w:rPr>
          <w:rFonts w:hint="eastAsia" w:ascii="宋体"/>
          <w:b/>
          <w:color w:val="auto"/>
          <w:sz w:val="28"/>
          <w:szCs w:val="28"/>
          <w:highlight w:val="none"/>
        </w:rPr>
      </w:pPr>
    </w:p>
    <w:p>
      <w:pPr>
        <w:pStyle w:val="9"/>
        <w:rPr>
          <w:rFonts w:hint="eastAsia" w:ascii="宋体"/>
          <w:b/>
          <w:color w:val="auto"/>
          <w:sz w:val="28"/>
          <w:szCs w:val="28"/>
          <w:highlight w:val="none"/>
        </w:rPr>
      </w:pPr>
    </w:p>
    <w:p>
      <w:pPr>
        <w:pStyle w:val="10"/>
        <w:rPr>
          <w:rFonts w:hint="eastAsia"/>
        </w:rPr>
      </w:pPr>
    </w:p>
    <w:p>
      <w:pPr>
        <w:widowControl/>
        <w:wordWrap/>
        <w:snapToGrid w:val="0"/>
        <w:spacing w:before="157" w:beforeLines="50" w:line="560" w:lineRule="exact"/>
        <w:outlineLvl w:val="9"/>
        <w:rPr>
          <w:rFonts w:hint="eastAsia" w:ascii="宋体"/>
          <w:b/>
          <w:color w:val="auto"/>
          <w:sz w:val="28"/>
          <w:szCs w:val="28"/>
          <w:highlight w:val="none"/>
        </w:rPr>
      </w:pPr>
    </w:p>
    <w:p>
      <w:pPr>
        <w:widowControl/>
        <w:wordWrap/>
        <w:snapToGrid w:val="0"/>
        <w:spacing w:before="157" w:beforeLines="50" w:line="560" w:lineRule="exact"/>
        <w:outlineLvl w:val="1"/>
        <w:rPr>
          <w:rFonts w:hint="eastAsia" w:ascii="宋体" w:hAnsi="宋体"/>
          <w:b/>
          <w:color w:val="auto"/>
          <w:sz w:val="36"/>
          <w:szCs w:val="36"/>
          <w:highlight w:val="none"/>
        </w:rPr>
      </w:pPr>
      <w:bookmarkStart w:id="417" w:name="_Toc12925"/>
      <w:bookmarkStart w:id="418" w:name="_Toc6573"/>
      <w:bookmarkStart w:id="419" w:name="_Toc29082_WPSOffice_Level3"/>
      <w:bookmarkStart w:id="420" w:name="_Toc5898"/>
      <w:bookmarkStart w:id="421" w:name="_Toc7499_WPSOffice_Level3"/>
      <w:bookmarkStart w:id="422" w:name="_Toc14832"/>
      <w:r>
        <w:rPr>
          <w:rFonts w:hint="eastAsia" w:ascii="楷体_GB2312" w:hAnsi="楷体_GB2312" w:eastAsia="楷体_GB2312" w:cs="楷体_GB2312"/>
          <w:b/>
          <w:color w:val="auto"/>
          <w:sz w:val="32"/>
          <w:szCs w:val="32"/>
          <w:highlight w:val="none"/>
          <w:lang w:eastAsia="zh-CN"/>
        </w:rPr>
        <w:t>附件7：财务状况、缴纳税收和社会保障资金证明</w:t>
      </w:r>
      <w:bookmarkEnd w:id="417"/>
      <w:bookmarkEnd w:id="418"/>
      <w:bookmarkEnd w:id="419"/>
      <w:bookmarkEnd w:id="420"/>
      <w:bookmarkEnd w:id="421"/>
      <w:bookmarkEnd w:id="422"/>
    </w:p>
    <w:p>
      <w:pPr>
        <w:wordWrap/>
        <w:spacing w:before="157" w:beforeLines="50" w:line="560" w:lineRule="exact"/>
        <w:jc w:val="center"/>
        <w:outlineLvl w:val="9"/>
        <w:rPr>
          <w:rFonts w:hint="eastAsia" w:ascii="宋体" w:hAnsi="宋体"/>
          <w:b/>
          <w:color w:val="auto"/>
          <w:sz w:val="36"/>
          <w:szCs w:val="36"/>
          <w:highlight w:val="none"/>
        </w:rPr>
      </w:pPr>
      <w:bookmarkStart w:id="423" w:name="_Toc2355_WPSOffice_Level3"/>
      <w:bookmarkStart w:id="424" w:name="_Toc22184_WPSOffice_Level3"/>
      <w:r>
        <w:rPr>
          <w:rFonts w:hint="eastAsia" w:ascii="仿宋_GB2312" w:hAnsi="仿宋_GB2312" w:eastAsia="仿宋_GB2312" w:cs="仿宋_GB2312"/>
          <w:b/>
          <w:color w:val="auto"/>
          <w:sz w:val="32"/>
          <w:szCs w:val="32"/>
          <w:highlight w:val="none"/>
          <w:lang w:eastAsia="zh-CN"/>
        </w:rPr>
        <w:t>财务状况、缴纳税收和社会保障资金证明</w:t>
      </w:r>
      <w:bookmarkEnd w:id="423"/>
      <w:bookmarkEnd w:id="424"/>
    </w:p>
    <w:p>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按照《政府采购法》第22条规定提供以下相关材料</w:t>
      </w:r>
      <w:r>
        <w:rPr>
          <w:rFonts w:hint="eastAsia" w:ascii="仿宋_GB2312" w:hAnsi="仿宋_GB2312" w:eastAsia="仿宋_GB2312" w:cs="仿宋_GB2312"/>
          <w:color w:val="auto"/>
          <w:sz w:val="32"/>
          <w:szCs w:val="32"/>
          <w:highlight w:val="none"/>
          <w:lang w:eastAsia="zh-CN"/>
        </w:rPr>
        <w:t>：</w:t>
      </w:r>
    </w:p>
    <w:p>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sz w:val="32"/>
          <w:szCs w:val="32"/>
          <w:highlight w:val="none"/>
        </w:rPr>
        <w:t>1、供应商是法人的，提供20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年度经审计的财务状况报告，包括资产负债表、利润表、现金流量表及其附注，或其基本开户银行</w:t>
      </w:r>
      <w:r>
        <w:rPr>
          <w:rFonts w:hint="eastAsia" w:ascii="仿宋_GB2312" w:hAnsi="仿宋_GB2312" w:eastAsia="仿宋_GB2312" w:cs="仿宋_GB2312"/>
          <w:color w:val="auto"/>
          <w:sz w:val="32"/>
          <w:szCs w:val="32"/>
          <w:highlight w:val="none"/>
          <w:lang w:eastAsia="zh-CN"/>
        </w:rPr>
        <w:t>近三个月内</w:t>
      </w:r>
      <w:r>
        <w:rPr>
          <w:rFonts w:hint="eastAsia" w:ascii="仿宋_GB2312" w:hAnsi="仿宋_GB2312" w:eastAsia="仿宋_GB2312" w:cs="仿宋_GB2312"/>
          <w:color w:val="auto"/>
          <w:sz w:val="32"/>
          <w:szCs w:val="32"/>
          <w:highlight w:val="none"/>
        </w:rPr>
        <w:t>出具的资信证明；供应商是其他组织和自然人，没有经审计的财务报告，可以提供基本开户银行</w:t>
      </w:r>
      <w:r>
        <w:rPr>
          <w:rFonts w:hint="eastAsia" w:ascii="仿宋_GB2312" w:hAnsi="仿宋_GB2312" w:eastAsia="仿宋_GB2312" w:cs="仿宋_GB2312"/>
          <w:color w:val="auto"/>
          <w:sz w:val="32"/>
          <w:szCs w:val="32"/>
          <w:highlight w:val="none"/>
          <w:lang w:eastAsia="zh-CN"/>
        </w:rPr>
        <w:t>近三个月内</w:t>
      </w:r>
      <w:r>
        <w:rPr>
          <w:rFonts w:hint="eastAsia" w:ascii="仿宋_GB2312" w:hAnsi="仿宋_GB2312" w:eastAsia="仿宋_GB2312" w:cs="仿宋_GB2312"/>
          <w:color w:val="auto"/>
          <w:sz w:val="32"/>
          <w:szCs w:val="32"/>
          <w:highlight w:val="none"/>
        </w:rPr>
        <w:t>出具的资信证明。</w:t>
      </w:r>
    </w:p>
    <w:p>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近</w:t>
      </w:r>
      <w:r>
        <w:rPr>
          <w:rFonts w:hint="eastAsia" w:ascii="仿宋_GB2312" w:hAnsi="仿宋_GB2312" w:eastAsia="仿宋_GB2312" w:cs="仿宋_GB2312"/>
          <w:color w:val="auto"/>
          <w:sz w:val="32"/>
          <w:szCs w:val="32"/>
          <w:highlight w:val="none"/>
          <w:lang w:val="en-US" w:eastAsia="zh-CN"/>
        </w:rPr>
        <w:t>半年</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lang w:val="en-US" w:eastAsia="zh-CN"/>
        </w:rPr>
        <w:t>任意三个</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rPr>
        <w:t>依法缴纳税收</w:t>
      </w:r>
      <w:r>
        <w:rPr>
          <w:rFonts w:hint="eastAsia" w:ascii="仿宋_GB2312" w:hAnsi="仿宋_GB2312" w:eastAsia="仿宋_GB2312" w:cs="仿宋_GB2312"/>
          <w:color w:val="auto"/>
          <w:sz w:val="32"/>
          <w:szCs w:val="32"/>
          <w:highlight w:val="none"/>
          <w:lang w:eastAsia="zh-CN"/>
        </w:rPr>
        <w:t>证明材料</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社会保障资金记录的证明材料</w:t>
      </w:r>
      <w:r>
        <w:rPr>
          <w:rFonts w:hint="eastAsia" w:ascii="仿宋_GB2312" w:hAnsi="仿宋_GB2312" w:eastAsia="仿宋_GB2312" w:cs="仿宋_GB2312"/>
          <w:color w:val="auto"/>
          <w:sz w:val="32"/>
          <w:szCs w:val="32"/>
          <w:highlight w:val="none"/>
          <w:lang w:eastAsia="zh-CN"/>
        </w:rPr>
        <w:t>，或相关行政机关出具无欠缴应纳税款或社会保障资金的证明材料</w:t>
      </w:r>
      <w:r>
        <w:rPr>
          <w:rFonts w:hint="eastAsia" w:ascii="仿宋_GB2312" w:hAnsi="仿宋_GB2312" w:eastAsia="仿宋_GB2312" w:cs="仿宋_GB2312"/>
          <w:color w:val="auto"/>
          <w:sz w:val="32"/>
          <w:szCs w:val="32"/>
          <w:highlight w:val="none"/>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仿宋_GB2312" w:hAnsi="仿宋_GB2312" w:eastAsia="仿宋_GB2312" w:cs="仿宋_GB2312"/>
          <w:color w:val="auto"/>
          <w:sz w:val="32"/>
          <w:szCs w:val="32"/>
          <w:highlight w:val="none"/>
        </w:rPr>
      </w:pPr>
    </w:p>
    <w:p>
      <w:pPr>
        <w:widowControl/>
        <w:wordWrap/>
        <w:snapToGrid w:val="0"/>
        <w:spacing w:before="157" w:beforeLines="50" w:line="560" w:lineRule="exact"/>
        <w:outlineLvl w:val="9"/>
        <w:rPr>
          <w:rFonts w:hint="eastAsia" w:ascii="宋体" w:hAnsi="宋体"/>
          <w:color w:val="auto"/>
          <w:sz w:val="21"/>
          <w:szCs w:val="21"/>
          <w:highlight w:val="none"/>
        </w:rPr>
      </w:pPr>
    </w:p>
    <w:p>
      <w:pPr>
        <w:tabs>
          <w:tab w:val="left" w:pos="168"/>
        </w:tabs>
        <w:wordWrap/>
        <w:adjustRightInd w:val="0"/>
        <w:spacing w:before="157" w:beforeLines="50" w:line="560" w:lineRule="exact"/>
        <w:ind w:firstLine="480" w:firstLineChars="200"/>
        <w:textAlignment w:val="baseline"/>
        <w:rPr>
          <w:rFonts w:hint="eastAsia" w:ascii="宋体" w:hAnsi="宋体"/>
          <w:color w:val="auto"/>
          <w:sz w:val="24"/>
          <w:highlight w:val="none"/>
        </w:rPr>
      </w:pPr>
    </w:p>
    <w:p>
      <w:pPr>
        <w:bidi w:val="0"/>
        <w:rPr>
          <w:rFonts w:hint="eastAsia"/>
          <w:color w:val="auto"/>
          <w:highlight w:val="none"/>
        </w:rPr>
      </w:pPr>
    </w:p>
    <w:p>
      <w:pPr>
        <w:wordWrap/>
        <w:spacing w:before="157" w:beforeLines="50" w:line="560" w:lineRule="exact"/>
        <w:rPr>
          <w:rFonts w:hint="eastAsia" w:ascii="宋体" w:hAnsi="宋体"/>
          <w:b/>
          <w:bCs/>
          <w:color w:val="auto"/>
          <w:sz w:val="28"/>
          <w:szCs w:val="28"/>
          <w:highlight w:val="none"/>
        </w:rPr>
      </w:pPr>
    </w:p>
    <w:p>
      <w:pPr>
        <w:wordWrap/>
        <w:spacing w:before="157" w:beforeLines="50" w:line="560" w:lineRule="exact"/>
        <w:rPr>
          <w:rFonts w:hint="eastAsia" w:ascii="宋体" w:hAnsi="宋体"/>
          <w:b/>
          <w:bCs/>
          <w:color w:val="auto"/>
          <w:sz w:val="28"/>
          <w:szCs w:val="28"/>
          <w:highlight w:val="none"/>
        </w:rPr>
      </w:pPr>
    </w:p>
    <w:p>
      <w:pPr>
        <w:wordWrap/>
        <w:spacing w:before="157" w:beforeLines="50" w:line="560" w:lineRule="exact"/>
        <w:rPr>
          <w:rFonts w:hint="eastAsia" w:ascii="宋体" w:hAnsi="宋体"/>
          <w:b/>
          <w:bCs/>
          <w:color w:val="auto"/>
          <w:sz w:val="28"/>
          <w:szCs w:val="28"/>
          <w:highlight w:val="none"/>
        </w:rPr>
      </w:pPr>
    </w:p>
    <w:p>
      <w:pPr>
        <w:rPr>
          <w:rFonts w:hint="eastAsia" w:ascii="楷体_GB2312" w:hAnsi="楷体_GB2312" w:eastAsia="楷体_GB2312" w:cs="楷体_GB2312"/>
          <w:b/>
          <w:color w:val="auto"/>
          <w:sz w:val="32"/>
          <w:szCs w:val="32"/>
          <w:highlight w:val="none"/>
          <w:lang w:eastAsia="zh-CN"/>
        </w:rPr>
      </w:pPr>
      <w:bookmarkStart w:id="425" w:name="_Toc21984"/>
      <w:bookmarkStart w:id="426" w:name="_Toc17387_WPSOffice_Level3"/>
      <w:bookmarkStart w:id="427" w:name="_Toc16098"/>
      <w:bookmarkStart w:id="428" w:name="_Toc22959_WPSOffice_Level3"/>
      <w:bookmarkStart w:id="429" w:name="_Toc13266"/>
      <w:r>
        <w:rPr>
          <w:rFonts w:hint="eastAsia" w:ascii="楷体_GB2312" w:hAnsi="楷体_GB2312" w:eastAsia="楷体_GB2312" w:cs="楷体_GB2312"/>
          <w:b/>
          <w:color w:val="auto"/>
          <w:sz w:val="32"/>
          <w:szCs w:val="32"/>
          <w:highlight w:val="none"/>
          <w:lang w:eastAsia="zh-CN"/>
        </w:rPr>
        <w:br w:type="page"/>
      </w:r>
    </w:p>
    <w:p>
      <w:pPr>
        <w:widowControl/>
        <w:wordWrap/>
        <w:snapToGrid w:val="0"/>
        <w:spacing w:before="157" w:beforeLines="50" w:line="560" w:lineRule="exact"/>
        <w:outlineLvl w:val="1"/>
        <w:rPr>
          <w:rFonts w:hint="eastAsia" w:ascii="楷体_GB2312" w:hAnsi="楷体_GB2312" w:eastAsia="楷体_GB2312" w:cs="楷体_GB2312"/>
          <w:b/>
          <w:color w:val="auto"/>
          <w:sz w:val="32"/>
          <w:szCs w:val="32"/>
          <w:highlight w:val="none"/>
          <w:lang w:eastAsia="zh-CN"/>
        </w:rPr>
      </w:pPr>
      <w:bookmarkStart w:id="430" w:name="_Toc4338"/>
      <w:r>
        <w:rPr>
          <w:rFonts w:hint="eastAsia" w:ascii="楷体_GB2312" w:hAnsi="楷体_GB2312" w:eastAsia="楷体_GB2312" w:cs="楷体_GB2312"/>
          <w:b/>
          <w:color w:val="auto"/>
          <w:sz w:val="32"/>
          <w:szCs w:val="32"/>
          <w:highlight w:val="none"/>
          <w:lang w:eastAsia="zh-CN"/>
        </w:rPr>
        <w:t>附件8：</w:t>
      </w:r>
      <w:bookmarkEnd w:id="425"/>
      <w:r>
        <w:rPr>
          <w:rFonts w:hint="eastAsia" w:ascii="楷体_GB2312" w:hAnsi="楷体_GB2312" w:eastAsia="楷体_GB2312" w:cs="楷体_GB2312"/>
          <w:b/>
          <w:color w:val="auto"/>
          <w:sz w:val="32"/>
          <w:szCs w:val="32"/>
          <w:highlight w:val="none"/>
          <w:lang w:eastAsia="zh-CN"/>
        </w:rPr>
        <w:t>无重大违法记录声明</w:t>
      </w:r>
      <w:bookmarkEnd w:id="426"/>
      <w:bookmarkEnd w:id="427"/>
      <w:bookmarkEnd w:id="430"/>
    </w:p>
    <w:p>
      <w:pPr>
        <w:wordWrap/>
        <w:spacing w:before="157" w:beforeLines="50" w:line="560" w:lineRule="exact"/>
        <w:jc w:val="center"/>
        <w:outlineLvl w:val="9"/>
        <w:rPr>
          <w:rFonts w:hint="eastAsia" w:ascii="宋体" w:hAnsi="宋体" w:cs="宋体"/>
          <w:b/>
          <w:bCs/>
          <w:color w:val="auto"/>
          <w:sz w:val="28"/>
          <w:szCs w:val="28"/>
          <w:highlight w:val="none"/>
        </w:rPr>
      </w:pPr>
      <w:bookmarkStart w:id="431" w:name="_Toc25610_WPSOffice_Level3"/>
      <w:r>
        <w:rPr>
          <w:rFonts w:hint="eastAsia" w:ascii="仿宋_GB2312" w:hAnsi="仿宋_GB2312" w:eastAsia="仿宋_GB2312" w:cs="仿宋_GB2312"/>
          <w:b/>
          <w:color w:val="auto"/>
          <w:sz w:val="32"/>
          <w:szCs w:val="32"/>
          <w:highlight w:val="none"/>
          <w:lang w:val="zh-CN" w:eastAsia="zh-CN"/>
        </w:rPr>
        <w:t>无重大违法记录声明</w:t>
      </w:r>
      <w:bookmarkEnd w:id="431"/>
    </w:p>
    <w:p>
      <w:pPr>
        <w:widowControl w:val="0"/>
        <w:wordWrap/>
        <w:adjustRightInd/>
        <w:snapToGrid/>
        <w:spacing w:line="560" w:lineRule="exact"/>
        <w:textAlignment w:val="auto"/>
        <w:outlineLvl w:val="9"/>
        <w:rPr>
          <w:rFonts w:hint="eastAsia" w:ascii="仿宋_GB2312" w:hAnsi="仿宋_GB2312" w:eastAsia="仿宋_GB2312" w:cs="仿宋_GB2312"/>
          <w:b/>
          <w:bCs/>
          <w:color w:val="auto"/>
          <w:sz w:val="32"/>
          <w:szCs w:val="32"/>
          <w:highlight w:val="none"/>
        </w:rPr>
      </w:pPr>
      <w:r>
        <w:rPr>
          <w:rFonts w:hint="eastAsia" w:ascii="宋体" w:hAnsi="宋体" w:cs="宋体"/>
          <w:b/>
          <w:bCs/>
          <w:color w:val="auto"/>
          <w:kern w:val="0"/>
          <w:highlight w:val="none"/>
          <w:lang w:val="en-US" w:eastAsia="zh-CN"/>
        </w:rPr>
        <w:t xml:space="preserve">  </w:t>
      </w:r>
      <w:r>
        <w:rPr>
          <w:rFonts w:hint="eastAsia" w:ascii="仿宋_GB2312" w:hAnsi="仿宋_GB2312" w:eastAsia="仿宋_GB2312" w:cs="仿宋_GB2312"/>
          <w:b w:val="0"/>
          <w:bCs w:val="0"/>
          <w:color w:val="auto"/>
          <w:sz w:val="32"/>
          <w:szCs w:val="32"/>
          <w:highlight w:val="none"/>
        </w:rPr>
        <w:t>致：</w:t>
      </w:r>
      <w:r>
        <w:rPr>
          <w:rFonts w:hint="eastAsia" w:ascii="仿宋_GB2312" w:hAnsi="仿宋_GB2312" w:eastAsia="仿宋_GB2312" w:cs="仿宋_GB2312"/>
          <w:b w:val="0"/>
          <w:bCs w:val="0"/>
          <w:color w:val="auto"/>
          <w:sz w:val="32"/>
          <w:szCs w:val="32"/>
          <w:highlight w:val="none"/>
          <w:u w:val="single"/>
          <w:lang w:eastAsia="zh-CN"/>
        </w:rPr>
        <w:t>青海晓成工程项目管理有限公司</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我单位参加本次政府采购项目活动前三年内，在经营活动中无重大违法活动记录，符合《政府采购法》规定的</w:t>
      </w:r>
      <w:r>
        <w:rPr>
          <w:rFonts w:hint="eastAsia" w:ascii="仿宋_GB2312" w:hAnsi="仿宋_GB2312" w:eastAsia="仿宋_GB2312" w:cs="仿宋_GB2312"/>
          <w:color w:val="auto"/>
          <w:sz w:val="32"/>
          <w:szCs w:val="32"/>
          <w:highlight w:val="none"/>
          <w:lang w:eastAsia="zh-CN"/>
        </w:rPr>
        <w:t>供应商</w:t>
      </w:r>
      <w:r>
        <w:rPr>
          <w:rFonts w:hint="eastAsia" w:ascii="仿宋_GB2312" w:hAnsi="仿宋_GB2312" w:eastAsia="仿宋_GB2312" w:cs="仿宋_GB2312"/>
          <w:color w:val="auto"/>
          <w:sz w:val="32"/>
          <w:szCs w:val="32"/>
          <w:highlight w:val="none"/>
        </w:rPr>
        <w:t>资格条</w:t>
      </w:r>
      <w:r>
        <w:rPr>
          <w:rFonts w:hint="eastAsia" w:ascii="仿宋_GB2312" w:hAnsi="仿宋_GB2312" w:eastAsia="仿宋_GB2312" w:cs="仿宋_GB2312"/>
          <w:color w:val="auto"/>
          <w:sz w:val="32"/>
          <w:szCs w:val="32"/>
          <w:highlight w:val="none"/>
          <w:shd w:val="clear" w:color="auto" w:fill="FFFFFF"/>
        </w:rPr>
        <w:t>件。我方对此声明负全部法律责任。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特此声明。</w:t>
      </w:r>
    </w:p>
    <w:p>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auto"/>
          <w:kern w:val="0"/>
          <w:sz w:val="32"/>
          <w:szCs w:val="32"/>
          <w:highlight w:val="none"/>
          <w:lang w:val="zh-CN"/>
        </w:rPr>
      </w:pPr>
    </w:p>
    <w:p>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auto"/>
          <w:kern w:val="0"/>
          <w:highlight w:val="none"/>
        </w:rPr>
      </w:pPr>
      <w:r>
        <w:rPr>
          <w:rFonts w:hint="eastAsia" w:ascii="仿宋_GB2312" w:hAnsi="仿宋_GB2312" w:eastAsia="仿宋_GB2312" w:cs="仿宋_GB2312"/>
          <w:color w:val="auto"/>
          <w:kern w:val="0"/>
          <w:sz w:val="32"/>
          <w:szCs w:val="32"/>
          <w:highlight w:val="none"/>
        </w:rPr>
        <w:t>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中国政府采购网</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“信用中国”网站“下载信用信息”栏中的信用信息，时间为</w:t>
      </w:r>
      <w:r>
        <w:rPr>
          <w:rFonts w:hint="eastAsia" w:ascii="仿宋_GB2312" w:hAnsi="仿宋_GB2312" w:eastAsia="仿宋_GB2312" w:cs="仿宋_GB2312"/>
          <w:color w:val="auto"/>
          <w:kern w:val="0"/>
          <w:sz w:val="32"/>
          <w:szCs w:val="32"/>
          <w:highlight w:val="none"/>
          <w:lang w:eastAsia="zh-CN"/>
        </w:rPr>
        <w:t>谈判文件响应</w:t>
      </w:r>
      <w:r>
        <w:rPr>
          <w:rFonts w:hint="eastAsia" w:ascii="仿宋_GB2312" w:hAnsi="仿宋_GB2312" w:eastAsia="仿宋_GB2312" w:cs="仿宋_GB2312"/>
          <w:color w:val="auto"/>
          <w:kern w:val="0"/>
          <w:sz w:val="32"/>
          <w:szCs w:val="32"/>
          <w:highlight w:val="none"/>
        </w:rPr>
        <w:t>截止时间前</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0天内</w:t>
      </w:r>
      <w:r>
        <w:rPr>
          <w:rFonts w:hint="eastAsia" w:ascii="仿宋_GB2312" w:hAnsi="仿宋_GB2312" w:eastAsia="仿宋_GB2312" w:cs="仿宋_GB2312"/>
          <w:color w:val="auto"/>
          <w:sz w:val="32"/>
          <w:szCs w:val="32"/>
          <w:highlight w:val="none"/>
        </w:rPr>
        <w:t>。</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lang w:val="en-US" w:eastAsia="zh-CN"/>
        </w:rPr>
      </w:pP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bookmarkStart w:id="432" w:name="_Toc21607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43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33" w:name="_Toc14292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433"/>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bookmarkStart w:id="434" w:name="_Toc15350_WPSOffice_Level3"/>
      <w:r>
        <w:rPr>
          <w:rFonts w:hint="eastAsia" w:ascii="仿宋_GB2312" w:hAnsi="仿宋_GB2312" w:eastAsia="仿宋_GB2312" w:cs="仿宋_GB2312"/>
          <w:b w:val="0"/>
          <w:bCs/>
          <w:color w:val="auto"/>
          <w:sz w:val="32"/>
          <w:szCs w:val="32"/>
          <w:highlight w:val="none"/>
        </w:rPr>
        <w:t>年   月  日</w:t>
      </w:r>
      <w:bookmarkEnd w:id="434"/>
    </w:p>
    <w:p>
      <w:pPr>
        <w:bidi w:val="0"/>
        <w:rPr>
          <w:rFonts w:hint="eastAsia" w:ascii="宋体" w:hAnsi="宋体" w:cs="宋体"/>
          <w:color w:val="auto"/>
          <w:sz w:val="28"/>
          <w:szCs w:val="28"/>
          <w:highlight w:val="none"/>
          <w:lang w:val="zh-CN"/>
        </w:rPr>
      </w:pPr>
      <w:r>
        <w:rPr>
          <w:rFonts w:hint="eastAsia" w:ascii="仿宋_GB2312" w:hAnsi="仿宋_GB2312" w:eastAsia="仿宋_GB2312" w:cs="仿宋_GB2312"/>
          <w:b/>
          <w:color w:val="auto"/>
          <w:sz w:val="30"/>
          <w:szCs w:val="30"/>
          <w:highlight w:val="none"/>
          <w:lang w:eastAsia="zh-CN"/>
        </w:rPr>
        <w:br w:type="page"/>
      </w:r>
      <w:bookmarkStart w:id="435" w:name="_Toc132_WPSOffice_Level3"/>
      <w:bookmarkStart w:id="436" w:name="_Toc24810"/>
      <w:r>
        <w:rPr>
          <w:rFonts w:hint="eastAsia" w:ascii="楷体_GB2312" w:hAnsi="楷体_GB2312" w:eastAsia="楷体_GB2312" w:cs="楷体_GB2312"/>
          <w:b/>
          <w:bCs w:val="0"/>
          <w:color w:val="auto"/>
          <w:kern w:val="2"/>
          <w:sz w:val="32"/>
          <w:szCs w:val="32"/>
          <w:highlight w:val="none"/>
          <w:lang w:val="en-US" w:eastAsia="zh-CN" w:bidi="ar-SA"/>
        </w:rPr>
        <w:t>附件9：谈判</w:t>
      </w:r>
      <w:r>
        <w:rPr>
          <w:rFonts w:hint="eastAsia" w:ascii="楷体_GB2312" w:hAnsi="楷体_GB2312" w:eastAsia="楷体_GB2312" w:cs="楷体_GB2312"/>
          <w:b/>
          <w:bCs w:val="0"/>
          <w:color w:val="auto"/>
          <w:kern w:val="2"/>
          <w:sz w:val="32"/>
          <w:szCs w:val="32"/>
          <w:highlight w:val="none"/>
          <w:lang w:val="zh-CN" w:eastAsia="zh-CN" w:bidi="ar-SA"/>
        </w:rPr>
        <w:t>保证金证明</w:t>
      </w:r>
      <w:bookmarkEnd w:id="428"/>
      <w:bookmarkEnd w:id="429"/>
      <w:bookmarkEnd w:id="435"/>
      <w:bookmarkEnd w:id="436"/>
    </w:p>
    <w:p>
      <w:pPr>
        <w:wordWrap/>
        <w:spacing w:before="157" w:beforeLines="50" w:line="560" w:lineRule="exact"/>
        <w:jc w:val="center"/>
        <w:outlineLvl w:val="9"/>
        <w:rPr>
          <w:rFonts w:hint="eastAsia" w:ascii="宋体" w:hAnsi="宋体" w:cs="宋体"/>
          <w:b/>
          <w:bCs/>
          <w:color w:val="auto"/>
          <w:kern w:val="0"/>
          <w:sz w:val="28"/>
          <w:szCs w:val="28"/>
          <w:highlight w:val="none"/>
          <w:lang w:val="zh-CN"/>
        </w:rPr>
      </w:pPr>
      <w:bookmarkStart w:id="437" w:name="_Toc27502_WPSOffice_Level3"/>
      <w:r>
        <w:rPr>
          <w:rFonts w:hint="eastAsia" w:ascii="仿宋_GB2312" w:hAnsi="仿宋_GB2312" w:eastAsia="仿宋_GB2312" w:cs="仿宋_GB2312"/>
          <w:b/>
          <w:color w:val="auto"/>
          <w:sz w:val="32"/>
          <w:szCs w:val="32"/>
          <w:highlight w:val="none"/>
          <w:lang w:val="zh-CN" w:eastAsia="zh-CN"/>
        </w:rPr>
        <w:t>谈判保证金证明</w:t>
      </w:r>
      <w:bookmarkEnd w:id="437"/>
    </w:p>
    <w:p>
      <w:pPr>
        <w:widowControl w:val="0"/>
        <w:wordWrap/>
        <w:adjustRightInd/>
        <w:snapToGrid/>
        <w:spacing w:line="560" w:lineRule="exact"/>
        <w:textAlignment w:val="auto"/>
        <w:outlineLvl w:val="9"/>
        <w:rPr>
          <w:rFonts w:hint="eastAsia" w:ascii="仿宋_GB2312" w:hAnsi="仿宋_GB2312" w:eastAsia="仿宋_GB2312" w:cs="仿宋_GB2312"/>
          <w:b/>
          <w:bCs/>
          <w:color w:val="auto"/>
          <w:kern w:val="0"/>
          <w:sz w:val="32"/>
          <w:szCs w:val="32"/>
          <w:highlight w:val="none"/>
          <w:lang w:val="zh-CN"/>
        </w:rPr>
      </w:pPr>
      <w:bookmarkStart w:id="438" w:name="_Toc12243_WPSOffice_Level2"/>
      <w:bookmarkStart w:id="439" w:name="_Toc21234_WPSOffice_Level2"/>
      <w:bookmarkStart w:id="440" w:name="_Toc1388_WPSOffice_Level2"/>
      <w:r>
        <w:rPr>
          <w:rFonts w:hint="eastAsia" w:ascii="仿宋_GB2312" w:hAnsi="仿宋_GB2312" w:eastAsia="仿宋_GB2312" w:cs="仿宋_GB2312"/>
          <w:b/>
          <w:bCs/>
          <w:color w:val="auto"/>
          <w:kern w:val="0"/>
          <w:sz w:val="32"/>
          <w:szCs w:val="32"/>
          <w:highlight w:val="none"/>
          <w:lang w:val="zh-CN"/>
        </w:rPr>
        <w:t>致：</w:t>
      </w:r>
      <w:bookmarkEnd w:id="438"/>
      <w:bookmarkEnd w:id="439"/>
      <w:bookmarkEnd w:id="440"/>
      <w:r>
        <w:rPr>
          <w:rFonts w:hint="eastAsia" w:ascii="仿宋_GB2312" w:hAnsi="仿宋_GB2312" w:eastAsia="仿宋_GB2312" w:cs="仿宋_GB2312"/>
          <w:b/>
          <w:bCs/>
          <w:color w:val="auto"/>
          <w:kern w:val="0"/>
          <w:sz w:val="32"/>
          <w:szCs w:val="32"/>
          <w:highlight w:val="none"/>
          <w:lang w:val="zh-CN" w:eastAsia="zh-CN"/>
        </w:rPr>
        <w:t>青海晓成工程项目管理有限公司</w:t>
      </w:r>
    </w:p>
    <w:p>
      <w:pPr>
        <w:widowControl w:val="0"/>
        <w:wordWrap/>
        <w:autoSpaceDE w:val="0"/>
        <w:autoSpaceDN w:val="0"/>
        <w:adjustRightInd/>
        <w:snapToGrid/>
        <w:spacing w:line="560" w:lineRule="exact"/>
        <w:textAlignment w:val="auto"/>
        <w:outlineLvl w:val="9"/>
        <w:rPr>
          <w:rFonts w:hint="eastAsia" w:ascii="仿宋_GB2312" w:hAnsi="仿宋_GB2312" w:eastAsia="仿宋_GB2312" w:cs="仿宋_GB2312"/>
          <w:b/>
          <w:bCs/>
          <w:color w:val="auto"/>
          <w:kern w:val="0"/>
          <w:sz w:val="32"/>
          <w:szCs w:val="32"/>
          <w:highlight w:val="none"/>
          <w:lang w:val="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我方为</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lang w:val="zh-CN"/>
        </w:rPr>
        <w:t>（采购项目名称）项目（采购项目编号为：</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lang w:val="zh-CN"/>
        </w:rPr>
        <w:t xml:space="preserve">）递交保证金人民币 </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lang w:val="zh-CN"/>
        </w:rPr>
        <w:t>（大写：人民币</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lang w:val="zh-CN"/>
        </w:rPr>
        <w:t>元）已于</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lang w:val="zh-CN"/>
        </w:rPr>
        <w:t>年</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lang w:val="zh-CN"/>
        </w:rPr>
        <w:t>月</w:t>
      </w:r>
      <w:r>
        <w:rPr>
          <w:rFonts w:hint="eastAsia" w:ascii="仿宋_GB2312" w:hAnsi="仿宋_GB2312" w:eastAsia="仿宋_GB2312" w:cs="仿宋_GB2312"/>
          <w:color w:val="auto"/>
          <w:kern w:val="0"/>
          <w:sz w:val="32"/>
          <w:szCs w:val="32"/>
          <w:highlight w:val="none"/>
          <w:u w:val="single"/>
          <w:lang w:val="zh-CN"/>
        </w:rPr>
        <w:t xml:space="preserve">    </w:t>
      </w:r>
      <w:r>
        <w:rPr>
          <w:rFonts w:hint="eastAsia" w:ascii="仿宋_GB2312" w:hAnsi="仿宋_GB2312" w:eastAsia="仿宋_GB2312" w:cs="仿宋_GB2312"/>
          <w:color w:val="auto"/>
          <w:kern w:val="0"/>
          <w:sz w:val="32"/>
          <w:szCs w:val="32"/>
          <w:highlight w:val="none"/>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附</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zh-CN"/>
        </w:rPr>
        <w:t>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户    名：</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cs="宋体"/>
          <w:color w:val="auto"/>
          <w:kern w:val="0"/>
          <w:highlight w:val="none"/>
          <w:lang w:val="zh-CN"/>
        </w:rPr>
      </w:pPr>
      <w:r>
        <w:rPr>
          <w:rFonts w:hint="eastAsia" w:ascii="仿宋_GB2312" w:hAnsi="仿宋_GB2312" w:eastAsia="仿宋_GB2312" w:cs="仿宋_GB2312"/>
          <w:color w:val="auto"/>
          <w:kern w:val="0"/>
          <w:sz w:val="32"/>
          <w:szCs w:val="32"/>
          <w:highlight w:val="none"/>
          <w:lang w:val="zh-CN"/>
        </w:rPr>
        <w:t>开户帐号：</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bookmarkStart w:id="441" w:name="_Toc16036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44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42" w:name="_Toc4114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44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bookmarkStart w:id="443" w:name="_Toc26055_WPSOffice_Level3"/>
      <w:r>
        <w:rPr>
          <w:rFonts w:hint="eastAsia" w:ascii="仿宋_GB2312" w:hAnsi="仿宋_GB2312" w:eastAsia="仿宋_GB2312" w:cs="仿宋_GB2312"/>
          <w:b w:val="0"/>
          <w:bCs/>
          <w:color w:val="auto"/>
          <w:sz w:val="32"/>
          <w:szCs w:val="32"/>
          <w:highlight w:val="none"/>
        </w:rPr>
        <w:t>年   月  日</w:t>
      </w:r>
      <w:bookmarkEnd w:id="443"/>
    </w:p>
    <w:p>
      <w:pPr>
        <w:wordWrap/>
        <w:autoSpaceDE w:val="0"/>
        <w:autoSpaceDN w:val="0"/>
        <w:spacing w:before="157" w:beforeLines="50" w:line="560" w:lineRule="exact"/>
        <w:outlineLvl w:val="9"/>
        <w:rPr>
          <w:rFonts w:hint="eastAsia" w:ascii="宋体" w:hAnsi="宋体" w:cs="宋体"/>
          <w:b/>
          <w:bCs/>
          <w:color w:val="auto"/>
          <w:kern w:val="0"/>
          <w:highlight w:val="none"/>
          <w:lang w:val="zh-CN"/>
        </w:rPr>
      </w:pPr>
    </w:p>
    <w:p>
      <w:pPr>
        <w:wordWrap/>
        <w:spacing w:before="157" w:beforeLines="50" w:line="560" w:lineRule="exact"/>
        <w:rPr>
          <w:rFonts w:hint="eastAsia" w:ascii="仿宋_GB2312" w:hAnsi="宋体" w:eastAsia="仿宋_GB2312"/>
          <w:b/>
          <w:color w:val="auto"/>
          <w:sz w:val="52"/>
          <w:szCs w:val="52"/>
          <w:highlight w:val="none"/>
        </w:rPr>
      </w:pPr>
      <w:r>
        <w:rPr>
          <w:rFonts w:hint="eastAsia"/>
          <w:color w:val="auto"/>
          <w:kern w:val="0"/>
          <w:highlight w:val="none"/>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auto"/>
          <w:sz w:val="48"/>
          <w:szCs w:val="48"/>
          <w:highlight w:val="none"/>
        </w:rPr>
      </w:pPr>
      <w:bookmarkStart w:id="444" w:name="_Toc20688_WPSOffice_Level2"/>
      <w:bookmarkStart w:id="445" w:name="_Toc24560_WPSOffice_Level2"/>
      <w:r>
        <w:rPr>
          <w:rFonts w:hint="eastAsia" w:ascii="仿宋_GB2312" w:hAnsi="仿宋_GB2312" w:eastAsia="仿宋_GB2312" w:cs="仿宋_GB2312"/>
          <w:b/>
          <w:color w:val="auto"/>
          <w:sz w:val="48"/>
          <w:szCs w:val="48"/>
          <w:highlight w:val="none"/>
        </w:rPr>
        <w:t>青海省政府采购项目</w:t>
      </w:r>
      <w:bookmarkEnd w:id="444"/>
      <w:bookmarkEnd w:id="445"/>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auto"/>
          <w:sz w:val="48"/>
          <w:szCs w:val="48"/>
          <w:highlight w:val="none"/>
        </w:rPr>
      </w:pPr>
      <w:bookmarkStart w:id="446" w:name="_Toc1190_WPSOffice_Level2"/>
      <w:bookmarkStart w:id="447" w:name="_Toc30784_WPSOffice_Level2"/>
      <w:r>
        <w:rPr>
          <w:rFonts w:hint="eastAsia" w:ascii="仿宋_GB2312" w:hAnsi="仿宋_GB2312" w:eastAsia="仿宋_GB2312" w:cs="仿宋_GB2312"/>
          <w:b/>
          <w:color w:val="auto"/>
          <w:sz w:val="48"/>
          <w:szCs w:val="48"/>
          <w:highlight w:val="none"/>
        </w:rPr>
        <w:t>谈判响应文件</w:t>
      </w:r>
      <w:bookmarkEnd w:id="446"/>
      <w:bookmarkEnd w:id="447"/>
    </w:p>
    <w:p>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auto"/>
          <w:sz w:val="32"/>
          <w:szCs w:val="32"/>
          <w:highlight w:val="none"/>
        </w:rPr>
      </w:pPr>
      <w:bookmarkStart w:id="448" w:name="_Toc24224_WPSOffice_Level2"/>
      <w:bookmarkStart w:id="449" w:name="_Toc5068_WPSOffice_Level2"/>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bidi="ar-SA"/>
        </w:rPr>
        <w:t>有效性、完整性、响应程度审查部分</w:t>
      </w:r>
      <w:r>
        <w:rPr>
          <w:rFonts w:hint="eastAsia" w:ascii="仿宋_GB2312" w:hAnsi="仿宋_GB2312" w:eastAsia="仿宋_GB2312" w:cs="仿宋_GB2312"/>
          <w:b/>
          <w:bCs/>
          <w:color w:val="auto"/>
          <w:sz w:val="32"/>
          <w:szCs w:val="32"/>
          <w:highlight w:val="none"/>
        </w:rPr>
        <w:t>）</w:t>
      </w:r>
      <w:bookmarkEnd w:id="448"/>
      <w:bookmarkEnd w:id="449"/>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highlight w:val="none"/>
          <w:lang w:eastAsia="zh-CN"/>
        </w:rPr>
      </w:pPr>
      <w:bookmarkStart w:id="450" w:name="_Toc16258_WPSOffice_Level2"/>
      <w:bookmarkStart w:id="451" w:name="_Toc14028_WPSOffice_Level2"/>
      <w:r>
        <w:rPr>
          <w:rFonts w:hint="eastAsia" w:ascii="仿宋_GB2312" w:hAnsi="仿宋_GB2312" w:eastAsia="仿宋_GB2312" w:cs="仿宋_GB2312"/>
          <w:b/>
          <w:bCs/>
          <w:color w:val="auto"/>
          <w:sz w:val="32"/>
          <w:szCs w:val="32"/>
          <w:highlight w:val="none"/>
        </w:rPr>
        <w:t>采购项目编号:</w:t>
      </w:r>
      <w:bookmarkEnd w:id="450"/>
      <w:bookmarkEnd w:id="45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highlight w:val="none"/>
        </w:rPr>
      </w:pPr>
      <w:bookmarkStart w:id="452" w:name="_Toc25982_WPSOffice_Level2"/>
      <w:bookmarkStart w:id="453" w:name="_Toc173_WPSOffice_Level2"/>
      <w:r>
        <w:rPr>
          <w:rFonts w:hint="eastAsia" w:ascii="仿宋_GB2312" w:hAnsi="仿宋_GB2312" w:eastAsia="仿宋_GB2312" w:cs="仿宋_GB2312"/>
          <w:b/>
          <w:bCs/>
          <w:color w:val="auto"/>
          <w:sz w:val="32"/>
          <w:szCs w:val="32"/>
          <w:highlight w:val="none"/>
        </w:rPr>
        <w:t>采购项目名称:</w:t>
      </w:r>
      <w:bookmarkEnd w:id="452"/>
      <w:bookmarkEnd w:id="453"/>
      <w:r>
        <w:rPr>
          <w:rFonts w:hint="eastAsia" w:ascii="仿宋_GB2312" w:hAnsi="仿宋_GB2312" w:eastAsia="仿宋_GB2312" w:cs="仿宋_GB2312"/>
          <w:b/>
          <w:bCs/>
          <w:color w:val="auto"/>
          <w:sz w:val="32"/>
          <w:szCs w:val="32"/>
          <w:highlight w:val="none"/>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highlight w:val="none"/>
          <w:lang w:eastAsia="zh-CN"/>
        </w:rPr>
      </w:pPr>
      <w:bookmarkStart w:id="454" w:name="_Toc24014_WPSOffice_Level2"/>
      <w:bookmarkStart w:id="455" w:name="_Toc19360_WPSOffice_Level2"/>
      <w:r>
        <w:rPr>
          <w:rFonts w:hint="eastAsia" w:ascii="仿宋_GB2312" w:hAnsi="仿宋_GB2312" w:eastAsia="仿宋_GB2312" w:cs="仿宋_GB2312"/>
          <w:b/>
          <w:bCs/>
          <w:color w:val="auto"/>
          <w:sz w:val="32"/>
          <w:szCs w:val="32"/>
          <w:highlight w:val="none"/>
          <w:lang w:eastAsia="zh-CN"/>
        </w:rPr>
        <w:t>供应商名称：</w:t>
      </w:r>
      <w:bookmarkEnd w:id="454"/>
      <w:bookmarkEnd w:id="455"/>
    </w:p>
    <w:p>
      <w:pPr>
        <w:wordWrap/>
        <w:spacing w:before="157" w:beforeLines="50" w:line="560" w:lineRule="exact"/>
        <w:jc w:val="center"/>
        <w:outlineLvl w:val="9"/>
        <w:rPr>
          <w:rFonts w:hint="eastAsia" w:ascii="仿宋_GB2312" w:hAnsi="仿宋_GB2312" w:eastAsia="仿宋_GB2312" w:cs="仿宋_GB2312"/>
          <w:b/>
          <w:bCs/>
          <w:color w:val="auto"/>
          <w:sz w:val="32"/>
          <w:szCs w:val="32"/>
          <w:highlight w:val="none"/>
        </w:rPr>
      </w:pPr>
    </w:p>
    <w:p>
      <w:pPr>
        <w:wordWrap/>
        <w:spacing w:before="157" w:beforeLines="50" w:line="560" w:lineRule="exact"/>
        <w:jc w:val="center"/>
        <w:outlineLvl w:val="9"/>
        <w:rPr>
          <w:rFonts w:hint="eastAsia" w:ascii="仿宋_GB2312" w:hAnsi="仿宋_GB2312" w:eastAsia="仿宋_GB2312" w:cs="仿宋_GB2312"/>
          <w:b/>
          <w:color w:val="auto"/>
          <w:sz w:val="32"/>
          <w:szCs w:val="32"/>
          <w:highlight w:val="none"/>
        </w:rPr>
      </w:pPr>
      <w:bookmarkStart w:id="456" w:name="_Toc17697_WPSOffice_Level3"/>
      <w:r>
        <w:rPr>
          <w:rFonts w:hint="eastAsia" w:ascii="仿宋_GB2312" w:hAnsi="仿宋_GB2312" w:eastAsia="仿宋_GB2312" w:cs="仿宋_GB2312"/>
          <w:b/>
          <w:color w:val="auto"/>
          <w:sz w:val="32"/>
          <w:szCs w:val="32"/>
          <w:highlight w:val="none"/>
        </w:rPr>
        <w:t>年  月  日</w:t>
      </w:r>
      <w:bookmarkEnd w:id="456"/>
    </w:p>
    <w:p>
      <w:pPr>
        <w:widowControl/>
        <w:wordWrap/>
        <w:snapToGrid w:val="0"/>
        <w:spacing w:before="157" w:beforeLines="50" w:line="560" w:lineRule="exact"/>
        <w:outlineLvl w:val="9"/>
        <w:rPr>
          <w:rFonts w:hint="eastAsia" w:ascii="宋体"/>
          <w:b/>
          <w:color w:val="auto"/>
          <w:sz w:val="28"/>
          <w:szCs w:val="28"/>
          <w:highlight w:val="none"/>
        </w:rPr>
      </w:pPr>
    </w:p>
    <w:p>
      <w:pPr>
        <w:widowControl/>
        <w:wordWrap/>
        <w:snapToGrid w:val="0"/>
        <w:spacing w:before="157" w:beforeLines="50" w:line="560" w:lineRule="exact"/>
        <w:outlineLvl w:val="1"/>
        <w:rPr>
          <w:rFonts w:hint="eastAsia" w:ascii="宋体"/>
          <w:b/>
          <w:color w:val="auto"/>
          <w:sz w:val="36"/>
          <w:szCs w:val="36"/>
          <w:highlight w:val="none"/>
        </w:rPr>
      </w:pPr>
      <w:r>
        <w:rPr>
          <w:rFonts w:ascii="宋体"/>
          <w:b/>
          <w:color w:val="auto"/>
          <w:sz w:val="28"/>
          <w:szCs w:val="28"/>
          <w:highlight w:val="none"/>
        </w:rPr>
        <w:br w:type="page"/>
      </w:r>
      <w:bookmarkStart w:id="457" w:name="_Toc3360"/>
      <w:bookmarkStart w:id="458" w:name="_Toc2646_WPSOffice_Level3"/>
      <w:bookmarkStart w:id="459" w:name="_Toc26252"/>
      <w:bookmarkStart w:id="460" w:name="_Toc18715"/>
      <w:bookmarkStart w:id="461" w:name="_Toc28116"/>
      <w:bookmarkStart w:id="462" w:name="_Toc13416_WPSOffice_Level3"/>
      <w:r>
        <w:rPr>
          <w:rFonts w:hint="eastAsia" w:ascii="楷体_GB2312" w:hAnsi="楷体_GB2312" w:eastAsia="楷体_GB2312" w:cs="楷体_GB2312"/>
          <w:b/>
          <w:bCs w:val="0"/>
          <w:color w:val="auto"/>
          <w:kern w:val="2"/>
          <w:sz w:val="32"/>
          <w:szCs w:val="32"/>
          <w:highlight w:val="none"/>
          <w:lang w:val="en-US" w:eastAsia="zh-CN" w:bidi="ar-SA"/>
        </w:rPr>
        <w:t>附件10：谈判首次报价表</w:t>
      </w:r>
      <w:bookmarkEnd w:id="457"/>
      <w:bookmarkEnd w:id="458"/>
      <w:bookmarkEnd w:id="459"/>
      <w:bookmarkEnd w:id="460"/>
      <w:bookmarkEnd w:id="461"/>
      <w:bookmarkEnd w:id="462"/>
    </w:p>
    <w:p>
      <w:pPr>
        <w:wordWrap/>
        <w:spacing w:before="157" w:beforeLines="50" w:line="560" w:lineRule="exact"/>
        <w:jc w:val="center"/>
        <w:outlineLvl w:val="9"/>
        <w:rPr>
          <w:rFonts w:hint="eastAsia" w:ascii="宋体" w:hAnsi="宋体"/>
          <w:b/>
          <w:color w:val="auto"/>
          <w:sz w:val="36"/>
          <w:szCs w:val="36"/>
          <w:highlight w:val="none"/>
        </w:rPr>
      </w:pPr>
      <w:bookmarkStart w:id="463" w:name="_Toc17115_WPSOffice_Level3"/>
      <w:bookmarkStart w:id="464" w:name="_Toc8724_WPSOffice_Level1"/>
      <w:bookmarkStart w:id="465" w:name="_Toc17322_WPSOffice_Level1"/>
      <w:r>
        <w:rPr>
          <w:rFonts w:hint="eastAsia" w:ascii="仿宋_GB2312" w:hAnsi="仿宋_GB2312" w:eastAsia="仿宋_GB2312" w:cs="仿宋_GB2312"/>
          <w:b/>
          <w:color w:val="auto"/>
          <w:sz w:val="32"/>
          <w:szCs w:val="32"/>
          <w:highlight w:val="none"/>
          <w:lang w:val="zh-CN" w:eastAsia="zh-CN"/>
        </w:rPr>
        <w:t>谈判首次报价表</w:t>
      </w:r>
      <w:bookmarkEnd w:id="463"/>
      <w:bookmarkEnd w:id="464"/>
      <w:bookmarkEnd w:id="465"/>
    </w:p>
    <w:p>
      <w:pPr>
        <w:widowControl w:val="0"/>
        <w:wordWrap/>
        <w:snapToGrid/>
        <w:spacing w:line="560" w:lineRule="exact"/>
        <w:outlineLvl w:val="9"/>
        <w:rPr>
          <w:rFonts w:hint="eastAsia" w:ascii="仿宋_GB2312" w:hAnsi="仿宋_GB2312" w:eastAsia="仿宋_GB2312" w:cs="仿宋_GB2312"/>
          <w:b w:val="0"/>
          <w:bCs/>
          <w:color w:val="auto"/>
          <w:sz w:val="32"/>
          <w:szCs w:val="32"/>
          <w:highlight w:val="none"/>
        </w:rPr>
      </w:pPr>
      <w:bookmarkStart w:id="466" w:name="_Toc14507_WPSOffice_Level2"/>
      <w:r>
        <w:rPr>
          <w:rFonts w:hint="eastAsia" w:ascii="仿宋_GB2312" w:hAnsi="仿宋_GB2312" w:eastAsia="仿宋_GB2312" w:cs="仿宋_GB2312"/>
          <w:b w:val="0"/>
          <w:bCs/>
          <w:color w:val="auto"/>
          <w:sz w:val="32"/>
          <w:szCs w:val="32"/>
          <w:highlight w:val="none"/>
        </w:rPr>
        <w:t>供应商名称：</w:t>
      </w:r>
      <w:bookmarkEnd w:id="466"/>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单位：人民币(元)</w:t>
      </w:r>
    </w:p>
    <w:tbl>
      <w:tblPr>
        <w:tblStyle w:val="23"/>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项目名称</w:t>
            </w:r>
          </w:p>
        </w:tc>
        <w:tc>
          <w:tcPr>
            <w:tcW w:w="2717"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首次</w:t>
            </w:r>
            <w:r>
              <w:rPr>
                <w:rFonts w:hint="eastAsia" w:ascii="仿宋_GB2312" w:hAnsi="仿宋_GB2312" w:eastAsia="仿宋_GB2312" w:cs="仿宋_GB2312"/>
                <w:b w:val="0"/>
                <w:bCs/>
                <w:color w:val="auto"/>
                <w:sz w:val="32"/>
                <w:szCs w:val="32"/>
                <w:highlight w:val="none"/>
              </w:rPr>
              <w:t>报价</w:t>
            </w:r>
          </w:p>
        </w:tc>
        <w:tc>
          <w:tcPr>
            <w:tcW w:w="2670"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交货期</w:t>
            </w:r>
          </w:p>
        </w:tc>
        <w:tc>
          <w:tcPr>
            <w:tcW w:w="1560" w:type="dxa"/>
            <w:vAlign w:val="center"/>
          </w:tcPr>
          <w:p>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highlight w:val="none"/>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大写：</w:t>
            </w:r>
          </w:p>
        </w:tc>
        <w:tc>
          <w:tcPr>
            <w:tcW w:w="2670" w:type="dxa"/>
            <w:vMerge w:val="restart"/>
            <w:vAlign w:val="top"/>
          </w:tcPr>
          <w:p>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auto"/>
                <w:sz w:val="32"/>
                <w:szCs w:val="32"/>
                <w:highlight w:val="none"/>
              </w:rPr>
            </w:pPr>
          </w:p>
        </w:tc>
        <w:tc>
          <w:tcPr>
            <w:tcW w:w="1560" w:type="dxa"/>
            <w:vMerge w:val="restart"/>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highlight w:val="none"/>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小写：</w:t>
            </w:r>
          </w:p>
        </w:tc>
        <w:tc>
          <w:tcPr>
            <w:tcW w:w="2670" w:type="dxa"/>
            <w:vMerge w:val="continue"/>
            <w:vAlign w:val="top"/>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highlight w:val="none"/>
              </w:rPr>
            </w:pPr>
          </w:p>
        </w:tc>
        <w:tc>
          <w:tcPr>
            <w:tcW w:w="1560" w:type="dxa"/>
            <w:vMerge w:val="continue"/>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其他承诺及需要说明的事项：</w:t>
            </w:r>
          </w:p>
        </w:tc>
      </w:tr>
    </w:tbl>
    <w:p>
      <w:pPr>
        <w:widowControl w:val="0"/>
        <w:wordWrap/>
        <w:snapToGrid/>
        <w:spacing w:line="560" w:lineRule="exac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注：1、填写此表时不得改变表格形式。</w:t>
      </w:r>
    </w:p>
    <w:p>
      <w:pPr>
        <w:widowControl w:val="0"/>
        <w:wordWrap/>
        <w:snapToGrid/>
        <w:spacing w:line="56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、响应文件</w:t>
      </w:r>
      <w:r>
        <w:rPr>
          <w:rFonts w:hint="eastAsia" w:ascii="仿宋_GB2312" w:hAnsi="仿宋_GB2312" w:eastAsia="仿宋_GB2312" w:cs="仿宋_GB2312"/>
          <w:color w:val="auto"/>
          <w:sz w:val="32"/>
          <w:szCs w:val="32"/>
          <w:highlight w:val="none"/>
        </w:rPr>
        <w:t>报价为总价。包括</w:t>
      </w:r>
      <w:r>
        <w:rPr>
          <w:rFonts w:hint="eastAsia" w:ascii="仿宋_GB2312" w:hAnsi="仿宋_GB2312" w:eastAsia="仿宋_GB2312" w:cs="仿宋_GB2312"/>
          <w:color w:val="auto"/>
          <w:sz w:val="32"/>
          <w:szCs w:val="32"/>
          <w:highlight w:val="none"/>
          <w:u w:val="single"/>
          <w:lang w:val="en-US" w:eastAsia="zh-CN"/>
        </w:rPr>
        <w:t>产品费、检验费、手续费、包装</w:t>
      </w:r>
      <w:r>
        <w:rPr>
          <w:rFonts w:hint="eastAsia" w:ascii="仿宋_GB2312" w:hAnsi="仿宋_GB2312" w:eastAsia="仿宋_GB2312" w:cs="仿宋_GB2312"/>
          <w:color w:val="auto"/>
          <w:sz w:val="32"/>
          <w:szCs w:val="32"/>
          <w:highlight w:val="none"/>
        </w:rPr>
        <w:t>费、税金及其他不可预见费等全部费用。</w:t>
      </w:r>
    </w:p>
    <w:p>
      <w:pPr>
        <w:widowControl w:val="0"/>
        <w:wordWrap/>
        <w:snapToGrid/>
        <w:spacing w:line="560" w:lineRule="exact"/>
        <w:ind w:firstLine="640" w:firstLineChars="200"/>
        <w:outlineLvl w:val="9"/>
        <w:rPr>
          <w:rFonts w:hint="eastAsia" w:ascii="宋体" w:hAnsi="宋体"/>
          <w:color w:val="auto"/>
          <w:sz w:val="24"/>
          <w:highlight w:val="none"/>
        </w:rPr>
      </w:pPr>
      <w:r>
        <w:rPr>
          <w:rFonts w:hint="eastAsia" w:ascii="仿宋_GB2312" w:hAnsi="仿宋_GB2312" w:eastAsia="仿宋_GB2312" w:cs="仿宋_GB2312"/>
          <w:color w:val="auto"/>
          <w:sz w:val="32"/>
          <w:szCs w:val="32"/>
          <w:highlight w:val="none"/>
        </w:rPr>
        <w:t>3、“交货期”是指产品能够交付使用的具体时间。</w:t>
      </w:r>
    </w:p>
    <w:p>
      <w:pPr>
        <w:wordWrap/>
        <w:spacing w:before="157" w:beforeLines="50" w:line="560" w:lineRule="exact"/>
        <w:ind w:firstLine="482" w:firstLineChars="200"/>
        <w:jc w:val="center"/>
        <w:outlineLvl w:val="9"/>
        <w:rPr>
          <w:rFonts w:hint="eastAsia" w:ascii="宋体" w:hAnsi="宋体"/>
          <w:b/>
          <w:color w:val="auto"/>
          <w:sz w:val="24"/>
          <w:highlight w:val="none"/>
          <w:lang w:val="en-US" w:eastAsia="zh-CN"/>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p>
    <w:p>
      <w:pPr>
        <w:wordWrap/>
        <w:spacing w:before="157" w:beforeLines="50" w:line="560" w:lineRule="exact"/>
        <w:ind w:firstLine="482" w:firstLineChars="200"/>
        <w:jc w:val="center"/>
        <w:outlineLvl w:val="9"/>
        <w:rPr>
          <w:rFonts w:hint="eastAsia" w:ascii="宋体" w:hAnsi="宋体"/>
          <w:b/>
          <w:color w:val="auto"/>
          <w:sz w:val="24"/>
          <w:highlight w:val="none"/>
          <w:lang w:val="en-US" w:eastAsia="zh-CN"/>
        </w:rPr>
      </w:pPr>
    </w:p>
    <w:p>
      <w:pPr>
        <w:wordWrap/>
        <w:spacing w:before="157" w:beforeLines="50" w:line="560" w:lineRule="exact"/>
        <w:ind w:firstLine="482" w:firstLineChars="200"/>
        <w:jc w:val="center"/>
        <w:outlineLvl w:val="9"/>
        <w:rPr>
          <w:rFonts w:hint="eastAsia" w:ascii="宋体" w:hAnsi="宋体"/>
          <w:b/>
          <w:color w:val="auto"/>
          <w:sz w:val="24"/>
          <w:highlight w:val="none"/>
          <w:lang w:val="en-US" w:eastAsia="zh-CN"/>
        </w:rPr>
      </w:pP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 xml:space="preserve"> </w:t>
      </w:r>
      <w:bookmarkStart w:id="467" w:name="_Toc27526_WPSOffice_Level3"/>
      <w:r>
        <w:rPr>
          <w:rFonts w:hint="eastAsia" w:ascii="宋体" w:hAnsi="宋体"/>
          <w:b/>
          <w:color w:val="auto"/>
          <w:sz w:val="24"/>
          <w:highlight w:val="none"/>
          <w:lang w:val="en-US" w:eastAsia="zh-CN"/>
        </w:rPr>
        <w:t xml:space="preserve"> </w:t>
      </w:r>
      <w:bookmarkStart w:id="468" w:name="_Toc11022_WPSOffice_Level3"/>
      <w:r>
        <w:rPr>
          <w:rFonts w:hint="eastAsia" w:ascii="仿宋_GB2312" w:hAnsi="仿宋_GB2312" w:eastAsia="仿宋_GB2312" w:cs="仿宋_GB2312"/>
          <w:b w:val="0"/>
          <w:bCs/>
          <w:color w:val="auto"/>
          <w:sz w:val="32"/>
          <w:szCs w:val="32"/>
          <w:highlight w:val="none"/>
          <w:lang w:eastAsia="zh-CN"/>
        </w:rPr>
        <w:t>单位名称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467"/>
      <w:bookmarkEnd w:id="468"/>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69" w:name="_Toc32417_WPSOffice_Level3"/>
      <w:bookmarkStart w:id="470" w:name="_Toc23931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469"/>
      <w:bookmarkEnd w:id="470"/>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bookmarkStart w:id="471" w:name="_Toc19388_WPSOffice_Level3"/>
      <w:bookmarkStart w:id="472" w:name="_Toc23319_WPSOffice_Level3"/>
      <w:r>
        <w:rPr>
          <w:rFonts w:hint="eastAsia" w:ascii="仿宋_GB2312" w:hAnsi="仿宋_GB2312" w:eastAsia="仿宋_GB2312" w:cs="仿宋_GB2312"/>
          <w:b w:val="0"/>
          <w:bCs/>
          <w:color w:val="auto"/>
          <w:sz w:val="32"/>
          <w:szCs w:val="32"/>
          <w:highlight w:val="none"/>
        </w:rPr>
        <w:t>年   月  日</w:t>
      </w:r>
      <w:bookmarkEnd w:id="471"/>
      <w:bookmarkEnd w:id="472"/>
    </w:p>
    <w:p>
      <w:pPr>
        <w:widowControl/>
        <w:wordWrap/>
        <w:snapToGrid w:val="0"/>
        <w:spacing w:before="157" w:beforeLines="50" w:line="560" w:lineRule="exact"/>
        <w:outlineLvl w:val="1"/>
        <w:rPr>
          <w:rFonts w:hint="eastAsia" w:ascii="宋体"/>
          <w:b/>
          <w:color w:val="auto"/>
          <w:sz w:val="36"/>
          <w:szCs w:val="36"/>
          <w:highlight w:val="none"/>
        </w:rPr>
      </w:pPr>
      <w:r>
        <w:rPr>
          <w:rFonts w:ascii="宋体"/>
          <w:b/>
          <w:color w:val="auto"/>
          <w:sz w:val="28"/>
          <w:szCs w:val="28"/>
          <w:highlight w:val="none"/>
        </w:rPr>
        <w:br w:type="page"/>
      </w:r>
      <w:bookmarkStart w:id="473" w:name="_Toc7532"/>
      <w:bookmarkStart w:id="474" w:name="_Toc31202"/>
      <w:bookmarkStart w:id="475" w:name="_Toc13192"/>
      <w:bookmarkStart w:id="476" w:name="_Toc18824_WPSOffice_Level3"/>
      <w:bookmarkStart w:id="477" w:name="_Toc25997"/>
      <w:bookmarkStart w:id="478" w:name="_Toc3352_WPSOffice_Level3"/>
      <w:r>
        <w:rPr>
          <w:rFonts w:hint="eastAsia" w:ascii="楷体_GB2312" w:hAnsi="楷体_GB2312" w:eastAsia="楷体_GB2312" w:cs="楷体_GB2312"/>
          <w:b/>
          <w:bCs w:val="0"/>
          <w:color w:val="auto"/>
          <w:kern w:val="2"/>
          <w:sz w:val="32"/>
          <w:szCs w:val="32"/>
          <w:highlight w:val="none"/>
          <w:lang w:val="en-US" w:eastAsia="zh-CN" w:bidi="ar-SA"/>
        </w:rPr>
        <w:t>附件11：分项报价表</w:t>
      </w:r>
      <w:bookmarkEnd w:id="473"/>
      <w:bookmarkEnd w:id="474"/>
      <w:bookmarkEnd w:id="475"/>
      <w:bookmarkEnd w:id="476"/>
      <w:bookmarkEnd w:id="477"/>
      <w:bookmarkEnd w:id="478"/>
    </w:p>
    <w:p>
      <w:pPr>
        <w:wordWrap/>
        <w:spacing w:before="157" w:beforeLines="50" w:line="560" w:lineRule="exact"/>
        <w:jc w:val="center"/>
        <w:outlineLvl w:val="9"/>
        <w:rPr>
          <w:rFonts w:hint="eastAsia" w:ascii="宋体" w:hAnsi="宋体"/>
          <w:b/>
          <w:color w:val="auto"/>
          <w:sz w:val="36"/>
          <w:szCs w:val="36"/>
          <w:highlight w:val="none"/>
        </w:rPr>
      </w:pPr>
      <w:bookmarkStart w:id="479" w:name="_Toc19937_WPSOffice_Level1"/>
      <w:bookmarkStart w:id="480" w:name="_Toc12587_WPSOffice_Level1"/>
      <w:bookmarkStart w:id="481" w:name="_Toc31256_WPSOffice_Level3"/>
      <w:r>
        <w:rPr>
          <w:rFonts w:hint="eastAsia" w:ascii="仿宋_GB2312" w:hAnsi="仿宋_GB2312" w:eastAsia="仿宋_GB2312" w:cs="仿宋_GB2312"/>
          <w:b/>
          <w:color w:val="auto"/>
          <w:sz w:val="32"/>
          <w:szCs w:val="32"/>
          <w:highlight w:val="none"/>
          <w:lang w:val="zh-CN" w:eastAsia="zh-CN"/>
        </w:rPr>
        <w:t>分项报价表</w:t>
      </w:r>
      <w:bookmarkEnd w:id="479"/>
      <w:bookmarkEnd w:id="480"/>
      <w:bookmarkEnd w:id="481"/>
    </w:p>
    <w:p>
      <w:pPr>
        <w:widowControl w:val="0"/>
        <w:wordWrap/>
        <w:adjustRightInd/>
        <w:snapToGrid/>
        <w:spacing w:line="560" w:lineRule="exact"/>
        <w:textAlignment w:val="auto"/>
        <w:outlineLvl w:val="9"/>
        <w:rPr>
          <w:rFonts w:hint="eastAsia" w:ascii="仿宋_GB2312" w:hAnsi="仿宋_GB2312" w:eastAsia="仿宋_GB2312" w:cs="仿宋_GB2312"/>
          <w:b w:val="0"/>
          <w:bCs/>
          <w:color w:val="auto"/>
          <w:sz w:val="32"/>
          <w:szCs w:val="32"/>
          <w:highlight w:val="none"/>
          <w:lang w:val="en-US" w:eastAsia="zh-CN"/>
        </w:rPr>
      </w:pPr>
      <w:bookmarkStart w:id="482" w:name="_Toc30633_WPSOffice_Level2"/>
      <w:r>
        <w:rPr>
          <w:rFonts w:hint="eastAsia" w:ascii="仿宋_GB2312" w:hAnsi="仿宋_GB2312" w:eastAsia="仿宋_GB2312" w:cs="仿宋_GB2312"/>
          <w:b w:val="0"/>
          <w:bCs/>
          <w:color w:val="auto"/>
          <w:sz w:val="32"/>
          <w:szCs w:val="32"/>
          <w:highlight w:val="none"/>
        </w:rPr>
        <w:t>供应商名称:</w:t>
      </w:r>
      <w:bookmarkEnd w:id="482"/>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单位：人民币(元)</w:t>
      </w:r>
      <w:r>
        <w:rPr>
          <w:rFonts w:hint="eastAsia" w:ascii="仿宋_GB2312" w:hAnsi="仿宋_GB2312" w:eastAsia="仿宋_GB2312" w:cs="仿宋_GB2312"/>
          <w:b w:val="0"/>
          <w:bCs/>
          <w:color w:val="auto"/>
          <w:sz w:val="32"/>
          <w:szCs w:val="32"/>
          <w:highlight w:val="none"/>
          <w:lang w:val="en-US" w:eastAsia="zh-CN"/>
        </w:rPr>
        <w:t xml:space="preserve">                                          </w:t>
      </w:r>
    </w:p>
    <w:tbl>
      <w:tblPr>
        <w:tblStyle w:val="2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序号</w:t>
            </w:r>
          </w:p>
        </w:tc>
        <w:tc>
          <w:tcPr>
            <w:tcW w:w="1497"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产品名称</w:t>
            </w:r>
          </w:p>
        </w:tc>
        <w:tc>
          <w:tcPr>
            <w:tcW w:w="992"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lang w:val="zh-CN" w:eastAsia="zh-CN"/>
              </w:rPr>
            </w:pPr>
            <w:r>
              <w:rPr>
                <w:rFonts w:hint="eastAsia" w:ascii="仿宋_GB2312" w:hAnsi="仿宋_GB2312" w:eastAsia="仿宋_GB2312" w:cs="仿宋_GB2312"/>
                <w:b w:val="0"/>
                <w:bCs/>
                <w:color w:val="auto"/>
                <w:sz w:val="32"/>
                <w:szCs w:val="32"/>
                <w:highlight w:val="none"/>
                <w:lang w:val="zh-CN"/>
              </w:rPr>
              <w:t>品牌</w:t>
            </w:r>
          </w:p>
        </w:tc>
        <w:tc>
          <w:tcPr>
            <w:tcW w:w="1052"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lang w:val="zh-CN" w:eastAsia="zh-CN"/>
              </w:rPr>
            </w:pPr>
            <w:r>
              <w:rPr>
                <w:rFonts w:hint="eastAsia" w:ascii="仿宋_GB2312" w:hAnsi="仿宋_GB2312" w:eastAsia="仿宋_GB2312" w:cs="仿宋_GB2312"/>
                <w:b w:val="0"/>
                <w:bCs/>
                <w:color w:val="auto"/>
                <w:sz w:val="32"/>
                <w:szCs w:val="32"/>
                <w:highlight w:val="none"/>
                <w:lang w:val="zh-CN"/>
              </w:rPr>
              <w:t>规格型号</w:t>
            </w:r>
          </w:p>
        </w:tc>
        <w:tc>
          <w:tcPr>
            <w:tcW w:w="1356"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lang w:val="zh-CN" w:eastAsia="zh-CN"/>
              </w:rPr>
            </w:pPr>
            <w:r>
              <w:rPr>
                <w:rFonts w:hint="eastAsia" w:ascii="仿宋_GB2312" w:hAnsi="仿宋_GB2312" w:eastAsia="仿宋_GB2312" w:cs="仿宋_GB2312"/>
                <w:b w:val="0"/>
                <w:bCs/>
                <w:color w:val="auto"/>
                <w:sz w:val="32"/>
                <w:szCs w:val="32"/>
                <w:highlight w:val="none"/>
                <w:lang w:val="zh-CN"/>
              </w:rPr>
              <w:t>生产厂家</w:t>
            </w:r>
          </w:p>
        </w:tc>
        <w:tc>
          <w:tcPr>
            <w:tcW w:w="953"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数量及单位</w:t>
            </w:r>
          </w:p>
        </w:tc>
        <w:tc>
          <w:tcPr>
            <w:tcW w:w="71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单价</w:t>
            </w:r>
          </w:p>
        </w:tc>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合计</w:t>
            </w:r>
          </w:p>
        </w:tc>
        <w:tc>
          <w:tcPr>
            <w:tcW w:w="85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p>
        </w:tc>
        <w:tc>
          <w:tcPr>
            <w:tcW w:w="1497"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9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05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356"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5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71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1"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p>
        </w:tc>
        <w:tc>
          <w:tcPr>
            <w:tcW w:w="1497"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9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05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356"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5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71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1"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w:t>
            </w:r>
          </w:p>
        </w:tc>
        <w:tc>
          <w:tcPr>
            <w:tcW w:w="1497"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9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05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356"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5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71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1"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w:t>
            </w:r>
          </w:p>
        </w:tc>
        <w:tc>
          <w:tcPr>
            <w:tcW w:w="1497"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9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05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356"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5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71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1"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p>
        </w:tc>
        <w:tc>
          <w:tcPr>
            <w:tcW w:w="1497"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9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052"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1356"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95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71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1"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widowControl w:val="0"/>
              <w:wordWrap/>
              <w:adjustRightInd/>
              <w:snapToGrid/>
              <w:spacing w:line="560" w:lineRule="exac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总价</w:t>
            </w:r>
          </w:p>
        </w:tc>
        <w:tc>
          <w:tcPr>
            <w:tcW w:w="6764" w:type="dxa"/>
            <w:gridSpan w:val="7"/>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大写：                      小写：</w:t>
            </w:r>
          </w:p>
        </w:tc>
      </w:tr>
    </w:tbl>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auto"/>
          <w:sz w:val="32"/>
          <w:szCs w:val="32"/>
          <w:highlight w:val="none"/>
          <w:lang w:val="en-US" w:eastAsia="zh-CN"/>
        </w:rPr>
      </w:pPr>
      <w:bookmarkStart w:id="483" w:name="_Toc698"/>
    </w:p>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auto"/>
          <w:sz w:val="32"/>
          <w:szCs w:val="32"/>
          <w:highlight w:val="none"/>
          <w:lang w:val="en-US" w:eastAsia="zh-CN"/>
        </w:rPr>
      </w:pPr>
    </w:p>
    <w:p>
      <w:pPr>
        <w:pStyle w:val="9"/>
        <w:rPr>
          <w:rFonts w:hint="eastAsia"/>
          <w:lang w:val="en-US" w:eastAsia="zh-CN"/>
        </w:rPr>
      </w:pPr>
    </w:p>
    <w:p>
      <w:pPr>
        <w:widowControl w:val="0"/>
        <w:wordWrap/>
        <w:adjustRightInd/>
        <w:snapToGrid/>
        <w:spacing w:line="560" w:lineRule="exact"/>
        <w:ind w:firstLine="3840" w:firstLineChars="12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84" w:name="_Toc24193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484"/>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bookmarkStart w:id="485" w:name="_Toc20924_WPSOffice_Level3"/>
      <w:r>
        <w:rPr>
          <w:rFonts w:hint="eastAsia" w:ascii="仿宋_GB2312" w:hAnsi="仿宋_GB2312" w:eastAsia="仿宋_GB2312" w:cs="仿宋_GB2312"/>
          <w:b w:val="0"/>
          <w:bCs/>
          <w:color w:val="auto"/>
          <w:sz w:val="32"/>
          <w:szCs w:val="32"/>
          <w:highlight w:val="none"/>
        </w:rPr>
        <w:t>年   月  日</w:t>
      </w:r>
      <w:bookmarkEnd w:id="485"/>
    </w:p>
    <w:p>
      <w:pPr>
        <w:bidi w:val="0"/>
        <w:rPr>
          <w:rFonts w:hint="eastAsia"/>
          <w:color w:val="auto"/>
          <w:highlight w:val="none"/>
        </w:rPr>
      </w:pPr>
    </w:p>
    <w:p>
      <w:pPr>
        <w:widowControl/>
        <w:wordWrap/>
        <w:snapToGrid w:val="0"/>
        <w:spacing w:before="157" w:beforeLines="50" w:line="560" w:lineRule="exact"/>
        <w:outlineLvl w:val="1"/>
        <w:rPr>
          <w:rFonts w:hint="eastAsia" w:ascii="宋体" w:hAnsi="宋体"/>
          <w:b/>
          <w:color w:val="auto"/>
          <w:sz w:val="36"/>
          <w:szCs w:val="36"/>
          <w:highlight w:val="none"/>
        </w:rPr>
      </w:pPr>
      <w:bookmarkStart w:id="486" w:name="_Toc13098_WPSOffice_Level3"/>
      <w:bookmarkStart w:id="487" w:name="_Toc20734"/>
      <w:r>
        <w:rPr>
          <w:rFonts w:hint="eastAsia" w:ascii="仿宋_GB2312" w:hAnsi="仿宋_GB2312" w:eastAsia="仿宋_GB2312" w:cs="仿宋_GB2312"/>
          <w:b/>
          <w:color w:val="auto"/>
          <w:sz w:val="30"/>
          <w:szCs w:val="30"/>
          <w:highlight w:val="none"/>
          <w:lang w:eastAsia="zh-CN"/>
        </w:rPr>
        <w:br w:type="page"/>
      </w:r>
      <w:bookmarkStart w:id="488" w:name="_Toc28315_WPSOffice_Level3"/>
      <w:bookmarkStart w:id="489" w:name="_Toc28398"/>
      <w:bookmarkStart w:id="490" w:name="_Toc31245"/>
      <w:r>
        <w:rPr>
          <w:rFonts w:hint="eastAsia" w:ascii="楷体_GB2312" w:hAnsi="楷体_GB2312" w:eastAsia="楷体_GB2312" w:cs="楷体_GB2312"/>
          <w:b/>
          <w:bCs w:val="0"/>
          <w:color w:val="auto"/>
          <w:kern w:val="2"/>
          <w:sz w:val="32"/>
          <w:szCs w:val="32"/>
          <w:highlight w:val="none"/>
          <w:lang w:val="en-US" w:eastAsia="zh-CN" w:bidi="ar-SA"/>
        </w:rPr>
        <w:t>附件12：技术规格响应表</w:t>
      </w:r>
      <w:bookmarkEnd w:id="483"/>
      <w:bookmarkEnd w:id="486"/>
      <w:bookmarkEnd w:id="487"/>
      <w:bookmarkEnd w:id="488"/>
      <w:bookmarkEnd w:id="489"/>
      <w:bookmarkEnd w:id="490"/>
    </w:p>
    <w:p>
      <w:pPr>
        <w:wordWrap/>
        <w:spacing w:before="157" w:beforeLines="50" w:line="560" w:lineRule="exact"/>
        <w:jc w:val="center"/>
        <w:outlineLvl w:val="9"/>
        <w:rPr>
          <w:rFonts w:hint="eastAsia" w:ascii="仿宋_GB2312" w:hAnsi="仿宋_GB2312" w:eastAsia="仿宋_GB2312" w:cs="仿宋_GB2312"/>
          <w:b/>
          <w:color w:val="auto"/>
          <w:sz w:val="32"/>
          <w:szCs w:val="32"/>
          <w:highlight w:val="none"/>
          <w:lang w:val="zh-CN" w:eastAsia="zh-CN"/>
        </w:rPr>
      </w:pPr>
      <w:bookmarkStart w:id="491" w:name="_Toc27772_WPSOffice_Level3"/>
      <w:bookmarkStart w:id="492" w:name="_Toc27646_WPSOffice_Level1"/>
      <w:bookmarkStart w:id="493" w:name="_Toc22043_WPSOffice_Level1"/>
      <w:r>
        <w:rPr>
          <w:rFonts w:hint="eastAsia" w:ascii="仿宋_GB2312" w:hAnsi="仿宋_GB2312" w:eastAsia="仿宋_GB2312" w:cs="仿宋_GB2312"/>
          <w:b/>
          <w:color w:val="auto"/>
          <w:sz w:val="32"/>
          <w:szCs w:val="32"/>
          <w:highlight w:val="none"/>
          <w:lang w:val="zh-CN" w:eastAsia="zh-CN"/>
        </w:rPr>
        <w:t>技术规格响应表</w:t>
      </w:r>
      <w:bookmarkEnd w:id="491"/>
      <w:bookmarkEnd w:id="492"/>
      <w:bookmarkEnd w:id="493"/>
    </w:p>
    <w:p>
      <w:pPr>
        <w:widowControl w:val="0"/>
        <w:wordWrap/>
        <w:adjustRightInd/>
        <w:snapToGrid/>
        <w:spacing w:line="560" w:lineRule="exact"/>
        <w:jc w:val="left"/>
        <w:textAlignment w:val="auto"/>
        <w:outlineLvl w:val="9"/>
        <w:rPr>
          <w:rFonts w:hint="eastAsia" w:ascii="仿宋_GB2312" w:hAnsi="仿宋_GB2312" w:eastAsia="仿宋_GB2312" w:cs="仿宋_GB2312"/>
          <w:b w:val="0"/>
          <w:bCs/>
          <w:color w:val="auto"/>
          <w:sz w:val="32"/>
          <w:szCs w:val="32"/>
          <w:highlight w:val="none"/>
        </w:rPr>
      </w:pPr>
      <w:bookmarkStart w:id="494" w:name="_Toc14764_WPSOffice_Level2"/>
      <w:r>
        <w:rPr>
          <w:rFonts w:hint="eastAsia" w:ascii="仿宋_GB2312" w:hAnsi="仿宋_GB2312" w:eastAsia="仿宋_GB2312" w:cs="仿宋_GB2312"/>
          <w:b w:val="0"/>
          <w:bCs/>
          <w:color w:val="auto"/>
          <w:sz w:val="32"/>
          <w:szCs w:val="32"/>
          <w:highlight w:val="none"/>
        </w:rPr>
        <w:t>供应商名称:</w:t>
      </w:r>
      <w:bookmarkEnd w:id="494"/>
    </w:p>
    <w:tbl>
      <w:tblPr>
        <w:tblStyle w:val="2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tc>
        <w:tc>
          <w:tcPr>
            <w:tcW w:w="3652" w:type="dxa"/>
            <w:gridSpan w:val="2"/>
            <w:vAlign w:val="top"/>
          </w:tcPr>
          <w:p>
            <w:pPr>
              <w:widowControl w:val="0"/>
              <w:wordWrap/>
              <w:adjustRightInd/>
              <w:snapToGrid/>
              <w:spacing w:line="560" w:lineRule="exact"/>
              <w:ind w:firstLine="160" w:firstLineChars="5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采购需求技术参数、指标</w:t>
            </w:r>
          </w:p>
        </w:tc>
        <w:tc>
          <w:tcPr>
            <w:tcW w:w="3795" w:type="dxa"/>
            <w:gridSpan w:val="2"/>
            <w:vAlign w:val="top"/>
          </w:tcPr>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投标产品技术参数、指标</w:t>
            </w:r>
          </w:p>
        </w:tc>
        <w:tc>
          <w:tcPr>
            <w:tcW w:w="873"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886" w:type="dxa"/>
            <w:vAlign w:val="center"/>
          </w:tcPr>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名称</w:t>
            </w:r>
          </w:p>
        </w:tc>
        <w:tc>
          <w:tcPr>
            <w:tcW w:w="2766"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技术参数、指标及配置</w:t>
            </w:r>
          </w:p>
        </w:tc>
        <w:tc>
          <w:tcPr>
            <w:tcW w:w="915" w:type="dxa"/>
            <w:vAlign w:val="center"/>
          </w:tcPr>
          <w:p>
            <w:pPr>
              <w:widowControl w:val="0"/>
              <w:wordWrap/>
              <w:adjustRightInd/>
              <w:snapToGrid/>
              <w:spacing w:line="56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名称</w:t>
            </w:r>
          </w:p>
        </w:tc>
        <w:tc>
          <w:tcPr>
            <w:tcW w:w="288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技术参数、指标及配置</w:t>
            </w:r>
          </w:p>
        </w:tc>
        <w:tc>
          <w:tcPr>
            <w:tcW w:w="873"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886"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2766"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915"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2880"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873"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886"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2766"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915"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2880"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873"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tc>
        <w:tc>
          <w:tcPr>
            <w:tcW w:w="886"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2766"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915"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2880"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c>
          <w:tcPr>
            <w:tcW w:w="873" w:type="dxa"/>
            <w:vAlign w:val="top"/>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1、本表应按照采购分项报价表中“产品名称”及采购一览表中产品序号的指标逐项填写，不得遗漏。否则，按无效</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b/>
          <w:color w:val="auto"/>
          <w:sz w:val="24"/>
          <w:highlight w:val="none"/>
          <w:u w:val="single"/>
        </w:rPr>
      </w:pPr>
      <w:r>
        <w:rPr>
          <w:rFonts w:hint="eastAsia" w:ascii="仿宋_GB2312" w:hAnsi="仿宋_GB2312" w:eastAsia="仿宋_GB2312" w:cs="仿宋_GB2312"/>
          <w:color w:val="auto"/>
          <w:sz w:val="32"/>
          <w:szCs w:val="32"/>
          <w:highlight w:val="none"/>
        </w:rPr>
        <w:t>2、“投标产品技术参数、指标”</w:t>
      </w:r>
      <w:r>
        <w:rPr>
          <w:rFonts w:hint="eastAsia" w:ascii="仿宋_GB2312" w:hAnsi="仿宋_GB2312" w:eastAsia="仿宋_GB2312" w:cs="仿宋_GB2312"/>
          <w:color w:val="auto"/>
          <w:sz w:val="32"/>
          <w:szCs w:val="32"/>
          <w:highlight w:val="none"/>
          <w:u w:val="single"/>
        </w:rPr>
        <w:t>必须与谈判响应文件中提供的产品检测报告、生产厂家出具的产品彩页等证明材料的实质性响应情况相一致。若在</w:t>
      </w:r>
      <w:r>
        <w:rPr>
          <w:rFonts w:hint="eastAsia" w:ascii="仿宋_GB2312" w:hAnsi="仿宋_GB2312" w:eastAsia="仿宋_GB2312" w:cs="仿宋_GB2312"/>
          <w:color w:val="auto"/>
          <w:sz w:val="32"/>
          <w:szCs w:val="32"/>
          <w:highlight w:val="none"/>
          <w:u w:val="single"/>
          <w:lang w:eastAsia="zh-CN"/>
        </w:rPr>
        <w:t>评审</w:t>
      </w:r>
      <w:r>
        <w:rPr>
          <w:rFonts w:hint="eastAsia" w:ascii="仿宋_GB2312" w:hAnsi="仿宋_GB2312" w:eastAsia="仿宋_GB2312" w:cs="仿宋_GB2312"/>
          <w:color w:val="auto"/>
          <w:sz w:val="32"/>
          <w:szCs w:val="32"/>
          <w:highlight w:val="none"/>
          <w:u w:val="single"/>
        </w:rPr>
        <w:t>环节发现该项与谈判响应文件中提供的产品检测报告、生产厂家出具的产品彩页等证明材料的实质性响应情况不一致或直接复制谈判文件“采购需求技术参数、指标”内容的，按无效</w:t>
      </w:r>
      <w:r>
        <w:rPr>
          <w:rFonts w:hint="eastAsia" w:ascii="仿宋_GB2312" w:hAnsi="仿宋_GB2312" w:eastAsia="仿宋_GB2312" w:cs="仿宋_GB2312"/>
          <w:color w:val="auto"/>
          <w:sz w:val="32"/>
          <w:szCs w:val="32"/>
          <w:highlight w:val="none"/>
          <w:u w:val="single"/>
          <w:lang w:eastAsia="zh-CN"/>
        </w:rPr>
        <w:t>相应</w:t>
      </w:r>
      <w:r>
        <w:rPr>
          <w:rFonts w:hint="eastAsia" w:ascii="仿宋_GB2312" w:hAnsi="仿宋_GB2312" w:eastAsia="仿宋_GB2312" w:cs="仿宋_GB2312"/>
          <w:color w:val="auto"/>
          <w:sz w:val="32"/>
          <w:szCs w:val="32"/>
          <w:highlight w:val="none"/>
          <w:u w:val="single"/>
        </w:rPr>
        <w:t>处理。</w:t>
      </w:r>
      <w:r>
        <w:rPr>
          <w:rFonts w:hint="eastAsia" w:ascii="宋体" w:hAnsi="宋体"/>
          <w:b/>
          <w:color w:val="auto"/>
          <w:sz w:val="24"/>
          <w:highlight w:val="none"/>
          <w:u w:val="single"/>
        </w:rPr>
        <w:t xml:space="preserve">   </w:t>
      </w:r>
    </w:p>
    <w:p>
      <w:pPr>
        <w:widowControl w:val="0"/>
        <w:wordWrap/>
        <w:adjustRightInd/>
        <w:snapToGrid/>
        <w:spacing w:line="560" w:lineRule="exact"/>
        <w:ind w:firstLine="4160" w:firstLineChars="1300"/>
        <w:textAlignment w:val="auto"/>
        <w:outlineLvl w:val="9"/>
        <w:rPr>
          <w:rFonts w:hint="eastAsia" w:ascii="仿宋_GB2312" w:hAnsi="仿宋_GB2312" w:eastAsia="仿宋_GB2312" w:cs="仿宋_GB2312"/>
          <w:b w:val="0"/>
          <w:bCs/>
          <w:color w:val="auto"/>
          <w:sz w:val="32"/>
          <w:szCs w:val="32"/>
          <w:highlight w:val="none"/>
        </w:rPr>
      </w:pPr>
    </w:p>
    <w:p>
      <w:pPr>
        <w:widowControl w:val="0"/>
        <w:wordWrap/>
        <w:adjustRightInd/>
        <w:snapToGrid/>
        <w:spacing w:line="560" w:lineRule="exact"/>
        <w:ind w:firstLine="4160" w:firstLineChars="1300"/>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495" w:name="_Toc3277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495"/>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bookmarkStart w:id="496" w:name="_Toc22450_WPSOffice_Level3"/>
      <w:r>
        <w:rPr>
          <w:rFonts w:hint="eastAsia" w:ascii="仿宋_GB2312" w:hAnsi="仿宋_GB2312" w:eastAsia="仿宋_GB2312" w:cs="仿宋_GB2312"/>
          <w:b w:val="0"/>
          <w:bCs/>
          <w:color w:val="auto"/>
          <w:sz w:val="32"/>
          <w:szCs w:val="32"/>
          <w:highlight w:val="none"/>
        </w:rPr>
        <w:t>年   月  日</w:t>
      </w:r>
      <w:bookmarkEnd w:id="496"/>
    </w:p>
    <w:p>
      <w:pPr>
        <w:bidi w:val="0"/>
        <w:rPr>
          <w:rFonts w:hint="eastAsia"/>
          <w:color w:val="auto"/>
          <w:highlight w:val="none"/>
        </w:rPr>
      </w:pPr>
    </w:p>
    <w:p>
      <w:pPr>
        <w:widowControl/>
        <w:wordWrap/>
        <w:snapToGrid w:val="0"/>
        <w:spacing w:before="157" w:beforeLines="50" w:line="560" w:lineRule="exact"/>
        <w:outlineLvl w:val="1"/>
        <w:rPr>
          <w:rFonts w:hint="eastAsia" w:ascii="宋体"/>
          <w:b/>
          <w:color w:val="auto"/>
          <w:sz w:val="36"/>
          <w:szCs w:val="36"/>
          <w:highlight w:val="none"/>
        </w:rPr>
      </w:pPr>
      <w:bookmarkStart w:id="497" w:name="_Toc6913_WPSOffice_Level3"/>
      <w:bookmarkStart w:id="498" w:name="_Toc14547"/>
      <w:bookmarkStart w:id="499" w:name="_Toc7597"/>
      <w:bookmarkStart w:id="500" w:name="_Toc18025_WPSOffice_Level3"/>
      <w:bookmarkStart w:id="501" w:name="_Toc28501"/>
      <w:bookmarkStart w:id="502" w:name="_Toc5432"/>
      <w:r>
        <w:rPr>
          <w:rFonts w:hint="eastAsia" w:ascii="楷体_GB2312" w:hAnsi="楷体_GB2312" w:eastAsia="楷体_GB2312" w:cs="楷体_GB2312"/>
          <w:b/>
          <w:bCs w:val="0"/>
          <w:color w:val="auto"/>
          <w:kern w:val="2"/>
          <w:sz w:val="32"/>
          <w:szCs w:val="32"/>
          <w:highlight w:val="none"/>
          <w:lang w:val="en-US" w:eastAsia="zh-CN" w:bidi="ar-SA"/>
        </w:rPr>
        <w:t>附件13：</w:t>
      </w:r>
      <w:bookmarkEnd w:id="497"/>
      <w:bookmarkEnd w:id="498"/>
      <w:bookmarkEnd w:id="499"/>
      <w:r>
        <w:rPr>
          <w:rFonts w:hint="eastAsia" w:ascii="楷体_GB2312" w:hAnsi="楷体_GB2312" w:eastAsia="楷体_GB2312" w:cs="楷体_GB2312"/>
          <w:b/>
          <w:bCs w:val="0"/>
          <w:color w:val="auto"/>
          <w:kern w:val="2"/>
          <w:sz w:val="32"/>
          <w:szCs w:val="32"/>
          <w:highlight w:val="none"/>
          <w:lang w:val="en-US" w:eastAsia="zh-CN" w:bidi="ar-SA"/>
        </w:rPr>
        <w:t>产品相关资料（具备履行合同所必须的设备和专业技术能力证明）</w:t>
      </w:r>
      <w:bookmarkEnd w:id="500"/>
      <w:bookmarkEnd w:id="501"/>
      <w:bookmarkEnd w:id="502"/>
    </w:p>
    <w:p>
      <w:pPr>
        <w:wordWrap/>
        <w:spacing w:before="157" w:beforeLines="50" w:line="560" w:lineRule="exact"/>
        <w:jc w:val="center"/>
        <w:outlineLvl w:val="9"/>
        <w:rPr>
          <w:rFonts w:hint="eastAsia" w:ascii="宋体" w:hAnsi="宋体"/>
          <w:bCs/>
          <w:color w:val="auto"/>
          <w:sz w:val="24"/>
          <w:highlight w:val="none"/>
        </w:rPr>
      </w:pPr>
      <w:bookmarkStart w:id="503" w:name="_Toc21309_WPSOffice_Level3"/>
      <w:bookmarkStart w:id="504" w:name="_Toc19683_WPSOffice_Level1"/>
      <w:bookmarkStart w:id="505" w:name="_Toc2954_WPSOffice_Level1"/>
      <w:r>
        <w:rPr>
          <w:rFonts w:hint="eastAsia" w:ascii="仿宋_GB2312" w:hAnsi="仿宋_GB2312" w:eastAsia="仿宋_GB2312" w:cs="仿宋_GB2312"/>
          <w:b/>
          <w:color w:val="auto"/>
          <w:sz w:val="32"/>
          <w:szCs w:val="32"/>
          <w:highlight w:val="none"/>
          <w:lang w:val="zh-CN" w:eastAsia="zh-CN"/>
        </w:rPr>
        <w:t>产品相关资料</w:t>
      </w:r>
      <w:bookmarkEnd w:id="503"/>
      <w:bookmarkEnd w:id="504"/>
      <w:bookmarkEnd w:id="505"/>
    </w:p>
    <w:p>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根据采购项目内容，</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rPr>
        <w:t>提供国家认可的质监机构出具的产品的产品检验报告</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生产厂家出具的产品彩页（或网页原始截图）等能够证明技术参数响应的相关资料。</w:t>
      </w: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adjustRightInd w:val="0"/>
        <w:snapToGrid w:val="0"/>
        <w:spacing w:before="157" w:beforeLines="50" w:line="560" w:lineRule="exact"/>
        <w:jc w:val="left"/>
        <w:rPr>
          <w:rFonts w:hint="eastAsia" w:ascii="宋体" w:hAnsi="宋体" w:cs="宋体"/>
          <w:color w:val="auto"/>
          <w:spacing w:val="6"/>
          <w:kern w:val="0"/>
          <w:szCs w:val="21"/>
          <w:highlight w:val="none"/>
        </w:rPr>
      </w:pPr>
    </w:p>
    <w:p>
      <w:pPr>
        <w:widowControl/>
        <w:wordWrap/>
        <w:snapToGrid w:val="0"/>
        <w:spacing w:before="157" w:beforeLines="50" w:line="560" w:lineRule="exact"/>
        <w:outlineLvl w:val="1"/>
        <w:rPr>
          <w:rFonts w:hint="eastAsia" w:ascii="楷体_GB2312" w:hAnsi="楷体_GB2312" w:eastAsia="楷体_GB2312" w:cs="楷体_GB2312"/>
          <w:b/>
          <w:bCs w:val="0"/>
          <w:color w:val="auto"/>
          <w:kern w:val="2"/>
          <w:sz w:val="32"/>
          <w:szCs w:val="32"/>
          <w:highlight w:val="none"/>
          <w:lang w:val="en-US" w:eastAsia="zh-CN" w:bidi="ar-SA"/>
        </w:rPr>
      </w:pPr>
      <w:bookmarkStart w:id="506" w:name="_Toc21029"/>
      <w:bookmarkStart w:id="507" w:name="_Toc10368"/>
      <w:bookmarkStart w:id="508" w:name="_Toc31301_WPSOffice_Level3"/>
      <w:bookmarkStart w:id="509" w:name="_Toc4925"/>
      <w:bookmarkStart w:id="510" w:name="_Toc3146_WPSOffice_Level3"/>
      <w:bookmarkStart w:id="511" w:name="_Toc11887"/>
      <w:r>
        <w:rPr>
          <w:rFonts w:hint="eastAsia" w:ascii="楷体_GB2312" w:hAnsi="楷体_GB2312" w:eastAsia="楷体_GB2312" w:cs="楷体_GB2312"/>
          <w:b/>
          <w:bCs w:val="0"/>
          <w:color w:val="auto"/>
          <w:kern w:val="2"/>
          <w:sz w:val="32"/>
          <w:szCs w:val="32"/>
          <w:highlight w:val="none"/>
          <w:lang w:val="en-US" w:eastAsia="zh-CN" w:bidi="ar-SA"/>
        </w:rPr>
        <w:t>附件14：享受政府采购政策优惠的证明资料</w:t>
      </w:r>
      <w:bookmarkEnd w:id="506"/>
      <w:bookmarkEnd w:id="507"/>
      <w:bookmarkEnd w:id="508"/>
      <w:bookmarkEnd w:id="509"/>
      <w:bookmarkEnd w:id="510"/>
      <w:bookmarkEnd w:id="511"/>
    </w:p>
    <w:p>
      <w:pPr>
        <w:numPr>
          <w:ilvl w:val="0"/>
          <w:numId w:val="4"/>
        </w:numPr>
        <w:wordWrap/>
        <w:adjustRightInd w:val="0"/>
        <w:snapToGrid w:val="0"/>
        <w:spacing w:before="157" w:beforeLines="50" w:line="560" w:lineRule="exact"/>
        <w:jc w:val="center"/>
        <w:outlineLvl w:val="9"/>
        <w:rPr>
          <w:rFonts w:hint="eastAsia" w:ascii="楷体" w:hAnsi="楷体" w:eastAsia="楷体" w:cs="楷体"/>
          <w:b w:val="0"/>
          <w:bCs w:val="0"/>
          <w:color w:val="auto"/>
          <w:kern w:val="2"/>
          <w:sz w:val="32"/>
          <w:szCs w:val="32"/>
          <w:highlight w:val="none"/>
          <w:lang w:val="en-US" w:eastAsia="zh-CN" w:bidi="ar-SA"/>
        </w:rPr>
      </w:pPr>
      <w:bookmarkStart w:id="512" w:name="_Toc25276"/>
      <w:r>
        <w:rPr>
          <w:rFonts w:hint="eastAsia" w:ascii="楷体" w:hAnsi="楷体" w:eastAsia="楷体" w:cs="楷体"/>
          <w:b w:val="0"/>
          <w:bCs w:val="0"/>
          <w:color w:val="auto"/>
          <w:kern w:val="2"/>
          <w:sz w:val="32"/>
          <w:szCs w:val="32"/>
          <w:highlight w:val="none"/>
          <w:lang w:val="en-US" w:eastAsia="zh-CN" w:bidi="ar-SA"/>
        </w:rPr>
        <w:t>节能产品、环境标志产品证明材料</w:t>
      </w:r>
      <w:bookmarkEnd w:id="512"/>
    </w:p>
    <w:p>
      <w:pPr>
        <w:widowControl w:val="0"/>
        <w:numPr>
          <w:ilvl w:val="0"/>
          <w:numId w:val="0"/>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w:t>
      </w:r>
      <w:r>
        <w:rPr>
          <w:rFonts w:hint="eastAsia" w:ascii="仿宋_GB2312" w:hAnsi="仿宋_GB2312" w:eastAsia="仿宋_GB2312" w:cs="仿宋_GB2312"/>
          <w:bCs/>
          <w:color w:val="auto"/>
          <w:sz w:val="32"/>
          <w:szCs w:val="32"/>
          <w:highlight w:val="none"/>
        </w:rPr>
        <w:t>属于</w:t>
      </w:r>
      <w:r>
        <w:rPr>
          <w:rFonts w:hint="eastAsia" w:ascii="仿宋_GB2312" w:hAnsi="仿宋_GB2312" w:eastAsia="仿宋_GB2312" w:cs="仿宋_GB2312"/>
          <w:bCs/>
          <w:color w:val="auto"/>
          <w:sz w:val="32"/>
          <w:szCs w:val="32"/>
          <w:highlight w:val="none"/>
          <w:lang w:eastAsia="zh-CN"/>
        </w:rPr>
        <w:t>品目清单范围的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实施政府优先采购和强制采购。</w:t>
      </w:r>
      <w:r>
        <w:rPr>
          <w:rFonts w:hint="eastAsia" w:ascii="仿宋_GB2312" w:hAnsi="仿宋_GB2312" w:eastAsia="仿宋_GB2312" w:cs="仿宋_GB2312"/>
          <w:color w:val="auto"/>
          <w:sz w:val="32"/>
          <w:szCs w:val="32"/>
          <w:highlight w:val="none"/>
        </w:rPr>
        <w:t>供应商应</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国家确定的认证机构出具的、处于有效期之内的节能产品、环境标志产品认证证书，并加盖供应商单位公章。</w:t>
      </w:r>
    </w:p>
    <w:p>
      <w:pPr>
        <w:bidi w:val="0"/>
        <w:rPr>
          <w:rFonts w:hint="eastAsia"/>
          <w:color w:val="auto"/>
          <w:highlight w:val="none"/>
        </w:rPr>
      </w:pPr>
    </w:p>
    <w:p>
      <w:pPr>
        <w:bidi w:val="0"/>
        <w:rPr>
          <w:color w:val="auto"/>
          <w:highlight w:val="none"/>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rPr>
          <w:rFonts w:hint="default" w:ascii="宋体"/>
          <w:b/>
          <w:color w:val="auto"/>
          <w:sz w:val="28"/>
          <w:szCs w:val="28"/>
          <w:highlight w:val="none"/>
          <w:lang w:val="en-US" w:eastAsia="zh-CN"/>
        </w:rPr>
      </w:pPr>
      <w:r>
        <w:rPr>
          <w:rFonts w:hint="default" w:ascii="宋体"/>
          <w:b/>
          <w:color w:val="auto"/>
          <w:sz w:val="28"/>
          <w:szCs w:val="28"/>
          <w:highlight w:val="none"/>
          <w:lang w:val="en-US" w:eastAsia="zh-CN"/>
        </w:rPr>
        <w:br w:type="page"/>
      </w:r>
    </w:p>
    <w:p>
      <w:pPr>
        <w:bidi w:val="0"/>
        <w:rPr>
          <w:rFonts w:hint="default"/>
          <w:color w:val="auto"/>
          <w:highlight w:val="none"/>
          <w:lang w:val="en-US" w:eastAsia="zh-CN"/>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color w:val="auto"/>
          <w:kern w:val="2"/>
          <w:sz w:val="32"/>
          <w:szCs w:val="32"/>
          <w:highlight w:val="none"/>
          <w:lang w:val="en-US" w:eastAsia="zh-CN" w:bidi="ar-SA"/>
        </w:rPr>
      </w:pPr>
      <w:bookmarkStart w:id="513" w:name="_Toc22784_WPSOffice_Level3"/>
      <w:bookmarkStart w:id="514" w:name="_Toc6454"/>
      <w:bookmarkStart w:id="515" w:name="_Toc31539"/>
      <w:r>
        <w:rPr>
          <w:rFonts w:hint="eastAsia" w:ascii="楷体" w:hAnsi="楷体" w:eastAsia="楷体" w:cs="楷体"/>
          <w:b w:val="0"/>
          <w:bCs w:val="0"/>
          <w:color w:val="auto"/>
          <w:kern w:val="2"/>
          <w:sz w:val="32"/>
          <w:szCs w:val="32"/>
          <w:highlight w:val="none"/>
          <w:lang w:val="en-US" w:eastAsia="zh-CN" w:bidi="ar-SA"/>
        </w:rPr>
        <w:t>2.中小企业声明函</w:t>
      </w:r>
      <w:bookmarkEnd w:id="513"/>
      <w:bookmarkEnd w:id="514"/>
      <w:bookmarkEnd w:id="515"/>
    </w:p>
    <w:p>
      <w:pPr>
        <w:widowControl/>
        <w:wordWrap/>
        <w:adjustRightInd w:val="0"/>
        <w:snapToGrid w:val="0"/>
        <w:spacing w:line="560" w:lineRule="exact"/>
        <w:jc w:val="center"/>
        <w:textAlignment w:val="auto"/>
        <w:outlineLvl w:val="9"/>
        <w:rPr>
          <w:rFonts w:hint="eastAsia" w:ascii="仿宋_GB2312" w:hAnsi="仿宋_GB2312" w:eastAsia="仿宋_GB2312" w:cs="仿宋_GB2312"/>
          <w:b/>
          <w:color w:val="auto"/>
          <w:spacing w:val="6"/>
          <w:kern w:val="0"/>
          <w:sz w:val="32"/>
          <w:szCs w:val="32"/>
          <w:highlight w:val="none"/>
        </w:rPr>
      </w:pPr>
      <w:bookmarkStart w:id="516" w:name="_Toc1901_WPSOffice_Level3"/>
      <w:bookmarkStart w:id="517" w:name="_Toc3019_WPSOffice_Level3"/>
      <w:r>
        <w:rPr>
          <w:rFonts w:hint="eastAsia" w:ascii="仿宋_GB2312" w:hAnsi="仿宋_GB2312" w:eastAsia="仿宋_GB2312" w:cs="仿宋_GB2312"/>
          <w:b/>
          <w:color w:val="auto"/>
          <w:spacing w:val="6"/>
          <w:kern w:val="0"/>
          <w:sz w:val="32"/>
          <w:szCs w:val="32"/>
          <w:highlight w:val="none"/>
        </w:rPr>
        <w:t>(不满足以下条件的无需填写)</w:t>
      </w:r>
      <w:bookmarkEnd w:id="516"/>
      <w:bookmarkEnd w:id="517"/>
    </w:p>
    <w:p>
      <w:pPr>
        <w:wordWrap/>
        <w:autoSpaceDE w:val="0"/>
        <w:autoSpaceDN w:val="0"/>
        <w:spacing w:line="560" w:lineRule="exact"/>
        <w:textAlignment w:val="auto"/>
        <w:outlineLvl w:val="9"/>
        <w:rPr>
          <w:rFonts w:hint="eastAsia" w:ascii="仿宋_GB2312" w:hAnsi="仿宋_GB2312" w:eastAsia="仿宋_GB2312" w:cs="仿宋_GB2312"/>
          <w:color w:val="auto"/>
          <w:spacing w:val="6"/>
          <w:kern w:val="0"/>
          <w:sz w:val="32"/>
          <w:szCs w:val="32"/>
          <w:highlight w:val="none"/>
        </w:rPr>
      </w:pPr>
      <w:bookmarkStart w:id="518" w:name="_Toc17607_WPSOffice_Level2"/>
      <w:bookmarkStart w:id="519" w:name="_Toc16462_WPSOffice_Level2"/>
      <w:bookmarkStart w:id="520" w:name="_Toc22185_WPSOffice_Level2"/>
      <w:r>
        <w:rPr>
          <w:rFonts w:hint="eastAsia" w:ascii="仿宋_GB2312" w:hAnsi="仿宋_GB2312" w:eastAsia="仿宋_GB2312" w:cs="仿宋_GB2312"/>
          <w:b/>
          <w:bCs/>
          <w:color w:val="auto"/>
          <w:kern w:val="0"/>
          <w:sz w:val="32"/>
          <w:szCs w:val="32"/>
          <w:highlight w:val="none"/>
          <w:lang w:val="zh-CN"/>
        </w:rPr>
        <w:t>致：（</w:t>
      </w:r>
      <w:r>
        <w:rPr>
          <w:rFonts w:hint="eastAsia" w:ascii="仿宋_GB2312" w:hAnsi="仿宋_GB2312" w:eastAsia="仿宋_GB2312" w:cs="仿宋_GB2312"/>
          <w:b/>
          <w:bCs/>
          <w:color w:val="auto"/>
          <w:kern w:val="0"/>
          <w:sz w:val="32"/>
          <w:szCs w:val="32"/>
          <w:highlight w:val="none"/>
          <w:u w:val="single"/>
          <w:lang w:val="zh-CN"/>
        </w:rPr>
        <w:t>采购人或者采购代理机构）</w:t>
      </w:r>
      <w:bookmarkEnd w:id="518"/>
      <w:bookmarkEnd w:id="519"/>
      <w:bookmarkEnd w:id="520"/>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lang w:eastAsia="zh-CN"/>
        </w:rPr>
      </w:pPr>
      <w:r>
        <w:rPr>
          <w:rFonts w:hint="eastAsia" w:ascii="仿宋_GB2312" w:hAnsi="仿宋_GB2312" w:eastAsia="仿宋_GB2312" w:cs="仿宋_GB2312"/>
          <w:color w:val="auto"/>
          <w:spacing w:val="6"/>
          <w:kern w:val="0"/>
          <w:sz w:val="32"/>
          <w:szCs w:val="32"/>
          <w:highlight w:val="none"/>
        </w:rPr>
        <w:t>本公司</w:t>
      </w:r>
      <w:r>
        <w:rPr>
          <w:rFonts w:hint="eastAsia" w:ascii="仿宋_GB2312" w:hAnsi="仿宋_GB2312" w:eastAsia="仿宋_GB2312" w:cs="仿宋_GB2312"/>
          <w:color w:val="auto"/>
          <w:spacing w:val="6"/>
          <w:kern w:val="0"/>
          <w:sz w:val="32"/>
          <w:szCs w:val="32"/>
          <w:highlight w:val="none"/>
          <w:lang w:eastAsia="zh-CN"/>
        </w:rPr>
        <w:t>（联合体）</w:t>
      </w:r>
      <w:r>
        <w:rPr>
          <w:rFonts w:hint="eastAsia" w:ascii="仿宋_GB2312" w:hAnsi="仿宋_GB2312" w:eastAsia="仿宋_GB2312" w:cs="仿宋_GB2312"/>
          <w:color w:val="auto"/>
          <w:spacing w:val="6"/>
          <w:kern w:val="0"/>
          <w:sz w:val="32"/>
          <w:szCs w:val="32"/>
          <w:highlight w:val="none"/>
        </w:rPr>
        <w:t>郑重声明，根据《政府采购促进中小企业发展暂行办法》的规定，本公司</w:t>
      </w:r>
      <w:r>
        <w:rPr>
          <w:rFonts w:hint="eastAsia" w:ascii="仿宋_GB2312" w:hAnsi="仿宋_GB2312" w:eastAsia="仿宋_GB2312" w:cs="仿宋_GB2312"/>
          <w:color w:val="auto"/>
          <w:spacing w:val="6"/>
          <w:kern w:val="0"/>
          <w:sz w:val="32"/>
          <w:szCs w:val="32"/>
          <w:highlight w:val="none"/>
          <w:lang w:eastAsia="zh-CN"/>
        </w:rPr>
        <w:t>（联合体）参加</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rPr>
        <w:t>单位的</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rPr>
        <w:t xml:space="preserve"> 项目采购活动</w:t>
      </w:r>
      <w:r>
        <w:rPr>
          <w:rFonts w:hint="eastAsia" w:ascii="仿宋_GB2312" w:hAnsi="仿宋_GB2312" w:eastAsia="仿宋_GB2312" w:cs="仿宋_GB2312"/>
          <w:color w:val="auto"/>
          <w:spacing w:val="6"/>
          <w:kern w:val="0"/>
          <w:sz w:val="32"/>
          <w:szCs w:val="32"/>
          <w:highlight w:val="none"/>
          <w:lang w:eastAsia="zh-CN"/>
        </w:rPr>
        <w:t>，提供的货物均由符合政策要求的中小企业制造，相关企业（含联合体中的中小企业、签订分包意向协议的中小企业）具体情况如下：</w:t>
      </w:r>
    </w:p>
    <w:p>
      <w:pPr>
        <w:widowControl/>
        <w:numPr>
          <w:ilvl w:val="0"/>
          <w:numId w:val="5"/>
        </w:numPr>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single"/>
          <w:lang w:eastAsia="zh-CN"/>
        </w:rPr>
        <w:t>（标的名称）</w:t>
      </w:r>
      <w:r>
        <w:rPr>
          <w:rFonts w:hint="eastAsia" w:ascii="仿宋_GB2312" w:hAnsi="仿宋_GB2312" w:eastAsia="仿宋_GB2312" w:cs="仿宋_GB2312"/>
          <w:color w:val="auto"/>
          <w:spacing w:val="6"/>
          <w:kern w:val="0"/>
          <w:sz w:val="32"/>
          <w:szCs w:val="32"/>
          <w:highlight w:val="none"/>
          <w:lang w:eastAsia="zh-CN"/>
        </w:rPr>
        <w:t>，属于</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（采购文件中明确的所属行业）</w:t>
      </w:r>
      <w:r>
        <w:rPr>
          <w:rFonts w:hint="eastAsia" w:ascii="仿宋_GB2312" w:hAnsi="仿宋_GB2312" w:eastAsia="仿宋_GB2312" w:cs="仿宋_GB2312"/>
          <w:color w:val="auto"/>
          <w:spacing w:val="6"/>
          <w:kern w:val="0"/>
          <w:sz w:val="32"/>
          <w:szCs w:val="32"/>
          <w:highlight w:val="none"/>
          <w:lang w:eastAsia="zh-CN"/>
        </w:rPr>
        <w:t>，制造商为</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（企业名称）</w:t>
      </w:r>
      <w:r>
        <w:rPr>
          <w:rFonts w:hint="eastAsia" w:ascii="仿宋_GB2312" w:hAnsi="仿宋_GB2312" w:eastAsia="仿宋_GB2312" w:cs="仿宋_GB2312"/>
          <w:color w:val="auto"/>
          <w:spacing w:val="6"/>
          <w:kern w:val="0"/>
          <w:sz w:val="32"/>
          <w:szCs w:val="32"/>
          <w:highlight w:val="none"/>
          <w:lang w:eastAsia="zh-CN"/>
        </w:rPr>
        <w:t>，属于</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（社会组织、中型企业、小型企业、微型企业、监狱企业或残疾人福利性单位）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pacing w:val="6"/>
          <w:kern w:val="0"/>
          <w:sz w:val="32"/>
          <w:szCs w:val="32"/>
          <w:highlight w:val="none"/>
          <w:lang w:val="en-US" w:eastAsia="zh-CN"/>
        </w:rPr>
        <w:t>2.</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（标的名称）</w:t>
      </w:r>
      <w:r>
        <w:rPr>
          <w:rFonts w:hint="eastAsia" w:ascii="仿宋_GB2312" w:hAnsi="仿宋_GB2312" w:eastAsia="仿宋_GB2312" w:cs="仿宋_GB2312"/>
          <w:color w:val="auto"/>
          <w:spacing w:val="6"/>
          <w:kern w:val="0"/>
          <w:sz w:val="32"/>
          <w:szCs w:val="32"/>
          <w:highlight w:val="none"/>
          <w:lang w:eastAsia="zh-CN"/>
        </w:rPr>
        <w:t>，属于</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（采购文件中明确的所属行业）</w:t>
      </w:r>
      <w:r>
        <w:rPr>
          <w:rFonts w:hint="eastAsia" w:ascii="仿宋_GB2312" w:hAnsi="仿宋_GB2312" w:eastAsia="仿宋_GB2312" w:cs="仿宋_GB2312"/>
          <w:color w:val="auto"/>
          <w:spacing w:val="6"/>
          <w:kern w:val="0"/>
          <w:sz w:val="32"/>
          <w:szCs w:val="32"/>
          <w:highlight w:val="none"/>
          <w:lang w:eastAsia="zh-CN"/>
        </w:rPr>
        <w:t>，制造商为</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（企业名称）</w:t>
      </w:r>
      <w:r>
        <w:rPr>
          <w:rFonts w:hint="eastAsia" w:ascii="仿宋_GB2312" w:hAnsi="仿宋_GB2312" w:eastAsia="仿宋_GB2312" w:cs="仿宋_GB2312"/>
          <w:color w:val="auto"/>
          <w:spacing w:val="6"/>
          <w:kern w:val="0"/>
          <w:sz w:val="32"/>
          <w:szCs w:val="32"/>
          <w:highlight w:val="none"/>
          <w:lang w:eastAsia="zh-CN"/>
        </w:rPr>
        <w:t>，属于</w:t>
      </w:r>
      <w:r>
        <w:rPr>
          <w:rFonts w:hint="eastAsia" w:ascii="仿宋_GB2312" w:hAnsi="仿宋_GB2312" w:eastAsia="仿宋_GB2312" w:cs="仿宋_GB2312"/>
          <w:color w:val="auto"/>
          <w:spacing w:val="6"/>
          <w:kern w:val="0"/>
          <w:sz w:val="32"/>
          <w:szCs w:val="32"/>
          <w:highlight w:val="none"/>
          <w:u w:val="single"/>
        </w:rPr>
        <w:t xml:space="preserve"> </w:t>
      </w:r>
      <w:r>
        <w:rPr>
          <w:rFonts w:hint="eastAsia" w:ascii="仿宋_GB2312" w:hAnsi="仿宋_GB2312" w:eastAsia="仿宋_GB2312" w:cs="仿宋_GB2312"/>
          <w:color w:val="auto"/>
          <w:spacing w:val="6"/>
          <w:kern w:val="0"/>
          <w:sz w:val="32"/>
          <w:szCs w:val="32"/>
          <w:highlight w:val="none"/>
          <w:u w:val="single"/>
          <w:lang w:eastAsia="zh-CN"/>
        </w:rPr>
        <w:t>（社会组织、中型企业、小型企业、微型企业、监狱企业或残疾人福利性单位）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pPr>
        <w:widowControl/>
        <w:numPr>
          <w:ilvl w:val="0"/>
          <w:numId w:val="0"/>
        </w:numPr>
        <w:wordWrap/>
        <w:adjustRightInd w:val="0"/>
        <w:snapToGrid w:val="0"/>
        <w:spacing w:line="560" w:lineRule="exact"/>
        <w:jc w:val="left"/>
        <w:textAlignment w:val="auto"/>
        <w:outlineLvl w:val="9"/>
        <w:rPr>
          <w:rFonts w:hint="default"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 xml:space="preserve">    ……</w:t>
      </w:r>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本公司对上述声明的真实性负责。如有虚假，将依法承担相应责任。</w:t>
      </w: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宋体" w:hAnsi="宋体"/>
          <w:b/>
          <w:color w:val="auto"/>
          <w:sz w:val="24"/>
          <w:highlight w:val="none"/>
          <w:lang w:val="en-US" w:eastAsia="zh-CN"/>
        </w:rPr>
        <w:t xml:space="preserve">                       </w:t>
      </w:r>
      <w:bookmarkStart w:id="521" w:name="_Toc21636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521"/>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522" w:name="_Toc19511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522"/>
    </w:p>
    <w:p>
      <w:pPr>
        <w:wordWrap/>
        <w:spacing w:before="157" w:beforeLines="50" w:line="560" w:lineRule="exact"/>
        <w:ind w:firstLine="640" w:firstLineChars="200"/>
        <w:jc w:val="center"/>
        <w:outlineLvl w:val="9"/>
        <w:rPr>
          <w:rFonts w:hint="default" w:ascii="宋体"/>
          <w:b/>
          <w:color w:val="auto"/>
          <w:sz w:val="28"/>
          <w:szCs w:val="28"/>
          <w:highlight w:val="none"/>
          <w:lang w:val="en-US" w:eastAsia="zh-CN"/>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bookmarkStart w:id="523" w:name="_Toc20470_WPSOffice_Level3"/>
      <w:r>
        <w:rPr>
          <w:rFonts w:hint="eastAsia" w:ascii="仿宋_GB2312" w:hAnsi="仿宋_GB2312" w:eastAsia="仿宋_GB2312" w:cs="仿宋_GB2312"/>
          <w:b w:val="0"/>
          <w:bCs/>
          <w:color w:val="auto"/>
          <w:sz w:val="32"/>
          <w:szCs w:val="32"/>
          <w:highlight w:val="none"/>
        </w:rPr>
        <w:t>年   月  日</w:t>
      </w:r>
      <w:bookmarkEnd w:id="523"/>
    </w:p>
    <w:p>
      <w:pPr>
        <w:widowControl/>
        <w:wordWrap/>
        <w:adjustRightInd w:val="0"/>
        <w:snapToGrid w:val="0"/>
        <w:spacing w:line="560" w:lineRule="exact"/>
        <w:ind w:firstLine="664" w:firstLineChars="200"/>
        <w:jc w:val="left"/>
        <w:textAlignment w:val="auto"/>
        <w:rPr>
          <w:rFonts w:hint="eastAsia" w:ascii="仿宋_GB2312" w:hAnsi="仿宋_GB2312" w:eastAsia="仿宋_GB2312" w:cs="仿宋_GB2312"/>
          <w:color w:val="auto"/>
          <w:spacing w:val="6"/>
          <w:kern w:val="0"/>
          <w:sz w:val="32"/>
          <w:szCs w:val="32"/>
          <w:highlight w:val="none"/>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color w:val="auto"/>
          <w:kern w:val="2"/>
          <w:sz w:val="32"/>
          <w:szCs w:val="32"/>
          <w:highlight w:val="none"/>
          <w:lang w:val="en-US" w:eastAsia="zh-CN" w:bidi="ar-SA"/>
        </w:rPr>
      </w:pPr>
      <w:bookmarkStart w:id="524" w:name="_Toc12160"/>
      <w:bookmarkStart w:id="525" w:name="_Toc11740"/>
      <w:bookmarkStart w:id="526" w:name="_Toc14211_WPSOffice_Level3"/>
      <w:r>
        <w:rPr>
          <w:rFonts w:hint="eastAsia" w:ascii="楷体" w:hAnsi="楷体" w:eastAsia="楷体" w:cs="楷体"/>
          <w:b w:val="0"/>
          <w:bCs w:val="0"/>
          <w:color w:val="auto"/>
          <w:kern w:val="2"/>
          <w:sz w:val="32"/>
          <w:szCs w:val="32"/>
          <w:highlight w:val="none"/>
          <w:lang w:val="en-US" w:eastAsia="zh-CN" w:bidi="ar-SA"/>
        </w:rPr>
        <w:t>3.残疾人福利性单位声明函</w:t>
      </w:r>
      <w:bookmarkEnd w:id="524"/>
      <w:bookmarkEnd w:id="525"/>
      <w:bookmarkEnd w:id="526"/>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color w:val="auto"/>
          <w:spacing w:val="6"/>
          <w:sz w:val="32"/>
          <w:szCs w:val="32"/>
          <w:highlight w:val="none"/>
        </w:rPr>
      </w:pPr>
      <w:bookmarkStart w:id="527" w:name="_Toc12079_WPSOffice_Level3"/>
      <w:bookmarkStart w:id="528" w:name="_Toc17469_WPSOffice_Level3"/>
      <w:r>
        <w:rPr>
          <w:rFonts w:hint="eastAsia" w:ascii="仿宋_GB2312" w:hAnsi="仿宋_GB2312" w:eastAsia="仿宋_GB2312" w:cs="仿宋_GB2312"/>
          <w:b/>
          <w:color w:val="auto"/>
          <w:spacing w:val="6"/>
          <w:sz w:val="32"/>
          <w:szCs w:val="32"/>
          <w:highlight w:val="none"/>
        </w:rPr>
        <w:t>(不属于残疾人福利性单位的无需填写)</w:t>
      </w:r>
      <w:bookmarkEnd w:id="527"/>
      <w:bookmarkEnd w:id="528"/>
    </w:p>
    <w:p>
      <w:pPr>
        <w:widowControl w:val="0"/>
        <w:wordWrap/>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人，安置的残疾人人数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人。且本单位参加</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单位的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本单位对上述声明的真实性负责。如有虚假，将依法承担相应责任。</w:t>
      </w: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本单位对上述声明的真实性负责。如有虚假，将依法承担相应责任。</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bookmarkStart w:id="529" w:name="_Toc17628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529"/>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530" w:name="_Toc32124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530"/>
    </w:p>
    <w:p>
      <w:pPr>
        <w:wordWrap/>
        <w:spacing w:before="157" w:beforeLines="50" w:line="560" w:lineRule="exact"/>
        <w:ind w:firstLine="640" w:firstLineChars="200"/>
        <w:jc w:val="center"/>
        <w:outlineLvl w:val="9"/>
        <w:rPr>
          <w:rFonts w:ascii="宋体" w:hAnsi="宋体"/>
          <w:color w:val="auto"/>
          <w:spacing w:val="6"/>
          <w:sz w:val="21"/>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bookmarkStart w:id="531" w:name="_Toc1871_WPSOffice_Level3"/>
      <w:r>
        <w:rPr>
          <w:rFonts w:hint="eastAsia" w:ascii="仿宋_GB2312" w:hAnsi="仿宋_GB2312" w:eastAsia="仿宋_GB2312" w:cs="仿宋_GB2312"/>
          <w:b w:val="0"/>
          <w:bCs/>
          <w:color w:val="auto"/>
          <w:sz w:val="32"/>
          <w:szCs w:val="32"/>
          <w:highlight w:val="none"/>
        </w:rPr>
        <w:t xml:space="preserve">年   月  </w:t>
      </w:r>
      <w:r>
        <w:rPr>
          <w:rFonts w:hint="eastAsia" w:ascii="仿宋_GB2312" w:hAnsi="仿宋_GB2312" w:eastAsia="仿宋_GB2312" w:cs="仿宋_GB2312"/>
          <w:b w:val="0"/>
          <w:bCs/>
          <w:color w:val="auto"/>
          <w:sz w:val="32"/>
          <w:szCs w:val="32"/>
          <w:highlight w:val="none"/>
          <w:lang w:eastAsia="zh-CN"/>
        </w:rPr>
        <w:t>日</w:t>
      </w:r>
      <w:bookmarkEnd w:id="531"/>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color w:val="auto"/>
          <w:spacing w:val="6"/>
          <w:sz w:val="32"/>
          <w:szCs w:val="32"/>
          <w:highlight w:val="none"/>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color w:val="auto"/>
          <w:spacing w:val="6"/>
          <w:sz w:val="32"/>
          <w:szCs w:val="32"/>
          <w:highlight w:val="none"/>
        </w:rPr>
      </w:pPr>
    </w:p>
    <w:p>
      <w:pPr>
        <w:wordWrap/>
        <w:adjustRightInd w:val="0"/>
        <w:snapToGrid w:val="0"/>
        <w:spacing w:before="157" w:beforeLines="50" w:line="560" w:lineRule="exact"/>
        <w:ind w:firstLine="444" w:firstLineChars="200"/>
        <w:outlineLvl w:val="9"/>
        <w:rPr>
          <w:rFonts w:ascii="宋体" w:hAnsi="宋体"/>
          <w:color w:val="auto"/>
          <w:spacing w:val="6"/>
          <w:szCs w:val="21"/>
          <w:highlight w:val="none"/>
        </w:rPr>
      </w:pPr>
    </w:p>
    <w:p>
      <w:pPr>
        <w:wordWrap/>
        <w:spacing w:before="157" w:beforeLines="50" w:line="560" w:lineRule="exact"/>
        <w:jc w:val="both"/>
        <w:outlineLvl w:val="9"/>
        <w:rPr>
          <w:rFonts w:hint="eastAsia" w:ascii="楷体" w:hAnsi="楷体" w:eastAsia="楷体" w:cs="楷体"/>
          <w:b w:val="0"/>
          <w:bCs w:val="0"/>
          <w:color w:val="auto"/>
          <w:kern w:val="2"/>
          <w:sz w:val="32"/>
          <w:szCs w:val="32"/>
          <w:highlight w:val="none"/>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color w:val="auto"/>
          <w:kern w:val="2"/>
          <w:sz w:val="32"/>
          <w:szCs w:val="32"/>
          <w:highlight w:val="none"/>
          <w:lang w:val="en-US" w:eastAsia="zh-CN" w:bidi="ar-SA"/>
        </w:rPr>
      </w:pPr>
      <w:bookmarkStart w:id="532" w:name="_Toc30801"/>
      <w:bookmarkStart w:id="533" w:name="_Toc9477"/>
      <w:r>
        <w:rPr>
          <w:rFonts w:hint="eastAsia" w:ascii="楷体" w:hAnsi="楷体" w:eastAsia="楷体" w:cs="楷体"/>
          <w:b w:val="0"/>
          <w:bCs w:val="0"/>
          <w:color w:val="auto"/>
          <w:kern w:val="2"/>
          <w:sz w:val="32"/>
          <w:szCs w:val="32"/>
          <w:highlight w:val="none"/>
          <w:lang w:val="en-US" w:eastAsia="zh-CN" w:bidi="ar-SA"/>
        </w:rPr>
        <w:t>4.监狱企业证明资料</w:t>
      </w:r>
      <w:bookmarkEnd w:id="532"/>
      <w:bookmarkEnd w:id="533"/>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color w:val="auto"/>
          <w:sz w:val="32"/>
          <w:szCs w:val="32"/>
          <w:highlight w:val="none"/>
        </w:rPr>
      </w:pPr>
      <w:bookmarkStart w:id="534" w:name="_Toc28022_WPSOffice_Level3"/>
      <w:bookmarkStart w:id="535" w:name="_Toc25903_WPSOffice_Level3"/>
      <w:r>
        <w:rPr>
          <w:rFonts w:hint="eastAsia" w:ascii="仿宋_GB2312" w:hAnsi="仿宋_GB2312" w:eastAsia="仿宋_GB2312" w:cs="仿宋_GB2312"/>
          <w:b/>
          <w:color w:val="auto"/>
          <w:spacing w:val="6"/>
          <w:sz w:val="32"/>
          <w:szCs w:val="32"/>
          <w:highlight w:val="none"/>
        </w:rPr>
        <w:t>(不属于监狱企业的无需提供)</w:t>
      </w:r>
      <w:bookmarkEnd w:id="534"/>
      <w:bookmarkEnd w:id="535"/>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pacing w:val="6"/>
          <w:kern w:val="0"/>
          <w:sz w:val="32"/>
          <w:szCs w:val="32"/>
          <w:highlight w:val="none"/>
        </w:rPr>
        <w:t>备注：</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z w:val="32"/>
          <w:szCs w:val="32"/>
          <w:highlight w:val="none"/>
        </w:rPr>
        <w:t>财政部 司法部关于政府采购支持监狱企业发展有关问题的通知</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z w:val="32"/>
          <w:szCs w:val="32"/>
          <w:highlight w:val="none"/>
        </w:rPr>
        <w:t>(财库〔2014〕68号)文件规定提供证明文件（复印件）。</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bookmarkStart w:id="536" w:name="_Toc22071_WPSOffice_Level3"/>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bookmarkEnd w:id="536"/>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bookmarkStart w:id="537" w:name="_Toc11539_WPSOffice_Level3"/>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bookmarkEnd w:id="537"/>
    </w:p>
    <w:p>
      <w:pPr>
        <w:wordWrap/>
        <w:spacing w:before="157" w:beforeLines="50" w:line="560" w:lineRule="exact"/>
        <w:ind w:firstLine="640" w:firstLineChars="200"/>
        <w:jc w:val="center"/>
        <w:outlineLvl w:val="9"/>
        <w:rPr>
          <w:rFonts w:ascii="宋体" w:hAnsi="宋体"/>
          <w:color w:val="auto"/>
          <w:spacing w:val="6"/>
          <w:sz w:val="21"/>
          <w:highlight w:val="none"/>
        </w:rPr>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w:t>
      </w:r>
      <w:bookmarkStart w:id="538" w:name="_Toc3285_WPSOffice_Level3"/>
      <w:r>
        <w:rPr>
          <w:rFonts w:hint="eastAsia" w:ascii="仿宋_GB2312" w:hAnsi="仿宋_GB2312" w:eastAsia="仿宋_GB2312" w:cs="仿宋_GB2312"/>
          <w:b w:val="0"/>
          <w:bCs/>
          <w:color w:val="auto"/>
          <w:sz w:val="32"/>
          <w:szCs w:val="32"/>
          <w:highlight w:val="none"/>
        </w:rPr>
        <w:t xml:space="preserve">年   月  </w:t>
      </w:r>
      <w:r>
        <w:rPr>
          <w:rFonts w:hint="eastAsia" w:ascii="仿宋_GB2312" w:hAnsi="仿宋_GB2312" w:eastAsia="仿宋_GB2312" w:cs="仿宋_GB2312"/>
          <w:b w:val="0"/>
          <w:bCs/>
          <w:color w:val="auto"/>
          <w:sz w:val="32"/>
          <w:szCs w:val="32"/>
          <w:highlight w:val="none"/>
          <w:lang w:eastAsia="zh-CN"/>
        </w:rPr>
        <w:t>日</w:t>
      </w:r>
      <w:bookmarkEnd w:id="538"/>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wordWrap/>
        <w:adjustRightInd w:val="0"/>
        <w:snapToGrid w:val="0"/>
        <w:spacing w:before="157" w:beforeLines="50" w:line="560" w:lineRule="exact"/>
        <w:rPr>
          <w:color w:val="auto"/>
          <w:highlight w:val="none"/>
        </w:rPr>
      </w:pPr>
    </w:p>
    <w:p>
      <w:pPr>
        <w:wordWrap/>
        <w:adjustRightInd w:val="0"/>
        <w:snapToGrid w:val="0"/>
        <w:spacing w:before="157" w:beforeLines="50" w:line="560" w:lineRule="exact"/>
        <w:rPr>
          <w:color w:val="auto"/>
          <w:highlight w:val="none"/>
        </w:rPr>
      </w:pPr>
    </w:p>
    <w:p>
      <w:pPr>
        <w:wordWrap/>
        <w:adjustRightInd w:val="0"/>
        <w:snapToGrid w:val="0"/>
        <w:spacing w:before="157" w:beforeLines="50" w:line="560" w:lineRule="exact"/>
        <w:rPr>
          <w:color w:val="auto"/>
          <w:highlight w:val="none"/>
        </w:rPr>
      </w:pPr>
    </w:p>
    <w:p>
      <w:pPr>
        <w:wordWrap/>
        <w:adjustRightInd w:val="0"/>
        <w:snapToGrid w:val="0"/>
        <w:spacing w:before="157" w:beforeLines="50" w:line="560" w:lineRule="exact"/>
        <w:rPr>
          <w:color w:val="auto"/>
          <w:highlight w:val="none"/>
        </w:rPr>
      </w:pPr>
    </w:p>
    <w:p>
      <w:pPr>
        <w:wordWrap/>
        <w:spacing w:before="157" w:beforeLines="50" w:line="560" w:lineRule="exact"/>
        <w:ind w:firstLine="482" w:firstLineChars="200"/>
        <w:jc w:val="center"/>
        <w:rPr>
          <w:rFonts w:hint="eastAsia" w:ascii="宋体" w:hAnsi="宋体"/>
          <w:b/>
          <w:color w:val="auto"/>
          <w:sz w:val="24"/>
          <w:highlight w:val="none"/>
        </w:rPr>
      </w:pPr>
    </w:p>
    <w:p>
      <w:pPr>
        <w:wordWrap/>
        <w:spacing w:before="157" w:beforeLines="50" w:line="560" w:lineRule="exact"/>
        <w:ind w:firstLine="482" w:firstLineChars="200"/>
        <w:jc w:val="center"/>
        <w:rPr>
          <w:rFonts w:hint="eastAsia" w:ascii="宋体" w:hAnsi="宋体"/>
          <w:b/>
          <w:color w:val="auto"/>
          <w:sz w:val="24"/>
          <w:highlight w:val="none"/>
        </w:rPr>
      </w:pPr>
    </w:p>
    <w:p>
      <w:pPr>
        <w:wordWrap/>
        <w:spacing w:before="157" w:beforeLines="50" w:line="560" w:lineRule="exact"/>
        <w:ind w:firstLine="482" w:firstLineChars="200"/>
        <w:jc w:val="center"/>
        <w:rPr>
          <w:rFonts w:hint="eastAsia" w:ascii="宋体" w:hAnsi="宋体"/>
          <w:b/>
          <w:color w:val="auto"/>
          <w:sz w:val="24"/>
          <w:highlight w:val="none"/>
        </w:rPr>
      </w:pPr>
    </w:p>
    <w:p>
      <w:pPr>
        <w:wordWrap/>
        <w:spacing w:before="157" w:beforeLines="50" w:line="560" w:lineRule="exact"/>
        <w:ind w:firstLine="482" w:firstLineChars="200"/>
        <w:jc w:val="center"/>
        <w:rPr>
          <w:rFonts w:hint="eastAsia" w:ascii="宋体" w:hAnsi="宋体"/>
          <w:b/>
          <w:color w:val="auto"/>
          <w:sz w:val="24"/>
          <w:highlight w:val="none"/>
        </w:rPr>
      </w:pPr>
    </w:p>
    <w:p>
      <w:pPr>
        <w:wordWrap/>
        <w:spacing w:before="157" w:beforeLines="50" w:line="560" w:lineRule="exact"/>
        <w:ind w:firstLine="482" w:firstLineChars="200"/>
        <w:jc w:val="center"/>
        <w:rPr>
          <w:rFonts w:hint="eastAsia" w:ascii="宋体" w:hAnsi="宋体"/>
          <w:b/>
          <w:color w:val="auto"/>
          <w:sz w:val="24"/>
          <w:highlight w:val="none"/>
        </w:rPr>
      </w:pPr>
    </w:p>
    <w:p>
      <w:pPr>
        <w:wordWrap/>
        <w:adjustRightInd w:val="0"/>
        <w:snapToGrid w:val="0"/>
        <w:spacing w:before="157" w:beforeLines="50" w:line="560" w:lineRule="exact"/>
        <w:rPr>
          <w:rFonts w:ascii="宋体" w:hAnsi="宋体"/>
          <w:color w:val="auto"/>
          <w:szCs w:val="21"/>
          <w:highlight w:val="none"/>
        </w:rPr>
      </w:pPr>
    </w:p>
    <w:p>
      <w:pPr>
        <w:widowControl/>
        <w:wordWrap/>
        <w:snapToGrid w:val="0"/>
        <w:spacing w:before="157" w:beforeLines="50" w:line="560" w:lineRule="exact"/>
        <w:outlineLvl w:val="1"/>
        <w:rPr>
          <w:rFonts w:hint="eastAsia" w:ascii="楷体_GB2312" w:hAnsi="楷体_GB2312" w:eastAsia="楷体_GB2312" w:cs="楷体_GB2312"/>
          <w:b/>
          <w:bCs w:val="0"/>
          <w:color w:val="auto"/>
          <w:kern w:val="2"/>
          <w:sz w:val="32"/>
          <w:szCs w:val="32"/>
          <w:highlight w:val="none"/>
          <w:lang w:val="en-US" w:eastAsia="zh-CN" w:bidi="ar-SA"/>
        </w:rPr>
      </w:pPr>
      <w:bookmarkStart w:id="539" w:name="_Toc12068_WPSOffice_Level3"/>
      <w:bookmarkStart w:id="540" w:name="_Toc21346"/>
      <w:bookmarkStart w:id="541" w:name="_Toc23033_WPSOffice_Level3"/>
      <w:bookmarkStart w:id="542" w:name="_Toc26309"/>
      <w:r>
        <w:rPr>
          <w:rFonts w:hint="eastAsia" w:ascii="楷体_GB2312" w:hAnsi="楷体_GB2312" w:eastAsia="楷体_GB2312" w:cs="楷体_GB2312"/>
          <w:b/>
          <w:bCs w:val="0"/>
          <w:color w:val="auto"/>
          <w:kern w:val="2"/>
          <w:sz w:val="32"/>
          <w:szCs w:val="32"/>
          <w:highlight w:val="none"/>
          <w:lang w:val="en-US" w:eastAsia="zh-CN" w:bidi="ar-SA"/>
        </w:rPr>
        <w:t>附件15：最后报价表</w:t>
      </w:r>
      <w:bookmarkEnd w:id="539"/>
      <w:bookmarkEnd w:id="540"/>
      <w:bookmarkEnd w:id="541"/>
      <w:bookmarkEnd w:id="542"/>
    </w:p>
    <w:p>
      <w:pPr>
        <w:widowControl w:val="0"/>
        <w:wordWrap/>
        <w:autoSpaceDE w:val="0"/>
        <w:autoSpaceDN w:val="0"/>
        <w:adjustRightInd w:val="0"/>
        <w:snapToGrid/>
        <w:spacing w:line="560" w:lineRule="exact"/>
        <w:ind w:left="283" w:leftChars="135"/>
        <w:jc w:val="center"/>
        <w:outlineLvl w:val="9"/>
        <w:rPr>
          <w:rFonts w:hint="eastAsia" w:ascii="楷体_GB2312" w:hAnsi="楷体_GB2312" w:eastAsia="楷体_GB2312" w:cs="楷体_GB2312"/>
          <w:b/>
          <w:bCs w:val="0"/>
          <w:color w:val="auto"/>
          <w:sz w:val="32"/>
          <w:szCs w:val="32"/>
          <w:highlight w:val="none"/>
          <w:lang w:val="zh-CN"/>
        </w:rPr>
      </w:pPr>
      <w:bookmarkStart w:id="543" w:name="_Toc27699_WPSOffice_Level2"/>
      <w:bookmarkStart w:id="544" w:name="_Toc27800_WPSOffice_Level2"/>
      <w:r>
        <w:rPr>
          <w:rFonts w:hint="eastAsia" w:ascii="楷体_GB2312" w:hAnsi="楷体_GB2312" w:eastAsia="楷体_GB2312" w:cs="楷体_GB2312"/>
          <w:b/>
          <w:bCs w:val="0"/>
          <w:color w:val="auto"/>
          <w:sz w:val="32"/>
          <w:szCs w:val="32"/>
          <w:highlight w:val="none"/>
          <w:lang w:val="en-US" w:eastAsia="zh-CN"/>
        </w:rPr>
        <w:t>1.</w:t>
      </w:r>
      <w:bookmarkEnd w:id="543"/>
      <w:bookmarkEnd w:id="544"/>
      <w:r>
        <w:rPr>
          <w:rFonts w:hint="eastAsia" w:ascii="楷体_GB2312" w:hAnsi="楷体_GB2312" w:eastAsia="楷体_GB2312" w:cs="楷体_GB2312"/>
          <w:b/>
          <w:bCs w:val="0"/>
          <w:color w:val="auto"/>
          <w:kern w:val="2"/>
          <w:sz w:val="32"/>
          <w:szCs w:val="32"/>
          <w:highlight w:val="none"/>
          <w:lang w:val="en-US" w:eastAsia="zh-CN" w:bidi="ar-SA"/>
        </w:rPr>
        <w:t>最后报价表</w:t>
      </w:r>
    </w:p>
    <w:p>
      <w:pPr>
        <w:widowControl w:val="0"/>
        <w:wordWrap/>
        <w:snapToGrid/>
        <w:spacing w:line="560" w:lineRule="exact"/>
        <w:ind w:left="283" w:leftChars="135"/>
        <w:outlineLvl w:val="9"/>
        <w:rPr>
          <w:rFonts w:hint="eastAsia" w:ascii="仿宋_GB2312" w:hAnsi="仿宋_GB2312" w:eastAsia="仿宋_GB2312" w:cs="仿宋_GB2312"/>
          <w:b/>
          <w:bCs w:val="0"/>
          <w:color w:val="auto"/>
          <w:sz w:val="32"/>
          <w:szCs w:val="32"/>
          <w:highlight w:val="none"/>
        </w:rPr>
      </w:pPr>
      <w:bookmarkStart w:id="545" w:name="_Toc31451_WPSOffice_Level2"/>
      <w:bookmarkStart w:id="546" w:name="_Toc26632_WPSOffice_Level2"/>
      <w:r>
        <w:rPr>
          <w:rFonts w:hint="eastAsia" w:ascii="仿宋_GB2312" w:hAnsi="仿宋_GB2312" w:eastAsia="仿宋_GB2312" w:cs="仿宋_GB2312"/>
          <w:b/>
          <w:bCs w:val="0"/>
          <w:color w:val="auto"/>
          <w:sz w:val="32"/>
          <w:szCs w:val="32"/>
          <w:highlight w:val="none"/>
        </w:rPr>
        <w:t>项目名称：</w:t>
      </w:r>
      <w:bookmarkEnd w:id="545"/>
      <w:bookmarkEnd w:id="546"/>
      <w:r>
        <w:rPr>
          <w:rFonts w:hint="eastAsia" w:ascii="仿宋_GB2312" w:hAnsi="仿宋_GB2312" w:eastAsia="仿宋_GB2312" w:cs="仿宋_GB2312"/>
          <w:b/>
          <w:bCs w:val="0"/>
          <w:color w:val="auto"/>
          <w:sz w:val="32"/>
          <w:szCs w:val="32"/>
          <w:highlight w:val="none"/>
        </w:rPr>
        <w:t xml:space="preserve">                                           </w:t>
      </w:r>
    </w:p>
    <w:p>
      <w:pPr>
        <w:wordWrap/>
        <w:spacing w:before="157" w:beforeLines="50" w:line="560" w:lineRule="exact"/>
        <w:ind w:firstLine="321" w:firstLineChars="100"/>
        <w:outlineLvl w:val="9"/>
        <w:rPr>
          <w:rFonts w:hint="eastAsia" w:ascii="仿宋_GB2312" w:hAnsi="仿宋_GB2312" w:eastAsia="仿宋_GB2312" w:cs="仿宋_GB2312"/>
          <w:bCs/>
          <w:color w:val="auto"/>
          <w:sz w:val="32"/>
          <w:szCs w:val="32"/>
          <w:highlight w:val="none"/>
        </w:rPr>
      </w:pPr>
      <w:bookmarkStart w:id="547" w:name="_Toc16830_WPSOffice_Level2"/>
      <w:bookmarkStart w:id="548" w:name="_Toc18301_WPSOffice_Level2"/>
      <w:r>
        <w:rPr>
          <w:rFonts w:hint="eastAsia" w:ascii="仿宋_GB2312" w:hAnsi="仿宋_GB2312" w:eastAsia="仿宋_GB2312" w:cs="仿宋_GB2312"/>
          <w:b/>
          <w:bCs w:val="0"/>
          <w:color w:val="auto"/>
          <w:sz w:val="32"/>
          <w:szCs w:val="32"/>
          <w:highlight w:val="none"/>
        </w:rPr>
        <w:t>项目编号：</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bCs/>
          <w:color w:val="auto"/>
          <w:sz w:val="32"/>
          <w:szCs w:val="32"/>
          <w:highlight w:val="none"/>
        </w:rPr>
        <w:t>人民币(元)</w:t>
      </w:r>
      <w:bookmarkEnd w:id="547"/>
      <w:bookmarkEnd w:id="548"/>
    </w:p>
    <w:p>
      <w:pPr>
        <w:wordWrap/>
        <w:spacing w:before="157" w:beforeLines="50" w:line="560" w:lineRule="exact"/>
        <w:ind w:firstLine="320" w:firstLineChars="100"/>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（本表在谈判结束后单独填写并提交）</w:t>
      </w:r>
    </w:p>
    <w:tbl>
      <w:tblPr>
        <w:tblStyle w:val="23"/>
        <w:tblpPr w:leftFromText="180" w:rightFromText="180" w:vertAnchor="text" w:horzAnchor="page" w:tblpX="1972" w:tblpY="1319"/>
        <w:tblOverlap w:val="never"/>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068"/>
        <w:gridCol w:w="258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64"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包号</w:t>
            </w:r>
          </w:p>
        </w:tc>
        <w:tc>
          <w:tcPr>
            <w:tcW w:w="3068"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最初报价</w:t>
            </w:r>
          </w:p>
        </w:tc>
        <w:tc>
          <w:tcPr>
            <w:tcW w:w="2582"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最后报价</w:t>
            </w:r>
          </w:p>
        </w:tc>
        <w:tc>
          <w:tcPr>
            <w:tcW w:w="1583"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364" w:type="dxa"/>
            <w:vMerge w:val="restart"/>
            <w:tcBorders>
              <w:left w:val="single" w:color="auto" w:sz="4" w:space="0"/>
            </w:tcBorders>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p>
        </w:tc>
        <w:tc>
          <w:tcPr>
            <w:tcW w:w="3068"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大写：</w:t>
            </w:r>
          </w:p>
        </w:tc>
        <w:tc>
          <w:tcPr>
            <w:tcW w:w="2582"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大写：</w:t>
            </w:r>
          </w:p>
        </w:tc>
        <w:tc>
          <w:tcPr>
            <w:tcW w:w="1583" w:type="dxa"/>
            <w:vMerge w:val="restart"/>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364" w:type="dxa"/>
            <w:vMerge w:val="continue"/>
            <w:tcBorders>
              <w:left w:val="single" w:color="auto" w:sz="4" w:space="0"/>
              <w:right w:val="nil"/>
            </w:tcBorders>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p>
        </w:tc>
        <w:tc>
          <w:tcPr>
            <w:tcW w:w="3068"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小写：</w:t>
            </w:r>
          </w:p>
        </w:tc>
        <w:tc>
          <w:tcPr>
            <w:tcW w:w="2582"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小写：</w:t>
            </w:r>
          </w:p>
        </w:tc>
        <w:tc>
          <w:tcPr>
            <w:tcW w:w="1583" w:type="dxa"/>
            <w:vMerge w:val="continue"/>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8597" w:type="dxa"/>
            <w:gridSpan w:val="4"/>
            <w:tcBorders>
              <w:bottom w:val="single" w:color="auto" w:sz="4" w:space="0"/>
            </w:tcBorders>
            <w:vAlign w:val="center"/>
          </w:tcPr>
          <w:p>
            <w:pPr>
              <w:widowControl w:val="0"/>
              <w:wordWrap/>
              <w:snapToGrid/>
              <w:spacing w:line="560" w:lineRule="exact"/>
              <w:ind w:left="283" w:leftChars="135"/>
              <w:jc w:val="left"/>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最终确定的质量保证及服务承诺</w:t>
            </w:r>
          </w:p>
        </w:tc>
      </w:tr>
    </w:tbl>
    <w:p>
      <w:pPr>
        <w:widowControl w:val="0"/>
        <w:wordWrap/>
        <w:autoSpaceDE w:val="0"/>
        <w:autoSpaceDN w:val="0"/>
        <w:adjustRightInd w:val="0"/>
        <w:snapToGrid/>
        <w:spacing w:line="560" w:lineRule="exact"/>
        <w:jc w:val="both"/>
        <w:outlineLvl w:val="9"/>
        <w:rPr>
          <w:rFonts w:hint="eastAsia" w:ascii="楷体_GB2312" w:hAnsi="楷体_GB2312" w:eastAsia="楷体_GB2312" w:cs="楷体_GB2312"/>
          <w:b/>
          <w:bCs w:val="0"/>
          <w:color w:val="auto"/>
          <w:sz w:val="32"/>
          <w:szCs w:val="32"/>
          <w:highlight w:val="none"/>
          <w:lang w:val="en-US" w:eastAsia="zh-CN"/>
        </w:rPr>
      </w:pPr>
      <w:r>
        <w:rPr>
          <w:rFonts w:hint="eastAsia" w:ascii="宋体" w:hAnsi="宋体"/>
          <w:b/>
          <w:color w:val="auto"/>
          <w:sz w:val="21"/>
          <w:szCs w:val="21"/>
          <w:highlight w:val="none"/>
        </w:rPr>
        <w:t xml:space="preserve">                   </w:t>
      </w:r>
      <w:r>
        <w:rPr>
          <w:rFonts w:hint="eastAsia" w:ascii="宋体" w:hAnsi="宋体"/>
          <w:b/>
          <w:bCs/>
          <w:color w:val="auto"/>
          <w:sz w:val="21"/>
          <w:szCs w:val="21"/>
          <w:highlight w:val="none"/>
        </w:rPr>
        <w:t xml:space="preserve">        </w:t>
      </w:r>
    </w:p>
    <w:p>
      <w:pPr>
        <w:rPr>
          <w:rFonts w:hint="eastAsia"/>
        </w:rPr>
      </w:pP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p>
    <w:p>
      <w:pPr>
        <w:widowControl w:val="0"/>
        <w:wordWrap/>
        <w:adjustRightInd/>
        <w:snapToGrid/>
        <w:spacing w:line="560" w:lineRule="exact"/>
        <w:ind w:firstLine="2560" w:firstLineChars="8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单位</w:t>
      </w:r>
      <w:r>
        <w:rPr>
          <w:rFonts w:hint="eastAsia" w:ascii="仿宋_GB2312" w:hAnsi="仿宋_GB2312" w:eastAsia="仿宋_GB2312" w:cs="仿宋_GB2312"/>
          <w:b w:val="0"/>
          <w:bCs/>
          <w:color w:val="auto"/>
          <w:sz w:val="32"/>
          <w:szCs w:val="32"/>
          <w:highlight w:val="none"/>
          <w:lang w:eastAsia="zh-CN"/>
        </w:rPr>
        <w:t>名称</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法定代表人或委托代理人：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（签字或盖章）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   月  日</w:t>
      </w:r>
    </w:p>
    <w:p>
      <w:pPr>
        <w:rPr>
          <w:rFonts w:hint="eastAsia" w:ascii="宋体" w:hAnsi="宋体" w:eastAsia="宋体"/>
          <w:bCs/>
          <w:color w:val="auto"/>
          <w:szCs w:val="21"/>
          <w:highlight w:val="none"/>
          <w:lang w:eastAsia="zh-CN"/>
        </w:rPr>
      </w:pPr>
      <w:r>
        <w:rPr>
          <w:rFonts w:hint="eastAsia" w:ascii="宋体" w:hAnsi="宋体"/>
          <w:b/>
          <w:color w:val="auto"/>
          <w:sz w:val="24"/>
          <w:highlight w:val="none"/>
        </w:rPr>
        <w:br w:type="page"/>
      </w:r>
    </w:p>
    <w:p>
      <w:pPr>
        <w:pStyle w:val="3"/>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44"/>
          <w:szCs w:val="44"/>
          <w:highlight w:val="none"/>
        </w:rPr>
      </w:pPr>
      <w:bookmarkStart w:id="549" w:name="_Toc376936766"/>
      <w:bookmarkStart w:id="550" w:name="_Toc8866"/>
      <w:bookmarkStart w:id="551" w:name="_Toc5169"/>
      <w:bookmarkStart w:id="552" w:name="_Toc7329_WPSOffice_Level1"/>
      <w:bookmarkStart w:id="553" w:name="_Toc24112_WPSOffice_Level1"/>
      <w:bookmarkStart w:id="554" w:name="_Toc27557_WPSOffice_Level1"/>
      <w:bookmarkStart w:id="555" w:name="_Toc23740"/>
      <w:bookmarkStart w:id="556" w:name="_Toc416183225"/>
      <w:bookmarkStart w:id="557" w:name="_Toc23722_WPSOffice_Level1"/>
      <w:bookmarkStart w:id="558" w:name="_Toc5233"/>
      <w:bookmarkStart w:id="559" w:name="_Toc16082_WPSOffice_Level1"/>
      <w:bookmarkStart w:id="560" w:name="_Toc12949996"/>
      <w:bookmarkStart w:id="561" w:name="_Toc16779_WPSOffice_Level1"/>
      <w:r>
        <w:rPr>
          <w:rFonts w:hint="eastAsia" w:ascii="华文中宋" w:hAnsi="华文中宋" w:eastAsia="华文中宋" w:cs="华文中宋"/>
          <w:b w:val="0"/>
          <w:bCs w:val="0"/>
          <w:color w:val="auto"/>
          <w:sz w:val="44"/>
          <w:szCs w:val="44"/>
          <w:highlight w:val="none"/>
          <w:lang w:eastAsia="zh-CN"/>
        </w:rPr>
        <w:t>第五部分</w:t>
      </w:r>
      <w:r>
        <w:rPr>
          <w:rFonts w:hint="eastAsia" w:ascii="华文中宋" w:hAnsi="华文中宋" w:eastAsia="华文中宋" w:cs="华文中宋"/>
          <w:b w:val="0"/>
          <w:bCs w:val="0"/>
          <w:color w:val="auto"/>
          <w:sz w:val="44"/>
          <w:szCs w:val="44"/>
          <w:highlight w:val="none"/>
        </w:rPr>
        <w:t xml:space="preserve"> </w:t>
      </w:r>
      <w:bookmarkEnd w:id="549"/>
      <w:r>
        <w:rPr>
          <w:rFonts w:hint="eastAsia" w:ascii="华文中宋" w:hAnsi="华文中宋" w:eastAsia="华文中宋" w:cs="华文中宋"/>
          <w:b w:val="0"/>
          <w:bCs w:val="0"/>
          <w:color w:val="auto"/>
          <w:sz w:val="44"/>
          <w:szCs w:val="44"/>
          <w:highlight w:val="none"/>
        </w:rPr>
        <w:t>青海省政府采购项目合同书范本</w:t>
      </w:r>
      <w:bookmarkEnd w:id="550"/>
      <w:bookmarkEnd w:id="551"/>
      <w:bookmarkEnd w:id="552"/>
      <w:bookmarkEnd w:id="553"/>
    </w:p>
    <w:p>
      <w:pPr>
        <w:pStyle w:val="3"/>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44"/>
          <w:szCs w:val="44"/>
          <w:highlight w:val="none"/>
        </w:rPr>
      </w:pPr>
      <w:bookmarkStart w:id="562" w:name="_Toc11777"/>
      <w:bookmarkStart w:id="563" w:name="_Toc32639"/>
      <w:bookmarkStart w:id="564" w:name="_Toc22776_WPSOffice_Level1"/>
      <w:bookmarkStart w:id="565" w:name="_Toc29785_WPSOffice_Level1"/>
      <w:r>
        <w:rPr>
          <w:rFonts w:hint="eastAsia" w:ascii="华文中宋" w:hAnsi="华文中宋" w:eastAsia="华文中宋" w:cs="华文中宋"/>
          <w:b w:val="0"/>
          <w:bCs w:val="0"/>
          <w:color w:val="auto"/>
          <w:sz w:val="44"/>
          <w:szCs w:val="44"/>
          <w:highlight w:val="none"/>
        </w:rPr>
        <w:t>（货物类）</w:t>
      </w:r>
      <w:bookmarkEnd w:id="554"/>
      <w:bookmarkEnd w:id="555"/>
      <w:bookmarkEnd w:id="556"/>
      <w:bookmarkEnd w:id="557"/>
      <w:bookmarkEnd w:id="558"/>
      <w:bookmarkEnd w:id="559"/>
      <w:bookmarkEnd w:id="560"/>
      <w:bookmarkEnd w:id="561"/>
      <w:bookmarkEnd w:id="562"/>
      <w:bookmarkEnd w:id="563"/>
      <w:bookmarkEnd w:id="564"/>
      <w:bookmarkEnd w:id="565"/>
    </w:p>
    <w:p>
      <w:pPr>
        <w:wordWrap/>
        <w:adjustRightInd w:val="0"/>
        <w:snapToGrid w:val="0"/>
        <w:spacing w:before="157" w:beforeLines="50" w:line="560" w:lineRule="exact"/>
        <w:outlineLvl w:val="0"/>
        <w:rPr>
          <w:rFonts w:hint="eastAsia" w:ascii="宋体" w:hAnsi="宋体" w:eastAsia="宋体"/>
          <w:bCs/>
          <w:color w:val="auto"/>
          <w:szCs w:val="21"/>
          <w:highlight w:val="none"/>
        </w:rPr>
      </w:pPr>
      <w:bookmarkStart w:id="566" w:name="_Toc375576842"/>
      <w:bookmarkStart w:id="567" w:name="_Toc373936315"/>
      <w:bookmarkStart w:id="568" w:name="_Toc373954603"/>
    </w:p>
    <w:bookmarkEnd w:id="566"/>
    <w:bookmarkEnd w:id="567"/>
    <w:bookmarkEnd w:id="568"/>
    <w:p>
      <w:pPr>
        <w:keepNext/>
        <w:keepLines/>
        <w:widowControl/>
        <w:wordWrap/>
        <w:snapToGrid w:val="0"/>
        <w:spacing w:before="157" w:beforeLines="50" w:line="560" w:lineRule="exact"/>
        <w:jc w:val="center"/>
        <w:outlineLvl w:val="9"/>
        <w:rPr>
          <w:rFonts w:hint="eastAsia" w:ascii="华文中宋" w:hAnsi="华文中宋" w:eastAsia="华文中宋" w:cs="华文中宋"/>
          <w:b w:val="0"/>
          <w:bCs/>
          <w:color w:val="auto"/>
          <w:kern w:val="28"/>
          <w:sz w:val="32"/>
          <w:szCs w:val="32"/>
          <w:highlight w:val="none"/>
        </w:rPr>
      </w:pPr>
      <w:bookmarkStart w:id="569" w:name="_Toc12949997"/>
      <w:bookmarkStart w:id="570" w:name="_Toc31604_WPSOffice_Level1"/>
      <w:bookmarkStart w:id="571" w:name="_Toc9715"/>
      <w:bookmarkStart w:id="572" w:name="_Toc10999_WPSOffice_Level1"/>
      <w:bookmarkStart w:id="573" w:name="_Toc9152_WPSOffice_Level1"/>
      <w:bookmarkStart w:id="574" w:name="_Toc8067_WPSOffice_Level1"/>
      <w:bookmarkStart w:id="575" w:name="_Toc4308"/>
      <w:bookmarkStart w:id="576" w:name="_Toc3676_WPSOffice_Level1"/>
      <w:bookmarkStart w:id="577" w:name="_Toc416183226"/>
      <w:r>
        <w:rPr>
          <w:rFonts w:hint="eastAsia" w:ascii="华文中宋" w:hAnsi="华文中宋" w:eastAsia="华文中宋" w:cs="华文中宋"/>
          <w:b w:val="0"/>
          <w:bCs/>
          <w:color w:val="auto"/>
          <w:kern w:val="28"/>
          <w:sz w:val="32"/>
          <w:szCs w:val="32"/>
          <w:highlight w:val="none"/>
        </w:rPr>
        <w:t>青海省政府采购项目合同书</w:t>
      </w:r>
      <w:bookmarkEnd w:id="569"/>
      <w:bookmarkEnd w:id="570"/>
      <w:bookmarkEnd w:id="571"/>
      <w:bookmarkEnd w:id="572"/>
      <w:bookmarkEnd w:id="573"/>
      <w:bookmarkEnd w:id="574"/>
      <w:bookmarkEnd w:id="575"/>
      <w:bookmarkEnd w:id="576"/>
      <w:bookmarkEnd w:id="577"/>
    </w:p>
    <w:p>
      <w:pPr>
        <w:wordWrap/>
        <w:spacing w:before="157" w:beforeLines="50" w:line="560" w:lineRule="exact"/>
        <w:jc w:val="center"/>
        <w:outlineLvl w:val="9"/>
        <w:rPr>
          <w:rFonts w:hint="eastAsia" w:ascii="华文中宋" w:hAnsi="华文中宋" w:eastAsia="华文中宋" w:cs="华文中宋"/>
          <w:b w:val="0"/>
          <w:bCs/>
          <w:color w:val="auto"/>
          <w:sz w:val="32"/>
          <w:szCs w:val="32"/>
          <w:highlight w:val="none"/>
        </w:rPr>
      </w:pPr>
    </w:p>
    <w:p>
      <w:pPr>
        <w:wordWrap/>
        <w:spacing w:before="157" w:beforeLines="50" w:line="560" w:lineRule="exact"/>
        <w:ind w:firstLine="640" w:firstLineChars="200"/>
        <w:outlineLvl w:val="9"/>
        <w:rPr>
          <w:rFonts w:hint="eastAsia" w:ascii="华文中宋" w:hAnsi="华文中宋" w:eastAsia="华文中宋" w:cs="华文中宋"/>
          <w:b w:val="0"/>
          <w:bCs/>
          <w:color w:val="auto"/>
          <w:sz w:val="32"/>
          <w:szCs w:val="32"/>
          <w:highlight w:val="none"/>
        </w:rPr>
      </w:pPr>
    </w:p>
    <w:p>
      <w:pPr>
        <w:wordWrap/>
        <w:spacing w:before="157" w:beforeLines="50" w:line="560" w:lineRule="exact"/>
        <w:ind w:firstLine="640" w:firstLineChars="200"/>
        <w:outlineLvl w:val="9"/>
        <w:rPr>
          <w:rFonts w:hint="eastAsia" w:ascii="华文中宋" w:hAnsi="华文中宋" w:eastAsia="华文中宋" w:cs="华文中宋"/>
          <w:b w:val="0"/>
          <w:bCs/>
          <w:color w:val="auto"/>
          <w:sz w:val="32"/>
          <w:szCs w:val="32"/>
          <w:highlight w:val="none"/>
          <w:u w:val="single"/>
        </w:rPr>
      </w:pPr>
      <w:bookmarkStart w:id="578" w:name="_Toc23548_WPSOffice_Level1"/>
      <w:bookmarkStart w:id="579" w:name="_Toc23338_WPSOffice_Level1"/>
      <w:bookmarkStart w:id="580" w:name="_Toc18140_WPSOffice_Level1"/>
      <w:bookmarkStart w:id="581" w:name="_Toc19373_WPSOffice_Level1"/>
      <w:r>
        <w:rPr>
          <w:rFonts w:hint="eastAsia" w:ascii="华文中宋" w:hAnsi="华文中宋" w:eastAsia="华文中宋" w:cs="华文中宋"/>
          <w:b w:val="0"/>
          <w:bCs/>
          <w:color w:val="auto"/>
          <w:sz w:val="32"/>
          <w:szCs w:val="32"/>
          <w:highlight w:val="none"/>
        </w:rPr>
        <w:t>采购项目名称：</w:t>
      </w:r>
      <w:bookmarkEnd w:id="578"/>
      <w:bookmarkEnd w:id="579"/>
      <w:bookmarkEnd w:id="580"/>
      <w:bookmarkEnd w:id="581"/>
      <w:r>
        <w:rPr>
          <w:rFonts w:hint="eastAsia" w:ascii="华文中宋" w:hAnsi="华文中宋" w:eastAsia="华文中宋" w:cs="华文中宋"/>
          <w:b w:val="0"/>
          <w:bCs/>
          <w:color w:val="auto"/>
          <w:sz w:val="32"/>
          <w:szCs w:val="32"/>
          <w:highlight w:val="none"/>
          <w:u w:val="single"/>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auto"/>
          <w:sz w:val="32"/>
          <w:szCs w:val="32"/>
          <w:highlight w:val="none"/>
        </w:rPr>
      </w:pPr>
      <w:bookmarkStart w:id="582" w:name="_Toc2957_WPSOffice_Level1"/>
      <w:bookmarkStart w:id="583" w:name="_Toc20437_WPSOffice_Level1"/>
      <w:bookmarkStart w:id="584" w:name="_Toc19950_WPSOffice_Level1"/>
      <w:bookmarkStart w:id="585" w:name="_Toc2770_WPSOffice_Level1"/>
      <w:r>
        <w:rPr>
          <w:rFonts w:hint="eastAsia" w:ascii="华文中宋" w:hAnsi="华文中宋" w:eastAsia="华文中宋" w:cs="华文中宋"/>
          <w:b w:val="0"/>
          <w:bCs/>
          <w:color w:val="auto"/>
          <w:sz w:val="32"/>
          <w:szCs w:val="32"/>
          <w:highlight w:val="none"/>
        </w:rPr>
        <w:t>采购项目编号：</w:t>
      </w:r>
      <w:bookmarkEnd w:id="582"/>
      <w:bookmarkEnd w:id="583"/>
      <w:bookmarkEnd w:id="584"/>
      <w:bookmarkEnd w:id="585"/>
      <w:r>
        <w:rPr>
          <w:rFonts w:hint="eastAsia" w:ascii="华文中宋" w:hAnsi="华文中宋" w:eastAsia="华文中宋" w:cs="华文中宋"/>
          <w:b w:val="0"/>
          <w:bCs/>
          <w:color w:val="auto"/>
          <w:sz w:val="32"/>
          <w:szCs w:val="32"/>
          <w:highlight w:val="none"/>
          <w:u w:val="single"/>
        </w:rPr>
        <w:t xml:space="preserve">                                  </w:t>
      </w:r>
      <w:r>
        <w:rPr>
          <w:rFonts w:hint="eastAsia" w:ascii="华文中宋" w:hAnsi="华文中宋" w:eastAsia="华文中宋" w:cs="华文中宋"/>
          <w:b w:val="0"/>
          <w:bCs/>
          <w:color w:val="auto"/>
          <w:sz w:val="32"/>
          <w:szCs w:val="32"/>
          <w:highlight w:val="none"/>
        </w:rPr>
        <w:t xml:space="preserve"> </w:t>
      </w:r>
      <w:bookmarkStart w:id="586" w:name="_Toc1998_WPSOffice_Level1"/>
      <w:bookmarkStart w:id="587" w:name="_Toc31508_WPSOffice_Level1"/>
      <w:bookmarkStart w:id="588" w:name="_Toc3022_WPSOffice_Level1"/>
      <w:bookmarkStart w:id="589" w:name="_Toc19490_WPSOffice_Level1"/>
    </w:p>
    <w:p>
      <w:pPr>
        <w:wordWrap/>
        <w:spacing w:before="157" w:beforeLines="50" w:line="560" w:lineRule="exact"/>
        <w:ind w:firstLine="640" w:firstLineChars="200"/>
        <w:outlineLvl w:val="9"/>
        <w:rPr>
          <w:rFonts w:hint="default" w:ascii="华文中宋" w:hAnsi="华文中宋" w:eastAsia="华文中宋" w:cs="华文中宋"/>
          <w:b w:val="0"/>
          <w:bCs/>
          <w:color w:val="auto"/>
          <w:sz w:val="32"/>
          <w:szCs w:val="32"/>
          <w:highlight w:val="none"/>
          <w:u w:val="single"/>
          <w:lang w:val="en-US" w:eastAsia="zh-CN"/>
        </w:rPr>
      </w:pPr>
      <w:r>
        <w:rPr>
          <w:rFonts w:hint="eastAsia" w:ascii="华文中宋" w:hAnsi="华文中宋" w:eastAsia="华文中宋" w:cs="华文中宋"/>
          <w:b w:val="0"/>
          <w:bCs/>
          <w:color w:val="auto"/>
          <w:sz w:val="32"/>
          <w:szCs w:val="32"/>
          <w:highlight w:val="none"/>
        </w:rPr>
        <w:t>采购合同编号：</w:t>
      </w:r>
      <w:bookmarkEnd w:id="586"/>
      <w:bookmarkEnd w:id="587"/>
      <w:bookmarkEnd w:id="588"/>
      <w:bookmarkEnd w:id="589"/>
      <w:r>
        <w:rPr>
          <w:rFonts w:hint="eastAsia" w:ascii="华文中宋" w:hAnsi="华文中宋" w:eastAsia="华文中宋" w:cs="华文中宋"/>
          <w:b w:val="0"/>
          <w:bCs/>
          <w:color w:val="auto"/>
          <w:sz w:val="32"/>
          <w:szCs w:val="32"/>
          <w:highlight w:val="none"/>
          <w:u w:val="single"/>
        </w:rPr>
        <w:t xml:space="preserve">   </w:t>
      </w:r>
      <w:r>
        <w:rPr>
          <w:rFonts w:hint="eastAsia" w:ascii="华文中宋" w:hAnsi="华文中宋" w:eastAsia="华文中宋" w:cs="华文中宋"/>
          <w:b w:val="0"/>
          <w:bCs/>
          <w:color w:val="auto"/>
          <w:sz w:val="32"/>
          <w:szCs w:val="32"/>
          <w:highlight w:val="none"/>
          <w:u w:val="single"/>
          <w:lang w:val="en-US" w:eastAsia="zh-CN"/>
        </w:rPr>
        <w:t xml:space="preserve">        QHXC2022-021           </w:t>
      </w:r>
    </w:p>
    <w:p>
      <w:pPr>
        <w:wordWrap/>
        <w:spacing w:before="157" w:beforeLines="50" w:line="560" w:lineRule="exact"/>
        <w:ind w:firstLine="640" w:firstLineChars="200"/>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 xml:space="preserve"> </w:t>
      </w:r>
      <w:bookmarkStart w:id="590" w:name="_Toc2711_WPSOffice_Level1"/>
      <w:bookmarkStart w:id="591" w:name="_Toc24942_WPSOffice_Level1"/>
      <w:bookmarkStart w:id="592" w:name="_Toc5994_WPSOffice_Level1"/>
      <w:bookmarkStart w:id="593" w:name="_Toc8063_WPSOffice_Level1"/>
      <w:r>
        <w:rPr>
          <w:rFonts w:hint="eastAsia" w:ascii="华文中宋" w:hAnsi="华文中宋" w:eastAsia="华文中宋" w:cs="华文中宋"/>
          <w:b w:val="0"/>
          <w:bCs/>
          <w:color w:val="auto"/>
          <w:sz w:val="32"/>
          <w:szCs w:val="32"/>
          <w:highlight w:val="none"/>
        </w:rPr>
        <w:t>合同金额（人民币）：</w:t>
      </w:r>
      <w:bookmarkEnd w:id="590"/>
      <w:bookmarkEnd w:id="591"/>
      <w:bookmarkEnd w:id="592"/>
      <w:bookmarkEnd w:id="593"/>
      <w:r>
        <w:rPr>
          <w:rFonts w:hint="eastAsia" w:ascii="华文中宋" w:hAnsi="华文中宋" w:eastAsia="华文中宋" w:cs="华文中宋"/>
          <w:b w:val="0"/>
          <w:bCs/>
          <w:color w:val="auto"/>
          <w:sz w:val="32"/>
          <w:szCs w:val="32"/>
          <w:highlight w:val="none"/>
          <w:u w:val="single"/>
        </w:rPr>
        <w:t xml:space="preserve">                            </w:t>
      </w:r>
      <w:r>
        <w:rPr>
          <w:rFonts w:hint="eastAsia" w:ascii="华文中宋" w:hAnsi="华文中宋" w:eastAsia="华文中宋" w:cs="华文中宋"/>
          <w:b w:val="0"/>
          <w:bCs/>
          <w:color w:val="auto"/>
          <w:sz w:val="32"/>
          <w:szCs w:val="32"/>
          <w:highlight w:val="none"/>
        </w:rPr>
        <w:t xml:space="preserve"> </w:t>
      </w:r>
    </w:p>
    <w:p>
      <w:pPr>
        <w:wordWrap/>
        <w:spacing w:before="157" w:beforeLines="50" w:line="560" w:lineRule="exact"/>
        <w:ind w:firstLine="640" w:firstLineChars="200"/>
        <w:jc w:val="left"/>
        <w:outlineLvl w:val="9"/>
        <w:rPr>
          <w:rFonts w:hint="eastAsia" w:ascii="华文中宋" w:hAnsi="华文中宋" w:eastAsia="华文中宋" w:cs="华文中宋"/>
          <w:b w:val="0"/>
          <w:bCs/>
          <w:color w:val="auto"/>
          <w:sz w:val="32"/>
          <w:szCs w:val="32"/>
          <w:highlight w:val="none"/>
        </w:rPr>
      </w:pPr>
      <w:bookmarkStart w:id="594" w:name="_Toc31793_WPSOffice_Level1"/>
      <w:bookmarkStart w:id="595" w:name="_Toc10610_WPSOffice_Level1"/>
      <w:bookmarkStart w:id="596" w:name="_Toc3522_WPSOffice_Level1"/>
      <w:bookmarkStart w:id="597" w:name="_Toc6126_WPSOffice_Level1"/>
      <w:r>
        <w:rPr>
          <w:rFonts w:hint="eastAsia" w:ascii="华文中宋" w:hAnsi="华文中宋" w:eastAsia="华文中宋" w:cs="华文中宋"/>
          <w:b w:val="0"/>
          <w:bCs/>
          <w:color w:val="auto"/>
          <w:sz w:val="32"/>
          <w:szCs w:val="32"/>
          <w:highlight w:val="none"/>
        </w:rPr>
        <w:t>采购单位（甲方）：</w:t>
      </w:r>
      <w:r>
        <w:rPr>
          <w:rFonts w:hint="eastAsia" w:ascii="华文中宋" w:hAnsi="华文中宋" w:eastAsia="华文中宋" w:cs="华文中宋"/>
          <w:b w:val="0"/>
          <w:bCs/>
          <w:color w:val="auto"/>
          <w:sz w:val="32"/>
          <w:szCs w:val="32"/>
          <w:highlight w:val="none"/>
          <w:u w:val="single"/>
        </w:rPr>
        <w:t xml:space="preserve">                        </w:t>
      </w:r>
      <w:r>
        <w:rPr>
          <w:rFonts w:hint="eastAsia" w:ascii="华文中宋" w:hAnsi="华文中宋" w:eastAsia="华文中宋" w:cs="华文中宋"/>
          <w:b w:val="0"/>
          <w:bCs/>
          <w:color w:val="auto"/>
          <w:sz w:val="32"/>
          <w:szCs w:val="32"/>
          <w:highlight w:val="none"/>
        </w:rPr>
        <w:t>（盖章）</w:t>
      </w:r>
      <w:bookmarkEnd w:id="594"/>
      <w:bookmarkEnd w:id="595"/>
      <w:bookmarkEnd w:id="596"/>
      <w:bookmarkEnd w:id="597"/>
    </w:p>
    <w:p>
      <w:pPr>
        <w:wordWrap/>
        <w:spacing w:before="157" w:beforeLines="50" w:line="560" w:lineRule="exact"/>
        <w:ind w:firstLine="640" w:firstLineChars="200"/>
        <w:jc w:val="left"/>
        <w:outlineLvl w:val="9"/>
        <w:rPr>
          <w:rFonts w:hint="eastAsia" w:ascii="华文中宋" w:hAnsi="华文中宋" w:eastAsia="华文中宋" w:cs="华文中宋"/>
          <w:b w:val="0"/>
          <w:bCs/>
          <w:color w:val="auto"/>
          <w:sz w:val="32"/>
          <w:szCs w:val="32"/>
          <w:highlight w:val="none"/>
          <w:u w:val="single"/>
        </w:rPr>
      </w:pPr>
      <w:bookmarkStart w:id="598" w:name="_Toc22516_WPSOffice_Level1"/>
      <w:bookmarkStart w:id="599" w:name="_Toc7246_WPSOffice_Level1"/>
      <w:bookmarkStart w:id="600" w:name="_Toc14960_WPSOffice_Level1"/>
      <w:bookmarkStart w:id="601" w:name="_Toc382_WPSOffice_Level1"/>
      <w:r>
        <w:rPr>
          <w:rFonts w:hint="eastAsia" w:ascii="华文中宋" w:hAnsi="华文中宋" w:eastAsia="华文中宋" w:cs="华文中宋"/>
          <w:b w:val="0"/>
          <w:bCs/>
          <w:color w:val="auto"/>
          <w:sz w:val="32"/>
          <w:szCs w:val="32"/>
          <w:highlight w:val="none"/>
        </w:rPr>
        <w:t>成交供应商（乙方）：</w:t>
      </w:r>
      <w:r>
        <w:rPr>
          <w:rFonts w:hint="eastAsia" w:ascii="华文中宋" w:hAnsi="华文中宋" w:eastAsia="华文中宋" w:cs="华文中宋"/>
          <w:b w:val="0"/>
          <w:bCs/>
          <w:color w:val="auto"/>
          <w:sz w:val="32"/>
          <w:szCs w:val="32"/>
          <w:highlight w:val="none"/>
          <w:u w:val="single"/>
        </w:rPr>
        <w:t xml:space="preserve">                      </w:t>
      </w:r>
      <w:r>
        <w:rPr>
          <w:rFonts w:hint="eastAsia" w:ascii="华文中宋" w:hAnsi="华文中宋" w:eastAsia="华文中宋" w:cs="华文中宋"/>
          <w:b w:val="0"/>
          <w:bCs/>
          <w:color w:val="auto"/>
          <w:sz w:val="32"/>
          <w:szCs w:val="32"/>
          <w:highlight w:val="none"/>
        </w:rPr>
        <w:t>（盖章）</w:t>
      </w:r>
      <w:bookmarkEnd w:id="598"/>
      <w:bookmarkEnd w:id="599"/>
      <w:bookmarkEnd w:id="600"/>
      <w:bookmarkEnd w:id="601"/>
    </w:p>
    <w:p>
      <w:pPr>
        <w:widowControl w:val="0"/>
        <w:wordWrap/>
        <w:adjustRightInd w:val="0"/>
        <w:snapToGrid w:val="0"/>
        <w:spacing w:line="560" w:lineRule="exact"/>
        <w:ind w:firstLine="42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宋体" w:hAnsi="宋体" w:eastAsia="宋体"/>
          <w:bCs/>
          <w:color w:val="auto"/>
          <w:szCs w:val="21"/>
          <w:highlight w:val="none"/>
        </w:rPr>
        <w:br w:type="page"/>
      </w:r>
      <w:r>
        <w:rPr>
          <w:rFonts w:hint="eastAsia" w:ascii="仿宋_GB2312" w:hAnsi="仿宋_GB2312" w:eastAsia="仿宋_GB2312" w:cs="仿宋_GB2312"/>
          <w:bCs/>
          <w:color w:val="auto"/>
          <w:sz w:val="32"/>
          <w:szCs w:val="32"/>
          <w:highlight w:val="none"/>
        </w:rPr>
        <w:t>甲、乙双方根据20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 xml:space="preserve">日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项目（</w:t>
      </w:r>
      <w:r>
        <w:rPr>
          <w:rFonts w:hint="eastAsia" w:ascii="仿宋_GB2312" w:hAnsi="仿宋_GB2312" w:eastAsia="仿宋_GB2312" w:cs="仿宋_GB2312"/>
          <w:bCs/>
          <w:color w:val="auto"/>
          <w:sz w:val="32"/>
          <w:szCs w:val="32"/>
          <w:highlight w:val="none"/>
          <w:lang w:eastAsia="zh-CN"/>
        </w:rPr>
        <w:t>项目编号：</w:t>
      </w:r>
      <w:r>
        <w:rPr>
          <w:rFonts w:hint="eastAsia" w:ascii="仿宋_GB2312" w:hAnsi="仿宋_GB2312" w:eastAsia="仿宋_GB2312" w:cs="仿宋_GB2312"/>
          <w:bCs/>
          <w:color w:val="auto"/>
          <w:sz w:val="32"/>
          <w:szCs w:val="32"/>
          <w:highlight w:val="none"/>
        </w:rPr>
        <w:t>）的谈判文件要求和采购机构出具的《成交通知书》，并经双方协商一致，达成合同总价款为</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项目采购合同：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02" w:name="_Toc6055_WPSOffice_Level1"/>
      <w:bookmarkStart w:id="603" w:name="_Toc16675_WPSOffice_Level1"/>
      <w:bookmarkStart w:id="604" w:name="_Toc29795_WPSOffice_Level1"/>
      <w:bookmarkStart w:id="605" w:name="_Toc96_WPSOffice_Level1"/>
      <w:bookmarkStart w:id="606" w:name="_Toc28036_WPSOffice_Level1"/>
      <w:bookmarkStart w:id="607" w:name="_Toc6866_WPSOffice_Level1"/>
      <w:r>
        <w:rPr>
          <w:rFonts w:hint="eastAsia" w:ascii="仿宋_GB2312" w:hAnsi="仿宋_GB2312" w:eastAsia="仿宋_GB2312" w:cs="仿宋_GB2312"/>
          <w:bCs/>
          <w:color w:val="auto"/>
          <w:sz w:val="32"/>
          <w:szCs w:val="32"/>
          <w:highlight w:val="none"/>
          <w:lang w:val="zh-CN"/>
        </w:rPr>
        <w:t>一、签订本政府采购合同的依据</w:t>
      </w:r>
      <w:bookmarkEnd w:id="602"/>
      <w:bookmarkEnd w:id="603"/>
      <w:bookmarkEnd w:id="604"/>
      <w:bookmarkEnd w:id="605"/>
      <w:bookmarkEnd w:id="606"/>
      <w:bookmarkEnd w:id="60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本政府采购合同所附下列文件是构成本政府采购合同不可分割的部分：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08" w:name="_Toc29065_WPSOffice_Level2"/>
      <w:bookmarkStart w:id="609" w:name="_Toc32479_WPSOffice_Level2"/>
      <w:bookmarkStart w:id="610" w:name="_Toc7329_WPSOffice_Level2"/>
      <w:r>
        <w:rPr>
          <w:rFonts w:hint="eastAsia" w:ascii="仿宋_GB2312" w:hAnsi="仿宋_GB2312" w:eastAsia="仿宋_GB2312" w:cs="仿宋_GB2312"/>
          <w:bCs/>
          <w:color w:val="auto"/>
          <w:sz w:val="32"/>
          <w:szCs w:val="32"/>
          <w:highlight w:val="none"/>
          <w:lang w:val="zh-CN"/>
        </w:rPr>
        <w:t>1.谈判文件；</w:t>
      </w:r>
      <w:bookmarkEnd w:id="608"/>
      <w:bookmarkEnd w:id="609"/>
      <w:bookmarkEnd w:id="61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11" w:name="_Toc28112_WPSOffice_Level2"/>
      <w:bookmarkStart w:id="612" w:name="_Toc8989_WPSOffice_Level2"/>
      <w:bookmarkStart w:id="613" w:name="_Toc22776_WPSOffice_Level2"/>
      <w:r>
        <w:rPr>
          <w:rFonts w:hint="eastAsia" w:ascii="仿宋_GB2312" w:hAnsi="仿宋_GB2312" w:eastAsia="仿宋_GB2312" w:cs="仿宋_GB2312"/>
          <w:bCs/>
          <w:color w:val="auto"/>
          <w:sz w:val="32"/>
          <w:szCs w:val="32"/>
          <w:highlight w:val="none"/>
          <w:lang w:val="zh-CN"/>
        </w:rPr>
        <w:t>2.谈判文件的更正、变更公告；</w:t>
      </w:r>
      <w:bookmarkEnd w:id="611"/>
      <w:bookmarkEnd w:id="612"/>
      <w:bookmarkEnd w:id="61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14" w:name="_Toc29795_WPSOffice_Level2"/>
      <w:bookmarkStart w:id="615" w:name="_Toc28651_WPSOffice_Level2"/>
      <w:bookmarkStart w:id="616" w:name="_Toc29221_WPSOffice_Level2"/>
      <w:r>
        <w:rPr>
          <w:rFonts w:hint="eastAsia" w:ascii="仿宋_GB2312" w:hAnsi="仿宋_GB2312" w:eastAsia="仿宋_GB2312" w:cs="仿宋_GB2312"/>
          <w:bCs/>
          <w:color w:val="auto"/>
          <w:sz w:val="32"/>
          <w:szCs w:val="32"/>
          <w:highlight w:val="none"/>
          <w:lang w:val="zh-CN"/>
        </w:rPr>
        <w:t>3.成交供应商提交的谈判响应文件；</w:t>
      </w:r>
      <w:bookmarkEnd w:id="614"/>
      <w:bookmarkEnd w:id="615"/>
      <w:bookmarkEnd w:id="61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17" w:name="_Toc130_WPSOffice_Level2"/>
      <w:bookmarkStart w:id="618" w:name="_Toc10173_WPSOffice_Level2"/>
      <w:bookmarkStart w:id="619" w:name="_Toc13685_WPSOffice_Level2"/>
      <w:r>
        <w:rPr>
          <w:rFonts w:hint="eastAsia" w:ascii="仿宋_GB2312" w:hAnsi="仿宋_GB2312" w:eastAsia="仿宋_GB2312" w:cs="仿宋_GB2312"/>
          <w:bCs/>
          <w:color w:val="auto"/>
          <w:sz w:val="32"/>
          <w:szCs w:val="32"/>
          <w:highlight w:val="none"/>
          <w:lang w:val="zh-CN"/>
        </w:rPr>
        <w:t>4.政府采购合同通用条款；</w:t>
      </w:r>
      <w:bookmarkEnd w:id="617"/>
      <w:bookmarkEnd w:id="618"/>
      <w:bookmarkEnd w:id="61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20" w:name="_Toc1858_WPSOffice_Level2"/>
      <w:bookmarkStart w:id="621" w:name="_Toc16117_WPSOffice_Level2"/>
      <w:bookmarkStart w:id="622" w:name="_Toc22537_WPSOffice_Level2"/>
      <w:r>
        <w:rPr>
          <w:rFonts w:hint="eastAsia" w:ascii="仿宋_GB2312" w:hAnsi="仿宋_GB2312" w:eastAsia="仿宋_GB2312" w:cs="仿宋_GB2312"/>
          <w:bCs/>
          <w:color w:val="auto"/>
          <w:sz w:val="32"/>
          <w:szCs w:val="32"/>
          <w:highlight w:val="none"/>
          <w:lang w:val="zh-CN"/>
        </w:rPr>
        <w:t>5.成交通知书；</w:t>
      </w:r>
      <w:bookmarkEnd w:id="620"/>
      <w:bookmarkEnd w:id="621"/>
      <w:bookmarkEnd w:id="62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bookmarkStart w:id="623" w:name="_Toc30677_WPSOffice_Level2"/>
      <w:bookmarkStart w:id="624" w:name="_Toc21545_WPSOffice_Level2"/>
      <w:bookmarkStart w:id="625" w:name="_Toc5771_WPSOffice_Level2"/>
      <w:r>
        <w:rPr>
          <w:rFonts w:hint="eastAsia" w:ascii="仿宋_GB2312" w:hAnsi="仿宋_GB2312" w:eastAsia="仿宋_GB2312" w:cs="仿宋_GB2312"/>
          <w:bCs/>
          <w:color w:val="auto"/>
          <w:sz w:val="32"/>
          <w:szCs w:val="32"/>
          <w:highlight w:val="none"/>
          <w:lang w:val="zh-CN"/>
        </w:rPr>
        <w:t>6.履约保证金缴费证明；</w:t>
      </w:r>
      <w:bookmarkEnd w:id="623"/>
      <w:bookmarkEnd w:id="624"/>
      <w:bookmarkEnd w:id="62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26" w:name="_Toc2205_WPSOffice_Level2"/>
      <w:bookmarkStart w:id="627" w:name="_Toc8581_WPSOffice_Level2"/>
      <w:bookmarkStart w:id="628" w:name="_Toc32599_WPSOffice_Level2"/>
      <w:r>
        <w:rPr>
          <w:rFonts w:hint="eastAsia" w:ascii="仿宋_GB2312" w:hAnsi="仿宋_GB2312" w:eastAsia="仿宋_GB2312" w:cs="仿宋_GB2312"/>
          <w:bCs/>
          <w:color w:val="auto"/>
          <w:sz w:val="32"/>
          <w:szCs w:val="32"/>
          <w:highlight w:val="none"/>
        </w:rPr>
        <w:t>7.省级预算单位政府采购计划备案表。</w:t>
      </w:r>
      <w:bookmarkEnd w:id="626"/>
      <w:bookmarkEnd w:id="627"/>
      <w:bookmarkEnd w:id="628"/>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val="zh-CN"/>
        </w:rPr>
      </w:pPr>
      <w:bookmarkStart w:id="629" w:name="_Toc10173_WPSOffice_Level1"/>
      <w:bookmarkStart w:id="630" w:name="_Toc4921_WPSOffice_Level1"/>
      <w:bookmarkStart w:id="631" w:name="_Toc10843_WPSOffice_Level1"/>
      <w:bookmarkStart w:id="632" w:name="_Toc7426_WPSOffice_Level1"/>
      <w:bookmarkStart w:id="633" w:name="_Toc12658_WPSOffice_Level1"/>
      <w:bookmarkStart w:id="634" w:name="_Toc29813_WPSOffice_Level1"/>
      <w:r>
        <w:rPr>
          <w:rFonts w:hint="eastAsia" w:ascii="仿宋_GB2312" w:hAnsi="仿宋_GB2312" w:eastAsia="仿宋_GB2312" w:cs="仿宋_GB2312"/>
          <w:bCs/>
          <w:color w:val="auto"/>
          <w:sz w:val="32"/>
          <w:szCs w:val="32"/>
          <w:highlight w:val="none"/>
          <w:lang w:val="zh-CN"/>
        </w:rPr>
        <w:t>二、合同标的及金额                                       单位：元</w:t>
      </w:r>
      <w:bookmarkEnd w:id="629"/>
      <w:bookmarkEnd w:id="630"/>
      <w:bookmarkEnd w:id="631"/>
      <w:bookmarkEnd w:id="632"/>
      <w:bookmarkEnd w:id="633"/>
      <w:bookmarkEnd w:id="634"/>
    </w:p>
    <w:tbl>
      <w:tblPr>
        <w:tblStyle w:val="23"/>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color w:val="auto"/>
                <w:sz w:val="32"/>
                <w:szCs w:val="32"/>
                <w:highlight w:val="none"/>
                <w:lang w:val="zh-CN"/>
              </w:rPr>
            </w:pPr>
          </w:p>
        </w:tc>
      </w:tr>
    </w:tbl>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根据上述政府采购合同文件要求，本政府采购合同的总金额为人民币</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val="zh-CN"/>
        </w:rPr>
        <w:t>（大写）</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val="zh-CN"/>
        </w:rPr>
        <w:t xml:space="preserve">          元。</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zh-CN"/>
        </w:rPr>
        <w:t>本合同以人民币进行结算，合同总价包括：</w:t>
      </w:r>
      <w:r>
        <w:rPr>
          <w:rFonts w:hint="eastAsia" w:ascii="仿宋_GB2312" w:hAnsi="仿宋_GB2312" w:eastAsia="仿宋_GB2312" w:cs="仿宋_GB2312"/>
          <w:bCs/>
          <w:color w:val="auto"/>
          <w:sz w:val="32"/>
          <w:szCs w:val="32"/>
          <w:highlight w:val="none"/>
        </w:rPr>
        <w:t>产品费、检验费、手续费、包装费、运输费、保险费、税金</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排版印刷费、装订费、及其他不可预见费等全部费用。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35" w:name="_Toc6168_WPSOffice_Level1"/>
      <w:bookmarkStart w:id="636" w:name="_Toc22537_WPSOffice_Level1"/>
      <w:bookmarkStart w:id="637" w:name="_Toc7098_WPSOffice_Level1"/>
      <w:bookmarkStart w:id="638" w:name="_Toc23899_WPSOffice_Level1"/>
      <w:bookmarkStart w:id="639" w:name="_Toc28888_WPSOffice_Level1"/>
      <w:bookmarkStart w:id="640" w:name="_Toc20423_WPSOffice_Level1"/>
      <w:r>
        <w:rPr>
          <w:rFonts w:hint="eastAsia" w:ascii="仿宋_GB2312" w:hAnsi="仿宋_GB2312" w:eastAsia="仿宋_GB2312" w:cs="仿宋_GB2312"/>
          <w:bCs/>
          <w:color w:val="auto"/>
          <w:sz w:val="32"/>
          <w:szCs w:val="32"/>
          <w:highlight w:val="none"/>
          <w:lang w:val="zh-CN"/>
        </w:rPr>
        <w:t>三、交付时间、地点和要求</w:t>
      </w:r>
      <w:bookmarkEnd w:id="635"/>
      <w:bookmarkEnd w:id="636"/>
      <w:bookmarkEnd w:id="637"/>
      <w:bookmarkEnd w:id="638"/>
      <w:bookmarkEnd w:id="639"/>
      <w:bookmarkEnd w:id="64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zh-CN"/>
        </w:rPr>
        <w:t>交货时间：</w:t>
      </w:r>
      <w:r>
        <w:rPr>
          <w:rFonts w:hint="eastAsia" w:ascii="仿宋_GB2312" w:hAnsi="仿宋_GB2312" w:eastAsia="仿宋_GB2312" w:cs="仿宋_GB2312"/>
          <w:color w:val="auto"/>
          <w:kern w:val="2"/>
          <w:sz w:val="32"/>
          <w:szCs w:val="32"/>
          <w:highlight w:val="none"/>
          <w:lang w:val="en-US" w:eastAsia="zh-CN" w:bidi="ar-SA"/>
        </w:rPr>
        <w:t>合同签订后45个日历日</w:t>
      </w:r>
    </w:p>
    <w:p>
      <w:pPr>
        <w:widowControl w:val="0"/>
        <w:wordWrap/>
        <w:adjustRightInd w:val="0"/>
        <w:snapToGrid w:val="0"/>
        <w:spacing w:line="560" w:lineRule="exact"/>
        <w:ind w:firstLine="960" w:firstLineChars="3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zh-CN"/>
        </w:rPr>
        <w:t>交货地点：</w:t>
      </w:r>
      <w:r>
        <w:rPr>
          <w:rFonts w:hint="eastAsia" w:ascii="仿宋_GB2312" w:hAnsi="仿宋_GB2312" w:eastAsia="仿宋_GB2312" w:cs="仿宋_GB2312"/>
          <w:bCs/>
          <w:color w:val="auto"/>
          <w:sz w:val="32"/>
          <w:szCs w:val="32"/>
          <w:highlight w:val="none"/>
          <w:lang w:val="en-US" w:eastAsia="zh-CN"/>
        </w:rPr>
        <w:t>:甲方指定地点</w:t>
      </w:r>
      <w:r>
        <w:rPr>
          <w:rFonts w:hint="eastAsia" w:ascii="仿宋_GB2312" w:hAnsi="仿宋_GB2312" w:eastAsia="仿宋_GB2312" w:cs="仿宋_GB2312"/>
          <w:bCs/>
          <w:color w:val="auto"/>
          <w:sz w:val="32"/>
          <w:szCs w:val="32"/>
          <w:highlight w:val="none"/>
          <w:lang w:val="zh-CN"/>
        </w:rPr>
        <w:t xml:space="preserve">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zh-CN"/>
        </w:rPr>
        <w:t>乙方提供不符合谈判文件、谈判响应文件和本合同规定的产品，甲方有权拒绝接受。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lang w:val="zh-CN"/>
        </w:rPr>
        <w:t>乙方应将提供产品的装箱清单、用户手册、资料、工具和备品、备件等交付给甲方，如有缺失应及时补齐，否则视为逾期交货。</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4. </w:t>
      </w:r>
      <w:r>
        <w:rPr>
          <w:rFonts w:hint="eastAsia" w:ascii="仿宋_GB2312" w:hAnsi="仿宋_GB2312" w:eastAsia="仿宋_GB2312" w:cs="仿宋_GB2312"/>
          <w:bCs/>
          <w:color w:val="auto"/>
          <w:sz w:val="32"/>
          <w:szCs w:val="32"/>
          <w:highlight w:val="none"/>
          <w:lang w:val="zh-CN"/>
        </w:rPr>
        <w:t>甲方应当在到货（安装、调试完）后</w:t>
      </w:r>
      <w:r>
        <w:rPr>
          <w:rFonts w:hint="eastAsia" w:ascii="仿宋_GB2312" w:hAnsi="仿宋_GB2312" w:eastAsia="仿宋_GB2312" w:cs="仿宋_GB2312"/>
          <w:bCs/>
          <w:color w:val="auto"/>
          <w:sz w:val="32"/>
          <w:szCs w:val="32"/>
          <w:highlight w:val="none"/>
          <w:u w:val="single"/>
          <w:lang w:val="zh-CN"/>
        </w:rPr>
        <w:t xml:space="preserve">    </w:t>
      </w:r>
      <w:r>
        <w:rPr>
          <w:rFonts w:hint="eastAsia" w:ascii="仿宋_GB2312" w:hAnsi="仿宋_GB2312" w:eastAsia="仿宋_GB2312" w:cs="仿宋_GB2312"/>
          <w:bCs/>
          <w:color w:val="auto"/>
          <w:sz w:val="32"/>
          <w:szCs w:val="32"/>
          <w:highlight w:val="none"/>
          <w:lang w:val="zh-CN"/>
        </w:rPr>
        <w:t>个工作日内进行验收。验收合格后，由甲乙双方签署产品验收单并加盖采购人公章，甲乙双方各执一份。</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lang w:val="zh-CN"/>
        </w:rPr>
        <w:t xml:space="preserve"> 甲方应提供该项目验收报告交同级财政监管部门，由财政部门按规定程序抽验后办理资金拨付。</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Cs/>
          <w:color w:val="auto"/>
          <w:sz w:val="32"/>
          <w:szCs w:val="32"/>
          <w:highlight w:val="none"/>
          <w:lang w:val="zh-CN"/>
        </w:rPr>
        <w:t xml:space="preserve"> 甲方在履行合同过程中发现乙方有违约问题，可按谈判文件、谈判响应文件的规定要求乙方及时予以解决。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w:t>
      </w:r>
      <w:r>
        <w:rPr>
          <w:rFonts w:hint="eastAsia" w:ascii="仿宋_GB2312" w:hAnsi="仿宋_GB2312" w:eastAsia="仿宋_GB2312" w:cs="仿宋_GB2312"/>
          <w:bCs/>
          <w:color w:val="auto"/>
          <w:sz w:val="32"/>
          <w:szCs w:val="32"/>
          <w:highlight w:val="none"/>
          <w:lang w:val="zh-CN"/>
        </w:rPr>
        <w:t>乙方向甲方提供产品相关完税销售发票。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41" w:name="_Toc29015_WPSOffice_Level1"/>
      <w:bookmarkStart w:id="642" w:name="_Toc23122_WPSOffice_Level1"/>
      <w:bookmarkStart w:id="643" w:name="_Toc32406_WPSOffice_Level1"/>
      <w:bookmarkStart w:id="644" w:name="_Toc19609_WPSOffice_Level1"/>
      <w:bookmarkStart w:id="645" w:name="_Toc5771_WPSOffice_Level1"/>
      <w:bookmarkStart w:id="646" w:name="_Toc2306_WPSOffice_Level1"/>
      <w:r>
        <w:rPr>
          <w:rFonts w:hint="eastAsia" w:ascii="仿宋_GB2312" w:hAnsi="仿宋_GB2312" w:eastAsia="仿宋_GB2312" w:cs="仿宋_GB2312"/>
          <w:bCs/>
          <w:color w:val="auto"/>
          <w:sz w:val="32"/>
          <w:szCs w:val="32"/>
          <w:highlight w:val="none"/>
        </w:rPr>
        <w:t>四、付款方式</w:t>
      </w:r>
      <w:bookmarkEnd w:id="641"/>
      <w:bookmarkEnd w:id="642"/>
      <w:bookmarkEnd w:id="643"/>
      <w:bookmarkEnd w:id="644"/>
      <w:bookmarkEnd w:id="645"/>
      <w:bookmarkEnd w:id="646"/>
    </w:p>
    <w:p>
      <w:pPr>
        <w:pStyle w:val="9"/>
        <w:ind w:firstLine="960" w:firstLineChars="300"/>
        <w:rPr>
          <w:rFonts w:hint="eastAsia" w:ascii="仿宋_GB2312" w:hAnsi="仿宋_GB2312" w:eastAsia="仿宋_GB2312" w:cs="仿宋_GB2312"/>
          <w:bCs/>
          <w:color w:val="auto"/>
          <w:kern w:val="2"/>
          <w:sz w:val="32"/>
          <w:szCs w:val="32"/>
          <w:highlight w:val="none"/>
          <w:u w:val="single"/>
          <w:lang w:val="zh-CN" w:eastAsia="zh-CN" w:bidi="ar-SA"/>
        </w:rPr>
      </w:pPr>
      <w:r>
        <w:rPr>
          <w:rFonts w:hint="eastAsia" w:ascii="仿宋_GB2312" w:hAnsi="仿宋_GB2312" w:eastAsia="仿宋_GB2312" w:cs="仿宋_GB2312"/>
          <w:bCs/>
          <w:color w:val="auto"/>
          <w:kern w:val="2"/>
          <w:sz w:val="32"/>
          <w:szCs w:val="32"/>
          <w:highlight w:val="none"/>
          <w:u w:val="single"/>
          <w:lang w:val="zh-CN" w:eastAsia="zh-CN" w:bidi="ar-SA"/>
        </w:rPr>
        <w:t>合同签订后，甲方向乙方支付合同价款的30%为预付款，货物验收合格后支付合同价款的67%，剩余合同总额</w:t>
      </w:r>
      <w:r>
        <w:rPr>
          <w:rFonts w:hint="eastAsia" w:ascii="仿宋_GB2312" w:hAnsi="仿宋_GB2312" w:eastAsia="仿宋_GB2312" w:cs="仿宋_GB2312"/>
          <w:b/>
          <w:bCs w:val="0"/>
          <w:color w:val="auto"/>
          <w:kern w:val="2"/>
          <w:sz w:val="32"/>
          <w:szCs w:val="32"/>
          <w:highlight w:val="none"/>
          <w:u w:val="single"/>
          <w:lang w:val="en-US" w:eastAsia="zh-CN" w:bidi="ar-SA"/>
        </w:rPr>
        <w:t>3</w:t>
      </w:r>
      <w:r>
        <w:rPr>
          <w:rFonts w:hint="eastAsia" w:ascii="仿宋_GB2312" w:hAnsi="仿宋_GB2312" w:eastAsia="仿宋_GB2312" w:cs="仿宋_GB2312"/>
          <w:b/>
          <w:bCs w:val="0"/>
          <w:color w:val="auto"/>
          <w:kern w:val="2"/>
          <w:sz w:val="32"/>
          <w:szCs w:val="32"/>
          <w:highlight w:val="none"/>
          <w:u w:val="single"/>
          <w:lang w:val="zh-CN" w:eastAsia="zh-CN" w:bidi="ar-SA"/>
        </w:rPr>
        <w:t>%</w:t>
      </w:r>
      <w:r>
        <w:rPr>
          <w:rFonts w:hint="eastAsia" w:ascii="仿宋_GB2312" w:hAnsi="仿宋_GB2312" w:eastAsia="仿宋_GB2312" w:cs="仿宋_GB2312"/>
          <w:bCs/>
          <w:color w:val="auto"/>
          <w:kern w:val="2"/>
          <w:sz w:val="32"/>
          <w:szCs w:val="32"/>
          <w:highlight w:val="none"/>
          <w:u w:val="single"/>
          <w:lang w:val="zh-CN" w:eastAsia="zh-CN" w:bidi="ar-SA"/>
        </w:rPr>
        <w:t>作为质保金满</w:t>
      </w:r>
      <w:r>
        <w:rPr>
          <w:rFonts w:hint="eastAsia" w:ascii="仿宋_GB2312" w:hAnsi="仿宋_GB2312" w:eastAsia="仿宋_GB2312" w:cs="仿宋_GB2312"/>
          <w:b/>
          <w:bCs w:val="0"/>
          <w:color w:val="auto"/>
          <w:kern w:val="2"/>
          <w:sz w:val="32"/>
          <w:szCs w:val="32"/>
          <w:highlight w:val="none"/>
          <w:u w:val="single"/>
          <w:lang w:val="zh-CN" w:eastAsia="zh-CN" w:bidi="ar-SA"/>
        </w:rPr>
        <w:t>壹年</w:t>
      </w:r>
      <w:r>
        <w:rPr>
          <w:rFonts w:hint="eastAsia" w:ascii="仿宋_GB2312" w:hAnsi="仿宋_GB2312" w:eastAsia="仿宋_GB2312" w:cs="仿宋_GB2312"/>
          <w:bCs/>
          <w:color w:val="auto"/>
          <w:kern w:val="2"/>
          <w:sz w:val="32"/>
          <w:szCs w:val="32"/>
          <w:highlight w:val="none"/>
          <w:u w:val="single"/>
          <w:lang w:val="zh-CN" w:eastAsia="zh-CN" w:bidi="ar-SA"/>
        </w:rPr>
        <w:t>无质量问题后，由乙方提出书面申请，甲方以转账方式予以退还，不计利息。</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47" w:name="_Toc8581_WPSOffice_Level1"/>
      <w:bookmarkStart w:id="648" w:name="_Toc26468_WPSOffice_Level1"/>
      <w:bookmarkStart w:id="649" w:name="_Toc4945_WPSOffice_Level1"/>
      <w:bookmarkStart w:id="650" w:name="_Toc9071_WPSOffice_Level1"/>
      <w:bookmarkStart w:id="651" w:name="_Toc1156_WPSOffice_Level1"/>
      <w:bookmarkStart w:id="652" w:name="_Toc4233_WPSOffice_Level1"/>
      <w:r>
        <w:rPr>
          <w:rFonts w:hint="eastAsia" w:ascii="仿宋_GB2312" w:hAnsi="仿宋_GB2312" w:eastAsia="仿宋_GB2312" w:cs="仿宋_GB2312"/>
          <w:bCs/>
          <w:color w:val="auto"/>
          <w:sz w:val="32"/>
          <w:szCs w:val="32"/>
          <w:highlight w:val="none"/>
          <w:lang w:val="zh-CN"/>
        </w:rPr>
        <w:t>五、合同的变更、终止与转让</w:t>
      </w:r>
      <w:bookmarkEnd w:id="647"/>
      <w:bookmarkEnd w:id="648"/>
      <w:bookmarkEnd w:id="649"/>
      <w:bookmarkEnd w:id="650"/>
      <w:bookmarkEnd w:id="651"/>
      <w:bookmarkEnd w:id="65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zh-CN"/>
        </w:rPr>
        <w:t>除《中华人民共和国政府采购法》第</w:t>
      </w:r>
      <w:r>
        <w:rPr>
          <w:rFonts w:hint="eastAsia" w:ascii="仿宋_GB2312" w:hAnsi="仿宋_GB2312" w:eastAsia="仿宋_GB2312" w:cs="仿宋_GB2312"/>
          <w:bCs/>
          <w:color w:val="auto"/>
          <w:sz w:val="32"/>
          <w:szCs w:val="32"/>
          <w:highlight w:val="none"/>
        </w:rPr>
        <w:t>50</w:t>
      </w:r>
      <w:r>
        <w:rPr>
          <w:rFonts w:hint="eastAsia" w:ascii="仿宋_GB2312" w:hAnsi="仿宋_GB2312" w:eastAsia="仿宋_GB2312" w:cs="仿宋_GB2312"/>
          <w:bCs/>
          <w:color w:val="auto"/>
          <w:sz w:val="32"/>
          <w:szCs w:val="32"/>
          <w:highlight w:val="none"/>
          <w:lang w:val="zh-CN"/>
        </w:rPr>
        <w:t>条规定的情形外，本合同一经签订，甲乙双方不得擅自变更、中止或终止。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zh-CN"/>
        </w:rPr>
        <w:t>乙方不得擅自转让其应履行的合同义务。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53" w:name="_Toc14930_WPSOffice_Level1"/>
      <w:bookmarkStart w:id="654" w:name="_Toc2669_WPSOffice_Level1"/>
      <w:bookmarkStart w:id="655" w:name="_Toc27090_WPSOffice_Level1"/>
      <w:bookmarkStart w:id="656" w:name="_Toc29941_WPSOffice_Level1"/>
      <w:bookmarkStart w:id="657" w:name="_Toc20231_WPSOffice_Level1"/>
      <w:bookmarkStart w:id="658" w:name="_Toc21200_WPSOffice_Level1"/>
      <w:r>
        <w:rPr>
          <w:rFonts w:hint="eastAsia" w:ascii="仿宋_GB2312" w:hAnsi="仿宋_GB2312" w:eastAsia="仿宋_GB2312" w:cs="仿宋_GB2312"/>
          <w:bCs/>
          <w:color w:val="auto"/>
          <w:sz w:val="32"/>
          <w:szCs w:val="32"/>
          <w:highlight w:val="none"/>
          <w:lang w:val="zh-CN"/>
        </w:rPr>
        <w:t>六、违约责任</w:t>
      </w:r>
      <w:bookmarkEnd w:id="653"/>
      <w:bookmarkEnd w:id="654"/>
      <w:bookmarkEnd w:id="655"/>
      <w:bookmarkEnd w:id="656"/>
      <w:bookmarkEnd w:id="657"/>
      <w:bookmarkEnd w:id="65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zh-CN"/>
        </w:rPr>
        <w:t>乙方提供的货物如侵犯了第三方权益而引发纠纷或诉讼的，均由乙方负责交涉并承担全部责任。</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lang w:val="zh-CN"/>
        </w:rPr>
        <w:t>因包装、运输引起的货物损坏，甲方有权拒收。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w:t>
      </w:r>
      <w:r>
        <w:rPr>
          <w:rFonts w:hint="eastAsia" w:ascii="仿宋_GB2312" w:hAnsi="仿宋_GB2312" w:eastAsia="仿宋_GB2312" w:cs="仿宋_GB2312"/>
          <w:bCs/>
          <w:color w:val="auto"/>
          <w:sz w:val="32"/>
          <w:szCs w:val="32"/>
          <w:highlight w:val="none"/>
          <w:lang w:val="zh-CN"/>
        </w:rPr>
        <w:t>甲方无故延期接受货物和乙方逾期交货的，每天应向对方偿付未交货物的货款</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val="zh-CN"/>
        </w:rPr>
        <w:t>的违约金，但违约金累计不得超过违约货款的</w:t>
      </w:r>
      <w:r>
        <w:rPr>
          <w:rFonts w:hint="eastAsia"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lang w:val="zh-CN"/>
        </w:rPr>
        <w:t>，超过</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lang w:val="zh-CN"/>
        </w:rPr>
        <w:t>天对方有权解除合同，违约方承担因此给对方造成的经济损失</w:t>
      </w: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zh-CN"/>
        </w:rPr>
        <w:t>。</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lang w:val="zh-CN"/>
        </w:rPr>
        <w:t>乙方未按本合同和响应文件中规定的服务承诺提供售后服务的，乙方应按本合同合计金额的</w:t>
      </w:r>
      <w:r>
        <w:rPr>
          <w:rFonts w:hint="eastAsia"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lang w:val="zh-CN"/>
        </w:rPr>
        <w:t>向甲方支付违约金。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Cs/>
          <w:color w:val="auto"/>
          <w:sz w:val="32"/>
          <w:szCs w:val="32"/>
          <w:highlight w:val="none"/>
          <w:lang w:val="zh-CN"/>
        </w:rPr>
        <w:t>乙方提供的货物在质量保证期内，因设计、工艺或材料的缺陷和其它质量原因造成的问题，由乙方负责，费用从质量保证金中扣除，不足另补。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w:t>
      </w:r>
      <w:r>
        <w:rPr>
          <w:rFonts w:hint="eastAsia" w:ascii="仿宋_GB2312" w:hAnsi="仿宋_GB2312" w:eastAsia="仿宋_GB2312" w:cs="仿宋_GB2312"/>
          <w:bCs/>
          <w:color w:val="auto"/>
          <w:sz w:val="32"/>
          <w:szCs w:val="32"/>
          <w:highlight w:val="none"/>
          <w:lang w:val="zh-CN"/>
        </w:rPr>
        <w:t>其它违约行为按违约货款额</w:t>
      </w:r>
      <w:r>
        <w:rPr>
          <w:rFonts w:hint="eastAsia"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lang w:val="zh-CN"/>
        </w:rPr>
        <w:t>收取违约金并赔偿经济损失。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59" w:name="_Toc2639_WPSOffice_Level1"/>
      <w:bookmarkStart w:id="660" w:name="_Toc13664_WPSOffice_Level1"/>
      <w:bookmarkStart w:id="661" w:name="_Toc2021_WPSOffice_Level1"/>
      <w:bookmarkStart w:id="662" w:name="_Toc29473_WPSOffice_Level1"/>
      <w:bookmarkStart w:id="663" w:name="_Toc31682_WPSOffice_Level1"/>
      <w:bookmarkStart w:id="664" w:name="_Toc4924_WPSOffice_Level1"/>
      <w:r>
        <w:rPr>
          <w:rFonts w:hint="eastAsia" w:ascii="仿宋_GB2312" w:hAnsi="仿宋_GB2312" w:eastAsia="仿宋_GB2312" w:cs="仿宋_GB2312"/>
          <w:bCs/>
          <w:color w:val="auto"/>
          <w:sz w:val="32"/>
          <w:szCs w:val="32"/>
          <w:highlight w:val="none"/>
          <w:lang w:val="zh-CN"/>
        </w:rPr>
        <w:t>七、不可抗力</w:t>
      </w:r>
      <w:bookmarkEnd w:id="659"/>
      <w:bookmarkEnd w:id="660"/>
      <w:bookmarkEnd w:id="661"/>
      <w:bookmarkEnd w:id="662"/>
      <w:bookmarkEnd w:id="663"/>
      <w:bookmarkEnd w:id="66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zh-CN"/>
        </w:rPr>
        <w:t>不可抗力使合同的某些内容有变更必要的，双方应通过协商在</w:t>
      </w: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zh-CN"/>
        </w:rPr>
        <w:t>天内达成进一步履行合同的协议，因不可抗力致使合同不能履行的，合同终止。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zh-CN"/>
        </w:rPr>
        <w:t>除法律、法规规定的不可抗力情形外，双方约定出现情况亦视为不可抗力。</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65" w:name="_Toc19414_WPSOffice_Level1"/>
      <w:bookmarkStart w:id="666" w:name="_Toc26412_WPSOffice_Level1"/>
      <w:bookmarkStart w:id="667" w:name="_Toc10383_WPSOffice_Level1"/>
      <w:bookmarkStart w:id="668" w:name="_Toc3848_WPSOffice_Level1"/>
      <w:bookmarkStart w:id="669" w:name="_Toc18318_WPSOffice_Level1"/>
      <w:bookmarkStart w:id="670" w:name="_Toc23622_WPSOffice_Level1"/>
      <w:r>
        <w:rPr>
          <w:rFonts w:hint="eastAsia" w:ascii="仿宋_GB2312" w:hAnsi="仿宋_GB2312" w:eastAsia="仿宋_GB2312" w:cs="仿宋_GB2312"/>
          <w:bCs/>
          <w:color w:val="auto"/>
          <w:sz w:val="32"/>
          <w:szCs w:val="32"/>
          <w:highlight w:val="none"/>
          <w:lang w:val="zh-CN"/>
        </w:rPr>
        <w:t>八、知识产权：</w:t>
      </w:r>
      <w:bookmarkEnd w:id="665"/>
      <w:bookmarkEnd w:id="666"/>
      <w:bookmarkEnd w:id="667"/>
      <w:bookmarkEnd w:id="668"/>
      <w:bookmarkEnd w:id="669"/>
      <w:bookmarkEnd w:id="67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71" w:name="_Toc19632_WPSOffice_Level1"/>
      <w:bookmarkStart w:id="672" w:name="_Toc20210_WPSOffice_Level1"/>
      <w:bookmarkStart w:id="673" w:name="_Toc19749_WPSOffice_Level1"/>
      <w:bookmarkStart w:id="674" w:name="_Toc13231_WPSOffice_Level1"/>
      <w:bookmarkStart w:id="675" w:name="_Toc10217_WPSOffice_Level1"/>
      <w:bookmarkStart w:id="676" w:name="_Toc2260_WPSOffice_Level1"/>
      <w:r>
        <w:rPr>
          <w:rFonts w:hint="eastAsia" w:ascii="仿宋_GB2312" w:hAnsi="仿宋_GB2312" w:eastAsia="仿宋_GB2312" w:cs="仿宋_GB2312"/>
          <w:bCs/>
          <w:color w:val="auto"/>
          <w:sz w:val="32"/>
          <w:szCs w:val="32"/>
          <w:highlight w:val="none"/>
          <w:lang w:val="zh-CN"/>
        </w:rPr>
        <w:t>九、其他约定：</w:t>
      </w:r>
      <w:bookmarkEnd w:id="671"/>
      <w:bookmarkEnd w:id="672"/>
      <w:bookmarkEnd w:id="673"/>
      <w:bookmarkEnd w:id="674"/>
      <w:bookmarkEnd w:id="675"/>
      <w:bookmarkEnd w:id="67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77" w:name="_Toc23823_WPSOffice_Level1"/>
      <w:bookmarkStart w:id="678" w:name="_Toc20133_WPSOffice_Level1"/>
      <w:bookmarkStart w:id="679" w:name="_Toc18552_WPSOffice_Level1"/>
      <w:bookmarkStart w:id="680" w:name="_Toc6985_WPSOffice_Level1"/>
      <w:bookmarkStart w:id="681" w:name="_Toc2032_WPSOffice_Level1"/>
      <w:bookmarkStart w:id="682" w:name="_Toc19521_WPSOffice_Level1"/>
      <w:r>
        <w:rPr>
          <w:rFonts w:hint="eastAsia" w:ascii="仿宋_GB2312" w:hAnsi="仿宋_GB2312" w:eastAsia="仿宋_GB2312" w:cs="仿宋_GB2312"/>
          <w:bCs/>
          <w:color w:val="auto"/>
          <w:sz w:val="32"/>
          <w:szCs w:val="32"/>
          <w:highlight w:val="none"/>
          <w:lang w:val="zh-CN"/>
        </w:rPr>
        <w:t>十、合同争议解决</w:t>
      </w:r>
      <w:bookmarkEnd w:id="677"/>
      <w:bookmarkEnd w:id="678"/>
      <w:bookmarkEnd w:id="679"/>
      <w:bookmarkEnd w:id="680"/>
      <w:bookmarkEnd w:id="681"/>
      <w:bookmarkEnd w:id="68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zh-CN"/>
        </w:rPr>
        <w:t>因产品质量问题发生争议的，应邀请国家认可的质量检测机构进行鉴定。产品符合标准的，鉴定费由甲方承担；产品不符合标准的，鉴定费由乙方承担。</w:t>
      </w:r>
    </w:p>
    <w:p>
      <w:pPr>
        <w:wordWrap/>
        <w:topLinePunct w:val="0"/>
        <w:ind w:firstLine="600"/>
        <w:rPr>
          <w:rFonts w:ascii="仿宋_GB2312" w:eastAsia="仿宋_GB2312"/>
          <w:color w:val="auto"/>
          <w:sz w:val="30"/>
          <w:szCs w:val="30"/>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zh-CN"/>
        </w:rPr>
        <w:t>因履行本合同引起的或与本合同有关的争议，甲乙双方应首先通过友好协商解决，如果协商不能解决，可</w:t>
      </w:r>
      <w:r>
        <w:rPr>
          <w:rFonts w:hint="eastAsia" w:ascii="仿宋_GB2312" w:eastAsia="仿宋_GB2312"/>
          <w:color w:val="auto"/>
          <w:sz w:val="30"/>
          <w:szCs w:val="30"/>
          <w:highlight w:val="none"/>
        </w:rPr>
        <w:t>按下列第</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种方式解决：</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1</w:t>
      </w:r>
      <w:r>
        <w:rPr>
          <w:rFonts w:ascii="仿宋_GB2312" w:eastAsia="仿宋_GB2312"/>
          <w:color w:val="auto"/>
          <w:sz w:val="30"/>
          <w:szCs w:val="30"/>
          <w:highlight w:val="none"/>
        </w:rPr>
        <w:t>）向</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人民法院起诉。</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2</w:t>
      </w:r>
      <w:r>
        <w:rPr>
          <w:rFonts w:ascii="仿宋_GB2312" w:eastAsia="仿宋_GB2312"/>
          <w:color w:val="auto"/>
          <w:sz w:val="30"/>
          <w:szCs w:val="30"/>
          <w:highlight w:val="none"/>
        </w:rPr>
        <w:t>）向</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仲裁委员会申请仲裁；</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lang w:val="zh-CN"/>
        </w:rPr>
        <w:t>诉讼期间，本合同继续履行。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83" w:name="_Toc25759_WPSOffice_Level1"/>
      <w:bookmarkStart w:id="684" w:name="_Toc20057_WPSOffice_Level1"/>
      <w:bookmarkStart w:id="685" w:name="_Toc27544_WPSOffice_Level1"/>
      <w:bookmarkStart w:id="686" w:name="_Toc12915_WPSOffice_Level1"/>
      <w:bookmarkStart w:id="687" w:name="_Toc8439_WPSOffice_Level1"/>
      <w:bookmarkStart w:id="688" w:name="_Toc18713_WPSOffice_Level1"/>
      <w:r>
        <w:rPr>
          <w:rFonts w:hint="eastAsia" w:ascii="仿宋_GB2312" w:hAnsi="仿宋_GB2312" w:eastAsia="仿宋_GB2312" w:cs="仿宋_GB2312"/>
          <w:bCs/>
          <w:color w:val="auto"/>
          <w:sz w:val="32"/>
          <w:szCs w:val="32"/>
          <w:highlight w:val="none"/>
          <w:lang w:val="zh-CN"/>
        </w:rPr>
        <w:t>十一、合同生效及其它</w:t>
      </w:r>
      <w:r>
        <w:rPr>
          <w:rFonts w:hint="eastAsia" w:ascii="仿宋_GB2312" w:hAnsi="仿宋_GB2312" w:eastAsia="仿宋_GB2312" w:cs="仿宋_GB2312"/>
          <w:bCs/>
          <w:color w:val="auto"/>
          <w:sz w:val="32"/>
          <w:szCs w:val="32"/>
          <w:highlight w:val="none"/>
        </w:rPr>
        <w:t>：</w:t>
      </w:r>
      <w:bookmarkEnd w:id="683"/>
      <w:bookmarkEnd w:id="684"/>
      <w:bookmarkEnd w:id="685"/>
      <w:bookmarkEnd w:id="686"/>
      <w:bookmarkEnd w:id="687"/>
      <w:bookmarkEnd w:id="68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89" w:name="_Toc15526_WPSOffice_Level2"/>
      <w:bookmarkStart w:id="690" w:name="_Toc26653_WPSOffice_Level2"/>
      <w:bookmarkStart w:id="691" w:name="_Toc20231_WPSOffice_Level2"/>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zh-CN"/>
        </w:rPr>
        <w:t>本合同一式六份，经双方签字，并加盖公章即为生效。</w:t>
      </w:r>
      <w:bookmarkEnd w:id="689"/>
      <w:bookmarkEnd w:id="690"/>
      <w:bookmarkEnd w:id="69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92" w:name="_Toc11979_WPSOffice_Level2"/>
      <w:bookmarkStart w:id="693" w:name="_Toc16154_WPSOffice_Level2"/>
      <w:bookmarkStart w:id="694" w:name="_Toc13664_WPSOffice_Level2"/>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val="zh-CN"/>
        </w:rPr>
        <w:t>本合同未尽事宜，按《民法典》有关规定处理。</w:t>
      </w:r>
      <w:bookmarkEnd w:id="692"/>
      <w:bookmarkEnd w:id="693"/>
      <w:bookmarkEnd w:id="69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甲方（盖章）：               乙方（盖章）：</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地址：                       地址：</w:t>
      </w:r>
    </w:p>
    <w:p>
      <w:pPr>
        <w:widowControl w:val="0"/>
        <w:wordWrap/>
        <w:adjustRightInd w:val="0"/>
        <w:snapToGrid w:val="0"/>
        <w:spacing w:line="560" w:lineRule="exact"/>
        <w:ind w:left="6398" w:leftChars="304" w:hanging="5760" w:hangingChars="18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法定代表人或委托代理人：      法定代表人或委托代理人：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开户银行：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联系电话：                   账号：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联系电话：</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签约时间：  年  月  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合同备案部门：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负责人：                      经办人：</w:t>
      </w:r>
    </w:p>
    <w:p>
      <w:pPr>
        <w:pStyle w:val="9"/>
        <w:rPr>
          <w:rFonts w:hint="eastAsia"/>
        </w:rPr>
      </w:pPr>
    </w:p>
    <w:p>
      <w:pPr>
        <w:widowControl w:val="0"/>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合同备案时间：</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年  月  日</w:t>
      </w:r>
    </w:p>
    <w:p>
      <w:pP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br w:type="page"/>
      </w:r>
    </w:p>
    <w:p>
      <w:pPr>
        <w:widowControl w:val="0"/>
        <w:wordWrap/>
        <w:adjustRightInd w:val="0"/>
        <w:snapToGrid w:val="0"/>
        <w:spacing w:line="560" w:lineRule="exact"/>
        <w:ind w:firstLine="640" w:firstLineChars="200"/>
        <w:jc w:val="center"/>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合同通用条款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根据《民法典》、《中华人民共和国政府采购法》的规定，合同双方经协商达成一致，自愿订立本合同，遵循公平原则明确双方的权利、义务，确保双方诚实守信地履行合同。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95" w:name="_Toc26412_WPSOffice_Level2"/>
      <w:bookmarkStart w:id="696" w:name="_Toc22507_WPSOffice_Level2"/>
      <w:bookmarkStart w:id="697" w:name="_Toc20198_WPSOffice_Level2"/>
      <w:r>
        <w:rPr>
          <w:rFonts w:hint="eastAsia" w:ascii="仿宋_GB2312" w:hAnsi="仿宋_GB2312" w:eastAsia="仿宋_GB2312" w:cs="仿宋_GB2312"/>
          <w:bCs/>
          <w:color w:val="auto"/>
          <w:sz w:val="32"/>
          <w:szCs w:val="32"/>
          <w:highlight w:val="none"/>
        </w:rPr>
        <w:t>1.定义</w:t>
      </w:r>
      <w:bookmarkEnd w:id="695"/>
      <w:bookmarkEnd w:id="696"/>
      <w:bookmarkEnd w:id="69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本合同中的下列术语应解释为：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 “合同”指甲乙双方签署的、载明的甲乙双方权利义务的协议，包括所有的附件、附录和上述文件所提到的构成合同的所有文件。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1.2 “合同金额”指根据合同规定，乙方在正确地完全履行合同义务后甲方应付给乙方的价款。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 “合同条款”指本合同条款。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 “货物”指乙方根据合同约定须向甲方提供的一切产品、设备、机械、仪表、备件等，包括辅助工具、使用手册等相关资料。</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 “服务”指根据本合同规定乙方承担与供货有关的辅助服务，如运输、保险及安装、调试、提供技术援助、培训和合同中规定乙方应承担的其它义务。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1.6 “甲方”指购买货物和服务的单位。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 “乙方”指提供本合同条款下货物和服务的公司或其他实体。</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1.8 “现场”指合同规定货物将要运至和安装的地点。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1.9 “验收”指合同双方依据强制性的国家技术质量规范和合同约定，确认合同条款下的货物符合合同规定的活动。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1.10原厂商：产品制造商或其在中国境内设立的办事或技术服务机构。除另有说明外，本合同文件所述的制造商、产品制造商、制造厂家、产品制造厂家均为原厂商。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1.11 原产地：指产品的生产地，或提供服务的来源地。</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1.12 “工作日”指国家法定工作日，“天”指日历天数。</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698" w:name="_Toc9343_WPSOffice_Level2"/>
      <w:bookmarkStart w:id="699" w:name="_Toc21237_WPSOffice_Level2"/>
      <w:bookmarkStart w:id="700" w:name="_Toc20210_WPSOffice_Level2"/>
      <w:r>
        <w:rPr>
          <w:rFonts w:hint="eastAsia" w:ascii="仿宋_GB2312" w:hAnsi="仿宋_GB2312" w:eastAsia="仿宋_GB2312" w:cs="仿宋_GB2312"/>
          <w:bCs/>
          <w:color w:val="auto"/>
          <w:sz w:val="32"/>
          <w:szCs w:val="32"/>
          <w:highlight w:val="none"/>
        </w:rPr>
        <w:t>2.技术规格要求</w:t>
      </w:r>
      <w:bookmarkEnd w:id="698"/>
      <w:bookmarkEnd w:id="699"/>
      <w:bookmarkEnd w:id="70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 本合同条款下提交货物的技术规格要求应等于或优于谈判文件、谈判响应文件技术规格要求。若技术规格要求中无相应规定，则应符合相应的国家有关部门最新颁布的相应正式标准。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 乙方应向甲方提供货物及服务有关的标准的中文文本。</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2.3 除非技术规范中另有规定，计量单位均采用中华人民共和国法定计量单位。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01" w:name="_Toc23823_WPSOffice_Level2"/>
      <w:bookmarkStart w:id="702" w:name="_Toc415_WPSOffice_Level2"/>
      <w:bookmarkStart w:id="703" w:name="_Toc26773_WPSOffice_Level2"/>
      <w:r>
        <w:rPr>
          <w:rFonts w:hint="eastAsia" w:ascii="仿宋_GB2312" w:hAnsi="仿宋_GB2312" w:eastAsia="仿宋_GB2312" w:cs="仿宋_GB2312"/>
          <w:bCs/>
          <w:color w:val="auto"/>
          <w:sz w:val="32"/>
          <w:szCs w:val="32"/>
          <w:highlight w:val="none"/>
        </w:rPr>
        <w:t>3.合同范围</w:t>
      </w:r>
      <w:bookmarkEnd w:id="701"/>
      <w:bookmarkEnd w:id="702"/>
      <w:bookmarkEnd w:id="70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3.2 乙方应负责培训甲方的技术人员。</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04" w:name="_Toc22989_WPSOffice_Level2"/>
      <w:bookmarkStart w:id="705" w:name="_Toc27544_WPSOffice_Level2"/>
      <w:bookmarkStart w:id="706" w:name="_Toc1426_WPSOffice_Level2"/>
      <w:r>
        <w:rPr>
          <w:rFonts w:hint="eastAsia" w:ascii="仿宋_GB2312" w:hAnsi="仿宋_GB2312" w:eastAsia="仿宋_GB2312" w:cs="仿宋_GB2312"/>
          <w:bCs/>
          <w:color w:val="auto"/>
          <w:sz w:val="32"/>
          <w:szCs w:val="32"/>
          <w:highlight w:val="none"/>
        </w:rPr>
        <w:t>4.合同文件和资料</w:t>
      </w:r>
      <w:bookmarkEnd w:id="704"/>
      <w:bookmarkEnd w:id="705"/>
      <w:bookmarkEnd w:id="70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4.1乙方在提供仪器设备时应同时提供中文版相关的技术资料，如目录索引、图纸、操作手册、使用指南、维修指南、服务手册等。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07" w:name="_Toc14802_WPSOffice_Level2"/>
      <w:bookmarkStart w:id="708" w:name="_Toc23784_WPSOffice_Level2"/>
      <w:bookmarkStart w:id="709" w:name="_Toc18584_WPSOffice_Level2"/>
      <w:r>
        <w:rPr>
          <w:rFonts w:hint="eastAsia" w:ascii="仿宋_GB2312" w:hAnsi="仿宋_GB2312" w:eastAsia="仿宋_GB2312" w:cs="仿宋_GB2312"/>
          <w:bCs/>
          <w:color w:val="auto"/>
          <w:sz w:val="32"/>
          <w:szCs w:val="32"/>
          <w:highlight w:val="none"/>
        </w:rPr>
        <w:t>5.知识产权</w:t>
      </w:r>
      <w:bookmarkEnd w:id="707"/>
      <w:bookmarkEnd w:id="708"/>
      <w:bookmarkEnd w:id="70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5.1乙方应保证甲方在使用该货物或其任何一部分时不受第三方提出的侵犯专利权、 著作权、商标权和工业设计权等的起诉。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5.2任何第三方提出侵权指控，乙方须与第三方交涉并承担由此产生的一切责任、费用和经济赔偿。</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5.3双方应共同遵守国家有关版权、专利、商标等知识产权方面的法律规定，相互尊重对方的知识产权，对本合同内容、对方的技术秘密和商业秘密负有保密责任。如有违反，违约方负相关法律责任。</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5.4在本合同生效时已经存在并为各方合法拥有或使用的所有技术、资料和信息的知识产权，仍应属于其各自的原权利人所有或享有，另有约定的除外。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10" w:name="_Toc22229_WPSOffice_Level2"/>
      <w:bookmarkStart w:id="711" w:name="_Toc13395_WPSOffice_Level2"/>
      <w:bookmarkStart w:id="712" w:name="_Toc25026_WPSOffice_Level2"/>
      <w:r>
        <w:rPr>
          <w:rFonts w:hint="eastAsia" w:ascii="仿宋_GB2312" w:hAnsi="仿宋_GB2312" w:eastAsia="仿宋_GB2312" w:cs="仿宋_GB2312"/>
          <w:bCs/>
          <w:color w:val="auto"/>
          <w:sz w:val="32"/>
          <w:szCs w:val="32"/>
          <w:highlight w:val="none"/>
        </w:rPr>
        <w:t>6.保密</w:t>
      </w:r>
      <w:bookmarkEnd w:id="710"/>
      <w:bookmarkEnd w:id="711"/>
      <w:bookmarkEnd w:id="71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6.2保密信息指任何一方因履行本合同所知悉的任何以口头、书面、图表或电子形式存在的对方信息，具体包括：</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6.2.1任何涉及对方过去、现在或将来的商业计划、规章制度、操作规程、处理手段、财务信息；</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6.2.2任何对方的技术措施、技术方案、软件应用及开发，硬件设备的品种、质量、数量、品牌等；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6.2.3任何对方的技术秘密或专有知识、文件 、报告、数据、客户软件、流程图、数据库、发明、知识、贸易秘密。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6.3乙方应根据甲方的要求签署相应的保密协议，保密协议与本条款存在不一致的，以保密协议为准。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13" w:name="_Toc23853_WPSOffice_Level2"/>
      <w:bookmarkStart w:id="714" w:name="_Toc6752_WPSOffice_Level2"/>
      <w:bookmarkStart w:id="715" w:name="_Toc12645_WPSOffice_Level2"/>
      <w:r>
        <w:rPr>
          <w:rFonts w:hint="eastAsia" w:ascii="仿宋_GB2312" w:hAnsi="仿宋_GB2312" w:eastAsia="仿宋_GB2312" w:cs="仿宋_GB2312"/>
          <w:bCs/>
          <w:color w:val="auto"/>
          <w:sz w:val="32"/>
          <w:szCs w:val="32"/>
          <w:highlight w:val="none"/>
        </w:rPr>
        <w:t>7. 质量保证</w:t>
      </w:r>
      <w:bookmarkEnd w:id="713"/>
      <w:bookmarkEnd w:id="714"/>
      <w:bookmarkEnd w:id="71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16" w:name="_Toc26729_WPSOffice_Level3"/>
      <w:bookmarkStart w:id="717" w:name="_Toc8450_WPSOffice_Level3"/>
      <w:r>
        <w:rPr>
          <w:rFonts w:hint="eastAsia" w:ascii="仿宋_GB2312" w:hAnsi="仿宋_GB2312" w:eastAsia="仿宋_GB2312" w:cs="仿宋_GB2312"/>
          <w:bCs/>
          <w:color w:val="auto"/>
          <w:sz w:val="32"/>
          <w:szCs w:val="32"/>
          <w:highlight w:val="none"/>
        </w:rPr>
        <w:t>7.1货物质量保证</w:t>
      </w:r>
      <w:bookmarkEnd w:id="716"/>
      <w:bookmarkEnd w:id="71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7.1.1乙方必须保证货物是全新、未使用过的，并完全符合强制性的国家技术质量规范和合同规定的质量、规格、性能和技术规范等的要求。</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7.1.5 合同条款下货物的质量保证期自货物通过最终验收起算，合同另行规定除外。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18" w:name="_Toc18945_WPSOffice_Level3"/>
      <w:bookmarkStart w:id="719" w:name="_Toc9593_WPSOffice_Level3"/>
      <w:r>
        <w:rPr>
          <w:rFonts w:hint="eastAsia" w:ascii="仿宋_GB2312" w:hAnsi="仿宋_GB2312" w:eastAsia="仿宋_GB2312" w:cs="仿宋_GB2312"/>
          <w:bCs/>
          <w:color w:val="auto"/>
          <w:sz w:val="32"/>
          <w:szCs w:val="32"/>
          <w:highlight w:val="none"/>
        </w:rPr>
        <w:t>7.2辅助服务质量保证</w:t>
      </w:r>
      <w:bookmarkEnd w:id="718"/>
      <w:bookmarkEnd w:id="71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7.2.2乙方应保证合同条款下所提供的服务包括培训、安装指导、单机调试、系统联调和试验等，按合同规定方式进行，并保证不存在因乙方工作人员的过失、错误或疏忽而产生的缺陷。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20" w:name="_Toc19930_WPSOffice_Level2"/>
      <w:bookmarkStart w:id="721" w:name="_Toc16656_WPSOffice_Level2"/>
      <w:bookmarkStart w:id="722" w:name="_Toc444_WPSOffice_Level2"/>
      <w:r>
        <w:rPr>
          <w:rFonts w:hint="eastAsia" w:ascii="仿宋_GB2312" w:hAnsi="仿宋_GB2312" w:eastAsia="仿宋_GB2312" w:cs="仿宋_GB2312"/>
          <w:bCs/>
          <w:color w:val="auto"/>
          <w:sz w:val="32"/>
          <w:szCs w:val="32"/>
          <w:highlight w:val="none"/>
        </w:rPr>
        <w:t>8.包装要求</w:t>
      </w:r>
      <w:bookmarkEnd w:id="720"/>
      <w:bookmarkEnd w:id="721"/>
      <w:bookmarkEnd w:id="72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8.1 除合同另有约定外，乙方提供的全部货物，均应采用本行业通用的方式进行包装，且该包装应符合国家有关包装的法律、法规的规定。</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8.2 包装应适应于远距离运输，并有良好的防潮、防震、防锈和防粗暴装卸等保护措施，以确保货物安全运抵现场。由于包装不善所引起的货物锈蚀、损坏和损失均由乙方承担。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乙方应提供货物运至合同规定的最终目的地所需要的包装，以防止货物在转运中损坏或变质。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8.3 乙方所提供的货物包装均为出厂时原包装。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8.4 乙方所提供货物必须附有质量合格证，装箱清单，主机、附件、各种零部件和消耗品，有清楚的与装箱单相对应的名称和编号。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8.5 货物运输中的运输费用和保险费用均由乙方承担。运输过程中的一切损失、损坏均由乙方负责。</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23" w:name="_Toc9360_WPSOffice_Level2"/>
      <w:bookmarkStart w:id="724" w:name="_Toc15918_WPSOffice_Level2"/>
      <w:bookmarkStart w:id="725" w:name="_Toc19342_WPSOffice_Level2"/>
      <w:r>
        <w:rPr>
          <w:rFonts w:hint="eastAsia" w:ascii="仿宋_GB2312" w:hAnsi="仿宋_GB2312" w:eastAsia="仿宋_GB2312" w:cs="仿宋_GB2312"/>
          <w:bCs/>
          <w:color w:val="auto"/>
          <w:sz w:val="32"/>
          <w:szCs w:val="32"/>
          <w:highlight w:val="none"/>
        </w:rPr>
        <w:t>9. 价格</w:t>
      </w:r>
      <w:bookmarkEnd w:id="723"/>
      <w:bookmarkEnd w:id="724"/>
      <w:bookmarkEnd w:id="72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9.2 本合同价格为固定价格，包括了乙方履行合同全过程产生的所有成本和费用以及乙方应承担的一切税费。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9.3检验费用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9.3.1 乙方必须负担本条款下属于乙方负责的检验、测试、调试、试运行和验收的所有费用，并负责乙方派往买方组织的检验、测试和验收人员的所有费用。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9.3.2 甲方按合同计划参加在乙方工厂所在地检验、测试和验收的费用全部由乙方负责并已包含在合同总价中。</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9.3.3甲方检验人员已到卖方所在地，测试无法依照合同进行， 而引起甲方人员延长逗留时间，所有由此产生的包括甲方人员在内的直接费用及成本由乙方承担。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26" w:name="_Toc29082_WPSOffice_Level2"/>
      <w:bookmarkStart w:id="727" w:name="_Toc13355_WPSOffice_Level2"/>
      <w:bookmarkStart w:id="728" w:name="_Toc21379_WPSOffice_Level2"/>
      <w:r>
        <w:rPr>
          <w:rFonts w:hint="eastAsia" w:ascii="仿宋_GB2312" w:hAnsi="仿宋_GB2312" w:eastAsia="仿宋_GB2312" w:cs="仿宋_GB2312"/>
          <w:bCs/>
          <w:color w:val="auto"/>
          <w:sz w:val="32"/>
          <w:szCs w:val="32"/>
          <w:highlight w:val="none"/>
        </w:rPr>
        <w:t>10.交货方式及交货日期</w:t>
      </w:r>
      <w:bookmarkEnd w:id="726"/>
      <w:bookmarkEnd w:id="727"/>
      <w:bookmarkEnd w:id="72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交货方式：现场交货，乙方负责办理运输和保险，将货物运抵现场。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交货日期：所有货物运抵现场并经双方开箱验收合格之日。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29" w:name="_Toc4905_WPSOffice_Level2"/>
      <w:bookmarkStart w:id="730" w:name="_Toc22184_WPSOffice_Level2"/>
      <w:bookmarkStart w:id="731" w:name="_Toc8711_WPSOffice_Level2"/>
      <w:r>
        <w:rPr>
          <w:rFonts w:hint="eastAsia" w:ascii="仿宋_GB2312" w:hAnsi="仿宋_GB2312" w:eastAsia="仿宋_GB2312" w:cs="仿宋_GB2312"/>
          <w:bCs/>
          <w:color w:val="auto"/>
          <w:sz w:val="32"/>
          <w:szCs w:val="32"/>
          <w:highlight w:val="none"/>
        </w:rPr>
        <w:t>11.检验和验收</w:t>
      </w:r>
      <w:bookmarkEnd w:id="729"/>
      <w:bookmarkEnd w:id="730"/>
      <w:bookmarkEnd w:id="73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32" w:name="_Toc7309_WPSOffice_Level3"/>
      <w:bookmarkStart w:id="733" w:name="_Toc11588_WPSOffice_Level3"/>
      <w:r>
        <w:rPr>
          <w:rFonts w:hint="eastAsia" w:ascii="仿宋_GB2312" w:hAnsi="仿宋_GB2312" w:eastAsia="仿宋_GB2312" w:cs="仿宋_GB2312"/>
          <w:bCs/>
          <w:color w:val="auto"/>
          <w:sz w:val="32"/>
          <w:szCs w:val="32"/>
          <w:highlight w:val="none"/>
        </w:rPr>
        <w:t>11.1开箱验收</w:t>
      </w:r>
      <w:bookmarkEnd w:id="732"/>
      <w:bookmarkEnd w:id="73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11.1.1货物运抵现场后，双方应及时开箱验收，并制作验收记录，以确认与本合同约定的数量、型号等是否一致。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34" w:name="_Toc26974_WPSOffice_Level3"/>
      <w:bookmarkStart w:id="735" w:name="_Toc13911_WPSOffice_Level3"/>
      <w:r>
        <w:rPr>
          <w:rFonts w:hint="eastAsia" w:ascii="仿宋_GB2312" w:hAnsi="仿宋_GB2312" w:eastAsia="仿宋_GB2312" w:cs="仿宋_GB2312"/>
          <w:bCs/>
          <w:color w:val="auto"/>
          <w:sz w:val="32"/>
          <w:szCs w:val="32"/>
          <w:highlight w:val="none"/>
        </w:rPr>
        <w:t>11.2  检验验收</w:t>
      </w:r>
      <w:bookmarkEnd w:id="734"/>
      <w:bookmarkEnd w:id="73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11.2.1 交货完成后，乙方应及时组装、调试、试运行，按照合同专用条款规定的试运行完成后，双方及时组织对货物检验验收。合同双方均须派人参加合同要求双方参加的试验、检验。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11.2.2 在具体实施合同规定的检验验收之前，乙方需提前提交相应的测试计划（包括测试程序、测试内容和检验标准、试验时间安排等）供甲方确认。</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11.2.3  除需甲方确认的试验验收外，乙方还应对所有检验验收测试的结果、步骤、原始数据等作妥善记录。如甲方要求，乙方应提供这些记录给买方。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11.2.4  检验测试出现全部或部分未达到本合同所约定的技术指标，甲方有权选择下列任一处理方式：</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a.重新测试直至合格为止；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b.要求乙方对货物进行免费更换，然后重新测试直至合格为止；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无论选择何种方式，甲方因此而发生的因卖方原因引起的所有费用均由乙方负担。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36" w:name="_Toc1685_WPSOffice_Level3"/>
      <w:bookmarkStart w:id="737" w:name="_Toc5393_WPSOffice_Level3"/>
      <w:r>
        <w:rPr>
          <w:rFonts w:hint="eastAsia" w:ascii="仿宋_GB2312" w:hAnsi="仿宋_GB2312" w:eastAsia="仿宋_GB2312" w:cs="仿宋_GB2312"/>
          <w:bCs/>
          <w:color w:val="auto"/>
          <w:sz w:val="32"/>
          <w:szCs w:val="32"/>
          <w:highlight w:val="none"/>
        </w:rPr>
        <w:t>11.3  使用过程检验</w:t>
      </w:r>
      <w:bookmarkEnd w:id="736"/>
      <w:bookmarkEnd w:id="73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11.3.2如果合同双方对乙方提供的上述试验结果报告的解释有分歧，双方须于出现分歧后10天内给对方声明，以陈述己方的观点。声明须附有关证据。分歧应通过协商解决。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38" w:name="_Toc17387_WPSOffice_Level2"/>
      <w:bookmarkStart w:id="739" w:name="_Toc17827_WPSOffice_Level2"/>
      <w:bookmarkStart w:id="740" w:name="_Toc10883_WPSOffice_Level2"/>
      <w:r>
        <w:rPr>
          <w:rFonts w:hint="eastAsia" w:ascii="仿宋_GB2312" w:hAnsi="仿宋_GB2312" w:eastAsia="仿宋_GB2312" w:cs="仿宋_GB2312"/>
          <w:bCs/>
          <w:color w:val="auto"/>
          <w:sz w:val="32"/>
          <w:szCs w:val="32"/>
          <w:highlight w:val="none"/>
        </w:rPr>
        <w:t>12.付款条件</w:t>
      </w:r>
      <w:bookmarkEnd w:id="738"/>
      <w:bookmarkEnd w:id="739"/>
      <w:bookmarkEnd w:id="74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本合同条款下的付款方法和条件在“合同专用条款”中具体规定。</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41" w:name="_Toc8681_WPSOffice_Level2"/>
      <w:bookmarkStart w:id="742" w:name="_Toc24025_WPSOffice_Level2"/>
      <w:bookmarkStart w:id="743" w:name="_Toc25610_WPSOffice_Level2"/>
      <w:r>
        <w:rPr>
          <w:rFonts w:hint="eastAsia" w:ascii="仿宋_GB2312" w:hAnsi="仿宋_GB2312" w:eastAsia="仿宋_GB2312" w:cs="仿宋_GB2312"/>
          <w:bCs/>
          <w:color w:val="auto"/>
          <w:sz w:val="32"/>
          <w:szCs w:val="32"/>
          <w:highlight w:val="none"/>
        </w:rPr>
        <w:t>13.履约保证金</w:t>
      </w:r>
      <w:bookmarkEnd w:id="741"/>
      <w:bookmarkEnd w:id="742"/>
      <w:bookmarkEnd w:id="74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13.1乙方应在合同签订后，按合同专用条款的约定提交履约保证金。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13.2履约保证金用于补偿甲方因卖方不能履行其合同义务而蒙受的损失。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13.3履约保证金应使用本合同货币，按下述方式之一提交（谈判文件中另有约定的除外）：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13.3.1甲方可接受的在中华人民共和国注册和营业的银行出具的履约保函；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13.3.2 应当以支票、汇票、本票或者金融机构、担保机构出具的保函等非现金形式提交。</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13.4乙方未能按合同规定履行其义务，甲方有权从履约保证金中取得补偿。货物验收合格后，甲方将履约保证金退还乙方或转为质量保证金。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44" w:name="_Toc13321_WPSOffice_Level2"/>
      <w:bookmarkStart w:id="745" w:name="_Toc2215_WPSOffice_Level2"/>
      <w:bookmarkStart w:id="746" w:name="_Toc21607_WPSOffice_Level2"/>
      <w:r>
        <w:rPr>
          <w:rFonts w:hint="eastAsia" w:ascii="仿宋_GB2312" w:hAnsi="仿宋_GB2312" w:eastAsia="仿宋_GB2312" w:cs="仿宋_GB2312"/>
          <w:bCs/>
          <w:color w:val="auto"/>
          <w:sz w:val="32"/>
          <w:szCs w:val="32"/>
          <w:highlight w:val="none"/>
        </w:rPr>
        <w:t>14.索赔</w:t>
      </w:r>
      <w:bookmarkEnd w:id="744"/>
      <w:bookmarkEnd w:id="745"/>
      <w:bookmarkEnd w:id="74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14.2在履约保证期和检验期内，乙方对甲方提出的索赔负有责任，乙方应按照甲方同意的下列一种或多种方式解决索赔事宜：</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val="0"/>
        <w:wordWrap/>
        <w:adjustRightInd w:val="0"/>
        <w:snapToGrid w:val="0"/>
        <w:spacing w:line="560" w:lineRule="exact"/>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14.2.2根据货物低劣程度、损坏程度以及甲方所遭受损失的数额，经甲乙双方商定降低货物的价格，或由有资质的中介机构评估，以降低后的价格或评估价格为准。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14.3乙方收到甲方发出的索赔通知之日起5个工作日内未作答复的，甲方可从合同款或履约保证金中扣回索赔金额，如金额不足以补偿索赔金额，乙方应补足差额部分。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47" w:name="_Toc14292_WPSOffice_Level2"/>
      <w:bookmarkStart w:id="748" w:name="_Toc17056_WPSOffice_Level2"/>
      <w:bookmarkStart w:id="749" w:name="_Toc6747_WPSOffice_Level2"/>
      <w:r>
        <w:rPr>
          <w:rFonts w:hint="eastAsia" w:ascii="仿宋_GB2312" w:hAnsi="仿宋_GB2312" w:eastAsia="仿宋_GB2312" w:cs="仿宋_GB2312"/>
          <w:bCs/>
          <w:color w:val="auto"/>
          <w:sz w:val="32"/>
          <w:szCs w:val="32"/>
          <w:highlight w:val="none"/>
        </w:rPr>
        <w:t>15.迟延交货</w:t>
      </w:r>
      <w:bookmarkEnd w:id="747"/>
      <w:bookmarkEnd w:id="748"/>
      <w:bookmarkEnd w:id="74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15.1 乙方应按照合同约定的时间交货和提供服务。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15.2 除不可抗力因素外，乙方迟延交货，甲方有权提出违约损失赔偿或解除合同。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50" w:name="_Toc32293_WPSOffice_Level2"/>
      <w:bookmarkStart w:id="751" w:name="_Toc10642_WPSOffice_Level2"/>
      <w:bookmarkStart w:id="752" w:name="_Toc15350_WPSOffice_Level2"/>
      <w:r>
        <w:rPr>
          <w:rFonts w:hint="eastAsia" w:ascii="仿宋_GB2312" w:hAnsi="仿宋_GB2312" w:eastAsia="仿宋_GB2312" w:cs="仿宋_GB2312"/>
          <w:bCs/>
          <w:color w:val="auto"/>
          <w:sz w:val="32"/>
          <w:szCs w:val="32"/>
          <w:highlight w:val="none"/>
        </w:rPr>
        <w:t>16.违约赔偿</w:t>
      </w:r>
      <w:bookmarkEnd w:id="750"/>
      <w:bookmarkEnd w:id="751"/>
      <w:bookmarkEnd w:id="75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除不可抗力因素外，乙方没有按照合同规定的时间交货和提供服务，甲方可要求乙方支付违约金。违约金每日按合同总价款的千分之五计收。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53" w:name="_Toc32484_WPSOffice_Level2"/>
      <w:bookmarkStart w:id="754" w:name="_Toc13101_WPSOffice_Level2"/>
      <w:bookmarkStart w:id="755" w:name="_Toc132_WPSOffice_Level2"/>
      <w:r>
        <w:rPr>
          <w:rFonts w:hint="eastAsia" w:ascii="仿宋_GB2312" w:hAnsi="仿宋_GB2312" w:eastAsia="仿宋_GB2312" w:cs="仿宋_GB2312"/>
          <w:bCs/>
          <w:color w:val="auto"/>
          <w:sz w:val="32"/>
          <w:szCs w:val="32"/>
          <w:highlight w:val="none"/>
        </w:rPr>
        <w:t>17.不可抗力</w:t>
      </w:r>
      <w:bookmarkEnd w:id="753"/>
      <w:bookmarkEnd w:id="754"/>
      <w:bookmarkEnd w:id="75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17.1.双方中任何一方遭遇法律规定的不可抗力，致使合同履行受阻时，履行合同的期限应予延长，延长的期限应相当于不可抗力所影响的时间。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17.2受事故影响的一方应在不可抗力的事故发生后以书面形式通知另一方。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17.3不可抗力使合同的某些内容有变更必要的， 双方应通过协商达成进一步履行合同的协议，因不可抗力致使合同不能履行的，合同终止。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56" w:name="_Toc27502_WPSOffice_Level2"/>
      <w:bookmarkStart w:id="757" w:name="_Toc17980_WPSOffice_Level2"/>
      <w:bookmarkStart w:id="758" w:name="_Toc17666_WPSOffice_Level2"/>
      <w:r>
        <w:rPr>
          <w:rFonts w:hint="eastAsia" w:ascii="仿宋_GB2312" w:hAnsi="仿宋_GB2312" w:eastAsia="仿宋_GB2312" w:cs="仿宋_GB2312"/>
          <w:bCs/>
          <w:color w:val="auto"/>
          <w:sz w:val="32"/>
          <w:szCs w:val="32"/>
          <w:highlight w:val="none"/>
        </w:rPr>
        <w:t>18.税费</w:t>
      </w:r>
      <w:bookmarkEnd w:id="756"/>
      <w:bookmarkEnd w:id="757"/>
      <w:bookmarkEnd w:id="75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与本合同有关的一切税费均由乙方承担。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59" w:name="_Toc27070_WPSOffice_Level2"/>
      <w:bookmarkStart w:id="760" w:name="_Toc16036_WPSOffice_Level2"/>
      <w:bookmarkStart w:id="761" w:name="_Toc1449_WPSOffice_Level2"/>
      <w:r>
        <w:rPr>
          <w:rFonts w:hint="eastAsia" w:ascii="仿宋_GB2312" w:hAnsi="仿宋_GB2312" w:eastAsia="仿宋_GB2312" w:cs="仿宋_GB2312"/>
          <w:bCs/>
          <w:color w:val="auto"/>
          <w:sz w:val="32"/>
          <w:szCs w:val="32"/>
          <w:highlight w:val="none"/>
        </w:rPr>
        <w:t>19.合同争议的解决</w:t>
      </w:r>
      <w:bookmarkEnd w:id="759"/>
      <w:bookmarkEnd w:id="760"/>
      <w:bookmarkEnd w:id="76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19.1甲方和乙方由于本合同的履行而发生任何争议时，双方可先通过协商解决。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19.2任何一方不愿通过协商或通过协商仍不能解决争议，则双方中任何一方均应向甲方所在地人民法院起诉。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62" w:name="_Toc4114_WPSOffice_Level2"/>
      <w:bookmarkStart w:id="763" w:name="_Toc1645_WPSOffice_Level2"/>
      <w:bookmarkStart w:id="764" w:name="_Toc25678_WPSOffice_Level2"/>
      <w:r>
        <w:rPr>
          <w:rFonts w:hint="eastAsia" w:ascii="仿宋_GB2312" w:hAnsi="仿宋_GB2312" w:eastAsia="仿宋_GB2312" w:cs="仿宋_GB2312"/>
          <w:bCs/>
          <w:color w:val="auto"/>
          <w:sz w:val="32"/>
          <w:szCs w:val="32"/>
          <w:highlight w:val="none"/>
        </w:rPr>
        <w:t>20.违约解除合同</w:t>
      </w:r>
      <w:bookmarkEnd w:id="762"/>
      <w:bookmarkEnd w:id="763"/>
      <w:bookmarkEnd w:id="76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20.1出现下列情形之一的，视为乙方违约。甲方可向乙方发出书面通知，部分或全部终止合同，同时保留向乙方索赔的权利。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20.1.1乙方未能在合同规定的限期或甲方同意延长的限期内，提供全部或部分货物的；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20.1.2乙方未能履行合同规定的其它主要义务的；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20.1.3乙方在本合同履行过程中有欺诈行为的。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65" w:name="_Toc3174_WPSOffice_Level2"/>
      <w:bookmarkStart w:id="766" w:name="_Toc4171_WPSOffice_Level2"/>
      <w:bookmarkStart w:id="767" w:name="_Toc26055_WPSOffice_Level2"/>
      <w:r>
        <w:rPr>
          <w:rFonts w:hint="eastAsia" w:ascii="仿宋_GB2312" w:hAnsi="仿宋_GB2312" w:eastAsia="仿宋_GB2312" w:cs="仿宋_GB2312"/>
          <w:bCs/>
          <w:color w:val="auto"/>
          <w:sz w:val="32"/>
          <w:szCs w:val="32"/>
          <w:highlight w:val="none"/>
        </w:rPr>
        <w:t>21.破产终止合同</w:t>
      </w:r>
      <w:bookmarkEnd w:id="765"/>
      <w:bookmarkEnd w:id="766"/>
      <w:bookmarkEnd w:id="76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68" w:name="_Toc6264_WPSOffice_Level2"/>
      <w:bookmarkStart w:id="769" w:name="_Toc12382_WPSOffice_Level2"/>
      <w:bookmarkStart w:id="770" w:name="_Toc17697_WPSOffice_Level2"/>
      <w:r>
        <w:rPr>
          <w:rFonts w:hint="eastAsia" w:ascii="仿宋_GB2312" w:hAnsi="仿宋_GB2312" w:eastAsia="仿宋_GB2312" w:cs="仿宋_GB2312"/>
          <w:bCs/>
          <w:color w:val="auto"/>
          <w:sz w:val="32"/>
          <w:szCs w:val="32"/>
          <w:highlight w:val="none"/>
        </w:rPr>
        <w:t>22.转让和分包</w:t>
      </w:r>
      <w:bookmarkEnd w:id="768"/>
      <w:bookmarkEnd w:id="769"/>
      <w:bookmarkEnd w:id="77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22.1政府采购合同不能转让。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71" w:name="_Toc30393_WPSOffice_Level2"/>
      <w:bookmarkStart w:id="772" w:name="_Toc32240_WPSOffice_Level2"/>
      <w:bookmarkStart w:id="773" w:name="_Toc2646_WPSOffice_Level2"/>
      <w:r>
        <w:rPr>
          <w:rFonts w:hint="eastAsia" w:ascii="仿宋_GB2312" w:hAnsi="仿宋_GB2312" w:eastAsia="仿宋_GB2312" w:cs="仿宋_GB2312"/>
          <w:bCs/>
          <w:color w:val="auto"/>
          <w:sz w:val="32"/>
          <w:szCs w:val="32"/>
          <w:highlight w:val="none"/>
        </w:rPr>
        <w:t>23.合同修改</w:t>
      </w:r>
      <w:bookmarkEnd w:id="771"/>
      <w:bookmarkEnd w:id="772"/>
      <w:bookmarkEnd w:id="77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甲方和乙方都不得擅自变更本合同，但合同继续履行将损害国家和社会公共利益的除外。如必须对合同条款进行改动时，当事人双方须共同签署书面文件，做为合同的补充。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74" w:name="_Toc17115_WPSOffice_Level2"/>
      <w:bookmarkStart w:id="775" w:name="_Toc11324_WPSOffice_Level2"/>
      <w:bookmarkStart w:id="776" w:name="_Toc20751_WPSOffice_Level2"/>
      <w:r>
        <w:rPr>
          <w:rFonts w:hint="eastAsia" w:ascii="仿宋_GB2312" w:hAnsi="仿宋_GB2312" w:eastAsia="仿宋_GB2312" w:cs="仿宋_GB2312"/>
          <w:bCs/>
          <w:color w:val="auto"/>
          <w:sz w:val="32"/>
          <w:szCs w:val="32"/>
          <w:highlight w:val="none"/>
        </w:rPr>
        <w:t>24.通知</w:t>
      </w:r>
      <w:bookmarkEnd w:id="774"/>
      <w:bookmarkEnd w:id="775"/>
      <w:bookmarkEnd w:id="77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本合同任何一方给另一方的通知，都应以书面形式发送，而另一方也应以书面形式确认并发送到对方明确的地址。</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77" w:name="_Toc11022_WPSOffice_Level2"/>
      <w:bookmarkStart w:id="778" w:name="_Toc15147_WPSOffice_Level2"/>
      <w:bookmarkStart w:id="779" w:name="_Toc11594_WPSOffice_Level2"/>
      <w:r>
        <w:rPr>
          <w:rFonts w:hint="eastAsia" w:ascii="仿宋_GB2312" w:hAnsi="仿宋_GB2312" w:eastAsia="仿宋_GB2312" w:cs="仿宋_GB2312"/>
          <w:bCs/>
          <w:color w:val="auto"/>
          <w:sz w:val="32"/>
          <w:szCs w:val="32"/>
          <w:highlight w:val="none"/>
        </w:rPr>
        <w:t>25.计量单位</w:t>
      </w:r>
      <w:bookmarkEnd w:id="777"/>
      <w:bookmarkEnd w:id="778"/>
      <w:bookmarkEnd w:id="77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除技术规范中另有规定外，计量单位均使用国家法定计量单位。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bookmarkStart w:id="780" w:name="_Toc15506_WPSOffice_Level2"/>
      <w:bookmarkStart w:id="781" w:name="_Toc32417_WPSOffice_Level2"/>
      <w:bookmarkStart w:id="782" w:name="_Toc24346_WPSOffice_Level2"/>
      <w:r>
        <w:rPr>
          <w:rFonts w:hint="eastAsia" w:ascii="仿宋_GB2312" w:hAnsi="仿宋_GB2312" w:eastAsia="仿宋_GB2312" w:cs="仿宋_GB2312"/>
          <w:bCs/>
          <w:color w:val="auto"/>
          <w:sz w:val="32"/>
          <w:szCs w:val="32"/>
          <w:highlight w:val="none"/>
        </w:rPr>
        <w:t>26.适用法律</w:t>
      </w:r>
      <w:bookmarkEnd w:id="780"/>
      <w:bookmarkEnd w:id="781"/>
      <w:bookmarkEnd w:id="78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z w:val="32"/>
          <w:szCs w:val="32"/>
          <w:highlight w:val="none"/>
        </w:rPr>
        <w:t>本合同按照中华人民共和国的相关法律进行解释。</w:t>
      </w:r>
    </w:p>
    <w:sectPr>
      <w:pgSz w:w="11906" w:h="16838"/>
      <w:pgMar w:top="1984" w:right="1474" w:bottom="1871"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nThickMediumGap" w:color="auto" w:sz="18" w:space="0"/>
      </w:pBdr>
      <w:jc w:val="both"/>
    </w:pPr>
    <w:r>
      <w:rPr>
        <w:rFonts w:hint="eastAsia" w:ascii="仿宋" w:hAnsi="仿宋" w:eastAsia="仿宋" w:cs="仿宋"/>
        <w:b w:val="0"/>
        <w:bCs w:val="0"/>
        <w:sz w:val="21"/>
        <w:szCs w:val="21"/>
        <w:lang w:eastAsia="zh-CN"/>
      </w:rPr>
      <w:t>青海晓成工程项目管理有限公司</w:t>
    </w:r>
    <w:r>
      <w:rPr>
        <w:rFonts w:hint="eastAsia" w:ascii="仿宋" w:hAnsi="仿宋" w:eastAsia="仿宋" w:cs="仿宋"/>
        <w:b w:val="0"/>
        <w:bCs w:val="0"/>
        <w:sz w:val="21"/>
        <w:szCs w:val="21"/>
        <w:lang w:val="en-US" w:eastAsia="zh-CN"/>
      </w:rPr>
      <w:t xml:space="preserve"> </w:t>
    </w:r>
    <w:r>
      <w:rPr>
        <w:rFonts w:hint="eastAsia" w:hAnsi="宋体"/>
        <w:b w:val="0"/>
        <w:bCs/>
        <w:sz w:val="21"/>
        <w:szCs w:val="21"/>
        <w:lang w:val="en-US" w:eastAsia="zh-CN"/>
      </w:rPr>
      <w:t xml:space="preserve">                                </w:t>
    </w:r>
    <w:r>
      <w:rPr>
        <w:rFonts w:hint="eastAsia" w:ascii="仿宋" w:hAnsi="仿宋" w:eastAsia="仿宋" w:cs="仿宋"/>
        <w:b w:val="0"/>
        <w:bCs w:val="0"/>
        <w:sz w:val="21"/>
        <w:szCs w:val="21"/>
        <w:lang w:eastAsia="zh-CN"/>
      </w:rPr>
      <w:t>青海晓成竞谈（货物）2022-021号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280F1B2A"/>
    <w:multiLevelType w:val="singleLevel"/>
    <w:tmpl w:val="280F1B2A"/>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jBjZjIwODQ4YTZmYTdmM2FkNTJlY2RiNWY0MDUifQ=="/>
  </w:docVars>
  <w:rsids>
    <w:rsidRoot w:val="7D9B5E16"/>
    <w:rsid w:val="02637B1D"/>
    <w:rsid w:val="02664A99"/>
    <w:rsid w:val="02A9297E"/>
    <w:rsid w:val="03442F30"/>
    <w:rsid w:val="03A34D06"/>
    <w:rsid w:val="04474517"/>
    <w:rsid w:val="0464117D"/>
    <w:rsid w:val="049D2E51"/>
    <w:rsid w:val="04DE17B1"/>
    <w:rsid w:val="05210BC9"/>
    <w:rsid w:val="055D0822"/>
    <w:rsid w:val="056913B5"/>
    <w:rsid w:val="05E12013"/>
    <w:rsid w:val="05FD3580"/>
    <w:rsid w:val="0624278B"/>
    <w:rsid w:val="06A60F7D"/>
    <w:rsid w:val="06A77634"/>
    <w:rsid w:val="06A95E58"/>
    <w:rsid w:val="06BE08FB"/>
    <w:rsid w:val="06F2641E"/>
    <w:rsid w:val="07867AF5"/>
    <w:rsid w:val="0891104C"/>
    <w:rsid w:val="0A536242"/>
    <w:rsid w:val="0A801DDE"/>
    <w:rsid w:val="0AED28F4"/>
    <w:rsid w:val="0B2B4C7E"/>
    <w:rsid w:val="0BB54002"/>
    <w:rsid w:val="0C193B8E"/>
    <w:rsid w:val="0C6215A5"/>
    <w:rsid w:val="0C661388"/>
    <w:rsid w:val="0CA87A52"/>
    <w:rsid w:val="0D256ADD"/>
    <w:rsid w:val="0D616E1A"/>
    <w:rsid w:val="0D711167"/>
    <w:rsid w:val="0DB72D66"/>
    <w:rsid w:val="0DC739FA"/>
    <w:rsid w:val="0E783BEB"/>
    <w:rsid w:val="0E874D29"/>
    <w:rsid w:val="0E930373"/>
    <w:rsid w:val="109055EB"/>
    <w:rsid w:val="10DE48CA"/>
    <w:rsid w:val="11FB2BE7"/>
    <w:rsid w:val="12400F8A"/>
    <w:rsid w:val="1289645E"/>
    <w:rsid w:val="13D2255B"/>
    <w:rsid w:val="144A1947"/>
    <w:rsid w:val="14526E5B"/>
    <w:rsid w:val="1532490E"/>
    <w:rsid w:val="15E94352"/>
    <w:rsid w:val="160A7634"/>
    <w:rsid w:val="16932406"/>
    <w:rsid w:val="17B44371"/>
    <w:rsid w:val="17B514B3"/>
    <w:rsid w:val="1802614F"/>
    <w:rsid w:val="181531AE"/>
    <w:rsid w:val="185A675A"/>
    <w:rsid w:val="18C211CC"/>
    <w:rsid w:val="19227628"/>
    <w:rsid w:val="19E10B40"/>
    <w:rsid w:val="19FE7F48"/>
    <w:rsid w:val="1A977682"/>
    <w:rsid w:val="1ACC3E1B"/>
    <w:rsid w:val="1AD11780"/>
    <w:rsid w:val="1B662DBF"/>
    <w:rsid w:val="1BBE7284"/>
    <w:rsid w:val="1BC752E7"/>
    <w:rsid w:val="1C2F5B31"/>
    <w:rsid w:val="1D7542D0"/>
    <w:rsid w:val="1D7B76F9"/>
    <w:rsid w:val="1D9A4A78"/>
    <w:rsid w:val="1E036EED"/>
    <w:rsid w:val="1E2F4669"/>
    <w:rsid w:val="1E662D79"/>
    <w:rsid w:val="1E6F699A"/>
    <w:rsid w:val="1EED3CFC"/>
    <w:rsid w:val="1EF65831"/>
    <w:rsid w:val="1F1D4355"/>
    <w:rsid w:val="1FA3298C"/>
    <w:rsid w:val="20525060"/>
    <w:rsid w:val="205F5E9C"/>
    <w:rsid w:val="207F0C88"/>
    <w:rsid w:val="209E6E05"/>
    <w:rsid w:val="21C422F5"/>
    <w:rsid w:val="2272669E"/>
    <w:rsid w:val="227F4D71"/>
    <w:rsid w:val="2280389A"/>
    <w:rsid w:val="22F34452"/>
    <w:rsid w:val="247C2A7C"/>
    <w:rsid w:val="24FD76C4"/>
    <w:rsid w:val="25A60401"/>
    <w:rsid w:val="26806F3F"/>
    <w:rsid w:val="26B0198D"/>
    <w:rsid w:val="26FC0237"/>
    <w:rsid w:val="275F18A3"/>
    <w:rsid w:val="278F5CF9"/>
    <w:rsid w:val="28773DCD"/>
    <w:rsid w:val="28ED597C"/>
    <w:rsid w:val="29907531"/>
    <w:rsid w:val="2ADE5E46"/>
    <w:rsid w:val="2B78699C"/>
    <w:rsid w:val="2C2E5CBB"/>
    <w:rsid w:val="2CC30608"/>
    <w:rsid w:val="2D140F7C"/>
    <w:rsid w:val="2F173B14"/>
    <w:rsid w:val="2F7A1819"/>
    <w:rsid w:val="2F7B1CC0"/>
    <w:rsid w:val="2FD74D0A"/>
    <w:rsid w:val="300C4E26"/>
    <w:rsid w:val="303C1FF1"/>
    <w:rsid w:val="30B46ED7"/>
    <w:rsid w:val="30D84A6D"/>
    <w:rsid w:val="31CD6FAF"/>
    <w:rsid w:val="32FF7931"/>
    <w:rsid w:val="34184F37"/>
    <w:rsid w:val="342873FA"/>
    <w:rsid w:val="348875DC"/>
    <w:rsid w:val="35061DD1"/>
    <w:rsid w:val="356B65D3"/>
    <w:rsid w:val="36287DC8"/>
    <w:rsid w:val="37187E71"/>
    <w:rsid w:val="381009F4"/>
    <w:rsid w:val="38177AC2"/>
    <w:rsid w:val="38330237"/>
    <w:rsid w:val="385E656C"/>
    <w:rsid w:val="39E61C93"/>
    <w:rsid w:val="3A601248"/>
    <w:rsid w:val="3AD61226"/>
    <w:rsid w:val="3AF96301"/>
    <w:rsid w:val="3B033ADF"/>
    <w:rsid w:val="3B2F5C13"/>
    <w:rsid w:val="3C0E6A8C"/>
    <w:rsid w:val="3CDA061D"/>
    <w:rsid w:val="3CEE7969"/>
    <w:rsid w:val="3D4C7081"/>
    <w:rsid w:val="3D9F3525"/>
    <w:rsid w:val="3DCC1178"/>
    <w:rsid w:val="3E004C98"/>
    <w:rsid w:val="3E3B0987"/>
    <w:rsid w:val="3E4860D1"/>
    <w:rsid w:val="3E6F1C2A"/>
    <w:rsid w:val="3F000963"/>
    <w:rsid w:val="3FCC1BB2"/>
    <w:rsid w:val="3FFA1B0C"/>
    <w:rsid w:val="40880E03"/>
    <w:rsid w:val="408C6C3E"/>
    <w:rsid w:val="40B91A21"/>
    <w:rsid w:val="40B97554"/>
    <w:rsid w:val="40D57312"/>
    <w:rsid w:val="410F24AB"/>
    <w:rsid w:val="41C25B98"/>
    <w:rsid w:val="42767FD1"/>
    <w:rsid w:val="43803F8D"/>
    <w:rsid w:val="44107D9B"/>
    <w:rsid w:val="4541616D"/>
    <w:rsid w:val="459357B0"/>
    <w:rsid w:val="45EE208A"/>
    <w:rsid w:val="460515BC"/>
    <w:rsid w:val="47176167"/>
    <w:rsid w:val="47C462E6"/>
    <w:rsid w:val="47CF0B1D"/>
    <w:rsid w:val="47E23378"/>
    <w:rsid w:val="483D125F"/>
    <w:rsid w:val="49DA1453"/>
    <w:rsid w:val="4AD87F7A"/>
    <w:rsid w:val="4B9D7CFD"/>
    <w:rsid w:val="4B9E11B1"/>
    <w:rsid w:val="4B9F2679"/>
    <w:rsid w:val="4C7267C2"/>
    <w:rsid w:val="4C8D39F2"/>
    <w:rsid w:val="4CB10ACF"/>
    <w:rsid w:val="4CC01E86"/>
    <w:rsid w:val="4D2B7562"/>
    <w:rsid w:val="4D6B1B0F"/>
    <w:rsid w:val="4DDB03B5"/>
    <w:rsid w:val="4DED4A76"/>
    <w:rsid w:val="4E2154D5"/>
    <w:rsid w:val="4ED72EBD"/>
    <w:rsid w:val="4EE202E0"/>
    <w:rsid w:val="4F5C1D7A"/>
    <w:rsid w:val="51271052"/>
    <w:rsid w:val="5176769E"/>
    <w:rsid w:val="519017FF"/>
    <w:rsid w:val="51B22AB2"/>
    <w:rsid w:val="51FE73D1"/>
    <w:rsid w:val="52544BCF"/>
    <w:rsid w:val="53203370"/>
    <w:rsid w:val="53534733"/>
    <w:rsid w:val="535B4140"/>
    <w:rsid w:val="53B41740"/>
    <w:rsid w:val="53D5481B"/>
    <w:rsid w:val="53E9079A"/>
    <w:rsid w:val="54AB36A4"/>
    <w:rsid w:val="54E400AA"/>
    <w:rsid w:val="5571016F"/>
    <w:rsid w:val="557F61CB"/>
    <w:rsid w:val="55B04C26"/>
    <w:rsid w:val="55F51E57"/>
    <w:rsid w:val="563F61E5"/>
    <w:rsid w:val="575617C0"/>
    <w:rsid w:val="57F27B11"/>
    <w:rsid w:val="587D00AE"/>
    <w:rsid w:val="58DD1DA1"/>
    <w:rsid w:val="59361F1D"/>
    <w:rsid w:val="59D5476B"/>
    <w:rsid w:val="5AA26202"/>
    <w:rsid w:val="5AEF00AC"/>
    <w:rsid w:val="5BFA2163"/>
    <w:rsid w:val="5CC84CFD"/>
    <w:rsid w:val="5CDD2843"/>
    <w:rsid w:val="5D4A3A21"/>
    <w:rsid w:val="5D6408DE"/>
    <w:rsid w:val="5DA47ADB"/>
    <w:rsid w:val="5E814705"/>
    <w:rsid w:val="5EBB6F4A"/>
    <w:rsid w:val="5EE37F7B"/>
    <w:rsid w:val="5EE63CD3"/>
    <w:rsid w:val="5F8038FF"/>
    <w:rsid w:val="60845A0E"/>
    <w:rsid w:val="60AE2DC5"/>
    <w:rsid w:val="60DF0805"/>
    <w:rsid w:val="60F25329"/>
    <w:rsid w:val="613D2523"/>
    <w:rsid w:val="62F51D1A"/>
    <w:rsid w:val="63745E33"/>
    <w:rsid w:val="661E127D"/>
    <w:rsid w:val="6628294C"/>
    <w:rsid w:val="6658601C"/>
    <w:rsid w:val="66595B5C"/>
    <w:rsid w:val="666E6D57"/>
    <w:rsid w:val="668C6B1C"/>
    <w:rsid w:val="67466E44"/>
    <w:rsid w:val="682A17BF"/>
    <w:rsid w:val="684E324D"/>
    <w:rsid w:val="68E7610C"/>
    <w:rsid w:val="6A2D4A29"/>
    <w:rsid w:val="6AC11213"/>
    <w:rsid w:val="6BB6488D"/>
    <w:rsid w:val="6BC0391C"/>
    <w:rsid w:val="6C322628"/>
    <w:rsid w:val="6CB51DAA"/>
    <w:rsid w:val="6D484EC2"/>
    <w:rsid w:val="6E672B2B"/>
    <w:rsid w:val="6F443BEB"/>
    <w:rsid w:val="6F7922B4"/>
    <w:rsid w:val="6FB824BF"/>
    <w:rsid w:val="70A628A5"/>
    <w:rsid w:val="713A62DC"/>
    <w:rsid w:val="71E64DF1"/>
    <w:rsid w:val="7202096F"/>
    <w:rsid w:val="72F0558E"/>
    <w:rsid w:val="73066CAA"/>
    <w:rsid w:val="73972F2B"/>
    <w:rsid w:val="740617D3"/>
    <w:rsid w:val="75053FA4"/>
    <w:rsid w:val="757F7E3A"/>
    <w:rsid w:val="75BE3D92"/>
    <w:rsid w:val="76275612"/>
    <w:rsid w:val="76473B85"/>
    <w:rsid w:val="768D5359"/>
    <w:rsid w:val="76FE6E62"/>
    <w:rsid w:val="775F7E9B"/>
    <w:rsid w:val="77864563"/>
    <w:rsid w:val="78310765"/>
    <w:rsid w:val="785724B6"/>
    <w:rsid w:val="789F6743"/>
    <w:rsid w:val="79465555"/>
    <w:rsid w:val="79AE78AA"/>
    <w:rsid w:val="7A062623"/>
    <w:rsid w:val="7AC77CBA"/>
    <w:rsid w:val="7B0666E0"/>
    <w:rsid w:val="7C355CCF"/>
    <w:rsid w:val="7CAF0ED7"/>
    <w:rsid w:val="7CE5560B"/>
    <w:rsid w:val="7D9B5E16"/>
    <w:rsid w:val="7E143686"/>
    <w:rsid w:val="7E5A55AC"/>
    <w:rsid w:val="7E7F7D0E"/>
    <w:rsid w:val="7EAF11B6"/>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44"/>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next w:val="10"/>
    <w:qFormat/>
    <w:uiPriority w:val="0"/>
    <w:pPr>
      <w:widowControl w:val="0"/>
      <w:adjustRightInd/>
      <w:snapToGrid/>
      <w:spacing w:after="120" w:afterLines="0"/>
      <w:jc w:val="both"/>
    </w:pPr>
    <w:rPr>
      <w:rFonts w:ascii="Calibri" w:hAnsi="Calibri"/>
      <w:kern w:val="2"/>
      <w:sz w:val="21"/>
      <w:szCs w:val="24"/>
    </w:rPr>
  </w:style>
  <w:style w:type="paragraph" w:customStyle="1" w:styleId="10">
    <w:name w:val="一级条标题"/>
    <w:basedOn w:val="11"/>
    <w:next w:val="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styleId="12">
    <w:name w:val="Body Text Indent"/>
    <w:basedOn w:val="1"/>
    <w:qFormat/>
    <w:uiPriority w:val="99"/>
    <w:pPr>
      <w:tabs>
        <w:tab w:val="left" w:pos="900"/>
      </w:tabs>
      <w:autoSpaceDE w:val="0"/>
      <w:autoSpaceDN w:val="0"/>
      <w:adjustRightInd w:val="0"/>
      <w:spacing w:line="540" w:lineRule="exact"/>
      <w:ind w:firstLine="561"/>
    </w:pPr>
    <w:rPr>
      <w:rFonts w:ascii="??_GB2312" w:eastAsia="Times New Roman"/>
      <w:kern w:val="0"/>
      <w:sz w:val="28"/>
      <w:szCs w:val="28"/>
      <w:lang w:val="zh-CN"/>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spacing w:before="100" w:beforeAutospacing="1" w:after="100" w:afterAutospacing="1"/>
      <w:ind w:left="0" w:right="0"/>
      <w:jc w:val="left"/>
    </w:pPr>
    <w:rPr>
      <w:kern w:val="0"/>
      <w:sz w:val="24"/>
      <w:lang w:val="en-US" w:eastAsia="zh-CN"/>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w:basedOn w:val="1"/>
    <w:unhideWhenUsed/>
    <w:qFormat/>
    <w:uiPriority w:val="99"/>
    <w:pPr>
      <w:ind w:firstLine="420" w:firstLineChars="100"/>
    </w:pPr>
  </w:style>
  <w:style w:type="paragraph" w:styleId="22">
    <w:name w:val="Body Text First Indent 2"/>
    <w:basedOn w:val="12"/>
    <w:unhideWhenUsed/>
    <w:qFormat/>
    <w:uiPriority w:val="99"/>
    <w:pPr>
      <w:autoSpaceDE/>
      <w:autoSpaceDN/>
      <w:adjustRightInd/>
      <w:spacing w:after="120" w:line="240" w:lineRule="auto"/>
      <w:ind w:left="420" w:leftChars="200" w:firstLine="420" w:firstLineChars="200"/>
    </w:pPr>
    <w:rPr>
      <w:rFonts w:ascii="Times New Roman" w:eastAsia="宋体"/>
      <w:kern w:val="2"/>
      <w:sz w:val="21"/>
      <w:szCs w:val="24"/>
      <w:lang w:val="en-U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Hyperlink"/>
    <w:basedOn w:val="25"/>
    <w:qFormat/>
    <w:uiPriority w:val="0"/>
    <w:rPr>
      <w:rFonts w:ascii="微软雅黑" w:hAnsi="微软雅黑" w:eastAsia="微软雅黑" w:cs="微软雅黑"/>
      <w:color w:val="02396F"/>
      <w:u w:val="single"/>
    </w:rPr>
  </w:style>
  <w:style w:type="character" w:customStyle="1" w:styleId="30">
    <w:name w:val="标题 1 Char"/>
    <w:link w:val="3"/>
    <w:qFormat/>
    <w:uiPriority w:val="0"/>
    <w:rPr>
      <w:b/>
      <w:bCs/>
      <w:sz w:val="24"/>
      <w:szCs w:val="20"/>
    </w:rPr>
  </w:style>
  <w:style w:type="paragraph" w:customStyle="1" w:styleId="31">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3">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4">
    <w:name w:val="p0"/>
    <w:basedOn w:val="1"/>
    <w:qFormat/>
    <w:uiPriority w:val="0"/>
    <w:pPr>
      <w:widowControl/>
    </w:pPr>
    <w:rPr>
      <w:kern w:val="0"/>
      <w:szCs w:val="21"/>
    </w:rPr>
  </w:style>
  <w:style w:type="paragraph" w:customStyle="1" w:styleId="35">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6">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7">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8">
    <w:name w:val="gjfg"/>
    <w:basedOn w:val="25"/>
    <w:qFormat/>
    <w:uiPriority w:val="0"/>
  </w:style>
  <w:style w:type="character" w:customStyle="1" w:styleId="39">
    <w:name w:val="displayarti"/>
    <w:basedOn w:val="25"/>
    <w:qFormat/>
    <w:uiPriority w:val="0"/>
    <w:rPr>
      <w:color w:val="FFFFFF"/>
      <w:shd w:val="clear" w:color="010000" w:fill="A00000"/>
    </w:rPr>
  </w:style>
  <w:style w:type="character" w:customStyle="1" w:styleId="40">
    <w:name w:val="redfilefwwh"/>
    <w:basedOn w:val="25"/>
    <w:qFormat/>
    <w:uiPriority w:val="0"/>
    <w:rPr>
      <w:color w:val="BA2636"/>
      <w:sz w:val="14"/>
      <w:szCs w:val="14"/>
    </w:rPr>
  </w:style>
  <w:style w:type="character" w:customStyle="1" w:styleId="41">
    <w:name w:val="redfilenumber"/>
    <w:basedOn w:val="25"/>
    <w:qFormat/>
    <w:uiPriority w:val="0"/>
    <w:rPr>
      <w:color w:val="BA2636"/>
      <w:sz w:val="14"/>
      <w:szCs w:val="14"/>
    </w:rPr>
  </w:style>
  <w:style w:type="character" w:customStyle="1" w:styleId="42">
    <w:name w:val="qxdate"/>
    <w:basedOn w:val="25"/>
    <w:qFormat/>
    <w:uiPriority w:val="0"/>
    <w:rPr>
      <w:color w:val="333333"/>
      <w:sz w:val="14"/>
      <w:szCs w:val="14"/>
    </w:rPr>
  </w:style>
  <w:style w:type="character" w:customStyle="1" w:styleId="43">
    <w:name w:val="cfdate"/>
    <w:basedOn w:val="25"/>
    <w:qFormat/>
    <w:uiPriority w:val="0"/>
    <w:rPr>
      <w:color w:val="333333"/>
      <w:sz w:val="14"/>
      <w:szCs w:val="14"/>
    </w:rPr>
  </w:style>
  <w:style w:type="character" w:customStyle="1" w:styleId="44">
    <w:name w:val="标题 3 Char"/>
    <w:link w:val="5"/>
    <w:qFormat/>
    <w:uiPriority w:val="0"/>
    <w:rPr>
      <w:b/>
      <w:bCs/>
      <w:sz w:val="32"/>
      <w:szCs w:val="32"/>
    </w:rPr>
  </w:style>
  <w:style w:type="paragraph" w:customStyle="1" w:styleId="45">
    <w:name w:val="Other"/>
    <w:basedOn w:val="1"/>
    <w:qFormat/>
    <w:uiPriority w:val="0"/>
    <w:pPr>
      <w:widowControl w:val="0"/>
      <w:shd w:val="clear" w:color="auto" w:fill="auto"/>
    </w:pPr>
    <w:rPr>
      <w:rFonts w:ascii="宋体" w:hAnsi="宋体" w:eastAsia="宋体" w:cs="宋体"/>
      <w:sz w:val="17"/>
      <w:szCs w:val="17"/>
      <w:u w:val="none"/>
      <w:shd w:val="clear" w:color="auto" w:fill="auto"/>
    </w:rPr>
  </w:style>
  <w:style w:type="paragraph" w:customStyle="1" w:styleId="46">
    <w:name w:val="TOC 标题1"/>
    <w:basedOn w:val="3"/>
    <w:next w:val="1"/>
    <w:qFormat/>
    <w:uiPriority w:val="99"/>
    <w:pPr>
      <w:keepLines/>
      <w:widowControl w:val="0"/>
      <w:tabs>
        <w:tab w:val="left" w:pos="432"/>
      </w:tabs>
      <w:overflowPunct/>
      <w:autoSpaceDE/>
      <w:autoSpaceDN/>
      <w:adjustRightInd/>
      <w:spacing w:before="340" w:after="330" w:line="578" w:lineRule="auto"/>
      <w:jc w:val="both"/>
      <w:textAlignment w:val="auto"/>
      <w:outlineLvl w:val="9"/>
    </w:pPr>
    <w:rPr>
      <w:rFonts w:ascii="Times New Roman" w:hAnsi="黑体"/>
      <w:b w:val="0"/>
      <w:kern w:val="44"/>
      <w:sz w:val="44"/>
      <w:szCs w:val="44"/>
    </w:rPr>
  </w:style>
  <w:style w:type="character" w:customStyle="1" w:styleId="47">
    <w:name w:val="font61"/>
    <w:basedOn w:val="25"/>
    <w:qFormat/>
    <w:uiPriority w:val="0"/>
    <w:rPr>
      <w:rFonts w:ascii="Arial" w:hAnsi="Arial" w:cs="Arial"/>
      <w:color w:val="000000"/>
      <w:sz w:val="20"/>
      <w:szCs w:val="20"/>
      <w:u w:val="none"/>
    </w:rPr>
  </w:style>
  <w:style w:type="character" w:customStyle="1" w:styleId="48">
    <w:name w:val="font51"/>
    <w:basedOn w:val="25"/>
    <w:qFormat/>
    <w:uiPriority w:val="0"/>
    <w:rPr>
      <w:rFonts w:hint="eastAsia" w:ascii="宋体" w:hAnsi="宋体" w:eastAsia="宋体" w:cs="宋体"/>
      <w:color w:val="000000"/>
      <w:sz w:val="20"/>
      <w:szCs w:val="20"/>
      <w:u w:val="none"/>
    </w:rPr>
  </w:style>
  <w:style w:type="character" w:customStyle="1" w:styleId="49">
    <w:name w:val="font1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25543</Words>
  <Characters>26805</Characters>
  <Lines>0</Lines>
  <Paragraphs>0</Paragraphs>
  <TotalTime>6</TotalTime>
  <ScaleCrop>false</ScaleCrop>
  <LinksUpToDate>false</LinksUpToDate>
  <CharactersWithSpaces>29516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小辣椒</cp:lastModifiedBy>
  <cp:lastPrinted>2021-04-28T04:56:00Z</cp:lastPrinted>
  <dcterms:modified xsi:type="dcterms:W3CDTF">2022-07-12T08:54:09Z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ED106C9D4D8C48379EDC5C21D06B1AE7</vt:lpwstr>
  </property>
</Properties>
</file>