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rPr>
          <w:rFonts w:ascii="宋体" w:hAnsi="宋体"/>
          <w:b/>
          <w:sz w:val="24"/>
        </w:rPr>
      </w:pPr>
    </w:p>
    <w:p>
      <w:pPr>
        <w:adjustRightInd w:val="0"/>
        <w:spacing w:line="360" w:lineRule="auto"/>
        <w:jc w:val="center"/>
        <w:textAlignment w:val="baseline"/>
        <w:rPr>
          <w:rFonts w:ascii="宋体" w:hAnsi="宋体"/>
          <w:b/>
          <w:sz w:val="24"/>
        </w:rPr>
      </w:pPr>
    </w:p>
    <w:p>
      <w:pPr>
        <w:pStyle w:val="55"/>
      </w:pPr>
    </w:p>
    <w:p>
      <w:pPr>
        <w:adjustRightInd w:val="0"/>
        <w:spacing w:line="360" w:lineRule="auto"/>
        <w:jc w:val="center"/>
        <w:textAlignment w:val="baseline"/>
        <w:rPr>
          <w:rFonts w:ascii="宋体" w:hAnsi="宋体"/>
          <w:b/>
          <w:sz w:val="24"/>
        </w:rPr>
      </w:pPr>
    </w:p>
    <w:p>
      <w:pPr>
        <w:adjustRightInd w:val="0"/>
        <w:spacing w:line="360" w:lineRule="auto"/>
        <w:jc w:val="center"/>
        <w:textAlignment w:val="baseline"/>
        <w:rPr>
          <w:rFonts w:ascii="宋体" w:hAnsi="宋体"/>
          <w:b/>
          <w:sz w:val="24"/>
        </w:rPr>
      </w:pPr>
    </w:p>
    <w:p>
      <w:pPr>
        <w:adjustRightInd w:val="0"/>
        <w:spacing w:line="360" w:lineRule="auto"/>
        <w:jc w:val="center"/>
        <w:textAlignment w:val="baseline"/>
        <w:rPr>
          <w:rFonts w:ascii="宋体" w:hAnsi="宋体"/>
          <w:b/>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pStyle w:val="33"/>
        <w:spacing w:before="0" w:after="0" w:line="360" w:lineRule="auto"/>
        <w:rPr>
          <w:rFonts w:ascii="宋体" w:hAnsi="宋体"/>
          <w:sz w:val="96"/>
          <w:szCs w:val="96"/>
        </w:rPr>
      </w:pPr>
      <w:bookmarkStart w:id="0" w:name="_Toc449568588"/>
      <w:r>
        <w:rPr>
          <w:rFonts w:hint="eastAsia" w:ascii="宋体" w:hAnsi="宋体"/>
          <w:sz w:val="96"/>
          <w:szCs w:val="96"/>
        </w:rPr>
        <w:t>竞争性磋商文件</w:t>
      </w:r>
      <w:bookmarkEnd w:id="0"/>
    </w:p>
    <w:p>
      <w:pPr>
        <w:pStyle w:val="33"/>
        <w:spacing w:line="360" w:lineRule="auto"/>
        <w:rPr>
          <w:rFonts w:ascii="宋体" w:hAnsi="宋体"/>
          <w:sz w:val="24"/>
          <w:szCs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adjustRightInd w:val="0"/>
        <w:spacing w:line="360" w:lineRule="auto"/>
        <w:jc w:val="center"/>
        <w:textAlignment w:val="baseline"/>
        <w:rPr>
          <w:rFonts w:ascii="宋体" w:hAnsi="宋体"/>
          <w:sz w:val="24"/>
        </w:rPr>
      </w:pPr>
    </w:p>
    <w:p>
      <w:pPr>
        <w:spacing w:line="360" w:lineRule="auto"/>
        <w:ind w:left="3355" w:leftChars="528" w:hanging="2246" w:hangingChars="699"/>
        <w:rPr>
          <w:rFonts w:hint="eastAsia" w:ascii="宋体" w:hAnsi="宋体" w:eastAsia="宋体" w:cs="Arial"/>
          <w:b/>
          <w:kern w:val="0"/>
          <w:sz w:val="32"/>
          <w:szCs w:val="32"/>
          <w:lang w:eastAsia="zh-CN"/>
        </w:rPr>
      </w:pPr>
      <w:r>
        <w:rPr>
          <w:rFonts w:hint="eastAsia" w:ascii="宋体" w:hAnsi="宋体" w:cs="Arial"/>
          <w:b/>
          <w:kern w:val="0"/>
          <w:sz w:val="32"/>
          <w:szCs w:val="32"/>
        </w:rPr>
        <w:t>采购项目名称：</w:t>
      </w:r>
      <w:r>
        <w:rPr>
          <w:rFonts w:hint="eastAsia" w:ascii="宋体" w:hAnsi="宋体" w:cs="Arial"/>
          <w:b/>
          <w:kern w:val="0"/>
          <w:sz w:val="32"/>
          <w:szCs w:val="32"/>
          <w:u w:val="single"/>
          <w:lang w:eastAsia="zh-CN"/>
        </w:rPr>
        <w:t>刚察县农村环境污染防治建设项目</w:t>
      </w:r>
    </w:p>
    <w:p>
      <w:pPr>
        <w:adjustRightInd w:val="0"/>
        <w:snapToGrid w:val="0"/>
        <w:spacing w:line="360" w:lineRule="auto"/>
        <w:ind w:left="2678" w:leftChars="498" w:hanging="1632" w:hangingChars="508"/>
        <w:textAlignment w:val="baseline"/>
        <w:rPr>
          <w:rFonts w:hint="eastAsia" w:ascii="宋体" w:hAnsi="宋体" w:cs="Arial"/>
          <w:b/>
          <w:kern w:val="0"/>
          <w:sz w:val="32"/>
          <w:szCs w:val="32"/>
          <w:u w:val="single"/>
          <w:lang w:eastAsia="zh-CN"/>
        </w:rPr>
      </w:pPr>
      <w:r>
        <w:rPr>
          <w:rFonts w:hint="eastAsia" w:ascii="宋体" w:hAnsi="宋体" w:cs="Arial"/>
          <w:b/>
          <w:kern w:val="0"/>
          <w:sz w:val="32"/>
          <w:szCs w:val="32"/>
        </w:rPr>
        <w:t>采购项目编号：</w:t>
      </w:r>
      <w:r>
        <w:rPr>
          <w:rFonts w:hint="eastAsia" w:ascii="宋体" w:hAnsi="宋体" w:cs="Arial"/>
          <w:b/>
          <w:kern w:val="0"/>
          <w:sz w:val="32"/>
          <w:szCs w:val="32"/>
          <w:u w:val="single"/>
          <w:lang w:eastAsia="zh-CN"/>
        </w:rPr>
        <w:t>河南建科竞磋（货物）2021-031</w:t>
      </w:r>
    </w:p>
    <w:p>
      <w:pPr>
        <w:adjustRightInd w:val="0"/>
        <w:snapToGrid w:val="0"/>
        <w:spacing w:line="360" w:lineRule="auto"/>
        <w:ind w:left="2678" w:leftChars="498" w:hanging="1632" w:hangingChars="508"/>
        <w:textAlignment w:val="baseline"/>
        <w:rPr>
          <w:rFonts w:hint="eastAsia" w:ascii="宋体" w:hAnsi="宋体" w:cs="Arial"/>
          <w:b/>
          <w:kern w:val="0"/>
          <w:sz w:val="32"/>
          <w:szCs w:val="32"/>
          <w:lang w:eastAsia="zh-CN"/>
        </w:rPr>
      </w:pPr>
      <w:r>
        <w:rPr>
          <w:rFonts w:hint="eastAsia" w:ascii="宋体" w:hAnsi="宋体" w:cs="Arial"/>
          <w:b/>
          <w:kern w:val="0"/>
          <w:sz w:val="32"/>
          <w:szCs w:val="32"/>
        </w:rPr>
        <w:t>采  购 单 位</w:t>
      </w:r>
      <w:r>
        <w:rPr>
          <w:rFonts w:hint="eastAsia" w:ascii="宋体" w:hAnsi="宋体"/>
          <w:sz w:val="32"/>
          <w:szCs w:val="32"/>
        </w:rPr>
        <w:t>：</w:t>
      </w:r>
      <w:r>
        <w:rPr>
          <w:rFonts w:hint="eastAsia" w:ascii="宋体" w:hAnsi="宋体" w:cs="Arial"/>
          <w:b/>
          <w:kern w:val="0"/>
          <w:sz w:val="32"/>
          <w:szCs w:val="32"/>
          <w:u w:val="single"/>
          <w:lang w:val="en-US" w:eastAsia="zh-CN"/>
        </w:rPr>
        <w:t>刚察县生态环境局</w:t>
      </w:r>
    </w:p>
    <w:p>
      <w:pPr>
        <w:adjustRightInd w:val="0"/>
        <w:snapToGrid w:val="0"/>
        <w:spacing w:line="360" w:lineRule="auto"/>
        <w:ind w:left="2678" w:leftChars="498" w:hanging="1632" w:hangingChars="508"/>
        <w:textAlignment w:val="baseline"/>
        <w:rPr>
          <w:rFonts w:hint="eastAsia" w:ascii="宋体" w:hAnsi="宋体" w:cs="Arial"/>
          <w:b/>
          <w:kern w:val="0"/>
          <w:sz w:val="32"/>
          <w:szCs w:val="32"/>
          <w:u w:val="single"/>
          <w:lang w:val="en-US" w:eastAsia="zh-CN"/>
        </w:rPr>
      </w:pPr>
      <w:r>
        <w:rPr>
          <w:rFonts w:ascii="宋体" w:hAnsi="宋体"/>
          <w:b/>
          <w:bCs/>
          <w:sz w:val="32"/>
          <w:szCs w:val="32"/>
        </w:rPr>
        <w:t>采购代理机构</w:t>
      </w:r>
      <w:r>
        <w:rPr>
          <w:rFonts w:hint="eastAsia" w:ascii="宋体" w:hAnsi="宋体"/>
          <w:b/>
          <w:bCs/>
          <w:sz w:val="32"/>
          <w:szCs w:val="32"/>
        </w:rPr>
        <w:t>：</w:t>
      </w:r>
      <w:r>
        <w:rPr>
          <w:rFonts w:hint="eastAsia" w:ascii="宋体" w:hAnsi="宋体" w:cs="Arial"/>
          <w:b/>
          <w:kern w:val="0"/>
          <w:sz w:val="32"/>
          <w:szCs w:val="32"/>
          <w:u w:val="single"/>
          <w:lang w:val="en-US" w:eastAsia="zh-CN"/>
        </w:rPr>
        <w:t>河南省建科建设监理有限公司</w:t>
      </w:r>
    </w:p>
    <w:p>
      <w:pPr>
        <w:adjustRightInd w:val="0"/>
        <w:snapToGrid w:val="0"/>
        <w:spacing w:line="360" w:lineRule="auto"/>
        <w:ind w:left="2681" w:leftChars="194" w:hanging="2274" w:hangingChars="708"/>
        <w:textAlignment w:val="baseline"/>
        <w:rPr>
          <w:rFonts w:ascii="宋体" w:hAnsi="宋体"/>
          <w:b/>
          <w:bCs/>
          <w:sz w:val="32"/>
          <w:szCs w:val="32"/>
        </w:rPr>
      </w:pPr>
    </w:p>
    <w:p>
      <w:pPr>
        <w:adjustRightInd w:val="0"/>
        <w:spacing w:line="360" w:lineRule="auto"/>
        <w:jc w:val="center"/>
        <w:textAlignment w:val="baseline"/>
        <w:rPr>
          <w:rFonts w:ascii="宋体" w:hAnsi="宋体"/>
          <w:b/>
          <w:bCs/>
          <w:sz w:val="32"/>
          <w:szCs w:val="32"/>
        </w:rPr>
      </w:pPr>
      <w:r>
        <w:rPr>
          <w:rFonts w:hint="eastAsia" w:ascii="宋体" w:hAnsi="宋体"/>
          <w:b/>
          <w:bCs/>
          <w:sz w:val="32"/>
          <w:szCs w:val="32"/>
        </w:rPr>
        <w:t>2021年</w:t>
      </w:r>
      <w:r>
        <w:rPr>
          <w:rFonts w:hint="eastAsia" w:ascii="宋体" w:hAnsi="宋体"/>
          <w:b/>
          <w:bCs/>
          <w:sz w:val="32"/>
          <w:szCs w:val="32"/>
          <w:lang w:val="en-US" w:eastAsia="zh-CN"/>
        </w:rPr>
        <w:t>12</w:t>
      </w:r>
      <w:r>
        <w:rPr>
          <w:rFonts w:hint="eastAsia" w:ascii="宋体" w:hAnsi="宋体"/>
          <w:b/>
          <w:bCs/>
          <w:sz w:val="32"/>
          <w:szCs w:val="32"/>
        </w:rPr>
        <w:t>月</w:t>
      </w:r>
    </w:p>
    <w:p>
      <w:pPr>
        <w:spacing w:line="360" w:lineRule="auto"/>
        <w:jc w:val="center"/>
        <w:rPr>
          <w:rFonts w:ascii="宋体" w:hAnsi="宋体"/>
          <w:sz w:val="24"/>
        </w:rPr>
      </w:pPr>
      <w:r>
        <w:rPr>
          <w:rFonts w:ascii="宋体" w:hAnsi="宋体"/>
          <w:sz w:val="24"/>
        </w:rPr>
        <w:br w:type="page"/>
      </w:r>
    </w:p>
    <w:p>
      <w:pPr>
        <w:spacing w:line="360" w:lineRule="auto"/>
        <w:jc w:val="center"/>
        <w:rPr>
          <w:rFonts w:ascii="宋体" w:hAnsi="宋体"/>
          <w:sz w:val="24"/>
        </w:rPr>
      </w:pPr>
    </w:p>
    <w:p>
      <w:pPr>
        <w:spacing w:line="360" w:lineRule="auto"/>
        <w:jc w:val="center"/>
        <w:rPr>
          <w:rFonts w:ascii="宋体" w:hAnsi="宋体"/>
          <w:b/>
          <w:sz w:val="32"/>
          <w:szCs w:val="32"/>
        </w:rPr>
      </w:pPr>
      <w:r>
        <w:rPr>
          <w:rFonts w:ascii="宋体" w:hAnsi="宋体"/>
          <w:b/>
          <w:sz w:val="32"/>
          <w:szCs w:val="32"/>
        </w:rPr>
        <w:t>目</w:t>
      </w:r>
      <w:r>
        <w:rPr>
          <w:rFonts w:hint="eastAsia" w:ascii="宋体" w:hAnsi="宋体"/>
          <w:b/>
          <w:sz w:val="32"/>
          <w:szCs w:val="32"/>
          <w:lang w:val="en-US" w:eastAsia="zh-CN"/>
        </w:rPr>
        <w:t xml:space="preserve">   </w:t>
      </w:r>
      <w:r>
        <w:rPr>
          <w:rFonts w:ascii="宋体" w:hAnsi="宋体"/>
          <w:b/>
          <w:sz w:val="32"/>
          <w:szCs w:val="32"/>
        </w:rPr>
        <w:t>录</w:t>
      </w:r>
    </w:p>
    <w:p>
      <w:pPr>
        <w:pStyle w:val="55"/>
      </w:pP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TOC \h \z \t "标题 1,1,标题 2,1,标题 3,1,标题 4,1,标题 5,1,标题 6,1,标题 7,1,副标题,1"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_Toc32286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56"/>
        </w:rPr>
        <w:t>第一部分 磋商邀请</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_Toc32286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_Toc15899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56"/>
        </w:rPr>
        <w:t>第二部分  磋商供应商须知前附表</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_Toc15899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_Toc6183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56"/>
        </w:rPr>
        <w:t>第三部分  磋商供应商须知</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_Toc6183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10</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_Toc15434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56"/>
        </w:rPr>
        <w:t>第四部分</w:t>
      </w:r>
      <w:r>
        <w:rPr>
          <w:rFonts w:hint="eastAsia" w:asciiTheme="minorEastAsia" w:hAnsiTheme="minorEastAsia" w:eastAsiaTheme="minorEastAsia" w:cstheme="minorEastAsia"/>
          <w:sz w:val="24"/>
          <w:szCs w:val="56"/>
          <w:lang w:val="en-US" w:eastAsia="zh-CN"/>
        </w:rPr>
        <w:t xml:space="preserve">  </w:t>
      </w:r>
      <w:r>
        <w:rPr>
          <w:rFonts w:hint="eastAsia" w:asciiTheme="minorEastAsia" w:hAnsiTheme="minorEastAsia" w:eastAsiaTheme="minorEastAsia" w:cstheme="minorEastAsia"/>
          <w:sz w:val="24"/>
          <w:szCs w:val="56"/>
        </w:rPr>
        <w:t>青海省政府采购合同文本样式</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_Toc15434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26</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_Toc2775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56"/>
        </w:rPr>
        <w:t>第五部分  磋商响应文件格式</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_Toc2775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38</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_Toc11414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格式1、磋商函</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_Toc11414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41</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_Toc5319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格式2、法定代表人证明书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_Toc5319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_Toc5800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格式3、法定代表人授权书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_Toc5800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43</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_Toc30105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格式4、磋商供应商承诺书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_Toc30105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44</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_Toc12091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格式5、供应商诚信承诺书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_Toc12091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45</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_Toc12900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格式6、资格证明材料</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_Toc12900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46</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_Toc15983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格式7、财务状况、缴纳税收和社会保障资金证明</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_Toc15983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47</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_Toc10409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格式8、具备履行合同所必须的设备和专业技术能力证明</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_Toc10409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48</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_Toc4633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格式9、无重大违法记录声明</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_Toc4633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49</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_Toc9181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格式10、磋商保证金证明</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_Toc9181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50</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_Toc28934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格式11、</w:t>
      </w:r>
      <w:r>
        <w:rPr>
          <w:rFonts w:hint="eastAsia" w:asciiTheme="minorEastAsia" w:hAnsiTheme="minorEastAsia" w:eastAsiaTheme="minorEastAsia" w:cstheme="minorEastAsia"/>
          <w:sz w:val="24"/>
          <w:szCs w:val="32"/>
        </w:rPr>
        <w:t>竞争性磋商首次报价表</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_Toc28934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51</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_Toc31770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2</w:t>
      </w:r>
      <w:r>
        <w:rPr>
          <w:rFonts w:hint="eastAsia" w:asciiTheme="minorEastAsia" w:hAnsiTheme="minorEastAsia" w:eastAsiaTheme="minorEastAsia" w:cstheme="minorEastAsia"/>
          <w:sz w:val="24"/>
          <w:szCs w:val="32"/>
          <w:lang w:val="zh-CN"/>
        </w:rPr>
        <w:t>、分项报价表</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_Toc31770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_Toc21857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3</w:t>
      </w:r>
      <w:r>
        <w:rPr>
          <w:rFonts w:hint="eastAsia" w:asciiTheme="minorEastAsia" w:hAnsiTheme="minorEastAsia" w:eastAsiaTheme="minorEastAsia" w:cstheme="minorEastAsia"/>
          <w:sz w:val="24"/>
          <w:szCs w:val="32"/>
          <w:lang w:val="zh-CN"/>
        </w:rPr>
        <w:t>、技术规格响应表</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_Toc21857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53</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_Toc9074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4</w:t>
      </w:r>
      <w:r>
        <w:rPr>
          <w:rFonts w:hint="eastAsia" w:asciiTheme="minorEastAsia" w:hAnsiTheme="minorEastAsia" w:eastAsiaTheme="minorEastAsia" w:cstheme="minorEastAsia"/>
          <w:sz w:val="24"/>
          <w:szCs w:val="32"/>
          <w:lang w:val="zh-CN"/>
        </w:rPr>
        <w:t>、磋商供应商的类似业绩证明材料</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_Toc9074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55</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_Toc3906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5</w:t>
      </w:r>
      <w:r>
        <w:rPr>
          <w:rFonts w:hint="eastAsia" w:asciiTheme="minorEastAsia" w:hAnsiTheme="minorEastAsia" w:eastAsiaTheme="minorEastAsia" w:cstheme="minorEastAsia"/>
          <w:sz w:val="24"/>
          <w:szCs w:val="32"/>
          <w:lang w:val="zh-CN"/>
        </w:rPr>
        <w:t>、享受政府采购政策优惠的证明资料</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_Toc3906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56</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_Toc24256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6</w:t>
      </w:r>
      <w:r>
        <w:rPr>
          <w:rFonts w:hint="eastAsia" w:asciiTheme="minorEastAsia" w:hAnsiTheme="minorEastAsia" w:eastAsiaTheme="minorEastAsia" w:cstheme="minorEastAsia"/>
          <w:sz w:val="24"/>
          <w:szCs w:val="32"/>
          <w:lang w:val="zh-CN"/>
        </w:rPr>
        <w:t>、磋商供应商认为在其他方面有必要说明的事项</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_Toc24256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60</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_Toc14504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32"/>
          <w:lang w:val="zh-CN"/>
        </w:rPr>
        <w:t>格式1</w:t>
      </w:r>
      <w:r>
        <w:rPr>
          <w:rFonts w:hint="eastAsia" w:asciiTheme="minorEastAsia" w:hAnsiTheme="minorEastAsia" w:eastAsiaTheme="minorEastAsia" w:cstheme="minorEastAsia"/>
          <w:sz w:val="24"/>
          <w:szCs w:val="32"/>
          <w:lang w:val="en-US" w:eastAsia="zh-CN"/>
        </w:rPr>
        <w:t>7</w:t>
      </w:r>
      <w:r>
        <w:rPr>
          <w:rFonts w:hint="eastAsia" w:asciiTheme="minorEastAsia" w:hAnsiTheme="minorEastAsia" w:eastAsiaTheme="minorEastAsia" w:cstheme="minorEastAsia"/>
          <w:sz w:val="24"/>
          <w:szCs w:val="32"/>
          <w:lang w:val="zh-CN"/>
        </w:rPr>
        <w:t>、磋商最终报价表</w:t>
      </w:r>
      <w:r>
        <w:rPr>
          <w:rFonts w:hint="eastAsia" w:asciiTheme="minorEastAsia" w:hAnsiTheme="minorEastAsia" w:eastAsiaTheme="minorEastAsia" w:cstheme="minorEastAsia"/>
          <w:sz w:val="24"/>
          <w:szCs w:val="32"/>
        </w:rPr>
        <w:t>（单独提交）</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_Toc14504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61</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_Toc3635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sz w:val="24"/>
          <w:szCs w:val="56"/>
        </w:rPr>
        <w:t>第六部分 采购项目要求及技术参数</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_Toc3635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_Toc28283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bCs/>
          <w:kern w:val="0"/>
          <w:sz w:val="24"/>
          <w:szCs w:val="32"/>
        </w:rPr>
        <w:t>一、磋商要求</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_Toc28283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tabs>
          <w:tab w:val="right" w:leader="dot" w:pos="9752"/>
          <w:tab w:val="clear" w:pos="8296"/>
        </w:tabs>
      </w:pPr>
      <w:r>
        <w:rPr>
          <w:rFonts w:hint="eastAsia" w:asciiTheme="minorEastAsia" w:hAnsiTheme="minorEastAsia" w:eastAsiaTheme="minorEastAsia" w:cstheme="minorEastAsia"/>
          <w:bCs/>
          <w:sz w:val="24"/>
          <w:szCs w:val="32"/>
        </w:rPr>
        <w:fldChar w:fldCharType="begin"/>
      </w:r>
      <w:r>
        <w:rPr>
          <w:rFonts w:hint="eastAsia" w:asciiTheme="minorEastAsia" w:hAnsiTheme="minorEastAsia" w:eastAsiaTheme="minorEastAsia" w:cstheme="minorEastAsia"/>
          <w:bCs/>
          <w:sz w:val="24"/>
          <w:szCs w:val="32"/>
        </w:rPr>
        <w:instrText xml:space="preserve"> HYPERLINK \l _Toc19164 </w:instrText>
      </w:r>
      <w:r>
        <w:rPr>
          <w:rFonts w:hint="eastAsia" w:asciiTheme="minorEastAsia" w:hAnsiTheme="minorEastAsia" w:eastAsiaTheme="minorEastAsia" w:cstheme="minorEastAsia"/>
          <w:bCs/>
          <w:sz w:val="24"/>
          <w:szCs w:val="32"/>
        </w:rPr>
        <w:fldChar w:fldCharType="separate"/>
      </w:r>
      <w:r>
        <w:rPr>
          <w:rFonts w:hint="eastAsia" w:asciiTheme="minorEastAsia" w:hAnsiTheme="minorEastAsia" w:eastAsiaTheme="minorEastAsia" w:cstheme="minorEastAsia"/>
          <w:bCs/>
          <w:kern w:val="0"/>
          <w:sz w:val="24"/>
          <w:szCs w:val="36"/>
        </w:rPr>
        <w:t>二、 采购项目参数及要求</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_Toc19164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64</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bCs/>
          <w:sz w:val="24"/>
          <w:szCs w:val="32"/>
        </w:rPr>
        <w:fldChar w:fldCharType="end"/>
      </w:r>
    </w:p>
    <w:p>
      <w:pPr>
        <w:pStyle w:val="25"/>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Cs w:val="24"/>
        </w:rPr>
        <w:fldChar w:fldCharType="end"/>
      </w:r>
    </w:p>
    <w:p>
      <w:pPr>
        <w:pStyle w:val="26"/>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jc w:val="both"/>
        <w:textAlignment w:val="auto"/>
        <w:rPr>
          <w:rFonts w:hint="eastAsia" w:ascii="宋体" w:hAnsi="宋体"/>
          <w:sz w:val="48"/>
          <w:szCs w:val="48"/>
        </w:rPr>
      </w:pPr>
      <w:bookmarkStart w:id="1" w:name="_Toc444715732"/>
      <w:bookmarkStart w:id="2" w:name="_Hlk503427406"/>
    </w:p>
    <w:p>
      <w:pPr>
        <w:rPr>
          <w:rFonts w:hint="eastAsia"/>
        </w:rPr>
      </w:pPr>
    </w:p>
    <w:p>
      <w:pPr>
        <w:pStyle w:val="26"/>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jc w:val="both"/>
        <w:textAlignment w:val="auto"/>
        <w:outlineLvl w:val="1"/>
        <w:rPr>
          <w:rFonts w:hint="eastAsia" w:ascii="宋体" w:hAnsi="宋体"/>
          <w:sz w:val="48"/>
          <w:szCs w:val="48"/>
        </w:rPr>
      </w:pPr>
    </w:p>
    <w:p>
      <w:pPr>
        <w:pStyle w:val="26"/>
        <w:keepNext w:val="0"/>
        <w:keepLines w:val="0"/>
        <w:pageBreakBefore w:val="0"/>
        <w:widowControl/>
        <w:numPr>
          <w:ilvl w:val="0"/>
          <w:numId w:val="2"/>
        </w:numPr>
        <w:kinsoku/>
        <w:wordWrap/>
        <w:overflowPunct/>
        <w:topLinePunct w:val="0"/>
        <w:autoSpaceDE/>
        <w:autoSpaceDN/>
        <w:bidi w:val="0"/>
        <w:adjustRightInd/>
        <w:snapToGrid/>
        <w:spacing w:before="0" w:after="0" w:line="520" w:lineRule="exact"/>
        <w:jc w:val="center"/>
        <w:textAlignment w:val="auto"/>
        <w:rPr>
          <w:rFonts w:hint="eastAsia" w:ascii="宋体" w:hAnsi="宋体"/>
          <w:sz w:val="48"/>
          <w:szCs w:val="48"/>
        </w:rPr>
      </w:pPr>
      <w:r>
        <w:rPr>
          <w:rFonts w:hint="eastAsia" w:ascii="宋体" w:hAnsi="宋体"/>
          <w:sz w:val="48"/>
          <w:szCs w:val="48"/>
        </w:rPr>
        <w:t xml:space="preserve">  </w:t>
      </w:r>
      <w:bookmarkStart w:id="3" w:name="_Toc32286"/>
      <w:r>
        <w:rPr>
          <w:rFonts w:hint="eastAsia" w:ascii="宋体" w:hAnsi="宋体"/>
          <w:sz w:val="48"/>
          <w:szCs w:val="48"/>
        </w:rPr>
        <w:t>磋商邀请</w:t>
      </w:r>
      <w:bookmarkEnd w:id="1"/>
      <w:bookmarkEnd w:id="3"/>
    </w:p>
    <w:p>
      <w:pPr>
        <w:rPr>
          <w:rFonts w:hint="eastAsia"/>
        </w:rPr>
      </w:pPr>
    </w:p>
    <w:p>
      <w:pPr>
        <w:numPr>
          <w:ilvl w:val="0"/>
          <w:numId w:val="0"/>
        </w:numPr>
      </w:pPr>
    </w:p>
    <w:p>
      <w:pPr>
        <w:spacing w:line="360" w:lineRule="auto"/>
        <w:ind w:firstLine="482" w:firstLineChars="200"/>
        <w:rPr>
          <w:rFonts w:ascii="宋体" w:hAnsi="宋体" w:cs="宋体"/>
          <w:sz w:val="24"/>
          <w:lang w:val="zh-CN"/>
        </w:rPr>
      </w:pPr>
      <w:bookmarkStart w:id="4" w:name="_Hlk503427571"/>
      <w:r>
        <w:rPr>
          <w:rFonts w:hint="eastAsia" w:ascii="宋体" w:hAnsi="宋体" w:cs="宋体"/>
          <w:b/>
          <w:bCs/>
          <w:sz w:val="24"/>
          <w:u w:val="single"/>
          <w:lang w:val="zh-CN"/>
        </w:rPr>
        <w:t>河南省建科建设监理有限公司</w:t>
      </w:r>
      <w:r>
        <w:rPr>
          <w:rFonts w:hint="eastAsia" w:ascii="宋体" w:hAnsi="宋体" w:cs="宋体"/>
          <w:sz w:val="24"/>
          <w:lang w:val="zh-CN"/>
        </w:rPr>
        <w:t>（以下均简称“采购代理机构”）受</w:t>
      </w:r>
      <w:r>
        <w:rPr>
          <w:rFonts w:hint="eastAsia" w:ascii="宋体" w:hAnsi="宋体" w:cs="宋体"/>
          <w:sz w:val="24"/>
          <w:lang w:val="en-US" w:eastAsia="zh-CN"/>
        </w:rPr>
        <w:t xml:space="preserve"> </w:t>
      </w:r>
      <w:r>
        <w:rPr>
          <w:rFonts w:hint="eastAsia" w:ascii="宋体" w:hAnsi="宋体" w:cs="宋体"/>
          <w:b/>
          <w:bCs/>
          <w:sz w:val="24"/>
          <w:u w:val="single"/>
          <w:lang w:val="en-US" w:eastAsia="zh-CN"/>
        </w:rPr>
        <w:t>刚察县生态环境局</w:t>
      </w:r>
      <w:r>
        <w:rPr>
          <w:rFonts w:hint="eastAsia" w:ascii="宋体" w:hAnsi="宋体" w:cs="宋体"/>
          <w:sz w:val="24"/>
          <w:lang w:val="zh-CN"/>
        </w:rPr>
        <w:t>（以下均简称“采购单位”）委托，拟对</w:t>
      </w:r>
      <w:r>
        <w:rPr>
          <w:rFonts w:hint="eastAsia" w:ascii="宋体" w:hAnsi="宋体" w:cs="宋体"/>
          <w:b/>
          <w:bCs/>
          <w:sz w:val="24"/>
          <w:u w:val="single"/>
          <w:lang w:val="zh-CN"/>
        </w:rPr>
        <w:t>刚察县农村环境污染防治建设项目</w:t>
      </w:r>
      <w:r>
        <w:rPr>
          <w:rFonts w:hint="eastAsia" w:ascii="宋体" w:hAnsi="宋体" w:cs="宋体"/>
          <w:sz w:val="24"/>
          <w:lang w:val="zh-CN"/>
        </w:rPr>
        <w:t>（采购项目编号：</w:t>
      </w:r>
      <w:r>
        <w:rPr>
          <w:rFonts w:hint="eastAsia" w:ascii="宋体" w:hAnsi="宋体" w:cs="宋体"/>
          <w:b/>
          <w:bCs/>
          <w:sz w:val="24"/>
          <w:u w:val="single"/>
          <w:lang w:val="zh-CN"/>
        </w:rPr>
        <w:t>河南建科竞磋（货物）2021-031</w:t>
      </w:r>
      <w:r>
        <w:rPr>
          <w:rFonts w:hint="eastAsia" w:ascii="宋体" w:hAnsi="宋体" w:cs="宋体"/>
          <w:sz w:val="24"/>
          <w:lang w:val="zh-CN"/>
        </w:rPr>
        <w:t>）进行国内竞争性磋商采购，现予以公告，欢迎潜在的磋商供应商参加本次政府采购活动。</w:t>
      </w:r>
    </w:p>
    <w:tbl>
      <w:tblPr>
        <w:tblStyle w:val="35"/>
        <w:tblW w:w="9669"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944"/>
        <w:gridCol w:w="772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s="宋体"/>
                <w:sz w:val="24"/>
                <w:lang w:val="zh-CN"/>
              </w:rPr>
            </w:pPr>
            <w:r>
              <w:rPr>
                <w:rFonts w:hint="eastAsia" w:ascii="宋体" w:hAnsi="宋体" w:cs="宋体"/>
                <w:sz w:val="24"/>
                <w:lang w:val="zh-CN"/>
              </w:rPr>
              <w:t>采购项目编号</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jc w:val="left"/>
              <w:rPr>
                <w:rFonts w:ascii="宋体" w:hAnsi="宋体" w:cs="宋体"/>
                <w:sz w:val="24"/>
                <w:lang w:val="zh-CN"/>
              </w:rPr>
            </w:pPr>
            <w:r>
              <w:rPr>
                <w:rFonts w:hint="eastAsia" w:ascii="宋体" w:hAnsi="宋体" w:cs="宋体"/>
                <w:sz w:val="24"/>
                <w:lang w:val="zh-CN"/>
              </w:rPr>
              <w:t>河南建科竞磋（货物）2021-031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rPr>
              <w:t>采购项目名称</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jc w:val="left"/>
              <w:rPr>
                <w:rFonts w:ascii="宋体" w:hAnsi="宋体" w:cs="Tahoma"/>
                <w:sz w:val="24"/>
              </w:rPr>
            </w:pPr>
            <w:r>
              <w:rPr>
                <w:rFonts w:hint="eastAsia" w:ascii="宋体" w:hAnsi="宋体" w:cs="宋体"/>
                <w:sz w:val="24"/>
                <w:lang w:val="zh-CN"/>
              </w:rPr>
              <w:t>刚察县农村环境污染防治建设项目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78"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rPr>
              <w:t>采购方式</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jc w:val="left"/>
              <w:rPr>
                <w:rFonts w:ascii="宋体" w:hAnsi="宋体"/>
                <w:kern w:val="0"/>
                <w:sz w:val="24"/>
              </w:rPr>
            </w:pPr>
            <w:r>
              <w:rPr>
                <w:rFonts w:ascii="宋体" w:hAnsi="宋体"/>
                <w:kern w:val="0"/>
                <w:sz w:val="24"/>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hint="eastAsia" w:ascii="宋体" w:hAnsi="宋体" w:eastAsia="宋体" w:cs="宋体"/>
                <w:sz w:val="24"/>
                <w:lang w:val="zh-CN"/>
              </w:rPr>
            </w:pPr>
            <w:r>
              <w:rPr>
                <w:rFonts w:hint="eastAsia" w:ascii="宋体" w:hAnsi="宋体" w:eastAsia="宋体" w:cs="宋体"/>
                <w:sz w:val="24"/>
                <w:lang w:val="zh-CN"/>
              </w:rPr>
              <w:t>采购预算控制额度</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jc w:val="left"/>
              <w:rPr>
                <w:rFonts w:hint="default" w:ascii="宋体" w:hAnsi="宋体" w:eastAsia="宋体" w:cs="宋体"/>
                <w:sz w:val="24"/>
                <w:lang w:val="en-US" w:eastAsia="zh-CN"/>
              </w:rPr>
            </w:pPr>
            <w:r>
              <w:rPr>
                <w:rFonts w:hint="eastAsia" w:ascii="宋体" w:hAnsi="宋体" w:cs="宋体"/>
                <w:sz w:val="24"/>
                <w:lang w:val="zh-CN"/>
              </w:rPr>
              <w:t>包</w:t>
            </w:r>
            <w:r>
              <w:rPr>
                <w:rFonts w:hint="eastAsia" w:ascii="宋体" w:hAnsi="宋体" w:cs="宋体"/>
                <w:sz w:val="24"/>
                <w:lang w:val="en-US" w:eastAsia="zh-CN"/>
              </w:rPr>
              <w:t>1，36.22万</w:t>
            </w:r>
            <w:r>
              <w:rPr>
                <w:rFonts w:hint="eastAsia" w:ascii="宋体" w:hAnsi="宋体" w:eastAsia="宋体" w:cs="宋体"/>
                <w:sz w:val="24"/>
                <w:lang w:val="zh-CN"/>
              </w:rPr>
              <w:t>元</w:t>
            </w:r>
            <w:r>
              <w:rPr>
                <w:rFonts w:hint="eastAsia" w:ascii="宋体" w:hAnsi="宋体" w:cs="宋体"/>
                <w:sz w:val="24"/>
                <w:lang w:val="zh-CN"/>
              </w:rPr>
              <w:t>；</w:t>
            </w:r>
            <w:r>
              <w:rPr>
                <w:rFonts w:hint="eastAsia" w:ascii="宋体" w:hAnsi="宋体" w:cs="宋体"/>
                <w:sz w:val="24"/>
                <w:lang w:val="en-US" w:eastAsia="zh-CN"/>
              </w:rPr>
              <w:t xml:space="preserve">   </w:t>
            </w:r>
            <w:r>
              <w:rPr>
                <w:rFonts w:hint="eastAsia" w:ascii="宋体" w:hAnsi="宋体" w:cs="宋体"/>
                <w:sz w:val="24"/>
                <w:lang w:val="zh-CN"/>
              </w:rPr>
              <w:t>包</w:t>
            </w:r>
            <w:r>
              <w:rPr>
                <w:rFonts w:hint="eastAsia" w:ascii="宋体" w:hAnsi="宋体" w:cs="宋体"/>
                <w:sz w:val="24"/>
                <w:lang w:val="en-US" w:eastAsia="zh-CN"/>
              </w:rPr>
              <w:t>2，35.85万元。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rPr>
              <w:t>项目分包个数</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jc w:val="left"/>
              <w:rPr>
                <w:rFonts w:hint="default" w:ascii="宋体" w:hAnsi="宋体" w:eastAsia="宋体"/>
                <w:kern w:val="0"/>
                <w:sz w:val="24"/>
                <w:lang w:val="en-US" w:eastAsia="zh-CN"/>
              </w:rPr>
            </w:pPr>
            <w:r>
              <w:rPr>
                <w:rFonts w:hint="eastAsia" w:ascii="宋体" w:hAnsi="宋体"/>
                <w:kern w:val="0"/>
                <w:sz w:val="24"/>
                <w:lang w:val="en-US" w:eastAsia="zh-CN"/>
              </w:rPr>
              <w:t>2个</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hint="eastAsia" w:ascii="宋体" w:hAnsi="宋体"/>
                <w:kern w:val="0"/>
                <w:sz w:val="24"/>
              </w:rPr>
            </w:pPr>
            <w:r>
              <w:rPr>
                <w:rFonts w:hint="eastAsia" w:ascii="宋体" w:hAnsi="宋体" w:cs="宋体"/>
                <w:sz w:val="24"/>
              </w:rPr>
              <w:t>磋商供应商</w:t>
            </w:r>
            <w:r>
              <w:rPr>
                <w:rFonts w:hint="eastAsia" w:ascii="宋体" w:hAnsi="宋体"/>
                <w:kern w:val="0"/>
                <w:sz w:val="24"/>
              </w:rPr>
              <w:t>资格</w:t>
            </w:r>
          </w:p>
          <w:p>
            <w:pPr>
              <w:pStyle w:val="61"/>
              <w:spacing w:line="360" w:lineRule="auto"/>
              <w:jc w:val="center"/>
              <w:rPr>
                <w:rFonts w:ascii="宋体" w:hAnsi="宋体"/>
                <w:kern w:val="0"/>
                <w:sz w:val="24"/>
              </w:rPr>
            </w:pPr>
            <w:r>
              <w:rPr>
                <w:rFonts w:hint="eastAsia" w:ascii="宋体" w:hAnsi="宋体"/>
                <w:kern w:val="0"/>
                <w:sz w:val="24"/>
              </w:rPr>
              <w:t>条件</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32"/>
              <w:spacing w:before="0" w:beforeAutospacing="0" w:after="0" w:afterAutospacing="0" w:line="54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1、符合《政府采购法》第22条规定，并提供下列材料：</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的营业执照等证明文件，自然人的身份证明。</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财务状况报告，依法缴纳税收和社会保障资金的相关材料（经第三方机构出具的2020年度财务状况审计报告，扫描或复印件应全面、完整、清晰，包括资产负债表、现金流量表、利润表和财务（会计）报表附注,并提供第三方机构的营业执照、执业证书；依法缴纳税收和社会保障资金的相关材料</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，供应商成立不满足年限的需提供</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基本账户开户银行近三个月内出具的资信证明：近半年任意3个月的依法缴纳税收和社会保障资金记录的证明材料，依法免税或不需要缴纳社会保障资金的</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须提供相应文件证明其依法免税或不需要缴纳社会保障资金）；</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（3）具备履行合同所必需的设备和专业技术能力的证明材料。</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（4）参加政府采购活动前3年内在经营活动中没有重大违法记录的书面声明。</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（5）具备法律、行政法规规定的其他条件的证明材料。</w:t>
            </w:r>
          </w:p>
          <w:p>
            <w:pPr>
              <w:adjustRightInd w:val="0"/>
              <w:spacing w:line="540" w:lineRule="exact"/>
              <w:ind w:left="0" w:leftChars="0" w:firstLine="218" w:firstLineChars="91"/>
              <w:jc w:val="lef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2、未被信用中国（www.creditchina.gov.cn）、中国政府采购网（www.ccgp.gov.cn），列入失信被执行人、重大税收违法案件当事人名单、政府采购严重违法失信行为记录名单的</w:t>
            </w:r>
            <w:r>
              <w:rPr>
                <w:rFonts w:ascii="宋体" w:hAnsi="宋体" w:eastAsia="宋体" w:cs="宋体"/>
                <w:sz w:val="20"/>
              </w:rPr>
              <w:t>（</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时间为磋商截止时间前 10 天内；若查询结果提供相应截图）；</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3、单位负责人为同一人或者存在直接控股、管理关系的不同</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，不得参加同一合同项下的政府采购活动，否则，皆取消投标资格；</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4、本项目不接受</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以联合体方式进行投标；</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 其他资质条件：</w:t>
            </w:r>
          </w:p>
          <w:p>
            <w:pPr>
              <w:spacing w:line="460" w:lineRule="exact"/>
              <w:ind w:left="0" w:leftChars="0" w:firstLine="218" w:firstLineChars="91"/>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（1）本次采购要求供应商在人员、设备、资金等方面具有相应的供货能力。</w:t>
            </w:r>
          </w:p>
          <w:p>
            <w:pPr>
              <w:spacing w:line="460" w:lineRule="exact"/>
              <w:ind w:left="0" w:leftChars="0" w:firstLine="218" w:firstLineChars="91"/>
              <w:rPr>
                <w:rFonts w:ascii="宋体" w:hAnsi="宋体"/>
                <w:kern w:val="0"/>
                <w:sz w:val="24"/>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（2）磋商文件规定的其他条件。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公告发布时间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firstLine="240" w:firstLineChars="1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2021年</w:t>
            </w:r>
            <w:r>
              <w:rPr>
                <w:rFonts w:hint="eastAsia" w:ascii="宋体" w:hAnsi="宋体"/>
                <w:color w:val="000000" w:themeColor="text1"/>
                <w:kern w:val="0"/>
                <w:sz w:val="24"/>
                <w:lang w:val="en-US" w:eastAsia="zh-CN"/>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月</w:t>
            </w:r>
            <w:r>
              <w:rPr>
                <w:rFonts w:hint="eastAsia" w:ascii="宋体" w:hAnsi="宋体"/>
                <w:color w:val="000000" w:themeColor="text1"/>
                <w:kern w:val="0"/>
                <w:sz w:val="24"/>
                <w:lang w:val="en-US" w:eastAsia="zh-CN"/>
                <w14:textFill>
                  <w14:solidFill>
                    <w14:schemeClr w14:val="tx1"/>
                  </w14:solidFill>
                </w14:textFill>
              </w:rPr>
              <w:t>01</w:t>
            </w:r>
            <w:r>
              <w:rPr>
                <w:rFonts w:hint="eastAsia" w:ascii="宋体" w:hAnsi="宋体"/>
                <w:color w:val="000000" w:themeColor="text1"/>
                <w:kern w:val="0"/>
                <w:sz w:val="24"/>
                <w14:textFill>
                  <w14:solidFill>
                    <w14:schemeClr w14:val="tx1"/>
                  </w14:solidFill>
                </w14:textFill>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1944" w:type="dxa"/>
            <w:tcBorders>
              <w:top w:val="outset" w:color="000000" w:sz="6" w:space="0"/>
              <w:left w:val="outset" w:color="000000" w:sz="6" w:space="0"/>
              <w:bottom w:val="outset" w:color="000000" w:sz="6" w:space="0"/>
              <w:right w:val="outset" w:color="000000" w:sz="6" w:space="0"/>
            </w:tcBorders>
          </w:tcPr>
          <w:p>
            <w:pPr>
              <w:pStyle w:val="61"/>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磋商文件发售起止时间</w:t>
            </w:r>
          </w:p>
        </w:tc>
        <w:tc>
          <w:tcPr>
            <w:tcW w:w="7725" w:type="dxa"/>
            <w:tcBorders>
              <w:top w:val="outset" w:color="000000" w:sz="6" w:space="0"/>
              <w:left w:val="outset" w:color="000000" w:sz="6" w:space="0"/>
              <w:bottom w:val="outset" w:color="000000" w:sz="6" w:space="0"/>
              <w:right w:val="outset" w:color="000000" w:sz="6" w:space="0"/>
            </w:tcBorders>
          </w:tcPr>
          <w:p>
            <w:pPr>
              <w:pStyle w:val="61"/>
              <w:spacing w:line="360" w:lineRule="auto"/>
              <w:ind w:left="239" w:leftChars="114" w:firstLine="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自2021年</w:t>
            </w:r>
            <w:r>
              <w:rPr>
                <w:rFonts w:hint="eastAsia" w:ascii="宋体" w:hAnsi="宋体"/>
                <w:color w:val="000000" w:themeColor="text1"/>
                <w:kern w:val="0"/>
                <w:sz w:val="24"/>
                <w:lang w:val="en-US" w:eastAsia="zh-CN"/>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月</w:t>
            </w:r>
            <w:r>
              <w:rPr>
                <w:rFonts w:hint="eastAsia" w:ascii="宋体" w:hAnsi="宋体"/>
                <w:color w:val="000000" w:themeColor="text1"/>
                <w:kern w:val="0"/>
                <w:sz w:val="24"/>
                <w:lang w:val="en-US" w:eastAsia="zh-CN"/>
                <w14:textFill>
                  <w14:solidFill>
                    <w14:schemeClr w14:val="tx1"/>
                  </w14:solidFill>
                </w14:textFill>
              </w:rPr>
              <w:t>02</w:t>
            </w:r>
            <w:r>
              <w:rPr>
                <w:rFonts w:hint="eastAsia" w:ascii="宋体" w:hAnsi="宋体"/>
                <w:color w:val="000000" w:themeColor="text1"/>
                <w:kern w:val="0"/>
                <w:sz w:val="24"/>
                <w14:textFill>
                  <w14:solidFill>
                    <w14:schemeClr w14:val="tx1"/>
                  </w14:solidFill>
                </w14:textFill>
              </w:rPr>
              <w:t>日至2021年</w:t>
            </w:r>
            <w:r>
              <w:rPr>
                <w:rFonts w:hint="eastAsia" w:ascii="宋体" w:hAnsi="宋体"/>
                <w:color w:val="000000" w:themeColor="text1"/>
                <w:kern w:val="0"/>
                <w:sz w:val="24"/>
                <w:lang w:val="en-US" w:eastAsia="zh-CN"/>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月</w:t>
            </w:r>
            <w:r>
              <w:rPr>
                <w:rFonts w:hint="eastAsia" w:ascii="宋体" w:hAnsi="宋体"/>
                <w:color w:val="000000" w:themeColor="text1"/>
                <w:kern w:val="0"/>
                <w:sz w:val="24"/>
                <w:lang w:val="en-US" w:eastAsia="zh-CN"/>
                <w14:textFill>
                  <w14:solidFill>
                    <w14:schemeClr w14:val="tx1"/>
                  </w14:solidFill>
                </w14:textFill>
              </w:rPr>
              <w:t>08</w:t>
            </w:r>
            <w:r>
              <w:rPr>
                <w:rFonts w:hint="eastAsia" w:ascii="宋体" w:hAnsi="宋体"/>
                <w:color w:val="000000" w:themeColor="text1"/>
                <w:kern w:val="0"/>
                <w:sz w:val="24"/>
                <w14:textFill>
                  <w14:solidFill>
                    <w14:schemeClr w14:val="tx1"/>
                  </w14:solidFill>
                </w14:textFill>
              </w:rPr>
              <w:t>日（上午</w:t>
            </w:r>
            <w:r>
              <w:rPr>
                <w:rFonts w:hint="eastAsia" w:ascii="宋体" w:hAnsi="宋体"/>
                <w:color w:val="000000" w:themeColor="text1"/>
                <w:kern w:val="0"/>
                <w:sz w:val="24"/>
                <w:lang w:val="en-US" w:eastAsia="zh-CN"/>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:00-1</w:t>
            </w:r>
            <w:r>
              <w:rPr>
                <w:rFonts w:hint="eastAsia" w:ascii="宋体" w:hAnsi="宋体"/>
                <w:color w:val="000000" w:themeColor="text1"/>
                <w:kern w:val="0"/>
                <w:sz w:val="24"/>
                <w:lang w:val="en-US" w:eastAsia="zh-CN"/>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30</w:t>
            </w:r>
            <w:r>
              <w:rPr>
                <w:rFonts w:hint="eastAsia" w:ascii="宋体" w:hAnsi="宋体"/>
                <w:color w:val="000000" w:themeColor="text1"/>
                <w:kern w:val="0"/>
                <w:sz w:val="24"/>
                <w14:textFill>
                  <w14:solidFill>
                    <w14:schemeClr w14:val="tx1"/>
                  </w14:solidFill>
                </w14:textFill>
              </w:rPr>
              <w:t>，下午1</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30</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17</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30</w:t>
            </w:r>
            <w:r>
              <w:rPr>
                <w:rFonts w:hint="eastAsia" w:ascii="宋体" w:hAnsi="宋体"/>
                <w:color w:val="000000" w:themeColor="text1"/>
                <w:kern w:val="0"/>
                <w:sz w:val="24"/>
                <w14:textFill>
                  <w14:solidFill>
                    <w14:schemeClr w14:val="tx1"/>
                  </w14:solidFill>
                </w14:textFill>
              </w:rPr>
              <w:t>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1944" w:type="dxa"/>
            <w:tcBorders>
              <w:top w:val="outset" w:color="000000" w:sz="6" w:space="0"/>
              <w:left w:val="outset" w:color="000000" w:sz="6" w:space="0"/>
              <w:bottom w:val="outset" w:color="000000" w:sz="6" w:space="0"/>
              <w:right w:val="outset" w:color="000000" w:sz="6"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default" w:ascii="宋体" w:hAnsi="宋体" w:eastAsia="宋体" w:cs="Times New Roman"/>
                <w:color w:val="000000" w:themeColor="text1"/>
                <w:kern w:val="0"/>
                <w:sz w:val="24"/>
                <w:szCs w:val="24"/>
                <w:lang w:val="en-US" w:eastAsia="zh-CN" w:bidi="ar-SA"/>
                <w14:textFill>
                  <w14:solidFill>
                    <w14:schemeClr w14:val="tx1"/>
                  </w14:solidFill>
                </w14:textFill>
              </w:rPr>
              <w:t>购买招标文件时应提供材料</w:t>
            </w:r>
          </w:p>
        </w:tc>
        <w:tc>
          <w:tcPr>
            <w:tcW w:w="7725" w:type="dxa"/>
            <w:tcBorders>
              <w:top w:val="outset" w:color="000000" w:sz="6" w:space="0"/>
              <w:left w:val="outset" w:color="000000" w:sz="6" w:space="0"/>
              <w:bottom w:val="outset" w:color="000000" w:sz="6" w:space="0"/>
              <w:right w:val="outset" w:color="000000" w:sz="6"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default" w:ascii="宋体" w:hAnsi="宋体" w:eastAsia="宋体" w:cs="Times New Roman"/>
                <w:color w:val="000000" w:themeColor="text1"/>
                <w:kern w:val="0"/>
                <w:sz w:val="24"/>
                <w:szCs w:val="24"/>
                <w:lang w:val="en-US" w:eastAsia="zh-CN" w:bidi="ar-SA"/>
                <w14:textFill>
                  <w14:solidFill>
                    <w14:schemeClr w14:val="tx1"/>
                  </w14:solidFill>
                </w14:textFill>
              </w:rPr>
              <w:t>营业执照、开户许可证、法定代表人证明书、授权委托书（原件）以上文件需加盖公章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firstLine="240" w:firstLineChars="100"/>
              <w:rPr>
                <w:rFonts w:hint="eastAsia" w:ascii="宋体" w:hAnsi="宋体" w:cs="Times New Roman"/>
                <w:color w:val="000000" w:themeColor="text1"/>
                <w:kern w:val="0"/>
                <w:sz w:val="24"/>
                <w14:textFill>
                  <w14:solidFill>
                    <w14:schemeClr w14:val="tx1"/>
                  </w14:solidFill>
                </w14:textFill>
              </w:rPr>
            </w:pPr>
            <w:r>
              <w:rPr>
                <w:rFonts w:hint="eastAsia" w:ascii="宋体" w:hAnsi="宋体" w:cs="Times New Roman"/>
                <w:color w:val="000000" w:themeColor="text1"/>
                <w:kern w:val="0"/>
                <w:sz w:val="24"/>
                <w14:textFill>
                  <w14:solidFill>
                    <w14:schemeClr w14:val="tx1"/>
                  </w14:solidFill>
                </w14:textFill>
              </w:rPr>
              <w:t>磋商文件发售</w:t>
            </w:r>
          </w:p>
          <w:p>
            <w:pPr>
              <w:pStyle w:val="61"/>
              <w:spacing w:line="360" w:lineRule="auto"/>
              <w:ind w:firstLine="240" w:firstLineChars="100"/>
              <w:rPr>
                <w:rFonts w:hint="eastAsia" w:ascii="宋体" w:hAnsi="宋体" w:cs="Times New Roman"/>
                <w:color w:val="000000" w:themeColor="text1"/>
                <w:kern w:val="0"/>
                <w:sz w:val="24"/>
                <w14:textFill>
                  <w14:solidFill>
                    <w14:schemeClr w14:val="tx1"/>
                  </w14:solidFill>
                </w14:textFill>
              </w:rPr>
            </w:pPr>
            <w:r>
              <w:rPr>
                <w:rFonts w:hint="eastAsia" w:ascii="宋体" w:hAnsi="宋体" w:cs="Times New Roman"/>
                <w:color w:val="000000" w:themeColor="text1"/>
                <w:kern w:val="0"/>
                <w:sz w:val="24"/>
                <w14:textFill>
                  <w14:solidFill>
                    <w14:schemeClr w14:val="tx1"/>
                  </w14:solidFill>
                </w14:textFill>
              </w:rPr>
              <w:t>方式</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firstLine="240" w:firstLineChars="100"/>
              <w:rPr>
                <w:rFonts w:hint="eastAsia" w:ascii="宋体" w:hAnsi="宋体" w:cs="Times New Roman"/>
                <w:color w:val="000000" w:themeColor="text1"/>
                <w:kern w:val="0"/>
                <w:sz w:val="24"/>
                <w14:textFill>
                  <w14:solidFill>
                    <w14:schemeClr w14:val="tx1"/>
                  </w14:solidFill>
                </w14:textFill>
              </w:rPr>
            </w:pPr>
            <w:r>
              <w:rPr>
                <w:rFonts w:hint="eastAsia" w:ascii="宋体" w:hAnsi="宋体" w:cs="Times New Roman"/>
                <w:color w:val="000000" w:themeColor="text1"/>
                <w:kern w:val="0"/>
                <w:sz w:val="24"/>
                <w14:textFill>
                  <w14:solidFill>
                    <w14:schemeClr w14:val="tx1"/>
                  </w14:solidFill>
                </w14:textFill>
              </w:rPr>
              <w:t>现场购买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磋商文件售价</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firstLine="240" w:firstLineChars="100"/>
              <w:rPr>
                <w:rFonts w:hint="default" w:ascii="宋体" w:hAnsi="宋体" w:eastAsia="宋体"/>
                <w:color w:val="000000" w:themeColor="text1"/>
                <w:kern w:val="0"/>
                <w:sz w:val="24"/>
                <w:lang w:val="en-US" w:eastAsia="zh-CN"/>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500元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磋商文件发售地点</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239" w:leftChars="114" w:firstLine="0" w:firstLineChars="0"/>
              <w:rPr>
                <w:rFonts w:hint="default" w:ascii="宋体" w:hAnsi="宋体"/>
                <w:color w:val="000000" w:themeColor="text1"/>
                <w:kern w:val="0"/>
                <w:sz w:val="24"/>
                <w:lang w:val="en-US"/>
                <w14:textFill>
                  <w14:solidFill>
                    <w14:schemeClr w14:val="tx1"/>
                  </w14:solidFill>
                </w14:textFill>
              </w:rPr>
            </w:pPr>
            <w:r>
              <w:rPr>
                <w:rFonts w:hint="eastAsia" w:ascii="宋体" w:hAnsi="宋体" w:eastAsia="宋体"/>
                <w:color w:val="000000" w:themeColor="text1"/>
                <w:kern w:val="0"/>
                <w:sz w:val="24"/>
                <w:lang w:eastAsia="zh-CN"/>
                <w14:textFill>
                  <w14:solidFill>
                    <w14:schemeClr w14:val="tx1"/>
                  </w14:solidFill>
                </w14:textFill>
              </w:rPr>
              <w:t>河南省建科建设监理有限公司（西宁市城西区万达广场SOHO2号楼23楼12305室</w:t>
            </w:r>
            <w:r>
              <w:rPr>
                <w:rFonts w:hint="eastAsia" w:ascii="宋体" w:hAnsi="宋体"/>
                <w:color w:val="000000" w:themeColor="text1"/>
                <w:kern w:val="0"/>
                <w:sz w:val="24"/>
                <w:highlight w:val="none"/>
                <w:lang w:val="en-US"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磋商截止时间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2021年12月</w:t>
            </w:r>
            <w:r>
              <w:rPr>
                <w:rFonts w:hint="eastAsia" w:ascii="宋体" w:hAnsi="宋体"/>
                <w:color w:val="000000" w:themeColor="text1"/>
                <w:kern w:val="0"/>
                <w:sz w:val="24"/>
                <w:lang w:val="en-US" w:eastAsia="zh-CN"/>
                <w14:textFill>
                  <w14:solidFill>
                    <w14:schemeClr w14:val="tx1"/>
                  </w14:solidFill>
                </w14:textFill>
              </w:rPr>
              <w:t>14</w:t>
            </w:r>
            <w:r>
              <w:rPr>
                <w:rFonts w:hint="eastAsia" w:ascii="宋体" w:hAnsi="宋体"/>
                <w:color w:val="000000" w:themeColor="text1"/>
                <w:kern w:val="0"/>
                <w:sz w:val="24"/>
                <w:lang w:eastAsia="zh-CN"/>
                <w14:textFill>
                  <w14:solidFill>
                    <w14:schemeClr w14:val="tx1"/>
                  </w14:solidFill>
                </w14:textFill>
              </w:rPr>
              <w:t>日  上午</w:t>
            </w:r>
            <w:r>
              <w:rPr>
                <w:rFonts w:hint="eastAsia" w:ascii="宋体" w:hAnsi="宋体"/>
                <w:color w:val="000000" w:themeColor="text1"/>
                <w:kern w:val="0"/>
                <w:sz w:val="24"/>
                <w:lang w:val="en-US" w:eastAsia="zh-CN"/>
                <w14:textFill>
                  <w14:solidFill>
                    <w14:schemeClr w14:val="tx1"/>
                  </w14:solidFill>
                </w14:textFill>
              </w:rPr>
              <w:t>10</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0</w:t>
            </w:r>
            <w:r>
              <w:rPr>
                <w:rFonts w:hint="eastAsia" w:ascii="宋体" w:hAnsi="宋体"/>
                <w:color w:val="000000" w:themeColor="text1"/>
                <w:kern w:val="0"/>
                <w:sz w:val="24"/>
                <w:lang w:eastAsia="zh-CN"/>
                <w14:textFill>
                  <w14:solidFill>
                    <w14:schemeClr w14:val="tx1"/>
                  </w14:solidFill>
                </w14:textFill>
              </w:rPr>
              <w:t>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磋商时间</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2021年12月</w:t>
            </w:r>
            <w:r>
              <w:rPr>
                <w:rFonts w:hint="eastAsia" w:ascii="宋体" w:hAnsi="宋体"/>
                <w:color w:val="000000" w:themeColor="text1"/>
                <w:kern w:val="0"/>
                <w:sz w:val="24"/>
                <w:lang w:val="en-US" w:eastAsia="zh-CN"/>
                <w14:textFill>
                  <w14:solidFill>
                    <w14:schemeClr w14:val="tx1"/>
                  </w14:solidFill>
                </w14:textFill>
              </w:rPr>
              <w:t>14</w:t>
            </w:r>
            <w:r>
              <w:rPr>
                <w:rFonts w:hint="eastAsia" w:ascii="宋体" w:hAnsi="宋体"/>
                <w:color w:val="000000" w:themeColor="text1"/>
                <w:kern w:val="0"/>
                <w:sz w:val="24"/>
                <w:lang w:eastAsia="zh-CN"/>
                <w14:textFill>
                  <w14:solidFill>
                    <w14:schemeClr w14:val="tx1"/>
                  </w14:solidFill>
                </w14:textFill>
              </w:rPr>
              <w:t>日  上午</w:t>
            </w:r>
            <w:r>
              <w:rPr>
                <w:rFonts w:hint="eastAsia" w:ascii="宋体" w:hAnsi="宋体"/>
                <w:color w:val="000000" w:themeColor="text1"/>
                <w:kern w:val="0"/>
                <w:sz w:val="24"/>
                <w:lang w:val="en-US" w:eastAsia="zh-CN"/>
                <w14:textFill>
                  <w14:solidFill>
                    <w14:schemeClr w14:val="tx1"/>
                  </w14:solidFill>
                </w14:textFill>
              </w:rPr>
              <w:t>10</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0</w:t>
            </w:r>
            <w:r>
              <w:rPr>
                <w:rFonts w:hint="eastAsia" w:ascii="宋体" w:hAnsi="宋体"/>
                <w:color w:val="000000" w:themeColor="text1"/>
                <w:kern w:val="0"/>
                <w:sz w:val="24"/>
                <w:lang w:eastAsia="zh-CN"/>
                <w14:textFill>
                  <w14:solidFill>
                    <w14:schemeClr w14:val="tx1"/>
                  </w14:solidFill>
                </w14:textFill>
              </w:rPr>
              <w:t>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lang w:eastAsia="zh-CN"/>
              </w:rPr>
              <w:t>响应文件递交及</w:t>
            </w:r>
            <w:r>
              <w:rPr>
                <w:rFonts w:hint="eastAsia" w:ascii="宋体" w:hAnsi="宋体"/>
                <w:kern w:val="0"/>
                <w:sz w:val="24"/>
              </w:rPr>
              <w:t>磋商地点</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32"/>
              <w:spacing w:before="0" w:beforeAutospacing="0" w:after="0" w:afterAutospacing="0" w:line="540" w:lineRule="exact"/>
              <w:ind w:firstLine="240" w:firstLineChars="10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西宁市城西区万达广场SOHO2号楼23楼12306室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rPr>
              <w:t>采购单位及联系人电话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143"/>
              <w:spacing w:before="3" w:line="364" w:lineRule="auto"/>
              <w:ind w:right="3813" w:firstLine="240" w:firstLineChars="100"/>
              <w:rPr>
                <w:rFonts w:hint="eastAsia" w:ascii="宋体" w:hAnsi="宋体" w:eastAsia="宋体" w:cs="Times New Roman"/>
                <w:kern w:val="0"/>
                <w:sz w:val="24"/>
                <w:szCs w:val="24"/>
                <w:lang w:val="en-US" w:eastAsia="zh-CN" w:bidi="ar-SA"/>
              </w:rPr>
            </w:pPr>
            <w:r>
              <w:rPr>
                <w:rFonts w:hint="eastAsia" w:cs="Times New Roman"/>
                <w:kern w:val="0"/>
                <w:sz w:val="24"/>
                <w:szCs w:val="24"/>
                <w:lang w:val="en-US" w:eastAsia="zh-CN" w:bidi="ar-SA"/>
              </w:rPr>
              <w:t>采</w:t>
            </w:r>
            <w:r>
              <w:rPr>
                <w:rFonts w:hint="eastAsia" w:ascii="宋体" w:hAnsi="宋体" w:eastAsia="宋体" w:cs="Times New Roman"/>
                <w:kern w:val="0"/>
                <w:sz w:val="24"/>
                <w:szCs w:val="24"/>
                <w:lang w:val="en-US" w:eastAsia="zh-CN" w:bidi="ar-SA"/>
              </w:rPr>
              <w:t>购人：</w:t>
            </w:r>
            <w:r>
              <w:rPr>
                <w:rFonts w:hint="eastAsia" w:cs="Times New Roman"/>
                <w:kern w:val="0"/>
                <w:sz w:val="24"/>
                <w:szCs w:val="24"/>
                <w:lang w:val="en-US" w:eastAsia="zh-CN" w:bidi="ar-SA"/>
              </w:rPr>
              <w:t>刚察县生态环境局</w:t>
            </w:r>
          </w:p>
          <w:p>
            <w:pPr>
              <w:pStyle w:val="143"/>
              <w:spacing w:before="3" w:line="364" w:lineRule="auto"/>
              <w:ind w:right="3813" w:firstLine="240" w:firstLineChars="10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联系人：</w:t>
            </w:r>
            <w:r>
              <w:rPr>
                <w:rFonts w:hint="eastAsia" w:cs="Times New Roman"/>
                <w:kern w:val="0"/>
                <w:sz w:val="24"/>
                <w:szCs w:val="24"/>
                <w:lang w:val="en-US" w:eastAsia="zh-CN" w:bidi="ar-SA"/>
              </w:rPr>
              <w:t>汪先生</w:t>
            </w:r>
          </w:p>
          <w:p>
            <w:pPr>
              <w:pStyle w:val="143"/>
              <w:spacing w:line="255" w:lineRule="exact"/>
              <w:ind w:firstLine="240" w:firstLineChars="100"/>
              <w:rPr>
                <w:rFonts w:hint="default"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联系电话：</w:t>
            </w:r>
            <w:r>
              <w:rPr>
                <w:rFonts w:hint="eastAsia" w:cs="Times New Roman"/>
                <w:kern w:val="0"/>
                <w:sz w:val="24"/>
                <w:szCs w:val="24"/>
                <w:lang w:val="en-US" w:eastAsia="zh-CN" w:bidi="ar-SA"/>
              </w:rPr>
              <w:t>0970-8655299</w:t>
            </w:r>
          </w:p>
          <w:p>
            <w:pPr>
              <w:pStyle w:val="32"/>
              <w:spacing w:before="0" w:beforeAutospacing="0" w:after="0" w:afterAutospacing="0" w:line="540" w:lineRule="exact"/>
              <w:ind w:firstLine="240" w:firstLineChars="10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联系地址：</w:t>
            </w:r>
            <w:r>
              <w:rPr>
                <w:rFonts w:hint="eastAsia" w:cs="Times New Roman"/>
                <w:kern w:val="0"/>
                <w:sz w:val="24"/>
                <w:szCs w:val="24"/>
                <w:lang w:val="en-US" w:eastAsia="zh-CN" w:bidi="ar-SA"/>
              </w:rPr>
              <w:t>刚察县沙柳河镇东大街15号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kern w:val="0"/>
                <w:sz w:val="24"/>
              </w:rPr>
            </w:pPr>
            <w:r>
              <w:rPr>
                <w:rFonts w:hint="eastAsia" w:ascii="宋体" w:hAnsi="宋体"/>
                <w:kern w:val="0"/>
                <w:sz w:val="24"/>
              </w:rPr>
              <w:t>采购代理机构及联系人电话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32"/>
              <w:spacing w:before="0" w:beforeAutospacing="0" w:after="0" w:afterAutospacing="0" w:line="540" w:lineRule="exact"/>
              <w:ind w:left="0" w:leftChars="0" w:firstLine="218" w:firstLineChars="91"/>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名称：</w:t>
            </w:r>
            <w:r>
              <w:rPr>
                <w:rFonts w:hint="eastAsia" w:cs="Times New Roman"/>
                <w:kern w:val="0"/>
                <w:sz w:val="24"/>
                <w:szCs w:val="24"/>
                <w:lang w:val="en-US" w:eastAsia="zh-CN" w:bidi="ar-SA"/>
              </w:rPr>
              <w:t>河南省建科建设监理有限公司</w:t>
            </w:r>
            <w:r>
              <w:rPr>
                <w:rFonts w:hint="eastAsia" w:ascii="宋体" w:hAnsi="宋体" w:eastAsia="宋体" w:cs="Times New Roman"/>
                <w:kern w:val="0"/>
                <w:sz w:val="24"/>
                <w:szCs w:val="24"/>
                <w:lang w:val="en-US" w:eastAsia="zh-CN" w:bidi="ar-SA"/>
              </w:rPr>
              <w:t> </w:t>
            </w:r>
          </w:p>
          <w:p>
            <w:pPr>
              <w:pStyle w:val="32"/>
              <w:spacing w:before="0" w:beforeAutospacing="0" w:after="0" w:afterAutospacing="0" w:line="540" w:lineRule="exact"/>
              <w:ind w:left="0" w:leftChars="0" w:firstLine="218" w:firstLineChars="91"/>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地址：</w:t>
            </w:r>
            <w:r>
              <w:rPr>
                <w:rFonts w:hint="eastAsia" w:cs="Times New Roman"/>
                <w:kern w:val="0"/>
                <w:sz w:val="24"/>
                <w:szCs w:val="24"/>
                <w:lang w:val="en-US" w:eastAsia="zh-CN" w:bidi="ar-SA"/>
              </w:rPr>
              <w:t>西宁市城西区万达广场SOHO2号楼23楼12305室</w:t>
            </w:r>
          </w:p>
          <w:p>
            <w:pPr>
              <w:pStyle w:val="32"/>
              <w:spacing w:before="0" w:beforeAutospacing="0" w:after="0" w:afterAutospacing="0" w:line="540" w:lineRule="exact"/>
              <w:ind w:left="0" w:leftChars="0" w:firstLine="218" w:firstLineChars="91"/>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项目联系人：</w:t>
            </w:r>
            <w:r>
              <w:rPr>
                <w:rFonts w:hint="eastAsia" w:cs="Times New Roman"/>
                <w:kern w:val="0"/>
                <w:sz w:val="24"/>
                <w:szCs w:val="24"/>
                <w:lang w:val="en-US" w:eastAsia="zh-CN" w:bidi="ar-SA"/>
              </w:rPr>
              <w:t>任先生</w:t>
            </w:r>
          </w:p>
          <w:p>
            <w:pPr>
              <w:pStyle w:val="32"/>
              <w:spacing w:before="0" w:beforeAutospacing="0" w:after="0" w:afterAutospacing="0" w:line="540" w:lineRule="exact"/>
              <w:ind w:left="0" w:leftChars="0" w:firstLine="218" w:firstLineChars="91"/>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项目联系方式：0971-5312867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hint="eastAsia" w:ascii="宋体" w:hAnsi="宋体"/>
                <w:b w:val="0"/>
                <w:bCs w:val="0"/>
                <w:kern w:val="0"/>
                <w:sz w:val="24"/>
              </w:rPr>
            </w:pPr>
            <w:r>
              <w:rPr>
                <w:rFonts w:hint="eastAsia" w:ascii="宋体" w:hAnsi="宋体"/>
                <w:b w:val="0"/>
                <w:bCs w:val="0"/>
                <w:kern w:val="0"/>
                <w:sz w:val="24"/>
              </w:rPr>
              <w:t>采购代理机构</w:t>
            </w:r>
          </w:p>
          <w:p>
            <w:pPr>
              <w:pStyle w:val="61"/>
              <w:spacing w:line="360" w:lineRule="auto"/>
              <w:jc w:val="center"/>
              <w:rPr>
                <w:rFonts w:ascii="宋体" w:hAnsi="宋体"/>
                <w:b w:val="0"/>
                <w:bCs w:val="0"/>
                <w:kern w:val="0"/>
                <w:sz w:val="24"/>
              </w:rPr>
            </w:pPr>
            <w:r>
              <w:rPr>
                <w:rFonts w:hint="eastAsia" w:ascii="宋体" w:hAnsi="宋体"/>
                <w:b w:val="0"/>
                <w:bCs w:val="0"/>
                <w:kern w:val="0"/>
                <w:sz w:val="24"/>
              </w:rPr>
              <w:t>开户银行</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ind w:left="0" w:leftChars="0" w:firstLine="218" w:firstLineChars="91"/>
              <w:rPr>
                <w:rFonts w:hint="eastAsia" w:ascii="宋体" w:hAnsi="宋体" w:eastAsia="宋体" w:cs="Times New Roman"/>
                <w:b w:val="0"/>
                <w:bCs w:val="0"/>
                <w:kern w:val="0"/>
                <w:sz w:val="24"/>
                <w:szCs w:val="24"/>
                <w:lang w:val="zh-CN" w:eastAsia="zh-CN" w:bidi="ar-SA"/>
              </w:rPr>
            </w:pPr>
            <w:r>
              <w:rPr>
                <w:rFonts w:hint="eastAsia" w:ascii="宋体" w:hAnsi="宋体" w:eastAsia="宋体" w:cs="Times New Roman"/>
                <w:b w:val="0"/>
                <w:bCs w:val="0"/>
                <w:kern w:val="0"/>
                <w:sz w:val="24"/>
                <w:szCs w:val="24"/>
                <w:lang w:val="en-US" w:eastAsia="zh-CN" w:bidi="ar-SA"/>
              </w:rPr>
              <w:t>招商银行股份有限公司西宁城西支行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b w:val="0"/>
                <w:bCs w:val="0"/>
                <w:kern w:val="0"/>
                <w:sz w:val="24"/>
              </w:rPr>
            </w:pPr>
            <w:r>
              <w:rPr>
                <w:rFonts w:hint="eastAsia" w:ascii="宋体" w:hAnsi="宋体"/>
                <w:b w:val="0"/>
                <w:bCs w:val="0"/>
                <w:kern w:val="0"/>
                <w:sz w:val="24"/>
              </w:rPr>
              <w:t>收款人</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ind w:left="0" w:leftChars="0" w:firstLine="218" w:firstLineChars="91"/>
              <w:rPr>
                <w:rFonts w:hint="eastAsia" w:ascii="宋体" w:hAnsi="宋体" w:eastAsia="宋体" w:cs="Times New Roman"/>
                <w:b w:val="0"/>
                <w:bCs w:val="0"/>
                <w:kern w:val="0"/>
                <w:sz w:val="24"/>
                <w:szCs w:val="24"/>
                <w:lang w:val="zh-CN" w:eastAsia="zh-CN" w:bidi="ar-SA"/>
              </w:rPr>
            </w:pPr>
            <w:r>
              <w:rPr>
                <w:rFonts w:hint="eastAsia" w:ascii="宋体" w:hAnsi="宋体" w:eastAsia="宋体" w:cs="Times New Roman"/>
                <w:b w:val="0"/>
                <w:bCs w:val="0"/>
                <w:kern w:val="0"/>
                <w:sz w:val="24"/>
                <w:szCs w:val="24"/>
                <w:lang w:val="en-US" w:eastAsia="zh-CN" w:bidi="ar-SA"/>
              </w:rPr>
              <w:t>河南省建科建设监理有限公司青海分公司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b w:val="0"/>
                <w:bCs w:val="0"/>
                <w:kern w:val="0"/>
                <w:sz w:val="24"/>
              </w:rPr>
            </w:pPr>
            <w:r>
              <w:rPr>
                <w:rFonts w:hint="eastAsia" w:ascii="宋体" w:hAnsi="宋体"/>
                <w:b w:val="0"/>
                <w:bCs w:val="0"/>
                <w:kern w:val="0"/>
                <w:sz w:val="24"/>
              </w:rPr>
              <w:t>银行账号</w:t>
            </w:r>
          </w:p>
        </w:tc>
        <w:tc>
          <w:tcPr>
            <w:tcW w:w="7725" w:type="dxa"/>
            <w:tcBorders>
              <w:top w:val="outset" w:color="000000" w:sz="6" w:space="0"/>
              <w:left w:val="outset" w:color="000000" w:sz="6" w:space="0"/>
              <w:bottom w:val="outset" w:color="000000" w:sz="6" w:space="0"/>
              <w:right w:val="outset" w:color="000000" w:sz="6" w:space="0"/>
            </w:tcBorders>
            <w:vAlign w:val="center"/>
          </w:tcPr>
          <w:p>
            <w:pPr>
              <w:autoSpaceDE w:val="0"/>
              <w:autoSpaceDN w:val="0"/>
              <w:spacing w:line="360" w:lineRule="auto"/>
              <w:ind w:left="0" w:leftChars="0" w:firstLine="218" w:firstLineChars="91"/>
              <w:rPr>
                <w:rFonts w:hint="eastAsia" w:ascii="宋体" w:hAnsi="宋体" w:eastAsia="宋体" w:cs="Times New Roman"/>
                <w:b w:val="0"/>
                <w:bCs w:val="0"/>
                <w:kern w:val="0"/>
                <w:sz w:val="24"/>
                <w:szCs w:val="24"/>
                <w:lang w:val="zh-CN" w:eastAsia="zh-CN" w:bidi="ar-SA"/>
              </w:rPr>
            </w:pPr>
            <w:r>
              <w:rPr>
                <w:rFonts w:hint="eastAsia" w:ascii="宋体" w:hAnsi="宋体" w:eastAsia="宋体" w:cs="Times New Roman"/>
                <w:b w:val="0"/>
                <w:bCs w:val="0"/>
                <w:kern w:val="0"/>
                <w:sz w:val="24"/>
                <w:szCs w:val="24"/>
                <w:lang w:val="zh-CN" w:eastAsia="zh-CN" w:bidi="ar-SA"/>
              </w:rPr>
              <w:t>972900652710202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其他事项</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98"/>
              <w:numPr>
                <w:ilvl w:val="0"/>
                <w:numId w:val="0"/>
              </w:numPr>
              <w:spacing w:line="360" w:lineRule="auto"/>
              <w:ind w:leftChars="9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采购项目联系人：</w:t>
            </w:r>
            <w:r>
              <w:rPr>
                <w:rFonts w:hint="eastAsia" w:ascii="宋体" w:hAnsi="宋体"/>
                <w:color w:val="000000" w:themeColor="text1"/>
                <w:kern w:val="0"/>
                <w:sz w:val="24"/>
                <w:lang w:val="en-US" w:eastAsia="zh-CN"/>
                <w14:textFill>
                  <w14:solidFill>
                    <w14:schemeClr w14:val="tx1"/>
                  </w14:solidFill>
                </w14:textFill>
              </w:rPr>
              <w:t>任先生</w:t>
            </w:r>
            <w:r>
              <w:rPr>
                <w:rFonts w:hint="eastAsia" w:ascii="宋体" w:hAnsi="宋体"/>
                <w:color w:val="000000" w:themeColor="text1"/>
                <w:kern w:val="0"/>
                <w:sz w:val="24"/>
                <w14:textFill>
                  <w14:solidFill>
                    <w14:schemeClr w14:val="tx1"/>
                  </w14:solidFill>
                </w14:textFill>
              </w:rPr>
              <w:t>，联系电话</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eastAsia="宋体" w:cs="Times New Roman"/>
                <w:kern w:val="0"/>
                <w:sz w:val="24"/>
                <w:szCs w:val="24"/>
                <w:lang w:val="en-US" w:eastAsia="zh-CN" w:bidi="ar-SA"/>
              </w:rPr>
              <w:t>0971-5312867</w:t>
            </w:r>
            <w:r>
              <w:rPr>
                <w:rFonts w:hint="eastAsia" w:ascii="宋体" w:hAnsi="宋体"/>
                <w:color w:val="000000" w:themeColor="text1"/>
                <w:kern w:val="0"/>
                <w:sz w:val="24"/>
                <w14:textFill>
                  <w14:solidFill>
                    <w14:schemeClr w14:val="tx1"/>
                  </w14:solidFill>
                </w14:textFill>
              </w:rPr>
              <w:t>；公告期限：自青海政府采购网发布之日起5个工作日；公告内容以青海政府采购网发布的为准。</w:t>
            </w:r>
          </w:p>
          <w:p>
            <w:pPr>
              <w:pStyle w:val="98"/>
              <w:numPr>
                <w:ilvl w:val="0"/>
                <w:numId w:val="0"/>
              </w:numPr>
              <w:spacing w:line="360" w:lineRule="auto"/>
              <w:ind w:leftChars="91"/>
              <w:rPr>
                <w:rFonts w:hint="eastAsia" w:ascii="宋体" w:hAnsi="宋体" w:eastAsia="宋体"/>
                <w:color w:val="000000" w:themeColor="text1"/>
                <w:kern w:val="0"/>
                <w:sz w:val="24"/>
                <w:lang w:val="en-US" w:eastAsia="zh-CN"/>
                <w14:textFill>
                  <w14:solidFill>
                    <w14:schemeClr w14:val="tx1"/>
                  </w14:solidFill>
                </w14:textFill>
              </w:rPr>
            </w:pPr>
            <w:r>
              <w:rPr>
                <w:rFonts w:hint="eastAsia" w:ascii="宋体" w:hAnsi="宋体" w:eastAsia="宋体"/>
                <w:color w:val="000000" w:themeColor="text1"/>
                <w:kern w:val="0"/>
                <w:sz w:val="24"/>
                <w:lang w:val="en-US" w:eastAsia="zh-CN"/>
                <w14:textFill>
                  <w14:solidFill>
                    <w14:schemeClr w14:val="tx1"/>
                  </w14:solidFill>
                </w14:textFill>
              </w:rPr>
              <w:t>2、</w:t>
            </w:r>
            <w:r>
              <w:rPr>
                <w:rFonts w:hint="eastAsia" w:ascii="宋体" w:hAnsi="宋体" w:eastAsia="宋体"/>
                <w:color w:val="000000" w:themeColor="text1"/>
                <w:kern w:val="0"/>
                <w:sz w:val="24"/>
                <w:lang w:val="zh-CN" w:eastAsia="zh-CN"/>
                <w14:textFill>
                  <w14:solidFill>
                    <w14:schemeClr w14:val="tx1"/>
                  </w14:solidFill>
                </w14:textFill>
              </w:rPr>
              <w:t>公告发布媒体：本公告同时在《青海省政府采购网》、《</w:t>
            </w:r>
            <w:r>
              <w:rPr>
                <w:rFonts w:hint="eastAsia" w:ascii="宋体" w:hAnsi="宋体" w:eastAsia="宋体"/>
                <w:color w:val="000000" w:themeColor="text1"/>
                <w:kern w:val="0"/>
                <w:sz w:val="24"/>
                <w:lang w:val="en-US" w:eastAsia="zh-CN"/>
                <w14:textFill>
                  <w14:solidFill>
                    <w14:schemeClr w14:val="tx1"/>
                  </w14:solidFill>
                </w14:textFill>
              </w:rPr>
              <w:t>青</w:t>
            </w:r>
            <w:r>
              <w:rPr>
                <w:rFonts w:hint="eastAsia" w:ascii="宋体" w:hAnsi="宋体" w:eastAsia="宋体"/>
                <w:color w:val="000000" w:themeColor="text1"/>
                <w:kern w:val="0"/>
                <w:sz w:val="24"/>
                <w:lang w:val="zh-CN" w:eastAsia="zh-CN"/>
                <w14:textFill>
                  <w14:solidFill>
                    <w14:schemeClr w14:val="tx1"/>
                  </w14:solidFill>
                </w14:textFill>
              </w:rPr>
              <w:t>海省电子招标投标公共服务平台》同时发布</w:t>
            </w:r>
            <w:r>
              <w:rPr>
                <w:rFonts w:hint="eastAsia" w:ascii="宋体" w:hAnsi="宋体"/>
                <w:color w:val="000000" w:themeColor="text1"/>
                <w:kern w:val="0"/>
                <w:sz w:val="24"/>
                <w:lang w:val="zh-CN"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44" w:type="dxa"/>
            <w:tcBorders>
              <w:top w:val="outset" w:color="000000" w:sz="6" w:space="0"/>
              <w:left w:val="outset" w:color="000000" w:sz="6" w:space="0"/>
              <w:bottom w:val="outset" w:color="000000" w:sz="6" w:space="0"/>
              <w:right w:val="outset" w:color="000000" w:sz="6" w:space="0"/>
            </w:tcBorders>
          </w:tcPr>
          <w:p>
            <w:pPr>
              <w:autoSpaceDE w:val="0"/>
              <w:autoSpaceDN w:val="0"/>
              <w:spacing w:line="360" w:lineRule="auto"/>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财政部门监督</w:t>
            </w:r>
          </w:p>
          <w:p>
            <w:pPr>
              <w:autoSpaceDE w:val="0"/>
              <w:autoSpaceDN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tc>
        <w:tc>
          <w:tcPr>
            <w:tcW w:w="7725" w:type="dxa"/>
            <w:tcBorders>
              <w:top w:val="outset" w:color="000000" w:sz="6" w:space="0"/>
              <w:left w:val="outset" w:color="000000" w:sz="6" w:space="0"/>
              <w:bottom w:val="outset" w:color="000000" w:sz="6" w:space="0"/>
              <w:right w:val="outset" w:color="000000" w:sz="6" w:space="0"/>
            </w:tcBorders>
            <w:vAlign w:val="center"/>
          </w:tcPr>
          <w:p>
            <w:pPr>
              <w:pStyle w:val="143"/>
              <w:spacing w:before="1"/>
              <w:ind w:left="133"/>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监督单位：</w:t>
            </w:r>
            <w:r>
              <w:rPr>
                <w:rFonts w:hint="eastAsia" w:cs="宋体"/>
                <w:color w:val="000000" w:themeColor="text1"/>
                <w:kern w:val="2"/>
                <w:sz w:val="24"/>
                <w:szCs w:val="24"/>
                <w:lang w:val="en-US" w:eastAsia="zh-CN" w:bidi="ar-SA"/>
                <w14:textFill>
                  <w14:solidFill>
                    <w14:schemeClr w14:val="tx1"/>
                  </w14:solidFill>
                </w14:textFill>
              </w:rPr>
              <w:t>刚察县</w:t>
            </w:r>
            <w:r>
              <w:rPr>
                <w:rFonts w:hint="eastAsia" w:ascii="宋体" w:hAnsi="宋体" w:eastAsia="宋体" w:cs="宋体"/>
                <w:color w:val="000000" w:themeColor="text1"/>
                <w:kern w:val="2"/>
                <w:sz w:val="24"/>
                <w:szCs w:val="24"/>
                <w:lang w:val="en-US" w:eastAsia="zh-CN" w:bidi="ar-SA"/>
                <w14:textFill>
                  <w14:solidFill>
                    <w14:schemeClr w14:val="tx1"/>
                  </w14:solidFill>
                </w14:textFill>
              </w:rPr>
              <w:t>财政局</w:t>
            </w:r>
          </w:p>
          <w:p>
            <w:pPr>
              <w:pStyle w:val="61"/>
              <w:spacing w:line="360" w:lineRule="auto"/>
              <w:ind w:left="0" w:leftChars="0" w:firstLine="218" w:firstLineChars="91"/>
              <w:jc w:val="left"/>
              <w:rPr>
                <w:rFonts w:hint="default" w:ascii="宋体" w:hAnsi="宋体" w:cs="宋体"/>
                <w:color w:val="000000" w:themeColor="text1"/>
                <w:sz w:val="24"/>
                <w:lang w:val="en-US"/>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电话：0970-8659329</w:t>
            </w:r>
          </w:p>
        </w:tc>
      </w:tr>
    </w:tbl>
    <w:p>
      <w:pPr>
        <w:adjustRightInd w:val="0"/>
        <w:spacing w:line="360" w:lineRule="auto"/>
        <w:jc w:val="right"/>
        <w:textAlignment w:val="baseline"/>
        <w:rPr>
          <w:rFonts w:hint="eastAsia" w:ascii="宋体" w:hAnsi="宋体"/>
          <w:color w:val="000000" w:themeColor="text1"/>
          <w:sz w:val="24"/>
          <w:lang w:eastAsia="zh-CN"/>
          <w14:textFill>
            <w14:solidFill>
              <w14:schemeClr w14:val="tx1"/>
            </w14:solidFill>
          </w14:textFill>
        </w:rPr>
      </w:pPr>
    </w:p>
    <w:p>
      <w:pPr>
        <w:adjustRightInd w:val="0"/>
        <w:spacing w:line="360" w:lineRule="auto"/>
        <w:jc w:val="right"/>
        <w:textAlignment w:val="baseline"/>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河南省建科建设监理有限公司</w:t>
      </w:r>
    </w:p>
    <w:p>
      <w:pPr>
        <w:adjustRightInd w:val="0"/>
        <w:spacing w:line="360" w:lineRule="auto"/>
        <w:jc w:val="center"/>
        <w:textAlignment w:val="baseline"/>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bookmarkEnd w:id="2"/>
      <w:bookmarkEnd w:id="4"/>
      <w:r>
        <w:rPr>
          <w:rFonts w:hint="eastAsia" w:ascii="宋体" w:hAnsi="宋体"/>
          <w:color w:val="000000" w:themeColor="text1"/>
          <w:sz w:val="24"/>
          <w14:textFill>
            <w14:solidFill>
              <w14:schemeClr w14:val="tx1"/>
            </w14:solidFill>
          </w14:textFill>
        </w:rPr>
        <w:t>2021年</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01</w:t>
      </w:r>
      <w:r>
        <w:rPr>
          <w:rFonts w:hint="eastAsia" w:ascii="宋体" w:hAnsi="宋体"/>
          <w:color w:val="000000" w:themeColor="text1"/>
          <w:sz w:val="24"/>
          <w14:textFill>
            <w14:solidFill>
              <w14:schemeClr w14:val="tx1"/>
            </w14:solidFill>
          </w14:textFill>
        </w:rPr>
        <w:t>日</w:t>
      </w:r>
    </w:p>
    <w:p>
      <w:pPr>
        <w:rPr>
          <w:rFonts w:ascii="宋体" w:hAnsi="宋体"/>
          <w:sz w:val="24"/>
        </w:rPr>
      </w:pPr>
      <w:r>
        <w:rPr>
          <w:rFonts w:ascii="宋体" w:hAnsi="宋体"/>
          <w:sz w:val="24"/>
        </w:rPr>
        <w:br w:type="page"/>
      </w:r>
    </w:p>
    <w:p>
      <w:pPr>
        <w:pStyle w:val="26"/>
        <w:keepNext w:val="0"/>
        <w:keepLines w:val="0"/>
        <w:pageBreakBefore w:val="0"/>
        <w:widowControl/>
        <w:kinsoku/>
        <w:wordWrap/>
        <w:overflowPunct/>
        <w:topLinePunct w:val="0"/>
        <w:autoSpaceDE/>
        <w:autoSpaceDN/>
        <w:bidi w:val="0"/>
        <w:adjustRightInd/>
        <w:snapToGrid/>
        <w:spacing w:line="1000" w:lineRule="exact"/>
        <w:textAlignment w:val="auto"/>
        <w:rPr>
          <w:sz w:val="48"/>
          <w:szCs w:val="48"/>
        </w:rPr>
      </w:pPr>
      <w:bookmarkStart w:id="5" w:name="_Toc444715733"/>
      <w:bookmarkStart w:id="6" w:name="_Toc15899"/>
      <w:r>
        <w:rPr>
          <w:rFonts w:hint="eastAsia"/>
          <w:sz w:val="48"/>
          <w:szCs w:val="48"/>
        </w:rPr>
        <w:t>第二部分  磋商供应商须知前附表</w:t>
      </w:r>
      <w:bookmarkEnd w:id="5"/>
      <w:bookmarkEnd w:id="6"/>
    </w:p>
    <w:tbl>
      <w:tblPr>
        <w:tblStyle w:val="35"/>
        <w:tblW w:w="10433" w:type="dxa"/>
        <w:jc w:val="center"/>
        <w:tblLayout w:type="fixed"/>
        <w:tblCellMar>
          <w:top w:w="0" w:type="dxa"/>
          <w:left w:w="57" w:type="dxa"/>
          <w:bottom w:w="0" w:type="dxa"/>
          <w:right w:w="57" w:type="dxa"/>
        </w:tblCellMar>
      </w:tblPr>
      <w:tblGrid>
        <w:gridCol w:w="653"/>
        <w:gridCol w:w="2098"/>
        <w:gridCol w:w="768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bCs/>
                <w:kern w:val="0"/>
                <w:sz w:val="24"/>
                <w:lang w:val="zh-CN"/>
              </w:rPr>
              <w:t>序号</w:t>
            </w:r>
          </w:p>
        </w:tc>
        <w:tc>
          <w:tcPr>
            <w:tcW w:w="978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bCs/>
                <w:kern w:val="0"/>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采购项目名称</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bCs/>
                <w:kern w:val="0"/>
                <w:sz w:val="24"/>
                <w:lang w:val="en-US" w:eastAsia="zh-CN"/>
              </w:rPr>
              <w:t>河南建科竞磋（货物）2021-031</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采购项目编号</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bCs/>
                <w:kern w:val="0"/>
                <w:sz w:val="24"/>
                <w:lang w:val="zh-CN" w:eastAsia="zh-CN"/>
              </w:rPr>
              <w:t>刚察县农村环境污染防治建设项目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采购单位</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bCs/>
                <w:kern w:val="0"/>
                <w:sz w:val="24"/>
                <w:lang w:val="zh-CN" w:eastAsia="zh-CN"/>
              </w:rPr>
              <w:t>刚察县生态环境局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采购代理机构</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bCs/>
                <w:kern w:val="0"/>
                <w:sz w:val="24"/>
                <w:lang w:val="zh-CN"/>
              </w:rPr>
              <w:t>河南省建科建设监理有限公司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eastAsia="宋体" w:cs="宋体"/>
                <w:bCs/>
                <w:kern w:val="0"/>
                <w:sz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评分办法</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eastAsia="宋体" w:cs="宋体"/>
                <w:bCs/>
                <w:kern w:val="0"/>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采购预算控制额度</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sz w:val="24"/>
                <w:lang w:val="zh-CN"/>
              </w:rPr>
              <w:t>包</w:t>
            </w:r>
            <w:r>
              <w:rPr>
                <w:rFonts w:hint="eastAsia" w:ascii="宋体" w:hAnsi="宋体" w:cs="宋体"/>
                <w:sz w:val="24"/>
                <w:lang w:val="en-US" w:eastAsia="zh-CN"/>
              </w:rPr>
              <w:t>1，36.22万</w:t>
            </w:r>
            <w:r>
              <w:rPr>
                <w:rFonts w:hint="eastAsia" w:ascii="宋体" w:hAnsi="宋体" w:eastAsia="宋体" w:cs="宋体"/>
                <w:sz w:val="24"/>
                <w:lang w:val="zh-CN"/>
              </w:rPr>
              <w:t>元</w:t>
            </w:r>
            <w:r>
              <w:rPr>
                <w:rFonts w:hint="eastAsia" w:ascii="宋体" w:hAnsi="宋体" w:cs="宋体"/>
                <w:sz w:val="24"/>
                <w:lang w:val="zh-CN"/>
              </w:rPr>
              <w:t>；</w:t>
            </w:r>
            <w:r>
              <w:rPr>
                <w:rFonts w:hint="eastAsia" w:ascii="宋体" w:hAnsi="宋体" w:cs="宋体"/>
                <w:sz w:val="24"/>
                <w:lang w:val="en-US" w:eastAsia="zh-CN"/>
              </w:rPr>
              <w:t xml:space="preserve">   </w:t>
            </w:r>
            <w:r>
              <w:rPr>
                <w:rFonts w:hint="eastAsia" w:ascii="宋体" w:hAnsi="宋体" w:cs="宋体"/>
                <w:sz w:val="24"/>
                <w:lang w:val="zh-CN"/>
              </w:rPr>
              <w:t>包</w:t>
            </w:r>
            <w:r>
              <w:rPr>
                <w:rFonts w:hint="eastAsia" w:ascii="宋体" w:hAnsi="宋体" w:cs="宋体"/>
                <w:sz w:val="24"/>
                <w:lang w:val="en-US" w:eastAsia="zh-CN"/>
              </w:rPr>
              <w:t>2，35.85万元。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项目分包个数</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cs="宋体"/>
                <w:bCs/>
                <w:kern w:val="0"/>
                <w:sz w:val="24"/>
                <w:lang w:val="en-US" w:eastAsia="zh-CN"/>
              </w:rPr>
              <w:t>2个</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采购要求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autoSpaceDE w:val="0"/>
              <w:autoSpaceDN w:val="0"/>
              <w:spacing w:line="360" w:lineRule="auto"/>
              <w:ind w:left="0" w:leftChars="0" w:firstLine="218" w:firstLineChars="91"/>
              <w:jc w:val="left"/>
              <w:rPr>
                <w:rFonts w:hint="eastAsia" w:ascii="宋体" w:hAnsi="宋体" w:eastAsia="宋体" w:cs="宋体"/>
                <w:bCs/>
                <w:kern w:val="0"/>
                <w:sz w:val="24"/>
                <w:lang w:val="zh-CN"/>
              </w:rPr>
            </w:pPr>
            <w:r>
              <w:rPr>
                <w:rFonts w:hint="eastAsia" w:ascii="宋体" w:hAnsi="宋体" w:eastAsia="宋体" w:cs="宋体"/>
                <w:bCs/>
                <w:kern w:val="0"/>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sz w:val="24"/>
              </w:rPr>
              <w:t>磋商供应商</w:t>
            </w:r>
            <w:r>
              <w:rPr>
                <w:rFonts w:hint="eastAsia" w:ascii="宋体" w:hAnsi="宋体" w:cs="宋体"/>
                <w:bCs/>
                <w:kern w:val="0"/>
                <w:sz w:val="24"/>
                <w:lang w:val="zh-CN"/>
              </w:rPr>
              <w:t>资格条件</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pStyle w:val="32"/>
              <w:spacing w:before="0" w:beforeAutospacing="0" w:after="0" w:afterAutospacing="0" w:line="54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1、符合《政府采购法》第22条规定，并提供下列材料：</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的营业执照等证明文件，自然人的身份证明。</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财务状况报告，依法缴纳税收和社会保障资金的相关材料（经第三方机构出具的2020年度财务状况审计报告，扫描或复印件应全面、完整、清晰，包括资产负债表、现金流量表、利润表和财务（会计）报表附注,并提供第三方机构的营业执照、执业证书；依法缴纳税收和社会保障资金的相关材料</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，供应商成立不满足年限的需提供</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基本账户开户银行近三个月内出具的资信证明：近半年任意3个月的依法缴纳税收和社会保障资金记录的证明材料，依法免税或不需要缴纳社会保障资金的</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须提供相应文件证明其依法免税或不需要缴纳社会保障资金）；</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（3）具备履行合同所必需的设备和专业技术能力的证明材料。</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（4）参加政府采购活动前3年内在经营活动中没有重大违法记录的书面声明。</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（5）具备法律、行政法规规定的其他条件的证明材料。</w:t>
            </w:r>
          </w:p>
          <w:p>
            <w:pPr>
              <w:adjustRightInd w:val="0"/>
              <w:spacing w:line="540" w:lineRule="exact"/>
              <w:ind w:left="0" w:leftChars="0" w:firstLine="218" w:firstLineChars="91"/>
              <w:jc w:val="lef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2、未被信用中国（www.creditchina.gov.cn）、中国政府采购网（www.ccgp.gov.cn），列入失信被执行人、重大税收违法案件当事人名单、政府采购严重违法失信行为记录名单的</w:t>
            </w:r>
            <w:r>
              <w:rPr>
                <w:rFonts w:ascii="宋体" w:hAnsi="宋体" w:eastAsia="宋体" w:cs="宋体"/>
                <w:sz w:val="20"/>
              </w:rPr>
              <w:t>（</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时间为磋商截止时间前 10 天内；若查询结果提供相应截图）；</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3、单位负责人为同一人或者存在直接控股、管理关系的不同</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，不得参加同一合同项下的政府采购活动，否则，皆取消投标资格；</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4、本项目不接受</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以联合体方式进行投标；</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 其他资质条件：</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（1）本次采购要求供应商在人员、设备、资金等方面具有相应的供货能力。</w:t>
            </w:r>
          </w:p>
          <w:p>
            <w:pPr>
              <w:autoSpaceDE w:val="0"/>
              <w:autoSpaceDN w:val="0"/>
              <w:spacing w:line="360" w:lineRule="auto"/>
              <w:rPr>
                <w:rFonts w:ascii="宋体" w:hAnsi="宋体"/>
                <w:kern w:val="0"/>
                <w:sz w:val="24"/>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（2）磋商文件规定的其他条件。</w:t>
            </w:r>
          </w:p>
        </w:tc>
      </w:tr>
      <w:tr>
        <w:tblPrEx>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rPr>
            </w:pPr>
          </w:p>
        </w:tc>
        <w:tc>
          <w:tcPr>
            <w:tcW w:w="2098" w:type="dxa"/>
            <w:tcBorders>
              <w:top w:val="single" w:color="000000" w:sz="6" w:space="0"/>
              <w:left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磋商保证金</w:t>
            </w:r>
          </w:p>
        </w:tc>
        <w:tc>
          <w:tcPr>
            <w:tcW w:w="7682" w:type="dxa"/>
            <w:tcBorders>
              <w:top w:val="single" w:color="000000" w:sz="6" w:space="0"/>
              <w:left w:val="single" w:color="000000" w:sz="6" w:space="0"/>
              <w:right w:val="single" w:color="000000" w:sz="6" w:space="0"/>
            </w:tcBorders>
            <w:shd w:val="clear" w:color="000000" w:fill="FFFFFF"/>
          </w:tcPr>
          <w:p>
            <w:pPr>
              <w:pStyle w:val="143"/>
              <w:spacing w:before="117"/>
              <w:ind w:left="55"/>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磋商保证金：</w:t>
            </w:r>
            <w:r>
              <w:rPr>
                <w:rFonts w:hint="eastAsia" w:cs="Times New Roman"/>
                <w:color w:val="000000" w:themeColor="text1"/>
                <w:kern w:val="0"/>
                <w:sz w:val="24"/>
                <w:szCs w:val="24"/>
                <w:lang w:val="en-US" w:eastAsia="zh-CN" w:bidi="ar-SA"/>
                <w14:textFill>
                  <w14:solidFill>
                    <w14:schemeClr w14:val="tx1"/>
                  </w14:solidFill>
                </w14:textFill>
              </w:rPr>
              <w:t>包1：</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（大写）壹万</w:t>
            </w:r>
            <w:r>
              <w:rPr>
                <w:rFonts w:hint="eastAsia" w:cs="Times New Roman"/>
                <w:color w:val="000000" w:themeColor="text1"/>
                <w:kern w:val="0"/>
                <w:sz w:val="24"/>
                <w:szCs w:val="24"/>
                <w:lang w:val="en-US" w:eastAsia="zh-CN" w:bidi="ar-SA"/>
                <w14:textFill>
                  <w14:solidFill>
                    <w14:schemeClr w14:val="tx1"/>
                  </w14:solidFill>
                </w14:textFill>
              </w:rPr>
              <w:t>壹仟元</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整</w:t>
            </w:r>
          </w:p>
          <w:p>
            <w:pPr>
              <w:pStyle w:val="143"/>
              <w:spacing w:before="117"/>
              <w:ind w:firstLine="2160" w:firstLineChars="9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（小写）1</w:t>
            </w:r>
            <w:r>
              <w:rPr>
                <w:rFonts w:hint="eastAsia" w:cs="Times New Roman"/>
                <w:color w:val="000000" w:themeColor="text1"/>
                <w:kern w:val="0"/>
                <w:sz w:val="24"/>
                <w:szCs w:val="24"/>
                <w:lang w:val="en-US" w:eastAsia="zh-CN" w:bidi="ar-SA"/>
                <w14:textFill>
                  <w14:solidFill>
                    <w14:schemeClr w14:val="tx1"/>
                  </w14:solidFill>
                </w14:textFill>
              </w:rPr>
              <w:t>1</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000.00元</w:t>
            </w:r>
          </w:p>
          <w:p>
            <w:pPr>
              <w:pStyle w:val="143"/>
              <w:spacing w:before="117"/>
              <w:ind w:left="55" w:firstLine="1440" w:firstLineChars="600"/>
              <w:rPr>
                <w:rFonts w:hint="eastAsia" w:cs="Times New Roman"/>
                <w:color w:val="000000" w:themeColor="text1"/>
                <w:kern w:val="0"/>
                <w:sz w:val="24"/>
                <w:szCs w:val="24"/>
                <w:lang w:val="en-US" w:eastAsia="zh-CN" w:bidi="ar-SA"/>
                <w14:textFill>
                  <w14:solidFill>
                    <w14:schemeClr w14:val="tx1"/>
                  </w14:solidFill>
                </w14:textFill>
              </w:rPr>
            </w:pPr>
          </w:p>
          <w:p>
            <w:pPr>
              <w:pStyle w:val="143"/>
              <w:spacing w:before="117"/>
              <w:ind w:left="55" w:firstLine="1440" w:firstLineChars="6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包2：</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（大写）</w:t>
            </w:r>
            <w:r>
              <w:rPr>
                <w:rFonts w:hint="eastAsia" w:cs="Times New Roman"/>
                <w:color w:val="000000" w:themeColor="text1"/>
                <w:kern w:val="0"/>
                <w:sz w:val="24"/>
                <w:szCs w:val="24"/>
                <w:lang w:val="en-US" w:eastAsia="zh-CN" w:bidi="ar-SA"/>
                <w14:textFill>
                  <w14:solidFill>
                    <w14:schemeClr w14:val="tx1"/>
                  </w14:solidFill>
                </w14:textFill>
              </w:rPr>
              <w:t>柒仟伍佰元</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整</w:t>
            </w:r>
          </w:p>
          <w:p>
            <w:pPr>
              <w:pStyle w:val="143"/>
              <w:ind w:firstLine="2160" w:firstLineChars="9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（小写）</w:t>
            </w:r>
            <w:r>
              <w:rPr>
                <w:rFonts w:hint="eastAsia" w:cs="Times New Roman"/>
                <w:color w:val="000000" w:themeColor="text1"/>
                <w:kern w:val="0"/>
                <w:sz w:val="24"/>
                <w:szCs w:val="24"/>
                <w:lang w:val="en-US" w:eastAsia="zh-CN" w:bidi="ar-SA"/>
                <w14:textFill>
                  <w14:solidFill>
                    <w14:schemeClr w14:val="tx1"/>
                  </w14:solidFill>
                </w14:textFill>
              </w:rPr>
              <w:t>750</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0.00元</w:t>
            </w:r>
          </w:p>
          <w:p>
            <w:pPr>
              <w:pStyle w:val="143"/>
              <w:ind w:left="55"/>
              <w:rPr>
                <w:rFonts w:hint="default"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收款单位：河南省建科建设监理有限公司青海分公司</w:t>
            </w:r>
          </w:p>
          <w:p>
            <w:pPr>
              <w:pStyle w:val="143"/>
              <w:spacing w:before="3"/>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p>
          <w:p>
            <w:pPr>
              <w:pStyle w:val="143"/>
              <w:spacing w:line="458" w:lineRule="auto"/>
              <w:ind w:left="55" w:right="1881" w:rightChars="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开 户 行：招商银行股份有限公司西宁城西支行</w:t>
            </w:r>
          </w:p>
          <w:p>
            <w:pPr>
              <w:pStyle w:val="143"/>
              <w:spacing w:line="458" w:lineRule="auto"/>
              <w:ind w:left="55" w:right="2423"/>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银行账号：</w:t>
            </w:r>
            <w:r>
              <w:rPr>
                <w:rFonts w:hint="eastAsia" w:ascii="宋体" w:hAnsi="宋体" w:eastAsia="宋体" w:cs="Times New Roman"/>
                <w:color w:val="000000" w:themeColor="text1"/>
                <w:kern w:val="0"/>
                <w:sz w:val="24"/>
                <w:szCs w:val="24"/>
                <w:lang w:val="zh-CN" w:eastAsia="zh-CN" w:bidi="ar-SA"/>
                <w14:textFill>
                  <w14:solidFill>
                    <w14:schemeClr w14:val="tx1"/>
                  </w14:solidFill>
                </w14:textFill>
              </w:rPr>
              <w:t>972900652710202</w:t>
            </w:r>
          </w:p>
          <w:p>
            <w:pPr>
              <w:spacing w:line="460" w:lineRule="exact"/>
              <w:ind w:left="0" w:leftChars="0" w:firstLine="218" w:firstLineChars="91"/>
              <w:rPr>
                <w:rFonts w:ascii="宋体" w:hAnsi="宋体" w:cs="宋体"/>
                <w:kern w:val="0"/>
                <w:sz w:val="24"/>
                <w:lang w:val="zh-CN"/>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缴费时间：供应商在投标截止时间前，以银行到账时间为准。注：转账时请备注项目名称或项目编号；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hint="eastAsia" w:ascii="宋体" w:hAnsi="宋体" w:cs="宋体"/>
                <w:bCs/>
                <w:kern w:val="0"/>
                <w:sz w:val="24"/>
                <w:lang w:val="zh-CN"/>
              </w:rPr>
            </w:pPr>
            <w:r>
              <w:rPr>
                <w:rFonts w:hint="eastAsia" w:ascii="宋体" w:hAnsi="宋体"/>
                <w:kern w:val="0"/>
                <w:sz w:val="24"/>
              </w:rPr>
              <w:t>磋商</w:t>
            </w:r>
            <w:r>
              <w:rPr>
                <w:rFonts w:hint="eastAsia" w:ascii="宋体" w:hAnsi="宋体" w:cs="宋体"/>
                <w:bCs/>
                <w:kern w:val="0"/>
                <w:sz w:val="24"/>
                <w:lang w:val="zh-CN"/>
              </w:rPr>
              <w:t>保证金缴纳</w:t>
            </w:r>
          </w:p>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olor w:val="000000" w:themeColor="text1"/>
                <w:kern w:val="0"/>
                <w:sz w:val="24"/>
                <w14:textFill>
                  <w14:solidFill>
                    <w14:schemeClr w14:val="tx1"/>
                  </w14:solidFill>
                </w14:textFill>
              </w:rPr>
              <w:t>磋商</w:t>
            </w:r>
            <w:r>
              <w:rPr>
                <w:rFonts w:hint="eastAsia" w:ascii="宋体" w:hAnsi="宋体" w:cs="宋体"/>
                <w:color w:val="000000" w:themeColor="text1"/>
                <w:kern w:val="0"/>
                <w:sz w:val="24"/>
                <w:lang w:val="zh-CN"/>
                <w14:textFill>
                  <w14:solidFill>
                    <w14:schemeClr w14:val="tx1"/>
                  </w14:solidFill>
                </w14:textFill>
              </w:rPr>
              <w:t>保证金应当以电汇、支票、汇票、本票或者金融机构、担保机构出具的保函等非现金形式提交。通过银行转账的，必须由磋商供应商从其基本账户（需提供开户许可证）汇（转）入本须知附表中第1</w:t>
            </w:r>
            <w:r>
              <w:rPr>
                <w:rFonts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zh-CN"/>
                <w14:textFill>
                  <w14:solidFill>
                    <w14:schemeClr w14:val="tx1"/>
                  </w14:solidFill>
                </w14:textFill>
              </w:rPr>
              <w:t>条指定的账户。</w:t>
            </w:r>
          </w:p>
          <w:p>
            <w:pPr>
              <w:autoSpaceDE w:val="0"/>
              <w:autoSpaceDN w:val="0"/>
              <w:spacing w:line="360" w:lineRule="auto"/>
              <w:ind w:left="0" w:leftChars="0" w:firstLine="218" w:firstLineChars="91"/>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磋商供应商未按照磋商文件要求提交</w:t>
            </w:r>
            <w:r>
              <w:rPr>
                <w:rFonts w:hint="eastAsia" w:ascii="宋体" w:hAnsi="宋体"/>
                <w:color w:val="000000" w:themeColor="text1"/>
                <w:kern w:val="0"/>
                <w:sz w:val="24"/>
                <w14:textFill>
                  <w14:solidFill>
                    <w14:schemeClr w14:val="tx1"/>
                  </w14:solidFill>
                </w14:textFill>
              </w:rPr>
              <w:t>磋商</w:t>
            </w:r>
            <w:r>
              <w:rPr>
                <w:rFonts w:hint="eastAsia" w:ascii="宋体" w:hAnsi="宋体" w:cs="宋体"/>
                <w:color w:val="000000" w:themeColor="text1"/>
                <w:kern w:val="0"/>
                <w:sz w:val="24"/>
                <w:lang w:val="zh-CN"/>
                <w14:textFill>
                  <w14:solidFill>
                    <w14:schemeClr w14:val="tx1"/>
                  </w14:solidFill>
                </w14:textFill>
              </w:rPr>
              <w:t>保证金的，磋商无效。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kern w:val="0"/>
                <w:sz w:val="24"/>
              </w:rPr>
              <w:t>磋商</w:t>
            </w:r>
            <w:r>
              <w:rPr>
                <w:rFonts w:hint="eastAsia" w:ascii="宋体" w:hAnsi="宋体" w:cs="宋体"/>
                <w:bCs/>
                <w:kern w:val="0"/>
                <w:sz w:val="24"/>
                <w:lang w:val="zh-CN"/>
              </w:rPr>
              <w:t>保证金退还</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未成交磋商供应商的</w:t>
            </w:r>
            <w:r>
              <w:rPr>
                <w:rFonts w:hint="eastAsia" w:ascii="宋体" w:hAnsi="宋体"/>
                <w:color w:val="000000" w:themeColor="text1"/>
                <w:kern w:val="0"/>
                <w:sz w:val="24"/>
                <w14:textFill>
                  <w14:solidFill>
                    <w14:schemeClr w14:val="tx1"/>
                  </w14:solidFill>
                </w14:textFill>
              </w:rPr>
              <w:t>磋商</w:t>
            </w:r>
            <w:r>
              <w:rPr>
                <w:rFonts w:hint="eastAsia" w:ascii="宋体" w:hAnsi="宋体" w:cs="宋体"/>
                <w:color w:val="000000" w:themeColor="text1"/>
                <w:kern w:val="0"/>
                <w:sz w:val="24"/>
                <w:lang w:val="zh-CN"/>
                <w14:textFill>
                  <w14:solidFill>
                    <w14:schemeClr w14:val="tx1"/>
                  </w14:solidFill>
                </w14:textFill>
              </w:rPr>
              <w:t>保证金自成交通知书发出之日起5个工作日内退还（不退现金）；成交磋商供应商的磋商保证金，自政府采购合同签订之日起5个工作日内退还（不退现金）。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kern w:val="0"/>
                <w:sz w:val="24"/>
              </w:rPr>
            </w:pPr>
            <w:r>
              <w:rPr>
                <w:rFonts w:hint="eastAsia" w:ascii="宋体" w:hAnsi="宋体" w:cs="宋体"/>
                <w:bCs/>
                <w:kern w:val="0"/>
                <w:sz w:val="24"/>
                <w:lang w:val="zh-CN"/>
              </w:rPr>
              <w:t>递交磋商文件方式</w:t>
            </w:r>
          </w:p>
        </w:tc>
        <w:tc>
          <w:tcPr>
            <w:tcW w:w="7682"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rPr>
                <w:rFonts w:ascii="宋体" w:hAnsi="宋体"/>
                <w:color w:val="000000" w:themeColor="text1"/>
                <w:kern w:val="0"/>
                <w:sz w:val="24"/>
                <w14:textFill>
                  <w14:solidFill>
                    <w14:schemeClr w14:val="tx1"/>
                  </w14:solidFill>
                </w14:textFill>
              </w:rPr>
            </w:pPr>
            <w:r>
              <w:rPr>
                <w:rFonts w:hint="eastAsia" w:ascii="宋体" w:hAnsi="宋体" w:eastAsia="宋体" w:cs="宋体"/>
                <w:bCs/>
                <w:kern w:val="0"/>
                <w:sz w:val="24"/>
                <w:szCs w:val="24"/>
                <w:lang w:val="zh-CN" w:eastAsia="zh-CN" w:bidi="ar-SA"/>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kern w:val="0"/>
                <w:sz w:val="24"/>
              </w:rPr>
              <w:t>磋商</w:t>
            </w:r>
            <w:r>
              <w:rPr>
                <w:rFonts w:hint="eastAsia" w:ascii="宋体" w:hAnsi="宋体" w:cs="宋体"/>
                <w:bCs/>
                <w:kern w:val="0"/>
                <w:sz w:val="24"/>
                <w:lang w:val="zh-CN"/>
              </w:rPr>
              <w:t>截止时间</w:t>
            </w:r>
          </w:p>
        </w:tc>
        <w:tc>
          <w:tcPr>
            <w:tcW w:w="7682"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2021年12月</w:t>
            </w:r>
            <w:r>
              <w:rPr>
                <w:rFonts w:hint="eastAsia" w:ascii="宋体" w:hAnsi="宋体"/>
                <w:color w:val="000000" w:themeColor="text1"/>
                <w:kern w:val="0"/>
                <w:sz w:val="24"/>
                <w:lang w:val="en-US" w:eastAsia="zh-CN"/>
                <w14:textFill>
                  <w14:solidFill>
                    <w14:schemeClr w14:val="tx1"/>
                  </w14:solidFill>
                </w14:textFill>
              </w:rPr>
              <w:t>14</w:t>
            </w:r>
            <w:r>
              <w:rPr>
                <w:rFonts w:hint="eastAsia" w:ascii="宋体" w:hAnsi="宋体"/>
                <w:color w:val="000000" w:themeColor="text1"/>
                <w:kern w:val="0"/>
                <w:sz w:val="24"/>
                <w:lang w:eastAsia="zh-CN"/>
                <w14:textFill>
                  <w14:solidFill>
                    <w14:schemeClr w14:val="tx1"/>
                  </w14:solidFill>
                </w14:textFill>
              </w:rPr>
              <w:t>日  上午</w:t>
            </w:r>
            <w:r>
              <w:rPr>
                <w:rFonts w:hint="eastAsia" w:ascii="宋体" w:hAnsi="宋体"/>
                <w:color w:val="000000" w:themeColor="text1"/>
                <w:kern w:val="0"/>
                <w:sz w:val="24"/>
                <w:lang w:val="en-US" w:eastAsia="zh-CN"/>
                <w14:textFill>
                  <w14:solidFill>
                    <w14:schemeClr w14:val="tx1"/>
                  </w14:solidFill>
                </w14:textFill>
              </w:rPr>
              <w:t>10</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00</w:t>
            </w:r>
            <w:r>
              <w:rPr>
                <w:rFonts w:hint="eastAsia" w:ascii="宋体" w:hAnsi="宋体"/>
                <w:color w:val="000000" w:themeColor="text1"/>
                <w:kern w:val="0"/>
                <w:sz w:val="24"/>
                <w:lang w:eastAsia="zh-CN"/>
                <w14:textFill>
                  <w14:solidFill>
                    <w14:schemeClr w14:val="tx1"/>
                  </w14:solidFill>
                </w14:textFill>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磋商时间</w:t>
            </w:r>
          </w:p>
        </w:tc>
        <w:tc>
          <w:tcPr>
            <w:tcW w:w="7682" w:type="dxa"/>
            <w:tcBorders>
              <w:top w:val="outset" w:color="000000" w:sz="6" w:space="0"/>
              <w:left w:val="outset" w:color="000000" w:sz="6" w:space="0"/>
              <w:bottom w:val="outset" w:color="000000" w:sz="6" w:space="0"/>
              <w:right w:val="outset" w:color="000000" w:sz="6" w:space="0"/>
            </w:tcBorders>
            <w:vAlign w:val="center"/>
          </w:tcPr>
          <w:p>
            <w:pPr>
              <w:pStyle w:val="61"/>
              <w:spacing w:line="360" w:lineRule="auto"/>
              <w:ind w:left="0" w:leftChars="0" w:firstLine="218" w:firstLineChars="91"/>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2021年12月</w:t>
            </w:r>
            <w:r>
              <w:rPr>
                <w:rFonts w:hint="eastAsia" w:ascii="宋体" w:hAnsi="宋体"/>
                <w:color w:val="000000" w:themeColor="text1"/>
                <w:kern w:val="0"/>
                <w:sz w:val="24"/>
                <w:lang w:val="en-US" w:eastAsia="zh-CN"/>
                <w14:textFill>
                  <w14:solidFill>
                    <w14:schemeClr w14:val="tx1"/>
                  </w14:solidFill>
                </w14:textFill>
              </w:rPr>
              <w:t>14</w:t>
            </w:r>
            <w:r>
              <w:rPr>
                <w:rFonts w:hint="eastAsia" w:ascii="宋体" w:hAnsi="宋体"/>
                <w:color w:val="000000" w:themeColor="text1"/>
                <w:kern w:val="0"/>
                <w:sz w:val="24"/>
                <w:lang w:eastAsia="zh-CN"/>
                <w14:textFill>
                  <w14:solidFill>
                    <w14:schemeClr w14:val="tx1"/>
                  </w14:solidFill>
                </w14:textFill>
              </w:rPr>
              <w:t>日  上午</w:t>
            </w:r>
            <w:r>
              <w:rPr>
                <w:rFonts w:hint="eastAsia" w:ascii="宋体" w:hAnsi="宋体"/>
                <w:color w:val="000000" w:themeColor="text1"/>
                <w:kern w:val="0"/>
                <w:sz w:val="24"/>
                <w:lang w:val="en-US" w:eastAsia="zh-CN"/>
                <w14:textFill>
                  <w14:solidFill>
                    <w14:schemeClr w14:val="tx1"/>
                  </w14:solidFill>
                </w14:textFill>
              </w:rPr>
              <w:t>10</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00</w:t>
            </w:r>
            <w:r>
              <w:rPr>
                <w:rFonts w:hint="eastAsia" w:ascii="宋体" w:hAnsi="宋体"/>
                <w:color w:val="000000" w:themeColor="text1"/>
                <w:kern w:val="0"/>
                <w:sz w:val="24"/>
                <w:lang w:eastAsia="zh-CN"/>
                <w14:textFill>
                  <w14:solidFill>
                    <w14:schemeClr w14:val="tx1"/>
                  </w14:solidFill>
                </w14:textFill>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磋商及磋商地点</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ind w:left="0" w:leftChars="0" w:firstLine="218" w:firstLineChars="91"/>
              <w:rPr>
                <w:rFonts w:hint="eastAsia" w:ascii="宋体" w:hAnsi="宋体" w:eastAsia="宋体" w:cs="宋体"/>
                <w:color w:val="000000" w:themeColor="text1"/>
                <w:kern w:val="0"/>
                <w:sz w:val="24"/>
                <w:lang w:val="zh-CN" w:eastAsia="zh-CN"/>
                <w14:textFill>
                  <w14:solidFill>
                    <w14:schemeClr w14:val="tx1"/>
                  </w14:solidFill>
                </w14:textFill>
              </w:rPr>
            </w:pPr>
            <w:r>
              <w:rPr>
                <w:rFonts w:hint="eastAsia" w:ascii="宋体" w:hAnsi="宋体" w:eastAsia="宋体" w:cs="宋体"/>
                <w:bCs/>
                <w:kern w:val="0"/>
                <w:sz w:val="24"/>
                <w:lang w:val="zh-CN" w:eastAsia="zh-CN"/>
              </w:rPr>
              <w:t>西宁市城西区万达广场SOHO2号楼23楼12306室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磋商响应文件格式及编制要求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left="0" w:leftChars="0" w:firstLine="218" w:firstLineChars="91"/>
              <w:rPr>
                <w:rFonts w:ascii="宋体" w:hAnsi="宋体"/>
                <w:kern w:val="0"/>
                <w:sz w:val="24"/>
              </w:rPr>
            </w:pPr>
            <w:r>
              <w:rPr>
                <w:rFonts w:hint="eastAsia" w:ascii="宋体" w:hAnsi="宋体"/>
                <w:kern w:val="0"/>
                <w:sz w:val="24"/>
              </w:rPr>
              <w:t>1、供应商须提交</w:t>
            </w:r>
            <w:r>
              <w:rPr>
                <w:rFonts w:hint="eastAsia" w:ascii="宋体" w:hAnsi="宋体"/>
                <w:kern w:val="0"/>
                <w:sz w:val="24"/>
                <w:lang w:eastAsia="zh-CN"/>
              </w:rPr>
              <w:t>正本</w:t>
            </w:r>
            <w:r>
              <w:rPr>
                <w:rFonts w:hint="eastAsia" w:ascii="宋体" w:hAnsi="宋体"/>
                <w:kern w:val="0"/>
                <w:sz w:val="24"/>
                <w:lang w:val="en-US" w:eastAsia="zh-CN"/>
              </w:rPr>
              <w:t>1份，副本2份，</w:t>
            </w:r>
            <w:r>
              <w:rPr>
                <w:rFonts w:hint="eastAsia" w:ascii="宋体" w:hAnsi="宋体"/>
                <w:kern w:val="0"/>
                <w:sz w:val="24"/>
              </w:rPr>
              <w:t>加密电子投标文件1份务必在开标截止前</w:t>
            </w:r>
            <w:r>
              <w:rPr>
                <w:rFonts w:hint="eastAsia" w:ascii="宋体" w:hAnsi="宋体"/>
                <w:kern w:val="0"/>
                <w:sz w:val="24"/>
                <w:lang w:eastAsia="zh-CN"/>
              </w:rPr>
              <w:t>送达至</w:t>
            </w:r>
            <w:r>
              <w:rPr>
                <w:rFonts w:hint="eastAsia" w:ascii="宋体" w:hAnsi="宋体" w:eastAsia="宋体" w:cs="宋体"/>
                <w:bCs/>
                <w:kern w:val="0"/>
                <w:sz w:val="24"/>
                <w:lang w:val="zh-CN" w:eastAsia="zh-CN"/>
              </w:rPr>
              <w:t>西宁市城西区万达广场SOHO2号楼23楼12306室</w:t>
            </w:r>
            <w:r>
              <w:rPr>
                <w:rFonts w:hint="eastAsia" w:ascii="宋体" w:hAnsi="宋体"/>
                <w:kern w:val="0"/>
                <w:sz w:val="24"/>
              </w:rPr>
              <w:t>。</w:t>
            </w:r>
          </w:p>
          <w:p>
            <w:pPr>
              <w:autoSpaceDE w:val="0"/>
              <w:autoSpaceDN w:val="0"/>
              <w:spacing w:line="360" w:lineRule="auto"/>
              <w:ind w:left="0" w:leftChars="0" w:firstLine="218" w:firstLineChars="91"/>
              <w:rPr>
                <w:rFonts w:ascii="宋体" w:hAnsi="宋体"/>
                <w:kern w:val="0"/>
                <w:sz w:val="24"/>
              </w:rPr>
            </w:pPr>
            <w:r>
              <w:rPr>
                <w:rFonts w:hint="eastAsia" w:ascii="宋体" w:hAnsi="宋体"/>
                <w:kern w:val="0"/>
                <w:sz w:val="24"/>
              </w:rPr>
              <w:t>2、按照</w:t>
            </w:r>
            <w:r>
              <w:rPr>
                <w:rFonts w:hint="eastAsia" w:ascii="宋体" w:hAnsi="宋体"/>
                <w:kern w:val="0"/>
                <w:sz w:val="24"/>
                <w:lang w:eastAsia="zh-CN"/>
              </w:rPr>
              <w:t>磋商文件格式要求</w:t>
            </w:r>
            <w:r>
              <w:rPr>
                <w:rFonts w:hint="eastAsia" w:ascii="宋体" w:hAnsi="宋体"/>
                <w:kern w:val="0"/>
                <w:sz w:val="24"/>
              </w:rPr>
              <w:t>编制。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hint="eastAsia" w:ascii="宋体" w:hAnsi="宋体" w:eastAsia="宋体" w:cs="宋体"/>
                <w:bCs/>
                <w:kern w:val="0"/>
                <w:sz w:val="24"/>
                <w:lang w:val="zh-CN"/>
              </w:rPr>
            </w:pPr>
            <w:r>
              <w:rPr>
                <w:rFonts w:hint="eastAsia" w:ascii="宋体" w:hAnsi="宋体" w:eastAsia="宋体" w:cs="宋体"/>
                <w:bCs/>
                <w:kern w:val="0"/>
                <w:sz w:val="24"/>
                <w:lang w:val="zh-CN"/>
              </w:rPr>
              <w:t>答疑澄清方式</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jc w:val="both"/>
              <w:rPr>
                <w:rFonts w:hint="eastAsia" w:ascii="宋体" w:hAnsi="宋体" w:eastAsia="宋体" w:cs="宋体"/>
                <w:bCs/>
                <w:kern w:val="0"/>
                <w:sz w:val="24"/>
                <w:lang w:val="zh-CN"/>
              </w:rPr>
            </w:pPr>
            <w:r>
              <w:rPr>
                <w:rFonts w:hint="eastAsia" w:ascii="宋体" w:hAnsi="宋体" w:eastAsia="宋体" w:cs="宋体"/>
                <w:bCs/>
                <w:kern w:val="0"/>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代理服务费收取</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ind w:left="0" w:leftChars="0" w:firstLine="218" w:firstLineChars="91"/>
              <w:rPr>
                <w:rFonts w:hint="eastAsia" w:ascii="宋体" w:hAnsi="宋体" w:eastAsia="宋体" w:cs="宋体"/>
                <w:kern w:val="0"/>
                <w:sz w:val="24"/>
                <w:lang w:val="en-US" w:eastAsia="zh-CN"/>
              </w:rPr>
            </w:pPr>
            <w:r>
              <w:rPr>
                <w:rFonts w:hint="eastAsia" w:ascii="宋体" w:hAnsi="宋体" w:cs="宋体"/>
                <w:kern w:val="0"/>
                <w:sz w:val="24"/>
                <w:lang w:val="zh-CN"/>
              </w:rPr>
              <w:t>招标代理服务费：</w:t>
            </w:r>
            <w:r>
              <w:rPr>
                <w:rFonts w:hint="eastAsia" w:ascii="宋体" w:hAnsi="宋体" w:cs="宋体"/>
                <w:kern w:val="0"/>
                <w:sz w:val="24"/>
                <w:lang w:val="en-US" w:eastAsia="zh-CN"/>
              </w:rPr>
              <w:t>/</w:t>
            </w:r>
          </w:p>
          <w:p>
            <w:pPr>
              <w:autoSpaceDE w:val="0"/>
              <w:autoSpaceDN w:val="0"/>
              <w:spacing w:line="360" w:lineRule="auto"/>
              <w:ind w:left="0" w:leftChars="0" w:firstLine="218" w:firstLineChars="91"/>
              <w:rPr>
                <w:rFonts w:hint="eastAsia" w:ascii="宋体" w:hAnsi="宋体" w:eastAsia="宋体" w:cs="宋体"/>
                <w:kern w:val="0"/>
                <w:sz w:val="24"/>
                <w:lang w:val="en-US" w:eastAsia="zh-CN"/>
              </w:rPr>
            </w:pPr>
            <w:r>
              <w:rPr>
                <w:rFonts w:hint="eastAsia" w:ascii="宋体" w:hAnsi="宋体" w:cs="宋体"/>
                <w:kern w:val="0"/>
                <w:sz w:val="24"/>
                <w:lang w:val="zh-CN"/>
              </w:rPr>
              <w:t>收取对象：</w:t>
            </w:r>
            <w:r>
              <w:rPr>
                <w:rFonts w:hint="eastAsia" w:ascii="宋体" w:hAnsi="宋体" w:cs="宋体"/>
                <w:kern w:val="0"/>
                <w:sz w:val="24"/>
                <w:lang w:val="en-US" w:eastAsia="zh-CN"/>
              </w:rPr>
              <w:t>/</w:t>
            </w:r>
          </w:p>
          <w:p>
            <w:pPr>
              <w:spacing w:line="360" w:lineRule="auto"/>
              <w:ind w:left="0" w:leftChars="0" w:firstLine="218" w:firstLineChars="91"/>
              <w:rPr>
                <w:rFonts w:ascii="宋体" w:hAnsi="宋体" w:cs="宋体"/>
                <w:kern w:val="0"/>
                <w:sz w:val="24"/>
                <w:lang w:val="zh-CN"/>
              </w:rPr>
            </w:pPr>
            <w:r>
              <w:rPr>
                <w:rFonts w:hint="eastAsia" w:ascii="宋体" w:hAnsi="宋体" w:cs="宋体"/>
                <w:kern w:val="0"/>
                <w:sz w:val="24"/>
                <w:lang w:val="zh-CN"/>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autoSpaceDE w:val="0"/>
              <w:autoSpaceDN w:val="0"/>
              <w:spacing w:line="360" w:lineRule="auto"/>
              <w:ind w:left="0" w:leftChars="0" w:firstLine="218" w:firstLineChars="91"/>
              <w:rPr>
                <w:rFonts w:ascii="宋体" w:hAnsi="宋体" w:cs="宋体"/>
                <w:kern w:val="0"/>
                <w:sz w:val="24"/>
                <w:lang w:val="zh-CN"/>
              </w:rPr>
            </w:pPr>
            <w:r>
              <w:rPr>
                <w:rFonts w:hint="eastAsia" w:ascii="宋体" w:hAnsi="宋体" w:cs="宋体"/>
                <w:kern w:val="0"/>
                <w:sz w:val="24"/>
                <w:lang w:val="zh-CN"/>
              </w:rPr>
              <w:t>代理服务费以人民币支付。</w:t>
            </w:r>
          </w:p>
          <w:p>
            <w:pPr>
              <w:autoSpaceDE w:val="0"/>
              <w:autoSpaceDN w:val="0"/>
              <w:spacing w:line="360" w:lineRule="auto"/>
              <w:ind w:left="0" w:leftChars="0" w:firstLine="218" w:firstLineChars="91"/>
              <w:rPr>
                <w:rFonts w:ascii="宋体" w:hAnsi="宋体" w:cs="宋体"/>
                <w:kern w:val="0"/>
                <w:sz w:val="24"/>
                <w:lang w:val="zh-CN"/>
              </w:rPr>
            </w:pPr>
            <w:r>
              <w:rPr>
                <w:rFonts w:hint="eastAsia" w:ascii="宋体" w:hAnsi="宋体" w:cs="宋体"/>
                <w:kern w:val="0"/>
                <w:sz w:val="24"/>
                <w:lang w:val="zh-CN"/>
              </w:rPr>
              <w:t>代理服务费不在投标报价中单列。</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合同签订有效期</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line="360" w:lineRule="auto"/>
              <w:ind w:left="0" w:leftChars="0" w:firstLine="218" w:firstLineChars="91"/>
              <w:rPr>
                <w:rFonts w:ascii="宋体" w:hAnsi="宋体" w:cs="宋体"/>
                <w:kern w:val="0"/>
                <w:sz w:val="24"/>
                <w:lang w:val="zh-CN"/>
              </w:rPr>
            </w:pPr>
            <w:r>
              <w:rPr>
                <w:rFonts w:hint="eastAsia" w:ascii="宋体" w:hAnsi="宋体" w:cs="宋体"/>
                <w:kern w:val="0"/>
                <w:sz w:val="24"/>
                <w:lang w:val="zh-CN"/>
              </w:rPr>
              <w:t>自成交通知书发出之日起</w:t>
            </w:r>
            <w:r>
              <w:rPr>
                <w:rFonts w:hint="eastAsia" w:ascii="宋体" w:hAnsi="宋体" w:cs="宋体"/>
                <w:kern w:val="0"/>
                <w:sz w:val="24"/>
              </w:rPr>
              <w:t>30</w:t>
            </w:r>
            <w:r>
              <w:rPr>
                <w:rFonts w:hint="eastAsia" w:ascii="宋体" w:hAnsi="宋体" w:cs="宋体"/>
                <w:kern w:val="0"/>
                <w:sz w:val="24"/>
                <w:lang w:val="zh-CN"/>
              </w:rPr>
              <w:t>日内与采购单位签订供货合同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政府采购合同备案</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left="0" w:leftChars="0" w:firstLine="218" w:firstLineChars="91"/>
              <w:rPr>
                <w:rFonts w:ascii="宋体" w:hAnsi="宋体" w:cs="Arial"/>
                <w:sz w:val="24"/>
              </w:rPr>
            </w:pPr>
            <w:r>
              <w:rPr>
                <w:rFonts w:ascii="宋体" w:hAnsi="宋体" w:cs="Arial"/>
                <w:sz w:val="24"/>
              </w:rPr>
              <w:t>采购合同全数返回采购代理机构签证，盖章。</w:t>
            </w:r>
          </w:p>
          <w:p>
            <w:pPr>
              <w:spacing w:line="360" w:lineRule="auto"/>
              <w:ind w:left="0" w:leftChars="0" w:firstLine="218" w:firstLineChars="91"/>
              <w:rPr>
                <w:rFonts w:ascii="宋体" w:hAnsi="宋体" w:cs="Arial"/>
                <w:sz w:val="24"/>
              </w:rPr>
            </w:pPr>
            <w:r>
              <w:rPr>
                <w:rFonts w:ascii="宋体" w:hAnsi="宋体" w:cs="Arial"/>
                <w:sz w:val="24"/>
              </w:rPr>
              <w:t>采购代理机构留存</w:t>
            </w:r>
            <w:r>
              <w:rPr>
                <w:rFonts w:hint="eastAsia" w:ascii="宋体" w:hAnsi="宋体" w:cs="Arial"/>
                <w:sz w:val="24"/>
              </w:rPr>
              <w:t>叁</w:t>
            </w:r>
            <w:r>
              <w:rPr>
                <w:rFonts w:ascii="宋体" w:hAnsi="宋体" w:cs="Arial"/>
                <w:sz w:val="24"/>
              </w:rPr>
              <w:t>份原件备案。</w:t>
            </w:r>
          </w:p>
          <w:p>
            <w:pPr>
              <w:spacing w:line="360" w:lineRule="auto"/>
              <w:ind w:left="0" w:leftChars="0" w:firstLine="218" w:firstLineChars="91"/>
              <w:rPr>
                <w:rFonts w:hint="eastAsia" w:ascii="宋体" w:hAnsi="宋体" w:eastAsia="宋体" w:cs="Arial"/>
                <w:sz w:val="24"/>
                <w:lang w:eastAsia="zh-CN"/>
              </w:rPr>
            </w:pPr>
            <w:r>
              <w:rPr>
                <w:rFonts w:ascii="宋体" w:hAnsi="宋体" w:cs="Arial"/>
                <w:sz w:val="24"/>
              </w:rPr>
              <w:t>合同返回地址：</w:t>
            </w:r>
            <w:r>
              <w:rPr>
                <w:rFonts w:hint="eastAsia" w:ascii="宋体" w:hAnsi="宋体"/>
                <w:kern w:val="0"/>
                <w:sz w:val="24"/>
                <w:lang w:eastAsia="zh-CN"/>
              </w:rPr>
              <w:t>西宁市城西区万达广场SOHO2号楼23楼12305室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3"/>
              </w:numPr>
              <w:autoSpaceDE w:val="0"/>
              <w:autoSpaceDN w:val="0"/>
              <w:spacing w:line="360" w:lineRule="auto"/>
              <w:jc w:val="center"/>
              <w:rPr>
                <w:rFonts w:ascii="宋体" w:hAnsi="宋体" w:cs="宋体"/>
                <w:bCs/>
                <w:kern w:val="0"/>
                <w:sz w:val="24"/>
                <w:lang w:val="zh-CN"/>
              </w:rPr>
            </w:pPr>
          </w:p>
        </w:tc>
        <w:tc>
          <w:tcPr>
            <w:tcW w:w="20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bCs/>
                <w:kern w:val="0"/>
                <w:sz w:val="24"/>
                <w:lang w:val="zh-CN"/>
              </w:rPr>
            </w:pPr>
            <w:r>
              <w:rPr>
                <w:rFonts w:hint="eastAsia" w:ascii="宋体" w:hAnsi="宋体" w:cs="宋体"/>
                <w:bCs/>
                <w:kern w:val="0"/>
                <w:sz w:val="24"/>
                <w:lang w:val="zh-CN"/>
              </w:rPr>
              <w:t>其他要求</w:t>
            </w:r>
          </w:p>
        </w:tc>
        <w:tc>
          <w:tcPr>
            <w:tcW w:w="7682" w:type="dxa"/>
            <w:tcBorders>
              <w:top w:val="single" w:color="000000" w:sz="6" w:space="0"/>
              <w:left w:val="single" w:color="000000" w:sz="6" w:space="0"/>
              <w:bottom w:val="single" w:color="000000" w:sz="6" w:space="0"/>
              <w:right w:val="single" w:color="000000" w:sz="6" w:space="0"/>
            </w:tcBorders>
            <w:shd w:val="clear" w:color="000000" w:fill="FFFFFF"/>
          </w:tcPr>
          <w:p>
            <w:pPr>
              <w:pStyle w:val="98"/>
              <w:numPr>
                <w:ilvl w:val="0"/>
                <w:numId w:val="0"/>
              </w:numPr>
              <w:spacing w:line="360" w:lineRule="auto"/>
              <w:ind w:leftChars="91"/>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val="en-US" w:eastAsia="zh-CN"/>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采购项目联系人：</w:t>
            </w:r>
            <w:r>
              <w:rPr>
                <w:rFonts w:hint="eastAsia" w:ascii="宋体" w:hAnsi="宋体"/>
                <w:color w:val="000000" w:themeColor="text1"/>
                <w:kern w:val="0"/>
                <w:sz w:val="24"/>
                <w:lang w:eastAsia="zh-CN"/>
                <w14:textFill>
                  <w14:solidFill>
                    <w14:schemeClr w14:val="tx1"/>
                  </w14:solidFill>
                </w14:textFill>
              </w:rPr>
              <w:t>任先生</w:t>
            </w:r>
            <w:r>
              <w:rPr>
                <w:rFonts w:hint="eastAsia" w:ascii="宋体" w:hAnsi="宋体"/>
                <w:color w:val="000000" w:themeColor="text1"/>
                <w:kern w:val="0"/>
                <w:sz w:val="24"/>
                <w14:textFill>
                  <w14:solidFill>
                    <w14:schemeClr w14:val="tx1"/>
                  </w14:solidFill>
                </w14:textFill>
              </w:rPr>
              <w:t>，联系电话</w:t>
            </w:r>
            <w:r>
              <w:rPr>
                <w:rFonts w:hint="eastAsia" w:ascii="宋体" w:hAnsi="宋体"/>
                <w:color w:val="000000" w:themeColor="text1"/>
                <w:kern w:val="0"/>
                <w:sz w:val="24"/>
                <w:lang w:eastAsia="zh-CN"/>
                <w14:textFill>
                  <w14:solidFill>
                    <w14:schemeClr w14:val="tx1"/>
                  </w14:solidFill>
                </w14:textFill>
              </w:rPr>
              <w:t>：</w:t>
            </w:r>
            <w:r>
              <w:rPr>
                <w:rFonts w:hint="eastAsia" w:ascii="宋体" w:hAnsi="宋体" w:eastAsia="宋体" w:cs="Times New Roman"/>
                <w:kern w:val="0"/>
                <w:sz w:val="24"/>
                <w:szCs w:val="24"/>
                <w:lang w:val="en-US" w:eastAsia="zh-CN" w:bidi="ar-SA"/>
              </w:rPr>
              <w:t>0971-5312867</w:t>
            </w:r>
            <w:r>
              <w:rPr>
                <w:rFonts w:hint="eastAsia" w:ascii="宋体" w:hAnsi="宋体"/>
                <w:color w:val="000000" w:themeColor="text1"/>
                <w:kern w:val="0"/>
                <w:sz w:val="24"/>
                <w14:textFill>
                  <w14:solidFill>
                    <w14:schemeClr w14:val="tx1"/>
                  </w14:solidFill>
                </w14:textFill>
              </w:rPr>
              <w:t>；公告期限：自青海政府采购网发布之日起5个工作日；公告内容以青海政府采购网发布的为准。</w:t>
            </w:r>
          </w:p>
          <w:p>
            <w:pPr>
              <w:pStyle w:val="98"/>
              <w:numPr>
                <w:ilvl w:val="0"/>
                <w:numId w:val="0"/>
              </w:numPr>
              <w:spacing w:line="360" w:lineRule="auto"/>
              <w:ind w:leftChars="91"/>
              <w:rPr>
                <w:rFonts w:ascii="宋体" w:hAnsi="宋体"/>
                <w:color w:val="000000" w:themeColor="text1"/>
                <w:kern w:val="0"/>
                <w:sz w:val="24"/>
                <w14:textFill>
                  <w14:solidFill>
                    <w14:schemeClr w14:val="tx1"/>
                  </w14:solidFill>
                </w14:textFill>
              </w:rPr>
            </w:pPr>
            <w:r>
              <w:rPr>
                <w:rFonts w:hint="eastAsia" w:ascii="宋体" w:hAnsi="宋体" w:eastAsia="宋体"/>
                <w:color w:val="000000" w:themeColor="text1"/>
                <w:kern w:val="0"/>
                <w:sz w:val="24"/>
                <w:lang w:val="en-US" w:eastAsia="zh-CN"/>
                <w14:textFill>
                  <w14:solidFill>
                    <w14:schemeClr w14:val="tx1"/>
                  </w14:solidFill>
                </w14:textFill>
              </w:rPr>
              <w:t>2、</w:t>
            </w:r>
            <w:r>
              <w:rPr>
                <w:rFonts w:hint="eastAsia" w:ascii="宋体" w:hAnsi="宋体" w:eastAsia="宋体"/>
                <w:color w:val="000000" w:themeColor="text1"/>
                <w:kern w:val="0"/>
                <w:sz w:val="24"/>
                <w:lang w:val="zh-CN" w:eastAsia="zh-CN"/>
                <w14:textFill>
                  <w14:solidFill>
                    <w14:schemeClr w14:val="tx1"/>
                  </w14:solidFill>
                </w14:textFill>
              </w:rPr>
              <w:t>公告发布媒体：本公告同时在《青海省政府采购网》、《</w:t>
            </w:r>
            <w:r>
              <w:rPr>
                <w:rFonts w:hint="eastAsia" w:ascii="宋体" w:hAnsi="宋体" w:eastAsia="宋体"/>
                <w:color w:val="000000" w:themeColor="text1"/>
                <w:kern w:val="0"/>
                <w:sz w:val="24"/>
                <w:lang w:val="en-US" w:eastAsia="zh-CN"/>
                <w14:textFill>
                  <w14:solidFill>
                    <w14:schemeClr w14:val="tx1"/>
                  </w14:solidFill>
                </w14:textFill>
              </w:rPr>
              <w:t>青</w:t>
            </w:r>
            <w:r>
              <w:rPr>
                <w:rFonts w:hint="eastAsia" w:ascii="宋体" w:hAnsi="宋体" w:eastAsia="宋体"/>
                <w:color w:val="000000" w:themeColor="text1"/>
                <w:kern w:val="0"/>
                <w:sz w:val="24"/>
                <w:lang w:val="zh-CN" w:eastAsia="zh-CN"/>
                <w14:textFill>
                  <w14:solidFill>
                    <w14:schemeClr w14:val="tx1"/>
                  </w14:solidFill>
                </w14:textFill>
              </w:rPr>
              <w:t>海省电子招标投标公共服务平台》同时发布，</w:t>
            </w:r>
          </w:p>
        </w:tc>
      </w:tr>
    </w:tbl>
    <w:p>
      <w:pPr>
        <w:pStyle w:val="26"/>
        <w:spacing w:before="0" w:after="0" w:line="360" w:lineRule="auto"/>
        <w:rPr>
          <w:rFonts w:ascii="宋体" w:hAnsi="宋体"/>
          <w:sz w:val="48"/>
          <w:szCs w:val="48"/>
          <w:lang w:val="zh-CN"/>
        </w:rPr>
      </w:pPr>
      <w:r>
        <w:rPr>
          <w:rFonts w:ascii="宋体" w:hAnsi="宋体"/>
          <w:b w:val="0"/>
          <w:sz w:val="24"/>
          <w:szCs w:val="24"/>
        </w:rPr>
        <w:br w:type="page"/>
      </w:r>
      <w:bookmarkStart w:id="7" w:name="_Toc6183"/>
      <w:bookmarkStart w:id="8" w:name="_Toc444715734"/>
      <w:r>
        <w:rPr>
          <w:rFonts w:hint="eastAsia" w:ascii="宋体" w:hAnsi="宋体"/>
          <w:sz w:val="48"/>
          <w:szCs w:val="48"/>
        </w:rPr>
        <w:t>第三部分  磋商供应商须知</w:t>
      </w:r>
      <w:bookmarkEnd w:id="7"/>
      <w:bookmarkEnd w:id="8"/>
    </w:p>
    <w:p>
      <w:pPr>
        <w:pStyle w:val="9"/>
        <w:ind w:left="709"/>
        <w:jc w:val="center"/>
        <w:rPr>
          <w:rFonts w:hint="eastAsia" w:hAnsi="宋体"/>
          <w:b/>
          <w:sz w:val="28"/>
          <w:szCs w:val="28"/>
        </w:rPr>
      </w:pPr>
      <w:bookmarkStart w:id="9" w:name="_Toc29423"/>
      <w:r>
        <w:rPr>
          <w:rFonts w:hint="eastAsia" w:hAnsi="宋体"/>
          <w:b/>
          <w:sz w:val="28"/>
          <w:szCs w:val="28"/>
          <w:lang w:val="en-US" w:eastAsia="zh-CN"/>
        </w:rPr>
        <w:t>一、</w:t>
      </w:r>
      <w:r>
        <w:rPr>
          <w:rFonts w:hint="eastAsia" w:hAnsi="宋体"/>
          <w:b/>
          <w:sz w:val="28"/>
          <w:szCs w:val="28"/>
        </w:rPr>
        <w:t>说明</w:t>
      </w:r>
      <w:bookmarkEnd w:id="9"/>
    </w:p>
    <w:p/>
    <w:p>
      <w:pPr>
        <w:pStyle w:val="10"/>
        <w:numPr>
          <w:ilvl w:val="0"/>
          <w:numId w:val="0"/>
        </w:numPr>
        <w:spacing w:before="0" w:after="0" w:line="360" w:lineRule="auto"/>
        <w:ind w:leftChars="0"/>
        <w:rPr>
          <w:rFonts w:ascii="宋体" w:hAnsi="宋体"/>
          <w:b w:val="0"/>
          <w:sz w:val="24"/>
          <w:szCs w:val="24"/>
        </w:rPr>
      </w:pPr>
      <w:bookmarkStart w:id="10" w:name="_Toc17152"/>
      <w:bookmarkStart w:id="11" w:name="_Toc488691479"/>
      <w:bookmarkStart w:id="12" w:name="_Toc446427794"/>
      <w:bookmarkStart w:id="13" w:name="_Toc495570969"/>
      <w:bookmarkStart w:id="14" w:name="_Toc459377860"/>
      <w:r>
        <w:rPr>
          <w:rFonts w:hint="eastAsia" w:ascii="宋体" w:hAnsi="宋体"/>
          <w:b w:val="0"/>
          <w:sz w:val="24"/>
          <w:szCs w:val="24"/>
          <w:lang w:val="en-US" w:eastAsia="zh-CN"/>
        </w:rPr>
        <w:t>1、</w:t>
      </w:r>
      <w:r>
        <w:rPr>
          <w:rFonts w:ascii="宋体" w:hAnsi="宋体"/>
          <w:b w:val="0"/>
          <w:sz w:val="24"/>
          <w:szCs w:val="24"/>
        </w:rPr>
        <w:t>磋商内容及要求</w:t>
      </w:r>
      <w:bookmarkEnd w:id="10"/>
      <w:bookmarkEnd w:id="11"/>
      <w:bookmarkEnd w:id="12"/>
      <w:bookmarkEnd w:id="13"/>
      <w:bookmarkEnd w:id="14"/>
    </w:p>
    <w:p>
      <w:pPr>
        <w:pStyle w:val="20"/>
        <w:spacing w:line="360" w:lineRule="auto"/>
        <w:ind w:firstLine="480" w:firstLineChars="200"/>
        <w:rPr>
          <w:rFonts w:hAnsi="宋体"/>
          <w:sz w:val="24"/>
          <w:szCs w:val="24"/>
        </w:rPr>
      </w:pPr>
      <w:r>
        <w:rPr>
          <w:rFonts w:hint="eastAsia" w:hAnsi="宋体"/>
          <w:sz w:val="24"/>
          <w:szCs w:val="24"/>
        </w:rPr>
        <w:t>本次采购依据采购单位的采购计划，仅适用于本竞争性磋商文件（以下简称“磋商文件”）中所叙述的项目。</w:t>
      </w:r>
    </w:p>
    <w:p>
      <w:pPr>
        <w:pStyle w:val="10"/>
        <w:numPr>
          <w:ilvl w:val="0"/>
          <w:numId w:val="0"/>
        </w:numPr>
        <w:spacing w:before="0" w:after="0" w:line="360" w:lineRule="auto"/>
        <w:ind w:leftChars="0"/>
        <w:rPr>
          <w:rFonts w:ascii="宋体" w:hAnsi="宋体"/>
          <w:b w:val="0"/>
          <w:sz w:val="24"/>
          <w:szCs w:val="24"/>
        </w:rPr>
      </w:pPr>
      <w:bookmarkStart w:id="15" w:name="_Toc488673614"/>
      <w:bookmarkStart w:id="16" w:name="_Toc8194"/>
      <w:r>
        <w:rPr>
          <w:rFonts w:hint="eastAsia" w:ascii="宋体" w:hAnsi="宋体"/>
          <w:b w:val="0"/>
          <w:sz w:val="24"/>
          <w:szCs w:val="24"/>
          <w:lang w:val="en-US" w:eastAsia="zh-CN"/>
        </w:rPr>
        <w:t>2、</w:t>
      </w:r>
      <w:r>
        <w:rPr>
          <w:rFonts w:hint="eastAsia" w:ascii="宋体" w:hAnsi="宋体"/>
          <w:b w:val="0"/>
          <w:sz w:val="24"/>
          <w:szCs w:val="24"/>
        </w:rPr>
        <w:t>采购方式、合格的磋商供应商</w:t>
      </w:r>
      <w:bookmarkEnd w:id="15"/>
      <w:bookmarkEnd w:id="16"/>
    </w:p>
    <w:p>
      <w:pPr>
        <w:pStyle w:val="20"/>
        <w:numPr>
          <w:ilvl w:val="1"/>
          <w:numId w:val="4"/>
        </w:numPr>
        <w:spacing w:line="360" w:lineRule="auto"/>
        <w:rPr>
          <w:rFonts w:hAnsi="宋体"/>
          <w:sz w:val="24"/>
          <w:szCs w:val="24"/>
        </w:rPr>
      </w:pPr>
      <w:r>
        <w:rPr>
          <w:rFonts w:hint="eastAsia" w:hAnsi="宋体"/>
          <w:sz w:val="24"/>
          <w:szCs w:val="24"/>
        </w:rPr>
        <w:t>本次磋商采取竞争性磋商方式；</w:t>
      </w:r>
    </w:p>
    <w:p>
      <w:pPr>
        <w:pStyle w:val="20"/>
        <w:numPr>
          <w:ilvl w:val="1"/>
          <w:numId w:val="4"/>
        </w:numPr>
        <w:spacing w:line="360" w:lineRule="auto"/>
        <w:rPr>
          <w:rFonts w:hAnsi="宋体"/>
          <w:sz w:val="24"/>
          <w:szCs w:val="24"/>
        </w:rPr>
      </w:pPr>
      <w:r>
        <w:rPr>
          <w:rFonts w:hAnsi="宋体" w:cs="Arial"/>
          <w:sz w:val="24"/>
          <w:szCs w:val="24"/>
        </w:rPr>
        <w:t>合格的磋商供应商：</w:t>
      </w:r>
    </w:p>
    <w:p>
      <w:pPr>
        <w:pStyle w:val="32"/>
        <w:spacing w:before="0" w:beforeAutospacing="0" w:after="0" w:afterAutospacing="0" w:line="54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bookmarkStart w:id="17" w:name="_Toc488673615"/>
      <w:bookmarkStart w:id="18" w:name="_Toc28336"/>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1、符合《政府采购法》第22条规定，并提供下列材料：</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的营业执照等证明文件，自然人的身份证明。</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财务状况报告，依法缴纳税收和社会保障资金的相关材料（经第三方机构出具的2020年度财务状况审计报告，扫描或复印件应全面、完整、清晰，包括资产负债表、现金流量表、利润表和财务（会计）报表附注,并提供第三方机构的营业执照、执业证书；依法缴纳税收和社会保障资金的相关材料</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，供应商成立不满足年限的需提供</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基本账户开户银行近三个月内出具的资信证明：近半年任意3个月的依法缴纳税收和社会保障资金记录的证明材料，依法免税或不需要缴纳社会保障资金的</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须提供相应文件证明其依法免税或不需要缴纳社会保障资金）；</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（3）具备履行合同所必需的设备和专业技术能力的证明材料。</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（4）参加政府采购活动前3年内在经营活动中没有重大违法记录的书面声明。</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（5）具备法律、行政法规规定的其他条件的证明材料。</w:t>
      </w:r>
    </w:p>
    <w:p>
      <w:pPr>
        <w:adjustRightInd w:val="0"/>
        <w:spacing w:line="540" w:lineRule="exact"/>
        <w:ind w:left="0" w:leftChars="0" w:firstLine="218" w:firstLineChars="91"/>
        <w:jc w:val="lef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2、未被信用中国（www.creditchina.gov.cn）、中国政府采购网（www.ccgp.gov.cn），列入失信被执行人、重大税收违法案件当事人名单、政府采购严重违法失信行为记录名单的</w:t>
      </w:r>
      <w:r>
        <w:rPr>
          <w:rFonts w:ascii="宋体" w:hAnsi="宋体" w:eastAsia="宋体" w:cs="宋体"/>
          <w:sz w:val="20"/>
        </w:rPr>
        <w:t>（</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时间为磋商截止时间前 10 天内；若查询结果提供相应截图）；</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3、单位负责人为同一人或者存在直接控股、管理关系的不同</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，不得参加同一合同项下的政府采购活动，否则，皆取消投标资格；</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4、本项目不接受</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以联合体方式进行投标；</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5、 其他资质条件：</w:t>
      </w:r>
    </w:p>
    <w:p>
      <w:pPr>
        <w:spacing w:line="460" w:lineRule="exact"/>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（1）本次采购要求供应商在人员、设备、资金等方面具有相应的供货能力。</w:t>
      </w:r>
    </w:p>
    <w:p>
      <w:pPr>
        <w:pStyle w:val="10"/>
        <w:numPr>
          <w:ilvl w:val="0"/>
          <w:numId w:val="0"/>
        </w:numPr>
        <w:spacing w:before="0" w:after="0" w:line="360" w:lineRule="auto"/>
        <w:ind w:leftChars="0"/>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t>（2）磋商文件规定的其他条件。</w:t>
      </w:r>
    </w:p>
    <w:p>
      <w:pPr>
        <w:pStyle w:val="10"/>
        <w:numPr>
          <w:ilvl w:val="0"/>
          <w:numId w:val="0"/>
        </w:numPr>
        <w:spacing w:before="0" w:after="0" w:line="360" w:lineRule="auto"/>
        <w:ind w:leftChars="0"/>
        <w:rPr>
          <w:rFonts w:ascii="宋体" w:hAnsi="宋体"/>
          <w:b w:val="0"/>
          <w:sz w:val="24"/>
          <w:szCs w:val="24"/>
        </w:rPr>
      </w:pPr>
      <w:r>
        <w:rPr>
          <w:rFonts w:hint="eastAsia" w:ascii="宋体" w:hAnsi="宋体"/>
          <w:b w:val="0"/>
          <w:sz w:val="24"/>
          <w:szCs w:val="24"/>
          <w:lang w:val="en-US" w:eastAsia="zh-CN"/>
        </w:rPr>
        <w:t>1、</w:t>
      </w:r>
      <w:r>
        <w:rPr>
          <w:rFonts w:hint="eastAsia" w:ascii="宋体" w:hAnsi="宋体"/>
          <w:b w:val="0"/>
          <w:sz w:val="24"/>
          <w:szCs w:val="24"/>
        </w:rPr>
        <w:t>磋商费用</w:t>
      </w:r>
      <w:bookmarkEnd w:id="17"/>
      <w:bookmarkEnd w:id="18"/>
    </w:p>
    <w:p>
      <w:pPr>
        <w:pStyle w:val="20"/>
        <w:spacing w:line="360" w:lineRule="auto"/>
        <w:ind w:firstLine="480" w:firstLineChars="200"/>
        <w:rPr>
          <w:rFonts w:hAnsi="宋体"/>
          <w:b/>
          <w:sz w:val="24"/>
          <w:szCs w:val="24"/>
        </w:rPr>
      </w:pPr>
      <w:r>
        <w:rPr>
          <w:rFonts w:hint="eastAsia" w:hAnsi="宋体"/>
          <w:sz w:val="24"/>
          <w:szCs w:val="24"/>
        </w:rPr>
        <w:t>磋商供应商应自愿承担与参加本次磋商有关的费用。采购代理机构对磋商供应商发生的费用不承担任何责任。</w:t>
      </w:r>
    </w:p>
    <w:p>
      <w:pPr>
        <w:pStyle w:val="9"/>
        <w:ind w:left="709"/>
        <w:jc w:val="center"/>
        <w:rPr>
          <w:rFonts w:hAnsi="宋体"/>
          <w:b/>
          <w:sz w:val="28"/>
          <w:szCs w:val="28"/>
        </w:rPr>
      </w:pPr>
      <w:bookmarkStart w:id="19" w:name="_Toc20143"/>
      <w:r>
        <w:rPr>
          <w:rFonts w:hint="eastAsia" w:hAnsi="宋体"/>
          <w:b/>
          <w:sz w:val="28"/>
          <w:szCs w:val="28"/>
          <w:lang w:val="en-US" w:eastAsia="zh-CN"/>
        </w:rPr>
        <w:t>二、</w:t>
      </w:r>
      <w:r>
        <w:rPr>
          <w:rFonts w:hint="eastAsia" w:hAnsi="宋体"/>
          <w:b/>
          <w:sz w:val="28"/>
          <w:szCs w:val="28"/>
        </w:rPr>
        <w:t>磋商文件说明</w:t>
      </w:r>
      <w:bookmarkEnd w:id="19"/>
    </w:p>
    <w:p>
      <w:pPr>
        <w:pStyle w:val="10"/>
        <w:numPr>
          <w:ilvl w:val="0"/>
          <w:numId w:val="0"/>
        </w:numPr>
        <w:spacing w:before="0" w:after="0" w:line="360" w:lineRule="auto"/>
        <w:ind w:leftChars="0"/>
        <w:rPr>
          <w:rFonts w:ascii="宋体" w:hAnsi="宋体"/>
          <w:b w:val="0"/>
          <w:sz w:val="24"/>
          <w:szCs w:val="24"/>
        </w:rPr>
      </w:pPr>
      <w:bookmarkStart w:id="20" w:name="_Toc25178"/>
      <w:bookmarkStart w:id="21" w:name="_Toc488673617"/>
      <w:r>
        <w:rPr>
          <w:rFonts w:hint="eastAsia" w:ascii="宋体" w:hAnsi="宋体"/>
          <w:b w:val="0"/>
          <w:sz w:val="24"/>
          <w:szCs w:val="24"/>
          <w:lang w:val="en-US" w:eastAsia="zh-CN"/>
        </w:rPr>
        <w:t>4、</w:t>
      </w:r>
      <w:r>
        <w:rPr>
          <w:rFonts w:hint="eastAsia" w:ascii="宋体" w:hAnsi="宋体"/>
          <w:b w:val="0"/>
          <w:sz w:val="24"/>
          <w:szCs w:val="24"/>
        </w:rPr>
        <w:t>磋商文件的构成</w:t>
      </w:r>
      <w:bookmarkEnd w:id="20"/>
      <w:bookmarkEnd w:id="21"/>
    </w:p>
    <w:p>
      <w:pPr>
        <w:pStyle w:val="20"/>
        <w:numPr>
          <w:ilvl w:val="1"/>
          <w:numId w:val="5"/>
        </w:numPr>
        <w:spacing w:line="360" w:lineRule="auto"/>
        <w:rPr>
          <w:rFonts w:hAnsi="宋体"/>
          <w:sz w:val="24"/>
          <w:szCs w:val="24"/>
        </w:rPr>
      </w:pPr>
      <w:r>
        <w:rPr>
          <w:rFonts w:hint="eastAsia" w:hAnsi="宋体"/>
          <w:sz w:val="24"/>
          <w:szCs w:val="24"/>
        </w:rPr>
        <w:t>磋商文件包括：</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1</w:t>
      </w:r>
      <w:r>
        <w:rPr>
          <w:rFonts w:hint="eastAsia" w:hAnsi="宋体" w:cs="Arial"/>
          <w:sz w:val="24"/>
          <w:szCs w:val="24"/>
          <w:lang w:eastAsia="zh-CN"/>
        </w:rPr>
        <w:t>）</w:t>
      </w:r>
      <w:r>
        <w:rPr>
          <w:rFonts w:hint="eastAsia" w:hAnsi="宋体" w:cs="Arial"/>
          <w:sz w:val="24"/>
          <w:szCs w:val="24"/>
        </w:rPr>
        <w:t>磋商邀请；</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2</w:t>
      </w:r>
      <w:r>
        <w:rPr>
          <w:rFonts w:hint="eastAsia" w:hAnsi="宋体" w:cs="Arial"/>
          <w:sz w:val="24"/>
          <w:szCs w:val="24"/>
          <w:lang w:eastAsia="zh-CN"/>
        </w:rPr>
        <w:t>）</w:t>
      </w:r>
      <w:r>
        <w:rPr>
          <w:rFonts w:hint="eastAsia" w:hAnsi="宋体" w:cs="Arial"/>
          <w:sz w:val="24"/>
          <w:szCs w:val="24"/>
        </w:rPr>
        <w:t>磋商供应商须知前附表；</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3</w:t>
      </w:r>
      <w:r>
        <w:rPr>
          <w:rFonts w:hint="eastAsia" w:hAnsi="宋体" w:cs="Arial"/>
          <w:sz w:val="24"/>
          <w:szCs w:val="24"/>
          <w:lang w:eastAsia="zh-CN"/>
        </w:rPr>
        <w:t>）</w:t>
      </w:r>
      <w:r>
        <w:rPr>
          <w:rFonts w:hint="eastAsia" w:hAnsi="宋体" w:cs="Arial"/>
          <w:sz w:val="24"/>
          <w:szCs w:val="24"/>
        </w:rPr>
        <w:t>磋商供应商须知；</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4</w:t>
      </w:r>
      <w:r>
        <w:rPr>
          <w:rFonts w:hint="eastAsia" w:hAnsi="宋体" w:cs="Arial"/>
          <w:sz w:val="24"/>
          <w:szCs w:val="24"/>
          <w:lang w:eastAsia="zh-CN"/>
        </w:rPr>
        <w:t>）</w:t>
      </w:r>
      <w:r>
        <w:rPr>
          <w:rFonts w:hint="eastAsia" w:hAnsi="宋体" w:cs="Arial"/>
          <w:sz w:val="24"/>
          <w:szCs w:val="24"/>
        </w:rPr>
        <w:t>青海省政府采购合同文本样式；</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5</w:t>
      </w:r>
      <w:r>
        <w:rPr>
          <w:rFonts w:hint="eastAsia" w:hAnsi="宋体" w:cs="Arial"/>
          <w:sz w:val="24"/>
          <w:szCs w:val="24"/>
          <w:lang w:eastAsia="zh-CN"/>
        </w:rPr>
        <w:t>）</w:t>
      </w:r>
      <w:r>
        <w:rPr>
          <w:rFonts w:hint="eastAsia" w:hAnsi="宋体" w:cs="Arial"/>
          <w:sz w:val="24"/>
          <w:szCs w:val="24"/>
        </w:rPr>
        <w:t>磋商响应文件格式；</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6</w:t>
      </w:r>
      <w:r>
        <w:rPr>
          <w:rFonts w:hint="eastAsia" w:hAnsi="宋体" w:cs="Arial"/>
          <w:sz w:val="24"/>
          <w:szCs w:val="24"/>
          <w:lang w:eastAsia="zh-CN"/>
        </w:rPr>
        <w:t>）</w:t>
      </w:r>
      <w:r>
        <w:rPr>
          <w:rFonts w:hint="eastAsia" w:hAnsi="宋体" w:cs="Arial"/>
          <w:sz w:val="24"/>
          <w:szCs w:val="24"/>
        </w:rPr>
        <w:t>采购项目要求及技术参数；</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7</w:t>
      </w:r>
      <w:r>
        <w:rPr>
          <w:rFonts w:hint="eastAsia" w:hAnsi="宋体" w:cs="Arial"/>
          <w:sz w:val="24"/>
          <w:szCs w:val="24"/>
          <w:lang w:eastAsia="zh-CN"/>
        </w:rPr>
        <w:t>）</w:t>
      </w:r>
      <w:r>
        <w:rPr>
          <w:rFonts w:hint="eastAsia" w:hAnsi="宋体" w:cs="Arial"/>
          <w:sz w:val="24"/>
          <w:szCs w:val="24"/>
        </w:rPr>
        <w:t>采购过程中发生的澄清、变更和补充文件；</w:t>
      </w:r>
    </w:p>
    <w:p>
      <w:pPr>
        <w:pStyle w:val="20"/>
        <w:numPr>
          <w:ilvl w:val="1"/>
          <w:numId w:val="5"/>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供应商应认真阅读磋商文件中列示的事项、格式、条款和要求等内容。如果磋商供应商未按磋商文件要求提交全部资料，或者对磋商文件未作出实质性响应的，根据相关法规要求，此类磋商将被拒绝（视为无效磋商）。</w:t>
      </w:r>
    </w:p>
    <w:p>
      <w:pPr>
        <w:pStyle w:val="10"/>
        <w:numPr>
          <w:ilvl w:val="0"/>
          <w:numId w:val="0"/>
        </w:numPr>
        <w:spacing w:before="0" w:after="0" w:line="360" w:lineRule="auto"/>
        <w:ind w:leftChars="0"/>
        <w:rPr>
          <w:rFonts w:ascii="宋体" w:hAnsi="宋体"/>
          <w:b w:val="0"/>
          <w:sz w:val="24"/>
          <w:szCs w:val="24"/>
        </w:rPr>
      </w:pPr>
      <w:bookmarkStart w:id="22" w:name="_Toc488673618"/>
      <w:bookmarkStart w:id="23" w:name="_Toc30738"/>
      <w:r>
        <w:rPr>
          <w:rFonts w:hint="eastAsia" w:ascii="宋体" w:hAnsi="宋体"/>
          <w:b w:val="0"/>
          <w:sz w:val="24"/>
          <w:szCs w:val="24"/>
          <w:lang w:val="en-US" w:eastAsia="zh-CN"/>
        </w:rPr>
        <w:t>5、</w:t>
      </w:r>
      <w:r>
        <w:rPr>
          <w:rFonts w:hint="eastAsia" w:ascii="宋体" w:hAnsi="宋体"/>
          <w:b w:val="0"/>
          <w:sz w:val="24"/>
          <w:szCs w:val="24"/>
        </w:rPr>
        <w:t>磋商文件、磋商活动和成交结果的质疑</w:t>
      </w:r>
      <w:bookmarkEnd w:id="22"/>
      <w:bookmarkEnd w:id="23"/>
    </w:p>
    <w:p>
      <w:pPr>
        <w:pStyle w:val="20"/>
        <w:numPr>
          <w:ilvl w:val="1"/>
          <w:numId w:val="6"/>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参加磋商的磋商供应商认为磋商文件、磋商活动和成交、成交结果使自己的权益受到损害的，可以在知道或者应知其权益受到损害之日起7个工作日内以书面形式（如信件、传真等）向采购单位或者采购代理机构提出质疑，不接受匿名质疑。潜在供应商已依法获取其可质疑的磋商文件的，可以对该文件提出质疑，对磋商文件提出质疑的，应当在获取磋商文件或者磋商文件公告期限届满之日起7个工作日内提出。供应商须在法定质疑期内一次性提出针对同一采购程序环节的质疑。采购人或采购代理机构在收到书面质疑函后7个工作日内作出答复。</w:t>
      </w:r>
    </w:p>
    <w:p>
      <w:pPr>
        <w:pStyle w:val="20"/>
        <w:numPr>
          <w:ilvl w:val="1"/>
          <w:numId w:val="6"/>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参与采购活动的</w:t>
      </w:r>
      <w:r>
        <w:rPr>
          <w:rFonts w:hint="eastAsia" w:hAnsi="宋体"/>
          <w:sz w:val="24"/>
          <w:szCs w:val="24"/>
          <w:lang w:eastAsia="zh-CN"/>
        </w:rPr>
        <w:t>供应商</w:t>
      </w:r>
      <w:r>
        <w:rPr>
          <w:rFonts w:hint="eastAsia" w:hAnsi="宋体"/>
          <w:sz w:val="24"/>
          <w:szCs w:val="24"/>
        </w:rPr>
        <w:t>对评审过程或者结果提出质疑的，采购人或采购代理机构可以组织原评审委员会协助处理质疑事项，并依据评审委员会出具的意见进行答复。质疑事项处理完成后，采购人或采购代理机构应按照规定填写《青海省政府采购</w:t>
      </w:r>
      <w:r>
        <w:rPr>
          <w:rFonts w:hint="eastAsia" w:hAnsi="宋体"/>
          <w:sz w:val="24"/>
          <w:szCs w:val="24"/>
          <w:lang w:eastAsia="zh-CN"/>
        </w:rPr>
        <w:t>供应商</w:t>
      </w:r>
      <w:r>
        <w:rPr>
          <w:rFonts w:hint="eastAsia" w:hAnsi="宋体"/>
          <w:sz w:val="24"/>
          <w:szCs w:val="24"/>
        </w:rPr>
        <w:t>质疑处理情况表》，并在15日内报同级政府采购监督管理部门备案。</w:t>
      </w:r>
    </w:p>
    <w:p>
      <w:pPr>
        <w:pStyle w:val="20"/>
        <w:numPr>
          <w:ilvl w:val="1"/>
          <w:numId w:val="6"/>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质疑时效期间的计算</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1</w:t>
      </w:r>
      <w:r>
        <w:rPr>
          <w:rFonts w:hint="eastAsia" w:hAnsi="宋体" w:cs="Arial"/>
          <w:sz w:val="24"/>
          <w:szCs w:val="24"/>
          <w:lang w:eastAsia="zh-CN"/>
        </w:rPr>
        <w:t>）</w:t>
      </w:r>
      <w:r>
        <w:rPr>
          <w:rFonts w:hint="eastAsia" w:hAnsi="宋体" w:cs="Arial"/>
          <w:sz w:val="24"/>
          <w:szCs w:val="24"/>
        </w:rPr>
        <w:t>对可以质疑的磋商文件提出质疑的，为收到磋商文件之日或磋商文件公告期限届满之日；</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2</w:t>
      </w:r>
      <w:r>
        <w:rPr>
          <w:rFonts w:hint="eastAsia" w:hAnsi="宋体" w:cs="Arial"/>
          <w:sz w:val="24"/>
          <w:szCs w:val="24"/>
          <w:lang w:eastAsia="zh-CN"/>
        </w:rPr>
        <w:t>）</w:t>
      </w:r>
      <w:r>
        <w:rPr>
          <w:rFonts w:hint="eastAsia" w:hAnsi="宋体" w:cs="Arial"/>
          <w:sz w:val="24"/>
          <w:szCs w:val="24"/>
        </w:rPr>
        <w:t>对磋商过程提出质疑的，为磋商程序各环节结束之日；</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3</w:t>
      </w:r>
      <w:r>
        <w:rPr>
          <w:rFonts w:hint="eastAsia" w:hAnsi="宋体" w:cs="Arial"/>
          <w:sz w:val="24"/>
          <w:szCs w:val="24"/>
          <w:lang w:eastAsia="zh-CN"/>
        </w:rPr>
        <w:t>）</w:t>
      </w:r>
      <w:r>
        <w:rPr>
          <w:rFonts w:hint="eastAsia" w:hAnsi="宋体" w:cs="Arial"/>
          <w:sz w:val="24"/>
          <w:szCs w:val="24"/>
        </w:rPr>
        <w:t>对成交结果提出质疑的，为成交公告期限届满之日。</w:t>
      </w:r>
    </w:p>
    <w:p>
      <w:pPr>
        <w:pStyle w:val="10"/>
        <w:numPr>
          <w:ilvl w:val="0"/>
          <w:numId w:val="0"/>
        </w:numPr>
        <w:spacing w:before="0" w:after="0" w:line="360" w:lineRule="auto"/>
        <w:ind w:leftChars="0"/>
        <w:rPr>
          <w:rFonts w:ascii="宋体" w:hAnsi="宋体"/>
          <w:b w:val="0"/>
          <w:sz w:val="24"/>
          <w:szCs w:val="24"/>
        </w:rPr>
      </w:pPr>
      <w:bookmarkStart w:id="24" w:name="_Toc488673619"/>
      <w:bookmarkStart w:id="25" w:name="_Toc16812"/>
      <w:r>
        <w:rPr>
          <w:rFonts w:hint="eastAsia" w:ascii="宋体" w:hAnsi="宋体"/>
          <w:b w:val="0"/>
          <w:sz w:val="24"/>
          <w:szCs w:val="24"/>
          <w:lang w:val="en-US" w:eastAsia="zh-CN"/>
        </w:rPr>
        <w:t>6、</w:t>
      </w:r>
      <w:r>
        <w:rPr>
          <w:rFonts w:hint="eastAsia" w:ascii="宋体" w:hAnsi="宋体"/>
          <w:b w:val="0"/>
          <w:sz w:val="24"/>
          <w:szCs w:val="24"/>
        </w:rPr>
        <w:t>磋商文件的修改</w:t>
      </w:r>
      <w:bookmarkEnd w:id="24"/>
      <w:bookmarkEnd w:id="25"/>
    </w:p>
    <w:p>
      <w:pPr>
        <w:pStyle w:val="20"/>
        <w:numPr>
          <w:ilvl w:val="1"/>
          <w:numId w:val="7"/>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在磋商截止期前，采购单位或采购代理机构可对磋商文件进行必要的修改或者澄清；</w:t>
      </w:r>
    </w:p>
    <w:p>
      <w:pPr>
        <w:pStyle w:val="20"/>
        <w:numPr>
          <w:ilvl w:val="1"/>
          <w:numId w:val="7"/>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采购代理机构对已发出的磋商文件进行必要的澄清或者修改的，澄清或者修改的内容可能影响磋商响应文件编制的，在磋商文件要求提交磋商响应文件截止时间</w:t>
      </w:r>
      <w:r>
        <w:rPr>
          <w:rFonts w:hAnsi="宋体"/>
          <w:sz w:val="24"/>
          <w:szCs w:val="24"/>
        </w:rPr>
        <w:t>5</w:t>
      </w:r>
      <w:r>
        <w:rPr>
          <w:rFonts w:hint="eastAsia" w:hAnsi="宋体"/>
          <w:sz w:val="24"/>
          <w:szCs w:val="24"/>
        </w:rPr>
        <w:t>日前，在青海政府采购网、青海省公共</w:t>
      </w:r>
      <w:r>
        <w:rPr>
          <w:rFonts w:hint="eastAsia" w:hAnsi="宋体"/>
          <w:sz w:val="24"/>
          <w:szCs w:val="24"/>
          <w:lang w:val="en-US" w:eastAsia="zh-CN"/>
        </w:rPr>
        <w:t>资源</w:t>
      </w:r>
      <w:r>
        <w:rPr>
          <w:rFonts w:hint="eastAsia" w:hAnsi="宋体"/>
          <w:sz w:val="24"/>
          <w:szCs w:val="24"/>
        </w:rPr>
        <w:t>服务平台等媒体上发布公告。不足</w:t>
      </w:r>
      <w:r>
        <w:rPr>
          <w:rFonts w:hAnsi="宋体"/>
          <w:sz w:val="24"/>
          <w:szCs w:val="24"/>
        </w:rPr>
        <w:t>5</w:t>
      </w:r>
      <w:r>
        <w:rPr>
          <w:rFonts w:hint="eastAsia" w:hAnsi="宋体"/>
          <w:sz w:val="24"/>
          <w:szCs w:val="24"/>
        </w:rPr>
        <w:t>日的，顺延提交磋商响应文件的截止时间。该澄清或者修改的内容为磋商文件的组成部分；</w:t>
      </w:r>
    </w:p>
    <w:p>
      <w:pPr>
        <w:pStyle w:val="20"/>
        <w:numPr>
          <w:ilvl w:val="1"/>
          <w:numId w:val="7"/>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在磋商截止时间前，采购单位或采购代理机构可以视采购具体情况，延长磋商截止时间和磋商时间，并在磋商文件要求提交磋商响应文件的截止时间3日前，将变更时间以书面形式通知所有购买了磋商文件的潜在磋商供应商，同时在发布本次磋商公告的网站发布变更公告。</w:t>
      </w:r>
    </w:p>
    <w:p>
      <w:pPr>
        <w:pStyle w:val="9"/>
        <w:numPr>
          <w:ilvl w:val="0"/>
          <w:numId w:val="8"/>
        </w:numPr>
        <w:ind w:left="709"/>
        <w:jc w:val="center"/>
        <w:rPr>
          <w:rFonts w:hint="eastAsia" w:hAnsi="宋体"/>
          <w:b/>
          <w:sz w:val="28"/>
          <w:szCs w:val="28"/>
        </w:rPr>
      </w:pPr>
      <w:bookmarkStart w:id="26" w:name="_Toc3534"/>
      <w:r>
        <w:rPr>
          <w:rFonts w:hint="eastAsia" w:hAnsi="宋体"/>
          <w:b/>
          <w:sz w:val="28"/>
          <w:szCs w:val="28"/>
        </w:rPr>
        <w:t>磋商响应文件的编写</w:t>
      </w:r>
      <w:bookmarkEnd w:id="26"/>
    </w:p>
    <w:p>
      <w:pPr>
        <w:numPr>
          <w:ilvl w:val="0"/>
          <w:numId w:val="0"/>
        </w:numPr>
      </w:pPr>
    </w:p>
    <w:p>
      <w:pPr>
        <w:pStyle w:val="10"/>
        <w:numPr>
          <w:ilvl w:val="0"/>
          <w:numId w:val="0"/>
        </w:numPr>
        <w:spacing w:before="0" w:after="0" w:line="360" w:lineRule="auto"/>
        <w:ind w:leftChars="0" w:firstLine="240" w:firstLineChars="100"/>
        <w:rPr>
          <w:rFonts w:ascii="宋体" w:hAnsi="宋体"/>
          <w:b w:val="0"/>
          <w:sz w:val="24"/>
          <w:szCs w:val="24"/>
        </w:rPr>
      </w:pPr>
      <w:bookmarkStart w:id="27" w:name="_Toc488673621"/>
      <w:bookmarkStart w:id="28" w:name="_Toc4876"/>
      <w:r>
        <w:rPr>
          <w:rFonts w:hint="eastAsia" w:ascii="宋体" w:hAnsi="宋体"/>
          <w:b w:val="0"/>
          <w:sz w:val="24"/>
          <w:szCs w:val="24"/>
          <w:lang w:val="en-US" w:eastAsia="zh-CN"/>
        </w:rPr>
        <w:t>7、</w:t>
      </w:r>
      <w:r>
        <w:rPr>
          <w:rFonts w:hint="eastAsia" w:ascii="宋体" w:hAnsi="宋体"/>
          <w:b w:val="0"/>
          <w:sz w:val="24"/>
          <w:szCs w:val="24"/>
        </w:rPr>
        <w:t>磋商响应文件的语言及度量衡单位</w:t>
      </w:r>
      <w:bookmarkEnd w:id="27"/>
      <w:bookmarkEnd w:id="28"/>
    </w:p>
    <w:p>
      <w:pPr>
        <w:pStyle w:val="20"/>
        <w:numPr>
          <w:ilvl w:val="1"/>
          <w:numId w:val="9"/>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磋商供应商提交的磋商响应文件以及磋商供应商与采购代理机构就此磋商发生的所有来往函电均应使用简体中文；</w:t>
      </w:r>
    </w:p>
    <w:p>
      <w:pPr>
        <w:pStyle w:val="20"/>
        <w:numPr>
          <w:ilvl w:val="1"/>
          <w:numId w:val="9"/>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除磋商文件中另有规定外，磋商文件所使用的度量衡单位，均须采用国家法定计量单位；</w:t>
      </w:r>
    </w:p>
    <w:p>
      <w:pPr>
        <w:pStyle w:val="20"/>
        <w:numPr>
          <w:ilvl w:val="1"/>
          <w:numId w:val="9"/>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附有外文资料的须翻译成中文，并加盖磋商供应商公章，如果翻译的中文资料与外文资</w:t>
      </w:r>
      <w:r>
        <w:rPr>
          <w:rFonts w:hint="eastAsia" w:hAnsi="宋体"/>
          <w:sz w:val="24"/>
          <w:szCs w:val="24"/>
          <w:lang w:val="en-US" w:eastAsia="zh-CN"/>
        </w:rPr>
        <w:t xml:space="preserve"> </w:t>
      </w:r>
      <w:r>
        <w:rPr>
          <w:rFonts w:hint="eastAsia" w:hAnsi="宋体"/>
          <w:sz w:val="24"/>
          <w:szCs w:val="24"/>
        </w:rPr>
        <w:t>料出现差异与矛盾时，以中文为准，其准确性由磋商供应商负责。</w:t>
      </w:r>
    </w:p>
    <w:p>
      <w:pPr>
        <w:pStyle w:val="10"/>
        <w:numPr>
          <w:ilvl w:val="0"/>
          <w:numId w:val="0"/>
        </w:numPr>
        <w:spacing w:before="0" w:after="0" w:line="360" w:lineRule="auto"/>
        <w:ind w:leftChars="0" w:firstLine="240" w:firstLineChars="100"/>
        <w:rPr>
          <w:rFonts w:ascii="宋体" w:hAnsi="宋体"/>
          <w:b w:val="0"/>
          <w:sz w:val="24"/>
          <w:szCs w:val="24"/>
        </w:rPr>
      </w:pPr>
      <w:bookmarkStart w:id="29" w:name="_Toc22804"/>
      <w:bookmarkStart w:id="30" w:name="_Toc488673622"/>
      <w:r>
        <w:rPr>
          <w:rFonts w:hint="eastAsia" w:ascii="宋体" w:hAnsi="宋体"/>
          <w:b w:val="0"/>
          <w:sz w:val="24"/>
          <w:szCs w:val="24"/>
          <w:lang w:val="en-US" w:eastAsia="zh-CN"/>
        </w:rPr>
        <w:t>8、</w:t>
      </w:r>
      <w:r>
        <w:rPr>
          <w:rFonts w:hint="eastAsia" w:ascii="宋体" w:hAnsi="宋体"/>
          <w:b w:val="0"/>
          <w:sz w:val="24"/>
          <w:szCs w:val="24"/>
        </w:rPr>
        <w:t>磋商报价及币种</w:t>
      </w:r>
      <w:bookmarkEnd w:id="29"/>
      <w:bookmarkEnd w:id="30"/>
    </w:p>
    <w:p>
      <w:pPr>
        <w:pStyle w:val="20"/>
        <w:numPr>
          <w:ilvl w:val="1"/>
          <w:numId w:val="10"/>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磋商报价为磋商总价。磋商报价必须包括：</w:t>
      </w:r>
      <w:bookmarkStart w:id="31" w:name="_Hlk497466989"/>
      <w:r>
        <w:rPr>
          <w:rFonts w:hint="eastAsia" w:hAnsi="宋体"/>
          <w:sz w:val="24"/>
          <w:szCs w:val="24"/>
          <w:lang w:eastAsia="zh-CN"/>
        </w:rPr>
        <w:t>产品费、验收费、手续费、包装费、运输费、保险费、安装费、调试费、培训费、售前、售中、售后服务费、成交服务费及不可预见费等全部费用。</w:t>
      </w:r>
      <w:r>
        <w:rPr>
          <w:rFonts w:hint="eastAsia" w:hAnsi="宋体"/>
          <w:sz w:val="24"/>
          <w:szCs w:val="24"/>
        </w:rPr>
        <w:t>（说明：具体内容应根据项目特点实事求是的填写）</w:t>
      </w:r>
      <w:bookmarkEnd w:id="31"/>
    </w:p>
    <w:p>
      <w:pPr>
        <w:pStyle w:val="20"/>
        <w:numPr>
          <w:ilvl w:val="1"/>
          <w:numId w:val="10"/>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磋商报价应注明有效期，有效期应与磋商有效期一致；</w:t>
      </w:r>
    </w:p>
    <w:p>
      <w:pPr>
        <w:pStyle w:val="20"/>
        <w:numPr>
          <w:ilvl w:val="1"/>
          <w:numId w:val="10"/>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磋商供应商应根据磋商文件规定的格式完整填写所有内容，并保证所提供的全部资料真实可靠，自愿承担相应责任；</w:t>
      </w:r>
    </w:p>
    <w:p>
      <w:pPr>
        <w:pStyle w:val="20"/>
        <w:numPr>
          <w:ilvl w:val="1"/>
          <w:numId w:val="10"/>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磋商报价为闭口价，即成交后在合同有效期内价格不变；</w:t>
      </w:r>
    </w:p>
    <w:p>
      <w:pPr>
        <w:pStyle w:val="20"/>
        <w:numPr>
          <w:ilvl w:val="1"/>
          <w:numId w:val="10"/>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磋商币种为人民币。</w:t>
      </w:r>
    </w:p>
    <w:p>
      <w:pPr>
        <w:pStyle w:val="10"/>
        <w:numPr>
          <w:ilvl w:val="0"/>
          <w:numId w:val="0"/>
        </w:numPr>
        <w:spacing w:before="0" w:after="0" w:line="360" w:lineRule="auto"/>
        <w:ind w:leftChars="0"/>
        <w:rPr>
          <w:rFonts w:ascii="宋体" w:hAnsi="宋体"/>
          <w:b w:val="0"/>
          <w:sz w:val="24"/>
          <w:szCs w:val="24"/>
        </w:rPr>
      </w:pPr>
      <w:bookmarkStart w:id="32" w:name="_Toc488673623"/>
      <w:bookmarkStart w:id="33" w:name="_Toc3495"/>
      <w:r>
        <w:rPr>
          <w:rFonts w:hint="eastAsia" w:ascii="宋体" w:hAnsi="宋体"/>
          <w:b w:val="0"/>
          <w:sz w:val="24"/>
          <w:szCs w:val="24"/>
          <w:lang w:val="en-US" w:eastAsia="zh-CN"/>
        </w:rPr>
        <w:t>9、</w:t>
      </w:r>
      <w:r>
        <w:rPr>
          <w:rFonts w:hint="eastAsia" w:ascii="宋体" w:hAnsi="宋体"/>
          <w:b w:val="0"/>
          <w:sz w:val="24"/>
          <w:szCs w:val="24"/>
        </w:rPr>
        <w:t>磋商保证金</w:t>
      </w:r>
      <w:bookmarkEnd w:id="32"/>
      <w:bookmarkEnd w:id="33"/>
    </w:p>
    <w:p>
      <w:pPr>
        <w:pStyle w:val="20"/>
        <w:numPr>
          <w:ilvl w:val="1"/>
          <w:numId w:val="11"/>
        </w:numPr>
        <w:spacing w:line="360" w:lineRule="auto"/>
        <w:rPr>
          <w:rFonts w:hAnsi="宋体"/>
          <w:sz w:val="24"/>
          <w:szCs w:val="24"/>
        </w:rPr>
      </w:pPr>
      <w:r>
        <w:rPr>
          <w:rFonts w:hint="eastAsia" w:hAnsi="宋体"/>
          <w:sz w:val="24"/>
          <w:szCs w:val="24"/>
        </w:rPr>
        <w:t>磋商供应商应将磋商保证金缴纳证明作为磋商响应文件的内容一并提供。缴纳的磋商保证金用于因磋商供应商的行为使本次磋商活动受到损失的抵项；</w:t>
      </w:r>
    </w:p>
    <w:p>
      <w:pPr>
        <w:pStyle w:val="20"/>
        <w:numPr>
          <w:ilvl w:val="1"/>
          <w:numId w:val="11"/>
        </w:numPr>
        <w:spacing w:line="360" w:lineRule="auto"/>
        <w:rPr>
          <w:rFonts w:hAnsi="宋体"/>
          <w:sz w:val="24"/>
          <w:szCs w:val="24"/>
        </w:rPr>
      </w:pPr>
      <w:r>
        <w:rPr>
          <w:rFonts w:hint="eastAsia" w:hAnsi="宋体"/>
          <w:sz w:val="24"/>
          <w:szCs w:val="24"/>
          <w:lang w:eastAsia="zh-CN"/>
        </w:rPr>
        <w:t>供应商</w:t>
      </w:r>
      <w:r>
        <w:rPr>
          <w:rFonts w:hint="eastAsia" w:hAnsi="宋体"/>
          <w:sz w:val="24"/>
          <w:szCs w:val="24"/>
        </w:rPr>
        <w:t>须在投标截止期前按以下要求交纳投标保证金：</w:t>
      </w:r>
    </w:p>
    <w:p>
      <w:pPr>
        <w:pStyle w:val="143"/>
        <w:spacing w:before="117"/>
        <w:ind w:left="55"/>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bookmarkStart w:id="34" w:name="_Toc421873480"/>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磋商保证金：</w:t>
      </w:r>
      <w:r>
        <w:rPr>
          <w:rFonts w:hint="eastAsia" w:cs="Times New Roman"/>
          <w:color w:val="000000" w:themeColor="text1"/>
          <w:kern w:val="0"/>
          <w:sz w:val="24"/>
          <w:szCs w:val="24"/>
          <w:lang w:val="en-US" w:eastAsia="zh-CN" w:bidi="ar-SA"/>
          <w14:textFill>
            <w14:solidFill>
              <w14:schemeClr w14:val="tx1"/>
            </w14:solidFill>
          </w14:textFill>
        </w:rPr>
        <w:t>包1：</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（大写）壹万</w:t>
      </w:r>
      <w:r>
        <w:rPr>
          <w:rFonts w:hint="eastAsia" w:cs="Times New Roman"/>
          <w:color w:val="000000" w:themeColor="text1"/>
          <w:kern w:val="0"/>
          <w:sz w:val="24"/>
          <w:szCs w:val="24"/>
          <w:lang w:val="en-US" w:eastAsia="zh-CN" w:bidi="ar-SA"/>
          <w14:textFill>
            <w14:solidFill>
              <w14:schemeClr w14:val="tx1"/>
            </w14:solidFill>
          </w14:textFill>
        </w:rPr>
        <w:t>壹仟元</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整</w:t>
      </w:r>
    </w:p>
    <w:p>
      <w:pPr>
        <w:pStyle w:val="143"/>
        <w:spacing w:before="117"/>
        <w:ind w:firstLine="2160" w:firstLineChars="9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（小写）1</w:t>
      </w:r>
      <w:r>
        <w:rPr>
          <w:rFonts w:hint="eastAsia" w:cs="Times New Roman"/>
          <w:color w:val="000000" w:themeColor="text1"/>
          <w:kern w:val="0"/>
          <w:sz w:val="24"/>
          <w:szCs w:val="24"/>
          <w:lang w:val="en-US" w:eastAsia="zh-CN" w:bidi="ar-SA"/>
          <w14:textFill>
            <w14:solidFill>
              <w14:schemeClr w14:val="tx1"/>
            </w14:solidFill>
          </w14:textFill>
        </w:rPr>
        <w:t>1</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000.00元</w:t>
      </w:r>
    </w:p>
    <w:p>
      <w:pPr>
        <w:pStyle w:val="143"/>
        <w:spacing w:before="117"/>
        <w:ind w:left="55" w:firstLine="1440" w:firstLineChars="600"/>
        <w:rPr>
          <w:rFonts w:hint="eastAsia" w:cs="Times New Roman"/>
          <w:color w:val="000000" w:themeColor="text1"/>
          <w:kern w:val="0"/>
          <w:sz w:val="24"/>
          <w:szCs w:val="24"/>
          <w:lang w:val="en-US" w:eastAsia="zh-CN" w:bidi="ar-SA"/>
          <w14:textFill>
            <w14:solidFill>
              <w14:schemeClr w14:val="tx1"/>
            </w14:solidFill>
          </w14:textFill>
        </w:rPr>
      </w:pPr>
    </w:p>
    <w:p>
      <w:pPr>
        <w:pStyle w:val="143"/>
        <w:spacing w:before="117"/>
        <w:ind w:left="55" w:firstLine="1440" w:firstLineChars="6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包2：</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（大写）</w:t>
      </w:r>
      <w:r>
        <w:rPr>
          <w:rFonts w:hint="eastAsia" w:cs="Times New Roman"/>
          <w:color w:val="000000" w:themeColor="text1"/>
          <w:kern w:val="0"/>
          <w:sz w:val="24"/>
          <w:szCs w:val="24"/>
          <w:lang w:val="en-US" w:eastAsia="zh-CN" w:bidi="ar-SA"/>
          <w14:textFill>
            <w14:solidFill>
              <w14:schemeClr w14:val="tx1"/>
            </w14:solidFill>
          </w14:textFill>
        </w:rPr>
        <w:t>柒仟伍佰元</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整</w:t>
      </w:r>
    </w:p>
    <w:p>
      <w:pPr>
        <w:pStyle w:val="143"/>
        <w:ind w:firstLine="2160" w:firstLineChars="9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（小写）</w:t>
      </w:r>
      <w:r>
        <w:rPr>
          <w:rFonts w:hint="eastAsia" w:cs="Times New Roman"/>
          <w:color w:val="000000" w:themeColor="text1"/>
          <w:kern w:val="0"/>
          <w:sz w:val="24"/>
          <w:szCs w:val="24"/>
          <w:lang w:val="en-US" w:eastAsia="zh-CN" w:bidi="ar-SA"/>
          <w14:textFill>
            <w14:solidFill>
              <w14:schemeClr w14:val="tx1"/>
            </w14:solidFill>
          </w14:textFill>
        </w:rPr>
        <w:t>750</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0.00元</w:t>
      </w:r>
    </w:p>
    <w:p>
      <w:pPr>
        <w:pStyle w:val="143"/>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p>
    <w:p>
      <w:pPr>
        <w:pStyle w:val="143"/>
        <w:ind w:left="55" w:firstLine="240" w:firstLineChars="100"/>
        <w:rPr>
          <w:rFonts w:hint="default"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收款单位：河南省建科建设监理有限公司青海分公司</w:t>
      </w:r>
    </w:p>
    <w:p>
      <w:pPr>
        <w:pStyle w:val="143"/>
        <w:spacing w:before="3"/>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p>
    <w:p>
      <w:pPr>
        <w:pStyle w:val="143"/>
        <w:spacing w:line="458" w:lineRule="auto"/>
        <w:ind w:left="55" w:right="1881" w:rightChars="0" w:firstLine="240" w:firstLineChars="1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开 户 行：招商银行股份有限公司西宁城西支行</w:t>
      </w:r>
    </w:p>
    <w:p>
      <w:pPr>
        <w:pStyle w:val="143"/>
        <w:spacing w:line="458" w:lineRule="auto"/>
        <w:ind w:left="55" w:right="2423" w:firstLine="240" w:firstLineChars="1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银行账号：</w:t>
      </w:r>
      <w:r>
        <w:rPr>
          <w:rFonts w:hint="eastAsia" w:ascii="宋体" w:hAnsi="宋体" w:eastAsia="宋体" w:cs="Times New Roman"/>
          <w:color w:val="000000" w:themeColor="text1"/>
          <w:kern w:val="0"/>
          <w:sz w:val="24"/>
          <w:szCs w:val="24"/>
          <w:lang w:val="zh-CN" w:eastAsia="zh-CN" w:bidi="ar-SA"/>
          <w14:textFill>
            <w14:solidFill>
              <w14:schemeClr w14:val="tx1"/>
            </w14:solidFill>
          </w14:textFill>
        </w:rPr>
        <w:t>972900652710202</w:t>
      </w:r>
    </w:p>
    <w:p>
      <w:pPr>
        <w:pStyle w:val="55"/>
        <w:spacing w:line="240" w:lineRule="auto"/>
        <w:ind w:firstLine="240" w:firstLineChars="100"/>
        <w:rPr>
          <w:rFonts w:hint="eastAsia"/>
          <w:lang w:val="en-US" w:eastAsia="zh-CN"/>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缴费时间：供应商在投标截止时间前，以银行到账时间为准。注：转账时请备注项目名称或项目编号；</w:t>
      </w:r>
    </w:p>
    <w:bookmarkEnd w:id="34"/>
    <w:p>
      <w:pPr>
        <w:pStyle w:val="20"/>
        <w:numPr>
          <w:ilvl w:val="1"/>
          <w:numId w:val="11"/>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磋商供应商应在磋商截止时间前将磋商保证金缴纳到采购代理机构账户，以银行到账时间为准；</w:t>
      </w:r>
    </w:p>
    <w:p>
      <w:pPr>
        <w:pStyle w:val="20"/>
        <w:numPr>
          <w:ilvl w:val="1"/>
          <w:numId w:val="11"/>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磋商保证金应当以电汇、支票、汇票、本票或者金融机构、担保机构出具的保函等非现金形式提交，通过银行转账的，必须从磋商供应商基本账户直接汇（转）入采购代理机构指定账户；</w:t>
      </w:r>
    </w:p>
    <w:p>
      <w:pPr>
        <w:pStyle w:val="20"/>
        <w:numPr>
          <w:ilvl w:val="1"/>
          <w:numId w:val="11"/>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未按磋商文件要求在规定时间前交纳规定数额磋商保证金的磋商将被拒绝；</w:t>
      </w:r>
    </w:p>
    <w:p>
      <w:pPr>
        <w:pStyle w:val="20"/>
        <w:numPr>
          <w:ilvl w:val="1"/>
          <w:numId w:val="11"/>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未成交磋商供应商的磋商保证金自成交通知书发出之日起5个工作日内全额无息退还（不退现金）；成交磋商供应商的磋商保证金，自政府采购合同签订之日起5个工作日内全额无息退还（不退现金）；</w:t>
      </w:r>
    </w:p>
    <w:p>
      <w:pPr>
        <w:pStyle w:val="20"/>
        <w:numPr>
          <w:ilvl w:val="1"/>
          <w:numId w:val="11"/>
        </w:numPr>
        <w:spacing w:line="360" w:lineRule="auto"/>
        <w:rPr>
          <w:rFonts w:hAnsi="宋体"/>
          <w:sz w:val="24"/>
          <w:szCs w:val="24"/>
        </w:rPr>
      </w:pPr>
      <w:r>
        <w:rPr>
          <w:rFonts w:hint="eastAsia" w:hAnsi="宋体"/>
          <w:sz w:val="24"/>
          <w:szCs w:val="24"/>
          <w:lang w:val="en-US" w:eastAsia="zh-CN"/>
        </w:rPr>
        <w:t xml:space="preserve"> </w:t>
      </w:r>
      <w:r>
        <w:rPr>
          <w:rFonts w:hint="eastAsia" w:hAnsi="宋体"/>
          <w:sz w:val="24"/>
          <w:szCs w:val="24"/>
        </w:rPr>
        <w:t>下列任何情况发生时，磋商保证金将不予退还：</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1</w:t>
      </w:r>
      <w:r>
        <w:rPr>
          <w:rFonts w:hint="eastAsia" w:hAnsi="宋体" w:cs="Arial"/>
          <w:sz w:val="24"/>
          <w:szCs w:val="24"/>
          <w:lang w:eastAsia="zh-CN"/>
        </w:rPr>
        <w:t>）</w:t>
      </w:r>
      <w:r>
        <w:rPr>
          <w:rFonts w:hint="eastAsia" w:hAnsi="宋体" w:cs="Arial"/>
          <w:sz w:val="24"/>
          <w:szCs w:val="24"/>
        </w:rPr>
        <w:t>磋商供应商在递交磋商响应文件的截止时间前未到达现场并且没有以书面形式如信函、传真等告知采购代理机构要撤其磋商的；</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2</w:t>
      </w:r>
      <w:r>
        <w:rPr>
          <w:rFonts w:hint="eastAsia" w:hAnsi="宋体" w:cs="Arial"/>
          <w:sz w:val="24"/>
          <w:szCs w:val="24"/>
          <w:lang w:eastAsia="zh-CN"/>
        </w:rPr>
        <w:t>）</w:t>
      </w:r>
      <w:r>
        <w:rPr>
          <w:rFonts w:hint="eastAsia" w:hAnsi="宋体" w:cs="Arial"/>
          <w:sz w:val="24"/>
          <w:szCs w:val="24"/>
        </w:rPr>
        <w:t>成交磋商供应商在规定期限内未能按规定签订合同或未按规定缴纳成交服务费；</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3</w:t>
      </w:r>
      <w:r>
        <w:rPr>
          <w:rFonts w:hint="eastAsia" w:hAnsi="宋体" w:cs="Arial"/>
          <w:sz w:val="24"/>
          <w:szCs w:val="24"/>
          <w:lang w:eastAsia="zh-CN"/>
        </w:rPr>
        <w:t>）</w:t>
      </w:r>
      <w:r>
        <w:rPr>
          <w:rFonts w:hint="eastAsia" w:hAnsi="宋体" w:cs="Arial"/>
          <w:sz w:val="24"/>
          <w:szCs w:val="24"/>
        </w:rPr>
        <w:t>提供虚假材料谋取成交的；</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4</w:t>
      </w:r>
      <w:r>
        <w:rPr>
          <w:rFonts w:hint="eastAsia" w:hAnsi="宋体" w:cs="Arial"/>
          <w:sz w:val="24"/>
          <w:szCs w:val="24"/>
          <w:lang w:eastAsia="zh-CN"/>
        </w:rPr>
        <w:t>）</w:t>
      </w:r>
      <w:r>
        <w:rPr>
          <w:rFonts w:hint="eastAsia" w:hAnsi="宋体" w:cs="Arial"/>
          <w:sz w:val="24"/>
          <w:szCs w:val="24"/>
        </w:rPr>
        <w:t>将成交项目转让给他人，或者在磋商响应文件中未说明，将成交项目分包给他人的；</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5</w:t>
      </w:r>
      <w:r>
        <w:rPr>
          <w:rFonts w:hint="eastAsia" w:hAnsi="宋体" w:cs="Arial"/>
          <w:sz w:val="24"/>
          <w:szCs w:val="24"/>
          <w:lang w:eastAsia="zh-CN"/>
        </w:rPr>
        <w:t>）</w:t>
      </w:r>
      <w:r>
        <w:rPr>
          <w:rFonts w:hint="eastAsia" w:hAnsi="宋体" w:cs="Arial"/>
          <w:sz w:val="24"/>
          <w:szCs w:val="24"/>
        </w:rPr>
        <w:t>拒绝履行合同义务的；</w:t>
      </w:r>
    </w:p>
    <w:p>
      <w:pPr>
        <w:pStyle w:val="20"/>
        <w:numPr>
          <w:ilvl w:val="0"/>
          <w:numId w:val="0"/>
        </w:numPr>
        <w:spacing w:line="360" w:lineRule="auto"/>
        <w:ind w:left="425" w:leftChars="0"/>
        <w:rPr>
          <w:rFonts w:hAnsi="宋体" w:cs="Arial"/>
          <w:sz w:val="24"/>
          <w:szCs w:val="24"/>
        </w:rPr>
      </w:pPr>
      <w:r>
        <w:rPr>
          <w:rFonts w:hint="eastAsia" w:hAnsi="宋体" w:cs="Arial"/>
          <w:sz w:val="24"/>
          <w:szCs w:val="24"/>
          <w:lang w:eastAsia="zh-CN"/>
        </w:rPr>
        <w:t>（</w:t>
      </w:r>
      <w:r>
        <w:rPr>
          <w:rFonts w:hint="eastAsia" w:hAnsi="宋体" w:cs="Arial"/>
          <w:sz w:val="24"/>
          <w:szCs w:val="24"/>
          <w:lang w:val="en-US" w:eastAsia="zh-CN"/>
        </w:rPr>
        <w:t>6</w:t>
      </w:r>
      <w:r>
        <w:rPr>
          <w:rFonts w:hint="eastAsia" w:hAnsi="宋体" w:cs="Arial"/>
          <w:sz w:val="24"/>
          <w:szCs w:val="24"/>
          <w:lang w:eastAsia="zh-CN"/>
        </w:rPr>
        <w:t>）</w:t>
      </w:r>
      <w:r>
        <w:rPr>
          <w:rFonts w:hint="eastAsia" w:hAnsi="宋体" w:cs="Arial"/>
          <w:sz w:val="24"/>
          <w:szCs w:val="24"/>
        </w:rPr>
        <w:t>法律、法规规定的其他情形。</w:t>
      </w:r>
    </w:p>
    <w:p>
      <w:pPr>
        <w:pStyle w:val="10"/>
        <w:numPr>
          <w:ilvl w:val="0"/>
          <w:numId w:val="0"/>
        </w:numPr>
        <w:spacing w:before="0" w:after="0" w:line="360" w:lineRule="auto"/>
        <w:ind w:leftChars="0"/>
        <w:rPr>
          <w:rFonts w:ascii="宋体" w:hAnsi="宋体"/>
          <w:b w:val="0"/>
          <w:sz w:val="24"/>
          <w:szCs w:val="24"/>
        </w:rPr>
      </w:pPr>
      <w:bookmarkStart w:id="35" w:name="_Toc488673624"/>
      <w:bookmarkStart w:id="36" w:name="_Toc11189"/>
      <w:r>
        <w:rPr>
          <w:rFonts w:hint="eastAsia" w:ascii="宋体" w:hAnsi="宋体"/>
          <w:b w:val="0"/>
          <w:sz w:val="24"/>
          <w:szCs w:val="24"/>
          <w:lang w:val="en-US" w:eastAsia="zh-CN"/>
        </w:rPr>
        <w:t>10、</w:t>
      </w:r>
      <w:r>
        <w:rPr>
          <w:rFonts w:ascii="宋体" w:hAnsi="宋体"/>
          <w:b w:val="0"/>
          <w:sz w:val="24"/>
          <w:szCs w:val="24"/>
        </w:rPr>
        <w:t>磋商有效期</w:t>
      </w:r>
      <w:bookmarkEnd w:id="35"/>
      <w:bookmarkEnd w:id="36"/>
    </w:p>
    <w:p>
      <w:pPr>
        <w:ind w:firstLine="480" w:firstLineChars="200"/>
        <w:rPr>
          <w:rFonts w:hAnsi="宋体"/>
          <w:b/>
          <w:sz w:val="24"/>
          <w:szCs w:val="24"/>
        </w:rPr>
      </w:pPr>
      <w:r>
        <w:rPr>
          <w:rFonts w:hint="eastAsia" w:hAnsi="宋体" w:eastAsia="宋体" w:cs="Arial"/>
          <w:sz w:val="24"/>
          <w:szCs w:val="24"/>
          <w:lang w:val="zh-CN"/>
        </w:rPr>
        <w:t>磋商有效期：本次磋商有效期为磋商之日起60个工作日</w:t>
      </w:r>
      <w:r>
        <w:rPr>
          <w:rFonts w:hint="eastAsia" w:hAnsi="宋体" w:cs="Arial"/>
          <w:sz w:val="24"/>
          <w:szCs w:val="24"/>
        </w:rPr>
        <w:t>。</w:t>
      </w:r>
    </w:p>
    <w:p>
      <w:pPr>
        <w:pStyle w:val="10"/>
        <w:numPr>
          <w:ilvl w:val="0"/>
          <w:numId w:val="0"/>
        </w:numPr>
        <w:spacing w:before="0" w:after="0" w:line="360" w:lineRule="auto"/>
        <w:ind w:leftChars="0"/>
        <w:rPr>
          <w:rFonts w:ascii="宋体" w:hAnsi="宋体"/>
          <w:b w:val="0"/>
          <w:sz w:val="24"/>
          <w:szCs w:val="24"/>
        </w:rPr>
      </w:pPr>
      <w:bookmarkStart w:id="37" w:name="_Toc488673625"/>
      <w:bookmarkStart w:id="38" w:name="_Toc32195"/>
      <w:r>
        <w:rPr>
          <w:rFonts w:hint="eastAsia" w:ascii="宋体" w:hAnsi="宋体"/>
          <w:b w:val="0"/>
          <w:sz w:val="24"/>
          <w:szCs w:val="24"/>
          <w:lang w:val="en-US" w:eastAsia="zh-CN"/>
        </w:rPr>
        <w:t>11、</w:t>
      </w:r>
      <w:r>
        <w:rPr>
          <w:rFonts w:hint="eastAsia" w:ascii="宋体" w:hAnsi="宋体"/>
          <w:b w:val="0"/>
          <w:sz w:val="24"/>
          <w:szCs w:val="24"/>
        </w:rPr>
        <w:t>磋商响应文件的构成</w:t>
      </w:r>
      <w:bookmarkEnd w:id="37"/>
      <w:bookmarkEnd w:id="38"/>
    </w:p>
    <w:p>
      <w:pPr>
        <w:pStyle w:val="20"/>
        <w:spacing w:line="360" w:lineRule="auto"/>
        <w:ind w:firstLine="600" w:firstLineChars="250"/>
        <w:rPr>
          <w:rFonts w:hAnsi="宋体"/>
          <w:sz w:val="24"/>
          <w:szCs w:val="24"/>
        </w:rPr>
      </w:pPr>
      <w:r>
        <w:rPr>
          <w:rFonts w:hint="eastAsia" w:hAnsi="宋体"/>
          <w:sz w:val="24"/>
          <w:szCs w:val="24"/>
        </w:rPr>
        <w:t>磋商供应商应提交相关证明材料，作为其参加磋商和成交后有能力履行合同的证明。编写的磋商响应文件须包括以下内容（格式见磋商文件“第五部分 磋商响应文件格式”）：</w:t>
      </w:r>
    </w:p>
    <w:p>
      <w:pPr>
        <w:autoSpaceDE w:val="0"/>
        <w:autoSpaceDN w:val="0"/>
        <w:spacing w:line="360" w:lineRule="auto"/>
        <w:ind w:left="426"/>
        <w:rPr>
          <w:rFonts w:ascii="宋体" w:hAnsi="宋体"/>
          <w:kern w:val="0"/>
          <w:sz w:val="24"/>
          <w:lang w:val="zh-CN"/>
        </w:rPr>
      </w:pPr>
      <w:r>
        <w:rPr>
          <w:rFonts w:hint="eastAsia" w:ascii="宋体" w:hAnsi="宋体"/>
          <w:kern w:val="0"/>
          <w:sz w:val="24"/>
          <w:lang w:val="zh-CN"/>
        </w:rPr>
        <w:t>11.1 磋商响应</w:t>
      </w:r>
      <w:r>
        <w:rPr>
          <w:rFonts w:ascii="宋体" w:hAnsi="宋体"/>
          <w:kern w:val="0"/>
          <w:sz w:val="24"/>
          <w:lang w:val="zh-CN"/>
        </w:rPr>
        <w:t>文件</w:t>
      </w:r>
    </w:p>
    <w:p>
      <w:pPr>
        <w:pStyle w:val="20"/>
        <w:numPr>
          <w:ilvl w:val="0"/>
          <w:numId w:val="12"/>
        </w:numPr>
        <w:spacing w:line="360" w:lineRule="auto"/>
        <w:rPr>
          <w:rFonts w:hAnsi="宋体" w:cs="Arial"/>
          <w:sz w:val="24"/>
          <w:szCs w:val="24"/>
        </w:rPr>
      </w:pPr>
      <w:r>
        <w:rPr>
          <w:rFonts w:hint="eastAsia" w:hAnsi="宋体" w:cs="Arial"/>
          <w:sz w:val="24"/>
          <w:szCs w:val="24"/>
        </w:rPr>
        <w:t>磋商函；</w:t>
      </w:r>
    </w:p>
    <w:p>
      <w:pPr>
        <w:pStyle w:val="20"/>
        <w:numPr>
          <w:ilvl w:val="0"/>
          <w:numId w:val="12"/>
        </w:numPr>
        <w:spacing w:line="360" w:lineRule="auto"/>
        <w:rPr>
          <w:rFonts w:hAnsi="宋体" w:cs="Arial"/>
          <w:sz w:val="24"/>
          <w:szCs w:val="24"/>
        </w:rPr>
      </w:pPr>
      <w:r>
        <w:rPr>
          <w:rFonts w:hint="eastAsia" w:hAnsi="宋体" w:cs="Arial"/>
          <w:sz w:val="24"/>
          <w:szCs w:val="24"/>
        </w:rPr>
        <w:t>法定代表人证明书；</w:t>
      </w:r>
    </w:p>
    <w:p>
      <w:pPr>
        <w:pStyle w:val="20"/>
        <w:numPr>
          <w:ilvl w:val="0"/>
          <w:numId w:val="12"/>
        </w:numPr>
        <w:spacing w:line="360" w:lineRule="auto"/>
        <w:rPr>
          <w:rFonts w:hAnsi="宋体" w:cs="Arial"/>
          <w:sz w:val="24"/>
          <w:szCs w:val="24"/>
        </w:rPr>
      </w:pPr>
      <w:r>
        <w:rPr>
          <w:rFonts w:hint="eastAsia" w:hAnsi="宋体" w:cs="Arial"/>
          <w:sz w:val="24"/>
          <w:szCs w:val="24"/>
        </w:rPr>
        <w:t>法定代表人授权书；</w:t>
      </w:r>
    </w:p>
    <w:p>
      <w:pPr>
        <w:pStyle w:val="20"/>
        <w:numPr>
          <w:ilvl w:val="0"/>
          <w:numId w:val="12"/>
        </w:numPr>
        <w:spacing w:line="360" w:lineRule="auto"/>
        <w:rPr>
          <w:rFonts w:hAnsi="宋体" w:cs="Arial"/>
          <w:sz w:val="24"/>
          <w:szCs w:val="24"/>
        </w:rPr>
      </w:pPr>
      <w:r>
        <w:rPr>
          <w:rFonts w:hint="eastAsia" w:hAnsi="宋体" w:cs="Arial"/>
          <w:sz w:val="24"/>
          <w:szCs w:val="24"/>
        </w:rPr>
        <w:t>磋商供应商承诺书；</w:t>
      </w:r>
    </w:p>
    <w:p>
      <w:pPr>
        <w:pStyle w:val="20"/>
        <w:numPr>
          <w:ilvl w:val="0"/>
          <w:numId w:val="12"/>
        </w:numPr>
        <w:spacing w:line="360" w:lineRule="auto"/>
        <w:rPr>
          <w:rFonts w:hAnsi="宋体" w:cs="Arial"/>
          <w:sz w:val="24"/>
          <w:szCs w:val="24"/>
        </w:rPr>
      </w:pPr>
      <w:r>
        <w:rPr>
          <w:rFonts w:hint="eastAsia" w:hAnsi="宋体" w:cs="Arial"/>
          <w:sz w:val="24"/>
          <w:szCs w:val="24"/>
        </w:rPr>
        <w:t>供应商诚信承诺书；</w:t>
      </w:r>
    </w:p>
    <w:p>
      <w:pPr>
        <w:pStyle w:val="20"/>
        <w:numPr>
          <w:ilvl w:val="0"/>
          <w:numId w:val="12"/>
        </w:numPr>
        <w:spacing w:line="360" w:lineRule="auto"/>
        <w:rPr>
          <w:rFonts w:hAnsi="宋体" w:cs="Arial"/>
          <w:sz w:val="24"/>
          <w:szCs w:val="24"/>
        </w:rPr>
      </w:pPr>
      <w:r>
        <w:rPr>
          <w:rFonts w:hint="eastAsia" w:hAnsi="宋体" w:cs="Arial"/>
          <w:sz w:val="24"/>
          <w:szCs w:val="24"/>
        </w:rPr>
        <w:t>资格证明材料；</w:t>
      </w:r>
    </w:p>
    <w:p>
      <w:pPr>
        <w:pStyle w:val="20"/>
        <w:numPr>
          <w:ilvl w:val="0"/>
          <w:numId w:val="12"/>
        </w:numPr>
        <w:spacing w:line="360" w:lineRule="auto"/>
        <w:rPr>
          <w:rFonts w:hAnsi="宋体" w:cs="Arial"/>
          <w:sz w:val="24"/>
          <w:szCs w:val="24"/>
        </w:rPr>
      </w:pPr>
      <w:r>
        <w:rPr>
          <w:rFonts w:hint="eastAsia" w:hAnsi="宋体" w:cs="Arial"/>
          <w:sz w:val="24"/>
          <w:szCs w:val="24"/>
        </w:rPr>
        <w:t>财务状况、缴纳税收和社会保障资金证明；</w:t>
      </w:r>
    </w:p>
    <w:p>
      <w:pPr>
        <w:pStyle w:val="20"/>
        <w:numPr>
          <w:ilvl w:val="0"/>
          <w:numId w:val="12"/>
        </w:numPr>
        <w:spacing w:line="360" w:lineRule="auto"/>
        <w:rPr>
          <w:rFonts w:hAnsi="宋体" w:cs="Arial"/>
          <w:sz w:val="24"/>
          <w:szCs w:val="24"/>
        </w:rPr>
      </w:pPr>
      <w:r>
        <w:rPr>
          <w:rFonts w:hint="eastAsia" w:hAnsi="宋体" w:cs="Arial"/>
          <w:sz w:val="24"/>
          <w:szCs w:val="24"/>
        </w:rPr>
        <w:t>具备履行合同所必须的设备和专业技术能力证明；</w:t>
      </w:r>
    </w:p>
    <w:p>
      <w:pPr>
        <w:pStyle w:val="20"/>
        <w:numPr>
          <w:ilvl w:val="0"/>
          <w:numId w:val="12"/>
        </w:numPr>
        <w:spacing w:line="360" w:lineRule="auto"/>
        <w:rPr>
          <w:rFonts w:hAnsi="宋体" w:cs="Arial"/>
          <w:sz w:val="24"/>
          <w:szCs w:val="24"/>
        </w:rPr>
      </w:pPr>
      <w:r>
        <w:rPr>
          <w:rFonts w:hint="eastAsia" w:hAnsi="宋体" w:cs="Arial"/>
          <w:sz w:val="24"/>
          <w:szCs w:val="24"/>
        </w:rPr>
        <w:t>无重大违法记录声明；</w:t>
      </w:r>
    </w:p>
    <w:p>
      <w:pPr>
        <w:pStyle w:val="20"/>
        <w:numPr>
          <w:ilvl w:val="0"/>
          <w:numId w:val="12"/>
        </w:numPr>
        <w:spacing w:line="360" w:lineRule="auto"/>
        <w:rPr>
          <w:rFonts w:hAnsi="宋体" w:cs="Arial"/>
          <w:sz w:val="24"/>
          <w:szCs w:val="24"/>
        </w:rPr>
      </w:pPr>
      <w:r>
        <w:rPr>
          <w:rFonts w:hint="eastAsia" w:hAnsi="宋体" w:cs="Arial"/>
          <w:sz w:val="24"/>
          <w:szCs w:val="24"/>
        </w:rPr>
        <w:t>磋商保证金证明；</w:t>
      </w:r>
    </w:p>
    <w:p>
      <w:pPr>
        <w:pStyle w:val="20"/>
        <w:numPr>
          <w:ilvl w:val="0"/>
          <w:numId w:val="12"/>
        </w:numPr>
        <w:spacing w:line="360" w:lineRule="auto"/>
        <w:rPr>
          <w:rFonts w:hAnsi="宋体" w:cs="Arial"/>
          <w:sz w:val="24"/>
          <w:szCs w:val="24"/>
        </w:rPr>
      </w:pPr>
      <w:r>
        <w:rPr>
          <w:rFonts w:hint="eastAsia" w:hAnsi="宋体" w:cs="Arial"/>
          <w:sz w:val="24"/>
          <w:szCs w:val="24"/>
        </w:rPr>
        <w:t>竞争性磋商首次报价表；</w:t>
      </w:r>
    </w:p>
    <w:p>
      <w:pPr>
        <w:pStyle w:val="20"/>
        <w:numPr>
          <w:ilvl w:val="0"/>
          <w:numId w:val="12"/>
        </w:numPr>
        <w:spacing w:line="360" w:lineRule="auto"/>
        <w:rPr>
          <w:rFonts w:hAnsi="宋体" w:cs="Arial"/>
          <w:sz w:val="24"/>
          <w:szCs w:val="24"/>
        </w:rPr>
      </w:pPr>
      <w:r>
        <w:rPr>
          <w:rFonts w:hAnsi="宋体" w:cs="Arial"/>
          <w:sz w:val="24"/>
          <w:szCs w:val="24"/>
        </w:rPr>
        <w:t>分项报价表</w:t>
      </w:r>
      <w:r>
        <w:rPr>
          <w:rFonts w:hint="eastAsia" w:hAnsi="宋体" w:cs="Arial"/>
          <w:sz w:val="24"/>
          <w:szCs w:val="24"/>
        </w:rPr>
        <w:t>；</w:t>
      </w:r>
    </w:p>
    <w:p>
      <w:pPr>
        <w:pStyle w:val="20"/>
        <w:numPr>
          <w:ilvl w:val="0"/>
          <w:numId w:val="12"/>
        </w:numPr>
        <w:spacing w:line="360" w:lineRule="auto"/>
        <w:rPr>
          <w:rFonts w:hAnsi="宋体" w:cs="Arial"/>
          <w:sz w:val="24"/>
          <w:szCs w:val="24"/>
        </w:rPr>
      </w:pPr>
      <w:r>
        <w:rPr>
          <w:rFonts w:hint="eastAsia" w:hAnsi="宋体" w:cs="Arial"/>
          <w:sz w:val="24"/>
          <w:szCs w:val="24"/>
        </w:rPr>
        <w:t>技术规格响应表；</w:t>
      </w:r>
    </w:p>
    <w:p>
      <w:pPr>
        <w:pStyle w:val="20"/>
        <w:numPr>
          <w:ilvl w:val="0"/>
          <w:numId w:val="12"/>
        </w:numPr>
        <w:spacing w:line="360" w:lineRule="auto"/>
        <w:rPr>
          <w:rFonts w:hAnsi="宋体" w:cs="Arial"/>
          <w:sz w:val="24"/>
          <w:szCs w:val="24"/>
        </w:rPr>
      </w:pPr>
      <w:r>
        <w:rPr>
          <w:rFonts w:hint="eastAsia" w:hAnsi="宋体" w:cs="Arial"/>
          <w:sz w:val="24"/>
          <w:szCs w:val="24"/>
        </w:rPr>
        <w:t>磋商产品相关资料；</w:t>
      </w:r>
    </w:p>
    <w:p>
      <w:pPr>
        <w:pStyle w:val="20"/>
        <w:numPr>
          <w:ilvl w:val="0"/>
          <w:numId w:val="12"/>
        </w:numPr>
        <w:spacing w:line="360" w:lineRule="auto"/>
        <w:rPr>
          <w:rFonts w:hAnsi="宋体" w:cs="Arial"/>
          <w:sz w:val="24"/>
          <w:szCs w:val="24"/>
        </w:rPr>
      </w:pPr>
      <w:r>
        <w:rPr>
          <w:rFonts w:hint="eastAsia" w:hAnsi="宋体" w:cs="Arial"/>
          <w:sz w:val="24"/>
          <w:szCs w:val="24"/>
        </w:rPr>
        <w:t>磋商供应商的类似业绩证明材料；</w:t>
      </w:r>
    </w:p>
    <w:p>
      <w:pPr>
        <w:pStyle w:val="20"/>
        <w:numPr>
          <w:ilvl w:val="0"/>
          <w:numId w:val="12"/>
        </w:numPr>
        <w:spacing w:line="360" w:lineRule="auto"/>
        <w:rPr>
          <w:rFonts w:hAnsi="宋体" w:cs="Arial"/>
          <w:sz w:val="24"/>
          <w:szCs w:val="24"/>
        </w:rPr>
      </w:pPr>
      <w:r>
        <w:rPr>
          <w:rFonts w:hint="eastAsia" w:hAnsi="宋体" w:cs="Arial"/>
          <w:sz w:val="24"/>
          <w:szCs w:val="24"/>
        </w:rPr>
        <w:t>享受政府采购政策优惠的证明资料；</w:t>
      </w:r>
    </w:p>
    <w:p>
      <w:pPr>
        <w:pStyle w:val="20"/>
        <w:numPr>
          <w:ilvl w:val="0"/>
          <w:numId w:val="12"/>
        </w:numPr>
        <w:spacing w:line="360" w:lineRule="auto"/>
        <w:rPr>
          <w:rFonts w:hAnsi="宋体" w:cs="Arial"/>
          <w:sz w:val="24"/>
          <w:szCs w:val="24"/>
        </w:rPr>
      </w:pPr>
      <w:r>
        <w:rPr>
          <w:rFonts w:hint="eastAsia" w:hAnsi="宋体" w:cs="Arial"/>
          <w:sz w:val="24"/>
          <w:szCs w:val="24"/>
        </w:rPr>
        <w:t>磋商供应商认为在其他方面有必要说明的事项；</w:t>
      </w:r>
    </w:p>
    <w:p>
      <w:pPr>
        <w:pStyle w:val="20"/>
        <w:spacing w:line="360" w:lineRule="auto"/>
        <w:ind w:left="601" w:leftChars="286" w:firstLine="472" w:firstLineChars="197"/>
        <w:rPr>
          <w:rFonts w:hAnsi="宋体" w:cs="Arial"/>
          <w:sz w:val="24"/>
          <w:szCs w:val="24"/>
        </w:rPr>
      </w:pPr>
      <w:r>
        <w:rPr>
          <w:rFonts w:hint="eastAsia" w:hAnsi="宋体" w:cs="Arial"/>
          <w:sz w:val="24"/>
          <w:szCs w:val="24"/>
        </w:rPr>
        <w:t>注：</w:t>
      </w:r>
      <w:r>
        <w:rPr>
          <w:rFonts w:hint="eastAsia" w:hAnsi="宋体" w:cs="Arial"/>
          <w:sz w:val="24"/>
          <w:szCs w:val="24"/>
          <w:lang w:eastAsia="zh-CN"/>
        </w:rPr>
        <w:t>供应商</w:t>
      </w:r>
      <w:r>
        <w:rPr>
          <w:rFonts w:hint="eastAsia" w:hAnsi="宋体" w:cs="Arial"/>
          <w:sz w:val="24"/>
          <w:szCs w:val="24"/>
        </w:rPr>
        <w:t>须按上述内容、顺序和格式编制磋商响应文件，并按要求编制目录、页码，并保证所提供的全部资料真实可信，自愿承担相应责任。</w:t>
      </w:r>
    </w:p>
    <w:p>
      <w:pPr>
        <w:pStyle w:val="10"/>
        <w:numPr>
          <w:ilvl w:val="0"/>
          <w:numId w:val="0"/>
        </w:numPr>
        <w:spacing w:before="0" w:after="0" w:line="360" w:lineRule="auto"/>
        <w:ind w:leftChars="0"/>
        <w:rPr>
          <w:rFonts w:ascii="宋体" w:hAnsi="宋体"/>
          <w:b w:val="0"/>
          <w:sz w:val="24"/>
          <w:szCs w:val="24"/>
        </w:rPr>
      </w:pPr>
      <w:bookmarkStart w:id="39" w:name="_Toc488673626"/>
      <w:bookmarkStart w:id="40" w:name="_Toc12252"/>
      <w:r>
        <w:rPr>
          <w:rFonts w:hint="eastAsia" w:ascii="宋体" w:hAnsi="宋体"/>
          <w:b w:val="0"/>
          <w:sz w:val="24"/>
          <w:szCs w:val="24"/>
          <w:lang w:val="en-US" w:eastAsia="zh-CN"/>
        </w:rPr>
        <w:t>12、</w:t>
      </w:r>
      <w:r>
        <w:rPr>
          <w:rFonts w:hint="eastAsia" w:ascii="宋体" w:hAnsi="宋体"/>
          <w:b w:val="0"/>
          <w:sz w:val="24"/>
          <w:szCs w:val="24"/>
        </w:rPr>
        <w:t>磋商响应文件的编制要求</w:t>
      </w:r>
      <w:bookmarkEnd w:id="39"/>
      <w:bookmarkEnd w:id="40"/>
    </w:p>
    <w:p>
      <w:pPr>
        <w:pStyle w:val="20"/>
        <w:spacing w:line="360" w:lineRule="auto"/>
        <w:ind w:firstLine="480" w:firstLineChars="200"/>
        <w:rPr>
          <w:rFonts w:hAnsi="宋体"/>
          <w:sz w:val="24"/>
          <w:szCs w:val="24"/>
        </w:rPr>
      </w:pPr>
      <w:r>
        <w:rPr>
          <w:rFonts w:hint="eastAsia" w:hAnsi="宋体" w:cs="宋体"/>
          <w:sz w:val="24"/>
          <w:szCs w:val="24"/>
          <w:lang w:val="zh-CN"/>
        </w:rPr>
        <w:t>磋商供应商应按照磋商文件所提供的磋商响应文件格式，分别填写磋商文件第五部分的内容，应分别注明所提供产品的名称、技术配置及参数、数量和价格等内容；磋商响应文件要求签字、盖章的地方必须由供应商的法定代表人或委托代理人按要求签字、盖章。</w:t>
      </w:r>
    </w:p>
    <w:p>
      <w:pPr>
        <w:pStyle w:val="9"/>
        <w:numPr>
          <w:ilvl w:val="0"/>
          <w:numId w:val="8"/>
        </w:numPr>
        <w:ind w:left="709" w:leftChars="0" w:firstLine="0" w:firstLineChars="0"/>
        <w:jc w:val="center"/>
        <w:rPr>
          <w:rFonts w:hint="eastAsia" w:hAnsi="宋体"/>
          <w:b/>
          <w:sz w:val="28"/>
          <w:szCs w:val="28"/>
        </w:rPr>
      </w:pPr>
      <w:bookmarkStart w:id="41" w:name="_Toc22516"/>
      <w:r>
        <w:rPr>
          <w:rFonts w:hint="eastAsia" w:hAnsi="宋体"/>
          <w:b/>
          <w:sz w:val="28"/>
          <w:szCs w:val="28"/>
        </w:rPr>
        <w:t>磋商响应文件的递交</w:t>
      </w:r>
      <w:bookmarkEnd w:id="41"/>
    </w:p>
    <w:p>
      <w:pPr>
        <w:numPr>
          <w:ilvl w:val="0"/>
          <w:numId w:val="0"/>
        </w:numPr>
        <w:ind w:left="709" w:leftChars="0"/>
      </w:pPr>
    </w:p>
    <w:p>
      <w:pPr>
        <w:pStyle w:val="20"/>
        <w:tabs>
          <w:tab w:val="left" w:pos="312"/>
        </w:tabs>
        <w:spacing w:line="360" w:lineRule="auto"/>
        <w:ind w:firstLine="480" w:firstLineChars="200"/>
        <w:rPr>
          <w:rFonts w:hAnsi="宋体" w:cs="宋体"/>
          <w:sz w:val="24"/>
        </w:rPr>
      </w:pPr>
      <w:r>
        <w:rPr>
          <w:rFonts w:hint="eastAsia" w:hAnsi="宋体"/>
          <w:bCs/>
          <w:sz w:val="24"/>
          <w:szCs w:val="24"/>
        </w:rPr>
        <w:t>本次招标采用线上提交投标文件的方式进行采购，投标文件必须在投标文件递交截止时间前</w:t>
      </w:r>
      <w:r>
        <w:rPr>
          <w:rFonts w:hint="eastAsia" w:hAnsi="宋体"/>
          <w:bCs/>
          <w:sz w:val="24"/>
          <w:szCs w:val="24"/>
          <w:lang w:eastAsia="zh-CN"/>
        </w:rPr>
        <w:t>送达至磋商地点</w:t>
      </w:r>
      <w:r>
        <w:rPr>
          <w:rFonts w:hint="eastAsia" w:hAnsi="宋体"/>
          <w:bCs/>
          <w:sz w:val="24"/>
          <w:szCs w:val="24"/>
        </w:rPr>
        <w:t>。</w:t>
      </w:r>
    </w:p>
    <w:p>
      <w:pPr>
        <w:pStyle w:val="9"/>
        <w:numPr>
          <w:ilvl w:val="0"/>
          <w:numId w:val="0"/>
        </w:numPr>
        <w:ind w:left="709" w:leftChars="0"/>
        <w:jc w:val="center"/>
        <w:rPr>
          <w:rFonts w:hint="eastAsia" w:hAnsi="宋体" w:eastAsia="宋体"/>
          <w:b/>
          <w:sz w:val="28"/>
          <w:szCs w:val="28"/>
          <w:lang w:eastAsia="zh-CN"/>
        </w:rPr>
      </w:pPr>
      <w:bookmarkStart w:id="42" w:name="_Toc37776276"/>
      <w:bookmarkStart w:id="43" w:name="_Toc416183208"/>
      <w:bookmarkStart w:id="44" w:name="_Toc510171138"/>
      <w:bookmarkStart w:id="45" w:name="_Toc376936750"/>
      <w:bookmarkStart w:id="46" w:name="_Toc325726019"/>
      <w:bookmarkStart w:id="47" w:name="_Hlk497723873"/>
      <w:r>
        <w:rPr>
          <w:rFonts w:hint="eastAsia" w:hAnsi="宋体"/>
          <w:b/>
          <w:sz w:val="28"/>
          <w:szCs w:val="28"/>
          <w:highlight w:val="none"/>
          <w:lang w:eastAsia="zh-CN"/>
        </w:rPr>
        <w:t>五、</w:t>
      </w:r>
      <w:r>
        <w:rPr>
          <w:rFonts w:hint="eastAsia" w:hAnsi="宋体" w:eastAsia="宋体"/>
          <w:b/>
          <w:sz w:val="28"/>
          <w:szCs w:val="28"/>
          <w:lang w:eastAsia="zh-CN"/>
        </w:rPr>
        <w:t>磋商工程</w:t>
      </w:r>
    </w:p>
    <w:p>
      <w:pPr>
        <w:pStyle w:val="9"/>
        <w:numPr>
          <w:ilvl w:val="0"/>
          <w:numId w:val="0"/>
        </w:numPr>
        <w:ind w:firstLine="480" w:firstLineChars="200"/>
        <w:jc w:val="both"/>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13、磋商过程</w:t>
      </w:r>
    </w:p>
    <w:p>
      <w:pPr>
        <w:pStyle w:val="98"/>
        <w:numPr>
          <w:ilvl w:val="0"/>
          <w:numId w:val="0"/>
        </w:numPr>
        <w:tabs>
          <w:tab w:val="left" w:pos="1810"/>
        </w:tabs>
        <w:spacing w:before="0" w:after="0" w:line="374" w:lineRule="auto"/>
        <w:ind w:leftChars="200" w:right="1140"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13.1</w:t>
      </w:r>
      <w:r>
        <w:rPr>
          <w:rFonts w:hint="eastAsia" w:ascii="宋体" w:hAnsi="宋体" w:eastAsia="宋体" w:cs="宋体"/>
          <w:kern w:val="0"/>
          <w:sz w:val="24"/>
          <w:szCs w:val="24"/>
          <w:lang w:val="zh-CN" w:eastAsia="zh-CN" w:bidi="ar-SA"/>
        </w:rPr>
        <w:t>采购代理机构按本磋商文件中确定的时间和地点组织本项目的磋商活动。供应商应由其法定代表人或委托代理人参加。参加磋商的代表须签名报到以证明其出席开标会议。否则，视为自动弃权。</w:t>
      </w:r>
    </w:p>
    <w:p>
      <w:pPr>
        <w:pStyle w:val="98"/>
        <w:numPr>
          <w:ilvl w:val="0"/>
          <w:numId w:val="0"/>
        </w:numPr>
        <w:tabs>
          <w:tab w:val="left" w:pos="1860"/>
        </w:tabs>
        <w:spacing w:before="1" w:after="0" w:line="374" w:lineRule="auto"/>
        <w:ind w:leftChars="200" w:right="1140"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13.2</w:t>
      </w:r>
      <w:r>
        <w:rPr>
          <w:rFonts w:hint="eastAsia" w:ascii="宋体" w:hAnsi="宋体" w:eastAsia="宋体" w:cs="宋体"/>
          <w:kern w:val="0"/>
          <w:sz w:val="24"/>
          <w:szCs w:val="24"/>
          <w:lang w:val="zh-CN" w:eastAsia="zh-CN" w:bidi="ar-SA"/>
        </w:rPr>
        <w:t>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pStyle w:val="98"/>
        <w:numPr>
          <w:ilvl w:val="0"/>
          <w:numId w:val="0"/>
        </w:numPr>
        <w:tabs>
          <w:tab w:val="left" w:pos="1810"/>
        </w:tabs>
        <w:spacing w:before="1" w:after="0" w:line="374" w:lineRule="auto"/>
        <w:ind w:leftChars="200" w:right="1195"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13.3</w:t>
      </w:r>
      <w:r>
        <w:rPr>
          <w:rFonts w:hint="eastAsia" w:ascii="宋体" w:hAnsi="宋体" w:eastAsia="宋体" w:cs="宋体"/>
          <w:kern w:val="0"/>
          <w:sz w:val="24"/>
          <w:szCs w:val="24"/>
          <w:lang w:val="zh-CN" w:eastAsia="zh-CN" w:bidi="ar-SA"/>
        </w:rPr>
        <w:t>磋商工作由采购代理机构组织，采购人、采购监管、纪检监察等有关方面代表可根据采购项目的具体情况列席。</w:t>
      </w:r>
    </w:p>
    <w:p>
      <w:pPr>
        <w:pStyle w:val="98"/>
        <w:numPr>
          <w:ilvl w:val="0"/>
          <w:numId w:val="0"/>
        </w:numPr>
        <w:tabs>
          <w:tab w:val="left" w:pos="1810"/>
        </w:tabs>
        <w:spacing w:before="2" w:after="0" w:line="240" w:lineRule="auto"/>
        <w:ind w:leftChars="200" w:right="0"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13.4</w:t>
      </w:r>
      <w:r>
        <w:rPr>
          <w:rFonts w:hint="eastAsia" w:ascii="宋体" w:hAnsi="宋体" w:eastAsia="宋体" w:cs="宋体"/>
          <w:kern w:val="0"/>
          <w:sz w:val="24"/>
          <w:szCs w:val="24"/>
          <w:lang w:val="zh-CN" w:eastAsia="zh-CN" w:bidi="ar-SA"/>
        </w:rPr>
        <w:t>磋商过程有专人记录，并存档备查。</w:t>
      </w:r>
    </w:p>
    <w:p>
      <w:pPr>
        <w:widowControl/>
        <w:spacing w:before="240" w:beforeLines="100" w:after="240" w:afterLines="100"/>
        <w:ind w:firstLine="0" w:firstLineChars="0"/>
        <w:jc w:val="center"/>
        <w:outlineLvl w:val="1"/>
        <w:rPr>
          <w:rFonts w:hint="eastAsia" w:ascii="Times New Roman" w:hAnsi="宋体" w:eastAsia="宋体" w:cs="Times New Roman"/>
          <w:b/>
          <w:kern w:val="2"/>
          <w:sz w:val="28"/>
          <w:szCs w:val="28"/>
          <w:lang w:val="en-US" w:eastAsia="zh-CN" w:bidi="ar-SA"/>
        </w:rPr>
      </w:pPr>
      <w:r>
        <w:rPr>
          <w:rFonts w:hint="eastAsia" w:hAnsi="宋体" w:cs="Times New Roman"/>
          <w:b/>
          <w:kern w:val="2"/>
          <w:sz w:val="28"/>
          <w:szCs w:val="28"/>
          <w:lang w:val="en-US" w:eastAsia="zh-CN" w:bidi="ar-SA"/>
        </w:rPr>
        <w:t>六</w:t>
      </w:r>
      <w:r>
        <w:rPr>
          <w:rFonts w:hint="eastAsia" w:ascii="Times New Roman" w:hAnsi="宋体" w:eastAsia="宋体" w:cs="Times New Roman"/>
          <w:b/>
          <w:kern w:val="2"/>
          <w:sz w:val="28"/>
          <w:szCs w:val="28"/>
          <w:lang w:val="en-US" w:eastAsia="zh-CN" w:bidi="ar-SA"/>
        </w:rPr>
        <w:t>、开标</w:t>
      </w:r>
      <w:bookmarkEnd w:id="42"/>
      <w:bookmarkEnd w:id="43"/>
      <w:bookmarkEnd w:id="44"/>
    </w:p>
    <w:p>
      <w:pPr>
        <w:autoSpaceDE w:val="0"/>
        <w:autoSpaceDN w:val="0"/>
        <w:spacing w:line="360" w:lineRule="auto"/>
        <w:ind w:left="426"/>
        <w:rPr>
          <w:rFonts w:hint="eastAsia" w:ascii="宋体" w:hAnsi="宋体"/>
          <w:kern w:val="0"/>
          <w:sz w:val="24"/>
          <w:lang w:val="zh-CN"/>
        </w:rPr>
      </w:pPr>
      <w:bookmarkStart w:id="48" w:name="_Toc37776277"/>
      <w:bookmarkStart w:id="49" w:name="_Toc510171139"/>
      <w:bookmarkStart w:id="50" w:name="_Toc325726020"/>
      <w:bookmarkStart w:id="51" w:name="_Toc376936751"/>
      <w:bookmarkStart w:id="52" w:name="_Toc416183209"/>
      <w:r>
        <w:rPr>
          <w:rFonts w:hint="eastAsia" w:ascii="宋体" w:hAnsi="宋体"/>
          <w:kern w:val="0"/>
          <w:sz w:val="24"/>
          <w:lang w:val="zh-CN"/>
        </w:rPr>
        <w:t>14.开标</w:t>
      </w:r>
      <w:bookmarkEnd w:id="48"/>
      <w:bookmarkEnd w:id="49"/>
      <w:bookmarkEnd w:id="50"/>
      <w:bookmarkEnd w:id="51"/>
      <w:bookmarkEnd w:id="52"/>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14.1采购人、采购代理机构组织磋商活动，时间和地点以本磋商文件中确定的为准。</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14.2开标后，供应商磋商响应文件内容不一致的，以正本为准。若拒绝接受，其投标无效。</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14.3磋商工作由采购代理机构组织，采购人、采购管理、纪检监察等有关方面代表可根据采购项目的具体情况列席，并对开标过程签字确认。</w:t>
      </w: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53" w:name="_Toc37776278"/>
      <w:r>
        <w:rPr>
          <w:rFonts w:hint="eastAsia" w:hAnsi="宋体" w:cs="Times New Roman"/>
          <w:b/>
          <w:kern w:val="2"/>
          <w:sz w:val="28"/>
          <w:szCs w:val="28"/>
          <w:lang w:val="en-US" w:eastAsia="zh-CN" w:bidi="ar-SA"/>
        </w:rPr>
        <w:t>七、</w:t>
      </w:r>
      <w:bookmarkEnd w:id="45"/>
      <w:bookmarkEnd w:id="46"/>
      <w:r>
        <w:rPr>
          <w:rFonts w:hint="eastAsia" w:hAnsi="宋体" w:cs="Times New Roman"/>
          <w:b/>
          <w:kern w:val="2"/>
          <w:sz w:val="28"/>
          <w:szCs w:val="28"/>
          <w:lang w:val="en-US" w:eastAsia="zh-CN" w:bidi="ar-SA"/>
        </w:rPr>
        <w:t>资格审查程序及方法</w:t>
      </w:r>
      <w:bookmarkEnd w:id="53"/>
    </w:p>
    <w:p>
      <w:pPr>
        <w:pStyle w:val="20"/>
        <w:spacing w:line="360" w:lineRule="auto"/>
        <w:ind w:firstLine="480" w:firstLineChars="200"/>
        <w:rPr>
          <w:rFonts w:hint="eastAsia" w:hAnsi="宋体" w:cs="宋体"/>
          <w:sz w:val="24"/>
          <w:szCs w:val="24"/>
          <w:lang w:val="zh-CN" w:eastAsia="zh-CN"/>
        </w:rPr>
      </w:pPr>
      <w:bookmarkStart w:id="54" w:name="_Toc37776279"/>
      <w:bookmarkStart w:id="55" w:name="_Toc496189551"/>
      <w:bookmarkStart w:id="56" w:name="_Toc496004007"/>
      <w:r>
        <w:rPr>
          <w:rFonts w:hint="eastAsia" w:hAnsi="宋体" w:cs="宋体"/>
          <w:sz w:val="24"/>
          <w:szCs w:val="24"/>
          <w:lang w:val="zh-CN" w:eastAsia="zh-CN"/>
        </w:rPr>
        <w:t>15. 资格审查程序</w:t>
      </w:r>
      <w:bookmarkEnd w:id="54"/>
      <w:bookmarkEnd w:id="55"/>
      <w:bookmarkEnd w:id="56"/>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15.1提交首次磋商响应文件截止时间后，由磋商小组依法对供应商的资格进行审查。</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15.2 供应商数量不满足相关规定的，不得评审。</w:t>
      </w:r>
    </w:p>
    <w:p>
      <w:pPr>
        <w:pStyle w:val="20"/>
        <w:spacing w:line="360" w:lineRule="auto"/>
        <w:ind w:firstLine="480" w:firstLineChars="200"/>
        <w:rPr>
          <w:rFonts w:hint="eastAsia" w:hAnsi="宋体" w:cs="宋体"/>
          <w:sz w:val="24"/>
          <w:szCs w:val="24"/>
          <w:lang w:val="zh-CN" w:eastAsia="zh-CN"/>
        </w:rPr>
      </w:pPr>
      <w:bookmarkStart w:id="57" w:name="_Toc496004008"/>
      <w:bookmarkStart w:id="58" w:name="_Toc37776280"/>
      <w:bookmarkStart w:id="59" w:name="_Toc496189552"/>
      <w:r>
        <w:rPr>
          <w:rFonts w:hint="eastAsia" w:hAnsi="宋体" w:cs="宋体"/>
          <w:sz w:val="24"/>
          <w:szCs w:val="24"/>
          <w:lang w:val="zh-CN" w:eastAsia="zh-CN"/>
        </w:rPr>
        <w:t>16.资格审查不通过的情形</w:t>
      </w:r>
      <w:bookmarkEnd w:id="57"/>
      <w:bookmarkEnd w:id="58"/>
      <w:bookmarkEnd w:id="59"/>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资格审查时，供应商存在下列情况之一的，按无效投标处理：</w:t>
      </w:r>
    </w:p>
    <w:p>
      <w:pPr>
        <w:numPr>
          <w:ilvl w:val="0"/>
          <w:numId w:val="0"/>
        </w:numPr>
        <w:tabs>
          <w:tab w:val="left" w:pos="960"/>
        </w:tabs>
        <w:autoSpaceDE w:val="0"/>
        <w:autoSpaceDN w:val="0"/>
        <w:spacing w:line="360" w:lineRule="auto"/>
        <w:ind w:left="0" w:leftChars="0" w:firstLine="638" w:firstLineChars="266"/>
        <w:rPr>
          <w:rFonts w:ascii="宋体" w:hAnsi="宋体" w:cs="宋体"/>
          <w:kern w:val="0"/>
          <w:sz w:val="24"/>
        </w:rPr>
      </w:pPr>
      <w:bookmarkStart w:id="60" w:name="_Toc37776281"/>
      <w:bookmarkStart w:id="61" w:name="_Toc376936752"/>
      <w:bookmarkStart w:id="62" w:name="_Toc325726021"/>
      <w:r>
        <w:rPr>
          <w:rFonts w:hint="eastAsia" w:ascii="宋体" w:hAnsi="宋体" w:cs="宋体"/>
          <w:sz w:val="24"/>
          <w:shd w:val="clear" w:color="auto" w:fill="FFFFFF"/>
          <w:lang w:val="en-US" w:eastAsia="zh-CN"/>
        </w:rPr>
        <w:t>16.1</w:t>
      </w:r>
      <w:r>
        <w:rPr>
          <w:rFonts w:hint="eastAsia" w:ascii="宋体" w:hAnsi="宋体" w:cs="宋体"/>
          <w:sz w:val="24"/>
          <w:shd w:val="clear" w:color="auto" w:fill="FFFFFF"/>
        </w:rPr>
        <w:t>不具备</w:t>
      </w:r>
      <w:r>
        <w:rPr>
          <w:rFonts w:hint="eastAsia" w:ascii="宋体" w:hAnsi="宋体" w:cs="宋体"/>
          <w:kern w:val="0"/>
          <w:sz w:val="24"/>
          <w:lang w:val="zh-CN"/>
        </w:rPr>
        <w:t>第2.2款“合格的供应商”</w:t>
      </w:r>
      <w:r>
        <w:rPr>
          <w:rFonts w:hint="eastAsia" w:ascii="宋体" w:hAnsi="宋体" w:cs="宋体"/>
          <w:sz w:val="24"/>
          <w:shd w:val="clear" w:color="auto" w:fill="FFFFFF"/>
        </w:rPr>
        <w:t>规定的资格要求的；</w:t>
      </w:r>
    </w:p>
    <w:p>
      <w:pPr>
        <w:numPr>
          <w:ilvl w:val="0"/>
          <w:numId w:val="0"/>
        </w:numPr>
        <w:tabs>
          <w:tab w:val="left" w:pos="960"/>
        </w:tabs>
        <w:autoSpaceDE w:val="0"/>
        <w:autoSpaceDN w:val="0"/>
        <w:spacing w:line="360" w:lineRule="auto"/>
        <w:ind w:left="0" w:leftChars="0" w:firstLine="638" w:firstLineChars="266"/>
        <w:rPr>
          <w:rFonts w:ascii="宋体" w:hAnsi="宋体" w:cs="宋体"/>
          <w:kern w:val="0"/>
          <w:sz w:val="24"/>
        </w:rPr>
      </w:pPr>
      <w:r>
        <w:rPr>
          <w:rFonts w:hint="eastAsia" w:ascii="宋体" w:hAnsi="宋体" w:cs="宋体"/>
          <w:kern w:val="0"/>
          <w:sz w:val="24"/>
          <w:lang w:val="en-US" w:eastAsia="zh-CN"/>
        </w:rPr>
        <w:t>16.2</w:t>
      </w:r>
      <w:r>
        <w:rPr>
          <w:rFonts w:hint="eastAsia" w:ascii="宋体" w:hAnsi="宋体" w:cs="宋体"/>
          <w:kern w:val="0"/>
          <w:sz w:val="24"/>
        </w:rPr>
        <w:t>未按招标文件要求交纳或未足额交纳投标保证金的；</w:t>
      </w:r>
    </w:p>
    <w:p>
      <w:pPr>
        <w:numPr>
          <w:ilvl w:val="0"/>
          <w:numId w:val="0"/>
        </w:numPr>
        <w:tabs>
          <w:tab w:val="left" w:pos="960"/>
        </w:tabs>
        <w:autoSpaceDE w:val="0"/>
        <w:autoSpaceDN w:val="0"/>
        <w:spacing w:line="360" w:lineRule="auto"/>
        <w:ind w:left="0" w:leftChars="0" w:firstLine="638" w:firstLineChars="266"/>
        <w:rPr>
          <w:rFonts w:ascii="宋体" w:hAnsi="宋体" w:cs="宋体"/>
          <w:sz w:val="24"/>
          <w:shd w:val="clear" w:color="auto" w:fill="FFFFFF"/>
        </w:rPr>
      </w:pPr>
      <w:r>
        <w:rPr>
          <w:rFonts w:hint="eastAsia" w:ascii="宋体" w:hAnsi="宋体" w:cs="宋体"/>
          <w:kern w:val="0"/>
          <w:sz w:val="24"/>
          <w:lang w:val="en-US" w:eastAsia="zh-CN"/>
        </w:rPr>
        <w:t>16.3</w:t>
      </w:r>
      <w:r>
        <w:rPr>
          <w:rFonts w:hint="eastAsia" w:ascii="宋体" w:hAnsi="宋体" w:cs="宋体"/>
          <w:kern w:val="0"/>
          <w:sz w:val="24"/>
        </w:rPr>
        <w:t>未按招标文件规定和要求签字、盖章的；</w:t>
      </w:r>
    </w:p>
    <w:p>
      <w:pPr>
        <w:numPr>
          <w:ilvl w:val="0"/>
          <w:numId w:val="0"/>
        </w:numPr>
        <w:tabs>
          <w:tab w:val="left" w:pos="960"/>
        </w:tabs>
        <w:autoSpaceDE w:val="0"/>
        <w:autoSpaceDN w:val="0"/>
        <w:spacing w:line="360" w:lineRule="auto"/>
        <w:ind w:left="0" w:leftChars="0" w:firstLine="638" w:firstLineChars="266"/>
        <w:rPr>
          <w:rFonts w:ascii="宋体" w:hAnsi="宋体" w:cs="宋体"/>
          <w:sz w:val="24"/>
          <w:shd w:val="clear" w:color="auto" w:fill="FFFFFF"/>
        </w:rPr>
      </w:pPr>
      <w:r>
        <w:rPr>
          <w:rFonts w:hint="eastAsia" w:ascii="宋体" w:hAnsi="宋体" w:cs="宋体"/>
          <w:kern w:val="0"/>
          <w:sz w:val="24"/>
          <w:lang w:val="en-US" w:eastAsia="zh-CN"/>
        </w:rPr>
        <w:t>16.4</w:t>
      </w:r>
      <w:r>
        <w:rPr>
          <w:rFonts w:hint="eastAsia" w:ascii="宋体" w:hAnsi="宋体" w:cs="宋体"/>
          <w:kern w:val="0"/>
          <w:sz w:val="24"/>
          <w:lang w:val="zh-CN"/>
        </w:rPr>
        <w:t>投标有效期不能满足招标文件要求的；</w:t>
      </w: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r>
        <w:rPr>
          <w:rFonts w:hint="eastAsia" w:hAnsi="宋体" w:cs="Times New Roman"/>
          <w:b/>
          <w:kern w:val="2"/>
          <w:sz w:val="28"/>
          <w:szCs w:val="28"/>
          <w:lang w:val="en-US" w:eastAsia="zh-CN" w:bidi="ar-SA"/>
        </w:rPr>
        <w:t>八、磋商程序及方法</w:t>
      </w:r>
      <w:bookmarkEnd w:id="60"/>
      <w:bookmarkEnd w:id="61"/>
      <w:bookmarkEnd w:id="62"/>
    </w:p>
    <w:p>
      <w:pPr>
        <w:pStyle w:val="20"/>
        <w:spacing w:line="360" w:lineRule="auto"/>
        <w:ind w:firstLine="480" w:firstLineChars="200"/>
        <w:rPr>
          <w:rFonts w:hint="eastAsia" w:hAnsi="宋体" w:cs="宋体"/>
          <w:sz w:val="24"/>
          <w:szCs w:val="24"/>
          <w:lang w:val="zh-CN" w:eastAsia="zh-CN"/>
        </w:rPr>
      </w:pPr>
      <w:bookmarkStart w:id="63" w:name="_Toc37776282"/>
      <w:bookmarkStart w:id="64" w:name="_Toc376936753"/>
      <w:bookmarkStart w:id="65" w:name="_Toc325726022"/>
      <w:r>
        <w:rPr>
          <w:rFonts w:hint="eastAsia" w:hAnsi="宋体" w:cs="宋体"/>
          <w:sz w:val="24"/>
          <w:szCs w:val="24"/>
          <w:lang w:val="zh-CN" w:eastAsia="zh-CN"/>
        </w:rPr>
        <w:t>17.磋商小组</w:t>
      </w:r>
      <w:bookmarkEnd w:id="63"/>
      <w:bookmarkEnd w:id="64"/>
      <w:bookmarkEnd w:id="65"/>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17.1 采购人、采购代理机构将根据采购项目的特点依法组建磋商小组，其成员由具有一定专业水平的技术、经济等方面的专家和采购人代表等三人以上单数组成。其中技术、经济等方面的专家不少于成员总数的三分之二。</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17.2磋商由采购代理机构负责组织，具体磋商事务由依法组建的磋商小组负责，并独立履行下列职责：</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（1）审查通过资格条件供应商的磋商响应文件，并作出评价；</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（2）要求供应商对解释或澄清其磋商响应文件；</w:t>
      </w:r>
    </w:p>
    <w:p>
      <w:pPr>
        <w:pStyle w:val="20"/>
        <w:spacing w:line="360" w:lineRule="auto"/>
        <w:ind w:firstLine="480" w:firstLineChars="200"/>
        <w:rPr>
          <w:rFonts w:hint="default" w:hAnsi="宋体" w:cs="宋体"/>
          <w:sz w:val="24"/>
          <w:szCs w:val="24"/>
          <w:lang w:val="en-US" w:eastAsia="zh-CN"/>
        </w:rPr>
      </w:pPr>
      <w:r>
        <w:rPr>
          <w:rFonts w:hint="eastAsia" w:hAnsi="宋体" w:cs="宋体"/>
          <w:sz w:val="24"/>
          <w:szCs w:val="24"/>
          <w:lang w:val="zh-CN" w:eastAsia="zh-CN"/>
        </w:rPr>
        <w:t>（3）推荐预成交候选供应商；</w:t>
      </w:r>
      <w:r>
        <w:rPr>
          <w:rFonts w:hint="eastAsia" w:hAnsi="宋体" w:cs="宋体"/>
          <w:sz w:val="24"/>
          <w:szCs w:val="24"/>
          <w:lang w:val="en-US" w:eastAsia="zh-CN"/>
        </w:rPr>
        <w:t xml:space="preserve"> </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（4）对非法干预评标工作的人员和机构进行举报或投诉。</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17.3磋商小组应遵守并履行下列义务：</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（1）遵纪守法，客观、公正、廉洁地履行职责；</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（2）按照磋商文件规定的评审方法和评审标准进行评审，对评审意见承担磋商小组成员责任；</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（3）对磋商响应文件、磋商情况和磋商中获悉的商业秘密保密；</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（4）参与磋商报告的起草；</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（5）解答供应商及有关方面的质疑；</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（6）配合监管部门进行投诉处理工作。</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17.4磋商工作在有关部门的监督和严格保密的情况下依法进行，任何单位和个人不得非法干预、影响磋商工作和磋商结果。</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17.5磋商小组应当根据评审记录和评审结果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17.6 磋商小组发现磋商文件存在歧义、重大缺陷导致评标工作无法进行，或者磋商文件内容违反国家有关强制性规定的，应当停止评标工作，与采购人、采购代理机构沟通并作书面记录。采购人、采购代理机构确认后，应当修改磋商文件，重新组织采购活动。</w:t>
      </w:r>
    </w:p>
    <w:p>
      <w:pPr>
        <w:pStyle w:val="20"/>
        <w:spacing w:line="360" w:lineRule="auto"/>
        <w:ind w:firstLine="480" w:firstLineChars="200"/>
        <w:rPr>
          <w:rFonts w:hint="eastAsia" w:hAnsi="宋体" w:cs="宋体"/>
          <w:sz w:val="24"/>
          <w:szCs w:val="24"/>
          <w:lang w:val="zh-CN" w:eastAsia="zh-CN"/>
        </w:rPr>
      </w:pPr>
      <w:bookmarkStart w:id="66" w:name="_Toc325726023"/>
      <w:bookmarkStart w:id="67" w:name="_Toc376936754"/>
      <w:bookmarkStart w:id="68" w:name="_Toc37776283"/>
      <w:r>
        <w:rPr>
          <w:rFonts w:hint="eastAsia" w:hAnsi="宋体" w:cs="宋体"/>
          <w:sz w:val="24"/>
          <w:szCs w:val="24"/>
          <w:lang w:val="zh-CN" w:eastAsia="zh-CN"/>
        </w:rPr>
        <w:t>18.磋商工作程序</w:t>
      </w:r>
      <w:bookmarkEnd w:id="66"/>
      <w:bookmarkEnd w:id="67"/>
      <w:bookmarkEnd w:id="68"/>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18.1进入磋商阶段后，由磋商小组独立开展评审工作，负责审议所有通过资格条件供应商的磋商响应文件，并对磋商文件进行评审、评分。</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18.2符合性审查时，存在下列情况之一的，按无效处理：</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w:t>
      </w:r>
      <w:r>
        <w:rPr>
          <w:rFonts w:hint="eastAsia" w:hAnsi="宋体" w:cs="宋体"/>
          <w:sz w:val="24"/>
          <w:szCs w:val="24"/>
          <w:lang w:val="en-US" w:eastAsia="zh-CN"/>
        </w:rPr>
        <w:t>未按第（1）-（14）款要求提供相关资料的</w:t>
      </w:r>
      <w:r>
        <w:rPr>
          <w:rFonts w:hint="eastAsia" w:hAnsi="宋体" w:cs="宋体"/>
          <w:sz w:val="24"/>
          <w:szCs w:val="24"/>
          <w:lang w:val="zh-CN" w:eastAsia="zh-CN"/>
        </w:rPr>
        <w:t>；</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（2）供应商报价与磋商响应文件报价不一致且不接受正本报价的；或最后磋商报价出现两个或两个以上报价方案的；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3</w:t>
      </w:r>
      <w:r>
        <w:rPr>
          <w:rFonts w:hint="eastAsia" w:hAnsi="宋体" w:cs="宋体"/>
          <w:sz w:val="24"/>
          <w:szCs w:val="24"/>
          <w:lang w:val="zh-CN" w:eastAsia="zh-CN"/>
        </w:rPr>
        <w:t>）产品交货期、质保期、投标有效期不能满足磋商文件要求的；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4</w:t>
      </w:r>
      <w:r>
        <w:rPr>
          <w:rFonts w:hint="eastAsia" w:hAnsi="宋体" w:cs="宋体"/>
          <w:sz w:val="24"/>
          <w:szCs w:val="24"/>
          <w:lang w:val="zh-CN" w:eastAsia="zh-CN"/>
        </w:rPr>
        <w:t>）投标产品的技术规格、技术标准明显不符合采购项目要求的；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5</w:t>
      </w:r>
      <w:r>
        <w:rPr>
          <w:rFonts w:hint="eastAsia" w:hAnsi="宋体" w:cs="宋体"/>
          <w:sz w:val="24"/>
          <w:szCs w:val="24"/>
          <w:lang w:val="zh-CN" w:eastAsia="zh-CN"/>
        </w:rPr>
        <w:t>）投标产品未完全满足磋商文件确定的重要技术指标、参数的；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6</w:t>
      </w:r>
      <w:r>
        <w:rPr>
          <w:rFonts w:hint="eastAsia" w:hAnsi="宋体" w:cs="宋体"/>
          <w:sz w:val="24"/>
          <w:szCs w:val="24"/>
          <w:lang w:val="zh-CN" w:eastAsia="zh-CN"/>
        </w:rPr>
        <w:t>）磋商响应文件含有采购人不能接受的附加条件的；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7</w:t>
      </w:r>
      <w:r>
        <w:rPr>
          <w:rFonts w:hint="eastAsia" w:hAnsi="宋体" w:cs="宋体"/>
          <w:sz w:val="24"/>
          <w:szCs w:val="24"/>
          <w:lang w:val="zh-CN" w:eastAsia="zh-CN"/>
        </w:rPr>
        <w:t>）磋商小组认为应按无效投标处理的其他情况；</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w:t>
      </w:r>
      <w:r>
        <w:rPr>
          <w:rFonts w:hint="eastAsia" w:hAnsi="宋体" w:cs="宋体"/>
          <w:sz w:val="24"/>
          <w:szCs w:val="24"/>
          <w:lang w:val="en-US" w:eastAsia="zh-CN"/>
        </w:rPr>
        <w:t>8</w:t>
      </w:r>
      <w:r>
        <w:rPr>
          <w:rFonts w:hint="eastAsia" w:hAnsi="宋体" w:cs="宋体"/>
          <w:sz w:val="24"/>
          <w:szCs w:val="24"/>
          <w:lang w:val="zh-CN" w:eastAsia="zh-CN"/>
        </w:rPr>
        <w:t>）法律、法规规定的其他情形。</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18.3 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投标处理。</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18.4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通知所有参加磋商的供应商，并在电子化平台以“评审问题澄清函”形式发布。供应商应当按照磋商文件的变动情况和磋商小组的要求在电子化平台上按规定时间作出响应。</w:t>
      </w:r>
    </w:p>
    <w:p>
      <w:pPr>
        <w:pStyle w:val="20"/>
        <w:spacing w:line="360" w:lineRule="auto"/>
        <w:ind w:firstLine="480" w:firstLineChars="200"/>
        <w:rPr>
          <w:rFonts w:hint="eastAsia" w:hAnsi="宋体" w:cs="宋体"/>
          <w:sz w:val="24"/>
          <w:szCs w:val="24"/>
          <w:lang w:val="zh-CN" w:eastAsia="zh-CN"/>
        </w:rPr>
      </w:pPr>
      <w:bookmarkStart w:id="69" w:name="_Toc37776284"/>
      <w:bookmarkStart w:id="70" w:name="_Toc496004012"/>
      <w:r>
        <w:rPr>
          <w:rFonts w:hint="eastAsia" w:hAnsi="宋体" w:cs="宋体"/>
          <w:sz w:val="24"/>
          <w:szCs w:val="24"/>
          <w:lang w:val="zh-CN" w:eastAsia="zh-CN"/>
        </w:rPr>
        <w:t>19.答疑的方式和情形</w:t>
      </w:r>
      <w:bookmarkEnd w:id="69"/>
      <w:bookmarkEnd w:id="70"/>
    </w:p>
    <w:p>
      <w:pPr>
        <w:pStyle w:val="98"/>
        <w:numPr>
          <w:ilvl w:val="0"/>
          <w:numId w:val="0"/>
        </w:numPr>
        <w:tabs>
          <w:tab w:val="left" w:pos="1810"/>
        </w:tabs>
        <w:spacing w:before="0" w:after="0" w:line="374" w:lineRule="auto"/>
        <w:ind w:leftChars="200" w:right="1138" w:rightChars="0"/>
        <w:jc w:val="both"/>
        <w:rPr>
          <w:rFonts w:hint="eastAsia" w:ascii="宋体" w:hAnsi="宋体" w:eastAsia="宋体" w:cs="宋体"/>
          <w:kern w:val="0"/>
          <w:sz w:val="24"/>
          <w:szCs w:val="24"/>
          <w:lang w:val="zh-CN" w:eastAsia="zh-CN" w:bidi="ar-SA"/>
        </w:rPr>
      </w:pPr>
      <w:bookmarkStart w:id="71" w:name="_Toc376936755"/>
      <w:bookmarkStart w:id="72" w:name="_Toc325726024"/>
      <w:bookmarkStart w:id="73" w:name="_Toc37776286"/>
      <w:r>
        <w:rPr>
          <w:rFonts w:hint="eastAsia" w:ascii="宋体" w:hAnsi="宋体" w:eastAsia="宋体" w:cs="宋体"/>
          <w:kern w:val="0"/>
          <w:sz w:val="24"/>
          <w:szCs w:val="24"/>
          <w:lang w:val="en-US" w:eastAsia="zh-CN" w:bidi="ar-SA"/>
        </w:rPr>
        <w:t>19.1</w:t>
      </w:r>
      <w:r>
        <w:rPr>
          <w:rFonts w:hint="eastAsia" w:ascii="宋体" w:hAnsi="宋体" w:eastAsia="宋体" w:cs="宋体"/>
          <w:kern w:val="0"/>
          <w:sz w:val="24"/>
          <w:szCs w:val="24"/>
          <w:lang w:val="zh-CN" w:eastAsia="zh-CN" w:bidi="ar-SA"/>
        </w:rPr>
        <w:t>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8"/>
        <w:numPr>
          <w:ilvl w:val="0"/>
          <w:numId w:val="0"/>
        </w:numPr>
        <w:tabs>
          <w:tab w:val="left" w:pos="1860"/>
        </w:tabs>
        <w:spacing w:before="2" w:after="0" w:line="374" w:lineRule="auto"/>
        <w:ind w:leftChars="200" w:right="1137"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19.2</w:t>
      </w:r>
      <w:r>
        <w:rPr>
          <w:rFonts w:hint="eastAsia" w:ascii="宋体" w:hAnsi="宋体" w:eastAsia="宋体" w:cs="宋体"/>
          <w:kern w:val="0"/>
          <w:sz w:val="24"/>
          <w:szCs w:val="24"/>
          <w:lang w:val="zh-CN" w:eastAsia="zh-CN" w:bidi="ar-SA"/>
        </w:rPr>
        <w:t>磋商小组应当要求供应商在规定的时间内予以澄清、说明或者更正。澄清、说明或者更正材料由供应商法定代表人或委托代理人在规定的时间到达指定地点等候答疑，并对评委提出的问题做出应答（如不在场则视为自动放弃）。该内容不得超出磋商响应文件的范围或者改变磋商响应文件的实质性内容，并作为磋商响应文件的组成部分。</w:t>
      </w:r>
    </w:p>
    <w:p>
      <w:pPr>
        <w:pStyle w:val="98"/>
        <w:numPr>
          <w:ilvl w:val="0"/>
          <w:numId w:val="0"/>
        </w:numPr>
        <w:tabs>
          <w:tab w:val="left" w:pos="1860"/>
        </w:tabs>
        <w:spacing w:before="2" w:after="0" w:line="372" w:lineRule="auto"/>
        <w:ind w:leftChars="200" w:right="1145" w:right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19.3</w:t>
      </w:r>
      <w:r>
        <w:rPr>
          <w:rFonts w:hint="eastAsia" w:ascii="宋体" w:hAnsi="宋体" w:eastAsia="宋体" w:cs="宋体"/>
          <w:kern w:val="0"/>
          <w:sz w:val="24"/>
          <w:szCs w:val="24"/>
          <w:lang w:val="zh-CN" w:eastAsia="zh-CN" w:bidi="ar-SA"/>
        </w:rPr>
        <w:t>答疑期间，供应商存在以下情况的，澄清、说明或者更正的内容将不予接受，磋商小组将按照磋商文件的要求对现有的资料做出评审意见：</w:t>
      </w:r>
    </w:p>
    <w:p>
      <w:pPr>
        <w:pStyle w:val="98"/>
        <w:numPr>
          <w:ilvl w:val="0"/>
          <w:numId w:val="0"/>
        </w:numPr>
        <w:tabs>
          <w:tab w:val="left" w:pos="1861"/>
        </w:tabs>
        <w:spacing w:before="5" w:after="0" w:line="240" w:lineRule="auto"/>
        <w:ind w:leftChars="200" w:right="0" w:right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）拒绝或在规定的时间内未做出澄清、说明或者更正；</w:t>
      </w:r>
    </w:p>
    <w:p>
      <w:pPr>
        <w:pStyle w:val="98"/>
        <w:numPr>
          <w:ilvl w:val="0"/>
          <w:numId w:val="0"/>
        </w:numPr>
        <w:tabs>
          <w:tab w:val="left" w:pos="1861"/>
        </w:tabs>
        <w:spacing w:before="144" w:after="0" w:line="372" w:lineRule="auto"/>
        <w:ind w:leftChars="200" w:right="1145" w:right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）供应商的澄清、说明或者更正超出磋商响应文件的范围或者改变磋商响应文件的实质性内容；</w:t>
      </w:r>
    </w:p>
    <w:p>
      <w:pPr>
        <w:pStyle w:val="98"/>
        <w:numPr>
          <w:ilvl w:val="0"/>
          <w:numId w:val="0"/>
        </w:numPr>
        <w:tabs>
          <w:tab w:val="left" w:pos="1861"/>
        </w:tabs>
        <w:spacing w:before="5" w:after="0" w:line="240" w:lineRule="auto"/>
        <w:ind w:leftChars="200" w:right="0" w:right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）澄清、说明或者更正的内容仍不能说明问题的；</w:t>
      </w:r>
    </w:p>
    <w:p>
      <w:pPr>
        <w:pStyle w:val="98"/>
        <w:numPr>
          <w:ilvl w:val="0"/>
          <w:numId w:val="0"/>
        </w:numPr>
        <w:tabs>
          <w:tab w:val="left" w:pos="1861"/>
        </w:tabs>
        <w:spacing w:before="145" w:after="0" w:line="240" w:lineRule="auto"/>
        <w:ind w:leftChars="200" w:right="0" w:right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4</w:t>
      </w:r>
      <w:r>
        <w:rPr>
          <w:rFonts w:hint="eastAsia" w:ascii="宋体" w:hAnsi="宋体" w:eastAsia="宋体" w:cs="宋体"/>
          <w:kern w:val="0"/>
          <w:sz w:val="24"/>
          <w:szCs w:val="24"/>
          <w:lang w:val="zh-CN" w:eastAsia="zh-CN" w:bidi="ar-SA"/>
        </w:rPr>
        <w:t>）供应商主动提出的澄清、说明或者更正的内容；</w:t>
      </w:r>
    </w:p>
    <w:p>
      <w:pPr>
        <w:pStyle w:val="98"/>
        <w:numPr>
          <w:ilvl w:val="0"/>
          <w:numId w:val="0"/>
        </w:numPr>
        <w:tabs>
          <w:tab w:val="left" w:pos="1861"/>
        </w:tabs>
        <w:spacing w:before="142" w:after="0" w:line="240" w:lineRule="auto"/>
        <w:ind w:leftChars="200" w:right="0" w:rightChars="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w:t>
      </w:r>
      <w:r>
        <w:rPr>
          <w:rFonts w:hint="eastAsia" w:ascii="宋体" w:hAnsi="宋体" w:eastAsia="宋体" w:cs="宋体"/>
          <w:kern w:val="0"/>
          <w:sz w:val="24"/>
          <w:szCs w:val="24"/>
          <w:lang w:val="en-US" w:eastAsia="zh-CN" w:bidi="ar-SA"/>
        </w:rPr>
        <w:t>5</w:t>
      </w:r>
      <w:r>
        <w:rPr>
          <w:rFonts w:hint="eastAsia" w:ascii="宋体" w:hAnsi="宋体" w:eastAsia="宋体" w:cs="宋体"/>
          <w:kern w:val="0"/>
          <w:sz w:val="24"/>
          <w:szCs w:val="24"/>
          <w:lang w:val="zh-CN" w:eastAsia="zh-CN" w:bidi="ar-SA"/>
        </w:rPr>
        <w:t>）磋商小组认为应不予接受的其他情况</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20.评审办法</w:t>
      </w:r>
      <w:bookmarkEnd w:id="71"/>
      <w:bookmarkEnd w:id="72"/>
      <w:bookmarkEnd w:id="73"/>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20.1依照《中华人民共和国政府采购法》、《中华人民共和国政府采购法实施条例》、《政府采购竞争性磋商采购方式管理暂行办法》的规定，结合该项目的特点制定本评审办法。本次评审采用综合评分法。</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本次综合评分的主要因素是：磋商报价、技术水平、履约及售后服务能力等。评标过程中，在同等条件下，优先采购具有环境标志、节能、自主创新的产品。</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根据《政府采购促进中小企业发展管理办法》，属于中小企业制造的货物（产品），供应商须提供《中小企业声明函》，并由供应商加盖公章，其划型标准严格按照国家工信部、国家统计局、国家发改委、财政部出台的《中小企业划型标准规定》（工信部联企业[2011]300号）执行。供应商提供的《中小企业声明函》资料必须真实，如有虚假，将依法承担相应责任。</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根据财政部、民政部、中国残疾人联合会出台的《关于促进残疾人就业政府采购政策的通知》（财库[2017]141号），属残疾人福利性单位的，供应商须提供《残疾人福利性单位声明函》，并由供应商加盖公章，残疾人福利性单位视同小微企业，享受预留份额、评标中价格扣除等促进中小企业发展的政府采购政策。向残疾人福利性单位采购的金额，计入面向中小企业采购的统计数据。供应商提供的《残疾人福利性单位声明函》资料必须真实，如有虚假，将依法承担相应责任。</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20.2 比较与评价：经磋商小组确定最终采购需求和提交最后磋商报价的供应商名单后，由确定的供应商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技术指标优劣顺序排列。</w:t>
      </w:r>
    </w:p>
    <w:p>
      <w:pPr>
        <w:pStyle w:val="20"/>
        <w:spacing w:line="360" w:lineRule="auto"/>
        <w:rPr>
          <w:rFonts w:hAnsi="宋体"/>
          <w:b/>
          <w:sz w:val="24"/>
          <w:szCs w:val="24"/>
        </w:rPr>
      </w:pPr>
      <w:r>
        <w:rPr>
          <w:rFonts w:hint="eastAsia" w:hAnsi="宋体"/>
          <w:b/>
          <w:sz w:val="24"/>
          <w:szCs w:val="24"/>
        </w:rPr>
        <w:t>具体项目及评分细则：</w:t>
      </w:r>
    </w:p>
    <w:tbl>
      <w:tblPr>
        <w:tblStyle w:val="35"/>
        <w:tblW w:w="986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1023"/>
        <w:gridCol w:w="1231"/>
        <w:gridCol w:w="6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2337" w:type="dxa"/>
            <w:gridSpan w:val="2"/>
          </w:tcPr>
          <w:p>
            <w:pPr>
              <w:pStyle w:val="143"/>
              <w:spacing w:before="92"/>
              <w:ind w:left="588"/>
              <w:rPr>
                <w:sz w:val="24"/>
              </w:rPr>
            </w:pPr>
            <w:r>
              <w:rPr>
                <w:sz w:val="24"/>
              </w:rPr>
              <w:t>评审因素</w:t>
            </w:r>
          </w:p>
        </w:tc>
        <w:tc>
          <w:tcPr>
            <w:tcW w:w="1231" w:type="dxa"/>
          </w:tcPr>
          <w:p>
            <w:pPr>
              <w:pStyle w:val="143"/>
              <w:spacing w:before="92"/>
              <w:ind w:left="106"/>
              <w:rPr>
                <w:sz w:val="24"/>
              </w:rPr>
            </w:pPr>
            <w:r>
              <w:rPr>
                <w:sz w:val="24"/>
              </w:rPr>
              <w:t>评审分数</w:t>
            </w:r>
          </w:p>
        </w:tc>
        <w:tc>
          <w:tcPr>
            <w:tcW w:w="6300" w:type="dxa"/>
          </w:tcPr>
          <w:p>
            <w:pPr>
              <w:pStyle w:val="143"/>
              <w:spacing w:before="92"/>
              <w:ind w:left="587"/>
              <w:rPr>
                <w:sz w:val="24"/>
              </w:rPr>
            </w:pPr>
            <w:r>
              <w:rPr>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314" w:type="dxa"/>
          </w:tcPr>
          <w:p>
            <w:pPr>
              <w:pStyle w:val="143"/>
              <w:rPr>
                <w:sz w:val="24"/>
              </w:rPr>
            </w:pPr>
          </w:p>
          <w:p>
            <w:pPr>
              <w:pStyle w:val="143"/>
              <w:rPr>
                <w:sz w:val="24"/>
              </w:rPr>
            </w:pPr>
          </w:p>
          <w:p>
            <w:pPr>
              <w:pStyle w:val="143"/>
              <w:rPr>
                <w:sz w:val="24"/>
              </w:rPr>
            </w:pPr>
          </w:p>
          <w:p>
            <w:pPr>
              <w:pStyle w:val="143"/>
              <w:spacing w:before="158" w:line="312" w:lineRule="auto"/>
              <w:ind w:left="108" w:right="233"/>
              <w:rPr>
                <w:sz w:val="24"/>
              </w:rPr>
            </w:pPr>
            <w:r>
              <w:rPr>
                <w:sz w:val="24"/>
              </w:rPr>
              <w:t>投标报价30 分</w:t>
            </w:r>
          </w:p>
        </w:tc>
        <w:tc>
          <w:tcPr>
            <w:tcW w:w="1023" w:type="dxa"/>
          </w:tcPr>
          <w:p>
            <w:pPr>
              <w:pStyle w:val="143"/>
              <w:rPr>
                <w:sz w:val="24"/>
              </w:rPr>
            </w:pPr>
          </w:p>
          <w:p>
            <w:pPr>
              <w:pStyle w:val="143"/>
              <w:rPr>
                <w:sz w:val="24"/>
              </w:rPr>
            </w:pPr>
          </w:p>
          <w:p>
            <w:pPr>
              <w:pStyle w:val="143"/>
              <w:rPr>
                <w:sz w:val="24"/>
              </w:rPr>
            </w:pPr>
          </w:p>
          <w:p>
            <w:pPr>
              <w:pStyle w:val="143"/>
              <w:spacing w:before="11"/>
              <w:rPr>
                <w:sz w:val="27"/>
              </w:rPr>
            </w:pPr>
          </w:p>
          <w:p>
            <w:pPr>
              <w:pStyle w:val="143"/>
              <w:ind w:left="107"/>
              <w:rPr>
                <w:sz w:val="24"/>
              </w:rPr>
            </w:pPr>
            <w:r>
              <w:rPr>
                <w:sz w:val="24"/>
              </w:rPr>
              <w:t>报价分</w:t>
            </w:r>
          </w:p>
        </w:tc>
        <w:tc>
          <w:tcPr>
            <w:tcW w:w="1231" w:type="dxa"/>
          </w:tcPr>
          <w:p>
            <w:pPr>
              <w:pStyle w:val="143"/>
              <w:rPr>
                <w:sz w:val="24"/>
              </w:rPr>
            </w:pPr>
          </w:p>
          <w:p>
            <w:pPr>
              <w:pStyle w:val="143"/>
              <w:rPr>
                <w:sz w:val="24"/>
              </w:rPr>
            </w:pPr>
          </w:p>
          <w:p>
            <w:pPr>
              <w:pStyle w:val="143"/>
              <w:rPr>
                <w:sz w:val="24"/>
              </w:rPr>
            </w:pPr>
          </w:p>
          <w:p>
            <w:pPr>
              <w:pStyle w:val="143"/>
              <w:spacing w:before="11"/>
              <w:rPr>
                <w:sz w:val="27"/>
              </w:rPr>
            </w:pPr>
          </w:p>
          <w:p>
            <w:pPr>
              <w:pStyle w:val="143"/>
              <w:ind w:left="586"/>
              <w:rPr>
                <w:sz w:val="24"/>
              </w:rPr>
            </w:pPr>
            <w:r>
              <w:rPr>
                <w:sz w:val="24"/>
              </w:rPr>
              <w:t>30</w:t>
            </w:r>
          </w:p>
        </w:tc>
        <w:tc>
          <w:tcPr>
            <w:tcW w:w="6300" w:type="dxa"/>
          </w:tcPr>
          <w:p>
            <w:pPr>
              <w:pStyle w:val="143"/>
              <w:spacing w:before="80" w:line="312" w:lineRule="auto"/>
              <w:ind w:right="-29"/>
              <w:rPr>
                <w:sz w:val="24"/>
              </w:rPr>
            </w:pPr>
            <w:r>
              <w:rPr>
                <w:sz w:val="24"/>
              </w:rPr>
              <w:t>在所有的有效投标报价中，以最低投标报价为基准价，其</w:t>
            </w:r>
            <w:r>
              <w:rPr>
                <w:spacing w:val="-7"/>
                <w:sz w:val="24"/>
              </w:rPr>
              <w:t xml:space="preserve">价格分为满分。其他投标人的报价分统一按下列公式计算： </w:t>
            </w:r>
            <w:r>
              <w:rPr>
                <w:spacing w:val="-2"/>
                <w:sz w:val="24"/>
              </w:rPr>
              <w:t>投标报价得分=(评标基准价／投标报价)×价格权值</w:t>
            </w:r>
            <w:r>
              <w:rPr>
                <w:spacing w:val="-3"/>
                <w:sz w:val="24"/>
              </w:rPr>
              <w:t>（30%）</w:t>
            </w:r>
          </w:p>
          <w:p>
            <w:pPr>
              <w:pStyle w:val="143"/>
              <w:spacing w:before="1"/>
              <w:ind w:left="107"/>
              <w:rPr>
                <w:sz w:val="24"/>
              </w:rPr>
            </w:pPr>
            <w:r>
              <w:rPr>
                <w:sz w:val="24"/>
              </w:rPr>
              <w:t>×100（四舍五入后保留小数点后两位）。</w:t>
            </w:r>
          </w:p>
          <w:p>
            <w:pPr>
              <w:pStyle w:val="143"/>
              <w:spacing w:before="93"/>
              <w:ind w:left="107"/>
              <w:rPr>
                <w:sz w:val="24"/>
              </w:rPr>
            </w:pPr>
            <w:r>
              <w:rPr>
                <w:sz w:val="24"/>
              </w:rPr>
              <w:t>注：根据《政府采购促进中小企业发展暂行办法》的相关</w:t>
            </w:r>
          </w:p>
          <w:p>
            <w:pPr>
              <w:pStyle w:val="143"/>
              <w:spacing w:before="1" w:line="400" w:lineRule="atLeast"/>
              <w:ind w:left="107" w:right="39"/>
              <w:rPr>
                <w:sz w:val="24"/>
              </w:rPr>
            </w:pPr>
            <w:r>
              <w:rPr>
                <w:sz w:val="24"/>
              </w:rPr>
              <w:t>规定，对小型和微型企业制造（生产）产品的价格给予 6% 的扣除，用扣除后的价格参与评审。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14" w:type="dxa"/>
            <w:vMerge w:val="restart"/>
          </w:tcPr>
          <w:p>
            <w:pPr>
              <w:pStyle w:val="143"/>
              <w:rPr>
                <w:sz w:val="24"/>
              </w:rPr>
            </w:pPr>
          </w:p>
          <w:p>
            <w:pPr>
              <w:pStyle w:val="143"/>
              <w:rPr>
                <w:sz w:val="24"/>
              </w:rPr>
            </w:pPr>
          </w:p>
          <w:p>
            <w:pPr>
              <w:pStyle w:val="143"/>
              <w:rPr>
                <w:sz w:val="24"/>
              </w:rPr>
            </w:pPr>
          </w:p>
          <w:p>
            <w:pPr>
              <w:pStyle w:val="143"/>
              <w:rPr>
                <w:sz w:val="30"/>
              </w:rPr>
            </w:pPr>
          </w:p>
          <w:p>
            <w:pPr>
              <w:pStyle w:val="143"/>
              <w:spacing w:line="312" w:lineRule="auto"/>
              <w:ind w:left="108" w:right="233"/>
              <w:rPr>
                <w:sz w:val="24"/>
              </w:rPr>
            </w:pPr>
            <w:r>
              <w:rPr>
                <w:sz w:val="24"/>
              </w:rPr>
              <w:t>技术水平37 分</w:t>
            </w:r>
          </w:p>
        </w:tc>
        <w:tc>
          <w:tcPr>
            <w:tcW w:w="1023" w:type="dxa"/>
          </w:tcPr>
          <w:p>
            <w:pPr>
              <w:pStyle w:val="143"/>
              <w:spacing w:line="400" w:lineRule="exact"/>
              <w:ind w:left="107" w:right="183"/>
              <w:rPr>
                <w:sz w:val="24"/>
              </w:rPr>
            </w:pPr>
            <w:r>
              <w:rPr>
                <w:sz w:val="24"/>
              </w:rPr>
              <w:t>技术参数</w:t>
            </w:r>
          </w:p>
        </w:tc>
        <w:tc>
          <w:tcPr>
            <w:tcW w:w="1231" w:type="dxa"/>
          </w:tcPr>
          <w:p>
            <w:pPr>
              <w:pStyle w:val="143"/>
              <w:rPr>
                <w:sz w:val="22"/>
              </w:rPr>
            </w:pPr>
          </w:p>
          <w:p>
            <w:pPr>
              <w:pStyle w:val="143"/>
              <w:ind w:left="586"/>
              <w:rPr>
                <w:sz w:val="24"/>
              </w:rPr>
            </w:pPr>
            <w:r>
              <w:rPr>
                <w:sz w:val="24"/>
              </w:rPr>
              <w:t>35</w:t>
            </w:r>
          </w:p>
        </w:tc>
        <w:tc>
          <w:tcPr>
            <w:tcW w:w="6300" w:type="dxa"/>
          </w:tcPr>
          <w:p>
            <w:pPr>
              <w:pStyle w:val="143"/>
              <w:spacing w:line="400" w:lineRule="exact"/>
              <w:ind w:left="107" w:right="96"/>
              <w:rPr>
                <w:sz w:val="24"/>
              </w:rPr>
            </w:pPr>
            <w:r>
              <w:rPr>
                <w:sz w:val="24"/>
              </w:rPr>
              <w:t xml:space="preserve">投标产品技术参数和配置完全满足或高于招标文件要求的，得 35 分；每有一项负偏离扣 </w:t>
            </w:r>
            <w:r>
              <w:rPr>
                <w:rFonts w:hint="eastAsia"/>
                <w:sz w:val="24"/>
                <w:lang w:val="en-US" w:eastAsia="zh-CN"/>
              </w:rPr>
              <w:t>5</w:t>
            </w:r>
            <w:r>
              <w:rPr>
                <w:sz w:val="24"/>
              </w:rPr>
              <w:t xml:space="preserve">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5" w:hRule="atLeast"/>
        </w:trPr>
        <w:tc>
          <w:tcPr>
            <w:tcW w:w="1314" w:type="dxa"/>
            <w:vMerge w:val="continue"/>
            <w:tcBorders>
              <w:top w:val="nil"/>
            </w:tcBorders>
          </w:tcPr>
          <w:p>
            <w:pPr>
              <w:rPr>
                <w:sz w:val="2"/>
                <w:szCs w:val="2"/>
              </w:rPr>
            </w:pPr>
          </w:p>
        </w:tc>
        <w:tc>
          <w:tcPr>
            <w:tcW w:w="1023" w:type="dxa"/>
          </w:tcPr>
          <w:p>
            <w:pPr>
              <w:pStyle w:val="143"/>
              <w:rPr>
                <w:sz w:val="24"/>
              </w:rPr>
            </w:pPr>
          </w:p>
          <w:p>
            <w:pPr>
              <w:pStyle w:val="143"/>
              <w:rPr>
                <w:sz w:val="24"/>
              </w:rPr>
            </w:pPr>
          </w:p>
          <w:p>
            <w:pPr>
              <w:pStyle w:val="143"/>
              <w:spacing w:before="208" w:line="381" w:lineRule="auto"/>
              <w:ind w:left="107" w:right="183"/>
              <w:rPr>
                <w:sz w:val="24"/>
              </w:rPr>
            </w:pPr>
            <w:r>
              <w:rPr>
                <w:sz w:val="24"/>
              </w:rPr>
              <w:t>环保和节能</w:t>
            </w:r>
          </w:p>
        </w:tc>
        <w:tc>
          <w:tcPr>
            <w:tcW w:w="1231" w:type="dxa"/>
          </w:tcPr>
          <w:p>
            <w:pPr>
              <w:pStyle w:val="143"/>
              <w:rPr>
                <w:sz w:val="24"/>
              </w:rPr>
            </w:pPr>
          </w:p>
          <w:p>
            <w:pPr>
              <w:pStyle w:val="143"/>
              <w:rPr>
                <w:sz w:val="24"/>
              </w:rPr>
            </w:pPr>
          </w:p>
          <w:p>
            <w:pPr>
              <w:pStyle w:val="143"/>
              <w:spacing w:before="4"/>
              <w:rPr>
                <w:sz w:val="35"/>
              </w:rPr>
            </w:pPr>
          </w:p>
          <w:p>
            <w:pPr>
              <w:pStyle w:val="143"/>
              <w:ind w:left="10"/>
              <w:jc w:val="center"/>
              <w:rPr>
                <w:sz w:val="24"/>
              </w:rPr>
            </w:pPr>
            <w:r>
              <w:rPr>
                <w:sz w:val="24"/>
              </w:rPr>
              <w:t>2</w:t>
            </w:r>
          </w:p>
        </w:tc>
        <w:tc>
          <w:tcPr>
            <w:tcW w:w="6300" w:type="dxa"/>
          </w:tcPr>
          <w:p>
            <w:pPr>
              <w:pStyle w:val="143"/>
              <w:spacing w:before="91" w:line="381" w:lineRule="auto"/>
              <w:ind w:left="107" w:right="96"/>
              <w:rPr>
                <w:sz w:val="24"/>
              </w:rPr>
            </w:pPr>
            <w:r>
              <w:rPr>
                <w:spacing w:val="-5"/>
                <w:sz w:val="24"/>
              </w:rPr>
              <w:t xml:space="preserve">所投产品为节能产品的得 </w:t>
            </w:r>
            <w:r>
              <w:rPr>
                <w:sz w:val="24"/>
              </w:rPr>
              <w:t>1</w:t>
            </w:r>
            <w:r>
              <w:rPr>
                <w:spacing w:val="-18"/>
                <w:sz w:val="24"/>
              </w:rPr>
              <w:t xml:space="preserve"> 分；所投产品为环保产品的得 </w:t>
            </w:r>
            <w:r>
              <w:rPr>
                <w:spacing w:val="-16"/>
                <w:sz w:val="24"/>
              </w:rPr>
              <w:t xml:space="preserve">1 </w:t>
            </w:r>
            <w:r>
              <w:rPr>
                <w:sz w:val="24"/>
              </w:rPr>
              <w:t>分；未提供不得分。该项得分的认定以《节能产品认证证书》、《环境标志产品认证证书》复印件和政府部门公布的《节能产品政府采购品目清单》、《环境标志产品政府采购品目清单》为准。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14" w:type="dxa"/>
          </w:tcPr>
          <w:p>
            <w:pPr>
              <w:pStyle w:val="143"/>
              <w:rPr>
                <w:sz w:val="24"/>
              </w:rPr>
            </w:pPr>
          </w:p>
          <w:p>
            <w:pPr>
              <w:pStyle w:val="143"/>
              <w:spacing w:before="173" w:line="312" w:lineRule="auto"/>
              <w:ind w:left="108" w:right="173"/>
              <w:jc w:val="both"/>
              <w:rPr>
                <w:sz w:val="24"/>
              </w:rPr>
            </w:pPr>
            <w:r>
              <w:rPr>
                <w:sz w:val="24"/>
              </w:rPr>
              <w:t>项目管理</w:t>
            </w:r>
            <w:r>
              <w:rPr>
                <w:spacing w:val="-15"/>
                <w:sz w:val="24"/>
              </w:rPr>
              <w:t xml:space="preserve">及方案 </w:t>
            </w:r>
            <w:r>
              <w:rPr>
                <w:spacing w:val="-9"/>
                <w:sz w:val="24"/>
              </w:rPr>
              <w:t>1</w:t>
            </w:r>
            <w:r>
              <w:rPr>
                <w:rFonts w:hint="eastAsia"/>
                <w:spacing w:val="-9"/>
                <w:sz w:val="24"/>
                <w:lang w:val="en-US" w:eastAsia="zh-CN"/>
              </w:rPr>
              <w:t>3</w:t>
            </w:r>
            <w:r>
              <w:rPr>
                <w:spacing w:val="-9"/>
                <w:sz w:val="24"/>
              </w:rPr>
              <w:t xml:space="preserve"> </w:t>
            </w:r>
            <w:r>
              <w:rPr>
                <w:sz w:val="24"/>
              </w:rPr>
              <w:t>分</w:t>
            </w:r>
          </w:p>
        </w:tc>
        <w:tc>
          <w:tcPr>
            <w:tcW w:w="1023" w:type="dxa"/>
          </w:tcPr>
          <w:p>
            <w:pPr>
              <w:pStyle w:val="143"/>
              <w:rPr>
                <w:sz w:val="24"/>
              </w:rPr>
            </w:pPr>
          </w:p>
          <w:p>
            <w:pPr>
              <w:pStyle w:val="143"/>
              <w:spacing w:before="173" w:line="312" w:lineRule="auto"/>
              <w:ind w:left="107" w:right="183"/>
              <w:jc w:val="both"/>
              <w:rPr>
                <w:sz w:val="24"/>
              </w:rPr>
            </w:pPr>
            <w:r>
              <w:rPr>
                <w:sz w:val="24"/>
              </w:rPr>
              <w:t>项目管理及实施方案</w:t>
            </w:r>
          </w:p>
        </w:tc>
        <w:tc>
          <w:tcPr>
            <w:tcW w:w="1231" w:type="dxa"/>
          </w:tcPr>
          <w:p>
            <w:pPr>
              <w:pStyle w:val="143"/>
              <w:rPr>
                <w:sz w:val="24"/>
              </w:rPr>
            </w:pPr>
          </w:p>
          <w:p>
            <w:pPr>
              <w:pStyle w:val="143"/>
              <w:rPr>
                <w:sz w:val="24"/>
              </w:rPr>
            </w:pPr>
          </w:p>
          <w:p>
            <w:pPr>
              <w:pStyle w:val="143"/>
              <w:spacing w:before="9"/>
              <w:rPr>
                <w:sz w:val="20"/>
              </w:rPr>
            </w:pPr>
          </w:p>
          <w:p>
            <w:pPr>
              <w:pStyle w:val="143"/>
              <w:spacing w:before="1"/>
              <w:ind w:left="72"/>
              <w:jc w:val="center"/>
              <w:rPr>
                <w:rFonts w:hint="eastAsia" w:eastAsia="宋体"/>
                <w:sz w:val="24"/>
                <w:lang w:eastAsia="zh-CN"/>
              </w:rPr>
            </w:pPr>
            <w:r>
              <w:rPr>
                <w:rFonts w:hint="eastAsia"/>
                <w:sz w:val="24"/>
                <w:lang w:val="en-US" w:eastAsia="zh-CN"/>
              </w:rPr>
              <w:t>8</w:t>
            </w:r>
          </w:p>
        </w:tc>
        <w:tc>
          <w:tcPr>
            <w:tcW w:w="6300" w:type="dxa"/>
          </w:tcPr>
          <w:p>
            <w:pPr>
              <w:pStyle w:val="143"/>
              <w:spacing w:before="82" w:line="312" w:lineRule="auto"/>
              <w:ind w:left="107" w:right="96"/>
              <w:jc w:val="both"/>
              <w:rPr>
                <w:spacing w:val="-20"/>
                <w:sz w:val="24"/>
              </w:rPr>
            </w:pPr>
            <w:r>
              <w:rPr>
                <w:spacing w:val="-2"/>
                <w:sz w:val="24"/>
              </w:rPr>
              <w:t>项目管理机构及人员责任范围</w:t>
            </w:r>
            <w:r>
              <w:rPr>
                <w:sz w:val="24"/>
              </w:rPr>
              <w:t>（</w:t>
            </w:r>
            <w:r>
              <w:rPr>
                <w:rFonts w:hint="eastAsia"/>
                <w:sz w:val="24"/>
                <w:lang w:val="en-US" w:eastAsia="zh-CN"/>
              </w:rPr>
              <w:t>8</w:t>
            </w:r>
            <w:r>
              <w:rPr>
                <w:spacing w:val="-30"/>
                <w:sz w:val="24"/>
              </w:rPr>
              <w:t xml:space="preserve"> 分</w:t>
            </w:r>
            <w:r>
              <w:rPr>
                <w:spacing w:val="-24"/>
                <w:sz w:val="24"/>
              </w:rPr>
              <w:t>）：</w:t>
            </w:r>
            <w:r>
              <w:rPr>
                <w:spacing w:val="-6"/>
                <w:sz w:val="24"/>
              </w:rPr>
              <w:t>根据供货内容，供</w:t>
            </w:r>
            <w:r>
              <w:rPr>
                <w:sz w:val="24"/>
              </w:rPr>
              <w:t>货服务供应商须设置项目管理机构人员配备合理，人员分</w:t>
            </w:r>
            <w:r>
              <w:rPr>
                <w:spacing w:val="-4"/>
                <w:sz w:val="24"/>
              </w:rPr>
              <w:t xml:space="preserve">工明确，人员责任及服务范围清晰，得 </w:t>
            </w:r>
            <w:r>
              <w:rPr>
                <w:rFonts w:hint="eastAsia"/>
                <w:sz w:val="24"/>
                <w:lang w:val="en-US" w:eastAsia="zh-CN"/>
              </w:rPr>
              <w:t>8</w:t>
            </w:r>
            <w:r>
              <w:rPr>
                <w:spacing w:val="-20"/>
                <w:sz w:val="24"/>
              </w:rPr>
              <w:t xml:space="preserve"> 分；</w:t>
            </w:r>
          </w:p>
          <w:p>
            <w:pPr>
              <w:pStyle w:val="143"/>
              <w:spacing w:before="82" w:line="312" w:lineRule="auto"/>
              <w:ind w:left="107" w:right="96"/>
              <w:jc w:val="both"/>
              <w:rPr>
                <w:sz w:val="24"/>
              </w:rPr>
            </w:pPr>
            <w:r>
              <w:rPr>
                <w:sz w:val="24"/>
              </w:rPr>
              <w:t xml:space="preserve">人员配备较合理，人员分工较明确，人员责任及服务范围较清晰，得 </w:t>
            </w:r>
            <w:r>
              <w:rPr>
                <w:rFonts w:hint="eastAsia"/>
                <w:sz w:val="24"/>
                <w:lang w:val="en-US" w:eastAsia="zh-CN"/>
              </w:rPr>
              <w:t>4</w:t>
            </w:r>
            <w:r>
              <w:rPr>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314" w:type="dxa"/>
            <w:vMerge w:val="restart"/>
          </w:tcPr>
          <w:p>
            <w:pPr>
              <w:pStyle w:val="143"/>
              <w:rPr>
                <w:rFonts w:ascii="Times New Roman"/>
                <w:sz w:val="22"/>
              </w:rPr>
            </w:pPr>
          </w:p>
        </w:tc>
        <w:tc>
          <w:tcPr>
            <w:tcW w:w="1023" w:type="dxa"/>
          </w:tcPr>
          <w:p>
            <w:pPr>
              <w:pStyle w:val="143"/>
              <w:rPr>
                <w:rFonts w:ascii="Times New Roman"/>
                <w:sz w:val="22"/>
              </w:rPr>
            </w:pPr>
          </w:p>
        </w:tc>
        <w:tc>
          <w:tcPr>
            <w:tcW w:w="1231" w:type="dxa"/>
          </w:tcPr>
          <w:p>
            <w:pPr>
              <w:pStyle w:val="143"/>
              <w:rPr>
                <w:rFonts w:ascii="Times New Roman"/>
                <w:sz w:val="22"/>
              </w:rPr>
            </w:pPr>
          </w:p>
        </w:tc>
        <w:tc>
          <w:tcPr>
            <w:tcW w:w="6300" w:type="dxa"/>
          </w:tcPr>
          <w:p>
            <w:pPr>
              <w:pStyle w:val="143"/>
              <w:spacing w:before="80" w:line="312" w:lineRule="auto"/>
              <w:ind w:left="107" w:right="96"/>
              <w:rPr>
                <w:sz w:val="24"/>
              </w:rPr>
            </w:pPr>
            <w:r>
              <w:rPr>
                <w:sz w:val="24"/>
              </w:rPr>
              <w:t>人员配备一般，人员分工不明确，人员责任及服务范围不够清晰，得 2 分；</w:t>
            </w:r>
          </w:p>
          <w:p>
            <w:pPr>
              <w:pStyle w:val="143"/>
              <w:spacing w:before="2" w:line="312" w:lineRule="auto"/>
              <w:ind w:left="107" w:right="96"/>
              <w:rPr>
                <w:sz w:val="24"/>
              </w:rPr>
            </w:pPr>
            <w:r>
              <w:rPr>
                <w:sz w:val="24"/>
              </w:rPr>
              <w:t>人员配备不合理，人员分工、人员责任及服务范围不明确的，得 1 分；</w:t>
            </w:r>
          </w:p>
          <w:p>
            <w:pPr>
              <w:pStyle w:val="143"/>
              <w:spacing w:line="299" w:lineRule="exact"/>
              <w:ind w:left="107"/>
              <w:rPr>
                <w:sz w:val="24"/>
              </w:rPr>
            </w:pPr>
            <w:r>
              <w:rPr>
                <w:sz w:val="24"/>
              </w:rPr>
              <w:t>未设置项目管理机构的不得分。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14" w:type="dxa"/>
            <w:vMerge w:val="continue"/>
            <w:tcBorders>
              <w:top w:val="nil"/>
            </w:tcBorders>
          </w:tcPr>
          <w:p>
            <w:pPr>
              <w:rPr>
                <w:sz w:val="2"/>
                <w:szCs w:val="2"/>
              </w:rPr>
            </w:pPr>
          </w:p>
        </w:tc>
        <w:tc>
          <w:tcPr>
            <w:tcW w:w="1023" w:type="dxa"/>
          </w:tcPr>
          <w:p>
            <w:pPr>
              <w:pStyle w:val="143"/>
              <w:rPr>
                <w:sz w:val="24"/>
              </w:rPr>
            </w:pPr>
          </w:p>
          <w:p>
            <w:pPr>
              <w:pStyle w:val="143"/>
              <w:rPr>
                <w:sz w:val="24"/>
              </w:rPr>
            </w:pPr>
          </w:p>
          <w:p>
            <w:pPr>
              <w:pStyle w:val="143"/>
              <w:spacing w:line="312" w:lineRule="auto"/>
              <w:ind w:left="107" w:right="183"/>
              <w:jc w:val="both"/>
              <w:rPr>
                <w:sz w:val="24"/>
              </w:rPr>
            </w:pPr>
            <w:r>
              <w:rPr>
                <w:sz w:val="24"/>
              </w:rPr>
              <w:t>包装及配送方案</w:t>
            </w:r>
          </w:p>
        </w:tc>
        <w:tc>
          <w:tcPr>
            <w:tcW w:w="1231" w:type="dxa"/>
          </w:tcPr>
          <w:p>
            <w:pPr>
              <w:pStyle w:val="143"/>
              <w:rPr>
                <w:sz w:val="24"/>
              </w:rPr>
            </w:pPr>
          </w:p>
          <w:p>
            <w:pPr>
              <w:pStyle w:val="143"/>
              <w:rPr>
                <w:sz w:val="24"/>
              </w:rPr>
            </w:pPr>
          </w:p>
          <w:p>
            <w:pPr>
              <w:pStyle w:val="143"/>
              <w:spacing w:before="3"/>
              <w:rPr>
                <w:sz w:val="35"/>
              </w:rPr>
            </w:pPr>
          </w:p>
          <w:p>
            <w:pPr>
              <w:pStyle w:val="143"/>
              <w:ind w:left="586"/>
              <w:rPr>
                <w:rFonts w:hint="eastAsia" w:eastAsia="宋体"/>
                <w:sz w:val="24"/>
                <w:lang w:eastAsia="zh-CN"/>
              </w:rPr>
            </w:pPr>
            <w:r>
              <w:rPr>
                <w:rFonts w:hint="eastAsia"/>
                <w:sz w:val="24"/>
                <w:lang w:val="en-US" w:eastAsia="zh-CN"/>
              </w:rPr>
              <w:t>5</w:t>
            </w:r>
          </w:p>
        </w:tc>
        <w:tc>
          <w:tcPr>
            <w:tcW w:w="6300" w:type="dxa"/>
          </w:tcPr>
          <w:p>
            <w:pPr>
              <w:pStyle w:val="143"/>
              <w:spacing w:before="81" w:line="312" w:lineRule="auto"/>
              <w:ind w:left="107" w:right="-29"/>
              <w:rPr>
                <w:sz w:val="24"/>
              </w:rPr>
            </w:pPr>
            <w:r>
              <w:rPr>
                <w:spacing w:val="-4"/>
                <w:sz w:val="24"/>
              </w:rPr>
              <w:t xml:space="preserve">针对采购项目需求提供货物包装、配送、运输及安装方案： </w:t>
            </w:r>
            <w:r>
              <w:rPr>
                <w:spacing w:val="-11"/>
                <w:sz w:val="24"/>
              </w:rPr>
              <w:t xml:space="preserve">方案符合先进性、安全性、易用性、不易损坏性原则的得 </w:t>
            </w:r>
            <w:r>
              <w:rPr>
                <w:rFonts w:hint="eastAsia"/>
                <w:sz w:val="24"/>
                <w:lang w:val="en-US" w:eastAsia="zh-CN"/>
              </w:rPr>
              <w:t>5</w:t>
            </w:r>
            <w:r>
              <w:rPr>
                <w:sz w:val="24"/>
              </w:rPr>
              <w:t xml:space="preserve"> 分；</w:t>
            </w:r>
          </w:p>
          <w:p>
            <w:pPr>
              <w:pStyle w:val="143"/>
              <w:spacing w:line="312" w:lineRule="auto"/>
              <w:ind w:left="107" w:right="96"/>
              <w:rPr>
                <w:sz w:val="24"/>
              </w:rPr>
            </w:pPr>
            <w:r>
              <w:rPr>
                <w:sz w:val="24"/>
              </w:rPr>
              <w:t>方案基本符合先进性、安全性、易用性、不易损坏性原则的得</w:t>
            </w:r>
            <w:r>
              <w:rPr>
                <w:rFonts w:hint="eastAsia"/>
                <w:sz w:val="24"/>
                <w:lang w:val="en-US" w:eastAsia="zh-CN"/>
              </w:rPr>
              <w:t>3</w:t>
            </w:r>
            <w:r>
              <w:rPr>
                <w:sz w:val="24"/>
              </w:rPr>
              <w:t xml:space="preserve"> 分；提供方案不完善的得 1 分；</w:t>
            </w:r>
          </w:p>
          <w:p>
            <w:pPr>
              <w:pStyle w:val="143"/>
              <w:spacing w:before="91" w:line="300" w:lineRule="exact"/>
              <w:ind w:left="107"/>
              <w:rPr>
                <w:sz w:val="24"/>
              </w:rPr>
            </w:pPr>
            <w:r>
              <w:rPr>
                <w:sz w:val="24"/>
              </w:rPr>
              <w:t>不提供的不得分。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2337" w:type="dxa"/>
            <w:gridSpan w:val="2"/>
          </w:tcPr>
          <w:p>
            <w:pPr>
              <w:pStyle w:val="143"/>
              <w:rPr>
                <w:sz w:val="24"/>
              </w:rPr>
            </w:pPr>
          </w:p>
          <w:p>
            <w:pPr>
              <w:pStyle w:val="143"/>
              <w:spacing w:before="1"/>
              <w:rPr>
                <w:sz w:val="29"/>
              </w:rPr>
            </w:pPr>
          </w:p>
          <w:p>
            <w:pPr>
              <w:pStyle w:val="143"/>
              <w:ind w:left="108"/>
              <w:rPr>
                <w:sz w:val="24"/>
              </w:rPr>
            </w:pPr>
            <w:r>
              <w:rPr>
                <w:sz w:val="24"/>
              </w:rPr>
              <w:t xml:space="preserve">类似业绩情况 </w:t>
            </w:r>
            <w:r>
              <w:rPr>
                <w:rFonts w:hint="eastAsia"/>
                <w:sz w:val="24"/>
                <w:lang w:val="en-US" w:eastAsia="zh-CN"/>
              </w:rPr>
              <w:t>10</w:t>
            </w:r>
            <w:r>
              <w:rPr>
                <w:sz w:val="24"/>
              </w:rPr>
              <w:t xml:space="preserve"> 分</w:t>
            </w:r>
          </w:p>
        </w:tc>
        <w:tc>
          <w:tcPr>
            <w:tcW w:w="1231" w:type="dxa"/>
          </w:tcPr>
          <w:p>
            <w:pPr>
              <w:pStyle w:val="143"/>
              <w:rPr>
                <w:sz w:val="24"/>
              </w:rPr>
            </w:pPr>
          </w:p>
          <w:p>
            <w:pPr>
              <w:pStyle w:val="143"/>
              <w:spacing w:before="1"/>
              <w:rPr>
                <w:sz w:val="29"/>
              </w:rPr>
            </w:pPr>
          </w:p>
          <w:p>
            <w:pPr>
              <w:pStyle w:val="143"/>
              <w:ind w:left="586"/>
              <w:rPr>
                <w:rFonts w:hint="default" w:eastAsia="宋体"/>
                <w:sz w:val="24"/>
                <w:lang w:val="en-US" w:eastAsia="zh-CN"/>
              </w:rPr>
            </w:pPr>
            <w:r>
              <w:rPr>
                <w:rFonts w:hint="eastAsia"/>
                <w:sz w:val="24"/>
                <w:lang w:val="en-US" w:eastAsia="zh-CN"/>
              </w:rPr>
              <w:t>10</w:t>
            </w:r>
          </w:p>
        </w:tc>
        <w:tc>
          <w:tcPr>
            <w:tcW w:w="6300" w:type="dxa"/>
          </w:tcPr>
          <w:p>
            <w:pPr>
              <w:pStyle w:val="143"/>
              <w:spacing w:before="81"/>
              <w:ind w:left="107"/>
              <w:rPr>
                <w:sz w:val="24"/>
              </w:rPr>
            </w:pPr>
            <w:r>
              <w:rPr>
                <w:spacing w:val="-9"/>
                <w:sz w:val="24"/>
              </w:rPr>
              <w:t xml:space="preserve">投标人提供 </w:t>
            </w:r>
            <w:r>
              <w:rPr>
                <w:sz w:val="24"/>
              </w:rPr>
              <w:t>2018</w:t>
            </w:r>
            <w:r>
              <w:rPr>
                <w:spacing w:val="-36"/>
                <w:sz w:val="24"/>
              </w:rPr>
              <w:t xml:space="preserve"> 年</w:t>
            </w:r>
            <w:r>
              <w:rPr>
                <w:rFonts w:hint="eastAsia"/>
                <w:spacing w:val="-36"/>
                <w:sz w:val="24"/>
                <w:lang w:val="en-US" w:eastAsia="zh-CN"/>
              </w:rPr>
              <w:t>11</w:t>
            </w:r>
            <w:r>
              <w:rPr>
                <w:spacing w:val="-5"/>
                <w:sz w:val="24"/>
              </w:rPr>
              <w:t xml:space="preserve"> 月以来的类似业绩证明材料有一项</w:t>
            </w:r>
          </w:p>
          <w:p>
            <w:pPr>
              <w:pStyle w:val="143"/>
              <w:spacing w:before="93" w:line="312" w:lineRule="auto"/>
              <w:ind w:left="107" w:right="96"/>
              <w:rPr>
                <w:sz w:val="24"/>
              </w:rPr>
            </w:pPr>
            <w:r>
              <w:rPr>
                <w:spacing w:val="-30"/>
                <w:sz w:val="24"/>
              </w:rPr>
              <w:t xml:space="preserve">得 </w:t>
            </w:r>
            <w:r>
              <w:rPr>
                <w:rFonts w:hint="eastAsia"/>
                <w:spacing w:val="-30"/>
                <w:sz w:val="24"/>
                <w:lang w:val="en-US" w:eastAsia="zh-CN"/>
              </w:rPr>
              <w:t>2</w:t>
            </w:r>
            <w:r>
              <w:rPr>
                <w:spacing w:val="-24"/>
                <w:sz w:val="24"/>
              </w:rPr>
              <w:t xml:space="preserve">分；满分 </w:t>
            </w:r>
            <w:r>
              <w:rPr>
                <w:rFonts w:hint="eastAsia"/>
                <w:spacing w:val="-24"/>
                <w:sz w:val="24"/>
                <w:lang w:val="en-US" w:eastAsia="zh-CN"/>
              </w:rPr>
              <w:t>10</w:t>
            </w:r>
            <w:r>
              <w:rPr>
                <w:spacing w:val="-10"/>
                <w:sz w:val="24"/>
              </w:rPr>
              <w:t xml:space="preserve"> 分。不提供不得分。以清晰的中标通知书</w:t>
            </w:r>
            <w:r>
              <w:rPr>
                <w:spacing w:val="-16"/>
                <w:sz w:val="24"/>
              </w:rPr>
              <w:t xml:space="preserve">/ </w:t>
            </w:r>
            <w:r>
              <w:rPr>
                <w:sz w:val="24"/>
              </w:rPr>
              <w:t>成交通知书及合同的扫描或复印件为准（合同需提供包含</w:t>
            </w:r>
          </w:p>
          <w:p>
            <w:pPr>
              <w:pStyle w:val="143"/>
              <w:spacing w:line="299" w:lineRule="exact"/>
              <w:ind w:left="107"/>
              <w:rPr>
                <w:sz w:val="24"/>
              </w:rPr>
            </w:pPr>
            <w:r>
              <w:rPr>
                <w:sz w:val="24"/>
              </w:rPr>
              <w:t>合同首页、标的及金额所在页、交货合同签字盖章页）。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0" w:hRule="atLeast"/>
        </w:trPr>
        <w:tc>
          <w:tcPr>
            <w:tcW w:w="1314" w:type="dxa"/>
            <w:tcBorders>
              <w:bottom w:val="single" w:color="auto" w:sz="4" w:space="0"/>
            </w:tcBorders>
          </w:tcPr>
          <w:p>
            <w:pPr>
              <w:pStyle w:val="143"/>
              <w:rPr>
                <w:sz w:val="24"/>
              </w:rPr>
            </w:pPr>
          </w:p>
          <w:p>
            <w:pPr>
              <w:pStyle w:val="143"/>
              <w:rPr>
                <w:sz w:val="24"/>
              </w:rPr>
            </w:pPr>
          </w:p>
          <w:p>
            <w:pPr>
              <w:pStyle w:val="143"/>
              <w:rPr>
                <w:sz w:val="24"/>
              </w:rPr>
            </w:pPr>
          </w:p>
          <w:p>
            <w:pPr>
              <w:pStyle w:val="143"/>
              <w:rPr>
                <w:sz w:val="24"/>
              </w:rPr>
            </w:pPr>
          </w:p>
          <w:p>
            <w:pPr>
              <w:pStyle w:val="143"/>
              <w:rPr>
                <w:sz w:val="24"/>
              </w:rPr>
            </w:pPr>
          </w:p>
          <w:p>
            <w:pPr>
              <w:pStyle w:val="143"/>
              <w:spacing w:before="2"/>
              <w:rPr>
                <w:sz w:val="27"/>
              </w:rPr>
            </w:pPr>
          </w:p>
          <w:p>
            <w:pPr>
              <w:pStyle w:val="143"/>
              <w:spacing w:line="312" w:lineRule="auto"/>
              <w:ind w:left="108" w:right="233"/>
              <w:rPr>
                <w:sz w:val="24"/>
              </w:rPr>
            </w:pPr>
            <w:r>
              <w:rPr>
                <w:sz w:val="24"/>
              </w:rPr>
              <w:t>售后服务1</w:t>
            </w:r>
            <w:r>
              <w:rPr>
                <w:rFonts w:hint="eastAsia"/>
                <w:sz w:val="24"/>
                <w:lang w:val="en-US" w:eastAsia="zh-CN"/>
              </w:rPr>
              <w:t>0</w:t>
            </w:r>
            <w:r>
              <w:rPr>
                <w:sz w:val="24"/>
              </w:rPr>
              <w:t>分</w:t>
            </w:r>
          </w:p>
        </w:tc>
        <w:tc>
          <w:tcPr>
            <w:tcW w:w="1023" w:type="dxa"/>
            <w:tcBorders>
              <w:bottom w:val="single" w:color="auto" w:sz="4" w:space="0"/>
            </w:tcBorders>
          </w:tcPr>
          <w:p>
            <w:pPr>
              <w:pStyle w:val="143"/>
              <w:rPr>
                <w:sz w:val="24"/>
              </w:rPr>
            </w:pPr>
          </w:p>
          <w:p>
            <w:pPr>
              <w:pStyle w:val="143"/>
              <w:spacing w:before="2"/>
              <w:rPr>
                <w:sz w:val="29"/>
              </w:rPr>
            </w:pPr>
          </w:p>
          <w:p>
            <w:pPr>
              <w:pStyle w:val="143"/>
              <w:spacing w:line="312" w:lineRule="auto"/>
              <w:ind w:left="107" w:right="183"/>
              <w:rPr>
                <w:sz w:val="24"/>
              </w:rPr>
            </w:pPr>
            <w:r>
              <w:rPr>
                <w:sz w:val="24"/>
              </w:rPr>
              <w:t>售后服务 计 划、措施及服务承诺</w:t>
            </w:r>
          </w:p>
        </w:tc>
        <w:tc>
          <w:tcPr>
            <w:tcW w:w="1231" w:type="dxa"/>
          </w:tcPr>
          <w:p>
            <w:pPr>
              <w:pStyle w:val="143"/>
              <w:rPr>
                <w:sz w:val="24"/>
              </w:rPr>
            </w:pPr>
          </w:p>
          <w:p>
            <w:pPr>
              <w:pStyle w:val="143"/>
              <w:rPr>
                <w:sz w:val="24"/>
              </w:rPr>
            </w:pPr>
          </w:p>
          <w:p>
            <w:pPr>
              <w:pStyle w:val="143"/>
              <w:rPr>
                <w:sz w:val="24"/>
              </w:rPr>
            </w:pPr>
          </w:p>
          <w:p>
            <w:pPr>
              <w:pStyle w:val="143"/>
              <w:rPr>
                <w:sz w:val="24"/>
              </w:rPr>
            </w:pPr>
          </w:p>
          <w:p>
            <w:pPr>
              <w:pStyle w:val="143"/>
              <w:spacing w:before="6"/>
              <w:rPr>
                <w:sz w:val="19"/>
              </w:rPr>
            </w:pPr>
          </w:p>
          <w:p>
            <w:pPr>
              <w:pStyle w:val="143"/>
              <w:spacing w:before="1"/>
              <w:ind w:left="586"/>
              <w:rPr>
                <w:rFonts w:hint="default" w:eastAsia="宋体"/>
                <w:sz w:val="24"/>
                <w:lang w:val="en-US" w:eastAsia="zh-CN"/>
              </w:rPr>
            </w:pPr>
            <w:r>
              <w:rPr>
                <w:rFonts w:hint="eastAsia"/>
                <w:sz w:val="24"/>
                <w:lang w:val="en-US" w:eastAsia="zh-CN"/>
              </w:rPr>
              <w:t>10</w:t>
            </w:r>
          </w:p>
        </w:tc>
        <w:tc>
          <w:tcPr>
            <w:tcW w:w="6300" w:type="dxa"/>
          </w:tcPr>
          <w:p>
            <w:pPr>
              <w:pStyle w:val="143"/>
              <w:spacing w:before="81" w:line="312" w:lineRule="auto"/>
              <w:ind w:left="107" w:right="-29"/>
              <w:rPr>
                <w:sz w:val="24"/>
              </w:rPr>
            </w:pPr>
            <w:r>
              <w:rPr>
                <w:sz w:val="24"/>
              </w:rPr>
              <w:t>对该项目编制的质保期时间免费保修，售后服务计划、服</w:t>
            </w:r>
            <w:r>
              <w:rPr>
                <w:spacing w:val="-16"/>
                <w:sz w:val="24"/>
              </w:rPr>
              <w:t>务响应时间、措施，内容全面、清晰、可行性强的得</w:t>
            </w:r>
            <w:r>
              <w:rPr>
                <w:rFonts w:hint="eastAsia"/>
                <w:spacing w:val="-16"/>
                <w:sz w:val="24"/>
                <w:lang w:val="en-US" w:eastAsia="zh-CN"/>
              </w:rPr>
              <w:t>10</w:t>
            </w:r>
            <w:r>
              <w:rPr>
                <w:spacing w:val="-20"/>
                <w:sz w:val="24"/>
              </w:rPr>
              <w:t xml:space="preserve"> 分； </w:t>
            </w:r>
            <w:r>
              <w:rPr>
                <w:spacing w:val="-12"/>
                <w:sz w:val="24"/>
              </w:rPr>
              <w:t>售后服务计划、服务响应时间、措施，内容较全面、清晰、</w:t>
            </w:r>
            <w:r>
              <w:rPr>
                <w:spacing w:val="-18"/>
                <w:sz w:val="24"/>
              </w:rPr>
              <w:t xml:space="preserve">可行性较强的得 </w:t>
            </w:r>
            <w:r>
              <w:rPr>
                <w:sz w:val="24"/>
              </w:rPr>
              <w:t>7</w:t>
            </w:r>
            <w:r>
              <w:rPr>
                <w:spacing w:val="-20"/>
                <w:sz w:val="24"/>
              </w:rPr>
              <w:t xml:space="preserve"> 分；</w:t>
            </w:r>
          </w:p>
          <w:p>
            <w:pPr>
              <w:pStyle w:val="143"/>
              <w:spacing w:before="2" w:line="312" w:lineRule="auto"/>
              <w:ind w:left="107" w:right="96"/>
              <w:rPr>
                <w:sz w:val="24"/>
              </w:rPr>
            </w:pPr>
            <w:r>
              <w:rPr>
                <w:sz w:val="24"/>
              </w:rPr>
              <w:t xml:space="preserve">售后服务计划、服务响应时间、措施，内容符合项目实际情况的得 </w:t>
            </w:r>
            <w:r>
              <w:rPr>
                <w:rFonts w:hint="eastAsia"/>
                <w:sz w:val="24"/>
                <w:lang w:val="en-US" w:eastAsia="zh-CN"/>
              </w:rPr>
              <w:t>5</w:t>
            </w:r>
            <w:r>
              <w:rPr>
                <w:sz w:val="24"/>
              </w:rPr>
              <w:t xml:space="preserve"> 分；</w:t>
            </w:r>
          </w:p>
          <w:p>
            <w:pPr>
              <w:pStyle w:val="143"/>
              <w:spacing w:line="307" w:lineRule="exact"/>
              <w:ind w:left="107"/>
              <w:rPr>
                <w:sz w:val="24"/>
              </w:rPr>
            </w:pPr>
            <w:r>
              <w:rPr>
                <w:sz w:val="24"/>
              </w:rPr>
              <w:t>售后服务计划、服务响应时间、措施差的得 1 分；</w:t>
            </w:r>
          </w:p>
          <w:p>
            <w:pPr>
              <w:pStyle w:val="143"/>
              <w:spacing w:before="93" w:line="298" w:lineRule="exact"/>
              <w:ind w:left="107"/>
              <w:rPr>
                <w:sz w:val="24"/>
              </w:rPr>
            </w:pPr>
            <w:r>
              <w:rPr>
                <w:sz w:val="24"/>
              </w:rPr>
              <w:t>未提供售后服务计划及措施的不得分。</w:t>
            </w:r>
          </w:p>
        </w:tc>
      </w:tr>
      <w:bookmarkEnd w:id="47"/>
    </w:tbl>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74" w:name="_Toc37776287"/>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r>
        <w:rPr>
          <w:rFonts w:hint="eastAsia" w:hAnsi="宋体" w:cs="Times New Roman"/>
          <w:b/>
          <w:kern w:val="2"/>
          <w:sz w:val="28"/>
          <w:szCs w:val="28"/>
          <w:lang w:val="en-US" w:eastAsia="zh-CN" w:bidi="ar-SA"/>
        </w:rPr>
        <w:t>九、成交办法</w:t>
      </w:r>
      <w:bookmarkEnd w:id="74"/>
    </w:p>
    <w:p>
      <w:pPr>
        <w:pStyle w:val="20"/>
        <w:spacing w:line="360" w:lineRule="auto"/>
        <w:ind w:firstLine="480" w:firstLineChars="200"/>
        <w:rPr>
          <w:rFonts w:hint="eastAsia" w:hAnsi="宋体" w:cs="宋体"/>
          <w:sz w:val="24"/>
          <w:szCs w:val="24"/>
          <w:lang w:val="zh-CN" w:eastAsia="zh-CN"/>
        </w:rPr>
      </w:pPr>
      <w:bookmarkStart w:id="75" w:name="_Toc376936757"/>
      <w:bookmarkStart w:id="76" w:name="_Toc325726026"/>
      <w:bookmarkStart w:id="77" w:name="_Toc37776288"/>
      <w:r>
        <w:rPr>
          <w:rFonts w:hint="eastAsia" w:hAnsi="宋体" w:cs="宋体"/>
          <w:sz w:val="24"/>
          <w:szCs w:val="24"/>
          <w:lang w:val="zh-CN" w:eastAsia="zh-CN"/>
        </w:rPr>
        <w:t>21.推荐并确定成交</w:t>
      </w:r>
      <w:bookmarkEnd w:id="75"/>
      <w:bookmarkEnd w:id="76"/>
      <w:r>
        <w:rPr>
          <w:rFonts w:hint="eastAsia" w:hAnsi="宋体" w:cs="宋体"/>
          <w:sz w:val="24"/>
          <w:szCs w:val="24"/>
          <w:lang w:val="zh-CN" w:eastAsia="zh-CN"/>
        </w:rPr>
        <w:t>供应商</w:t>
      </w:r>
      <w:bookmarkEnd w:id="77"/>
    </w:p>
    <w:p>
      <w:pPr>
        <w:pStyle w:val="98"/>
        <w:numPr>
          <w:ilvl w:val="0"/>
          <w:numId w:val="0"/>
        </w:numPr>
        <w:tabs>
          <w:tab w:val="left" w:pos="1810"/>
        </w:tabs>
        <w:spacing w:before="72" w:after="0" w:line="374" w:lineRule="auto"/>
        <w:ind w:right="1195" w:rightChars="0"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21.1</w:t>
      </w:r>
      <w:r>
        <w:rPr>
          <w:rFonts w:hint="eastAsia" w:ascii="宋体" w:hAnsi="宋体" w:eastAsia="宋体" w:cs="宋体"/>
          <w:kern w:val="0"/>
          <w:sz w:val="24"/>
          <w:szCs w:val="24"/>
          <w:lang w:val="zh-CN" w:eastAsia="zh-CN" w:bidi="ar-SA"/>
        </w:rPr>
        <w:t>磋商小组根据评审总得分由高到低排序推荐预中标候选人，并由采购人按顺序确定成交供应商。</w:t>
      </w:r>
    </w:p>
    <w:p>
      <w:pPr>
        <w:pStyle w:val="98"/>
        <w:numPr>
          <w:ilvl w:val="0"/>
          <w:numId w:val="0"/>
        </w:numPr>
        <w:tabs>
          <w:tab w:val="left" w:pos="1810"/>
        </w:tabs>
        <w:spacing w:before="2" w:after="0" w:line="372" w:lineRule="auto"/>
        <w:ind w:right="1195" w:rightChars="0"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21.2</w:t>
      </w:r>
      <w:r>
        <w:rPr>
          <w:rFonts w:hint="eastAsia" w:ascii="宋体" w:hAnsi="宋体" w:eastAsia="宋体" w:cs="宋体"/>
          <w:kern w:val="0"/>
          <w:sz w:val="24"/>
          <w:szCs w:val="24"/>
          <w:lang w:val="zh-CN" w:eastAsia="zh-CN" w:bidi="ar-SA"/>
        </w:rPr>
        <w:t>成交供应商因不可抗力或自身原因不能履行合同时，采购人可以按照磋商报告推荐的预成交供应商候选人名单排序，确定下一候选人为成交供应商，也可重新开展政府采购活动。</w:t>
      </w:r>
    </w:p>
    <w:p>
      <w:pPr>
        <w:pStyle w:val="20"/>
        <w:spacing w:line="360" w:lineRule="auto"/>
        <w:ind w:firstLine="480" w:firstLineChars="200"/>
        <w:rPr>
          <w:rFonts w:hint="eastAsia" w:hAnsi="宋体" w:cs="宋体"/>
          <w:sz w:val="24"/>
          <w:szCs w:val="24"/>
          <w:lang w:val="zh-CN" w:eastAsia="zh-CN"/>
        </w:rPr>
      </w:pPr>
      <w:bookmarkStart w:id="78" w:name="_Toc37776289"/>
      <w:bookmarkStart w:id="79" w:name="_Toc325726028"/>
      <w:bookmarkStart w:id="80" w:name="_Toc376936759"/>
      <w:bookmarkStart w:id="81" w:name="_Toc325726027"/>
      <w:r>
        <w:rPr>
          <w:rFonts w:hint="eastAsia" w:hAnsi="宋体" w:cs="宋体"/>
          <w:sz w:val="24"/>
          <w:szCs w:val="24"/>
          <w:lang w:val="zh-CN" w:eastAsia="zh-CN"/>
        </w:rPr>
        <w:t>22.成交通知</w:t>
      </w:r>
      <w:bookmarkEnd w:id="78"/>
      <w:bookmarkEnd w:id="79"/>
      <w:bookmarkEnd w:id="80"/>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22.1采购代理机构自成交供应商确定之日起2个工作日内发出《成交通知书》，并在青海省政府采购网上公告成交结果，公告期限为</w:t>
      </w:r>
      <w:r>
        <w:rPr>
          <w:rFonts w:hint="eastAsia" w:hAnsi="宋体" w:cs="宋体"/>
          <w:sz w:val="24"/>
          <w:szCs w:val="24"/>
          <w:lang w:val="en-US" w:eastAsia="zh-CN"/>
        </w:rPr>
        <w:t>3</w:t>
      </w:r>
      <w:r>
        <w:rPr>
          <w:rFonts w:hint="eastAsia" w:hAnsi="宋体" w:cs="宋体"/>
          <w:sz w:val="24"/>
          <w:szCs w:val="24"/>
          <w:lang w:val="zh-CN" w:eastAsia="zh-CN"/>
        </w:rPr>
        <w:t>个工作日。在公告成交结果的同时，采购代理机构应当向成交供应商发出成交通知书；对未通过资格审查的供应商，告知其未通过的原因；告知未成交供应商本人的评审得分与排序。</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22.2《成交通知书》发出后，采购人改变成交结果的，或者成交供应商无正当理由放弃成交项目的，依法承担法律责任。</w:t>
      </w: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82" w:name="_Toc37776290"/>
      <w:bookmarkStart w:id="83" w:name="_Toc376936758"/>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r>
        <w:rPr>
          <w:rFonts w:hint="eastAsia" w:hAnsi="宋体" w:cs="Times New Roman"/>
          <w:b/>
          <w:kern w:val="2"/>
          <w:sz w:val="28"/>
          <w:szCs w:val="28"/>
          <w:lang w:val="en-US" w:eastAsia="zh-CN" w:bidi="ar-SA"/>
        </w:rPr>
        <w:t>十、授予合同</w:t>
      </w:r>
      <w:bookmarkEnd w:id="81"/>
      <w:bookmarkEnd w:id="82"/>
      <w:bookmarkEnd w:id="83"/>
    </w:p>
    <w:p>
      <w:pPr>
        <w:pStyle w:val="20"/>
        <w:spacing w:line="360" w:lineRule="auto"/>
        <w:ind w:firstLine="480" w:firstLineChars="200"/>
        <w:rPr>
          <w:rFonts w:hint="eastAsia" w:hAnsi="宋体" w:cs="宋体"/>
          <w:sz w:val="24"/>
          <w:szCs w:val="24"/>
          <w:lang w:val="zh-CN" w:eastAsia="zh-CN"/>
        </w:rPr>
      </w:pPr>
      <w:bookmarkStart w:id="84" w:name="_Toc37776291"/>
      <w:bookmarkStart w:id="85" w:name="_Toc325726029"/>
      <w:bookmarkStart w:id="86" w:name="_Toc376936760"/>
      <w:r>
        <w:rPr>
          <w:rFonts w:hint="eastAsia" w:hAnsi="宋体" w:cs="宋体"/>
          <w:sz w:val="24"/>
          <w:szCs w:val="24"/>
          <w:lang w:val="zh-CN" w:eastAsia="zh-CN"/>
        </w:rPr>
        <w:t>23.签订合同</w:t>
      </w:r>
      <w:bookmarkEnd w:id="84"/>
      <w:bookmarkEnd w:id="85"/>
      <w:bookmarkEnd w:id="86"/>
    </w:p>
    <w:p>
      <w:pPr>
        <w:pStyle w:val="20"/>
        <w:spacing w:line="360" w:lineRule="auto"/>
        <w:ind w:firstLine="480" w:firstLineChars="200"/>
        <w:rPr>
          <w:rFonts w:hint="eastAsia" w:hAnsi="宋体" w:cs="宋体"/>
          <w:sz w:val="24"/>
          <w:szCs w:val="24"/>
          <w:lang w:val="zh-CN" w:eastAsia="zh-CN"/>
        </w:rPr>
      </w:pPr>
      <w:bookmarkStart w:id="87" w:name="_Toc376936761"/>
      <w:bookmarkStart w:id="88" w:name="_Toc325726030"/>
      <w:r>
        <w:rPr>
          <w:rFonts w:hint="eastAsia" w:hAnsi="宋体" w:cs="宋体"/>
          <w:sz w:val="24"/>
          <w:szCs w:val="24"/>
          <w:lang w:val="zh-CN" w:eastAsia="zh-CN"/>
        </w:rPr>
        <w:t>23.1采购人与成交供应商双方应当自《成交通知书》发出之日起30日内，按照磋商文件确定的合同文本以及采购标的、规格、采购金额、采购数量、技术和服务要求等事项签订政府采购合同。</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23.2采购人不得向成交供应商提出超出磋商文件以外的任何要求作为订立合同的条件，不得与成交供应商订立背离磋商文件确定的合同文本以及采购标的、规格、采购金额、采购数量、技术和服务要求等实质性内容的协议。</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23.3签订合同时，成交供应商应按规定向采购人提交履约保证金（履约保证金的数额由采购人与成交供应商商定，但数额不得超出采购合同总金额的10%），履约保证金须缴纳到采购人指定的账户。</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23.4成交供应商在法定期限内无正当理由拒签合同的，按违约处理。同时，采购代理机构和采购人可依成交供应商候选人排序重新确定成交供应商，并协调双方签订采购合同。</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23.5磋商文件、成交供应商的磋商响应文件、《成交通知书》及其澄清、说明文件等，均为签订采购合同的依据。</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23.6采购人或采购代理机构应当自采购合同签订之日起2个工作日内，将采购合同在青海省政府采购网上公告，但政府采购合同中涉及国家秘密、商业秘密的内容除外。</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23.7采购人与成交供应商应当根据合同的约定依法履行合同义务。政府采购合同的履行、违约责任和解决争议的方法等适用《中华人民共和国民法典》。</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23.8 采购人应当按照政府采购合同规定的技术、服务、安全标准组织对供应商履约情况进行验收，并出具验收书。验收书应当包括每一项技术、服务、安全标准的履约情况。</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23.9 采购人应当加强对成交供应商的履约管理，并按照采购合同约定，及时向成交供应商支付采购资金。对于成交供应商违反采购合同约定的行为，采购人应当及时处理，依法追究其违约责任。</w:t>
      </w: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89" w:name="_Toc37776292"/>
      <w:r>
        <w:rPr>
          <w:rFonts w:hint="eastAsia" w:hAnsi="宋体" w:cs="Times New Roman"/>
          <w:b/>
          <w:kern w:val="2"/>
          <w:sz w:val="28"/>
          <w:szCs w:val="28"/>
          <w:lang w:val="en-US" w:eastAsia="zh-CN" w:bidi="ar-SA"/>
        </w:rPr>
        <w:t>十一、串通投标的认定及处理办法</w:t>
      </w:r>
      <w:bookmarkEnd w:id="89"/>
    </w:p>
    <w:p>
      <w:pPr>
        <w:pStyle w:val="20"/>
        <w:spacing w:line="360" w:lineRule="auto"/>
        <w:ind w:firstLine="480" w:firstLineChars="200"/>
        <w:rPr>
          <w:rFonts w:hint="eastAsia" w:hAnsi="宋体" w:cs="宋体"/>
          <w:sz w:val="24"/>
          <w:szCs w:val="24"/>
          <w:lang w:val="zh-CN" w:eastAsia="zh-CN"/>
        </w:rPr>
      </w:pPr>
      <w:bookmarkStart w:id="90" w:name="_Toc496004020"/>
      <w:bookmarkStart w:id="91" w:name="_Toc37776293"/>
      <w:bookmarkStart w:id="92" w:name="_Toc496189563"/>
      <w:r>
        <w:rPr>
          <w:rFonts w:hint="eastAsia" w:hAnsi="宋体" w:cs="宋体"/>
          <w:sz w:val="24"/>
          <w:szCs w:val="24"/>
          <w:lang w:val="zh-CN" w:eastAsia="zh-CN"/>
        </w:rPr>
        <w:t>24.串通投标的情形</w:t>
      </w:r>
      <w:bookmarkEnd w:id="90"/>
      <w:bookmarkEnd w:id="91"/>
      <w:bookmarkEnd w:id="92"/>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24.1供应商应当遵循公平竞争的原则，不得恶意串通，不得妨碍其他供应商的竞争行为，不得损害采购人或者其他供应商的合法权益。</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24.2 有下列情形之一的，视为供应商串通投标，其投标无效：</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（1）不同供应商的磋商响应文件由同一单位或者个人编制；</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（2）不同供应商委托同一单位或者个人办理投标事宜；</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（3）不同供应商的磋商响应文件载明的项目管理成员或者联系人员为同一人；</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（4）不同供应商的磋商响应文件异常一致或者投标报价呈规律性差异；</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（5）不同供应商的磋商响应文件相互混装。</w:t>
      </w:r>
    </w:p>
    <w:p>
      <w:pPr>
        <w:widowControl/>
        <w:spacing w:before="240" w:beforeLines="100" w:after="240" w:afterLines="100"/>
        <w:ind w:firstLine="0" w:firstLineChars="0"/>
        <w:jc w:val="center"/>
        <w:outlineLvl w:val="1"/>
        <w:rPr>
          <w:rFonts w:hint="eastAsia" w:hAnsi="宋体" w:cs="Times New Roman"/>
          <w:b/>
          <w:kern w:val="2"/>
          <w:sz w:val="28"/>
          <w:szCs w:val="28"/>
          <w:lang w:val="zh-CN" w:eastAsia="zh-CN" w:bidi="ar-SA"/>
        </w:rPr>
      </w:pPr>
      <w:bookmarkStart w:id="93" w:name="_Toc37776294"/>
      <w:r>
        <w:rPr>
          <w:rFonts w:hint="eastAsia" w:hAnsi="宋体" w:cs="Times New Roman"/>
          <w:b/>
          <w:kern w:val="2"/>
          <w:sz w:val="28"/>
          <w:szCs w:val="28"/>
          <w:lang w:val="zh-CN" w:eastAsia="zh-CN" w:bidi="ar-SA"/>
        </w:rPr>
        <w:t>十</w:t>
      </w:r>
      <w:r>
        <w:rPr>
          <w:rFonts w:hint="eastAsia" w:hAnsi="宋体" w:cs="Times New Roman"/>
          <w:b/>
          <w:kern w:val="2"/>
          <w:sz w:val="28"/>
          <w:szCs w:val="28"/>
          <w:lang w:val="en-US" w:eastAsia="zh-CN" w:bidi="ar-SA"/>
        </w:rPr>
        <w:t>二</w:t>
      </w:r>
      <w:r>
        <w:rPr>
          <w:rFonts w:hint="eastAsia" w:hAnsi="宋体" w:cs="Times New Roman"/>
          <w:b/>
          <w:kern w:val="2"/>
          <w:sz w:val="28"/>
          <w:szCs w:val="28"/>
          <w:lang w:val="zh-CN" w:eastAsia="zh-CN" w:bidi="ar-SA"/>
        </w:rPr>
        <w:t>、</w:t>
      </w:r>
      <w:bookmarkEnd w:id="87"/>
      <w:bookmarkEnd w:id="88"/>
      <w:r>
        <w:rPr>
          <w:rFonts w:hint="eastAsia" w:hAnsi="宋体" w:cs="Times New Roman"/>
          <w:b/>
          <w:kern w:val="2"/>
          <w:sz w:val="28"/>
          <w:szCs w:val="28"/>
          <w:lang w:val="zh-CN" w:eastAsia="zh-CN" w:bidi="ar-SA"/>
        </w:rPr>
        <w:t>磋商活动终止</w:t>
      </w:r>
      <w:bookmarkEnd w:id="93"/>
    </w:p>
    <w:p>
      <w:pPr>
        <w:pStyle w:val="20"/>
        <w:spacing w:line="360" w:lineRule="auto"/>
        <w:ind w:firstLine="480" w:firstLineChars="200"/>
        <w:rPr>
          <w:rFonts w:hint="eastAsia" w:hAnsi="宋体" w:cs="宋体"/>
          <w:sz w:val="24"/>
          <w:szCs w:val="24"/>
          <w:lang w:val="zh-CN" w:eastAsia="zh-CN"/>
        </w:rPr>
      </w:pPr>
      <w:bookmarkStart w:id="94" w:name="_Toc37776295"/>
      <w:bookmarkStart w:id="95" w:name="_Toc376936762"/>
      <w:bookmarkStart w:id="96" w:name="_Toc325726031"/>
      <w:r>
        <w:rPr>
          <w:rFonts w:hint="eastAsia" w:hAnsi="宋体" w:cs="宋体"/>
          <w:sz w:val="24"/>
          <w:szCs w:val="24"/>
          <w:lang w:val="zh-CN" w:eastAsia="zh-CN"/>
        </w:rPr>
        <w:t>25. 终止情形</w:t>
      </w:r>
      <w:bookmarkEnd w:id="94"/>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25.1在竞争性磋商采购中，出现下列情形之一的，终止磋商活动：</w:t>
      </w:r>
      <w:bookmarkEnd w:id="95"/>
      <w:bookmarkEnd w:id="96"/>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（1）因情况变化，不再符合规定的竞争性磋商采购方式适用情形的。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（2）出现影响采购活动公正的违法、违规行为的。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（3）符合要求的供应商或者报价未超过采购预算额度的供应商数量不满足相关规定的。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（4）因重大变故，采购任务取消的。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25.2终止磋商活动后，由采购代理机构发布终止公告并说明原因。</w:t>
      </w:r>
      <w:bookmarkStart w:id="97" w:name="_Toc325726032"/>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98" w:name="_Toc376936763"/>
      <w:bookmarkStart w:id="99" w:name="_Toc37776296"/>
      <w:r>
        <w:rPr>
          <w:rFonts w:hint="eastAsia" w:hAnsi="宋体" w:cs="Times New Roman"/>
          <w:b/>
          <w:kern w:val="2"/>
          <w:sz w:val="28"/>
          <w:szCs w:val="28"/>
          <w:lang w:val="en-US" w:eastAsia="zh-CN" w:bidi="ar-SA"/>
        </w:rPr>
        <w:t>十三、处罚</w:t>
      </w:r>
      <w:bookmarkEnd w:id="97"/>
      <w:bookmarkEnd w:id="98"/>
      <w:bookmarkEnd w:id="99"/>
    </w:p>
    <w:p>
      <w:pPr>
        <w:pStyle w:val="20"/>
        <w:spacing w:line="360" w:lineRule="auto"/>
        <w:ind w:firstLine="480" w:firstLineChars="200"/>
        <w:rPr>
          <w:rFonts w:hint="eastAsia" w:hAnsi="宋体" w:cs="宋体"/>
          <w:sz w:val="24"/>
          <w:szCs w:val="24"/>
          <w:lang w:val="zh-CN" w:eastAsia="zh-CN"/>
        </w:rPr>
      </w:pPr>
      <w:bookmarkStart w:id="100" w:name="_Toc37776297"/>
      <w:bookmarkStart w:id="101" w:name="_Toc376936764"/>
      <w:bookmarkStart w:id="102" w:name="_Toc325726033"/>
      <w:r>
        <w:rPr>
          <w:rFonts w:hint="eastAsia" w:hAnsi="宋体" w:cs="宋体"/>
          <w:sz w:val="24"/>
          <w:szCs w:val="24"/>
          <w:lang w:val="zh-CN" w:eastAsia="zh-CN"/>
        </w:rPr>
        <w:t>26.处罚情形</w:t>
      </w:r>
      <w:bookmarkEnd w:id="100"/>
      <w:bookmarkEnd w:id="101"/>
      <w:bookmarkEnd w:id="102"/>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26.1有下列情形之一的，成交供应商的成交结果无效，履约保证金不予退还。</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（1）供应商在提交磋商响应文件截止时间后撤回磋商响应文件的；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（2）供应商在响应文件中提供虚假材料的；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（3）采取不正当手段诋毁、排挤其他供应商的；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（4）有恶意串通等不正当竞争行为的；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（5）成交后无正当理由拒不与采购人签订采购合同的；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（6）未按照磋商文件、磋商响应文件确定的事项签订采购合同的；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（7）擅自变更、中止或者终止政府采购合同的；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（8）成交供应商签订合同后，因种种原因不能履约或无故拖延履约期的；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（9）法律、法规规定的其他情形的。</w:t>
      </w:r>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26.2出现上述情况，情节严重的，报省财政厅依法进行处理。</w:t>
      </w:r>
    </w:p>
    <w:p>
      <w:pPr>
        <w:widowControl/>
        <w:spacing w:before="240" w:beforeLines="100" w:after="240" w:afterLines="100"/>
        <w:ind w:firstLine="0" w:firstLineChars="0"/>
        <w:jc w:val="center"/>
        <w:outlineLvl w:val="1"/>
        <w:rPr>
          <w:rFonts w:hint="eastAsia" w:hAnsi="宋体" w:cs="Times New Roman"/>
          <w:b/>
          <w:kern w:val="2"/>
          <w:sz w:val="28"/>
          <w:szCs w:val="28"/>
          <w:lang w:val="en-US" w:eastAsia="zh-CN" w:bidi="ar-SA"/>
        </w:rPr>
      </w:pPr>
      <w:bookmarkStart w:id="103" w:name="_Toc376936765"/>
      <w:bookmarkStart w:id="104" w:name="_Toc37776298"/>
      <w:bookmarkStart w:id="105" w:name="_Toc325726034"/>
      <w:r>
        <w:rPr>
          <w:rFonts w:hint="eastAsia" w:hAnsi="宋体" w:cs="Times New Roman"/>
          <w:b/>
          <w:kern w:val="2"/>
          <w:sz w:val="28"/>
          <w:szCs w:val="28"/>
          <w:lang w:val="en-US" w:eastAsia="zh-CN" w:bidi="ar-SA"/>
        </w:rPr>
        <w:t>十四、其他</w:t>
      </w:r>
      <w:bookmarkEnd w:id="103"/>
      <w:bookmarkEnd w:id="104"/>
      <w:bookmarkEnd w:id="105"/>
    </w:p>
    <w:p>
      <w:pPr>
        <w:pStyle w:val="20"/>
        <w:spacing w:line="360" w:lineRule="auto"/>
        <w:ind w:firstLine="480" w:firstLineChars="200"/>
        <w:rPr>
          <w:rFonts w:hint="eastAsia" w:hAnsi="宋体" w:cs="宋体"/>
          <w:sz w:val="24"/>
          <w:szCs w:val="24"/>
          <w:lang w:val="zh-CN" w:eastAsia="zh-CN"/>
        </w:rPr>
      </w:pPr>
      <w:r>
        <w:rPr>
          <w:rFonts w:hint="eastAsia" w:hAnsi="宋体" w:cs="宋体"/>
          <w:sz w:val="24"/>
          <w:szCs w:val="24"/>
          <w:lang w:val="zh-CN" w:eastAsia="zh-CN"/>
        </w:rPr>
        <w:t>其他未尽事宜，按照《中华人民共和国政府采购法》、《中华人民共和国民法典》、《中华人民共和国政府采购法实施条例》、《政府采购竞争性磋商采购方式管理暂行办法》等法律法规的有关条款执行。</w:t>
      </w:r>
    </w:p>
    <w:p>
      <w:pPr>
        <w:ind w:firstLine="0" w:firstLineChars="0"/>
        <w:jc w:val="left"/>
        <w:rPr>
          <w:rFonts w:hint="eastAsia" w:ascii="宋体" w:hAnsi="宋体"/>
        </w:rPr>
      </w:pPr>
    </w:p>
    <w:p>
      <w:pPr>
        <w:pStyle w:val="26"/>
        <w:spacing w:before="0" w:after="0" w:line="360" w:lineRule="auto"/>
        <w:rPr>
          <w:rFonts w:ascii="宋体" w:hAnsi="宋体"/>
          <w:sz w:val="24"/>
          <w:szCs w:val="24"/>
        </w:rPr>
      </w:pPr>
      <w:r>
        <w:rPr>
          <w:rFonts w:ascii="宋体" w:hAnsi="宋体"/>
        </w:rPr>
        <w:br w:type="page"/>
      </w:r>
    </w:p>
    <w:p>
      <w:pPr>
        <w:pStyle w:val="26"/>
        <w:spacing w:before="0" w:after="0" w:line="360" w:lineRule="auto"/>
        <w:rPr>
          <w:rFonts w:ascii="宋体" w:hAnsi="宋体"/>
          <w:sz w:val="24"/>
          <w:szCs w:val="24"/>
        </w:rPr>
      </w:pPr>
    </w:p>
    <w:p>
      <w:pPr>
        <w:pStyle w:val="26"/>
        <w:spacing w:before="0" w:after="0" w:line="360" w:lineRule="auto"/>
        <w:rPr>
          <w:rFonts w:ascii="宋体" w:hAnsi="宋体"/>
          <w:sz w:val="48"/>
          <w:szCs w:val="48"/>
        </w:rPr>
      </w:pPr>
      <w:bookmarkStart w:id="106" w:name="_Toc15434"/>
      <w:r>
        <w:rPr>
          <w:rFonts w:hint="eastAsia" w:ascii="宋体" w:hAnsi="宋体"/>
          <w:sz w:val="48"/>
          <w:szCs w:val="48"/>
        </w:rPr>
        <w:t>第四部分</w:t>
      </w:r>
      <w:r>
        <w:rPr>
          <w:rFonts w:hint="eastAsia" w:ascii="宋体" w:hAnsi="宋体"/>
          <w:sz w:val="48"/>
          <w:szCs w:val="48"/>
          <w:lang w:val="en-US" w:eastAsia="zh-CN"/>
        </w:rPr>
        <w:t xml:space="preserve">  </w:t>
      </w:r>
      <w:r>
        <w:rPr>
          <w:rFonts w:hint="eastAsia" w:ascii="宋体" w:hAnsi="宋体"/>
          <w:sz w:val="48"/>
          <w:szCs w:val="48"/>
        </w:rPr>
        <w:t>青海省政府采购合同文本样式</w:t>
      </w:r>
      <w:bookmarkEnd w:id="106"/>
    </w:p>
    <w:p>
      <w:pPr>
        <w:pStyle w:val="20"/>
        <w:spacing w:line="360" w:lineRule="auto"/>
        <w:ind w:firstLine="482" w:firstLineChars="200"/>
        <w:rPr>
          <w:rFonts w:hAnsi="宋体"/>
          <w:b/>
          <w:sz w:val="24"/>
          <w:szCs w:val="24"/>
        </w:rPr>
      </w:pPr>
    </w:p>
    <w:p>
      <w:pPr>
        <w:spacing w:line="360" w:lineRule="auto"/>
        <w:jc w:val="center"/>
        <w:rPr>
          <w:rFonts w:ascii="宋体" w:hAnsi="宋体"/>
          <w:b/>
          <w:spacing w:val="120"/>
          <w:sz w:val="24"/>
        </w:rPr>
      </w:pPr>
    </w:p>
    <w:p>
      <w:pPr>
        <w:spacing w:line="360" w:lineRule="auto"/>
        <w:jc w:val="center"/>
        <w:rPr>
          <w:rFonts w:ascii="宋体" w:hAnsi="宋体"/>
          <w:b/>
          <w:spacing w:val="120"/>
          <w:sz w:val="24"/>
        </w:rPr>
      </w:pPr>
    </w:p>
    <w:p>
      <w:pPr>
        <w:spacing w:line="360" w:lineRule="auto"/>
        <w:jc w:val="center"/>
        <w:rPr>
          <w:rFonts w:ascii="宋体" w:hAnsi="宋体"/>
          <w:b/>
          <w:spacing w:val="120"/>
          <w:sz w:val="72"/>
          <w:szCs w:val="72"/>
        </w:rPr>
      </w:pPr>
    </w:p>
    <w:p>
      <w:pPr>
        <w:pStyle w:val="55"/>
        <w:rPr>
          <w:rFonts w:ascii="宋体" w:hAnsi="宋体"/>
          <w:b/>
          <w:spacing w:val="120"/>
          <w:sz w:val="72"/>
          <w:szCs w:val="72"/>
        </w:rPr>
      </w:pPr>
    </w:p>
    <w:p>
      <w:pPr>
        <w:pStyle w:val="55"/>
        <w:rPr>
          <w:rFonts w:ascii="宋体" w:hAnsi="宋体"/>
          <w:b/>
          <w:spacing w:val="120"/>
          <w:sz w:val="72"/>
          <w:szCs w:val="72"/>
        </w:rPr>
      </w:pPr>
    </w:p>
    <w:p>
      <w:pPr>
        <w:spacing w:line="360" w:lineRule="auto"/>
        <w:jc w:val="center"/>
        <w:rPr>
          <w:rFonts w:ascii="宋体" w:hAnsi="宋体"/>
          <w:b/>
          <w:bCs/>
          <w:sz w:val="72"/>
          <w:szCs w:val="72"/>
          <w:lang w:val="zh-CN"/>
        </w:rPr>
      </w:pPr>
      <w:r>
        <w:rPr>
          <w:rFonts w:hint="eastAsia" w:ascii="宋体" w:hAnsi="宋体"/>
          <w:b/>
          <w:bCs/>
          <w:sz w:val="72"/>
          <w:szCs w:val="72"/>
          <w:lang w:val="zh-CN"/>
        </w:rPr>
        <w:t>青海省政府采购合同书</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ind w:left="2316" w:leftChars="357" w:hanging="1566" w:hangingChars="650"/>
        <w:rPr>
          <w:rFonts w:ascii="宋体" w:hAnsi="宋体"/>
          <w:b/>
          <w:sz w:val="24"/>
          <w:u w:val="single"/>
        </w:rPr>
      </w:pPr>
      <w:r>
        <w:rPr>
          <w:rFonts w:hint="eastAsia" w:ascii="宋体" w:hAnsi="宋体"/>
          <w:b/>
          <w:sz w:val="24"/>
        </w:rPr>
        <w:t>采购项目名称：</w:t>
      </w:r>
      <w:r>
        <w:rPr>
          <w:rFonts w:hint="eastAsia" w:ascii="宋体" w:hAnsi="宋体"/>
          <w:b/>
          <w:sz w:val="24"/>
          <w:u w:val="single"/>
          <w:lang w:val="zh-CN" w:eastAsia="zh-CN"/>
        </w:rPr>
        <w:t>刚察县农村环境污染防治建设项目</w:t>
      </w:r>
      <w:r>
        <w:rPr>
          <w:rFonts w:hint="eastAsia" w:ascii="宋体" w:hAnsi="宋体"/>
          <w:b/>
          <w:sz w:val="24"/>
          <w:u w:val="single"/>
          <w:lang w:eastAsia="zh-CN"/>
        </w:rPr>
        <w:t xml:space="preserve">      </w:t>
      </w:r>
      <w:r>
        <w:rPr>
          <w:rFonts w:hint="eastAsia" w:ascii="宋体" w:hAnsi="宋体"/>
          <w:b/>
          <w:sz w:val="24"/>
          <w:u w:val="single"/>
        </w:rPr>
        <w:t xml:space="preserve">                          </w:t>
      </w:r>
    </w:p>
    <w:p>
      <w:pPr>
        <w:spacing w:line="360" w:lineRule="auto"/>
        <w:ind w:firstLine="723" w:firstLineChars="300"/>
        <w:rPr>
          <w:rFonts w:ascii="宋体" w:hAnsi="宋体"/>
          <w:b/>
          <w:sz w:val="24"/>
          <w:u w:val="single"/>
        </w:rPr>
      </w:pPr>
      <w:r>
        <w:rPr>
          <w:rFonts w:ascii="宋体" w:hAnsi="宋体"/>
          <w:b/>
          <w:sz w:val="24"/>
        </w:rPr>
        <w:t>采购项目编号</w:t>
      </w:r>
      <w:r>
        <w:rPr>
          <w:rFonts w:hint="eastAsia" w:ascii="宋体" w:hAnsi="宋体"/>
          <w:b/>
          <w:sz w:val="24"/>
        </w:rPr>
        <w:t>：</w:t>
      </w:r>
      <w:r>
        <w:rPr>
          <w:rFonts w:hint="eastAsia" w:ascii="宋体" w:hAnsi="宋体"/>
          <w:b/>
          <w:sz w:val="24"/>
          <w:u w:val="single"/>
          <w:lang w:eastAsia="zh-CN"/>
        </w:rPr>
        <w:t>河南建科竞磋（货物）2021-031</w:t>
      </w:r>
      <w:r>
        <w:rPr>
          <w:rFonts w:hint="eastAsia" w:ascii="宋体" w:hAnsi="宋体"/>
          <w:b/>
          <w:sz w:val="24"/>
          <w:u w:val="single"/>
        </w:rPr>
        <w:t xml:space="preserve">                 </w:t>
      </w:r>
    </w:p>
    <w:p>
      <w:pPr>
        <w:spacing w:line="360" w:lineRule="auto"/>
        <w:ind w:firstLine="723" w:firstLineChars="300"/>
        <w:rPr>
          <w:rFonts w:ascii="宋体" w:hAnsi="宋体"/>
          <w:b/>
          <w:sz w:val="24"/>
          <w:u w:val="single"/>
        </w:rPr>
      </w:pPr>
      <w:r>
        <w:rPr>
          <w:rFonts w:ascii="宋体" w:hAnsi="宋体"/>
          <w:b/>
          <w:sz w:val="24"/>
        </w:rPr>
        <w:t>采购合同编号</w:t>
      </w:r>
      <w:r>
        <w:rPr>
          <w:rFonts w:hint="eastAsia" w:ascii="宋体" w:hAnsi="宋体"/>
          <w:b/>
          <w:sz w:val="24"/>
        </w:rPr>
        <w:t>：</w:t>
      </w:r>
      <w:r>
        <w:rPr>
          <w:rFonts w:hint="eastAsia" w:ascii="宋体" w:hAnsi="宋体"/>
          <w:b/>
          <w:sz w:val="24"/>
          <w:u w:val="single"/>
          <w:lang w:val="en-US" w:eastAsia="zh-CN"/>
        </w:rPr>
        <w:t xml:space="preserve">              </w:t>
      </w:r>
      <w:r>
        <w:rPr>
          <w:rFonts w:hint="eastAsia" w:ascii="宋体" w:hAnsi="宋体"/>
          <w:b/>
          <w:sz w:val="24"/>
          <w:u w:val="single"/>
        </w:rPr>
        <w:t xml:space="preserve">                               </w:t>
      </w:r>
    </w:p>
    <w:p>
      <w:pPr>
        <w:spacing w:line="360" w:lineRule="auto"/>
        <w:ind w:firstLine="723" w:firstLineChars="300"/>
        <w:rPr>
          <w:rFonts w:ascii="宋体" w:hAnsi="宋体"/>
          <w:b/>
          <w:sz w:val="24"/>
          <w:u w:val="single"/>
        </w:rPr>
      </w:pPr>
      <w:r>
        <w:rPr>
          <w:rFonts w:ascii="宋体" w:hAnsi="宋体"/>
          <w:b/>
          <w:sz w:val="24"/>
        </w:rPr>
        <w:t>合同金额</w:t>
      </w:r>
      <w:r>
        <w:rPr>
          <w:rFonts w:hint="eastAsia" w:ascii="宋体" w:hAnsi="宋体"/>
          <w:b/>
          <w:sz w:val="24"/>
        </w:rPr>
        <w:t>（</w:t>
      </w:r>
      <w:r>
        <w:rPr>
          <w:rFonts w:ascii="宋体" w:hAnsi="宋体"/>
          <w:b/>
          <w:sz w:val="24"/>
        </w:rPr>
        <w:t>人民币</w:t>
      </w:r>
      <w:r>
        <w:rPr>
          <w:rFonts w:hint="eastAsia" w:ascii="宋体" w:hAnsi="宋体"/>
          <w:b/>
          <w:sz w:val="24"/>
        </w:rPr>
        <w:t>）：</w:t>
      </w:r>
      <w:r>
        <w:rPr>
          <w:rFonts w:hint="eastAsia" w:ascii="宋体" w:hAnsi="宋体"/>
          <w:b/>
          <w:sz w:val="24"/>
          <w:u w:val="single"/>
        </w:rPr>
        <w:t xml:space="preserve">                                           </w:t>
      </w:r>
    </w:p>
    <w:p>
      <w:pPr>
        <w:spacing w:line="360" w:lineRule="auto"/>
        <w:ind w:firstLine="723" w:firstLineChars="300"/>
        <w:rPr>
          <w:rFonts w:ascii="宋体" w:hAnsi="宋体"/>
          <w:b/>
          <w:sz w:val="24"/>
          <w:u w:val="single"/>
        </w:rPr>
      </w:pPr>
      <w:r>
        <w:rPr>
          <w:rFonts w:hint="eastAsia" w:ascii="宋体" w:hAnsi="宋体"/>
          <w:b/>
          <w:sz w:val="24"/>
        </w:rPr>
        <w:t>采购单位（</w:t>
      </w:r>
      <w:r>
        <w:rPr>
          <w:rFonts w:ascii="宋体" w:hAnsi="宋体"/>
          <w:b/>
          <w:sz w:val="24"/>
        </w:rPr>
        <w:t>甲方</w:t>
      </w:r>
      <w:r>
        <w:rPr>
          <w:rFonts w:hint="eastAsia" w:ascii="宋体" w:hAnsi="宋体"/>
          <w:b/>
          <w:sz w:val="24"/>
        </w:rPr>
        <w:t>）：</w:t>
      </w:r>
      <w:r>
        <w:rPr>
          <w:rFonts w:hint="eastAsia" w:ascii="宋体" w:hAnsi="宋体"/>
          <w:b/>
          <w:sz w:val="24"/>
          <w:u w:val="single"/>
        </w:rPr>
        <w:t xml:space="preserve"> </w:t>
      </w:r>
      <w:r>
        <w:rPr>
          <w:rFonts w:hint="eastAsia" w:ascii="宋体" w:hAnsi="宋体"/>
          <w:b/>
          <w:sz w:val="24"/>
          <w:u w:val="single"/>
          <w:lang w:val="en-US" w:eastAsia="zh-CN"/>
        </w:rPr>
        <w:t>刚察县生态环境局</w:t>
      </w:r>
      <w:r>
        <w:rPr>
          <w:rFonts w:hint="eastAsia" w:ascii="宋体" w:hAnsi="宋体"/>
          <w:b/>
          <w:sz w:val="24"/>
          <w:u w:val="single"/>
        </w:rPr>
        <w:t xml:space="preserve">   （盖章）</w:t>
      </w:r>
    </w:p>
    <w:p>
      <w:pPr>
        <w:spacing w:line="360" w:lineRule="auto"/>
        <w:ind w:firstLine="723" w:firstLineChars="300"/>
        <w:rPr>
          <w:rFonts w:ascii="宋体" w:hAnsi="宋体"/>
          <w:b/>
          <w:sz w:val="24"/>
          <w:u w:val="single"/>
        </w:rPr>
      </w:pPr>
      <w:r>
        <w:rPr>
          <w:rFonts w:ascii="宋体" w:hAnsi="宋体"/>
          <w:b/>
          <w:sz w:val="24"/>
        </w:rPr>
        <w:t>成交供应商</w:t>
      </w:r>
      <w:r>
        <w:rPr>
          <w:rFonts w:hint="eastAsia" w:ascii="宋体" w:hAnsi="宋体"/>
          <w:b/>
          <w:sz w:val="24"/>
        </w:rPr>
        <w:t>（</w:t>
      </w:r>
      <w:r>
        <w:rPr>
          <w:rFonts w:ascii="宋体" w:hAnsi="宋体"/>
          <w:b/>
          <w:sz w:val="24"/>
        </w:rPr>
        <w:t>乙方</w:t>
      </w:r>
      <w:r>
        <w:rPr>
          <w:rFonts w:hint="eastAsia" w:ascii="宋体" w:hAnsi="宋体"/>
          <w:b/>
          <w:sz w:val="24"/>
        </w:rPr>
        <w:t>）：</w:t>
      </w:r>
      <w:r>
        <w:rPr>
          <w:rFonts w:hint="eastAsia" w:ascii="宋体" w:hAnsi="宋体"/>
          <w:b/>
          <w:sz w:val="24"/>
          <w:u w:val="single"/>
        </w:rPr>
        <w:t xml:space="preserve">                               （盖章）</w:t>
      </w:r>
    </w:p>
    <w:p>
      <w:pPr>
        <w:spacing w:line="360" w:lineRule="auto"/>
        <w:ind w:firstLine="723" w:firstLineChars="300"/>
        <w:rPr>
          <w:rFonts w:ascii="宋体" w:hAnsi="宋体"/>
          <w:sz w:val="24"/>
          <w:u w:val="single"/>
        </w:rPr>
      </w:pPr>
      <w:r>
        <w:rPr>
          <w:rFonts w:ascii="宋体" w:hAnsi="宋体"/>
          <w:b/>
          <w:sz w:val="24"/>
        </w:rPr>
        <w:t>采购日期</w:t>
      </w:r>
      <w:r>
        <w:rPr>
          <w:rFonts w:hint="eastAsia" w:ascii="宋体" w:hAnsi="宋体"/>
          <w:b/>
          <w:sz w:val="24"/>
        </w:rPr>
        <w:t xml:space="preserve">： </w:t>
      </w:r>
      <w:r>
        <w:rPr>
          <w:rFonts w:hint="eastAsia" w:ascii="宋体" w:hAnsi="宋体"/>
          <w:b/>
          <w:sz w:val="24"/>
          <w:u w:val="single"/>
        </w:rPr>
        <w:t xml:space="preserve">                          </w:t>
      </w:r>
      <w:r>
        <w:rPr>
          <w:rFonts w:hint="eastAsia" w:ascii="宋体" w:hAnsi="宋体"/>
          <w:sz w:val="24"/>
          <w:u w:val="single"/>
        </w:rPr>
        <w:t xml:space="preserve">                     </w:t>
      </w:r>
    </w:p>
    <w:p>
      <w:pPr>
        <w:spacing w:line="360" w:lineRule="auto"/>
        <w:rPr>
          <w:rFonts w:ascii="宋体" w:hAnsi="宋体" w:cs="宋体"/>
          <w:b/>
          <w:sz w:val="24"/>
        </w:rPr>
      </w:pPr>
      <w:r>
        <w:rPr>
          <w:rFonts w:ascii="宋体" w:hAnsi="宋体"/>
          <w:sz w:val="24"/>
          <w:u w:val="single"/>
        </w:rPr>
        <w:br w:type="page"/>
      </w:r>
      <w:r>
        <w:rPr>
          <w:rFonts w:hint="eastAsia" w:ascii="宋体" w:hAnsi="宋体" w:cs="宋体"/>
          <w:b/>
          <w:sz w:val="24"/>
        </w:rPr>
        <w:t>采购单位（以下简称甲方）：</w:t>
      </w:r>
    </w:p>
    <w:p>
      <w:pPr>
        <w:spacing w:line="360" w:lineRule="auto"/>
        <w:rPr>
          <w:rFonts w:ascii="宋体" w:hAnsi="宋体" w:cs="宋体"/>
          <w:b/>
          <w:sz w:val="24"/>
        </w:rPr>
      </w:pPr>
      <w:r>
        <w:rPr>
          <w:rFonts w:hint="eastAsia" w:ascii="宋体" w:hAnsi="宋体" w:cs="宋体"/>
          <w:b/>
          <w:sz w:val="24"/>
        </w:rPr>
        <w:t>成交</w:t>
      </w:r>
      <w:r>
        <w:rPr>
          <w:rFonts w:ascii="宋体" w:hAnsi="宋体" w:cs="宋体"/>
          <w:b/>
          <w:sz w:val="24"/>
        </w:rPr>
        <w:t>供应商</w:t>
      </w:r>
      <w:r>
        <w:rPr>
          <w:rFonts w:hint="eastAsia" w:ascii="宋体" w:hAnsi="宋体" w:cs="宋体"/>
          <w:b/>
          <w:sz w:val="24"/>
        </w:rPr>
        <w:t>（</w:t>
      </w:r>
      <w:r>
        <w:rPr>
          <w:rFonts w:ascii="宋体" w:hAnsi="宋体" w:cs="宋体"/>
          <w:b/>
          <w:sz w:val="24"/>
        </w:rPr>
        <w:t>以下简称乙方</w:t>
      </w:r>
      <w:r>
        <w:rPr>
          <w:rFonts w:hint="eastAsia" w:ascii="宋体" w:hAnsi="宋体" w:cs="宋体"/>
          <w:b/>
          <w:sz w:val="24"/>
        </w:rPr>
        <w:t>）：</w:t>
      </w:r>
    </w:p>
    <w:p>
      <w:pPr>
        <w:spacing w:line="360" w:lineRule="auto"/>
        <w:ind w:firstLine="480" w:firstLineChars="200"/>
        <w:rPr>
          <w:rFonts w:ascii="宋体" w:hAnsi="宋体" w:cs="宋体"/>
          <w:sz w:val="24"/>
        </w:rPr>
      </w:pPr>
      <w:r>
        <w:rPr>
          <w:rFonts w:hint="eastAsia" w:ascii="宋体" w:hAnsi="宋体" w:cs="宋体"/>
          <w:sz w:val="24"/>
        </w:rPr>
        <w:t>甲、乙双方根据    年 月 日</w:t>
      </w:r>
      <w:r>
        <w:rPr>
          <w:rFonts w:hint="eastAsia" w:ascii="宋体" w:hAnsi="宋体" w:cs="宋体"/>
          <w:b/>
          <w:bCs/>
          <w:sz w:val="24"/>
          <w:u w:val="single"/>
          <w:lang w:eastAsia="zh-CN"/>
        </w:rPr>
        <w:t>刚察县农村环境污染防治建设项目</w:t>
      </w:r>
      <w:r>
        <w:rPr>
          <w:rFonts w:hint="eastAsia" w:ascii="宋体" w:hAnsi="宋体" w:cs="宋体"/>
          <w:b/>
          <w:bCs/>
          <w:sz w:val="24"/>
          <w:u w:val="single"/>
        </w:rPr>
        <w:t>（</w:t>
      </w:r>
      <w:r>
        <w:rPr>
          <w:rFonts w:hint="eastAsia" w:ascii="宋体" w:hAnsi="宋体" w:cs="宋体"/>
          <w:b/>
          <w:bCs/>
          <w:sz w:val="24"/>
          <w:u w:val="single"/>
          <w:lang w:eastAsia="zh-CN"/>
        </w:rPr>
        <w:t>河南建科竞磋（货物）2021-031</w:t>
      </w:r>
      <w:r>
        <w:rPr>
          <w:rFonts w:hint="eastAsia" w:ascii="宋体" w:hAnsi="宋体" w:cs="宋体"/>
          <w:b/>
          <w:bCs/>
          <w:sz w:val="24"/>
          <w:u w:val="single"/>
        </w:rPr>
        <w:t>）</w:t>
      </w:r>
      <w:r>
        <w:rPr>
          <w:rFonts w:hint="eastAsia" w:ascii="宋体" w:hAnsi="宋体" w:cs="宋体"/>
          <w:sz w:val="24"/>
        </w:rPr>
        <w:t>的磋商文件要求和采购代理机构出具的《成交通知书》，并经双方协商一致，签订本合同协议书。</w:t>
      </w:r>
    </w:p>
    <w:p>
      <w:pPr>
        <w:spacing w:line="360" w:lineRule="auto"/>
        <w:rPr>
          <w:rFonts w:ascii="宋体" w:hAnsi="宋体" w:cs="宋体"/>
          <w:b/>
          <w:sz w:val="24"/>
        </w:rPr>
      </w:pPr>
      <w:r>
        <w:rPr>
          <w:rFonts w:ascii="宋体" w:hAnsi="宋体" w:cs="宋体"/>
          <w:b/>
          <w:sz w:val="24"/>
        </w:rPr>
        <w:t>一</w:t>
      </w:r>
      <w:r>
        <w:rPr>
          <w:rFonts w:hint="eastAsia" w:ascii="宋体" w:hAnsi="宋体" w:cs="宋体"/>
          <w:b/>
          <w:sz w:val="24"/>
        </w:rPr>
        <w:t>、签订本政府采购合同的依据</w:t>
      </w:r>
    </w:p>
    <w:p>
      <w:pPr>
        <w:spacing w:line="360" w:lineRule="auto"/>
        <w:ind w:firstLine="480" w:firstLineChars="200"/>
        <w:rPr>
          <w:rFonts w:ascii="宋体" w:hAnsi="宋体" w:cs="宋体"/>
          <w:sz w:val="24"/>
        </w:rPr>
      </w:pPr>
      <w:r>
        <w:rPr>
          <w:rFonts w:hint="eastAsia" w:ascii="宋体" w:hAnsi="宋体" w:cs="宋体"/>
          <w:sz w:val="24"/>
        </w:rPr>
        <w:t>本政府采购合同所附下列文件是构成本政府采购合同不可分割的部分：</w:t>
      </w:r>
    </w:p>
    <w:p>
      <w:pPr>
        <w:spacing w:line="360" w:lineRule="auto"/>
        <w:rPr>
          <w:rFonts w:ascii="宋体" w:hAnsi="宋体" w:cs="宋体"/>
          <w:sz w:val="24"/>
        </w:rPr>
      </w:pPr>
      <w:r>
        <w:rPr>
          <w:rFonts w:hint="eastAsia" w:ascii="宋体" w:hAnsi="宋体" w:cs="宋体"/>
          <w:sz w:val="24"/>
        </w:rPr>
        <w:t>1．磋商文件；</w:t>
      </w:r>
    </w:p>
    <w:p>
      <w:pPr>
        <w:spacing w:line="360" w:lineRule="auto"/>
        <w:rPr>
          <w:rFonts w:ascii="宋体" w:hAnsi="宋体" w:cs="宋体"/>
          <w:sz w:val="24"/>
        </w:rPr>
      </w:pPr>
      <w:r>
        <w:rPr>
          <w:rFonts w:hint="eastAsia" w:ascii="宋体" w:hAnsi="宋体" w:cs="宋体"/>
          <w:sz w:val="24"/>
        </w:rPr>
        <w:t>2．磋商文件的更正、变更公告；</w:t>
      </w:r>
    </w:p>
    <w:p>
      <w:pPr>
        <w:spacing w:line="360" w:lineRule="auto"/>
        <w:rPr>
          <w:rFonts w:ascii="宋体" w:hAnsi="宋体" w:cs="宋体"/>
          <w:sz w:val="24"/>
        </w:rPr>
      </w:pPr>
      <w:r>
        <w:rPr>
          <w:rFonts w:hint="eastAsia" w:ascii="宋体" w:hAnsi="宋体" w:cs="宋体"/>
          <w:sz w:val="24"/>
        </w:rPr>
        <w:t>3．成交磋商供应商提交的磋商响应文件；</w:t>
      </w:r>
    </w:p>
    <w:p>
      <w:pPr>
        <w:spacing w:line="360" w:lineRule="auto"/>
        <w:rPr>
          <w:rFonts w:ascii="宋体" w:hAnsi="宋体" w:cs="宋体"/>
          <w:sz w:val="24"/>
        </w:rPr>
      </w:pPr>
      <w:r>
        <w:rPr>
          <w:rFonts w:hint="eastAsia" w:ascii="宋体" w:hAnsi="宋体" w:cs="宋体"/>
          <w:sz w:val="24"/>
        </w:rPr>
        <w:t>4．磋商文件中规定的政府采购合同通用条款；</w:t>
      </w:r>
    </w:p>
    <w:p>
      <w:pPr>
        <w:spacing w:line="360" w:lineRule="auto"/>
        <w:rPr>
          <w:rFonts w:ascii="宋体" w:hAnsi="宋体" w:cs="宋体"/>
          <w:sz w:val="24"/>
        </w:rPr>
      </w:pPr>
      <w:r>
        <w:rPr>
          <w:rFonts w:hint="eastAsia" w:ascii="宋体" w:hAnsi="宋体" w:cs="宋体"/>
          <w:sz w:val="24"/>
        </w:rPr>
        <w:t>5．成交通知书。</w:t>
      </w:r>
    </w:p>
    <w:p>
      <w:pPr>
        <w:spacing w:line="360" w:lineRule="auto"/>
        <w:rPr>
          <w:rFonts w:ascii="宋体" w:hAnsi="宋体" w:cs="宋体"/>
          <w:sz w:val="24"/>
        </w:rPr>
      </w:pPr>
      <w:r>
        <w:rPr>
          <w:rFonts w:hint="eastAsia" w:ascii="宋体" w:hAnsi="宋体"/>
          <w:sz w:val="24"/>
        </w:rPr>
        <w:t>6. 履约保证金缴纳凭证。</w:t>
      </w:r>
    </w:p>
    <w:p>
      <w:pPr>
        <w:spacing w:line="360" w:lineRule="auto"/>
        <w:rPr>
          <w:rFonts w:ascii="宋体" w:hAnsi="宋体"/>
          <w:b/>
          <w:sz w:val="24"/>
        </w:rPr>
      </w:pPr>
      <w:r>
        <w:rPr>
          <w:rFonts w:hint="eastAsia" w:ascii="宋体" w:hAnsi="宋体"/>
          <w:b/>
          <w:sz w:val="24"/>
        </w:rPr>
        <w:t xml:space="preserve">二、合同标的及金额                                          </w:t>
      </w:r>
      <w:r>
        <w:rPr>
          <w:rFonts w:hint="eastAsia" w:ascii="宋体" w:hAnsi="宋体"/>
          <w:sz w:val="24"/>
        </w:rPr>
        <w:t>单位：    元</w:t>
      </w:r>
    </w:p>
    <w:tbl>
      <w:tblPr>
        <w:tblStyle w:val="35"/>
        <w:tblW w:w="9644" w:type="dxa"/>
        <w:tblInd w:w="103" w:type="dxa"/>
        <w:tblLayout w:type="fixed"/>
        <w:tblCellMar>
          <w:top w:w="0" w:type="dxa"/>
          <w:left w:w="108" w:type="dxa"/>
          <w:bottom w:w="0" w:type="dxa"/>
          <w:right w:w="108" w:type="dxa"/>
        </w:tblCellMar>
      </w:tblPr>
      <w:tblGrid>
        <w:gridCol w:w="1265"/>
        <w:gridCol w:w="1260"/>
        <w:gridCol w:w="1308"/>
        <w:gridCol w:w="708"/>
        <w:gridCol w:w="1560"/>
        <w:gridCol w:w="1417"/>
        <w:gridCol w:w="2126"/>
      </w:tblGrid>
      <w:tr>
        <w:tblPrEx>
          <w:tblCellMar>
            <w:top w:w="0" w:type="dxa"/>
            <w:left w:w="108" w:type="dxa"/>
            <w:bottom w:w="0" w:type="dxa"/>
            <w:right w:w="108" w:type="dxa"/>
          </w:tblCellMar>
        </w:tblPrEx>
        <w:trPr>
          <w:trHeight w:val="757"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序号</w:t>
            </w: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标的名称</w:t>
            </w: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型号规格</w:t>
            </w: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数量</w:t>
            </w: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单价</w:t>
            </w:r>
          </w:p>
        </w:tc>
        <w:tc>
          <w:tcPr>
            <w:tcW w:w="1417"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总价</w:t>
            </w:r>
          </w:p>
        </w:tc>
        <w:tc>
          <w:tcPr>
            <w:tcW w:w="2126"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trHeight w:val="564"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1</w:t>
            </w:r>
          </w:p>
        </w:tc>
        <w:tc>
          <w:tcPr>
            <w:tcW w:w="1260"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308"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708"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560"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417" w:type="dxa"/>
            <w:tcBorders>
              <w:top w:val="nil"/>
              <w:left w:val="nil"/>
              <w:bottom w:val="single" w:color="auto" w:sz="4" w:space="0"/>
              <w:right w:val="nil"/>
            </w:tcBorders>
            <w:shd w:val="clear" w:color="auto" w:fill="FFFFFF"/>
            <w:vAlign w:val="center"/>
          </w:tcPr>
          <w:p>
            <w:pPr>
              <w:spacing w:line="360" w:lineRule="auto"/>
              <w:jc w:val="center"/>
              <w:rPr>
                <w:rFonts w:ascii="宋体" w:hAnsi="宋体"/>
                <w:sz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r>
      <w:tr>
        <w:tblPrEx>
          <w:tblCellMar>
            <w:top w:w="0" w:type="dxa"/>
            <w:left w:w="108" w:type="dxa"/>
            <w:bottom w:w="0" w:type="dxa"/>
            <w:right w:w="108" w:type="dxa"/>
          </w:tblCellMar>
        </w:tblPrEx>
        <w:trPr>
          <w:trHeight w:val="702" w:hRule="atLeast"/>
        </w:trPr>
        <w:tc>
          <w:tcPr>
            <w:tcW w:w="1265"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2</w:t>
            </w:r>
          </w:p>
        </w:tc>
        <w:tc>
          <w:tcPr>
            <w:tcW w:w="1260"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308"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560" w:type="dxa"/>
            <w:tcBorders>
              <w:top w:val="nil"/>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417" w:type="dxa"/>
            <w:tcBorders>
              <w:top w:val="nil"/>
              <w:left w:val="nil"/>
              <w:bottom w:val="single" w:color="auto" w:sz="4" w:space="0"/>
              <w:right w:val="nil"/>
            </w:tcBorders>
            <w:shd w:val="clear" w:color="auto" w:fill="FFFFFF"/>
            <w:vAlign w:val="center"/>
          </w:tcPr>
          <w:p>
            <w:pPr>
              <w:spacing w:line="360" w:lineRule="auto"/>
              <w:jc w:val="center"/>
              <w:rPr>
                <w:rFonts w:ascii="宋体" w:hAnsi="宋体"/>
                <w:sz w:val="24"/>
              </w:rPr>
            </w:pPr>
          </w:p>
        </w:tc>
        <w:tc>
          <w:tcPr>
            <w:tcW w:w="2126" w:type="dxa"/>
            <w:tcBorders>
              <w:top w:val="nil"/>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r>
      <w:tr>
        <w:tblPrEx>
          <w:tblCellMar>
            <w:top w:w="0" w:type="dxa"/>
            <w:left w:w="108" w:type="dxa"/>
            <w:bottom w:w="0" w:type="dxa"/>
            <w:right w:w="108" w:type="dxa"/>
          </w:tblCellMar>
        </w:tblPrEx>
        <w:trPr>
          <w:trHeight w:val="702" w:hRule="atLeast"/>
        </w:trPr>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r>
              <w:rPr>
                <w:rFonts w:hint="eastAsia" w:ascii="宋体" w:hAnsi="宋体"/>
                <w:sz w:val="24"/>
              </w:rPr>
              <w:t>…</w:t>
            </w:r>
          </w:p>
        </w:tc>
        <w:tc>
          <w:tcPr>
            <w:tcW w:w="12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3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708"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560"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c>
          <w:tcPr>
            <w:tcW w:w="1417" w:type="dxa"/>
            <w:tcBorders>
              <w:top w:val="single" w:color="auto" w:sz="4" w:space="0"/>
              <w:left w:val="nil"/>
              <w:bottom w:val="single" w:color="auto" w:sz="4" w:space="0"/>
              <w:right w:val="nil"/>
            </w:tcBorders>
            <w:shd w:val="clear" w:color="auto" w:fill="FFFFFF"/>
            <w:vAlign w:val="center"/>
          </w:tcPr>
          <w:p>
            <w:pPr>
              <w:spacing w:line="360" w:lineRule="auto"/>
              <w:jc w:val="center"/>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 w:val="24"/>
              </w:rPr>
            </w:pPr>
          </w:p>
        </w:tc>
      </w:tr>
    </w:tbl>
    <w:p>
      <w:pPr>
        <w:spacing w:line="360" w:lineRule="auto"/>
        <w:ind w:firstLine="480" w:firstLineChars="200"/>
        <w:rPr>
          <w:rFonts w:ascii="宋体" w:hAnsi="宋体"/>
          <w:sz w:val="24"/>
        </w:rPr>
      </w:pPr>
      <w:r>
        <w:rPr>
          <w:rFonts w:hint="eastAsia" w:ascii="宋体" w:hAnsi="宋体"/>
          <w:sz w:val="24"/>
        </w:rPr>
        <w:t>根据上述政府采购合同文件要求，本政府采购合同的总金额为人民币（大写）</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本合同以人民币进行结算，合同总价包括：</w:t>
      </w:r>
      <w:r>
        <w:rPr>
          <w:rFonts w:hint="eastAsia" w:hAnsi="宋体"/>
          <w:sz w:val="24"/>
          <w:szCs w:val="24"/>
          <w:lang w:eastAsia="zh-CN"/>
        </w:rPr>
        <w:t>产品费、验收费、手续费、包装费、运输费、保险费、安装费、调试费、培训费、售前、售中、售后服务费、成交服务费及不可预见费等全部费用。</w:t>
      </w:r>
      <w:r>
        <w:rPr>
          <w:rFonts w:hint="eastAsia" w:ascii="宋体" w:hAnsi="宋体"/>
          <w:sz w:val="24"/>
        </w:rPr>
        <w:t>（说明：具体</w:t>
      </w:r>
      <w:r>
        <w:rPr>
          <w:rFonts w:hint="eastAsia" w:ascii="宋体" w:hAnsi="宋体"/>
          <w:color w:val="000000" w:themeColor="text1"/>
          <w:sz w:val="24"/>
          <w14:textFill>
            <w14:solidFill>
              <w14:schemeClr w14:val="tx1"/>
            </w14:solidFill>
          </w14:textFill>
        </w:rPr>
        <w:t>内容应根据项目特点实事求是的填写）。</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三、交付时间、地点和要求</w:t>
      </w:r>
    </w:p>
    <w:p>
      <w:pPr>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1.交货期：</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交货地点：</w:t>
      </w:r>
      <w:bookmarkStart w:id="107" w:name="_Hlk497746416"/>
      <w:r>
        <w:rPr>
          <w:rFonts w:hint="eastAsia" w:ascii="宋体" w:hAnsi="宋体"/>
          <w:color w:val="000000" w:themeColor="text1"/>
          <w:sz w:val="24"/>
          <w:u w:val="single"/>
          <w14:textFill>
            <w14:solidFill>
              <w14:schemeClr w14:val="tx1"/>
            </w14:solidFill>
          </w14:textFill>
        </w:rPr>
        <w:t>采购人指定地点</w:t>
      </w:r>
      <w:r>
        <w:rPr>
          <w:rFonts w:hint="eastAsia" w:ascii="宋体" w:hAnsi="宋体"/>
          <w:color w:val="000000" w:themeColor="text1"/>
          <w:sz w:val="24"/>
          <w14:textFill>
            <w14:solidFill>
              <w14:schemeClr w14:val="tx1"/>
            </w14:solidFill>
          </w14:textFill>
        </w:rPr>
        <w:t>；</w:t>
      </w:r>
    </w:p>
    <w:bookmarkEnd w:id="107"/>
    <w:p>
      <w:pPr>
        <w:spacing w:line="360" w:lineRule="auto"/>
        <w:rPr>
          <w:rFonts w:ascii="宋体" w:hAnsi="宋体"/>
          <w:sz w:val="24"/>
        </w:rPr>
      </w:pPr>
      <w:r>
        <w:rPr>
          <w:rFonts w:hint="eastAsia" w:ascii="宋体" w:hAnsi="宋体"/>
          <w:color w:val="000000" w:themeColor="text1"/>
          <w:sz w:val="24"/>
          <w14:textFill>
            <w14:solidFill>
              <w14:schemeClr w14:val="tx1"/>
            </w14:solidFill>
          </w14:textFill>
        </w:rPr>
        <w:t>2.乙方提供不符合磋商响应文件和本合</w:t>
      </w:r>
      <w:r>
        <w:rPr>
          <w:rFonts w:hint="eastAsia" w:ascii="宋体" w:hAnsi="宋体"/>
          <w:sz w:val="24"/>
        </w:rPr>
        <w:t>同规定的产品，甲方有权拒绝接受；</w:t>
      </w:r>
    </w:p>
    <w:p>
      <w:pPr>
        <w:spacing w:line="360" w:lineRule="auto"/>
        <w:rPr>
          <w:rFonts w:ascii="宋体" w:hAnsi="宋体"/>
          <w:sz w:val="24"/>
        </w:rPr>
      </w:pPr>
      <w:r>
        <w:rPr>
          <w:rFonts w:hint="eastAsia" w:ascii="宋体" w:hAnsi="宋体"/>
          <w:sz w:val="24"/>
        </w:rPr>
        <w:t>3.乙方应将提供产品的装箱清单、用户手册、原厂保修卡、随机资料、工具和备品、备件等（如有）交付给甲方，如有缺失应及时补齐，否则视为逾期交货；</w:t>
      </w:r>
    </w:p>
    <w:p>
      <w:pPr>
        <w:spacing w:line="360" w:lineRule="auto"/>
        <w:rPr>
          <w:rFonts w:ascii="宋体" w:hAnsi="宋体"/>
          <w:sz w:val="24"/>
        </w:rPr>
      </w:pPr>
      <w:r>
        <w:rPr>
          <w:rFonts w:hint="eastAsia" w:ascii="宋体" w:hAnsi="宋体"/>
          <w:sz w:val="24"/>
        </w:rPr>
        <w:t>4.甲方应当在到货（安装、调试完）后10个工作日内进行验收，逾期不验收的，乙方可视为验收合格。验收合格后，由甲乙双方签署产品验收单并加盖采购单位公章，甲乙双方各执一份；</w:t>
      </w:r>
    </w:p>
    <w:p>
      <w:pPr>
        <w:spacing w:line="360" w:lineRule="auto"/>
        <w:rPr>
          <w:rFonts w:ascii="宋体" w:hAnsi="宋体"/>
          <w:sz w:val="24"/>
        </w:rPr>
      </w:pPr>
      <w:r>
        <w:rPr>
          <w:rFonts w:hint="eastAsia" w:ascii="宋体" w:hAnsi="宋体"/>
          <w:sz w:val="24"/>
        </w:rPr>
        <w:t>5.甲方应提供该项目验收报告交同级财政监管部门，由财政部门按规定程序抽验后办理资金拨付；</w:t>
      </w:r>
    </w:p>
    <w:p>
      <w:pPr>
        <w:spacing w:line="360" w:lineRule="auto"/>
        <w:rPr>
          <w:rFonts w:ascii="宋体" w:hAnsi="宋体"/>
          <w:sz w:val="24"/>
        </w:rPr>
      </w:pPr>
      <w:r>
        <w:rPr>
          <w:rFonts w:hint="eastAsia" w:ascii="宋体" w:hAnsi="宋体"/>
          <w:sz w:val="24"/>
        </w:rPr>
        <w:t>6.甲方在验收过程中发现乙方有违约问题，可按磋商响应文件的规定要求乙方及时予以解决；</w:t>
      </w:r>
    </w:p>
    <w:p>
      <w:pPr>
        <w:spacing w:line="360" w:lineRule="auto"/>
        <w:rPr>
          <w:rFonts w:ascii="宋体" w:hAnsi="宋体"/>
          <w:sz w:val="24"/>
        </w:rPr>
      </w:pPr>
      <w:r>
        <w:rPr>
          <w:rFonts w:hint="eastAsia" w:ascii="宋体" w:hAnsi="宋体"/>
          <w:sz w:val="24"/>
        </w:rPr>
        <w:t>7.乙方向甲方提供产品相关完税销售发票。</w:t>
      </w:r>
    </w:p>
    <w:p>
      <w:pPr>
        <w:spacing w:line="360" w:lineRule="auto"/>
        <w:rPr>
          <w:rFonts w:ascii="宋体" w:hAnsi="宋体"/>
          <w:b/>
          <w:sz w:val="24"/>
        </w:rPr>
      </w:pPr>
      <w:r>
        <w:rPr>
          <w:rFonts w:hint="eastAsia" w:ascii="宋体" w:hAnsi="宋体"/>
          <w:b/>
          <w:sz w:val="24"/>
        </w:rPr>
        <w:t>四、付款方式</w:t>
      </w:r>
    </w:p>
    <w:p>
      <w:pPr>
        <w:spacing w:line="360" w:lineRule="auto"/>
        <w:ind w:firstLine="720" w:firstLineChars="300"/>
        <w:rPr>
          <w:rFonts w:hint="eastAsia" w:ascii="宋体" w:hAnsi="宋体"/>
          <w:sz w:val="24"/>
        </w:rPr>
      </w:pPr>
      <w:r>
        <w:rPr>
          <w:rFonts w:hint="eastAsia" w:ascii="宋体" w:hAnsi="宋体"/>
          <w:sz w:val="24"/>
        </w:rPr>
        <w:t>具体要求由采购人与成交供应商在签订合同时确定。</w:t>
      </w:r>
    </w:p>
    <w:p>
      <w:pPr>
        <w:autoSpaceDE w:val="0"/>
        <w:autoSpaceDN w:val="0"/>
        <w:spacing w:line="360" w:lineRule="auto"/>
        <w:rPr>
          <w:rFonts w:ascii="宋体" w:hAnsi="宋体"/>
          <w:b/>
          <w:sz w:val="24"/>
        </w:rPr>
      </w:pPr>
      <w:r>
        <w:rPr>
          <w:rFonts w:hint="eastAsia" w:ascii="宋体" w:hAnsi="宋体"/>
          <w:b/>
          <w:sz w:val="24"/>
        </w:rPr>
        <w:t>五、合同的变更、终止与转让</w:t>
      </w:r>
    </w:p>
    <w:p>
      <w:pPr>
        <w:spacing w:line="360" w:lineRule="auto"/>
        <w:rPr>
          <w:rFonts w:ascii="宋体" w:hAnsi="宋体"/>
          <w:sz w:val="24"/>
        </w:rPr>
      </w:pPr>
      <w:r>
        <w:rPr>
          <w:rFonts w:hint="eastAsia" w:ascii="宋体" w:hAnsi="宋体"/>
          <w:sz w:val="24"/>
        </w:rPr>
        <w:t>1．除《中华人民共和国政府采购法》第50条规定的情形外，本合同一经签订，甲乙双方不得擅自变更、中止或终止；</w:t>
      </w:r>
    </w:p>
    <w:p>
      <w:pPr>
        <w:spacing w:line="360" w:lineRule="auto"/>
        <w:rPr>
          <w:rFonts w:ascii="宋体" w:hAnsi="宋体"/>
          <w:sz w:val="24"/>
        </w:rPr>
      </w:pPr>
      <w:r>
        <w:rPr>
          <w:rFonts w:hint="eastAsia" w:ascii="宋体" w:hAnsi="宋体"/>
          <w:sz w:val="24"/>
        </w:rPr>
        <w:t>2．乙方不得擅自转让其应履行的合同义务。</w:t>
      </w:r>
    </w:p>
    <w:p>
      <w:pPr>
        <w:spacing w:line="360" w:lineRule="auto"/>
        <w:rPr>
          <w:rFonts w:ascii="宋体" w:hAnsi="宋体"/>
          <w:b/>
          <w:sz w:val="24"/>
        </w:rPr>
      </w:pPr>
      <w:r>
        <w:rPr>
          <w:rFonts w:hint="eastAsia" w:ascii="宋体" w:hAnsi="宋体"/>
          <w:b/>
          <w:sz w:val="24"/>
        </w:rPr>
        <w:t>六、违约责任</w:t>
      </w:r>
    </w:p>
    <w:p>
      <w:pPr>
        <w:spacing w:line="360" w:lineRule="auto"/>
        <w:rPr>
          <w:rFonts w:ascii="宋体" w:hAnsi="宋体"/>
          <w:sz w:val="24"/>
        </w:rPr>
      </w:pPr>
      <w:r>
        <w:rPr>
          <w:rFonts w:hint="eastAsia" w:ascii="宋体" w:hAnsi="宋体"/>
          <w:sz w:val="24"/>
        </w:rPr>
        <w:t>1．乙方所提供的产品规格、技术标准、材料等质量不合格的，应及时更换；更换不及时的，按逾期交货处罚；因质量问题甲方不同意接收的，质保金全额扣除，并由乙方赔偿由此引起的甲方的一切经济损失；</w:t>
      </w:r>
    </w:p>
    <w:p>
      <w:pPr>
        <w:spacing w:line="360" w:lineRule="auto"/>
        <w:rPr>
          <w:rFonts w:ascii="宋体" w:hAnsi="宋体"/>
          <w:sz w:val="24"/>
        </w:rPr>
      </w:pPr>
      <w:r>
        <w:rPr>
          <w:rFonts w:hint="eastAsia" w:ascii="宋体" w:hAnsi="宋体"/>
          <w:sz w:val="24"/>
        </w:rPr>
        <w:t>2．乙方提供的货物如侵犯了第三方权益而引发纠纷或诉讼的，均由乙方负责交涉并承担全部责任；</w:t>
      </w:r>
    </w:p>
    <w:p>
      <w:pPr>
        <w:spacing w:line="360" w:lineRule="auto"/>
        <w:rPr>
          <w:rFonts w:ascii="宋体" w:hAnsi="宋体"/>
          <w:sz w:val="24"/>
        </w:rPr>
      </w:pPr>
      <w:r>
        <w:rPr>
          <w:rFonts w:hint="eastAsia" w:ascii="宋体" w:hAnsi="宋体"/>
          <w:sz w:val="24"/>
        </w:rPr>
        <w:t>3．因包装、运输引起的货物损坏，按质量不合格处罚；</w:t>
      </w:r>
    </w:p>
    <w:p>
      <w:pPr>
        <w:spacing w:line="360" w:lineRule="auto"/>
        <w:rPr>
          <w:rFonts w:ascii="宋体" w:hAnsi="宋体"/>
          <w:sz w:val="24"/>
        </w:rPr>
      </w:pPr>
      <w:r>
        <w:rPr>
          <w:rFonts w:hint="eastAsia" w:ascii="宋体" w:hAnsi="宋体"/>
          <w:sz w:val="24"/>
        </w:rPr>
        <w:t>4．甲方无故延期接受货物和乙方逾期交货的，每天应向对方偿付未交货物的货款3‰的违约金，但违约金累计不得超过违约货款的5%，超过10天对方有权解除合同，违约方承担因此给对方造成的经济损失；</w:t>
      </w:r>
    </w:p>
    <w:p>
      <w:pPr>
        <w:spacing w:line="360" w:lineRule="auto"/>
        <w:rPr>
          <w:rFonts w:ascii="宋体" w:hAnsi="宋体"/>
          <w:sz w:val="24"/>
        </w:rPr>
      </w:pPr>
      <w:r>
        <w:rPr>
          <w:rFonts w:hint="eastAsia" w:ascii="宋体" w:hAnsi="宋体"/>
          <w:sz w:val="24"/>
        </w:rPr>
        <w:t>5．乙方未按本合同和磋商文件中规定的服务承诺提供售后服务的，乙方应按本合同合计金额的5%向甲方支付违约金；</w:t>
      </w:r>
    </w:p>
    <w:p>
      <w:pPr>
        <w:spacing w:line="360" w:lineRule="auto"/>
        <w:rPr>
          <w:rFonts w:ascii="宋体" w:hAnsi="宋体"/>
          <w:sz w:val="24"/>
        </w:rPr>
      </w:pPr>
      <w:r>
        <w:rPr>
          <w:rFonts w:hint="eastAsia" w:ascii="宋体" w:hAnsi="宋体"/>
          <w:sz w:val="24"/>
        </w:rPr>
        <w:t>6．乙方提供的货物在质量保证期内，因设计、工艺或材料的缺陷和其它质量原因造成的问题，由乙方负责，费用从履约保证金中扣除，不足另补；</w:t>
      </w:r>
    </w:p>
    <w:p>
      <w:pPr>
        <w:spacing w:line="360" w:lineRule="auto"/>
        <w:rPr>
          <w:rFonts w:ascii="宋体" w:hAnsi="宋体"/>
          <w:sz w:val="24"/>
        </w:rPr>
      </w:pPr>
      <w:r>
        <w:rPr>
          <w:rFonts w:hint="eastAsia" w:ascii="宋体" w:hAnsi="宋体"/>
          <w:sz w:val="24"/>
        </w:rPr>
        <w:t>7．其它违约行为按违约货款额5%收取违约金并赔偿经济损失。</w:t>
      </w:r>
    </w:p>
    <w:p>
      <w:pPr>
        <w:spacing w:line="360" w:lineRule="auto"/>
        <w:rPr>
          <w:rFonts w:ascii="宋体" w:hAnsi="宋体"/>
          <w:b/>
          <w:sz w:val="24"/>
        </w:rPr>
      </w:pPr>
      <w:r>
        <w:rPr>
          <w:rFonts w:hint="eastAsia" w:ascii="宋体" w:hAnsi="宋体"/>
          <w:b/>
          <w:sz w:val="24"/>
        </w:rPr>
        <w:t>七、不可抗力</w:t>
      </w:r>
    </w:p>
    <w:p>
      <w:pPr>
        <w:spacing w:line="360" w:lineRule="auto"/>
        <w:rPr>
          <w:rFonts w:ascii="宋体" w:hAnsi="宋体"/>
          <w:sz w:val="24"/>
        </w:rPr>
      </w:pPr>
      <w:r>
        <w:rPr>
          <w:rFonts w:hint="eastAsia" w:ascii="宋体" w:hAnsi="宋体"/>
          <w:sz w:val="24"/>
        </w:rPr>
        <w:t>1．不可抗力使合同的某些内容有变更必要的，双方应通过协商在</w:t>
      </w:r>
      <w:r>
        <w:rPr>
          <w:rFonts w:ascii="宋体" w:hAnsi="宋体"/>
          <w:sz w:val="24"/>
          <w:u w:val="single"/>
        </w:rPr>
        <w:t>3</w:t>
      </w:r>
      <w:r>
        <w:rPr>
          <w:rFonts w:hint="eastAsia" w:ascii="宋体" w:hAnsi="宋体"/>
          <w:sz w:val="24"/>
        </w:rPr>
        <w:t>天内达成进一步履行合同的协议，因不可抗力致使合同不能履行的，合同终止；</w:t>
      </w:r>
    </w:p>
    <w:p>
      <w:pPr>
        <w:spacing w:line="360" w:lineRule="auto"/>
        <w:rPr>
          <w:rFonts w:ascii="宋体" w:hAnsi="宋体"/>
          <w:sz w:val="24"/>
        </w:rPr>
      </w:pPr>
      <w:r>
        <w:rPr>
          <w:rFonts w:hint="eastAsia" w:ascii="宋体" w:hAnsi="宋体"/>
          <w:sz w:val="24"/>
        </w:rPr>
        <w:t>2．除法律、法规规定的不可抗力情形外，双方约定出现</w:t>
      </w:r>
      <w:r>
        <w:rPr>
          <w:rFonts w:hint="eastAsia" w:ascii="宋体" w:hAnsi="宋体"/>
          <w:sz w:val="24"/>
          <w:u w:val="single"/>
        </w:rPr>
        <w:t xml:space="preserve"> 自然灾害 </w:t>
      </w:r>
      <w:r>
        <w:rPr>
          <w:rFonts w:hint="eastAsia" w:ascii="宋体" w:hAnsi="宋体"/>
          <w:sz w:val="24"/>
        </w:rPr>
        <w:t>情况亦视为不可抗力。</w:t>
      </w:r>
    </w:p>
    <w:p>
      <w:pPr>
        <w:spacing w:line="360" w:lineRule="auto"/>
        <w:rPr>
          <w:rFonts w:ascii="宋体" w:hAnsi="宋体"/>
          <w:b/>
          <w:sz w:val="24"/>
        </w:rPr>
      </w:pPr>
      <w:r>
        <w:rPr>
          <w:rFonts w:hint="eastAsia" w:ascii="宋体" w:hAnsi="宋体"/>
          <w:b/>
          <w:sz w:val="24"/>
        </w:rPr>
        <w:t>八、知识产权：</w:t>
      </w:r>
    </w:p>
    <w:p>
      <w:pPr>
        <w:spacing w:line="360" w:lineRule="auto"/>
        <w:rPr>
          <w:rFonts w:ascii="宋体" w:hAnsi="宋体"/>
          <w:b/>
          <w:sz w:val="24"/>
        </w:rPr>
      </w:pPr>
      <w:r>
        <w:rPr>
          <w:rFonts w:hint="eastAsia" w:ascii="宋体" w:hAnsi="宋体"/>
          <w:b/>
          <w:sz w:val="24"/>
        </w:rPr>
        <w:t>九、其他约定：</w:t>
      </w:r>
    </w:p>
    <w:p>
      <w:pPr>
        <w:spacing w:line="360" w:lineRule="auto"/>
        <w:rPr>
          <w:rFonts w:ascii="宋体" w:hAnsi="宋体"/>
          <w:b/>
          <w:sz w:val="24"/>
        </w:rPr>
      </w:pPr>
      <w:r>
        <w:rPr>
          <w:rFonts w:hint="eastAsia" w:ascii="宋体" w:hAnsi="宋体"/>
          <w:b/>
          <w:sz w:val="24"/>
        </w:rPr>
        <w:t>十、合同争议解决</w:t>
      </w:r>
    </w:p>
    <w:p>
      <w:pPr>
        <w:spacing w:line="360" w:lineRule="auto"/>
        <w:rPr>
          <w:rFonts w:ascii="宋体" w:hAnsi="宋体"/>
          <w:sz w:val="24"/>
        </w:rPr>
      </w:pPr>
      <w:r>
        <w:rPr>
          <w:rFonts w:hint="eastAsia" w:ascii="宋体" w:hAnsi="宋体"/>
          <w:sz w:val="24"/>
        </w:rPr>
        <w:t>1．因产品质量问题发生争议的，应邀请国家认可的质量检测机构进行鉴定。产品符合标准的，鉴定费由甲方承担；产品不符合标准的，鉴定费由乙方承担；</w:t>
      </w:r>
    </w:p>
    <w:p>
      <w:pPr>
        <w:spacing w:line="360" w:lineRule="auto"/>
        <w:rPr>
          <w:rFonts w:ascii="宋体" w:hAnsi="宋体"/>
          <w:sz w:val="24"/>
        </w:rPr>
      </w:pPr>
      <w:r>
        <w:rPr>
          <w:rFonts w:hint="eastAsia" w:ascii="宋体" w:hAnsi="宋体"/>
          <w:sz w:val="24"/>
        </w:rPr>
        <w:t>2．因履行本合同引起的或与本合同有关的争议，甲乙双方应首先通过友好协商解决，如果协商不能解决，可向甲方所在地仲裁委员会申请仲裁或向甲方所在地人民法院提起诉讼；</w:t>
      </w:r>
    </w:p>
    <w:p>
      <w:pPr>
        <w:spacing w:line="360" w:lineRule="auto"/>
        <w:rPr>
          <w:rFonts w:ascii="宋体" w:hAnsi="宋体"/>
          <w:sz w:val="24"/>
        </w:rPr>
      </w:pPr>
      <w:r>
        <w:rPr>
          <w:rFonts w:hint="eastAsia" w:ascii="宋体" w:hAnsi="宋体"/>
          <w:sz w:val="24"/>
        </w:rPr>
        <w:t>3．诉讼期间，本合同继续履行。</w:t>
      </w:r>
    </w:p>
    <w:p>
      <w:pPr>
        <w:spacing w:line="360" w:lineRule="auto"/>
        <w:rPr>
          <w:rFonts w:ascii="宋体" w:hAnsi="宋体"/>
          <w:b/>
          <w:sz w:val="24"/>
        </w:rPr>
      </w:pPr>
      <w:r>
        <w:rPr>
          <w:rFonts w:hint="eastAsia" w:ascii="宋体" w:hAnsi="宋体"/>
          <w:b/>
          <w:sz w:val="24"/>
        </w:rPr>
        <w:t>十一、合同生效及其它：</w:t>
      </w:r>
    </w:p>
    <w:p>
      <w:pPr>
        <w:spacing w:line="360" w:lineRule="auto"/>
        <w:rPr>
          <w:rFonts w:ascii="宋体" w:hAnsi="宋体"/>
          <w:sz w:val="24"/>
        </w:rPr>
      </w:pPr>
      <w:r>
        <w:rPr>
          <w:rFonts w:hint="eastAsia" w:ascii="宋体" w:hAnsi="宋体"/>
          <w:sz w:val="24"/>
        </w:rPr>
        <w:t>1．本合同一式八份，经双方签字，并加盖公章即为生效；</w:t>
      </w:r>
    </w:p>
    <w:p>
      <w:pPr>
        <w:spacing w:line="360" w:lineRule="auto"/>
        <w:rPr>
          <w:rFonts w:ascii="宋体" w:hAnsi="宋体"/>
          <w:sz w:val="24"/>
        </w:rPr>
      </w:pPr>
      <w:r>
        <w:rPr>
          <w:rFonts w:hint="eastAsia" w:ascii="宋体" w:hAnsi="宋体"/>
          <w:sz w:val="24"/>
        </w:rPr>
        <w:t>2．本合同未尽事宜，按经济合同法有关规定处理；</w:t>
      </w:r>
    </w:p>
    <w:p>
      <w:pPr>
        <w:spacing w:line="360" w:lineRule="auto"/>
        <w:rPr>
          <w:rFonts w:ascii="宋体" w:hAnsi="宋体"/>
          <w:sz w:val="24"/>
        </w:rPr>
      </w:pPr>
      <w:r>
        <w:rPr>
          <w:rFonts w:hint="eastAsia" w:ascii="宋体" w:hAnsi="宋体"/>
          <w:sz w:val="24"/>
        </w:rPr>
        <w:t>3．本合同的组成包含《合同通用条款》，可自行在青海政府采购网下载《合同通用条款》</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法人或委托人（签字）：                     法人或委托人（签字）：</w:t>
      </w:r>
    </w:p>
    <w:p>
      <w:pPr>
        <w:spacing w:line="360" w:lineRule="auto"/>
        <w:rPr>
          <w:rFonts w:ascii="宋体" w:hAnsi="宋体"/>
          <w:sz w:val="24"/>
        </w:rPr>
      </w:pPr>
      <w:r>
        <w:rPr>
          <w:rFonts w:hint="eastAsia" w:ascii="宋体" w:hAnsi="宋体"/>
          <w:sz w:val="24"/>
        </w:rPr>
        <w:t>联系电话：                                开户银行：</w:t>
      </w:r>
    </w:p>
    <w:p>
      <w:pPr>
        <w:spacing w:line="360" w:lineRule="auto"/>
        <w:ind w:firstLine="5040" w:firstLineChars="2100"/>
        <w:rPr>
          <w:rFonts w:ascii="宋体" w:hAnsi="宋体"/>
          <w:sz w:val="24"/>
        </w:rPr>
      </w:pPr>
      <w:r>
        <w:rPr>
          <w:rFonts w:hint="eastAsia" w:ascii="宋体" w:hAnsi="宋体"/>
          <w:sz w:val="24"/>
        </w:rPr>
        <w:t>账号：</w:t>
      </w:r>
    </w:p>
    <w:p>
      <w:pPr>
        <w:spacing w:line="360" w:lineRule="auto"/>
        <w:ind w:firstLine="5040" w:firstLineChars="2100"/>
        <w:rPr>
          <w:rFonts w:ascii="宋体" w:hAnsi="宋体"/>
          <w:sz w:val="24"/>
        </w:rPr>
      </w:pPr>
      <w:r>
        <w:rPr>
          <w:rFonts w:hint="eastAsia" w:ascii="宋体" w:hAnsi="宋体"/>
          <w:sz w:val="24"/>
        </w:rPr>
        <w:t>联系电话：</w:t>
      </w:r>
    </w:p>
    <w:p>
      <w:pPr>
        <w:spacing w:line="360" w:lineRule="auto"/>
        <w:ind w:right="960" w:firstLine="5040" w:firstLineChars="2100"/>
        <w:rPr>
          <w:rFonts w:ascii="宋体" w:hAnsi="宋体" w:cs="宋体"/>
          <w:kern w:val="0"/>
          <w:sz w:val="24"/>
        </w:rPr>
      </w:pPr>
      <w:r>
        <w:rPr>
          <w:rFonts w:hint="eastAsia" w:ascii="宋体" w:hAnsi="宋体"/>
          <w:sz w:val="24"/>
        </w:rPr>
        <w:t>签约时间：    年  月  日</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left="0" w:leftChars="0" w:firstLine="1898" w:firstLineChars="791"/>
        <w:rPr>
          <w:rFonts w:hint="eastAsia" w:ascii="宋体" w:hAnsi="宋体" w:eastAsia="宋体"/>
          <w:sz w:val="24"/>
          <w:lang w:eastAsia="zh-CN"/>
        </w:rPr>
      </w:pPr>
      <w:r>
        <w:rPr>
          <w:rFonts w:hint="eastAsia" w:ascii="宋体" w:hAnsi="宋体"/>
          <w:sz w:val="24"/>
        </w:rPr>
        <w:t>采购代理机构：</w:t>
      </w:r>
      <w:r>
        <w:rPr>
          <w:rFonts w:hint="eastAsia" w:ascii="宋体" w:hAnsi="宋体"/>
          <w:sz w:val="24"/>
          <w:lang w:eastAsia="zh-CN"/>
        </w:rPr>
        <w:t>河南省建科建设监理有限公司</w:t>
      </w:r>
    </w:p>
    <w:p>
      <w:pPr>
        <w:spacing w:line="360" w:lineRule="auto"/>
        <w:ind w:left="0" w:leftChars="0" w:firstLine="1898" w:firstLineChars="791"/>
        <w:rPr>
          <w:rFonts w:ascii="宋体" w:hAnsi="宋体"/>
          <w:sz w:val="24"/>
        </w:rPr>
      </w:pPr>
      <w:r>
        <w:rPr>
          <w:rFonts w:hint="eastAsia" w:ascii="宋体" w:hAnsi="宋体"/>
          <w:sz w:val="24"/>
        </w:rPr>
        <w:t>负责人或经办人：</w:t>
      </w:r>
    </w:p>
    <w:p>
      <w:pPr>
        <w:spacing w:line="360" w:lineRule="auto"/>
        <w:ind w:left="0" w:leftChars="0" w:firstLine="1898" w:firstLineChars="791"/>
        <w:rPr>
          <w:rFonts w:ascii="宋体" w:hAnsi="宋体"/>
          <w:sz w:val="24"/>
        </w:rPr>
      </w:pPr>
      <w:r>
        <w:rPr>
          <w:rFonts w:hint="eastAsia" w:ascii="宋体" w:hAnsi="宋体"/>
          <w:sz w:val="24"/>
        </w:rPr>
        <w:t>合同备案日期：  年   月   日</w:t>
      </w:r>
    </w:p>
    <w:p>
      <w:pPr>
        <w:spacing w:line="360" w:lineRule="auto"/>
        <w:jc w:val="center"/>
        <w:rPr>
          <w:rFonts w:ascii="宋体" w:hAnsi="宋体"/>
          <w:sz w:val="24"/>
        </w:rPr>
      </w:pPr>
      <w:r>
        <w:rPr>
          <w:rFonts w:ascii="宋体" w:hAnsi="宋体"/>
          <w:sz w:val="24"/>
        </w:rPr>
        <w:br w:type="page"/>
      </w:r>
    </w:p>
    <w:p>
      <w:pPr>
        <w:spacing w:line="360" w:lineRule="auto"/>
        <w:jc w:val="center"/>
        <w:rPr>
          <w:rFonts w:ascii="宋体" w:hAnsi="宋体"/>
          <w:sz w:val="24"/>
        </w:rPr>
      </w:pPr>
    </w:p>
    <w:p>
      <w:pPr>
        <w:spacing w:line="360" w:lineRule="auto"/>
        <w:jc w:val="center"/>
        <w:rPr>
          <w:rFonts w:hint="eastAsia" w:ascii="宋体" w:hAnsi="宋体"/>
          <w:b/>
          <w:sz w:val="28"/>
          <w:szCs w:val="28"/>
        </w:rPr>
      </w:pPr>
      <w:r>
        <w:rPr>
          <w:rFonts w:hint="eastAsia" w:ascii="宋体" w:hAnsi="宋体"/>
          <w:b/>
          <w:sz w:val="28"/>
          <w:szCs w:val="28"/>
        </w:rPr>
        <w:t>合同通用条款</w:t>
      </w:r>
    </w:p>
    <w:p>
      <w:pPr>
        <w:pStyle w:val="55"/>
        <w:rPr>
          <w:lang w:val="zh-CN"/>
        </w:rPr>
      </w:pP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根据《中华人民共和国</w:t>
      </w:r>
      <w:r>
        <w:rPr>
          <w:rFonts w:hint="eastAsia" w:hAnsi="宋体"/>
          <w:sz w:val="24"/>
        </w:rPr>
        <w:t>民法典</w:t>
      </w:r>
      <w:r>
        <w:rPr>
          <w:rFonts w:hint="eastAsia" w:ascii="宋体" w:hAnsi="宋体" w:cs="宋体"/>
          <w:kern w:val="0"/>
          <w:sz w:val="24"/>
          <w:lang w:val="zh-CN"/>
        </w:rPr>
        <w:t>》、《中华人民共和国政府采购法》的规定，合同双方经协商达成一致，自愿订立本合同，遵循公平原则明确双方的权利、义务，确保双方诚实守信地履行合同。</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定义</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本合同中的下列术语应解释为：</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“合同”指甲乙双方签署的、载明的甲乙双方权利义务的协议，包括所有的附件、附录和上述文件所提到的构成合同的所有文件。</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“合同金额”指根据合同规定，乙方在正确地完全履行合同义务后甲方应付给乙方的价款。</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“合同条款”指本合同条款。</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“货物”指乙方根据合同约定须向甲方提供的一切产品、设备、机械、仪表、备件等，包括辅助工具、使用手册等相关资料。</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“服务”指根据本合同规定乙方承担与供货有关的辅助服务，如运输、保险及安装、调试、提供技术援助、培训和合同中规定乙方应承担的其它义务。</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“甲方”指购买货物和服务的单位。</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“乙方”指提供本合同条款下货物和服务的公司或其他实体。</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“现场”指合同规定货物将要运至和安装的地点。</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“验收”指合同双方依据强制性的国家技术质量规范和合同约定，确认合同条款下的货物符合合同规定的活动。</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原厂商：产品制造商或其在中国境内设立的办事或技术服务机构。除另有说明外，本合同文件所述的制造商、产品制造商、制造厂家、产品制造厂家均为原厂商。</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原产地：指产品的生产地，或提供服务的来源地。</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“工作日”指国家法定工作日，“天”指日历天数。</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技术规格要求</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本合同条款下提交货物的技术规格要求应等于或优于招磋商文件技术规格要求。若技术规格要求中无相应规定，则应符合相应的国家有关部门最新颁布的相应正式标准。</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乙方应向甲方提供货物及服务有关的标准的中文文本。</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除非技术规范中另有规定，计量单位均采用中华人民共和国法定计量单位。</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合同范围</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乙方应负责培训甲方的技术人员。</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按照甲方的要求，乙方应在合同规定的免费质保期和免费保修期内，免费负责修理或更换有缺陷的零部件或整机，对软件产品进行免费升级，同时在合同规定的免费质保期和免费保修期满后，以最优惠的价格，向买方提供合同货物大修和维护所需的配件及服务。</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合同文件和资料</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乙方在提供仪器设备时应同时提供中文版相关的技术资料，如目录索引、图纸、操作手册、使用指南、维修指南、服务手册等。</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知识产权</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乙方应保证甲方在使用该货物或其任何一部分时不受第三方提出的侵犯专利权、著作权、商标权和工业设计权等的起诉。</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任何第三方提出侵权指控，乙方须与第三方交涉并承担由此产生的一切责任、费用和经济赔偿。</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在本合同生效时已经存在并为各方合法拥有或使用的所有技术、资料和信息的知识产权，仍应属于其各自的原权利人所有或享有，另有约定的除外。</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保密</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保密信息指任何一方因履行本合同所知悉的任何以口头、书面、图表或电子形式存在的对方信息，具体包括：</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任何涉及对方过去、现在或将来的商业计划、规章制度、操作规程、处理手段、财务信息；</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任何对方的技术措施、技术方案、软件应用及开发，硬件设备的品种、质量、数量、品牌等；</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任何对方的技术秘密或专有知识、文件、报告、数据、客户软件、流程图、数据库、发明、知识、贸易秘密。</w:t>
      </w:r>
    </w:p>
    <w:p>
      <w:pPr>
        <w:numPr>
          <w:ilvl w:val="1"/>
          <w:numId w:val="13"/>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乙方应根据甲方的要求签署相应的保密协议，保密协议与本条款存在不一致的，以保密协议为准。</w:t>
      </w:r>
    </w:p>
    <w:p>
      <w:pPr>
        <w:numPr>
          <w:ilvl w:val="0"/>
          <w:numId w:val="13"/>
        </w:numPr>
        <w:autoSpaceDE w:val="0"/>
        <w:autoSpaceDN w:val="0"/>
        <w:spacing w:line="360" w:lineRule="auto"/>
        <w:rPr>
          <w:rFonts w:ascii="宋体" w:hAnsi="宋体" w:cs="宋体"/>
          <w:kern w:val="0"/>
          <w:sz w:val="24"/>
        </w:rPr>
      </w:pPr>
      <w:r>
        <w:rPr>
          <w:rFonts w:hint="eastAsia" w:ascii="宋体" w:hAnsi="宋体" w:cs="宋体"/>
          <w:b/>
          <w:bCs/>
          <w:kern w:val="0"/>
          <w:sz w:val="24"/>
          <w:lang w:val="zh-CN"/>
        </w:rPr>
        <w:t>质量保证</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货物质量保证</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乙方必须保证货物是全新、未使用过的，并完全符合强制性的国家技术质量规范和合同规定的质量、规格、性能和技术规范等的要求。</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须保证所提供的货物经正确安装、正常运转和保养，在其使用寿命期内须具有符合质量要求和产品说明书的性能。在货物免费质保期之内，乙方须对由于设计、工艺或材料的缺陷而发生的任何不足或故障负责，并免费予以改进或更换。</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根据乙方按检验标准自己检验结果或委托有资质的相关质检机构的检验结果，发现货物的数量、质量、规格与合同不符；或者在免费质保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合同条款下货物的免费质保期自货物通过最终验收起算，合同另行规定除外。</w:t>
      </w:r>
    </w:p>
    <w:p>
      <w:pPr>
        <w:numPr>
          <w:ilvl w:val="1"/>
          <w:numId w:val="13"/>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辅助服务质量保证</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包装要求</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除合同另有约定外</w:t>
      </w:r>
      <w:r>
        <w:rPr>
          <w:rFonts w:hint="eastAsia" w:ascii="宋体" w:hAnsi="宋体" w:cs="宋体"/>
          <w:kern w:val="0"/>
          <w:sz w:val="24"/>
        </w:rPr>
        <w:t>,</w:t>
      </w:r>
      <w:r>
        <w:rPr>
          <w:rFonts w:hint="eastAsia" w:ascii="宋体" w:hAnsi="宋体" w:cs="宋体"/>
          <w:kern w:val="0"/>
          <w:sz w:val="24"/>
          <w:lang w:val="zh-CN"/>
        </w:rPr>
        <w:t>乙方提供的全部货物</w:t>
      </w:r>
      <w:r>
        <w:rPr>
          <w:rFonts w:hint="eastAsia" w:ascii="宋体" w:hAnsi="宋体" w:cs="宋体"/>
          <w:kern w:val="0"/>
          <w:sz w:val="24"/>
        </w:rPr>
        <w:t>,</w:t>
      </w:r>
      <w:r>
        <w:rPr>
          <w:rFonts w:hint="eastAsia" w:ascii="宋体" w:hAnsi="宋体" w:cs="宋体"/>
          <w:kern w:val="0"/>
          <w:sz w:val="24"/>
          <w:lang w:val="zh-CN"/>
        </w:rPr>
        <w:t>均应采用本行业通用的方式进行包装，且该包装应符合国家有关包装的法律、法规的规定。</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left="480"/>
        <w:rPr>
          <w:rFonts w:ascii="宋体" w:hAnsi="宋体" w:cs="宋体"/>
          <w:kern w:val="0"/>
          <w:sz w:val="24"/>
        </w:rPr>
      </w:pPr>
      <w:r>
        <w:rPr>
          <w:rFonts w:hint="eastAsia" w:ascii="宋体" w:hAnsi="宋体" w:cs="宋体"/>
          <w:kern w:val="0"/>
          <w:sz w:val="24"/>
          <w:lang w:val="zh-CN"/>
        </w:rPr>
        <w:t>乙方应提供货物运至合同规定的最终目的地所需要的包装，以防止货物在转运中损坏或变质。</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乙方所提供的货物包装均为出厂时原包装。</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乙方所提供货物必须附有质量合格证，装箱清单，主机、附件、各种零部件和消耗品，有清楚的与装箱单相对应的名称和编号。</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货物运输中的运输费用和保险费用均由乙方承担。运输过程中的一切损失、损坏均由乙方负责。</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价格</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履行合同所必须的所有费用，包括但不限于货物及部件的设计、检测与试验、制造、运输、装卸、保险、单机调试、安装调试指导、技术资料、培训、交通、人员、差旅、免费质保期服务费、其他管理费用、所有的检验、测试、调试、验收、试运行费用等均已包括在合同价格中。</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本合同价格为固定价格，包括了乙方履行合同全过程产生的所有成本和费用以及乙方应承担的一切税费。</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检验费用</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乙方必须负担本条款下属于乙方负责的检验、测试、调试、试运行和验收的所有费用，并负责乙方派往买方组织的检验、测试和验收人员的所有费用。</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甲方按合同计划参加在乙方工厂所在地检验、测试和验收的费用全部由乙方负责并已包含在合同总价中。</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甲方检验人员已到卖方所在地，测试无法依照合同进行，而引起甲方人员延长逗留时间，所有由此产生的包括甲方人员在内的直接费用及成本由乙方承担。</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交货方式及交货时间</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交货方式：现场交货，乙方负责办理运输和保险，将货物运抵现场。</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交货期应根据产品的特点实事求是填写，进口产品90个工作日内，国产产品60个工作日内。特殊产品交货期需说明。</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交货时间：所有货物运抵现场并经双方开箱验收合格之日。</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检验和验收</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开箱验收</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货物运抵现场后，双方应及时开箱验收，并制作验收记录，以确认与本合同约定的数量、型号等是否一致。</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检验验收</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交货完成后，乙方应及时组装、调试、试运行，按照合同专用条款规定的试运行完成后，双方及时组织对货物检验验收。合同双方均须派人参加合同要求双方参加的试验、检验。</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在具体实施合同规定的检验验收之前，乙方需提前提交相应的测试计划（包括测试程序、测试内容和检验标准、试验时间安排等）供甲方确认。</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除需甲方确认的试验验收外，乙方还应对所有检验验收测试的结果、步骤、原始数据等作妥善记录。如甲方要求，乙方应提供这些记录给买方。</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检验测试出现全部或部分未达到本合同所约定的技术指标，甲方有权选择下列任一处理方式：</w:t>
      </w:r>
    </w:p>
    <w:p>
      <w:pPr>
        <w:numPr>
          <w:ilvl w:val="0"/>
          <w:numId w:val="14"/>
        </w:numPr>
        <w:autoSpaceDE w:val="0"/>
        <w:autoSpaceDN w:val="0"/>
        <w:spacing w:line="360" w:lineRule="auto"/>
        <w:rPr>
          <w:rFonts w:ascii="宋体" w:hAnsi="宋体" w:cs="宋体"/>
          <w:kern w:val="0"/>
          <w:sz w:val="24"/>
        </w:rPr>
      </w:pPr>
      <w:r>
        <w:rPr>
          <w:rFonts w:hint="eastAsia" w:ascii="宋体" w:hAnsi="宋体" w:cs="宋体"/>
          <w:kern w:val="0"/>
          <w:sz w:val="24"/>
          <w:lang w:val="zh-CN"/>
        </w:rPr>
        <w:t>重新测试直至合格为止；</w:t>
      </w:r>
    </w:p>
    <w:p>
      <w:pPr>
        <w:numPr>
          <w:ilvl w:val="0"/>
          <w:numId w:val="14"/>
        </w:numPr>
        <w:autoSpaceDE w:val="0"/>
        <w:autoSpaceDN w:val="0"/>
        <w:spacing w:line="360" w:lineRule="auto"/>
        <w:rPr>
          <w:rFonts w:ascii="宋体" w:hAnsi="宋体" w:cs="宋体"/>
          <w:kern w:val="0"/>
          <w:sz w:val="24"/>
        </w:rPr>
      </w:pPr>
      <w:r>
        <w:rPr>
          <w:rFonts w:hint="eastAsia" w:ascii="宋体" w:hAnsi="宋体" w:cs="宋体"/>
          <w:kern w:val="0"/>
          <w:sz w:val="24"/>
          <w:lang w:val="zh-CN"/>
        </w:rPr>
        <w:t>要求乙方对货物进行免费更换，然后重新测试直至合格为止；</w:t>
      </w:r>
    </w:p>
    <w:p>
      <w:pPr>
        <w:autoSpaceDE w:val="0"/>
        <w:autoSpaceDN w:val="0"/>
        <w:spacing w:line="360" w:lineRule="auto"/>
        <w:rPr>
          <w:rFonts w:ascii="宋体" w:hAnsi="宋体" w:cs="宋体"/>
          <w:kern w:val="0"/>
          <w:sz w:val="24"/>
        </w:rPr>
      </w:pPr>
      <w:r>
        <w:rPr>
          <w:rFonts w:hint="eastAsia" w:ascii="宋体" w:hAnsi="宋体" w:cs="宋体"/>
          <w:kern w:val="0"/>
          <w:sz w:val="24"/>
          <w:lang w:val="zh-CN"/>
        </w:rPr>
        <w:t>无论选择何种方式，甲方因此而发生的因卖方原因引起的所有费用均由乙方负担。</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使用过程检验</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合同规定的免费质保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如果合同双方对乙方提供的上述试验结果报告的解释有分歧，双方须于出现分歧后</w:t>
      </w:r>
      <w:r>
        <w:rPr>
          <w:rFonts w:hint="eastAsia" w:ascii="宋体" w:hAnsi="宋体" w:cs="宋体"/>
          <w:kern w:val="0"/>
          <w:sz w:val="24"/>
        </w:rPr>
        <w:t>10</w:t>
      </w:r>
      <w:r>
        <w:rPr>
          <w:rFonts w:hint="eastAsia" w:ascii="宋体" w:hAnsi="宋体" w:cs="宋体"/>
          <w:kern w:val="0"/>
          <w:sz w:val="24"/>
          <w:lang w:val="zh-CN"/>
        </w:rPr>
        <w:t>天内给对方声明，以陈述己方的观点。声明须附有关证据。分歧应通过协商解决。</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付款条件</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本合同条款下的付款方法和条件在“青海省政府采购合同书”中具体规定。</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履约保证金</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乙方应在合同签订前，按要求提交履约保证金。</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履约保证金用于补偿甲方因乙方不能履行其合同义务而蒙受的损失。</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履约保证金应使用本合同货币，按下述方式之一提交（磋商文件中另有约定的除外）：</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甲方可接受的在中华人民共和国注册和营业的银行出具的履约保函；</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支票或汇票。</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乙方未能按合同规定履行其义务，甲方有权从履约保证金中取得补偿。货物验收合格后，甲方将履约保证金退还乙方或转为质量保证金。</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索赔</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货物的质量、规格、数量、性能等与合同约定不符，或在免费质保期内证实货物存有缺陷，包括潜在的缺陷或使用不符合要求的材料等，甲方有权根据有资质的权威质检机构的检验结果向乙方提出索赔（但责任应由保险公司或运输部门承担的除外）。</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在履约保证期和检验期内，乙方对甲方提出的索赔负有责任，乙方应按照甲方同意的下列一种或多种方式解决索赔事宜：</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根据货物低劣程度、损坏程度以及甲方所遭受损失的数额，经甲乙双方商定降低货物的价格，或由有资质的中介机构评估，以降低后的价格或评估价格为准。</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numPr>
          <w:ilvl w:val="1"/>
          <w:numId w:val="13"/>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乙方收到甲方发出的索赔通知之日起</w:t>
      </w:r>
      <w:r>
        <w:rPr>
          <w:rFonts w:hint="eastAsia" w:ascii="宋体" w:hAnsi="宋体" w:cs="宋体"/>
          <w:kern w:val="0"/>
          <w:sz w:val="24"/>
        </w:rPr>
        <w:t>5</w:t>
      </w:r>
      <w:r>
        <w:rPr>
          <w:rFonts w:hint="eastAsia" w:ascii="宋体" w:hAnsi="宋体" w:cs="宋体"/>
          <w:kern w:val="0"/>
          <w:sz w:val="24"/>
          <w:lang w:val="zh-CN"/>
        </w:rPr>
        <w:t>个工作日内未作答复的，甲方可从合同款或履约保证金中扣回索赔金额，如金额不足以补偿索赔金额，乙方应补足差额部分。</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迟延交货</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乙方应按照合同约定的时间交货和提供服务。</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除不可抗力因素外，乙方迟延交货，甲方有权提出违约损失赔偿或解除合同。</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违约赔偿</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除不可抗力因素外，乙方没有按照合同规定的时间交货和提供服务，甲方可要求乙方支付违约金。违约金每日按合同总价款的千分之五计收。</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不可抗力</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双方中任何一方遭遇法律规定的不可抗力，致使合同履行受阻时，履行合同的期限应予延长，延长的期限应相当于不可抗力所影响的时间。</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受事故影响的一方应在不可抗力的事故发生后以书面形式通知另一方。</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不可抗力使合同的某些内容有变更必要的，双方应通过协商达成进一步履行合同的协议，因不可抗力致使合同不能履行的，合同终止。</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税费</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与本合同有关的一切税费均由乙方承担。</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合同争议的解决</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甲方和乙方由于本合同的履行而发生任何争议时，双方可先通过协商解决。</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任何一方不愿通过协商或通过协商仍不能解决争议，则双方中任何一方均应向甲方所在地人民法院起诉。</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违约解除合同</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出现下列情形之一的，视为乙方违约。甲方可向乙方发出书面通知，部分或全部终止合同，同时保留向乙方索赔的权利。</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乙方未能在合同规定的限期或甲方同意延长的限期内，提供全部或部分货物的；</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乙方未能履行合同规定的其它主要义务的；</w:t>
      </w:r>
    </w:p>
    <w:p>
      <w:pPr>
        <w:numPr>
          <w:ilvl w:val="2"/>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乙方在本合同履行过程中有欺诈行为的。</w:t>
      </w:r>
    </w:p>
    <w:p>
      <w:pPr>
        <w:numPr>
          <w:ilvl w:val="1"/>
          <w:numId w:val="13"/>
        </w:numPr>
        <w:autoSpaceDE w:val="0"/>
        <w:autoSpaceDN w:val="0"/>
        <w:spacing w:line="360" w:lineRule="auto"/>
        <w:rPr>
          <w:rFonts w:ascii="宋体" w:hAnsi="宋体" w:cs="宋体"/>
          <w:kern w:val="0"/>
          <w:sz w:val="24"/>
          <w:lang w:val="zh-CN"/>
        </w:rPr>
      </w:pPr>
      <w:r>
        <w:rPr>
          <w:rFonts w:hint="eastAsia" w:ascii="宋体" w:hAnsi="宋体" w:cs="宋体"/>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破产终止合同</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numPr>
          <w:ilvl w:val="0"/>
          <w:numId w:val="13"/>
        </w:numPr>
        <w:autoSpaceDE w:val="0"/>
        <w:autoSpaceDN w:val="0"/>
        <w:spacing w:line="360" w:lineRule="auto"/>
        <w:rPr>
          <w:rFonts w:ascii="宋体" w:hAnsi="宋体" w:cs="宋体"/>
          <w:b/>
          <w:bCs/>
          <w:kern w:val="0"/>
          <w:sz w:val="24"/>
          <w:lang w:val="zh-CN"/>
        </w:rPr>
      </w:pPr>
      <w:r>
        <w:rPr>
          <w:rFonts w:hint="eastAsia" w:ascii="宋体" w:hAnsi="宋体" w:cs="宋体"/>
          <w:b/>
          <w:bCs/>
          <w:kern w:val="0"/>
          <w:sz w:val="24"/>
          <w:lang w:val="zh-CN"/>
        </w:rPr>
        <w:t>转让和分包</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政府采购合同不能转让。</w:t>
      </w:r>
    </w:p>
    <w:p>
      <w:pPr>
        <w:numPr>
          <w:ilvl w:val="1"/>
          <w:numId w:val="13"/>
        </w:numPr>
        <w:autoSpaceDE w:val="0"/>
        <w:autoSpaceDN w:val="0"/>
        <w:spacing w:line="360" w:lineRule="auto"/>
        <w:rPr>
          <w:rFonts w:ascii="宋体" w:hAnsi="宋体" w:cs="宋体"/>
          <w:kern w:val="0"/>
          <w:sz w:val="24"/>
        </w:rPr>
      </w:pPr>
      <w:r>
        <w:rPr>
          <w:rFonts w:hint="eastAsia" w:ascii="宋体" w:hAnsi="宋体" w:cs="宋体"/>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合同修改</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甲方和乙方都不得擅自变更本合同，但合同继续履行将损害国家和社会公共利益的除外。如必须对合同条款进行改动时，当事人双方须共同签署书面文件，做为合同的补充。</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通知</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本合同任何一方给另一方的通知，都应以书面形式发送，而另一方也应以书面形式确认并发送到对方明确的地址。</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计量单位</w:t>
      </w:r>
    </w:p>
    <w:p>
      <w:pPr>
        <w:autoSpaceDE w:val="0"/>
        <w:autoSpaceDN w:val="0"/>
        <w:spacing w:line="360" w:lineRule="auto"/>
        <w:ind w:firstLine="480" w:firstLineChars="200"/>
        <w:rPr>
          <w:rFonts w:ascii="宋体" w:hAnsi="宋体" w:cs="宋体"/>
          <w:kern w:val="0"/>
          <w:sz w:val="24"/>
        </w:rPr>
      </w:pPr>
      <w:r>
        <w:rPr>
          <w:rFonts w:hint="eastAsia" w:ascii="宋体" w:hAnsi="宋体" w:cs="宋体"/>
          <w:kern w:val="0"/>
          <w:sz w:val="24"/>
          <w:lang w:val="zh-CN"/>
        </w:rPr>
        <w:t>除技术规范中另有规定外</w:t>
      </w:r>
      <w:r>
        <w:rPr>
          <w:rFonts w:hint="eastAsia" w:ascii="宋体" w:hAnsi="宋体" w:cs="宋体"/>
          <w:kern w:val="0"/>
          <w:sz w:val="24"/>
        </w:rPr>
        <w:t>,</w:t>
      </w:r>
      <w:r>
        <w:rPr>
          <w:rFonts w:hint="eastAsia" w:ascii="宋体" w:hAnsi="宋体" w:cs="宋体"/>
          <w:kern w:val="0"/>
          <w:sz w:val="24"/>
          <w:lang w:val="zh-CN"/>
        </w:rPr>
        <w:t>计量单位均使用国家法定计量单位。</w:t>
      </w:r>
    </w:p>
    <w:p>
      <w:pPr>
        <w:numPr>
          <w:ilvl w:val="0"/>
          <w:numId w:val="13"/>
        </w:numPr>
        <w:autoSpaceDE w:val="0"/>
        <w:autoSpaceDN w:val="0"/>
        <w:spacing w:line="360" w:lineRule="auto"/>
        <w:rPr>
          <w:rFonts w:ascii="宋体" w:hAnsi="宋体" w:cs="宋体"/>
          <w:b/>
          <w:bCs/>
          <w:kern w:val="0"/>
          <w:sz w:val="24"/>
        </w:rPr>
      </w:pPr>
      <w:r>
        <w:rPr>
          <w:rFonts w:hint="eastAsia" w:ascii="宋体" w:hAnsi="宋体" w:cs="宋体"/>
          <w:b/>
          <w:bCs/>
          <w:kern w:val="0"/>
          <w:sz w:val="24"/>
          <w:lang w:val="zh-CN"/>
        </w:rPr>
        <w:t>适用法律</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本合同按照中华人民共和国的相关法律进行解释。</w:t>
      </w:r>
    </w:p>
    <w:p>
      <w:pPr>
        <w:pStyle w:val="26"/>
        <w:spacing w:before="0" w:after="0" w:line="360" w:lineRule="auto"/>
        <w:rPr>
          <w:rFonts w:ascii="宋体" w:hAnsi="宋体"/>
          <w:sz w:val="48"/>
          <w:szCs w:val="48"/>
        </w:rPr>
      </w:pPr>
      <w:r>
        <w:rPr>
          <w:rFonts w:ascii="宋体" w:hAnsi="宋体" w:cs="宋体"/>
          <w:kern w:val="0"/>
          <w:sz w:val="24"/>
          <w:szCs w:val="24"/>
          <w:lang w:val="zh-CN"/>
        </w:rPr>
        <w:br w:type="page"/>
      </w:r>
      <w:bookmarkStart w:id="108" w:name="_Toc2775"/>
      <w:r>
        <w:rPr>
          <w:rFonts w:hint="eastAsia" w:ascii="宋体" w:hAnsi="宋体"/>
          <w:sz w:val="48"/>
          <w:szCs w:val="48"/>
        </w:rPr>
        <w:t>第五部分  磋商响应文件格式</w:t>
      </w:r>
      <w:bookmarkEnd w:id="108"/>
    </w:p>
    <w:p>
      <w:pPr>
        <w:spacing w:line="360" w:lineRule="auto"/>
        <w:rPr>
          <w:rFonts w:ascii="宋体" w:hAnsi="宋体"/>
          <w:sz w:val="24"/>
        </w:rPr>
      </w:pPr>
    </w:p>
    <w:p>
      <w:pPr>
        <w:spacing w:line="360" w:lineRule="auto"/>
        <w:ind w:firstLine="540" w:firstLineChars="224"/>
        <w:rPr>
          <w:rFonts w:ascii="宋体" w:hAnsi="宋体" w:cs="宋体"/>
          <w:b/>
          <w:bCs/>
          <w:kern w:val="0"/>
          <w:sz w:val="24"/>
          <w:lang w:val="zh-CN"/>
        </w:rPr>
      </w:pPr>
      <w:r>
        <w:rPr>
          <w:rFonts w:hint="eastAsia" w:ascii="宋体" w:hAnsi="宋体" w:cs="宋体"/>
          <w:b/>
          <w:bCs/>
          <w:kern w:val="0"/>
          <w:sz w:val="24"/>
          <w:lang w:val="zh-CN"/>
        </w:rPr>
        <w:t>磋商供应商应严格按照本格式要求编制磋商响应文件，胶装成册并编制相应页码，否则其磋商响应文件将不予接受。</w:t>
      </w:r>
    </w:p>
    <w:p>
      <w:pPr>
        <w:spacing w:line="360" w:lineRule="auto"/>
        <w:rPr>
          <w:rFonts w:ascii="宋体" w:hAnsi="宋体"/>
          <w:b/>
          <w:sz w:val="24"/>
          <w:lang w:val="zh-CN"/>
        </w:rPr>
      </w:pPr>
      <w:r>
        <w:rPr>
          <w:rFonts w:ascii="宋体" w:hAnsi="宋体" w:cs="宋体"/>
          <w:kern w:val="0"/>
          <w:sz w:val="24"/>
          <w:lang w:val="zh-CN"/>
        </w:rPr>
        <w:br w:type="page"/>
      </w:r>
    </w:p>
    <w:p>
      <w:pPr>
        <w:pStyle w:val="9"/>
        <w:numPr>
          <w:ilvl w:val="0"/>
          <w:numId w:val="0"/>
        </w:numPr>
        <w:ind w:left="709" w:hanging="709"/>
        <w:rPr>
          <w:rFonts w:hint="eastAsia" w:hAnsi="宋体"/>
          <w:b/>
          <w:sz w:val="24"/>
          <w:szCs w:val="24"/>
          <w:lang w:val="zh-CN"/>
        </w:rPr>
      </w:pPr>
    </w:p>
    <w:p>
      <w:pPr>
        <w:pStyle w:val="9"/>
        <w:numPr>
          <w:ilvl w:val="0"/>
          <w:numId w:val="0"/>
        </w:numPr>
        <w:ind w:left="709" w:hanging="709"/>
        <w:rPr>
          <w:rFonts w:hAnsi="宋体"/>
          <w:sz w:val="24"/>
          <w:szCs w:val="24"/>
          <w:lang w:val="zh-CN"/>
        </w:rPr>
      </w:pPr>
      <w:bookmarkStart w:id="109" w:name="_Toc30639"/>
      <w:r>
        <w:rPr>
          <w:rFonts w:hint="eastAsia" w:hAnsi="宋体"/>
          <w:b/>
          <w:sz w:val="24"/>
          <w:szCs w:val="24"/>
          <w:lang w:val="zh-CN"/>
        </w:rPr>
        <w:t>磋商响应文件封面</w:t>
      </w:r>
      <w:bookmarkEnd w:id="109"/>
    </w:p>
    <w:p>
      <w:pPr>
        <w:spacing w:line="360" w:lineRule="auto"/>
        <w:jc w:val="right"/>
        <w:rPr>
          <w:rFonts w:ascii="宋体" w:hAnsi="宋体"/>
          <w:sz w:val="24"/>
        </w:rPr>
      </w:pPr>
      <w:r>
        <w:rPr>
          <w:rFonts w:hint="eastAsia" w:ascii="宋体" w:hAnsi="宋体" w:cs="宋体"/>
          <w:b/>
          <w:bCs/>
          <w:kern w:val="0"/>
          <w:sz w:val="24"/>
        </w:rPr>
        <w:t>正本/副本</w:t>
      </w:r>
    </w:p>
    <w:p>
      <w:pPr>
        <w:spacing w:line="360" w:lineRule="auto"/>
        <w:rPr>
          <w:rFonts w:ascii="宋体" w:hAnsi="宋体"/>
          <w:sz w:val="24"/>
        </w:rPr>
      </w:pPr>
    </w:p>
    <w:p>
      <w:pPr>
        <w:pStyle w:val="55"/>
        <w:rPr>
          <w:rFonts w:ascii="宋体" w:hAnsi="宋体"/>
          <w:sz w:val="24"/>
        </w:rPr>
      </w:pPr>
    </w:p>
    <w:p>
      <w:pPr>
        <w:pStyle w:val="55"/>
        <w:rPr>
          <w:rFonts w:ascii="宋体" w:hAnsi="宋体"/>
          <w:sz w:val="24"/>
        </w:rPr>
      </w:pPr>
    </w:p>
    <w:p>
      <w:pPr>
        <w:spacing w:line="360" w:lineRule="auto"/>
        <w:rPr>
          <w:rFonts w:ascii="宋体" w:hAnsi="宋体"/>
          <w:sz w:val="24"/>
        </w:rPr>
      </w:pPr>
    </w:p>
    <w:p>
      <w:pPr>
        <w:spacing w:line="360" w:lineRule="auto"/>
        <w:jc w:val="center"/>
        <w:rPr>
          <w:rFonts w:ascii="宋体" w:hAnsi="宋体"/>
          <w:b/>
          <w:sz w:val="72"/>
          <w:szCs w:val="72"/>
        </w:rPr>
      </w:pPr>
      <w:r>
        <w:rPr>
          <w:rFonts w:hint="eastAsia" w:ascii="宋体" w:hAnsi="宋体"/>
          <w:b/>
          <w:sz w:val="72"/>
          <w:szCs w:val="72"/>
        </w:rPr>
        <w:t>青海省政府采购项目</w:t>
      </w:r>
    </w:p>
    <w:p>
      <w:pPr>
        <w:spacing w:line="360" w:lineRule="auto"/>
        <w:jc w:val="center"/>
        <w:rPr>
          <w:rFonts w:ascii="宋体" w:hAnsi="宋体"/>
          <w:b/>
          <w:sz w:val="72"/>
          <w:szCs w:val="72"/>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磋商响应文件</w:t>
      </w:r>
    </w:p>
    <w:p>
      <w:pPr>
        <w:adjustRightInd w:val="0"/>
        <w:spacing w:line="360" w:lineRule="auto"/>
        <w:textAlignment w:val="baseline"/>
        <w:rPr>
          <w:rFonts w:ascii="宋体" w:hAnsi="宋体"/>
          <w:b/>
          <w:bCs/>
          <w:sz w:val="24"/>
        </w:rPr>
      </w:pPr>
    </w:p>
    <w:p>
      <w:pPr>
        <w:adjustRightInd w:val="0"/>
        <w:spacing w:line="360" w:lineRule="auto"/>
        <w:textAlignment w:val="baseline"/>
        <w:rPr>
          <w:rFonts w:ascii="宋体" w:hAnsi="宋体"/>
          <w:b/>
          <w:bCs/>
          <w:sz w:val="24"/>
        </w:rPr>
      </w:pPr>
    </w:p>
    <w:p>
      <w:pPr>
        <w:adjustRightInd w:val="0"/>
        <w:spacing w:line="360" w:lineRule="auto"/>
        <w:textAlignment w:val="baseline"/>
        <w:rPr>
          <w:rFonts w:ascii="宋体" w:hAnsi="宋体"/>
          <w:b/>
          <w:bCs/>
          <w:sz w:val="24"/>
        </w:rPr>
      </w:pPr>
    </w:p>
    <w:p>
      <w:pPr>
        <w:adjustRightInd w:val="0"/>
        <w:spacing w:line="360" w:lineRule="auto"/>
        <w:ind w:firstLine="643" w:firstLineChars="200"/>
        <w:textAlignment w:val="baseline"/>
        <w:rPr>
          <w:rFonts w:ascii="宋体" w:hAnsi="宋体"/>
          <w:b/>
          <w:bCs/>
          <w:sz w:val="32"/>
          <w:szCs w:val="32"/>
          <w:u w:val="single"/>
        </w:rPr>
      </w:pPr>
      <w:r>
        <w:rPr>
          <w:rFonts w:hint="eastAsia" w:ascii="宋体" w:hAnsi="宋体"/>
          <w:b/>
          <w:bCs/>
          <w:sz w:val="32"/>
          <w:szCs w:val="32"/>
        </w:rPr>
        <w:t>采购项目编号</w:t>
      </w:r>
      <w:r>
        <w:rPr>
          <w:rFonts w:hint="eastAsia" w:ascii="宋体" w:hAnsi="宋体"/>
          <w:sz w:val="32"/>
          <w:szCs w:val="32"/>
        </w:rPr>
        <w:t>：</w:t>
      </w:r>
      <w:r>
        <w:rPr>
          <w:rFonts w:hint="eastAsia" w:ascii="宋体" w:hAnsi="宋体"/>
          <w:sz w:val="32"/>
          <w:szCs w:val="32"/>
          <w:u w:val="single"/>
        </w:rPr>
        <w:t xml:space="preserve">                           </w:t>
      </w:r>
    </w:p>
    <w:p>
      <w:pPr>
        <w:adjustRightInd w:val="0"/>
        <w:spacing w:line="360" w:lineRule="auto"/>
        <w:ind w:firstLine="643" w:firstLineChars="200"/>
        <w:textAlignment w:val="baseline"/>
        <w:rPr>
          <w:rFonts w:ascii="宋体" w:hAnsi="宋体"/>
          <w:b/>
          <w:bCs/>
          <w:sz w:val="32"/>
          <w:szCs w:val="32"/>
          <w:u w:val="single"/>
        </w:rPr>
      </w:pPr>
      <w:r>
        <w:rPr>
          <w:rFonts w:ascii="宋体" w:hAnsi="宋体"/>
          <w:b/>
          <w:bCs/>
          <w:sz w:val="32"/>
          <w:szCs w:val="32"/>
        </w:rPr>
        <w:t>采购项目名称</w:t>
      </w:r>
      <w:r>
        <w:rPr>
          <w:rFonts w:hint="eastAsia" w:ascii="宋体" w:hAnsi="宋体"/>
          <w:b/>
          <w:bCs/>
          <w:sz w:val="32"/>
          <w:szCs w:val="32"/>
        </w:rPr>
        <w:t>：</w:t>
      </w:r>
      <w:r>
        <w:rPr>
          <w:rFonts w:hint="eastAsia" w:ascii="宋体" w:hAnsi="宋体"/>
          <w:b/>
          <w:bCs/>
          <w:sz w:val="32"/>
          <w:szCs w:val="32"/>
          <w:u w:val="single"/>
        </w:rPr>
        <w:t xml:space="preserve">                           </w:t>
      </w:r>
    </w:p>
    <w:p>
      <w:pPr>
        <w:adjustRightInd w:val="0"/>
        <w:spacing w:line="360" w:lineRule="auto"/>
        <w:ind w:firstLine="643" w:firstLineChars="200"/>
        <w:textAlignment w:val="baseline"/>
        <w:rPr>
          <w:rFonts w:ascii="宋体" w:hAnsi="宋体"/>
          <w:b/>
          <w:bCs/>
          <w:sz w:val="32"/>
          <w:szCs w:val="32"/>
          <w:u w:val="single"/>
        </w:rPr>
      </w:pPr>
      <w:r>
        <w:rPr>
          <w:rFonts w:hint="eastAsia" w:ascii="宋体" w:hAnsi="宋体"/>
          <w:b/>
          <w:bCs/>
          <w:sz w:val="32"/>
          <w:szCs w:val="32"/>
        </w:rPr>
        <w:t>磋商供应商</w:t>
      </w:r>
      <w:r>
        <w:rPr>
          <w:rFonts w:hint="eastAsia" w:ascii="宋体" w:hAnsi="宋体"/>
          <w:b/>
          <w:sz w:val="32"/>
          <w:szCs w:val="32"/>
        </w:rPr>
        <w:t>：</w:t>
      </w:r>
      <w:r>
        <w:rPr>
          <w:rFonts w:hint="eastAsia" w:ascii="宋体" w:hAnsi="宋体"/>
          <w:b/>
          <w:sz w:val="32"/>
          <w:szCs w:val="32"/>
          <w:u w:val="single"/>
        </w:rPr>
        <w:t xml:space="preserve">                     （公章）</w:t>
      </w:r>
    </w:p>
    <w:p>
      <w:pPr>
        <w:adjustRightInd w:val="0"/>
        <w:spacing w:line="360" w:lineRule="auto"/>
        <w:ind w:firstLine="643" w:firstLineChars="200"/>
        <w:textAlignment w:val="baseline"/>
        <w:rPr>
          <w:rFonts w:ascii="宋体" w:hAnsi="宋体"/>
          <w:b/>
          <w:sz w:val="32"/>
          <w:szCs w:val="32"/>
          <w:u w:val="single"/>
        </w:rPr>
      </w:pPr>
      <w:r>
        <w:rPr>
          <w:rFonts w:hint="eastAsia" w:ascii="宋体" w:hAnsi="宋体"/>
          <w:b/>
          <w:sz w:val="32"/>
          <w:szCs w:val="32"/>
        </w:rPr>
        <w:t xml:space="preserve">法定代表人： </w:t>
      </w:r>
      <w:r>
        <w:rPr>
          <w:rFonts w:hint="eastAsia" w:ascii="宋体" w:hAnsi="宋体"/>
          <w:b/>
          <w:sz w:val="32"/>
          <w:szCs w:val="32"/>
          <w:u w:val="single"/>
        </w:rPr>
        <w:t xml:space="preserve">        （签字并加盖法人章）</w:t>
      </w:r>
    </w:p>
    <w:p>
      <w:pPr>
        <w:adjustRightInd w:val="0"/>
        <w:spacing w:line="360" w:lineRule="auto"/>
        <w:ind w:firstLine="643" w:firstLineChars="200"/>
        <w:textAlignment w:val="baseline"/>
        <w:rPr>
          <w:rFonts w:ascii="宋体" w:hAnsi="宋体"/>
          <w:b/>
          <w:sz w:val="32"/>
          <w:szCs w:val="32"/>
          <w:u w:val="single"/>
        </w:rPr>
      </w:pPr>
    </w:p>
    <w:p>
      <w:pPr>
        <w:spacing w:line="360" w:lineRule="auto"/>
        <w:ind w:firstLine="4000" w:firstLineChars="1250"/>
        <w:rPr>
          <w:rFonts w:ascii="宋体" w:hAnsi="宋体"/>
          <w:sz w:val="32"/>
          <w:szCs w:val="32"/>
        </w:rPr>
      </w:pPr>
      <w:r>
        <w:rPr>
          <w:rFonts w:hint="eastAsia" w:ascii="宋体" w:hAnsi="宋体"/>
          <w:sz w:val="32"/>
          <w:szCs w:val="32"/>
        </w:rPr>
        <w:t>年   月  日</w:t>
      </w:r>
      <w:bookmarkStart w:id="110" w:name="_Toc444715735"/>
    </w:p>
    <w:p>
      <w:pPr>
        <w:pStyle w:val="9"/>
        <w:numPr>
          <w:ilvl w:val="0"/>
          <w:numId w:val="0"/>
        </w:numPr>
        <w:ind w:left="709" w:hanging="709"/>
        <w:rPr>
          <w:rFonts w:hAnsi="宋体"/>
          <w:sz w:val="24"/>
          <w:szCs w:val="24"/>
        </w:rPr>
      </w:pPr>
      <w:r>
        <w:rPr>
          <w:rFonts w:hAnsi="宋体"/>
          <w:sz w:val="24"/>
          <w:szCs w:val="24"/>
        </w:rPr>
        <w:br w:type="page"/>
      </w:r>
    </w:p>
    <w:p>
      <w:pPr>
        <w:pStyle w:val="9"/>
        <w:numPr>
          <w:ilvl w:val="0"/>
          <w:numId w:val="0"/>
        </w:numPr>
        <w:ind w:left="709" w:hanging="709"/>
        <w:rPr>
          <w:rFonts w:hAnsi="宋体"/>
          <w:sz w:val="24"/>
          <w:szCs w:val="24"/>
        </w:rPr>
      </w:pPr>
    </w:p>
    <w:p>
      <w:pPr>
        <w:pStyle w:val="9"/>
        <w:numPr>
          <w:ilvl w:val="0"/>
          <w:numId w:val="0"/>
        </w:numPr>
        <w:ind w:left="709" w:hanging="709"/>
        <w:rPr>
          <w:rFonts w:hint="eastAsia" w:hAnsi="宋体"/>
          <w:b/>
          <w:sz w:val="24"/>
          <w:szCs w:val="24"/>
          <w:lang w:val="zh-CN"/>
        </w:rPr>
      </w:pPr>
      <w:bookmarkStart w:id="111" w:name="_Toc28832"/>
      <w:r>
        <w:rPr>
          <w:rFonts w:hint="eastAsia" w:hAnsi="宋体"/>
          <w:b/>
          <w:sz w:val="24"/>
          <w:szCs w:val="24"/>
          <w:lang w:val="zh-CN"/>
        </w:rPr>
        <w:t>磋商响应文件目录</w:t>
      </w:r>
      <w:bookmarkEnd w:id="110"/>
      <w:bookmarkEnd w:id="111"/>
    </w:p>
    <w:p>
      <w:pPr>
        <w:rPr>
          <w:lang w:val="zh-CN"/>
        </w:rPr>
      </w:pP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磋商</w:t>
      </w:r>
      <w:r>
        <w:rPr>
          <w:rFonts w:hint="eastAsia" w:ascii="宋体" w:hAnsi="宋体" w:cs="宋体"/>
          <w:kern w:val="0"/>
          <w:sz w:val="24"/>
          <w:lang w:val="zh-CN"/>
        </w:rPr>
        <w:t>函……………………………………………………………所在页码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）法定代表人证明书………………………………………………所在页码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）法定代表人授权书………………………………………………所在页码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（4）磋商供应商承诺书………………………………………………所在页码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5</w:t>
      </w:r>
      <w:r>
        <w:rPr>
          <w:rFonts w:hint="eastAsia" w:ascii="宋体" w:hAnsi="宋体" w:cs="宋体"/>
          <w:kern w:val="0"/>
          <w:sz w:val="24"/>
          <w:lang w:val="zh-CN"/>
        </w:rPr>
        <w:t>）供应商诚信承诺书………………………………………………所在页码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6</w:t>
      </w:r>
      <w:r>
        <w:rPr>
          <w:rFonts w:hint="eastAsia" w:ascii="宋体" w:hAnsi="宋体" w:cs="宋体"/>
          <w:kern w:val="0"/>
          <w:sz w:val="24"/>
          <w:lang w:val="zh-CN"/>
        </w:rPr>
        <w:t>）资格证明材料……………………………………………………所在页码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7</w:t>
      </w:r>
      <w:r>
        <w:rPr>
          <w:rFonts w:hint="eastAsia" w:ascii="宋体" w:hAnsi="宋体" w:cs="宋体"/>
          <w:kern w:val="0"/>
          <w:sz w:val="24"/>
          <w:lang w:val="zh-CN"/>
        </w:rPr>
        <w:t>）财务状况、缴纳税收和社会保障资金证明……………………所在页码</w:t>
      </w:r>
    </w:p>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（8）具备履行合同所必须的设备和专业技术能力证明……………所在页码</w:t>
      </w:r>
    </w:p>
    <w:p>
      <w:pPr>
        <w:autoSpaceDE w:val="0"/>
        <w:autoSpaceDN w:val="0"/>
        <w:spacing w:line="360" w:lineRule="auto"/>
        <w:ind w:firstLine="960" w:firstLineChars="400"/>
        <w:jc w:val="both"/>
        <w:rPr>
          <w:rFonts w:ascii="宋体" w:hAnsi="宋体" w:cs="宋体"/>
          <w:kern w:val="0"/>
          <w:sz w:val="24"/>
          <w:lang w:val="zh-CN"/>
        </w:rPr>
      </w:pPr>
      <w:r>
        <w:rPr>
          <w:rFonts w:hint="eastAsia" w:ascii="宋体" w:hAnsi="宋体" w:cs="宋体"/>
          <w:kern w:val="0"/>
          <w:sz w:val="24"/>
          <w:lang w:val="zh-CN"/>
        </w:rPr>
        <w:t>（9）无重大违法记录声明……………………………………………所在页码</w:t>
      </w:r>
    </w:p>
    <w:p>
      <w:pPr>
        <w:autoSpaceDE w:val="0"/>
        <w:autoSpaceDN w:val="0"/>
        <w:spacing w:line="360" w:lineRule="auto"/>
        <w:ind w:firstLine="960" w:firstLineChars="400"/>
        <w:jc w:val="both"/>
        <w:rPr>
          <w:rFonts w:ascii="宋体" w:hAnsi="宋体" w:cs="宋体"/>
          <w:kern w:val="0"/>
          <w:sz w:val="24"/>
          <w:lang w:val="zh-CN"/>
        </w:rPr>
      </w:pPr>
      <w:r>
        <w:rPr>
          <w:rFonts w:hint="eastAsia" w:ascii="宋体" w:hAnsi="宋体" w:cs="宋体"/>
          <w:kern w:val="0"/>
          <w:sz w:val="24"/>
          <w:lang w:val="zh-CN"/>
        </w:rPr>
        <w:t>（10）</w:t>
      </w:r>
      <w:r>
        <w:rPr>
          <w:rFonts w:hint="eastAsia" w:ascii="宋体" w:hAnsi="宋体" w:cs="宋体"/>
          <w:sz w:val="24"/>
        </w:rPr>
        <w:t>磋商保证金证明</w:t>
      </w:r>
      <w:r>
        <w:rPr>
          <w:rFonts w:hint="eastAsia" w:ascii="宋体" w:hAnsi="宋体" w:cs="宋体"/>
          <w:kern w:val="0"/>
          <w:sz w:val="24"/>
          <w:lang w:val="zh-CN"/>
        </w:rPr>
        <w:t>………………………………………………所在页码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1</w:t>
      </w:r>
      <w:r>
        <w:rPr>
          <w:rFonts w:hint="eastAsia" w:ascii="宋体" w:hAnsi="宋体" w:cs="宋体"/>
          <w:kern w:val="0"/>
          <w:sz w:val="24"/>
          <w:lang w:val="zh-CN"/>
        </w:rPr>
        <w:t>）竞争性磋商首次报价表…………………………………………所在页码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2</w:t>
      </w:r>
      <w:r>
        <w:rPr>
          <w:rFonts w:hint="eastAsia" w:ascii="宋体" w:hAnsi="宋体" w:cs="宋体"/>
          <w:kern w:val="0"/>
          <w:sz w:val="24"/>
          <w:lang w:val="zh-CN"/>
        </w:rPr>
        <w:t>）分项报价表………………………………………………………所在页码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3</w:t>
      </w:r>
      <w:r>
        <w:rPr>
          <w:rFonts w:hint="eastAsia" w:ascii="宋体" w:hAnsi="宋体" w:cs="宋体"/>
          <w:kern w:val="0"/>
          <w:sz w:val="24"/>
          <w:lang w:val="zh-CN"/>
        </w:rPr>
        <w:t>）技术规格响应表…………………………………………………所在页码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4</w:t>
      </w:r>
      <w:r>
        <w:rPr>
          <w:rFonts w:hint="eastAsia" w:ascii="宋体" w:hAnsi="宋体" w:cs="宋体"/>
          <w:kern w:val="0"/>
          <w:sz w:val="24"/>
          <w:lang w:val="zh-CN"/>
        </w:rPr>
        <w:t>）磋商产品相关资料………………………………………………所在页码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5</w:t>
      </w:r>
      <w:r>
        <w:rPr>
          <w:rFonts w:hint="eastAsia" w:ascii="宋体" w:hAnsi="宋体" w:cs="宋体"/>
          <w:kern w:val="0"/>
          <w:sz w:val="24"/>
          <w:lang w:val="zh-CN"/>
        </w:rPr>
        <w:t>）磋商供应商的类似业绩证明材料………………………………所在页码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6</w:t>
      </w:r>
      <w:r>
        <w:rPr>
          <w:rFonts w:hint="eastAsia" w:ascii="宋体" w:hAnsi="宋体" w:cs="宋体"/>
          <w:kern w:val="0"/>
          <w:sz w:val="24"/>
          <w:lang w:val="zh-CN"/>
        </w:rPr>
        <w:t>）享受政府采购政策优惠的证明资料……………………………所在页码</w:t>
      </w:r>
    </w:p>
    <w:p>
      <w:pPr>
        <w:spacing w:line="360" w:lineRule="auto"/>
        <w:jc w:val="center"/>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lang w:val="en-US" w:eastAsia="zh-CN"/>
        </w:rPr>
        <w:t>7</w:t>
      </w:r>
      <w:r>
        <w:rPr>
          <w:rFonts w:hint="eastAsia" w:ascii="宋体" w:hAnsi="宋体" w:cs="宋体"/>
          <w:kern w:val="0"/>
          <w:sz w:val="24"/>
          <w:lang w:val="zh-CN"/>
        </w:rPr>
        <w:t>）磋商供应商认为在其他方面有必要说明的事项………………所在页码</w:t>
      </w:r>
    </w:p>
    <w:p>
      <w:pPr>
        <w:pStyle w:val="9"/>
        <w:numPr>
          <w:ilvl w:val="0"/>
          <w:numId w:val="0"/>
        </w:numPr>
        <w:ind w:left="709" w:hanging="709"/>
        <w:rPr>
          <w:rFonts w:hAnsi="宋体"/>
          <w:b/>
          <w:bCs/>
          <w:sz w:val="24"/>
          <w:szCs w:val="24"/>
        </w:rPr>
      </w:pPr>
      <w:r>
        <w:rPr>
          <w:rFonts w:hAnsi="宋体"/>
          <w:b/>
          <w:bCs/>
          <w:sz w:val="24"/>
          <w:szCs w:val="24"/>
        </w:rPr>
        <w:br w:type="page"/>
      </w:r>
    </w:p>
    <w:p>
      <w:pPr>
        <w:pStyle w:val="9"/>
        <w:numPr>
          <w:ilvl w:val="0"/>
          <w:numId w:val="0"/>
        </w:numPr>
        <w:ind w:left="709" w:hanging="709"/>
        <w:rPr>
          <w:rFonts w:hAnsi="宋体"/>
          <w:b/>
          <w:bCs/>
          <w:sz w:val="24"/>
          <w:szCs w:val="24"/>
        </w:rPr>
      </w:pPr>
    </w:p>
    <w:p>
      <w:pPr>
        <w:pStyle w:val="9"/>
        <w:numPr>
          <w:ilvl w:val="0"/>
          <w:numId w:val="0"/>
        </w:numPr>
        <w:ind w:left="709" w:hanging="709"/>
        <w:rPr>
          <w:rFonts w:hint="eastAsia" w:hAnsi="宋体"/>
          <w:b/>
          <w:sz w:val="24"/>
          <w:szCs w:val="24"/>
          <w:lang w:val="zh-CN"/>
        </w:rPr>
      </w:pPr>
      <w:bookmarkStart w:id="112" w:name="_Toc11414"/>
      <w:r>
        <w:rPr>
          <w:rFonts w:hint="eastAsia" w:hAnsi="宋体"/>
          <w:b/>
          <w:sz w:val="24"/>
          <w:szCs w:val="24"/>
          <w:lang w:val="zh-CN"/>
        </w:rPr>
        <w:t>格式1、磋商函</w:t>
      </w:r>
      <w:bookmarkEnd w:id="112"/>
    </w:p>
    <w:p>
      <w:pPr>
        <w:rPr>
          <w:rFonts w:hint="eastAsia" w:hAnsi="宋体"/>
          <w:b/>
          <w:sz w:val="24"/>
          <w:szCs w:val="24"/>
          <w:lang w:val="zh-CN"/>
        </w:rPr>
      </w:pPr>
    </w:p>
    <w:p>
      <w:pPr>
        <w:pStyle w:val="55"/>
      </w:pPr>
    </w:p>
    <w:p>
      <w:pPr>
        <w:adjustRightInd w:val="0"/>
        <w:spacing w:line="360" w:lineRule="auto"/>
        <w:jc w:val="center"/>
        <w:textAlignment w:val="baseline"/>
        <w:rPr>
          <w:rFonts w:hint="eastAsia" w:ascii="宋体" w:hAnsi="宋体"/>
          <w:b/>
          <w:sz w:val="24"/>
        </w:rPr>
      </w:pPr>
      <w:r>
        <w:rPr>
          <w:rFonts w:hint="eastAsia" w:ascii="宋体" w:hAnsi="宋体"/>
          <w:b/>
          <w:sz w:val="24"/>
        </w:rPr>
        <w:t>磋 商 函</w:t>
      </w:r>
    </w:p>
    <w:p>
      <w:pPr>
        <w:pStyle w:val="55"/>
        <w:rPr>
          <w:rFonts w:hint="eastAsia" w:ascii="宋体" w:hAnsi="宋体"/>
          <w:b/>
          <w:sz w:val="24"/>
        </w:rPr>
      </w:pPr>
    </w:p>
    <w:p>
      <w:pPr>
        <w:pStyle w:val="55"/>
        <w:rPr>
          <w:rFonts w:hint="eastAsia" w:ascii="宋体" w:hAnsi="宋体"/>
          <w:b/>
          <w:sz w:val="24"/>
        </w:rPr>
      </w:pPr>
    </w:p>
    <w:p>
      <w:pPr>
        <w:adjustRightInd w:val="0"/>
        <w:spacing w:line="360" w:lineRule="auto"/>
        <w:ind w:left="482" w:hanging="482" w:hangingChars="200"/>
        <w:textAlignment w:val="baseline"/>
        <w:rPr>
          <w:rFonts w:hint="eastAsia" w:ascii="宋体" w:hAnsi="宋体"/>
          <w:b/>
          <w:sz w:val="24"/>
          <w:u w:val="single"/>
        </w:rPr>
      </w:pPr>
      <w:r>
        <w:rPr>
          <w:rFonts w:hint="eastAsia" w:ascii="宋体" w:hAnsi="宋体"/>
          <w:b/>
          <w:sz w:val="24"/>
        </w:rPr>
        <w:t>致：</w:t>
      </w:r>
      <w:r>
        <w:rPr>
          <w:rFonts w:hint="eastAsia" w:ascii="宋体" w:hAnsi="宋体"/>
          <w:b/>
          <w:sz w:val="24"/>
          <w:u w:val="single"/>
          <w:lang w:eastAsia="zh-CN"/>
        </w:rPr>
        <w:t>河南省建科建设监理有限公司</w:t>
      </w:r>
    </w:p>
    <w:p>
      <w:pPr>
        <w:pStyle w:val="55"/>
      </w:pPr>
    </w:p>
    <w:p>
      <w:pPr>
        <w:adjustRightInd w:val="0"/>
        <w:spacing w:line="360" w:lineRule="auto"/>
        <w:ind w:firstLine="480" w:firstLineChars="200"/>
        <w:textAlignment w:val="baseline"/>
        <w:rPr>
          <w:rFonts w:ascii="宋体" w:hAnsi="宋体"/>
          <w:sz w:val="24"/>
        </w:rPr>
      </w:pPr>
      <w:r>
        <w:rPr>
          <w:rFonts w:hint="eastAsia" w:ascii="宋体" w:hAnsi="宋体"/>
          <w:sz w:val="24"/>
        </w:rPr>
        <w:t>我们收到</w:t>
      </w:r>
      <w:r>
        <w:rPr>
          <w:rFonts w:hint="eastAsia" w:ascii="宋体" w:hAnsi="宋体" w:cs="宋体"/>
          <w:sz w:val="24"/>
          <w:u w:val="single"/>
          <w:lang w:val="zh-CN"/>
        </w:rPr>
        <w:t>刚察县农村环境污染防治建设项目</w:t>
      </w:r>
      <w:r>
        <w:rPr>
          <w:rFonts w:hint="eastAsia" w:ascii="宋体" w:hAnsi="宋体"/>
          <w:sz w:val="24"/>
          <w:u w:val="single"/>
        </w:rPr>
        <w:t>（</w:t>
      </w:r>
      <w:r>
        <w:rPr>
          <w:rFonts w:hint="eastAsia" w:ascii="宋体" w:hAnsi="宋体"/>
          <w:sz w:val="24"/>
          <w:u w:val="single"/>
          <w:lang w:eastAsia="zh-CN"/>
        </w:rPr>
        <w:t>河南建科竞磋（货物）2021-031</w:t>
      </w:r>
      <w:r>
        <w:rPr>
          <w:rFonts w:hint="eastAsia" w:ascii="宋体" w:hAnsi="宋体"/>
          <w:sz w:val="24"/>
          <w:u w:val="single"/>
        </w:rPr>
        <w:t>）磋</w:t>
      </w:r>
      <w:r>
        <w:rPr>
          <w:rFonts w:hint="eastAsia" w:ascii="宋体" w:hAnsi="宋体"/>
          <w:sz w:val="24"/>
        </w:rPr>
        <w:t>商文件，经研究，法定代表人（姓名、职务）正式授权（委托代理人姓名、职务）代表磋商供应商（磋商供应商名称、地址）提交磋商响应文件。</w:t>
      </w:r>
    </w:p>
    <w:p>
      <w:pPr>
        <w:adjustRightInd w:val="0"/>
        <w:spacing w:line="360" w:lineRule="auto"/>
        <w:ind w:firstLine="480" w:firstLineChars="200"/>
        <w:textAlignment w:val="baseline"/>
        <w:rPr>
          <w:rFonts w:ascii="宋体" w:hAnsi="宋体"/>
          <w:sz w:val="24"/>
        </w:rPr>
      </w:pPr>
      <w:r>
        <w:rPr>
          <w:rFonts w:hint="eastAsia" w:ascii="宋体" w:hAnsi="宋体"/>
          <w:sz w:val="24"/>
        </w:rPr>
        <w:t>据此函，签字代表宣布同意如下：</w:t>
      </w:r>
    </w:p>
    <w:p>
      <w:pPr>
        <w:adjustRightInd w:val="0"/>
        <w:spacing w:line="360" w:lineRule="auto"/>
        <w:ind w:firstLine="480" w:firstLineChars="200"/>
        <w:textAlignment w:val="baseline"/>
        <w:rPr>
          <w:rFonts w:ascii="宋体" w:hAnsi="宋体"/>
          <w:sz w:val="24"/>
          <w:highlight w:val="none"/>
        </w:rPr>
      </w:pPr>
      <w:r>
        <w:rPr>
          <w:rFonts w:hint="eastAsia" w:ascii="宋体" w:hAnsi="宋体"/>
          <w:sz w:val="24"/>
        </w:rPr>
        <w:t>1.我方已详阅磋商文件的全部内容，包括澄清、修改条款等有关附件，承诺对其完全理解并接受。</w:t>
      </w:r>
    </w:p>
    <w:p>
      <w:pPr>
        <w:adjustRightInd w:val="0"/>
        <w:spacing w:line="360" w:lineRule="auto"/>
        <w:ind w:firstLine="480" w:firstLineChars="200"/>
        <w:textAlignment w:val="baseline"/>
        <w:rPr>
          <w:rFonts w:ascii="宋体" w:hAnsi="宋体"/>
          <w:sz w:val="24"/>
        </w:rPr>
      </w:pPr>
      <w:r>
        <w:rPr>
          <w:rFonts w:hint="eastAsia" w:ascii="宋体" w:hAnsi="宋体"/>
          <w:sz w:val="24"/>
          <w:highlight w:val="none"/>
        </w:rPr>
        <w:t>2.磋商有效期自开标之日起</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lang w:eastAsia="zh-CN"/>
        </w:rPr>
        <w:t>日</w:t>
      </w:r>
      <w:r>
        <w:rPr>
          <w:rFonts w:hint="eastAsia" w:ascii="宋体" w:hAnsi="宋体"/>
          <w:sz w:val="24"/>
        </w:rPr>
        <w:t>有效。如果在规定的开标时间后，我方在磋商有效期内撤回磋商或成交后不签约的，磋商保证金将被贵方没收。</w:t>
      </w:r>
    </w:p>
    <w:p>
      <w:pPr>
        <w:adjustRightInd w:val="0"/>
        <w:spacing w:line="360" w:lineRule="auto"/>
        <w:ind w:firstLine="480" w:firstLineChars="200"/>
        <w:textAlignment w:val="baseline"/>
        <w:rPr>
          <w:rFonts w:ascii="宋体" w:hAnsi="宋体"/>
          <w:sz w:val="24"/>
        </w:rPr>
      </w:pPr>
      <w:r>
        <w:rPr>
          <w:rFonts w:hint="eastAsia" w:ascii="宋体" w:hAnsi="宋体"/>
          <w:sz w:val="24"/>
        </w:rPr>
        <w:t>3.我方同意按照贵方要求提供与磋商有关的一切数据或资料，理解并接受贵方制定的评标办法。</w:t>
      </w:r>
    </w:p>
    <w:p>
      <w:pPr>
        <w:adjustRightInd w:val="0"/>
        <w:spacing w:line="360" w:lineRule="auto"/>
        <w:ind w:firstLine="480" w:firstLineChars="200"/>
        <w:textAlignment w:val="baseline"/>
        <w:rPr>
          <w:rFonts w:ascii="宋体" w:hAnsi="宋体"/>
          <w:sz w:val="24"/>
        </w:rPr>
      </w:pPr>
      <w:r>
        <w:rPr>
          <w:rFonts w:hint="eastAsia" w:ascii="宋体" w:hAnsi="宋体"/>
          <w:sz w:val="24"/>
        </w:rPr>
        <w:t>4.与本磋商有关的一切正式往来通讯请寄：</w:t>
      </w:r>
    </w:p>
    <w:p>
      <w:pPr>
        <w:adjustRightInd w:val="0"/>
        <w:spacing w:line="360" w:lineRule="auto"/>
        <w:ind w:firstLine="480" w:firstLineChars="200"/>
        <w:textAlignment w:val="baseline"/>
        <w:rPr>
          <w:rFonts w:ascii="宋体" w:hAnsi="宋体"/>
          <w:sz w:val="24"/>
        </w:rPr>
      </w:pPr>
    </w:p>
    <w:p>
      <w:pPr>
        <w:adjustRightInd w:val="0"/>
        <w:spacing w:line="360" w:lineRule="auto"/>
        <w:ind w:left="0" w:leftChars="0" w:firstLine="420" w:firstLineChars="175"/>
        <w:textAlignment w:val="baseline"/>
        <w:rPr>
          <w:rFonts w:ascii="宋体" w:hAnsi="宋体"/>
          <w:sz w:val="24"/>
        </w:rPr>
      </w:pPr>
      <w:r>
        <w:rPr>
          <w:rFonts w:hint="eastAsia" w:ascii="宋体" w:hAnsi="宋体"/>
          <w:sz w:val="24"/>
        </w:rPr>
        <w:t>地址：                               邮编：</w:t>
      </w:r>
    </w:p>
    <w:p>
      <w:pPr>
        <w:adjustRightInd w:val="0"/>
        <w:spacing w:line="360" w:lineRule="auto"/>
        <w:ind w:left="0" w:leftChars="0" w:firstLine="420" w:firstLineChars="175"/>
        <w:textAlignment w:val="baseline"/>
        <w:rPr>
          <w:rFonts w:ascii="宋体" w:hAnsi="宋体"/>
          <w:sz w:val="24"/>
        </w:rPr>
      </w:pPr>
      <w:r>
        <w:rPr>
          <w:rFonts w:hint="eastAsia" w:ascii="宋体" w:hAnsi="宋体"/>
          <w:sz w:val="24"/>
        </w:rPr>
        <w:t>电话：                               传真：</w:t>
      </w:r>
    </w:p>
    <w:p>
      <w:pPr>
        <w:adjustRightInd w:val="0"/>
        <w:spacing w:line="360" w:lineRule="auto"/>
        <w:ind w:left="0" w:leftChars="0" w:firstLine="420" w:firstLineChars="175"/>
        <w:textAlignment w:val="baseline"/>
        <w:rPr>
          <w:rFonts w:hint="eastAsia" w:ascii="宋体" w:hAnsi="宋体"/>
          <w:sz w:val="24"/>
        </w:rPr>
      </w:pPr>
      <w:r>
        <w:rPr>
          <w:rFonts w:hint="eastAsia" w:ascii="宋体" w:hAnsi="宋体"/>
          <w:sz w:val="24"/>
        </w:rPr>
        <w:t>法定代表人姓名：                     职务：</w:t>
      </w:r>
      <w:bookmarkStart w:id="113" w:name="_Toc444715736"/>
    </w:p>
    <w:p>
      <w:pPr>
        <w:pStyle w:val="55"/>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磋商供应商：             （公章）</w:t>
      </w:r>
    </w:p>
    <w:p>
      <w:pPr>
        <w:pStyle w:val="55"/>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法定代表人或委托代理人：       （签字）</w:t>
      </w:r>
    </w:p>
    <w:p>
      <w:pPr>
        <w:pStyle w:val="55"/>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spacing w:line="360" w:lineRule="auto"/>
        <w:rPr>
          <w:rFonts w:ascii="宋体" w:hAnsi="宋体"/>
          <w:bCs/>
          <w:sz w:val="24"/>
        </w:rPr>
      </w:pPr>
    </w:p>
    <w:bookmarkEnd w:id="113"/>
    <w:p>
      <w:pPr>
        <w:pStyle w:val="9"/>
        <w:numPr>
          <w:ilvl w:val="0"/>
          <w:numId w:val="0"/>
        </w:numPr>
        <w:ind w:left="709" w:hanging="709"/>
        <w:rPr>
          <w:rFonts w:hint="eastAsia" w:hAnsi="宋体"/>
          <w:b/>
          <w:sz w:val="24"/>
          <w:szCs w:val="24"/>
          <w:lang w:val="zh-CN"/>
        </w:rPr>
      </w:pPr>
    </w:p>
    <w:p>
      <w:pPr>
        <w:pStyle w:val="9"/>
        <w:numPr>
          <w:ilvl w:val="0"/>
          <w:numId w:val="0"/>
        </w:numPr>
        <w:ind w:left="709" w:hanging="709"/>
        <w:rPr>
          <w:rFonts w:hint="eastAsia" w:hAnsi="宋体"/>
          <w:b/>
          <w:sz w:val="24"/>
          <w:szCs w:val="24"/>
          <w:lang w:val="zh-CN"/>
        </w:rPr>
      </w:pPr>
      <w:bookmarkStart w:id="114" w:name="_Toc5319"/>
      <w:r>
        <w:rPr>
          <w:rFonts w:hint="eastAsia" w:hAnsi="宋体"/>
          <w:b/>
          <w:sz w:val="24"/>
          <w:szCs w:val="24"/>
          <w:lang w:val="zh-CN"/>
        </w:rPr>
        <w:t>格式2、法定代表人证明书</w:t>
      </w:r>
      <w:bookmarkEnd w:id="114"/>
    </w:p>
    <w:p>
      <w:pPr>
        <w:rPr>
          <w:lang w:val="zh-CN"/>
        </w:rPr>
      </w:pPr>
    </w:p>
    <w:p>
      <w:pPr>
        <w:spacing w:line="360" w:lineRule="auto"/>
        <w:rPr>
          <w:rFonts w:ascii="宋体" w:hAnsi="宋体"/>
          <w:sz w:val="24"/>
          <w:lang w:val="zh-CN"/>
        </w:rPr>
      </w:pPr>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法定代表人证明书</w:t>
      </w:r>
    </w:p>
    <w:p>
      <w:pPr>
        <w:pStyle w:val="55"/>
        <w:rPr>
          <w:lang w:val="zh-CN"/>
        </w:rPr>
      </w:pPr>
    </w:p>
    <w:p>
      <w:pPr>
        <w:autoSpaceDE w:val="0"/>
        <w:autoSpaceDN w:val="0"/>
        <w:adjustRightInd w:val="0"/>
        <w:spacing w:line="360" w:lineRule="auto"/>
        <w:rPr>
          <w:rFonts w:ascii="宋体" w:hAnsi="宋体" w:cs="宋体"/>
          <w:b/>
          <w:bCs/>
          <w:kern w:val="0"/>
          <w:sz w:val="24"/>
          <w:u w:val="single"/>
          <w:lang w:val="zh-CN"/>
        </w:rPr>
      </w:pPr>
      <w:r>
        <w:rPr>
          <w:rFonts w:hint="eastAsia" w:ascii="宋体" w:hAnsi="宋体" w:cs="宋体"/>
          <w:b/>
          <w:bCs/>
          <w:kern w:val="0"/>
          <w:sz w:val="24"/>
          <w:lang w:val="zh-CN"/>
        </w:rPr>
        <w:t>致：</w:t>
      </w:r>
      <w:r>
        <w:rPr>
          <w:rFonts w:hint="eastAsia" w:ascii="宋体" w:hAnsi="宋体" w:cs="宋体"/>
          <w:b/>
          <w:bCs/>
          <w:kern w:val="0"/>
          <w:sz w:val="24"/>
          <w:u w:val="single"/>
          <w:lang w:val="zh-CN"/>
        </w:rPr>
        <w:t>河南省建科建设监理有限公司</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ind w:firstLine="720" w:firstLineChars="300"/>
        <w:rPr>
          <w:rFonts w:ascii="宋体" w:hAnsi="宋体" w:cs="宋体"/>
          <w:kern w:val="0"/>
          <w:sz w:val="24"/>
          <w:lang w:val="zh-CN"/>
        </w:rPr>
      </w:pPr>
      <w:r>
        <w:rPr>
          <w:rFonts w:hint="eastAsia" w:ascii="宋体" w:hAnsi="宋体" w:cs="宋体"/>
          <w:kern w:val="0"/>
          <w:sz w:val="24"/>
          <w:u w:val="single"/>
          <w:lang w:val="zh-CN"/>
        </w:rPr>
        <w:t>（</w:t>
      </w:r>
      <w:r>
        <w:rPr>
          <w:rFonts w:hint="eastAsia" w:ascii="宋体" w:hAnsi="宋体"/>
          <w:sz w:val="24"/>
          <w:u w:val="single"/>
        </w:rPr>
        <w:t>法定代表人姓名</w:t>
      </w:r>
      <w:r>
        <w:rPr>
          <w:rFonts w:hint="eastAsia" w:ascii="宋体" w:hAnsi="宋体" w:cs="宋体"/>
          <w:kern w:val="0"/>
          <w:sz w:val="24"/>
          <w:u w:val="single"/>
          <w:lang w:val="zh-CN"/>
        </w:rPr>
        <w:t xml:space="preserve">）     </w:t>
      </w:r>
      <w:r>
        <w:rPr>
          <w:rFonts w:hint="eastAsia" w:ascii="宋体" w:hAnsi="宋体" w:cs="宋体"/>
          <w:kern w:val="0"/>
          <w:sz w:val="24"/>
          <w:lang w:val="zh-CN"/>
        </w:rPr>
        <w:t>现任我单位职务，为法定代表人，特此证明。</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法定代表人基本情况：</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u w:val="single"/>
          <w:lang w:val="zh-CN"/>
        </w:rPr>
      </w:pPr>
      <w:r>
        <w:rPr>
          <w:rFonts w:hint="eastAsia" w:ascii="宋体" w:hAnsi="宋体" w:cs="宋体"/>
          <w:kern w:val="0"/>
          <w:sz w:val="24"/>
          <w:lang w:val="zh-CN"/>
        </w:rPr>
        <w:t>性别：     年龄：    民族：</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u w:val="single"/>
          <w:lang w:val="zh-CN"/>
        </w:rPr>
      </w:pPr>
      <w:r>
        <w:rPr>
          <w:rFonts w:hint="eastAsia" w:ascii="宋体" w:hAnsi="宋体" w:cs="宋体"/>
          <w:kern w:val="0"/>
          <w:sz w:val="24"/>
          <w:lang w:val="zh-CN"/>
        </w:rPr>
        <w:t>地址：</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身份证号码：</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附：法定代表人第二代身份证双面扫描（或复印）件。</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tabs>
          <w:tab w:val="left" w:pos="168"/>
        </w:tabs>
        <w:adjustRightInd w:val="0"/>
        <w:spacing w:line="360" w:lineRule="auto"/>
        <w:textAlignment w:val="baseline"/>
        <w:rPr>
          <w:rFonts w:ascii="宋体" w:hAnsi="宋体"/>
          <w:bCs/>
          <w:sz w:val="24"/>
        </w:rPr>
      </w:pPr>
      <w:bookmarkStart w:id="115" w:name="_Toc16858"/>
      <w:bookmarkStart w:id="116" w:name="_Toc444715738"/>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rPr>
        <w:t>磋商供应商：             （公章）</w:t>
      </w:r>
    </w:p>
    <w:p>
      <w:pPr>
        <w:pStyle w:val="55"/>
        <w:wordWrap/>
      </w:pPr>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rPr>
        <w:t>法定代表人：                   （签字）</w:t>
      </w:r>
    </w:p>
    <w:p>
      <w:pPr>
        <w:pStyle w:val="55"/>
        <w:wordWrap/>
      </w:pPr>
    </w:p>
    <w:p>
      <w:pPr>
        <w:tabs>
          <w:tab w:val="left" w:pos="168"/>
        </w:tabs>
        <w:adjustRightInd w:val="0"/>
        <w:spacing w:line="360" w:lineRule="auto"/>
        <w:ind w:right="480" w:firstLine="5040" w:firstLineChars="2100"/>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int="eastAsia" w:hAnsi="宋体"/>
          <w:b/>
          <w:sz w:val="24"/>
          <w:szCs w:val="24"/>
          <w:lang w:val="zh-CN"/>
        </w:rPr>
      </w:pPr>
      <w:bookmarkStart w:id="117" w:name="_Toc5800"/>
      <w:r>
        <w:rPr>
          <w:rFonts w:hint="eastAsia" w:hAnsi="宋体"/>
          <w:b/>
          <w:sz w:val="24"/>
          <w:szCs w:val="24"/>
          <w:lang w:val="zh-CN"/>
        </w:rPr>
        <w:t>格式3、法定代表人授权书</w:t>
      </w:r>
      <w:bookmarkEnd w:id="115"/>
      <w:bookmarkEnd w:id="116"/>
      <w:bookmarkEnd w:id="117"/>
    </w:p>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法定代表人授权书</w:t>
      </w:r>
    </w:p>
    <w:p>
      <w:pPr>
        <w:pStyle w:val="55"/>
        <w:rPr>
          <w:lang w:val="zh-CN"/>
        </w:rPr>
      </w:pPr>
    </w:p>
    <w:p>
      <w:pPr>
        <w:spacing w:line="360" w:lineRule="auto"/>
        <w:rPr>
          <w:rFonts w:hint="eastAsia" w:ascii="宋体" w:hAnsi="宋体" w:eastAsia="宋体"/>
          <w:b/>
          <w:bCs/>
          <w:sz w:val="24"/>
          <w:lang w:eastAsia="zh-CN"/>
        </w:rPr>
      </w:pPr>
      <w:r>
        <w:rPr>
          <w:rFonts w:hint="eastAsia" w:ascii="宋体" w:hAnsi="宋体"/>
          <w:b/>
          <w:bCs/>
          <w:sz w:val="24"/>
        </w:rPr>
        <w:t>致：</w:t>
      </w:r>
      <w:r>
        <w:rPr>
          <w:rFonts w:hint="eastAsia" w:ascii="宋体" w:hAnsi="宋体"/>
          <w:b/>
          <w:bCs/>
          <w:sz w:val="24"/>
          <w:u w:val="single"/>
          <w:lang w:eastAsia="zh-CN"/>
        </w:rPr>
        <w:t>河南省建科建设监理有限公司</w:t>
      </w:r>
    </w:p>
    <w:p>
      <w:pPr>
        <w:spacing w:line="360" w:lineRule="auto"/>
        <w:rPr>
          <w:rFonts w:ascii="宋体" w:hAnsi="宋体"/>
          <w:sz w:val="24"/>
          <w:u w:val="single"/>
        </w:rPr>
      </w:pPr>
    </w:p>
    <w:p>
      <w:pPr>
        <w:spacing w:line="360" w:lineRule="auto"/>
        <w:ind w:firstLine="480" w:firstLineChars="200"/>
        <w:rPr>
          <w:rFonts w:ascii="宋体" w:hAnsi="宋体"/>
          <w:sz w:val="24"/>
        </w:rPr>
      </w:pPr>
      <w:r>
        <w:rPr>
          <w:rFonts w:hint="eastAsia" w:ascii="宋体" w:hAnsi="宋体"/>
          <w:sz w:val="24"/>
          <w:u w:val="single"/>
        </w:rPr>
        <w:t>（磋商供应商名称）</w:t>
      </w:r>
      <w:r>
        <w:rPr>
          <w:rFonts w:hint="eastAsia" w:ascii="宋体" w:hAnsi="宋体"/>
          <w:sz w:val="24"/>
        </w:rPr>
        <w:t>系中华人民共和国合法企业，法定地址</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u w:val="single"/>
        </w:rPr>
        <w:t>（法定代表人姓名）</w:t>
      </w:r>
      <w:r>
        <w:rPr>
          <w:rFonts w:hint="eastAsia" w:ascii="宋体" w:hAnsi="宋体"/>
          <w:sz w:val="24"/>
        </w:rPr>
        <w:t>特授权</w:t>
      </w:r>
      <w:r>
        <w:rPr>
          <w:rFonts w:hint="eastAsia" w:ascii="宋体" w:hAnsi="宋体"/>
          <w:sz w:val="24"/>
          <w:u w:val="single"/>
        </w:rPr>
        <w:t>（被授权人姓名）</w:t>
      </w:r>
      <w:r>
        <w:rPr>
          <w:rFonts w:hint="eastAsia" w:ascii="宋体" w:hAnsi="宋体"/>
          <w:sz w:val="24"/>
        </w:rPr>
        <w:t>代表我单位全权办理项目的磋商、答疑等具体工作，并签署全部有关的文件、协议及合同。</w:t>
      </w:r>
    </w:p>
    <w:p>
      <w:pPr>
        <w:spacing w:line="360" w:lineRule="auto"/>
        <w:ind w:firstLine="480" w:firstLineChars="200"/>
        <w:rPr>
          <w:rFonts w:ascii="宋体" w:hAnsi="宋体"/>
          <w:sz w:val="24"/>
        </w:rPr>
      </w:pPr>
      <w:r>
        <w:rPr>
          <w:rFonts w:hint="eastAsia" w:ascii="宋体" w:hAnsi="宋体"/>
          <w:sz w:val="24"/>
        </w:rPr>
        <w:t>我单位对被授权人的签名负全部责任。</w:t>
      </w:r>
    </w:p>
    <w:p>
      <w:pPr>
        <w:spacing w:line="360" w:lineRule="auto"/>
        <w:ind w:firstLine="480" w:firstLineChars="200"/>
        <w:rPr>
          <w:rFonts w:hint="eastAsia" w:ascii="宋体" w:hAnsi="宋体"/>
          <w:sz w:val="24"/>
        </w:rPr>
      </w:pPr>
      <w:r>
        <w:rPr>
          <w:rFonts w:hint="eastAsia" w:ascii="宋体" w:hAnsi="宋体"/>
          <w:sz w:val="24"/>
        </w:rPr>
        <w:t>在撤销授权的书面通知以前，本授权书一直有效。被授权人签署的所有文件（在授权书有效期内签署的）不因授权的撤销而失效。</w: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eastAsia="zh-CN"/>
        </w:rPr>
        <w:t>授权有效期自</w:t>
      </w:r>
      <w:r>
        <w:rPr>
          <w:rFonts w:hint="eastAsia" w:ascii="宋体" w:hAnsi="宋体" w:eastAsia="宋体"/>
          <w:sz w:val="24"/>
          <w:lang w:val="en-US" w:eastAsia="zh-CN"/>
        </w:rPr>
        <w:t xml:space="preserve">    年    月   日至     年    月   日</w:t>
      </w:r>
    </w:p>
    <w:p>
      <w:pPr>
        <w:spacing w:line="360" w:lineRule="auto"/>
        <w:rPr>
          <w:rFonts w:ascii="宋体" w:hAnsi="宋体"/>
          <w:sz w:val="24"/>
          <w:u w:val="single"/>
        </w:rPr>
      </w:pPr>
      <w:r>
        <w:rPr>
          <w:rFonts w:ascii="宋体" w:hAnsi="宋体"/>
          <w:sz w:val="24"/>
        </w:rPr>
        <w:t>被授权人联系电话</w:t>
      </w:r>
      <w:r>
        <w:rPr>
          <w:rFonts w:hint="eastAsia" w:ascii="宋体" w:hAnsi="宋体"/>
          <w:sz w:val="24"/>
        </w:rPr>
        <w:t>：</w:t>
      </w:r>
    </w:p>
    <w:p>
      <w:pPr>
        <w:spacing w:line="360" w:lineRule="auto"/>
        <w:rPr>
          <w:rFonts w:ascii="宋体" w:hAnsi="宋体"/>
          <w:sz w:val="24"/>
          <w:u w:val="single"/>
        </w:rPr>
      </w:pPr>
      <w:r>
        <w:rPr>
          <w:rFonts w:hint="eastAsia" w:ascii="宋体" w:hAnsi="宋体"/>
          <w:sz w:val="24"/>
        </w:rPr>
        <w:t>被授权人（委托代理人）签名：          授权人（法定代表人）签名：</w:t>
      </w:r>
    </w:p>
    <w:p>
      <w:pPr>
        <w:spacing w:line="360" w:lineRule="auto"/>
        <w:rPr>
          <w:rFonts w:ascii="宋体" w:hAnsi="宋体"/>
          <w:sz w:val="24"/>
        </w:rPr>
      </w:pPr>
      <w:r>
        <w:rPr>
          <w:rFonts w:hint="eastAsia" w:ascii="宋体" w:hAnsi="宋体"/>
          <w:sz w:val="24"/>
        </w:rPr>
        <w:t>职务：                                 职务：</w:t>
      </w:r>
    </w:p>
    <w:p>
      <w:pPr>
        <w:spacing w:line="360" w:lineRule="auto"/>
        <w:rPr>
          <w:rFonts w:ascii="宋体" w:hAnsi="宋体"/>
          <w:sz w:val="24"/>
        </w:rPr>
      </w:pPr>
      <w:r>
        <w:rPr>
          <w:rFonts w:hint="eastAsia" w:ascii="宋体" w:hAnsi="宋体"/>
          <w:sz w:val="24"/>
        </w:rPr>
        <w:t>附：被授权人身份证正、反面扫描（或复印）件</w:t>
      </w:r>
      <w:r>
        <w:rPr>
          <w:rFonts w:hint="eastAsia" w:ascii="宋体" w:hAnsi="宋体" w:cs="宋体"/>
          <w:kern w:val="0"/>
          <w:sz w:val="24"/>
          <w:lang w:val="zh-CN"/>
        </w:rPr>
        <w:t>。</w:t>
      </w:r>
    </w:p>
    <w:p>
      <w:pPr>
        <w:tabs>
          <w:tab w:val="left" w:pos="168"/>
        </w:tabs>
        <w:adjustRightInd w:val="0"/>
        <w:spacing w:line="360" w:lineRule="auto"/>
        <w:textAlignment w:val="baseline"/>
        <w:rPr>
          <w:rFonts w:ascii="宋体" w:hAnsi="宋体"/>
          <w:bCs/>
          <w:sz w:val="24"/>
        </w:rPr>
      </w:pPr>
    </w:p>
    <w:p>
      <w:pPr>
        <w:tabs>
          <w:tab w:val="left" w:pos="168"/>
        </w:tabs>
        <w:adjustRightInd w:val="0"/>
        <w:spacing w:line="360" w:lineRule="auto"/>
        <w:textAlignment w:val="baseline"/>
        <w:rPr>
          <w:rFonts w:ascii="宋体" w:hAnsi="宋体"/>
          <w:bCs/>
          <w:sz w:val="24"/>
        </w:rPr>
      </w:pPr>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rPr>
        <w:t>磋商供应商：             （公章）</w:t>
      </w:r>
    </w:p>
    <w:p>
      <w:pPr>
        <w:pStyle w:val="55"/>
        <w:wordWrap/>
      </w:pPr>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rPr>
        <w:t>法定代表人：                   （签字）</w:t>
      </w:r>
    </w:p>
    <w:p>
      <w:pPr>
        <w:pStyle w:val="55"/>
        <w:wordWrap/>
      </w:pPr>
    </w:p>
    <w:p>
      <w:pPr>
        <w:tabs>
          <w:tab w:val="left" w:pos="168"/>
        </w:tabs>
        <w:adjustRightInd w:val="0"/>
        <w:spacing w:line="360" w:lineRule="auto"/>
        <w:ind w:right="480" w:firstLine="5760" w:firstLineChars="2400"/>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Ansi="宋体"/>
          <w:sz w:val="24"/>
          <w:szCs w:val="24"/>
          <w:lang w:val="zh-CN"/>
        </w:rPr>
      </w:pPr>
      <w:bookmarkStart w:id="118" w:name="_Toc30105"/>
      <w:r>
        <w:rPr>
          <w:rFonts w:hint="eastAsia" w:hAnsi="宋体"/>
          <w:b/>
          <w:sz w:val="24"/>
          <w:szCs w:val="24"/>
          <w:lang w:val="zh-CN"/>
        </w:rPr>
        <w:t>格式4、磋商供应商承诺书</w:t>
      </w:r>
      <w:bookmarkEnd w:id="118"/>
    </w:p>
    <w:p>
      <w:pPr>
        <w:autoSpaceDE w:val="0"/>
        <w:autoSpaceDN w:val="0"/>
        <w:adjustRightInd w:val="0"/>
        <w:spacing w:line="360" w:lineRule="auto"/>
        <w:jc w:val="center"/>
        <w:rPr>
          <w:rFonts w:hint="eastAsia" w:ascii="宋体" w:hAnsi="宋体" w:cs="宋体"/>
          <w:b/>
          <w:bCs/>
          <w:kern w:val="0"/>
          <w:sz w:val="24"/>
          <w:lang w:val="zh-CN"/>
        </w:rPr>
      </w:pPr>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磋商供应商承诺书</w:t>
      </w:r>
    </w:p>
    <w:p>
      <w:pPr>
        <w:pStyle w:val="55"/>
        <w:rPr>
          <w:lang w:val="zh-CN"/>
        </w:rPr>
      </w:pPr>
    </w:p>
    <w:p>
      <w:pPr>
        <w:spacing w:line="360" w:lineRule="auto"/>
        <w:rPr>
          <w:rFonts w:hint="eastAsia" w:ascii="宋体" w:hAnsi="宋体" w:eastAsia="宋体"/>
          <w:b/>
          <w:bCs/>
          <w:sz w:val="24"/>
          <w:lang w:eastAsia="zh-CN"/>
        </w:rPr>
      </w:pPr>
      <w:r>
        <w:rPr>
          <w:rFonts w:hint="eastAsia" w:ascii="宋体" w:hAnsi="宋体"/>
          <w:b/>
          <w:bCs/>
          <w:sz w:val="24"/>
        </w:rPr>
        <w:t>致：</w:t>
      </w:r>
      <w:r>
        <w:rPr>
          <w:rFonts w:hint="eastAsia" w:ascii="宋体" w:hAnsi="宋体"/>
          <w:b/>
          <w:bCs/>
          <w:sz w:val="24"/>
          <w:u w:val="single"/>
          <w:lang w:eastAsia="zh-CN"/>
        </w:rPr>
        <w:t>河南省建科建设监理有限公司</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关于贵方   年  月  日</w:t>
      </w:r>
      <w:r>
        <w:rPr>
          <w:rFonts w:hint="eastAsia" w:ascii="宋体" w:hAnsi="宋体"/>
          <w:sz w:val="24"/>
          <w:u w:val="single"/>
        </w:rPr>
        <w:t>(项目名称)</w:t>
      </w:r>
      <w:r>
        <w:rPr>
          <w:rFonts w:hint="eastAsia" w:ascii="宋体" w:hAnsi="宋体"/>
          <w:sz w:val="24"/>
        </w:rPr>
        <w:t>采购项目，本签字人愿意参加磋商，提供采购项目参数及要求中要求的所有产品，并证实提交的所有资料是准确的和真实的。同时，我代表</w:t>
      </w:r>
      <w:r>
        <w:rPr>
          <w:rFonts w:hint="eastAsia" w:ascii="宋体" w:hAnsi="宋体"/>
          <w:sz w:val="24"/>
          <w:u w:val="single"/>
        </w:rPr>
        <w:t>（磋商供应商名称）</w:t>
      </w:r>
      <w:r>
        <w:rPr>
          <w:rFonts w:hint="eastAsia" w:ascii="宋体" w:hAnsi="宋体"/>
          <w:sz w:val="24"/>
        </w:rPr>
        <w:t>，在此作如下承诺：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、完全理解和接受磋商文件的一切规定和要求；</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若成交，我方将按照磋商文件的具体规定与采购单位签订合同，并且严格履行合同义务，按时交货，提供优质的产品和服务。如果在合同执行过程中，发现质量出现问题，我方一定尽快更换或保修，并承担相应的经济责任；</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、在整个磋商过程中我方若有违规行为，贵方可按磋商文件之规定给予惩罚，我方完全接受。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、若成交，本承诺将成为合同不可分割的一部分，与合同具有同等的法律效力。</w:t>
      </w:r>
    </w:p>
    <w:p>
      <w:pPr>
        <w:tabs>
          <w:tab w:val="left" w:pos="168"/>
        </w:tabs>
        <w:adjustRightInd w:val="0"/>
        <w:spacing w:line="360" w:lineRule="auto"/>
        <w:ind w:firstLine="480" w:firstLineChars="200"/>
        <w:textAlignment w:val="baseline"/>
        <w:rPr>
          <w:rFonts w:ascii="宋体" w:hAnsi="宋体"/>
          <w:bCs/>
          <w:sz w:val="24"/>
        </w:rPr>
      </w:pPr>
    </w:p>
    <w:p>
      <w:pPr>
        <w:tabs>
          <w:tab w:val="left" w:pos="168"/>
        </w:tabs>
        <w:adjustRightInd w:val="0"/>
        <w:spacing w:line="360" w:lineRule="auto"/>
        <w:textAlignment w:val="baseline"/>
        <w:rPr>
          <w:rFonts w:ascii="宋体" w:hAnsi="宋体"/>
          <w:bCs/>
          <w:sz w:val="24"/>
        </w:rPr>
      </w:pPr>
    </w:p>
    <w:p>
      <w:pPr>
        <w:tabs>
          <w:tab w:val="left" w:pos="168"/>
        </w:tabs>
        <w:adjustRightInd w:val="0"/>
        <w:spacing w:line="360" w:lineRule="auto"/>
        <w:ind w:firstLine="480" w:firstLineChars="200"/>
        <w:textAlignment w:val="baseline"/>
        <w:rPr>
          <w:rFonts w:ascii="宋体" w:hAnsi="宋体"/>
          <w:bCs/>
          <w:sz w:val="24"/>
        </w:rPr>
      </w:pPr>
    </w:p>
    <w:p>
      <w:pPr>
        <w:tabs>
          <w:tab w:val="left" w:pos="168"/>
        </w:tabs>
        <w:adjustRightInd w:val="0"/>
        <w:spacing w:line="360" w:lineRule="auto"/>
        <w:ind w:firstLine="480" w:firstLineChars="200"/>
        <w:textAlignment w:val="baseline"/>
        <w:rPr>
          <w:rFonts w:ascii="宋体" w:hAnsi="宋体"/>
          <w:bCs/>
          <w:sz w:val="24"/>
        </w:rPr>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磋商供应商：             （公章）</w:t>
      </w:r>
    </w:p>
    <w:p>
      <w:pPr>
        <w:pStyle w:val="55"/>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法定代表人或委托代理人：       （签字）</w:t>
      </w:r>
    </w:p>
    <w:p>
      <w:pPr>
        <w:pStyle w:val="55"/>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int="eastAsia" w:hAnsi="宋体"/>
          <w:b/>
          <w:sz w:val="24"/>
          <w:szCs w:val="24"/>
          <w:lang w:val="zh-CN"/>
        </w:rPr>
      </w:pPr>
      <w:bookmarkStart w:id="119" w:name="_Toc12091"/>
      <w:r>
        <w:rPr>
          <w:rFonts w:hint="eastAsia" w:hAnsi="宋体"/>
          <w:b/>
          <w:sz w:val="24"/>
          <w:szCs w:val="24"/>
          <w:lang w:val="zh-CN"/>
        </w:rPr>
        <w:t>格式5、供应商诚信承诺书</w:t>
      </w:r>
      <w:bookmarkEnd w:id="119"/>
    </w:p>
    <w:p>
      <w:pPr>
        <w:rPr>
          <w:lang w:val="zh-CN"/>
        </w:rPr>
      </w:pPr>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供应商诚信承诺书</w:t>
      </w:r>
    </w:p>
    <w:p>
      <w:pPr>
        <w:pStyle w:val="55"/>
        <w:rPr>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致：</w:t>
      </w:r>
      <w:r>
        <w:rPr>
          <w:rFonts w:hint="eastAsia" w:ascii="宋体" w:hAnsi="宋体" w:cs="宋体"/>
          <w:b/>
          <w:bCs/>
          <w:kern w:val="0"/>
          <w:sz w:val="24"/>
          <w:u w:val="single"/>
          <w:lang w:val="zh-CN"/>
        </w:rPr>
        <w:t>河南省建科建设监理有限公司</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为了诚实、客观、有序地参与青海省政府采购活动，愿就以下内容做出承诺：</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一、自觉遵守各项法律、法规、规章、制度以及社会公德，维护廉洁环境，与同场竞争的供应商平等参加政府采购活动。</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三、尊重参与政府采购活动各相关方的合法行为，接受政府采购活动依法形成的意见、结果。</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四、依法参加政府采购活动，不围标、串标，维护市场秩序，不提供“三无”产品、以次充好。</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六、认真履行成交人应承担的责任和义务，全面执行采购合同规定的各项内容，保质保量地按时提供采购物品。</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本承诺是采购项目磋商响应文件的组成部分。</w:t>
      </w:r>
    </w:p>
    <w:p>
      <w:pPr>
        <w:autoSpaceDE w:val="0"/>
        <w:autoSpaceDN w:val="0"/>
        <w:adjustRightInd w:val="0"/>
        <w:spacing w:line="360" w:lineRule="auto"/>
        <w:rPr>
          <w:rFonts w:ascii="宋体" w:hAnsi="宋体" w:cs="宋体"/>
          <w:kern w:val="0"/>
          <w:sz w:val="24"/>
          <w:lang w:val="zh-CN"/>
        </w:rPr>
      </w:pPr>
    </w:p>
    <w:p>
      <w:pPr>
        <w:tabs>
          <w:tab w:val="left" w:pos="168"/>
        </w:tabs>
        <w:adjustRightInd w:val="0"/>
        <w:spacing w:line="360" w:lineRule="auto"/>
        <w:textAlignment w:val="baseline"/>
        <w:rPr>
          <w:rFonts w:ascii="宋体" w:hAnsi="宋体"/>
          <w:bCs/>
          <w:sz w:val="24"/>
        </w:rPr>
      </w:pPr>
      <w:bookmarkStart w:id="120" w:name="_Toc444715739"/>
      <w:bookmarkStart w:id="121" w:name="_Toc17097"/>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磋商供应商：             （公章）</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Ansi="宋体" w:cs="宋体"/>
          <w:sz w:val="24"/>
          <w:szCs w:val="24"/>
          <w:lang w:val="zh-CN"/>
        </w:rPr>
      </w:pPr>
      <w:bookmarkStart w:id="122" w:name="_Toc12900"/>
      <w:r>
        <w:rPr>
          <w:rFonts w:hint="eastAsia" w:hAnsi="宋体"/>
          <w:b/>
          <w:sz w:val="24"/>
          <w:szCs w:val="24"/>
          <w:lang w:val="zh-CN"/>
        </w:rPr>
        <w:t>格式6、资格证明材料</w:t>
      </w:r>
      <w:bookmarkEnd w:id="120"/>
      <w:bookmarkEnd w:id="121"/>
      <w:bookmarkEnd w:id="122"/>
    </w:p>
    <w:p>
      <w:pPr>
        <w:spacing w:line="360" w:lineRule="auto"/>
        <w:rPr>
          <w:rFonts w:ascii="宋体" w:hAnsi="宋体"/>
          <w:sz w:val="24"/>
          <w:lang w:val="zh-CN"/>
        </w:rPr>
      </w:pPr>
    </w:p>
    <w:p>
      <w:pPr>
        <w:pStyle w:val="55"/>
        <w:rPr>
          <w:lang w:val="zh-CN"/>
        </w:rPr>
      </w:pPr>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资格证明材料</w:t>
      </w:r>
    </w:p>
    <w:p>
      <w:pPr>
        <w:pStyle w:val="55"/>
        <w:rPr>
          <w:lang w:val="zh-CN"/>
        </w:rPr>
      </w:pPr>
    </w:p>
    <w:p>
      <w:pPr>
        <w:spacing w:line="360" w:lineRule="auto"/>
        <w:ind w:firstLine="424" w:firstLineChars="177"/>
        <w:rPr>
          <w:rFonts w:ascii="宋体" w:hAnsi="宋体" w:cs="Arial"/>
          <w:sz w:val="24"/>
        </w:rPr>
      </w:pPr>
      <w:r>
        <w:rPr>
          <w:rFonts w:ascii="宋体" w:hAnsi="宋体" w:cs="Arial"/>
          <w:sz w:val="24"/>
        </w:rPr>
        <w:t>资格证明材料包括：</w:t>
      </w:r>
    </w:p>
    <w:p>
      <w:pPr>
        <w:spacing w:line="360" w:lineRule="auto"/>
        <w:rPr>
          <w:rFonts w:ascii="宋体" w:hAnsi="宋体" w:cs="Arial"/>
          <w:sz w:val="24"/>
        </w:rPr>
      </w:pPr>
      <w:r>
        <w:rPr>
          <w:rFonts w:ascii="宋体" w:hAnsi="宋体" w:cs="Arial"/>
          <w:sz w:val="24"/>
        </w:rPr>
        <w:t>（1）单位法人营业执照、税务登记证、组织机构代码证；</w:t>
      </w:r>
    </w:p>
    <w:p>
      <w:pPr>
        <w:spacing w:line="360" w:lineRule="auto"/>
        <w:rPr>
          <w:rFonts w:ascii="宋体" w:hAnsi="宋体" w:cs="Arial"/>
          <w:sz w:val="24"/>
        </w:rPr>
      </w:pPr>
      <w:r>
        <w:rPr>
          <w:rFonts w:ascii="宋体" w:hAnsi="宋体" w:cs="Arial"/>
          <w:sz w:val="24"/>
        </w:rPr>
        <w:t>（2）磋商文件规定的有关资格证书、许可证书、认证等；</w:t>
      </w:r>
    </w:p>
    <w:p>
      <w:pPr>
        <w:spacing w:line="360" w:lineRule="auto"/>
        <w:rPr>
          <w:rFonts w:ascii="宋体" w:hAnsi="宋体" w:cs="Arial"/>
          <w:sz w:val="24"/>
        </w:rPr>
      </w:pPr>
      <w:r>
        <w:rPr>
          <w:rFonts w:ascii="宋体" w:hAnsi="宋体" w:cs="Arial"/>
          <w:sz w:val="24"/>
        </w:rPr>
        <w:t>（3）磋商供应商简介及获得相关证书证明文件；</w:t>
      </w:r>
    </w:p>
    <w:p>
      <w:pPr>
        <w:spacing w:line="360" w:lineRule="auto"/>
        <w:rPr>
          <w:rFonts w:ascii="宋体" w:hAnsi="宋体" w:cs="Arial"/>
          <w:sz w:val="24"/>
        </w:rPr>
      </w:pPr>
      <w:r>
        <w:rPr>
          <w:rFonts w:ascii="宋体" w:hAnsi="宋体" w:cs="Arial"/>
          <w:sz w:val="24"/>
        </w:rPr>
        <w:t>（4）磋商供应商认为有必要提供的其他资格证明文件。</w:t>
      </w:r>
    </w:p>
    <w:p>
      <w:pPr>
        <w:pStyle w:val="9"/>
        <w:numPr>
          <w:ilvl w:val="0"/>
          <w:numId w:val="0"/>
        </w:numPr>
        <w:ind w:left="709" w:hanging="709"/>
        <w:rPr>
          <w:rFonts w:hAnsi="宋体" w:cs="宋体"/>
          <w:kern w:val="0"/>
          <w:sz w:val="24"/>
          <w:szCs w:val="24"/>
          <w:lang w:val="zh-CN"/>
        </w:rPr>
      </w:pPr>
      <w:r>
        <w:rPr>
          <w:rFonts w:hAnsi="宋体" w:cs="宋体"/>
          <w:kern w:val="0"/>
          <w:sz w:val="24"/>
          <w:szCs w:val="24"/>
          <w:lang w:val="zh-CN"/>
        </w:rPr>
        <w:br w:type="page"/>
      </w:r>
      <w:bookmarkStart w:id="123" w:name="_Toc444715740"/>
      <w:bookmarkStart w:id="124" w:name="_Toc20673"/>
    </w:p>
    <w:p>
      <w:pPr>
        <w:pStyle w:val="9"/>
        <w:numPr>
          <w:ilvl w:val="0"/>
          <w:numId w:val="0"/>
        </w:numPr>
        <w:ind w:left="709" w:hanging="709"/>
        <w:rPr>
          <w:rFonts w:hAnsi="宋体" w:cs="宋体"/>
          <w:kern w:val="0"/>
          <w:sz w:val="24"/>
          <w:szCs w:val="24"/>
          <w:lang w:val="zh-CN"/>
        </w:rPr>
      </w:pPr>
    </w:p>
    <w:p>
      <w:pPr>
        <w:pStyle w:val="9"/>
        <w:numPr>
          <w:ilvl w:val="0"/>
          <w:numId w:val="0"/>
        </w:numPr>
        <w:ind w:left="709" w:hanging="709"/>
        <w:rPr>
          <w:rFonts w:hAnsi="宋体"/>
          <w:sz w:val="24"/>
          <w:szCs w:val="24"/>
          <w:lang w:val="zh-CN"/>
        </w:rPr>
      </w:pPr>
      <w:bookmarkStart w:id="125" w:name="_Toc15983"/>
      <w:r>
        <w:rPr>
          <w:rFonts w:hint="eastAsia" w:hAnsi="宋体"/>
          <w:b/>
          <w:sz w:val="24"/>
          <w:szCs w:val="24"/>
          <w:lang w:val="zh-CN"/>
        </w:rPr>
        <w:t>格式7、财务状况、缴纳税收和社会保障资金证明</w:t>
      </w:r>
      <w:bookmarkEnd w:id="125"/>
    </w:p>
    <w:p>
      <w:pPr>
        <w:spacing w:line="360" w:lineRule="auto"/>
        <w:rPr>
          <w:rFonts w:ascii="宋体" w:hAnsi="宋体"/>
          <w:sz w:val="24"/>
          <w:lang w:val="zh-CN"/>
        </w:rPr>
      </w:pPr>
    </w:p>
    <w:p>
      <w:pPr>
        <w:pStyle w:val="55"/>
        <w:rPr>
          <w:lang w:val="zh-CN"/>
        </w:rPr>
      </w:pPr>
    </w:p>
    <w:p>
      <w:pPr>
        <w:autoSpaceDE w:val="0"/>
        <w:autoSpaceDN w:val="0"/>
        <w:adjustRightInd w:val="0"/>
        <w:spacing w:line="360" w:lineRule="auto"/>
        <w:jc w:val="center"/>
        <w:rPr>
          <w:rFonts w:ascii="宋体" w:hAnsi="宋体" w:cs="宋体"/>
          <w:b/>
          <w:bCs/>
          <w:kern w:val="0"/>
          <w:sz w:val="24"/>
          <w:lang w:val="zh-CN"/>
        </w:rPr>
      </w:pPr>
      <w:r>
        <w:rPr>
          <w:rFonts w:ascii="宋体" w:hAnsi="宋体" w:cs="宋体"/>
          <w:b/>
          <w:bCs/>
          <w:kern w:val="0"/>
          <w:sz w:val="24"/>
          <w:lang w:val="zh-CN"/>
        </w:rPr>
        <w:t>财务状况、缴纳税收和社会保障资金证明</w:t>
      </w:r>
    </w:p>
    <w:p>
      <w:pPr>
        <w:autoSpaceDE w:val="0"/>
        <w:autoSpaceDN w:val="0"/>
        <w:spacing w:line="360" w:lineRule="auto"/>
        <w:rPr>
          <w:rFonts w:ascii="宋体" w:hAnsi="宋体" w:cs="Arial"/>
          <w:sz w:val="24"/>
          <w:lang w:val="zh-CN"/>
        </w:rPr>
      </w:pPr>
    </w:p>
    <w:p>
      <w:pPr>
        <w:pStyle w:val="55"/>
        <w:rPr>
          <w:lang w:val="zh-CN"/>
        </w:rPr>
      </w:pPr>
    </w:p>
    <w:p>
      <w:pPr>
        <w:spacing w:line="360" w:lineRule="auto"/>
        <w:ind w:firstLine="480" w:firstLineChars="200"/>
        <w:rPr>
          <w:rFonts w:ascii="宋体" w:hAnsi="宋体" w:cs="宋体"/>
          <w:sz w:val="24"/>
        </w:rPr>
      </w:pPr>
      <w:r>
        <w:rPr>
          <w:rFonts w:ascii="宋体" w:hAnsi="宋体" w:cs="宋体"/>
          <w:sz w:val="24"/>
        </w:rPr>
        <w:t>按照磋商文件第2.2款（1）中规定提供以下相关材料。</w:t>
      </w:r>
    </w:p>
    <w:p>
      <w:pPr>
        <w:numPr>
          <w:ilvl w:val="0"/>
          <w:numId w:val="15"/>
        </w:numPr>
        <w:spacing w:line="360" w:lineRule="auto"/>
        <w:ind w:left="0" w:leftChars="0" w:firstLine="420" w:firstLineChars="175"/>
        <w:rPr>
          <w:rFonts w:hint="eastAsia" w:ascii="宋体" w:hAnsi="宋体" w:cs="宋体"/>
          <w:sz w:val="24"/>
          <w:lang w:val="en-US" w:eastAsia="zh-CN"/>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财务状况报告，依法缴纳税收和社会保障资金的相关材料（经第三方机构出具的2020年度财务状况审计报告，扫描或复印件应全面、完整、清晰，包括资产负债表、现金流量表、利润表和财务（会计）报表附注,并提供第三方机构的营业执照、执业证书；依法缴纳税收和社会保障资金的相关材料</w:t>
      </w:r>
      <w:r>
        <w:rPr>
          <w:rFonts w:hint="eastAsia" w:ascii="宋体" w:hAnsi="宋体" w:cs="Times New Roman"/>
          <w:color w:val="000000" w:themeColor="text1"/>
          <w:kern w:val="0"/>
          <w:sz w:val="24"/>
          <w:szCs w:val="24"/>
          <w:lang w:val="en-US" w:eastAsia="zh-CN" w:bidi="ar-SA"/>
          <w14:textFill>
            <w14:solidFill>
              <w14:schemeClr w14:val="tx1"/>
            </w14:solidFill>
          </w14:textFill>
        </w:rPr>
        <w:t>，供应商成立不满足年限的需提供</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基本账户开户银行近三个月内出具的资信证明</w:t>
      </w:r>
      <w:r>
        <w:rPr>
          <w:rFonts w:hint="eastAsia" w:ascii="宋体" w:hAnsi="宋体" w:cs="宋体"/>
          <w:sz w:val="24"/>
          <w:lang w:val="en-US" w:eastAsia="zh-CN"/>
        </w:rPr>
        <w:t>；</w:t>
      </w:r>
    </w:p>
    <w:p>
      <w:pPr>
        <w:numPr>
          <w:ilvl w:val="0"/>
          <w:numId w:val="15"/>
        </w:numPr>
        <w:spacing w:line="360" w:lineRule="auto"/>
        <w:ind w:left="0" w:leftChars="0" w:firstLine="420" w:firstLineChars="175"/>
        <w:rPr>
          <w:rFonts w:hint="eastAsia" w:ascii="宋体" w:hAnsi="宋体" w:cs="宋体"/>
          <w:sz w:val="24"/>
          <w:lang w:val="en-US" w:eastAsia="zh-CN"/>
        </w:rPr>
      </w:pPr>
      <w:r>
        <w:rPr>
          <w:rFonts w:hint="eastAsia" w:ascii="宋体" w:hAnsi="宋体" w:cs="宋体"/>
          <w:sz w:val="24"/>
          <w:lang w:val="en-US" w:eastAsia="zh-CN"/>
        </w:rPr>
        <w:t>依法缴纳税收和社会保障资金的相关材料：近半年任意3个月的依法缴纳税收和社会保障资金记录的证明材料，依法免税或不需要缴纳社会保障资金的投标人须提供相应文件证明其依法免税或不需要缴纳社会保障资金）；</w:t>
      </w:r>
    </w:p>
    <w:p>
      <w:pPr>
        <w:spacing w:line="360" w:lineRule="auto"/>
        <w:ind w:left="0" w:leftChars="0" w:firstLine="420" w:firstLineChars="175"/>
        <w:rPr>
          <w:rFonts w:ascii="宋体" w:hAnsi="宋体" w:cs="宋体"/>
          <w:sz w:val="24"/>
        </w:rPr>
      </w:pPr>
      <w:r>
        <w:rPr>
          <w:rFonts w:hint="eastAsia" w:ascii="宋体" w:hAnsi="宋体" w:cs="宋体"/>
          <w:sz w:val="24"/>
          <w:lang w:val="en-US" w:eastAsia="zh-CN"/>
        </w:rPr>
        <w:t>3、</w:t>
      </w:r>
      <w:r>
        <w:rPr>
          <w:rFonts w:hint="eastAsia" w:ascii="宋体" w:hAnsi="宋体" w:cs="宋体"/>
          <w:sz w:val="24"/>
        </w:rPr>
        <w:t>扫描（或复印）件应全面、完整、清晰并加盖磋商供应商公章。</w:t>
      </w:r>
    </w:p>
    <w:p>
      <w:pPr>
        <w:pStyle w:val="9"/>
        <w:numPr>
          <w:ilvl w:val="0"/>
          <w:numId w:val="0"/>
        </w:numPr>
        <w:ind w:left="0" w:leftChars="0" w:firstLine="422" w:firstLineChars="175"/>
        <w:rPr>
          <w:rFonts w:hAnsi="宋体"/>
          <w:b/>
          <w:sz w:val="24"/>
          <w:szCs w:val="24"/>
          <w:lang w:val="zh-CN"/>
        </w:rPr>
      </w:pPr>
      <w:r>
        <w:rPr>
          <w:rFonts w:hAnsi="宋体"/>
          <w:b/>
          <w:sz w:val="24"/>
          <w:szCs w:val="24"/>
          <w:lang w:val="zh-CN"/>
        </w:rPr>
        <w:br w:type="page"/>
      </w:r>
    </w:p>
    <w:p>
      <w:pPr>
        <w:pStyle w:val="9"/>
        <w:numPr>
          <w:ilvl w:val="0"/>
          <w:numId w:val="0"/>
        </w:numPr>
        <w:ind w:left="709" w:hanging="709"/>
        <w:rPr>
          <w:rFonts w:hAnsi="宋体"/>
          <w:b/>
          <w:sz w:val="24"/>
          <w:szCs w:val="24"/>
          <w:lang w:val="zh-CN"/>
        </w:rPr>
      </w:pPr>
    </w:p>
    <w:p>
      <w:pPr>
        <w:pStyle w:val="9"/>
        <w:numPr>
          <w:ilvl w:val="0"/>
          <w:numId w:val="0"/>
        </w:numPr>
        <w:ind w:left="709" w:hanging="709"/>
        <w:rPr>
          <w:rFonts w:hint="eastAsia" w:hAnsi="宋体"/>
          <w:b/>
          <w:sz w:val="24"/>
          <w:szCs w:val="24"/>
          <w:lang w:val="zh-CN"/>
        </w:rPr>
      </w:pPr>
      <w:bookmarkStart w:id="126" w:name="_Toc10409"/>
      <w:r>
        <w:rPr>
          <w:rFonts w:hint="eastAsia" w:hAnsi="宋体"/>
          <w:b/>
          <w:sz w:val="24"/>
          <w:szCs w:val="24"/>
          <w:lang w:val="zh-CN"/>
        </w:rPr>
        <w:t>格式8、具备履行合同所必须的设备和专业技术能力证明</w:t>
      </w:r>
      <w:bookmarkEnd w:id="126"/>
    </w:p>
    <w:p>
      <w:pPr>
        <w:rPr>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具备履行合同所必须的设备和专业技术能力证明</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ind w:firstLine="480"/>
        <w:rPr>
          <w:rFonts w:ascii="宋体" w:hAnsi="宋体" w:cs="宋体"/>
          <w:kern w:val="0"/>
          <w:sz w:val="24"/>
          <w:lang w:val="zh-CN"/>
        </w:rPr>
      </w:pPr>
      <w:r>
        <w:rPr>
          <w:rFonts w:ascii="宋体" w:hAnsi="宋体" w:cs="宋体"/>
          <w:kern w:val="0"/>
          <w:sz w:val="24"/>
          <w:lang w:val="zh-CN"/>
        </w:rPr>
        <w:t>为保证本项目合同的顺利履行，</w:t>
      </w:r>
      <w:r>
        <w:rPr>
          <w:rFonts w:hint="eastAsia" w:ascii="宋体" w:hAnsi="宋体" w:cs="宋体"/>
          <w:kern w:val="0"/>
          <w:sz w:val="24"/>
          <w:lang w:val="zh-CN"/>
        </w:rPr>
        <w:t>供应商</w:t>
      </w:r>
      <w:r>
        <w:rPr>
          <w:rFonts w:ascii="宋体" w:hAnsi="宋体" w:cs="宋体"/>
          <w:kern w:val="0"/>
          <w:sz w:val="24"/>
          <w:lang w:val="zh-CN"/>
        </w:rPr>
        <w:t>必须具备履行合同的设备和专业技术能力，</w:t>
      </w:r>
      <w:r>
        <w:rPr>
          <w:rFonts w:hint="eastAsia" w:ascii="宋体" w:hAnsi="宋体" w:cs="宋体"/>
          <w:kern w:val="0"/>
          <w:sz w:val="24"/>
          <w:lang w:val="zh-CN"/>
        </w:rPr>
        <w:t>须提供履行合同的设备和专业技术能力的承诺函由授权人签字（格式自拟），并提供相关设备的购置发票或相关人员的证书或用工合同等证明材料。</w:t>
      </w:r>
    </w:p>
    <w:p>
      <w:pPr>
        <w:pStyle w:val="9"/>
        <w:numPr>
          <w:ilvl w:val="0"/>
          <w:numId w:val="0"/>
        </w:numPr>
        <w:ind w:left="709" w:hanging="709"/>
        <w:rPr>
          <w:rFonts w:hAnsi="宋体" w:cs="宋体"/>
          <w:kern w:val="0"/>
          <w:sz w:val="24"/>
          <w:szCs w:val="24"/>
          <w:lang w:val="zh-CN"/>
        </w:rPr>
      </w:pPr>
      <w:r>
        <w:rPr>
          <w:rFonts w:hAnsi="宋体" w:cs="宋体"/>
          <w:kern w:val="0"/>
          <w:sz w:val="24"/>
          <w:szCs w:val="24"/>
          <w:lang w:val="zh-CN"/>
        </w:rPr>
        <w:br w:type="page"/>
      </w:r>
    </w:p>
    <w:p>
      <w:pPr>
        <w:pStyle w:val="9"/>
        <w:numPr>
          <w:ilvl w:val="0"/>
          <w:numId w:val="0"/>
        </w:numPr>
        <w:rPr>
          <w:rFonts w:hAnsi="宋体" w:cs="宋体"/>
          <w:kern w:val="0"/>
          <w:sz w:val="24"/>
          <w:szCs w:val="24"/>
          <w:lang w:val="zh-CN"/>
        </w:rPr>
      </w:pPr>
    </w:p>
    <w:p>
      <w:pPr>
        <w:pStyle w:val="9"/>
        <w:numPr>
          <w:ilvl w:val="0"/>
          <w:numId w:val="0"/>
        </w:numPr>
        <w:ind w:left="709" w:hanging="709"/>
        <w:rPr>
          <w:rFonts w:hAnsi="宋体" w:cs="宋体"/>
          <w:sz w:val="24"/>
          <w:szCs w:val="24"/>
        </w:rPr>
      </w:pPr>
      <w:bookmarkStart w:id="127" w:name="_Toc4633"/>
      <w:r>
        <w:rPr>
          <w:rFonts w:hint="eastAsia" w:hAnsi="宋体"/>
          <w:b/>
          <w:sz w:val="24"/>
          <w:szCs w:val="24"/>
          <w:lang w:val="zh-CN"/>
        </w:rPr>
        <w:t>格式</w:t>
      </w:r>
      <w:bookmarkEnd w:id="123"/>
      <w:bookmarkEnd w:id="124"/>
      <w:r>
        <w:rPr>
          <w:rFonts w:hint="eastAsia" w:hAnsi="宋体"/>
          <w:b/>
          <w:sz w:val="24"/>
          <w:szCs w:val="24"/>
          <w:lang w:val="zh-CN"/>
        </w:rPr>
        <w:t>9、无重大违法记录声明</w:t>
      </w:r>
      <w:bookmarkEnd w:id="127"/>
    </w:p>
    <w:p>
      <w:pPr>
        <w:autoSpaceDE w:val="0"/>
        <w:autoSpaceDN w:val="0"/>
        <w:adjustRightInd w:val="0"/>
        <w:spacing w:line="360" w:lineRule="auto"/>
        <w:rPr>
          <w:rFonts w:ascii="宋体" w:hAnsi="宋体" w:cs="宋体"/>
          <w:kern w:val="0"/>
          <w:sz w:val="24"/>
          <w:lang w:val="zh-CN"/>
        </w:rPr>
      </w:pPr>
    </w:p>
    <w:p>
      <w:pPr>
        <w:pStyle w:val="55"/>
        <w:rPr>
          <w:lang w:val="zh-CN"/>
        </w:rPr>
      </w:pPr>
    </w:p>
    <w:p>
      <w:pPr>
        <w:autoSpaceDE w:val="0"/>
        <w:autoSpaceDN w:val="0"/>
        <w:adjustRightInd w:val="0"/>
        <w:spacing w:line="360" w:lineRule="auto"/>
        <w:jc w:val="center"/>
        <w:rPr>
          <w:lang w:val="zh-CN"/>
        </w:rPr>
      </w:pPr>
      <w:r>
        <w:rPr>
          <w:rFonts w:hint="eastAsia" w:ascii="宋体" w:hAnsi="宋体" w:cs="宋体"/>
          <w:b/>
          <w:bCs/>
          <w:kern w:val="0"/>
          <w:sz w:val="24"/>
          <w:lang w:val="zh-CN"/>
        </w:rPr>
        <w:t>无重大违法记录声明</w:t>
      </w:r>
    </w:p>
    <w:p>
      <w:pPr>
        <w:autoSpaceDE w:val="0"/>
        <w:autoSpaceDN w:val="0"/>
        <w:adjustRightInd w:val="0"/>
        <w:spacing w:line="360" w:lineRule="auto"/>
        <w:rPr>
          <w:rFonts w:ascii="宋体" w:hAnsi="宋体" w:cs="宋体"/>
          <w:kern w:val="0"/>
          <w:sz w:val="24"/>
          <w:lang w:val="zh-CN"/>
        </w:rPr>
      </w:pPr>
    </w:p>
    <w:p>
      <w:pPr>
        <w:spacing w:line="360" w:lineRule="auto"/>
        <w:ind w:firstLine="426" w:firstLineChars="177"/>
        <w:rPr>
          <w:rFonts w:hint="eastAsia" w:ascii="宋体" w:hAnsi="宋体" w:cs="宋体"/>
          <w:b/>
          <w:bCs/>
          <w:kern w:val="0"/>
          <w:sz w:val="24"/>
          <w:u w:val="single"/>
          <w:lang w:val="zh-CN"/>
        </w:rPr>
      </w:pPr>
      <w:r>
        <w:rPr>
          <w:rFonts w:hint="eastAsia" w:ascii="宋体" w:hAnsi="宋体" w:cs="宋体"/>
          <w:b/>
          <w:bCs/>
          <w:kern w:val="0"/>
          <w:sz w:val="24"/>
          <w:lang w:val="zh-CN"/>
        </w:rPr>
        <w:t>致：河南省建科建设监理有限公司</w:t>
      </w:r>
    </w:p>
    <w:p>
      <w:pPr>
        <w:pStyle w:val="55"/>
      </w:pPr>
    </w:p>
    <w:p>
      <w:pPr>
        <w:spacing w:line="360" w:lineRule="auto"/>
        <w:ind w:firstLine="424" w:firstLineChars="177"/>
        <w:rPr>
          <w:rFonts w:ascii="宋体" w:hAnsi="宋体" w:cs="Arial"/>
          <w:sz w:val="24"/>
        </w:rPr>
      </w:pPr>
      <w:r>
        <w:rPr>
          <w:rFonts w:ascii="宋体" w:hAnsi="宋体" w:cs="Arial"/>
          <w:sz w:val="24"/>
        </w:rPr>
        <w:t>（</w:t>
      </w:r>
      <w:r>
        <w:rPr>
          <w:rFonts w:hint="eastAsia" w:ascii="宋体" w:hAnsi="宋体" w:cs="Arial"/>
          <w:sz w:val="24"/>
        </w:rPr>
        <w:t>磋商</w:t>
      </w:r>
      <w:r>
        <w:rPr>
          <w:rFonts w:ascii="宋体" w:hAnsi="宋体" w:cs="Arial"/>
          <w:sz w:val="24"/>
        </w:rPr>
        <w:t>供应商名称）郑重声明，我方参加本项目</w:t>
      </w:r>
      <w:r>
        <w:rPr>
          <w:rFonts w:hint="eastAsia" w:ascii="宋体" w:hAnsi="宋体" w:cs="Arial"/>
          <w:sz w:val="24"/>
        </w:rPr>
        <w:t>竞磋</w:t>
      </w:r>
      <w:r>
        <w:rPr>
          <w:rFonts w:ascii="宋体" w:hAnsi="宋体" w:cs="Arial"/>
          <w:sz w:val="24"/>
        </w:rPr>
        <w:t>活动前三年内无重大违法活动记录，符合《中华人民共和国政府采购法》规定的供应商资格条件。我方对此声明负全部法律责任。</w:t>
      </w:r>
    </w:p>
    <w:p>
      <w:pPr>
        <w:spacing w:line="360" w:lineRule="auto"/>
        <w:ind w:firstLine="424" w:firstLineChars="177"/>
        <w:rPr>
          <w:rFonts w:ascii="宋体" w:hAnsi="宋体" w:cs="Arial"/>
          <w:sz w:val="24"/>
        </w:rPr>
      </w:pPr>
    </w:p>
    <w:p>
      <w:pPr>
        <w:spacing w:line="360" w:lineRule="auto"/>
        <w:ind w:firstLine="424" w:firstLineChars="177"/>
        <w:rPr>
          <w:rFonts w:ascii="宋体" w:hAnsi="宋体" w:cs="Arial"/>
          <w:sz w:val="24"/>
        </w:rPr>
      </w:pPr>
    </w:p>
    <w:p>
      <w:pPr>
        <w:spacing w:line="360" w:lineRule="auto"/>
        <w:ind w:firstLine="424" w:firstLineChars="177"/>
        <w:rPr>
          <w:rFonts w:ascii="宋体" w:hAnsi="宋体" w:cs="Arial"/>
          <w:sz w:val="24"/>
        </w:rPr>
      </w:pPr>
      <w:r>
        <w:rPr>
          <w:rFonts w:ascii="宋体" w:hAnsi="宋体" w:cs="Arial"/>
          <w:sz w:val="24"/>
        </w:rPr>
        <w:t>特此声明。</w:t>
      </w:r>
    </w:p>
    <w:p>
      <w:pPr>
        <w:spacing w:line="360" w:lineRule="auto"/>
        <w:ind w:firstLine="424" w:firstLineChars="177"/>
        <w:rPr>
          <w:rFonts w:ascii="宋体" w:hAnsi="宋体" w:cs="Arial"/>
          <w:sz w:val="24"/>
        </w:rPr>
      </w:pPr>
    </w:p>
    <w:p>
      <w:pPr>
        <w:spacing w:line="360" w:lineRule="auto"/>
        <w:rPr>
          <w:rFonts w:ascii="宋体" w:hAnsi="宋体" w:cs="Arial"/>
          <w:sz w:val="24"/>
        </w:rPr>
      </w:pPr>
    </w:p>
    <w:p>
      <w:pPr>
        <w:spacing w:line="360" w:lineRule="auto"/>
        <w:ind w:firstLine="424" w:firstLineChars="177"/>
        <w:rPr>
          <w:rFonts w:ascii="宋体" w:hAnsi="宋体" w:cs="Arial"/>
          <w:color w:val="000000" w:themeColor="text1"/>
          <w:sz w:val="24"/>
          <w14:textFill>
            <w14:solidFill>
              <w14:schemeClr w14:val="tx1"/>
            </w14:solidFill>
          </w14:textFill>
        </w:rPr>
      </w:pPr>
      <w:r>
        <w:rPr>
          <w:rFonts w:hint="eastAsia" w:ascii="宋体" w:hAnsi="宋体"/>
          <w:sz w:val="24"/>
          <w:lang w:val="zh-CN"/>
        </w:rPr>
        <w:t>（提供“信用中国”网站的查询截图，提供“中国政府采购网”网</w:t>
      </w:r>
      <w:r>
        <w:rPr>
          <w:rFonts w:hint="eastAsia" w:ascii="宋体" w:hAnsi="宋体"/>
          <w:color w:val="000000" w:themeColor="text1"/>
          <w:sz w:val="24"/>
          <w:lang w:val="zh-CN"/>
          <w14:textFill>
            <w14:solidFill>
              <w14:schemeClr w14:val="tx1"/>
            </w14:solidFill>
          </w14:textFill>
        </w:rPr>
        <w:t>站的查询截图</w:t>
      </w:r>
      <w:r>
        <w:rPr>
          <w:rFonts w:hint="eastAsia" w:ascii="宋体" w:hAnsi="宋体" w:eastAsia="宋体" w:cs="宋体"/>
          <w:sz w:val="20"/>
          <w:lang w:eastAsia="zh-CN"/>
        </w:rPr>
        <w:t>。</w:t>
      </w:r>
      <w:r>
        <w:rPr>
          <w:rFonts w:ascii="宋体" w:hAnsi="宋体" w:eastAsia="宋体" w:cs="Arial"/>
          <w:sz w:val="24"/>
        </w:rPr>
        <w:t>（时间为磋商截止时间前 10 天内；查询</w:t>
      </w:r>
      <w:r>
        <w:rPr>
          <w:rFonts w:hint="eastAsia" w:ascii="宋体" w:hAnsi="宋体" w:eastAsia="宋体" w:cs="Arial"/>
          <w:sz w:val="24"/>
          <w:lang w:eastAsia="zh-CN"/>
        </w:rPr>
        <w:t>结</w:t>
      </w:r>
      <w:r>
        <w:rPr>
          <w:rFonts w:ascii="宋体" w:hAnsi="宋体" w:eastAsia="宋体" w:cs="Arial"/>
          <w:sz w:val="24"/>
        </w:rPr>
        <w:t>果提供相应截图）</w:t>
      </w:r>
      <w:r>
        <w:rPr>
          <w:rFonts w:hint="eastAsia" w:ascii="宋体" w:hAnsi="宋体" w:eastAsia="宋体" w:cs="Arial"/>
          <w:sz w:val="24"/>
          <w:lang w:val="zh-CN"/>
        </w:rPr>
        <w:t>）</w:t>
      </w:r>
    </w:p>
    <w:p>
      <w:pPr>
        <w:spacing w:line="360" w:lineRule="auto"/>
        <w:ind w:firstLine="424" w:firstLineChars="177"/>
        <w:rPr>
          <w:rFonts w:ascii="宋体" w:hAnsi="宋体" w:cs="Arial"/>
          <w:sz w:val="24"/>
        </w:rPr>
      </w:pPr>
    </w:p>
    <w:p>
      <w:pPr>
        <w:pStyle w:val="9"/>
        <w:numPr>
          <w:ilvl w:val="0"/>
          <w:numId w:val="0"/>
        </w:numPr>
        <w:ind w:left="709" w:hanging="709"/>
        <w:rPr>
          <w:rFonts w:hint="eastAsia" w:hAnsi="宋体"/>
          <w:b/>
          <w:sz w:val="24"/>
          <w:szCs w:val="24"/>
          <w:lang w:val="zh-CN"/>
        </w:rPr>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磋商供应商：             （公章）</w:t>
      </w:r>
    </w:p>
    <w:p>
      <w:pPr>
        <w:pStyle w:val="55"/>
      </w:pPr>
    </w:p>
    <w:p>
      <w:pPr>
        <w:tabs>
          <w:tab w:val="left" w:pos="168"/>
        </w:tabs>
        <w:adjustRightInd w:val="0"/>
        <w:spacing w:line="360" w:lineRule="auto"/>
        <w:jc w:val="right"/>
        <w:textAlignment w:val="baseline"/>
        <w:rPr>
          <w:rFonts w:hint="eastAsia" w:ascii="宋体" w:hAnsi="宋体"/>
          <w:bCs/>
          <w:sz w:val="24"/>
        </w:rPr>
      </w:pPr>
      <w:r>
        <w:rPr>
          <w:rFonts w:hint="eastAsia" w:ascii="宋体" w:hAnsi="宋体"/>
          <w:bCs/>
          <w:sz w:val="24"/>
        </w:rPr>
        <w:t>法定代表人或委托代理人：       （签字）</w:t>
      </w:r>
    </w:p>
    <w:p>
      <w:pPr>
        <w:pStyle w:val="55"/>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spacing w:line="360" w:lineRule="auto"/>
        <w:rPr>
          <w:rFonts w:ascii="宋体" w:hAnsi="宋体"/>
          <w:sz w:val="24"/>
          <w:lang w:val="zh-CN"/>
        </w:rPr>
      </w:pPr>
    </w:p>
    <w:p>
      <w:pPr>
        <w:pStyle w:val="9"/>
        <w:numPr>
          <w:ilvl w:val="0"/>
          <w:numId w:val="0"/>
        </w:numPr>
        <w:ind w:left="709" w:hanging="709"/>
        <w:rPr>
          <w:rFonts w:hAnsi="宋体" w:cs="宋体"/>
          <w:kern w:val="0"/>
          <w:sz w:val="24"/>
          <w:szCs w:val="24"/>
          <w:lang w:val="zh-CN"/>
        </w:rPr>
      </w:pPr>
      <w:r>
        <w:rPr>
          <w:rFonts w:hAnsi="宋体" w:cs="宋体"/>
          <w:kern w:val="0"/>
          <w:sz w:val="24"/>
          <w:szCs w:val="24"/>
          <w:lang w:val="zh-CN"/>
        </w:rPr>
        <w:br w:type="page"/>
      </w:r>
      <w:bookmarkStart w:id="128" w:name="_Toc428180589"/>
      <w:bookmarkStart w:id="129" w:name="_Toc21450"/>
      <w:bookmarkStart w:id="130" w:name="_Toc444715741"/>
    </w:p>
    <w:p>
      <w:pPr>
        <w:pStyle w:val="9"/>
        <w:numPr>
          <w:ilvl w:val="0"/>
          <w:numId w:val="0"/>
        </w:numPr>
        <w:ind w:left="709" w:hanging="709"/>
        <w:rPr>
          <w:rFonts w:hAnsi="宋体" w:cs="宋体"/>
          <w:kern w:val="0"/>
          <w:sz w:val="24"/>
          <w:szCs w:val="24"/>
          <w:lang w:val="zh-CN"/>
        </w:rPr>
      </w:pPr>
    </w:p>
    <w:p>
      <w:pPr>
        <w:pStyle w:val="9"/>
        <w:numPr>
          <w:ilvl w:val="0"/>
          <w:numId w:val="0"/>
        </w:numPr>
        <w:ind w:left="709" w:hanging="709"/>
        <w:rPr>
          <w:rFonts w:hAnsi="宋体" w:cs="宋体"/>
          <w:sz w:val="24"/>
          <w:szCs w:val="24"/>
          <w:lang w:val="zh-CN"/>
        </w:rPr>
      </w:pPr>
      <w:bookmarkStart w:id="131" w:name="_Toc9181"/>
      <w:r>
        <w:rPr>
          <w:rFonts w:hint="eastAsia" w:hAnsi="宋体"/>
          <w:b/>
          <w:sz w:val="24"/>
          <w:szCs w:val="24"/>
          <w:lang w:val="zh-CN"/>
        </w:rPr>
        <w:t>格式10、</w:t>
      </w:r>
      <w:bookmarkEnd w:id="128"/>
      <w:bookmarkEnd w:id="129"/>
      <w:bookmarkEnd w:id="130"/>
      <w:r>
        <w:rPr>
          <w:rFonts w:hint="eastAsia" w:hAnsi="宋体"/>
          <w:b/>
          <w:sz w:val="24"/>
          <w:szCs w:val="24"/>
          <w:lang w:val="zh-CN"/>
        </w:rPr>
        <w:t>磋商保证金证明</w:t>
      </w:r>
      <w:bookmarkEnd w:id="131"/>
    </w:p>
    <w:p>
      <w:pPr>
        <w:spacing w:line="360" w:lineRule="auto"/>
        <w:rPr>
          <w:rFonts w:ascii="宋体" w:hAnsi="宋体" w:cs="宋体"/>
          <w:sz w:val="24"/>
          <w:lang w:val="zh-CN"/>
        </w:rPr>
      </w:pPr>
    </w:p>
    <w:p>
      <w:pPr>
        <w:pStyle w:val="55"/>
        <w:rPr>
          <w:lang w:val="zh-CN"/>
        </w:rPr>
      </w:pPr>
    </w:p>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磋商保证金证明</w:t>
      </w:r>
    </w:p>
    <w:p>
      <w:pPr>
        <w:autoSpaceDE w:val="0"/>
        <w:autoSpaceDN w:val="0"/>
        <w:adjustRightInd w:val="0"/>
        <w:spacing w:line="360" w:lineRule="auto"/>
        <w:rPr>
          <w:rFonts w:ascii="宋体" w:hAnsi="宋体" w:cs="宋体"/>
          <w:b/>
          <w:bCs/>
          <w:kern w:val="0"/>
          <w:sz w:val="24"/>
          <w:lang w:val="zh-CN"/>
        </w:rPr>
      </w:pPr>
      <w:bookmarkStart w:id="132" w:name="_Toc325726048"/>
      <w:bookmarkEnd w:id="132"/>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致：河南省建科建设监理有限公司</w:t>
      </w:r>
    </w:p>
    <w:p>
      <w:pPr>
        <w:autoSpaceDE w:val="0"/>
        <w:autoSpaceDN w:val="0"/>
        <w:adjustRightInd w:val="0"/>
        <w:spacing w:line="360" w:lineRule="auto"/>
        <w:rPr>
          <w:rFonts w:ascii="宋体" w:hAnsi="宋体" w:cs="宋体"/>
          <w:b/>
          <w:bCs/>
          <w:kern w:val="0"/>
          <w:sz w:val="24"/>
          <w:lang w:val="zh-CN"/>
        </w:rPr>
      </w:pPr>
    </w:p>
    <w:p>
      <w:pPr>
        <w:autoSpaceDE w:val="0"/>
        <w:autoSpaceDN w:val="0"/>
        <w:adjustRightInd w:val="0"/>
        <w:spacing w:line="360" w:lineRule="auto"/>
        <w:ind w:firstLine="360"/>
        <w:rPr>
          <w:rFonts w:ascii="宋体" w:hAnsi="宋体" w:cs="宋体"/>
          <w:kern w:val="0"/>
          <w:sz w:val="24"/>
          <w:lang w:val="zh-CN"/>
        </w:rPr>
      </w:pPr>
      <w:r>
        <w:rPr>
          <w:rFonts w:hint="eastAsia" w:ascii="宋体" w:hAnsi="宋体" w:cs="宋体"/>
          <w:kern w:val="0"/>
          <w:sz w:val="24"/>
          <w:lang w:val="zh-CN"/>
        </w:rPr>
        <w:t>我方为（项目名称：            ）项目（采购编号为：           ）递交保证金人民币（大写：人民币          元）已于  年  月   日以基本户转账方式汇入你方账户。</w:t>
      </w:r>
    </w:p>
    <w:p>
      <w:pPr>
        <w:autoSpaceDE w:val="0"/>
        <w:autoSpaceDN w:val="0"/>
        <w:adjustRightInd w:val="0"/>
        <w:spacing w:line="360" w:lineRule="auto"/>
        <w:ind w:firstLine="360"/>
        <w:rPr>
          <w:rFonts w:ascii="宋体" w:hAnsi="宋体" w:cs="宋体"/>
          <w:bCs/>
          <w:kern w:val="0"/>
          <w:sz w:val="24"/>
          <w:lang w:val="zh-CN"/>
        </w:rPr>
      </w:pPr>
      <w:r>
        <w:rPr>
          <w:rFonts w:hint="eastAsia" w:ascii="宋体" w:hAnsi="宋体" w:cs="宋体"/>
          <w:bCs/>
          <w:kern w:val="0"/>
          <w:sz w:val="24"/>
          <w:lang w:val="zh-CN"/>
        </w:rPr>
        <w:t>附件：保证金交款证明及开户许可证复印件（加盖磋商供应商公章）</w:t>
      </w:r>
    </w:p>
    <w:p>
      <w:pPr>
        <w:autoSpaceDE w:val="0"/>
        <w:autoSpaceDN w:val="0"/>
        <w:adjustRightInd w:val="0"/>
        <w:spacing w:line="360" w:lineRule="auto"/>
        <w:ind w:firstLine="360"/>
        <w:rPr>
          <w:rFonts w:ascii="宋体" w:hAnsi="宋体" w:cs="宋体"/>
          <w:kern w:val="0"/>
          <w:sz w:val="24"/>
          <w:lang w:val="zh-CN"/>
        </w:rPr>
      </w:pPr>
      <w:r>
        <w:rPr>
          <w:rFonts w:hint="eastAsia" w:ascii="宋体" w:hAnsi="宋体" w:cs="宋体"/>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360" w:lineRule="auto"/>
        <w:ind w:firstLine="360"/>
        <w:rPr>
          <w:rFonts w:ascii="宋体" w:hAnsi="宋体" w:cs="宋体"/>
          <w:kern w:val="0"/>
          <w:sz w:val="24"/>
          <w:lang w:val="zh-CN"/>
        </w:rPr>
      </w:pPr>
      <w:r>
        <w:rPr>
          <w:rFonts w:hint="eastAsia" w:ascii="宋体" w:hAnsi="宋体" w:cs="宋体"/>
          <w:kern w:val="0"/>
          <w:sz w:val="24"/>
          <w:lang w:val="zh-CN"/>
        </w:rPr>
        <w:t>户    名：</w:t>
      </w:r>
    </w:p>
    <w:p>
      <w:pPr>
        <w:autoSpaceDE w:val="0"/>
        <w:autoSpaceDN w:val="0"/>
        <w:adjustRightInd w:val="0"/>
        <w:spacing w:line="360" w:lineRule="auto"/>
        <w:ind w:firstLine="360"/>
        <w:rPr>
          <w:rFonts w:ascii="宋体" w:hAnsi="宋体" w:cs="宋体"/>
          <w:kern w:val="0"/>
          <w:sz w:val="24"/>
          <w:lang w:val="zh-CN"/>
        </w:rPr>
      </w:pPr>
      <w:r>
        <w:rPr>
          <w:rFonts w:hint="eastAsia" w:ascii="宋体" w:hAnsi="宋体" w:cs="宋体"/>
          <w:kern w:val="0"/>
          <w:sz w:val="24"/>
          <w:lang w:val="zh-CN"/>
        </w:rPr>
        <w:t>开户银行：</w:t>
      </w:r>
    </w:p>
    <w:p>
      <w:pPr>
        <w:autoSpaceDE w:val="0"/>
        <w:autoSpaceDN w:val="0"/>
        <w:adjustRightInd w:val="0"/>
        <w:spacing w:line="360" w:lineRule="auto"/>
        <w:ind w:firstLine="360"/>
        <w:rPr>
          <w:rFonts w:ascii="宋体" w:hAnsi="宋体" w:cs="宋体"/>
          <w:kern w:val="0"/>
          <w:sz w:val="24"/>
          <w:lang w:val="zh-CN"/>
        </w:rPr>
      </w:pPr>
      <w:r>
        <w:rPr>
          <w:rFonts w:hint="eastAsia" w:ascii="宋体" w:hAnsi="宋体" w:cs="宋体"/>
          <w:kern w:val="0"/>
          <w:sz w:val="24"/>
          <w:lang w:val="zh-CN"/>
        </w:rPr>
        <w:t>开户帐号：</w:t>
      </w:r>
    </w:p>
    <w:p>
      <w:pPr>
        <w:autoSpaceDE w:val="0"/>
        <w:autoSpaceDN w:val="0"/>
        <w:adjustRightInd w:val="0"/>
        <w:spacing w:line="360" w:lineRule="auto"/>
        <w:rPr>
          <w:rFonts w:ascii="宋体" w:hAnsi="宋体" w:cs="宋体"/>
          <w:kern w:val="0"/>
          <w:sz w:val="24"/>
          <w:lang w:val="zh-CN"/>
        </w:rPr>
      </w:pPr>
    </w:p>
    <w:p>
      <w:pPr>
        <w:spacing w:line="360" w:lineRule="auto"/>
        <w:rPr>
          <w:rFonts w:ascii="宋体" w:hAnsi="宋体" w:cs="Arial"/>
          <w:sz w:val="24"/>
        </w:rPr>
      </w:pPr>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lang w:eastAsia="zh-CN"/>
        </w:rPr>
        <w:t>磋商供应商</w:t>
      </w:r>
      <w:r>
        <w:rPr>
          <w:rFonts w:hint="eastAsia" w:ascii="宋体" w:hAnsi="宋体"/>
          <w:bCs/>
          <w:sz w:val="24"/>
        </w:rPr>
        <w:t>：             （公章）</w:t>
      </w:r>
    </w:p>
    <w:p>
      <w:pPr>
        <w:pStyle w:val="55"/>
        <w:wordWrap/>
      </w:pPr>
    </w:p>
    <w:p>
      <w:pPr>
        <w:tabs>
          <w:tab w:val="left" w:pos="168"/>
        </w:tabs>
        <w:wordWrap w:val="0"/>
        <w:adjustRightInd w:val="0"/>
        <w:spacing w:line="360" w:lineRule="auto"/>
        <w:jc w:val="right"/>
        <w:textAlignment w:val="baseline"/>
        <w:rPr>
          <w:rFonts w:hint="eastAsia" w:ascii="宋体" w:hAnsi="宋体"/>
          <w:bCs/>
          <w:sz w:val="24"/>
        </w:rPr>
      </w:pPr>
      <w:r>
        <w:rPr>
          <w:rFonts w:hint="eastAsia" w:ascii="宋体" w:hAnsi="宋体"/>
          <w:bCs/>
          <w:sz w:val="24"/>
        </w:rPr>
        <w:t>委托代理人：                    （签字）</w:t>
      </w:r>
    </w:p>
    <w:p>
      <w:pPr>
        <w:pStyle w:val="55"/>
        <w:wordWrap/>
      </w:pPr>
    </w:p>
    <w:p>
      <w:pPr>
        <w:spacing w:line="360" w:lineRule="auto"/>
        <w:ind w:firstLine="424" w:firstLineChars="177"/>
        <w:rPr>
          <w:rFonts w:ascii="宋体" w:hAnsi="宋体" w:cs="Arial"/>
          <w:sz w:val="24"/>
        </w:rPr>
      </w:pPr>
      <w:r>
        <w:rPr>
          <w:rFonts w:hint="eastAsia" w:ascii="宋体" w:hAnsi="宋体"/>
          <w:bCs/>
          <w:sz w:val="24"/>
        </w:rPr>
        <w:t xml:space="preserve">                                      日期：                  年   月   日</w:t>
      </w:r>
    </w:p>
    <w:p>
      <w:pPr>
        <w:spacing w:line="360" w:lineRule="auto"/>
        <w:rPr>
          <w:rFonts w:ascii="宋体" w:hAnsi="宋体"/>
          <w:b/>
          <w:sz w:val="24"/>
          <w:lang w:val="zh-CN"/>
        </w:rPr>
      </w:pPr>
      <w:r>
        <w:rPr>
          <w:rFonts w:ascii="宋体" w:hAnsi="宋体" w:cs="宋体"/>
          <w:kern w:val="0"/>
          <w:sz w:val="24"/>
          <w:lang w:val="zh-CN"/>
        </w:rPr>
        <w:br w:type="page"/>
      </w:r>
    </w:p>
    <w:p>
      <w:pPr>
        <w:pStyle w:val="9"/>
        <w:numPr>
          <w:ilvl w:val="0"/>
          <w:numId w:val="0"/>
        </w:numPr>
        <w:ind w:left="709" w:hanging="709"/>
        <w:rPr>
          <w:rFonts w:hint="eastAsia" w:hAnsi="宋体"/>
          <w:b/>
          <w:sz w:val="24"/>
          <w:szCs w:val="24"/>
          <w:lang w:val="zh-CN"/>
        </w:rPr>
      </w:pPr>
    </w:p>
    <w:p>
      <w:pPr>
        <w:pStyle w:val="9"/>
        <w:numPr>
          <w:ilvl w:val="0"/>
          <w:numId w:val="0"/>
        </w:numPr>
        <w:ind w:left="709" w:hanging="709"/>
        <w:rPr>
          <w:rFonts w:hint="eastAsia" w:hAnsi="宋体"/>
          <w:b/>
          <w:sz w:val="24"/>
          <w:szCs w:val="24"/>
        </w:rPr>
      </w:pPr>
      <w:bookmarkStart w:id="133" w:name="_Toc28934"/>
      <w:r>
        <w:rPr>
          <w:rFonts w:hint="eastAsia" w:hAnsi="宋体"/>
          <w:b/>
          <w:sz w:val="24"/>
          <w:szCs w:val="24"/>
          <w:lang w:val="zh-CN"/>
        </w:rPr>
        <w:t>格式11、</w:t>
      </w:r>
      <w:bookmarkStart w:id="134" w:name="_Toc487036155"/>
      <w:r>
        <w:rPr>
          <w:rFonts w:hint="eastAsia" w:hAnsi="宋体"/>
          <w:b/>
          <w:sz w:val="24"/>
          <w:szCs w:val="24"/>
        </w:rPr>
        <w:t>竞争性磋商首次报价表</w:t>
      </w:r>
      <w:bookmarkEnd w:id="133"/>
      <w:bookmarkEnd w:id="134"/>
    </w:p>
    <w:p>
      <w:pPr>
        <w:rPr>
          <w:lang w:val="zh-CN"/>
        </w:rPr>
      </w:pPr>
    </w:p>
    <w:p>
      <w:pPr>
        <w:autoSpaceDE w:val="0"/>
        <w:autoSpaceDN w:val="0"/>
        <w:adjustRightInd w:val="0"/>
        <w:spacing w:line="360" w:lineRule="auto"/>
        <w:jc w:val="center"/>
        <w:rPr>
          <w:rFonts w:hint="eastAsia" w:ascii="宋体" w:hAnsi="宋体"/>
          <w:b/>
          <w:sz w:val="24"/>
        </w:rPr>
      </w:pPr>
      <w:r>
        <w:rPr>
          <w:rFonts w:hint="eastAsia" w:ascii="宋体" w:hAnsi="宋体"/>
          <w:b/>
          <w:sz w:val="24"/>
        </w:rPr>
        <w:t>竞争性磋商首次报价表</w:t>
      </w:r>
    </w:p>
    <w:p>
      <w:pPr>
        <w:pStyle w:val="55"/>
      </w:pP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 xml:space="preserve">采购项目名称:  </w:t>
      </w: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采购项目编号：</w:t>
      </w:r>
    </w:p>
    <w:p>
      <w:pPr>
        <w:autoSpaceDE w:val="0"/>
        <w:autoSpaceDN w:val="0"/>
        <w:spacing w:line="360" w:lineRule="auto"/>
        <w:rPr>
          <w:rFonts w:ascii="宋体" w:hAnsi="宋体" w:cs="宋体"/>
          <w:b/>
          <w:bCs/>
          <w:sz w:val="24"/>
          <w:lang w:val="zh-CN"/>
        </w:rPr>
      </w:pPr>
      <w:r>
        <w:rPr>
          <w:rFonts w:hint="eastAsia" w:ascii="宋体" w:hAnsi="宋体" w:cs="宋体"/>
          <w:b/>
          <w:bCs/>
          <w:sz w:val="24"/>
          <w:lang w:val="zh-CN"/>
        </w:rPr>
        <w:t>磋商供应商名称：</w:t>
      </w:r>
    </w:p>
    <w:p>
      <w:pPr>
        <w:autoSpaceDE w:val="0"/>
        <w:autoSpaceDN w:val="0"/>
        <w:spacing w:line="360" w:lineRule="auto"/>
        <w:jc w:val="right"/>
        <w:rPr>
          <w:rFonts w:ascii="宋体" w:hAnsi="宋体" w:cs="宋体"/>
          <w:b/>
          <w:bCs/>
          <w:kern w:val="0"/>
          <w:sz w:val="24"/>
          <w:lang w:val="zh-CN"/>
        </w:rPr>
      </w:pPr>
    </w:p>
    <w:p>
      <w:pPr>
        <w:autoSpaceDE w:val="0"/>
        <w:autoSpaceDN w:val="0"/>
        <w:spacing w:line="360" w:lineRule="auto"/>
        <w:jc w:val="right"/>
        <w:rPr>
          <w:rFonts w:ascii="宋体" w:hAnsi="宋体" w:cs="宋体"/>
          <w:bCs/>
          <w:kern w:val="0"/>
          <w:sz w:val="24"/>
          <w:lang w:val="zh-CN"/>
        </w:rPr>
      </w:pPr>
      <w:r>
        <w:rPr>
          <w:rFonts w:hint="eastAsia" w:ascii="宋体" w:hAnsi="宋体" w:cs="宋体"/>
          <w:bCs/>
          <w:kern w:val="0"/>
          <w:sz w:val="24"/>
          <w:lang w:val="zh-CN"/>
        </w:rPr>
        <w:t>单位：人民币（元）</w:t>
      </w:r>
    </w:p>
    <w:tbl>
      <w:tblPr>
        <w:tblStyle w:val="35"/>
        <w:tblW w:w="9968" w:type="dxa"/>
        <w:jc w:val="center"/>
        <w:tblLayout w:type="fixed"/>
        <w:tblCellMar>
          <w:top w:w="0" w:type="dxa"/>
          <w:left w:w="108" w:type="dxa"/>
          <w:bottom w:w="0" w:type="dxa"/>
          <w:right w:w="108" w:type="dxa"/>
        </w:tblCellMar>
      </w:tblPr>
      <w:tblGrid>
        <w:gridCol w:w="3516"/>
        <w:gridCol w:w="2829"/>
        <w:gridCol w:w="2016"/>
        <w:gridCol w:w="1607"/>
      </w:tblGrid>
      <w:tr>
        <w:tblPrEx>
          <w:tblCellMar>
            <w:top w:w="0" w:type="dxa"/>
            <w:left w:w="108" w:type="dxa"/>
            <w:bottom w:w="0" w:type="dxa"/>
            <w:right w:w="108" w:type="dxa"/>
          </w:tblCellMar>
        </w:tblPrEx>
        <w:trPr>
          <w:trHeight w:val="699" w:hRule="atLeast"/>
          <w:jc w:val="center"/>
        </w:trPr>
        <w:tc>
          <w:tcPr>
            <w:tcW w:w="351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r>
              <w:rPr>
                <w:rFonts w:ascii="宋体" w:hAnsi="宋体" w:cs="Arial"/>
                <w:bCs/>
                <w:sz w:val="24"/>
                <w:lang w:val="zh-CN"/>
              </w:rPr>
              <w:t>项目名称</w:t>
            </w:r>
          </w:p>
        </w:tc>
        <w:tc>
          <w:tcPr>
            <w:tcW w:w="28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firstLine="482"/>
              <w:rPr>
                <w:rFonts w:ascii="宋体" w:hAnsi="宋体" w:cs="Arial"/>
                <w:sz w:val="24"/>
                <w:lang w:val="zh-CN"/>
              </w:rPr>
            </w:pPr>
            <w:r>
              <w:rPr>
                <w:rFonts w:hint="eastAsia" w:ascii="宋体" w:hAnsi="宋体" w:cs="Arial"/>
                <w:bCs/>
                <w:sz w:val="24"/>
                <w:lang w:val="zh-CN"/>
              </w:rPr>
              <w:t>磋商首次</w:t>
            </w:r>
            <w:r>
              <w:rPr>
                <w:rFonts w:ascii="宋体" w:hAnsi="宋体" w:cs="Arial"/>
                <w:bCs/>
                <w:sz w:val="24"/>
                <w:lang w:val="zh-CN"/>
              </w:rPr>
              <w:t>报价</w:t>
            </w:r>
          </w:p>
        </w:tc>
        <w:tc>
          <w:tcPr>
            <w:tcW w:w="2016"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jc w:val="center"/>
              <w:rPr>
                <w:rFonts w:ascii="宋体" w:hAnsi="宋体" w:cs="Arial"/>
                <w:bCs/>
                <w:sz w:val="24"/>
                <w:lang w:val="zh-CN"/>
              </w:rPr>
            </w:pPr>
            <w:r>
              <w:rPr>
                <w:rFonts w:ascii="宋体" w:hAnsi="宋体" w:cs="Arial"/>
                <w:bCs/>
                <w:sz w:val="24"/>
                <w:lang w:val="zh-CN"/>
              </w:rPr>
              <w:t>交货期</w:t>
            </w:r>
          </w:p>
        </w:tc>
        <w:tc>
          <w:tcPr>
            <w:tcW w:w="16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r>
              <w:rPr>
                <w:rFonts w:ascii="宋体" w:hAnsi="宋体" w:cs="Arial"/>
                <w:bCs/>
                <w:sz w:val="24"/>
                <w:lang w:val="zh-CN"/>
              </w:rPr>
              <w:t>备注</w:t>
            </w:r>
          </w:p>
        </w:tc>
      </w:tr>
      <w:tr>
        <w:tblPrEx>
          <w:tblCellMar>
            <w:top w:w="0" w:type="dxa"/>
            <w:left w:w="108" w:type="dxa"/>
            <w:bottom w:w="0" w:type="dxa"/>
            <w:right w:w="108" w:type="dxa"/>
          </w:tblCellMar>
        </w:tblPrEx>
        <w:trPr>
          <w:trHeight w:val="993" w:hRule="atLeast"/>
          <w:jc w:val="center"/>
        </w:trPr>
        <w:tc>
          <w:tcPr>
            <w:tcW w:w="3516"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28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Arial"/>
                <w:sz w:val="24"/>
                <w:lang w:val="zh-CN"/>
              </w:rPr>
            </w:pPr>
            <w:r>
              <w:rPr>
                <w:rFonts w:ascii="宋体" w:hAnsi="宋体" w:cs="Arial"/>
                <w:bCs/>
                <w:sz w:val="24"/>
                <w:lang w:val="zh-CN"/>
              </w:rPr>
              <w:t>大写：</w:t>
            </w:r>
          </w:p>
        </w:tc>
        <w:tc>
          <w:tcPr>
            <w:tcW w:w="2016" w:type="dxa"/>
            <w:vMerge w:val="restart"/>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ind w:firstLine="197"/>
              <w:jc w:val="center"/>
              <w:rPr>
                <w:rFonts w:ascii="宋体" w:hAnsi="宋体" w:cs="Arial"/>
                <w:sz w:val="24"/>
                <w:lang w:val="zh-CN"/>
              </w:rPr>
            </w:pPr>
          </w:p>
        </w:tc>
        <w:tc>
          <w:tcPr>
            <w:tcW w:w="1607"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r>
      <w:tr>
        <w:tblPrEx>
          <w:tblCellMar>
            <w:top w:w="0" w:type="dxa"/>
            <w:left w:w="108" w:type="dxa"/>
            <w:bottom w:w="0" w:type="dxa"/>
            <w:right w:w="108" w:type="dxa"/>
          </w:tblCellMar>
        </w:tblPrEx>
        <w:trPr>
          <w:trHeight w:val="845" w:hRule="atLeast"/>
          <w:jc w:val="center"/>
        </w:trPr>
        <w:tc>
          <w:tcPr>
            <w:tcW w:w="3516"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28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Arial"/>
                <w:sz w:val="24"/>
                <w:lang w:val="zh-CN"/>
              </w:rPr>
            </w:pPr>
            <w:r>
              <w:rPr>
                <w:rFonts w:ascii="宋体" w:hAnsi="宋体" w:cs="Arial"/>
                <w:bCs/>
                <w:sz w:val="24"/>
                <w:lang w:val="zh-CN"/>
              </w:rPr>
              <w:t>小写：</w:t>
            </w:r>
          </w:p>
        </w:tc>
        <w:tc>
          <w:tcPr>
            <w:tcW w:w="2016" w:type="dxa"/>
            <w:vMerge w:val="continue"/>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1607"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r>
    </w:tbl>
    <w:p>
      <w:pPr>
        <w:autoSpaceDE w:val="0"/>
        <w:autoSpaceDN w:val="0"/>
        <w:spacing w:line="360" w:lineRule="auto"/>
        <w:rPr>
          <w:rFonts w:ascii="宋体" w:hAnsi="宋体" w:cs="Arial"/>
          <w:b/>
          <w:bCs/>
          <w:sz w:val="24"/>
          <w:lang w:val="zh-CN"/>
        </w:rPr>
      </w:pPr>
    </w:p>
    <w:p>
      <w:pPr>
        <w:autoSpaceDE w:val="0"/>
        <w:autoSpaceDN w:val="0"/>
        <w:spacing w:line="360" w:lineRule="auto"/>
        <w:rPr>
          <w:rFonts w:ascii="宋体" w:hAnsi="宋体" w:cs="Arial"/>
          <w:b/>
          <w:sz w:val="24"/>
          <w:lang w:val="zh-CN"/>
        </w:rPr>
      </w:pPr>
      <w:r>
        <w:rPr>
          <w:rFonts w:ascii="宋体" w:hAnsi="宋体" w:cs="Arial"/>
          <w:b/>
          <w:bCs/>
          <w:sz w:val="24"/>
          <w:lang w:val="zh-CN"/>
        </w:rPr>
        <w:t>注：</w:t>
      </w:r>
      <w:r>
        <w:rPr>
          <w:rFonts w:hint="eastAsia" w:ascii="宋体" w:hAnsi="宋体" w:cs="Arial"/>
          <w:b/>
          <w:bCs/>
          <w:sz w:val="24"/>
          <w:lang w:val="en-US" w:eastAsia="zh-CN"/>
        </w:rPr>
        <w:t xml:space="preserve"> </w:t>
      </w:r>
      <w:r>
        <w:rPr>
          <w:rFonts w:ascii="宋体" w:hAnsi="宋体" w:cs="Arial"/>
          <w:b/>
          <w:sz w:val="24"/>
          <w:lang w:val="zh-CN"/>
        </w:rPr>
        <w:t>1</w:t>
      </w:r>
      <w:r>
        <w:rPr>
          <w:rFonts w:hint="eastAsia" w:ascii="宋体" w:hAnsi="宋体" w:cs="Arial"/>
          <w:b/>
          <w:sz w:val="24"/>
          <w:lang w:val="zh-CN"/>
        </w:rPr>
        <w:t>、</w:t>
      </w:r>
      <w:r>
        <w:rPr>
          <w:rFonts w:ascii="宋体" w:hAnsi="宋体" w:cs="Arial"/>
          <w:b/>
          <w:sz w:val="24"/>
          <w:lang w:val="zh-CN"/>
        </w:rPr>
        <w:t>填写此表时不得改变表格形式（可按所投包增加行）。</w:t>
      </w:r>
    </w:p>
    <w:p>
      <w:pPr>
        <w:numPr>
          <w:ilvl w:val="0"/>
          <w:numId w:val="0"/>
        </w:numPr>
        <w:spacing w:line="360" w:lineRule="auto"/>
        <w:ind w:leftChars="175" w:firstLine="241" w:firstLineChars="100"/>
        <w:rPr>
          <w:rFonts w:hint="eastAsia" w:ascii="宋体" w:hAnsi="宋体" w:cs="Arial"/>
          <w:b/>
          <w:sz w:val="24"/>
          <w:lang w:val="zh-CN" w:eastAsia="zh-CN"/>
        </w:rPr>
      </w:pPr>
      <w:r>
        <w:rPr>
          <w:rFonts w:hint="eastAsia" w:ascii="宋体" w:hAnsi="宋体" w:cs="Arial"/>
          <w:b/>
          <w:sz w:val="24"/>
          <w:lang w:val="en-US" w:eastAsia="zh-CN"/>
        </w:rPr>
        <w:t>2、</w:t>
      </w:r>
      <w:r>
        <w:rPr>
          <w:rFonts w:hint="eastAsia" w:ascii="宋体" w:hAnsi="宋体" w:cs="Arial"/>
          <w:b/>
          <w:sz w:val="24"/>
          <w:lang w:val="zh-CN"/>
        </w:rPr>
        <w:t>“</w:t>
      </w:r>
      <w:r>
        <w:rPr>
          <w:rFonts w:ascii="宋体" w:hAnsi="宋体" w:cs="Arial"/>
          <w:b/>
          <w:sz w:val="24"/>
          <w:lang w:val="zh-CN"/>
        </w:rPr>
        <w:t>磋商报价</w:t>
      </w:r>
      <w:r>
        <w:rPr>
          <w:rFonts w:hint="eastAsia" w:ascii="宋体" w:hAnsi="宋体" w:cs="Arial"/>
          <w:b/>
          <w:sz w:val="24"/>
          <w:lang w:val="zh-CN"/>
        </w:rPr>
        <w:t>”</w:t>
      </w:r>
      <w:r>
        <w:rPr>
          <w:rFonts w:ascii="宋体" w:hAnsi="宋体" w:cs="Arial"/>
          <w:b/>
          <w:sz w:val="24"/>
          <w:lang w:val="zh-CN"/>
        </w:rPr>
        <w:t>为磋商总价。</w:t>
      </w:r>
      <w:r>
        <w:rPr>
          <w:rFonts w:hint="eastAsia" w:ascii="宋体" w:hAnsi="宋体" w:cs="Arial"/>
          <w:b/>
          <w:sz w:val="24"/>
          <w:lang w:val="zh-CN"/>
        </w:rPr>
        <w:t>磋商报价必须包括：</w:t>
      </w:r>
      <w:r>
        <w:rPr>
          <w:rFonts w:hint="eastAsia" w:ascii="宋体" w:hAnsi="宋体" w:cs="Arial"/>
          <w:b/>
          <w:sz w:val="24"/>
          <w:lang w:val="zh-CN" w:eastAsia="zh-CN"/>
        </w:rPr>
        <w:t>产品费、验收费、手续费、包装费、运输费、保险费、安装费、调试费、培训费、售前、售中、售后服务费、成交服务费及不可预见费等全部费用。</w:t>
      </w:r>
    </w:p>
    <w:p>
      <w:pPr>
        <w:numPr>
          <w:ilvl w:val="0"/>
          <w:numId w:val="0"/>
        </w:numPr>
        <w:spacing w:line="360" w:lineRule="auto"/>
        <w:ind w:leftChars="175" w:firstLine="241" w:firstLineChars="100"/>
        <w:rPr>
          <w:rFonts w:ascii="宋体" w:hAnsi="宋体" w:cs="宋体"/>
          <w:b/>
          <w:bCs/>
          <w:kern w:val="0"/>
          <w:sz w:val="24"/>
          <w:lang w:val="zh-CN"/>
        </w:rPr>
      </w:pPr>
      <w:r>
        <w:rPr>
          <w:rFonts w:hint="eastAsia" w:ascii="宋体" w:hAnsi="宋体" w:cs="Arial"/>
          <w:b/>
          <w:sz w:val="24"/>
          <w:lang w:val="zh-CN"/>
        </w:rPr>
        <w:t>3、“</w:t>
      </w:r>
      <w:r>
        <w:rPr>
          <w:rFonts w:ascii="宋体" w:hAnsi="宋体" w:cs="Arial"/>
          <w:b/>
          <w:sz w:val="24"/>
          <w:lang w:val="zh-CN"/>
        </w:rPr>
        <w:t>交货</w:t>
      </w:r>
      <w:r>
        <w:rPr>
          <w:rFonts w:hint="eastAsia" w:ascii="宋体" w:hAnsi="宋体" w:cs="Arial"/>
          <w:b/>
          <w:sz w:val="24"/>
          <w:lang w:val="zh-CN"/>
        </w:rPr>
        <w:t>期”是指产品能够交付使用的具体时间。</w:t>
      </w:r>
    </w:p>
    <w:p>
      <w:pPr>
        <w:spacing w:line="360" w:lineRule="auto"/>
        <w:ind w:firstLine="704" w:firstLineChars="292"/>
        <w:rPr>
          <w:rFonts w:ascii="宋体" w:hAnsi="宋体" w:cs="Arial"/>
          <w:b/>
          <w:sz w:val="24"/>
          <w:lang w:val="zh-CN"/>
        </w:rPr>
      </w:pPr>
      <w:r>
        <w:rPr>
          <w:rFonts w:ascii="宋体" w:hAnsi="宋体" w:cs="Arial"/>
          <w:b/>
          <w:sz w:val="24"/>
          <w:lang w:val="zh-CN"/>
        </w:rPr>
        <w:t>4</w:t>
      </w:r>
      <w:r>
        <w:rPr>
          <w:rFonts w:hint="eastAsia" w:ascii="宋体" w:hAnsi="宋体" w:cs="Arial"/>
          <w:b/>
          <w:sz w:val="24"/>
          <w:lang w:val="zh-CN"/>
        </w:rPr>
        <w:t>、</w:t>
      </w:r>
      <w:r>
        <w:rPr>
          <w:rFonts w:ascii="宋体" w:hAnsi="宋体" w:cs="Arial"/>
          <w:b/>
          <w:sz w:val="24"/>
          <w:lang w:val="zh-CN"/>
        </w:rPr>
        <w:t>磋商报价不能有两个或两个以上的报价方案。</w:t>
      </w:r>
    </w:p>
    <w:p>
      <w:pPr>
        <w:pStyle w:val="55"/>
        <w:rPr>
          <w:lang w:val="zh-CN"/>
        </w:rPr>
      </w:pPr>
    </w:p>
    <w:p>
      <w:pPr>
        <w:spacing w:line="360" w:lineRule="auto"/>
        <w:ind w:firstLine="465" w:firstLineChars="193"/>
        <w:rPr>
          <w:rFonts w:ascii="宋体" w:hAnsi="宋体" w:cs="宋体"/>
          <w:b/>
          <w:bCs/>
          <w:kern w:val="0"/>
          <w:sz w:val="24"/>
          <w:lang w:val="zh-CN"/>
        </w:rPr>
      </w:pPr>
    </w:p>
    <w:p>
      <w:pPr>
        <w:spacing w:line="360" w:lineRule="auto"/>
        <w:rPr>
          <w:rFonts w:ascii="宋体" w:hAnsi="宋体" w:cs="宋体"/>
          <w:b/>
          <w:bCs/>
          <w:kern w:val="0"/>
          <w:sz w:val="24"/>
          <w:lang w:val="zh-CN"/>
        </w:rPr>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磋商供应商：             （公章）</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Ansi="宋体"/>
          <w:sz w:val="24"/>
          <w:szCs w:val="24"/>
          <w:lang w:val="zh-CN"/>
        </w:rPr>
      </w:pPr>
      <w:bookmarkStart w:id="135" w:name="_Toc31770"/>
      <w:r>
        <w:rPr>
          <w:rFonts w:hint="eastAsia" w:hAnsi="宋体"/>
          <w:b/>
          <w:sz w:val="24"/>
          <w:szCs w:val="24"/>
          <w:lang w:val="zh-CN"/>
        </w:rPr>
        <w:t>格式1</w:t>
      </w:r>
      <w:r>
        <w:rPr>
          <w:rFonts w:hint="eastAsia" w:hAnsi="宋体"/>
          <w:b/>
          <w:sz w:val="24"/>
          <w:szCs w:val="24"/>
          <w:lang w:val="en-US" w:eastAsia="zh-CN"/>
        </w:rPr>
        <w:t>2</w:t>
      </w:r>
      <w:r>
        <w:rPr>
          <w:rFonts w:hint="eastAsia" w:hAnsi="宋体"/>
          <w:b/>
          <w:sz w:val="24"/>
          <w:szCs w:val="24"/>
          <w:lang w:val="zh-CN"/>
        </w:rPr>
        <w:t>、分项报价表</w:t>
      </w:r>
      <w:bookmarkEnd w:id="135"/>
    </w:p>
    <w:p>
      <w:pPr>
        <w:autoSpaceDE w:val="0"/>
        <w:autoSpaceDN w:val="0"/>
        <w:adjustRightInd w:val="0"/>
        <w:spacing w:line="360" w:lineRule="auto"/>
        <w:jc w:val="center"/>
        <w:rPr>
          <w:rFonts w:hint="eastAsia" w:ascii="宋体" w:hAnsi="宋体" w:cs="宋体"/>
          <w:b/>
          <w:bCs/>
          <w:kern w:val="0"/>
          <w:sz w:val="24"/>
          <w:lang w:val="zh-CN"/>
        </w:rPr>
      </w:pPr>
      <w:r>
        <w:rPr>
          <w:rFonts w:hint="eastAsia" w:ascii="宋体" w:hAnsi="宋体" w:cs="宋体"/>
          <w:b/>
          <w:bCs/>
          <w:kern w:val="0"/>
          <w:sz w:val="24"/>
          <w:lang w:val="zh-CN"/>
        </w:rPr>
        <w:t>分项报价表</w:t>
      </w:r>
    </w:p>
    <w:p>
      <w:pPr>
        <w:pStyle w:val="55"/>
        <w:rPr>
          <w:lang w:val="zh-CN"/>
        </w:rPr>
      </w:pPr>
    </w:p>
    <w:p>
      <w:pPr>
        <w:spacing w:line="360" w:lineRule="auto"/>
        <w:rPr>
          <w:rFonts w:ascii="宋体" w:hAnsi="宋体" w:cs="宋体"/>
          <w:b/>
          <w:bCs/>
          <w:kern w:val="0"/>
          <w:sz w:val="24"/>
          <w:lang w:val="zh-CN"/>
        </w:rPr>
      </w:pPr>
      <w:r>
        <w:rPr>
          <w:rFonts w:hint="eastAsia" w:ascii="宋体" w:hAnsi="宋体" w:cs="宋体"/>
          <w:b/>
          <w:bCs/>
          <w:kern w:val="0"/>
          <w:sz w:val="24"/>
          <w:lang w:val="zh-CN"/>
        </w:rPr>
        <w:t xml:space="preserve">采购项目名称:  </w:t>
      </w:r>
    </w:p>
    <w:p>
      <w:pPr>
        <w:spacing w:line="360" w:lineRule="auto"/>
        <w:rPr>
          <w:rFonts w:ascii="宋体" w:hAnsi="宋体" w:cs="宋体"/>
          <w:b/>
          <w:bCs/>
          <w:kern w:val="0"/>
          <w:sz w:val="24"/>
          <w:lang w:val="zh-CN"/>
        </w:rPr>
      </w:pPr>
      <w:r>
        <w:rPr>
          <w:rFonts w:hint="eastAsia" w:ascii="宋体" w:hAnsi="宋体" w:cs="宋体"/>
          <w:b/>
          <w:bCs/>
          <w:kern w:val="0"/>
          <w:sz w:val="24"/>
          <w:lang w:val="zh-CN"/>
        </w:rPr>
        <w:t>采购项目编号：</w:t>
      </w:r>
    </w:p>
    <w:p>
      <w:pPr>
        <w:spacing w:line="360" w:lineRule="auto"/>
        <w:jc w:val="right"/>
        <w:rPr>
          <w:rFonts w:ascii="宋体" w:hAnsi="宋体"/>
          <w:sz w:val="24"/>
          <w:lang w:val="zh-CN"/>
        </w:rPr>
      </w:pPr>
      <w:r>
        <w:rPr>
          <w:rFonts w:ascii="宋体" w:hAnsi="宋体" w:cs="宋体"/>
          <w:bCs/>
          <w:kern w:val="0"/>
          <w:sz w:val="24"/>
          <w:lang w:val="zh-CN"/>
        </w:rPr>
        <w:t>单位</w:t>
      </w:r>
      <w:r>
        <w:rPr>
          <w:rFonts w:hint="eastAsia" w:ascii="宋体" w:hAnsi="宋体" w:cs="宋体"/>
          <w:bCs/>
          <w:kern w:val="0"/>
          <w:sz w:val="24"/>
          <w:lang w:val="zh-CN"/>
        </w:rPr>
        <w:t>：</w:t>
      </w:r>
      <w:r>
        <w:rPr>
          <w:rFonts w:ascii="宋体" w:hAnsi="宋体" w:cs="宋体"/>
          <w:bCs/>
          <w:kern w:val="0"/>
          <w:sz w:val="24"/>
          <w:lang w:val="zh-CN"/>
        </w:rPr>
        <w:t>人民币</w:t>
      </w:r>
      <w:r>
        <w:rPr>
          <w:rFonts w:hint="eastAsia" w:ascii="宋体" w:hAnsi="宋体" w:cs="宋体"/>
          <w:bCs/>
          <w:kern w:val="0"/>
          <w:sz w:val="24"/>
          <w:lang w:val="zh-CN"/>
        </w:rPr>
        <w:t>（</w:t>
      </w:r>
      <w:r>
        <w:rPr>
          <w:rFonts w:ascii="宋体" w:hAnsi="宋体" w:cs="宋体"/>
          <w:bCs/>
          <w:kern w:val="0"/>
          <w:sz w:val="24"/>
          <w:lang w:val="zh-CN"/>
        </w:rPr>
        <w:t>元</w:t>
      </w:r>
      <w:r>
        <w:rPr>
          <w:rFonts w:hint="eastAsia" w:ascii="宋体" w:hAnsi="宋体" w:cs="宋体"/>
          <w:bCs/>
          <w:kern w:val="0"/>
          <w:sz w:val="24"/>
          <w:lang w:val="zh-CN"/>
        </w:rPr>
        <w:t>）</w:t>
      </w:r>
    </w:p>
    <w:tbl>
      <w:tblPr>
        <w:tblStyle w:val="35"/>
        <w:tblW w:w="9808" w:type="dxa"/>
        <w:jc w:val="center"/>
        <w:tblLayout w:type="fixed"/>
        <w:tblCellMar>
          <w:top w:w="0" w:type="dxa"/>
          <w:left w:w="28" w:type="dxa"/>
          <w:bottom w:w="0" w:type="dxa"/>
          <w:right w:w="28" w:type="dxa"/>
        </w:tblCellMar>
      </w:tblPr>
      <w:tblGrid>
        <w:gridCol w:w="713"/>
        <w:gridCol w:w="1666"/>
        <w:gridCol w:w="1030"/>
        <w:gridCol w:w="1157"/>
        <w:gridCol w:w="1338"/>
        <w:gridCol w:w="1208"/>
        <w:gridCol w:w="804"/>
        <w:gridCol w:w="947"/>
        <w:gridCol w:w="945"/>
      </w:tblGrid>
      <w:tr>
        <w:tblPrEx>
          <w:tblCellMar>
            <w:top w:w="0" w:type="dxa"/>
            <w:left w:w="28" w:type="dxa"/>
            <w:bottom w:w="0" w:type="dxa"/>
            <w:right w:w="28" w:type="dxa"/>
          </w:tblCellMar>
        </w:tblPrEx>
        <w:trPr>
          <w:trHeight w:val="529" w:hRule="atLeast"/>
          <w:jc w:val="center"/>
        </w:trPr>
        <w:tc>
          <w:tcPr>
            <w:tcW w:w="713"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序号</w:t>
            </w:r>
          </w:p>
        </w:tc>
        <w:tc>
          <w:tcPr>
            <w:tcW w:w="16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产品名称</w:t>
            </w:r>
          </w:p>
        </w:tc>
        <w:tc>
          <w:tcPr>
            <w:tcW w:w="1030"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品牌</w:t>
            </w:r>
          </w:p>
        </w:tc>
        <w:tc>
          <w:tcPr>
            <w:tcW w:w="115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规格</w:t>
            </w:r>
          </w:p>
          <w:p>
            <w:pPr>
              <w:spacing w:line="360" w:lineRule="auto"/>
              <w:jc w:val="center"/>
              <w:rPr>
                <w:rFonts w:ascii="宋体" w:hAnsi="宋体"/>
                <w:sz w:val="24"/>
                <w:lang w:val="zh-CN"/>
              </w:rPr>
            </w:pPr>
            <w:r>
              <w:rPr>
                <w:rFonts w:hint="eastAsia" w:ascii="宋体" w:hAnsi="宋体"/>
                <w:sz w:val="24"/>
                <w:lang w:val="zh-CN"/>
              </w:rPr>
              <w:t>型号</w:t>
            </w:r>
          </w:p>
        </w:tc>
        <w:tc>
          <w:tcPr>
            <w:tcW w:w="1338"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生产厂家</w:t>
            </w:r>
          </w:p>
        </w:tc>
        <w:tc>
          <w:tcPr>
            <w:tcW w:w="1208"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数量</w:t>
            </w:r>
          </w:p>
        </w:tc>
        <w:tc>
          <w:tcPr>
            <w:tcW w:w="80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单价</w:t>
            </w:r>
          </w:p>
        </w:tc>
        <w:tc>
          <w:tcPr>
            <w:tcW w:w="94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合计</w:t>
            </w:r>
          </w:p>
        </w:tc>
        <w:tc>
          <w:tcPr>
            <w:tcW w:w="945"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r>
              <w:rPr>
                <w:rFonts w:hint="eastAsia" w:ascii="宋体" w:hAnsi="宋体"/>
                <w:sz w:val="24"/>
                <w:lang w:val="zh-CN"/>
              </w:rPr>
              <w:t>备注</w:t>
            </w: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ascii="宋体" w:hAnsi="宋体"/>
                <w:sz w:val="24"/>
                <w:lang w:val="zh-CN"/>
              </w:rPr>
              <w:t>1</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ascii="宋体" w:hAnsi="宋体"/>
                <w:sz w:val="24"/>
                <w:lang w:val="zh-CN"/>
              </w:rPr>
              <w:t>2</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ascii="宋体" w:hAnsi="宋体"/>
                <w:sz w:val="24"/>
                <w:lang w:val="zh-CN"/>
              </w:rPr>
              <w:t>3</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ascii="宋体" w:hAnsi="宋体"/>
                <w:sz w:val="24"/>
                <w:lang w:val="zh-CN"/>
              </w:rPr>
              <w:t>4</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p>
        </w:tc>
      </w:tr>
      <w:tr>
        <w:tblPrEx>
          <w:tblCellMar>
            <w:top w:w="0" w:type="dxa"/>
            <w:left w:w="28" w:type="dxa"/>
            <w:bottom w:w="0" w:type="dxa"/>
            <w:right w:w="28" w:type="dxa"/>
          </w:tblCellMar>
        </w:tblPrEx>
        <w:trPr>
          <w:trHeight w:val="529" w:hRule="atLeast"/>
          <w:jc w:val="center"/>
        </w:trPr>
        <w:tc>
          <w:tcPr>
            <w:tcW w:w="713"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r>
              <w:rPr>
                <w:rFonts w:ascii="宋体" w:hAnsi="宋体"/>
                <w:sz w:val="24"/>
                <w:lang w:val="zh-CN"/>
              </w:rPr>
              <w:t>…</w:t>
            </w:r>
          </w:p>
        </w:tc>
        <w:tc>
          <w:tcPr>
            <w:tcW w:w="16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03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1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120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80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jc w:val="center"/>
              <w:rPr>
                <w:rFonts w:ascii="宋体" w:hAnsi="宋体"/>
                <w:sz w:val="24"/>
                <w:lang w:val="zh-CN"/>
              </w:rPr>
            </w:pPr>
          </w:p>
        </w:tc>
        <w:tc>
          <w:tcPr>
            <w:tcW w:w="94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spacing w:line="360" w:lineRule="auto"/>
              <w:jc w:val="center"/>
              <w:rPr>
                <w:rFonts w:ascii="宋体" w:hAnsi="宋体"/>
                <w:sz w:val="24"/>
                <w:lang w:val="zh-CN"/>
              </w:rPr>
            </w:pPr>
          </w:p>
        </w:tc>
      </w:tr>
      <w:tr>
        <w:tblPrEx>
          <w:tblCellMar>
            <w:top w:w="0" w:type="dxa"/>
            <w:left w:w="28" w:type="dxa"/>
            <w:bottom w:w="0" w:type="dxa"/>
            <w:right w:w="28" w:type="dxa"/>
          </w:tblCellMar>
        </w:tblPrEx>
        <w:trPr>
          <w:trHeight w:val="1067" w:hRule="atLeast"/>
          <w:jc w:val="center"/>
        </w:trPr>
        <w:tc>
          <w:tcPr>
            <w:tcW w:w="9808"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spacing w:line="360" w:lineRule="auto"/>
              <w:rPr>
                <w:rFonts w:ascii="宋体" w:hAnsi="宋体"/>
                <w:sz w:val="24"/>
                <w:lang w:val="zh-CN"/>
              </w:rPr>
            </w:pPr>
            <w:r>
              <w:rPr>
                <w:rFonts w:hint="eastAsia" w:ascii="宋体" w:hAnsi="宋体"/>
                <w:sz w:val="24"/>
                <w:lang w:val="zh-CN"/>
              </w:rPr>
              <w:t>优惠承诺及其他：</w:t>
            </w:r>
          </w:p>
          <w:p>
            <w:pPr>
              <w:spacing w:line="360" w:lineRule="auto"/>
              <w:rPr>
                <w:rFonts w:ascii="宋体" w:hAnsi="宋体"/>
                <w:sz w:val="24"/>
                <w:lang w:val="zh-CN"/>
              </w:rPr>
            </w:pPr>
          </w:p>
        </w:tc>
      </w:tr>
      <w:tr>
        <w:tblPrEx>
          <w:tblCellMar>
            <w:top w:w="0" w:type="dxa"/>
            <w:left w:w="28" w:type="dxa"/>
            <w:bottom w:w="0" w:type="dxa"/>
            <w:right w:w="28" w:type="dxa"/>
          </w:tblCellMar>
        </w:tblPrEx>
        <w:trPr>
          <w:trHeight w:val="1038" w:hRule="atLeast"/>
          <w:jc w:val="center"/>
        </w:trPr>
        <w:tc>
          <w:tcPr>
            <w:tcW w:w="2379"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spacing w:line="360" w:lineRule="auto"/>
              <w:rPr>
                <w:rFonts w:ascii="宋体" w:hAnsi="宋体"/>
                <w:sz w:val="24"/>
                <w:lang w:val="zh-CN"/>
              </w:rPr>
            </w:pPr>
            <w:r>
              <w:rPr>
                <w:rFonts w:hint="eastAsia" w:ascii="宋体" w:hAnsi="宋体"/>
                <w:sz w:val="24"/>
                <w:lang w:val="zh-CN"/>
              </w:rPr>
              <w:t>投标总价</w:t>
            </w:r>
          </w:p>
        </w:tc>
        <w:tc>
          <w:tcPr>
            <w:tcW w:w="7429"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spacing w:line="360" w:lineRule="auto"/>
              <w:rPr>
                <w:rFonts w:ascii="宋体" w:hAnsi="宋体"/>
                <w:sz w:val="24"/>
                <w:lang w:val="zh-CN"/>
              </w:rPr>
            </w:pPr>
            <w:r>
              <w:rPr>
                <w:rFonts w:hint="eastAsia" w:ascii="宋体" w:hAnsi="宋体"/>
                <w:sz w:val="24"/>
                <w:lang w:val="zh-CN"/>
              </w:rPr>
              <w:t>小写：</w:t>
            </w:r>
          </w:p>
          <w:p>
            <w:pPr>
              <w:spacing w:line="360" w:lineRule="auto"/>
              <w:rPr>
                <w:rFonts w:ascii="宋体" w:hAnsi="宋体"/>
                <w:sz w:val="24"/>
                <w:lang w:val="zh-CN"/>
              </w:rPr>
            </w:pPr>
          </w:p>
          <w:p>
            <w:pPr>
              <w:spacing w:line="360" w:lineRule="auto"/>
              <w:rPr>
                <w:rFonts w:ascii="宋体" w:hAnsi="宋体"/>
                <w:sz w:val="24"/>
                <w:lang w:val="zh-CN"/>
              </w:rPr>
            </w:pPr>
            <w:r>
              <w:rPr>
                <w:rFonts w:hint="eastAsia" w:ascii="宋体" w:hAnsi="宋体"/>
                <w:sz w:val="24"/>
                <w:lang w:val="zh-CN"/>
              </w:rPr>
              <w:t>大写：</w:t>
            </w:r>
          </w:p>
        </w:tc>
      </w:tr>
    </w:tbl>
    <w:p>
      <w:pPr>
        <w:autoSpaceDE w:val="0"/>
        <w:autoSpaceDN w:val="0"/>
        <w:spacing w:line="360" w:lineRule="auto"/>
        <w:rPr>
          <w:rFonts w:ascii="宋体" w:hAnsi="宋体" w:cs="Arial"/>
          <w:b/>
          <w:bCs/>
          <w:sz w:val="24"/>
          <w:lang w:val="zh-CN"/>
        </w:rPr>
      </w:pPr>
    </w:p>
    <w:p>
      <w:pPr>
        <w:autoSpaceDE w:val="0"/>
        <w:autoSpaceDN w:val="0"/>
        <w:spacing w:line="360" w:lineRule="auto"/>
        <w:rPr>
          <w:rFonts w:ascii="宋体" w:hAnsi="宋体" w:cs="Arial"/>
          <w:b/>
          <w:bCs/>
          <w:sz w:val="24"/>
          <w:lang w:val="zh-CN"/>
        </w:rPr>
      </w:pPr>
      <w:r>
        <w:rPr>
          <w:rFonts w:ascii="宋体" w:hAnsi="宋体" w:cs="Arial"/>
          <w:b/>
          <w:bCs/>
          <w:sz w:val="24"/>
          <w:lang w:val="zh-CN"/>
        </w:rPr>
        <w:t>注：1、本表应依照</w:t>
      </w:r>
      <w:r>
        <w:rPr>
          <w:rFonts w:hint="eastAsia" w:ascii="宋体" w:hAnsi="宋体" w:cs="Arial"/>
          <w:b/>
          <w:bCs/>
          <w:sz w:val="24"/>
          <w:lang w:val="zh-CN"/>
        </w:rPr>
        <w:t>采购项目参数及要求</w:t>
      </w:r>
      <w:r>
        <w:rPr>
          <w:rFonts w:ascii="宋体" w:hAnsi="宋体" w:cs="Arial"/>
          <w:b/>
          <w:bCs/>
          <w:sz w:val="24"/>
          <w:lang w:val="zh-CN"/>
        </w:rPr>
        <w:t>中的产品序号按顺序逐项填写，不得遗漏。</w:t>
      </w:r>
    </w:p>
    <w:p>
      <w:pPr>
        <w:autoSpaceDE w:val="0"/>
        <w:autoSpaceDN w:val="0"/>
        <w:spacing w:line="360" w:lineRule="auto"/>
        <w:ind w:firstLine="482" w:firstLineChars="200"/>
        <w:rPr>
          <w:rFonts w:ascii="宋体" w:hAnsi="宋体" w:cs="Arial"/>
          <w:b/>
          <w:bCs/>
          <w:sz w:val="24"/>
          <w:lang w:val="zh-CN"/>
        </w:rPr>
      </w:pPr>
      <w:r>
        <w:rPr>
          <w:rFonts w:ascii="宋体" w:hAnsi="宋体" w:cs="Arial"/>
          <w:b/>
          <w:bCs/>
          <w:sz w:val="24"/>
          <w:lang w:val="zh-CN"/>
        </w:rPr>
        <w:t>2</w:t>
      </w:r>
      <w:r>
        <w:rPr>
          <w:rFonts w:hint="eastAsia" w:ascii="宋体" w:hAnsi="宋体" w:cs="Arial"/>
          <w:b/>
          <w:bCs/>
          <w:sz w:val="24"/>
          <w:lang w:val="zh-CN"/>
        </w:rPr>
        <w:t>、“分项报价</w:t>
      </w:r>
      <w:r>
        <w:rPr>
          <w:rFonts w:ascii="宋体" w:hAnsi="宋体" w:cs="Arial"/>
          <w:b/>
          <w:bCs/>
          <w:sz w:val="24"/>
          <w:lang w:val="zh-CN"/>
        </w:rPr>
        <w:t>表</w:t>
      </w:r>
      <w:r>
        <w:rPr>
          <w:rFonts w:hint="eastAsia" w:ascii="宋体" w:hAnsi="宋体" w:cs="Arial"/>
          <w:b/>
          <w:bCs/>
          <w:sz w:val="24"/>
          <w:lang w:val="zh-CN"/>
        </w:rPr>
        <w:t>”</w:t>
      </w:r>
      <w:r>
        <w:rPr>
          <w:rFonts w:ascii="宋体" w:hAnsi="宋体" w:cs="Arial"/>
          <w:b/>
          <w:bCs/>
          <w:sz w:val="24"/>
          <w:lang w:val="zh-CN"/>
        </w:rPr>
        <w:t>须为打印版，手写无效。</w:t>
      </w:r>
    </w:p>
    <w:p>
      <w:pPr>
        <w:spacing w:line="360" w:lineRule="auto"/>
        <w:rPr>
          <w:rFonts w:ascii="宋体" w:hAnsi="宋体"/>
          <w:sz w:val="24"/>
          <w:lang w:val="zh-CN"/>
        </w:rPr>
      </w:pPr>
    </w:p>
    <w:p>
      <w:pPr>
        <w:spacing w:line="360" w:lineRule="auto"/>
        <w:rPr>
          <w:rFonts w:ascii="宋体" w:hAnsi="宋体"/>
          <w:sz w:val="24"/>
          <w:lang w:val="zh-CN"/>
        </w:rPr>
      </w:pPr>
    </w:p>
    <w:p>
      <w:pPr>
        <w:spacing w:line="360" w:lineRule="auto"/>
        <w:rPr>
          <w:rFonts w:ascii="宋体" w:hAnsi="宋体"/>
          <w:sz w:val="24"/>
          <w:lang w:val="zh-CN"/>
        </w:rPr>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lang w:eastAsia="zh-CN"/>
        </w:rPr>
        <w:t>磋商供应商</w:t>
      </w:r>
      <w:r>
        <w:rPr>
          <w:rFonts w:hint="eastAsia" w:ascii="宋体" w:hAnsi="宋体"/>
          <w:bCs/>
          <w:sz w:val="24"/>
        </w:rPr>
        <w:t>：             （公章）</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int="eastAsia" w:hAnsi="宋体"/>
          <w:b/>
          <w:sz w:val="24"/>
          <w:szCs w:val="24"/>
          <w:lang w:val="zh-CN"/>
        </w:rPr>
      </w:pPr>
      <w:bookmarkStart w:id="136" w:name="_Toc21857"/>
      <w:r>
        <w:rPr>
          <w:rFonts w:hint="eastAsia" w:hAnsi="宋体"/>
          <w:b/>
          <w:sz w:val="24"/>
          <w:szCs w:val="24"/>
          <w:lang w:val="zh-CN"/>
        </w:rPr>
        <w:t>格式1</w:t>
      </w:r>
      <w:r>
        <w:rPr>
          <w:rFonts w:hint="eastAsia" w:hAnsi="宋体"/>
          <w:b/>
          <w:sz w:val="24"/>
          <w:szCs w:val="24"/>
          <w:lang w:val="en-US" w:eastAsia="zh-CN"/>
        </w:rPr>
        <w:t>3</w:t>
      </w:r>
      <w:r>
        <w:rPr>
          <w:rFonts w:hint="eastAsia" w:hAnsi="宋体"/>
          <w:b/>
          <w:sz w:val="24"/>
          <w:szCs w:val="24"/>
          <w:lang w:val="zh-CN"/>
        </w:rPr>
        <w:t>、技术规格响应表</w:t>
      </w:r>
      <w:bookmarkEnd w:id="136"/>
    </w:p>
    <w:p/>
    <w:p>
      <w:pPr>
        <w:autoSpaceDE w:val="0"/>
        <w:autoSpaceDN w:val="0"/>
        <w:adjustRightInd w:val="0"/>
        <w:spacing w:line="360" w:lineRule="auto"/>
        <w:jc w:val="center"/>
        <w:rPr>
          <w:rFonts w:ascii="宋体" w:hAnsi="宋体" w:cs="宋体"/>
          <w:b/>
          <w:bCs/>
          <w:kern w:val="0"/>
          <w:sz w:val="24"/>
          <w:lang w:val="zh-CN"/>
        </w:rPr>
      </w:pPr>
      <w:bookmarkStart w:id="137" w:name="_Toc444715742"/>
      <w:bookmarkStart w:id="138" w:name="_Toc20510"/>
      <w:bookmarkStart w:id="139" w:name="_Toc25742"/>
      <w:r>
        <w:rPr>
          <w:rFonts w:hint="eastAsia" w:ascii="宋体" w:hAnsi="宋体" w:cs="宋体"/>
          <w:b/>
          <w:bCs/>
          <w:kern w:val="0"/>
          <w:sz w:val="24"/>
          <w:lang w:val="zh-CN"/>
        </w:rPr>
        <w:t>技术规格响应表</w:t>
      </w: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采购项目名称:</w:t>
      </w:r>
    </w:p>
    <w:p>
      <w:pPr>
        <w:autoSpaceDE w:val="0"/>
        <w:autoSpaceDN w:val="0"/>
        <w:adjustRightInd w:val="0"/>
        <w:spacing w:line="360" w:lineRule="auto"/>
        <w:rPr>
          <w:rFonts w:ascii="宋体" w:hAnsi="宋体" w:cs="宋体"/>
          <w:b/>
          <w:bCs/>
          <w:kern w:val="0"/>
          <w:sz w:val="24"/>
          <w:lang w:val="zh-CN"/>
        </w:rPr>
      </w:pPr>
      <w:r>
        <w:rPr>
          <w:rFonts w:hint="eastAsia" w:ascii="宋体" w:hAnsi="宋体" w:cs="宋体"/>
          <w:b/>
          <w:bCs/>
          <w:kern w:val="0"/>
          <w:sz w:val="24"/>
          <w:lang w:val="zh-CN"/>
        </w:rPr>
        <w:t>采购项目编号：</w:t>
      </w:r>
    </w:p>
    <w:tbl>
      <w:tblPr>
        <w:tblStyle w:val="35"/>
        <w:tblW w:w="102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386"/>
        <w:gridCol w:w="2663"/>
        <w:gridCol w:w="1635"/>
        <w:gridCol w:w="3141"/>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91" w:type="dxa"/>
            <w:vMerge w:val="restart"/>
            <w:vAlign w:val="center"/>
          </w:tcPr>
          <w:p>
            <w:pPr>
              <w:spacing w:line="360" w:lineRule="auto"/>
              <w:jc w:val="center"/>
              <w:rPr>
                <w:rFonts w:ascii="宋体" w:hAnsi="宋体"/>
                <w:sz w:val="24"/>
              </w:rPr>
            </w:pPr>
            <w:r>
              <w:rPr>
                <w:rFonts w:hint="eastAsia" w:ascii="宋体" w:hAnsi="宋体"/>
                <w:sz w:val="24"/>
              </w:rPr>
              <w:t>序号</w:t>
            </w:r>
          </w:p>
        </w:tc>
        <w:tc>
          <w:tcPr>
            <w:tcW w:w="4049" w:type="dxa"/>
            <w:gridSpan w:val="2"/>
            <w:vAlign w:val="center"/>
          </w:tcPr>
          <w:p>
            <w:pPr>
              <w:spacing w:line="360" w:lineRule="auto"/>
              <w:jc w:val="center"/>
              <w:rPr>
                <w:rFonts w:ascii="宋体" w:hAnsi="宋体"/>
                <w:sz w:val="24"/>
              </w:rPr>
            </w:pPr>
            <w:r>
              <w:rPr>
                <w:rFonts w:hint="eastAsia" w:ascii="宋体" w:hAnsi="宋体" w:cs="仿宋_GB2312"/>
                <w:sz w:val="24"/>
              </w:rPr>
              <w:t>采购需求技术参数、指标</w:t>
            </w:r>
          </w:p>
        </w:tc>
        <w:tc>
          <w:tcPr>
            <w:tcW w:w="4776" w:type="dxa"/>
            <w:gridSpan w:val="2"/>
            <w:vAlign w:val="center"/>
          </w:tcPr>
          <w:p>
            <w:pPr>
              <w:spacing w:line="360" w:lineRule="auto"/>
              <w:jc w:val="center"/>
              <w:rPr>
                <w:rFonts w:ascii="宋体" w:hAnsi="宋体"/>
                <w:sz w:val="24"/>
              </w:rPr>
            </w:pPr>
            <w:r>
              <w:rPr>
                <w:rFonts w:hint="eastAsia" w:ascii="宋体" w:hAnsi="宋体"/>
                <w:sz w:val="24"/>
              </w:rPr>
              <w:t>投标产品技术参数、指标</w:t>
            </w:r>
          </w:p>
        </w:tc>
        <w:tc>
          <w:tcPr>
            <w:tcW w:w="738" w:type="dxa"/>
            <w:vMerge w:val="restart"/>
            <w:vAlign w:val="center"/>
          </w:tcPr>
          <w:p>
            <w:pPr>
              <w:spacing w:line="360" w:lineRule="auto"/>
              <w:rPr>
                <w:rFonts w:ascii="宋体" w:hAnsi="宋体"/>
                <w:sz w:val="24"/>
              </w:rPr>
            </w:pPr>
            <w:r>
              <w:rPr>
                <w:rFonts w:hint="eastAsia" w:ascii="宋体" w:hAnsi="宋体"/>
                <w:sz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691" w:type="dxa"/>
            <w:vMerge w:val="continue"/>
            <w:vAlign w:val="center"/>
          </w:tcPr>
          <w:p>
            <w:pPr>
              <w:spacing w:line="360" w:lineRule="auto"/>
              <w:jc w:val="center"/>
              <w:rPr>
                <w:rFonts w:ascii="宋体" w:hAnsi="宋体"/>
                <w:sz w:val="24"/>
              </w:rPr>
            </w:pPr>
          </w:p>
        </w:tc>
        <w:tc>
          <w:tcPr>
            <w:tcW w:w="1386" w:type="dxa"/>
            <w:vAlign w:val="center"/>
          </w:tcPr>
          <w:p>
            <w:pPr>
              <w:spacing w:line="360" w:lineRule="auto"/>
              <w:jc w:val="center"/>
              <w:rPr>
                <w:rFonts w:ascii="宋体" w:hAnsi="宋体" w:cs="仿宋_GB2312"/>
                <w:sz w:val="24"/>
              </w:rPr>
            </w:pPr>
            <w:r>
              <w:rPr>
                <w:rFonts w:hint="eastAsia" w:ascii="宋体" w:hAnsi="宋体" w:cs="仿宋_GB2312"/>
                <w:sz w:val="24"/>
              </w:rPr>
              <w:t>名称</w:t>
            </w:r>
          </w:p>
        </w:tc>
        <w:tc>
          <w:tcPr>
            <w:tcW w:w="2663" w:type="dxa"/>
            <w:vAlign w:val="center"/>
          </w:tcPr>
          <w:p>
            <w:pPr>
              <w:spacing w:line="360" w:lineRule="auto"/>
              <w:jc w:val="center"/>
              <w:rPr>
                <w:rFonts w:ascii="宋体" w:hAnsi="宋体" w:cs="仿宋_GB2312"/>
                <w:sz w:val="24"/>
              </w:rPr>
            </w:pPr>
            <w:r>
              <w:rPr>
                <w:rFonts w:hint="eastAsia" w:ascii="宋体" w:hAnsi="宋体" w:cs="仿宋_GB2312"/>
                <w:sz w:val="24"/>
              </w:rPr>
              <w:t>技术参数及配置</w:t>
            </w:r>
          </w:p>
        </w:tc>
        <w:tc>
          <w:tcPr>
            <w:tcW w:w="1635"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名称</w:t>
            </w:r>
          </w:p>
        </w:tc>
        <w:tc>
          <w:tcPr>
            <w:tcW w:w="3141" w:type="dxa"/>
            <w:vAlign w:val="center"/>
          </w:tcPr>
          <w:p>
            <w:pPr>
              <w:spacing w:line="360" w:lineRule="auto"/>
              <w:jc w:val="center"/>
              <w:rPr>
                <w:rFonts w:ascii="宋体" w:hAnsi="宋体"/>
                <w:sz w:val="24"/>
              </w:rPr>
            </w:pPr>
            <w:r>
              <w:rPr>
                <w:rFonts w:hint="eastAsia" w:ascii="宋体" w:hAnsi="宋体"/>
                <w:sz w:val="24"/>
              </w:rPr>
              <w:t>技术参数及配置</w:t>
            </w:r>
          </w:p>
        </w:tc>
        <w:tc>
          <w:tcPr>
            <w:tcW w:w="738" w:type="dxa"/>
            <w:vMerge w:val="continue"/>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691" w:type="dxa"/>
            <w:vAlign w:val="center"/>
          </w:tcPr>
          <w:p>
            <w:pPr>
              <w:tabs>
                <w:tab w:val="left" w:pos="3327"/>
              </w:tabs>
              <w:spacing w:line="360" w:lineRule="auto"/>
              <w:jc w:val="center"/>
              <w:rPr>
                <w:rFonts w:ascii="宋体" w:hAnsi="宋体"/>
                <w:sz w:val="24"/>
              </w:rPr>
            </w:pPr>
            <w:r>
              <w:rPr>
                <w:rFonts w:hint="eastAsia" w:ascii="宋体" w:hAnsi="宋体"/>
                <w:sz w:val="24"/>
              </w:rPr>
              <w:t>1</w:t>
            </w:r>
          </w:p>
        </w:tc>
        <w:tc>
          <w:tcPr>
            <w:tcW w:w="1386" w:type="dxa"/>
            <w:vAlign w:val="center"/>
          </w:tcPr>
          <w:p>
            <w:pPr>
              <w:tabs>
                <w:tab w:val="left" w:pos="3327"/>
              </w:tabs>
              <w:spacing w:line="360" w:lineRule="auto"/>
              <w:rPr>
                <w:rFonts w:ascii="宋体" w:hAnsi="宋体"/>
                <w:sz w:val="24"/>
              </w:rPr>
            </w:pPr>
          </w:p>
        </w:tc>
        <w:tc>
          <w:tcPr>
            <w:tcW w:w="2663" w:type="dxa"/>
            <w:vAlign w:val="center"/>
          </w:tcPr>
          <w:p>
            <w:pPr>
              <w:tabs>
                <w:tab w:val="left" w:pos="3327"/>
              </w:tabs>
              <w:spacing w:line="360" w:lineRule="auto"/>
              <w:rPr>
                <w:rFonts w:ascii="宋体" w:hAnsi="宋体"/>
                <w:sz w:val="24"/>
              </w:rPr>
            </w:pPr>
          </w:p>
        </w:tc>
        <w:tc>
          <w:tcPr>
            <w:tcW w:w="1635" w:type="dxa"/>
            <w:vAlign w:val="center"/>
          </w:tcPr>
          <w:p>
            <w:pPr>
              <w:tabs>
                <w:tab w:val="left" w:pos="3327"/>
              </w:tabs>
              <w:spacing w:line="360" w:lineRule="auto"/>
              <w:rPr>
                <w:rFonts w:ascii="宋体" w:hAnsi="宋体"/>
                <w:sz w:val="24"/>
              </w:rPr>
            </w:pPr>
          </w:p>
        </w:tc>
        <w:tc>
          <w:tcPr>
            <w:tcW w:w="3141" w:type="dxa"/>
            <w:vAlign w:val="center"/>
          </w:tcPr>
          <w:p>
            <w:pPr>
              <w:tabs>
                <w:tab w:val="left" w:pos="3327"/>
              </w:tabs>
              <w:spacing w:line="360" w:lineRule="auto"/>
              <w:rPr>
                <w:rFonts w:ascii="宋体" w:hAnsi="宋体"/>
                <w:sz w:val="24"/>
              </w:rPr>
            </w:pPr>
          </w:p>
        </w:tc>
        <w:tc>
          <w:tcPr>
            <w:tcW w:w="73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691" w:type="dxa"/>
            <w:vAlign w:val="center"/>
          </w:tcPr>
          <w:p>
            <w:pPr>
              <w:tabs>
                <w:tab w:val="left" w:pos="3327"/>
              </w:tabs>
              <w:spacing w:line="360" w:lineRule="auto"/>
              <w:jc w:val="center"/>
              <w:rPr>
                <w:rFonts w:ascii="宋体" w:hAnsi="宋体"/>
                <w:sz w:val="24"/>
              </w:rPr>
            </w:pPr>
            <w:r>
              <w:rPr>
                <w:rFonts w:hint="eastAsia" w:ascii="宋体" w:hAnsi="宋体"/>
                <w:sz w:val="24"/>
              </w:rPr>
              <w:t>2</w:t>
            </w:r>
          </w:p>
        </w:tc>
        <w:tc>
          <w:tcPr>
            <w:tcW w:w="1386" w:type="dxa"/>
            <w:vAlign w:val="center"/>
          </w:tcPr>
          <w:p>
            <w:pPr>
              <w:tabs>
                <w:tab w:val="left" w:pos="3327"/>
              </w:tabs>
              <w:spacing w:line="360" w:lineRule="auto"/>
              <w:rPr>
                <w:rFonts w:ascii="宋体" w:hAnsi="宋体"/>
                <w:sz w:val="24"/>
              </w:rPr>
            </w:pPr>
          </w:p>
        </w:tc>
        <w:tc>
          <w:tcPr>
            <w:tcW w:w="2663" w:type="dxa"/>
            <w:vAlign w:val="center"/>
          </w:tcPr>
          <w:p>
            <w:pPr>
              <w:tabs>
                <w:tab w:val="left" w:pos="3327"/>
              </w:tabs>
              <w:spacing w:line="360" w:lineRule="auto"/>
              <w:rPr>
                <w:rFonts w:ascii="宋体" w:hAnsi="宋体"/>
                <w:sz w:val="24"/>
              </w:rPr>
            </w:pPr>
          </w:p>
        </w:tc>
        <w:tc>
          <w:tcPr>
            <w:tcW w:w="1635" w:type="dxa"/>
            <w:vAlign w:val="center"/>
          </w:tcPr>
          <w:p>
            <w:pPr>
              <w:tabs>
                <w:tab w:val="left" w:pos="3327"/>
              </w:tabs>
              <w:spacing w:line="360" w:lineRule="auto"/>
              <w:rPr>
                <w:rFonts w:ascii="宋体" w:hAnsi="宋体"/>
                <w:sz w:val="24"/>
              </w:rPr>
            </w:pPr>
          </w:p>
        </w:tc>
        <w:tc>
          <w:tcPr>
            <w:tcW w:w="3141" w:type="dxa"/>
            <w:vAlign w:val="center"/>
          </w:tcPr>
          <w:p>
            <w:pPr>
              <w:tabs>
                <w:tab w:val="left" w:pos="3327"/>
              </w:tabs>
              <w:spacing w:line="360" w:lineRule="auto"/>
              <w:rPr>
                <w:rFonts w:ascii="宋体" w:hAnsi="宋体"/>
                <w:sz w:val="24"/>
              </w:rPr>
            </w:pPr>
          </w:p>
        </w:tc>
        <w:tc>
          <w:tcPr>
            <w:tcW w:w="73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691" w:type="dxa"/>
            <w:vAlign w:val="center"/>
          </w:tcPr>
          <w:p>
            <w:pPr>
              <w:tabs>
                <w:tab w:val="left" w:pos="3327"/>
              </w:tabs>
              <w:spacing w:line="360" w:lineRule="auto"/>
              <w:jc w:val="center"/>
              <w:rPr>
                <w:rFonts w:ascii="宋体" w:hAnsi="宋体"/>
                <w:sz w:val="24"/>
              </w:rPr>
            </w:pPr>
            <w:r>
              <w:rPr>
                <w:rFonts w:hint="eastAsia" w:ascii="宋体" w:hAnsi="宋体"/>
                <w:sz w:val="24"/>
              </w:rPr>
              <w:t>3</w:t>
            </w:r>
          </w:p>
        </w:tc>
        <w:tc>
          <w:tcPr>
            <w:tcW w:w="1386" w:type="dxa"/>
            <w:vAlign w:val="center"/>
          </w:tcPr>
          <w:p>
            <w:pPr>
              <w:tabs>
                <w:tab w:val="left" w:pos="3327"/>
              </w:tabs>
              <w:spacing w:line="360" w:lineRule="auto"/>
              <w:rPr>
                <w:rFonts w:ascii="宋体" w:hAnsi="宋体"/>
                <w:sz w:val="24"/>
              </w:rPr>
            </w:pPr>
          </w:p>
        </w:tc>
        <w:tc>
          <w:tcPr>
            <w:tcW w:w="2663" w:type="dxa"/>
            <w:vAlign w:val="center"/>
          </w:tcPr>
          <w:p>
            <w:pPr>
              <w:tabs>
                <w:tab w:val="left" w:pos="3327"/>
              </w:tabs>
              <w:spacing w:line="360" w:lineRule="auto"/>
              <w:rPr>
                <w:rFonts w:ascii="宋体" w:hAnsi="宋体"/>
                <w:sz w:val="24"/>
              </w:rPr>
            </w:pPr>
          </w:p>
        </w:tc>
        <w:tc>
          <w:tcPr>
            <w:tcW w:w="1635" w:type="dxa"/>
            <w:vAlign w:val="center"/>
          </w:tcPr>
          <w:p>
            <w:pPr>
              <w:tabs>
                <w:tab w:val="left" w:pos="3327"/>
              </w:tabs>
              <w:spacing w:line="360" w:lineRule="auto"/>
              <w:rPr>
                <w:rFonts w:ascii="宋体" w:hAnsi="宋体"/>
                <w:sz w:val="24"/>
              </w:rPr>
            </w:pPr>
          </w:p>
        </w:tc>
        <w:tc>
          <w:tcPr>
            <w:tcW w:w="3141" w:type="dxa"/>
            <w:vAlign w:val="center"/>
          </w:tcPr>
          <w:p>
            <w:pPr>
              <w:tabs>
                <w:tab w:val="left" w:pos="3327"/>
              </w:tabs>
              <w:spacing w:line="360" w:lineRule="auto"/>
              <w:rPr>
                <w:rFonts w:ascii="宋体" w:hAnsi="宋体"/>
                <w:sz w:val="24"/>
              </w:rPr>
            </w:pPr>
          </w:p>
        </w:tc>
        <w:tc>
          <w:tcPr>
            <w:tcW w:w="73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691" w:type="dxa"/>
            <w:vAlign w:val="center"/>
          </w:tcPr>
          <w:p>
            <w:pPr>
              <w:tabs>
                <w:tab w:val="left" w:pos="3327"/>
              </w:tabs>
              <w:spacing w:line="360" w:lineRule="auto"/>
              <w:jc w:val="center"/>
              <w:rPr>
                <w:rFonts w:ascii="宋体" w:hAnsi="宋体"/>
                <w:sz w:val="24"/>
              </w:rPr>
            </w:pPr>
            <w:r>
              <w:rPr>
                <w:rFonts w:hint="eastAsia" w:ascii="宋体" w:hAnsi="宋体"/>
                <w:sz w:val="24"/>
              </w:rPr>
              <w:t>4</w:t>
            </w:r>
          </w:p>
        </w:tc>
        <w:tc>
          <w:tcPr>
            <w:tcW w:w="1386" w:type="dxa"/>
            <w:vAlign w:val="center"/>
          </w:tcPr>
          <w:p>
            <w:pPr>
              <w:tabs>
                <w:tab w:val="left" w:pos="3327"/>
              </w:tabs>
              <w:spacing w:line="360" w:lineRule="auto"/>
              <w:rPr>
                <w:rFonts w:ascii="宋体" w:hAnsi="宋体"/>
                <w:sz w:val="24"/>
              </w:rPr>
            </w:pPr>
          </w:p>
        </w:tc>
        <w:tc>
          <w:tcPr>
            <w:tcW w:w="2663" w:type="dxa"/>
            <w:vAlign w:val="center"/>
          </w:tcPr>
          <w:p>
            <w:pPr>
              <w:tabs>
                <w:tab w:val="left" w:pos="3327"/>
              </w:tabs>
              <w:spacing w:line="360" w:lineRule="auto"/>
              <w:rPr>
                <w:rFonts w:ascii="宋体" w:hAnsi="宋体"/>
                <w:sz w:val="24"/>
              </w:rPr>
            </w:pPr>
          </w:p>
        </w:tc>
        <w:tc>
          <w:tcPr>
            <w:tcW w:w="1635" w:type="dxa"/>
            <w:vAlign w:val="center"/>
          </w:tcPr>
          <w:p>
            <w:pPr>
              <w:tabs>
                <w:tab w:val="left" w:pos="3327"/>
              </w:tabs>
              <w:spacing w:line="360" w:lineRule="auto"/>
              <w:rPr>
                <w:rFonts w:ascii="宋体" w:hAnsi="宋体"/>
                <w:sz w:val="24"/>
              </w:rPr>
            </w:pPr>
          </w:p>
        </w:tc>
        <w:tc>
          <w:tcPr>
            <w:tcW w:w="3141" w:type="dxa"/>
            <w:vAlign w:val="center"/>
          </w:tcPr>
          <w:p>
            <w:pPr>
              <w:tabs>
                <w:tab w:val="left" w:pos="3327"/>
              </w:tabs>
              <w:spacing w:line="360" w:lineRule="auto"/>
              <w:rPr>
                <w:rFonts w:ascii="宋体" w:hAnsi="宋体"/>
                <w:sz w:val="24"/>
              </w:rPr>
            </w:pPr>
          </w:p>
        </w:tc>
        <w:tc>
          <w:tcPr>
            <w:tcW w:w="73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691" w:type="dxa"/>
            <w:vAlign w:val="center"/>
          </w:tcPr>
          <w:p>
            <w:pPr>
              <w:tabs>
                <w:tab w:val="left" w:pos="3327"/>
              </w:tabs>
              <w:spacing w:line="360" w:lineRule="auto"/>
              <w:jc w:val="center"/>
              <w:rPr>
                <w:rFonts w:ascii="宋体" w:hAnsi="宋体"/>
                <w:sz w:val="24"/>
              </w:rPr>
            </w:pPr>
            <w:r>
              <w:rPr>
                <w:rFonts w:hint="eastAsia" w:ascii="宋体" w:hAnsi="宋体"/>
                <w:sz w:val="24"/>
              </w:rPr>
              <w:t>……</w:t>
            </w:r>
          </w:p>
        </w:tc>
        <w:tc>
          <w:tcPr>
            <w:tcW w:w="1386" w:type="dxa"/>
            <w:vAlign w:val="center"/>
          </w:tcPr>
          <w:p>
            <w:pPr>
              <w:tabs>
                <w:tab w:val="left" w:pos="3327"/>
              </w:tabs>
              <w:spacing w:line="360" w:lineRule="auto"/>
              <w:rPr>
                <w:rFonts w:ascii="宋体" w:hAnsi="宋体"/>
                <w:sz w:val="24"/>
              </w:rPr>
            </w:pPr>
          </w:p>
        </w:tc>
        <w:tc>
          <w:tcPr>
            <w:tcW w:w="2663" w:type="dxa"/>
            <w:vAlign w:val="center"/>
          </w:tcPr>
          <w:p>
            <w:pPr>
              <w:tabs>
                <w:tab w:val="left" w:pos="3327"/>
              </w:tabs>
              <w:spacing w:line="360" w:lineRule="auto"/>
              <w:rPr>
                <w:rFonts w:ascii="宋体" w:hAnsi="宋体"/>
                <w:sz w:val="24"/>
              </w:rPr>
            </w:pPr>
          </w:p>
        </w:tc>
        <w:tc>
          <w:tcPr>
            <w:tcW w:w="1635" w:type="dxa"/>
            <w:vAlign w:val="center"/>
          </w:tcPr>
          <w:p>
            <w:pPr>
              <w:tabs>
                <w:tab w:val="left" w:pos="3327"/>
              </w:tabs>
              <w:spacing w:line="360" w:lineRule="auto"/>
              <w:rPr>
                <w:rFonts w:ascii="宋体" w:hAnsi="宋体"/>
                <w:sz w:val="24"/>
              </w:rPr>
            </w:pPr>
          </w:p>
        </w:tc>
        <w:tc>
          <w:tcPr>
            <w:tcW w:w="3141" w:type="dxa"/>
            <w:vAlign w:val="center"/>
          </w:tcPr>
          <w:p>
            <w:pPr>
              <w:tabs>
                <w:tab w:val="left" w:pos="3327"/>
              </w:tabs>
              <w:spacing w:line="360" w:lineRule="auto"/>
              <w:rPr>
                <w:rFonts w:ascii="宋体" w:hAnsi="宋体"/>
                <w:sz w:val="24"/>
              </w:rPr>
            </w:pPr>
          </w:p>
        </w:tc>
        <w:tc>
          <w:tcPr>
            <w:tcW w:w="738" w:type="dxa"/>
            <w:vAlign w:val="center"/>
          </w:tcPr>
          <w:p>
            <w:pPr>
              <w:spacing w:line="360" w:lineRule="auto"/>
              <w:jc w:val="center"/>
              <w:rPr>
                <w:rFonts w:ascii="宋体" w:hAnsi="宋体"/>
                <w:sz w:val="24"/>
              </w:rPr>
            </w:pPr>
          </w:p>
        </w:tc>
      </w:tr>
    </w:tbl>
    <w:p>
      <w:pPr>
        <w:autoSpaceDE w:val="0"/>
        <w:autoSpaceDN w:val="0"/>
        <w:spacing w:line="360" w:lineRule="auto"/>
        <w:rPr>
          <w:rFonts w:ascii="宋体" w:hAnsi="宋体" w:cs="Arial"/>
          <w:b/>
          <w:bCs/>
          <w:sz w:val="24"/>
          <w:lang w:val="zh-CN"/>
        </w:rPr>
      </w:pPr>
    </w:p>
    <w:p>
      <w:pPr>
        <w:autoSpaceDE w:val="0"/>
        <w:autoSpaceDN w:val="0"/>
        <w:spacing w:line="360" w:lineRule="auto"/>
        <w:rPr>
          <w:rFonts w:ascii="宋体" w:hAnsi="宋体" w:cs="Arial"/>
          <w:b/>
          <w:bCs/>
          <w:sz w:val="24"/>
          <w:lang w:val="zh-CN"/>
        </w:rPr>
      </w:pPr>
      <w:r>
        <w:rPr>
          <w:rFonts w:ascii="宋体" w:hAnsi="宋体" w:cs="Arial"/>
          <w:b/>
          <w:bCs/>
          <w:sz w:val="24"/>
          <w:lang w:val="zh-CN"/>
        </w:rPr>
        <w:t>注：1</w:t>
      </w:r>
      <w:r>
        <w:rPr>
          <w:rFonts w:hint="eastAsia" w:ascii="宋体" w:hAnsi="宋体" w:cs="Arial"/>
          <w:b/>
          <w:bCs/>
          <w:sz w:val="24"/>
          <w:lang w:val="zh-CN"/>
        </w:rPr>
        <w:t>、</w:t>
      </w:r>
      <w:r>
        <w:rPr>
          <w:rFonts w:ascii="宋体" w:hAnsi="宋体" w:cs="Arial"/>
          <w:b/>
          <w:bCs/>
          <w:sz w:val="24"/>
          <w:lang w:val="zh-CN"/>
        </w:rPr>
        <w:t>本表应按照</w:t>
      </w:r>
      <w:r>
        <w:rPr>
          <w:rFonts w:hint="eastAsia" w:ascii="宋体" w:hAnsi="宋体" w:cs="Arial"/>
          <w:b/>
          <w:bCs/>
          <w:sz w:val="24"/>
          <w:lang w:val="zh-CN"/>
        </w:rPr>
        <w:t>采购项目参数及要求</w:t>
      </w:r>
      <w:r>
        <w:rPr>
          <w:rFonts w:ascii="宋体" w:hAnsi="宋体" w:cs="Arial"/>
          <w:b/>
          <w:bCs/>
          <w:sz w:val="24"/>
          <w:lang w:val="zh-CN"/>
        </w:rPr>
        <w:t>中产品序号的指标逐项填写，不得遗漏。</w:t>
      </w:r>
    </w:p>
    <w:p>
      <w:pPr>
        <w:autoSpaceDE w:val="0"/>
        <w:autoSpaceDN w:val="0"/>
        <w:spacing w:line="360" w:lineRule="auto"/>
        <w:ind w:firstLine="482" w:firstLineChars="200"/>
        <w:rPr>
          <w:rFonts w:ascii="宋体" w:hAnsi="宋体" w:cs="Arial"/>
          <w:b/>
          <w:bCs/>
          <w:sz w:val="24"/>
          <w:lang w:val="zh-CN"/>
        </w:rPr>
      </w:pPr>
      <w:r>
        <w:rPr>
          <w:rFonts w:ascii="宋体" w:hAnsi="宋体" w:cs="Arial"/>
          <w:b/>
          <w:bCs/>
          <w:sz w:val="24"/>
          <w:lang w:val="zh-CN"/>
        </w:rPr>
        <w:t>2</w:t>
      </w:r>
      <w:r>
        <w:rPr>
          <w:rFonts w:hint="eastAsia" w:ascii="宋体" w:hAnsi="宋体" w:cs="Arial"/>
          <w:b/>
          <w:bCs/>
          <w:sz w:val="24"/>
          <w:lang w:val="zh-CN"/>
        </w:rPr>
        <w:t>、“投标产品技术参数、指标”必须与投标文件中提供的产品检测报告、彩页等证明材料的实质性响应情况相一致。若在评标环节发现该项与投标文件中提供的产品检测报告（或厂家公开发布的资料参数）等证明材料的实质性响应情况不一致或直接复制招标文件“采购需求技术参数、指标”内容的，按无效投标处理。</w:t>
      </w:r>
    </w:p>
    <w:p>
      <w:pPr>
        <w:autoSpaceDE w:val="0"/>
        <w:autoSpaceDN w:val="0"/>
        <w:spacing w:line="360" w:lineRule="auto"/>
        <w:ind w:firstLine="482" w:firstLineChars="200"/>
        <w:rPr>
          <w:rFonts w:ascii="宋体" w:hAnsi="宋体" w:cs="Arial"/>
          <w:b/>
          <w:bCs/>
          <w:sz w:val="24"/>
          <w:lang w:val="zh-CN"/>
        </w:rPr>
      </w:pPr>
      <w:r>
        <w:rPr>
          <w:rFonts w:ascii="宋体" w:hAnsi="宋体" w:cs="Arial"/>
          <w:b/>
          <w:bCs/>
          <w:sz w:val="24"/>
          <w:lang w:val="zh-CN"/>
        </w:rPr>
        <w:t>3</w:t>
      </w:r>
      <w:r>
        <w:rPr>
          <w:rFonts w:hint="eastAsia" w:ascii="宋体" w:hAnsi="宋体" w:cs="Arial"/>
          <w:b/>
          <w:bCs/>
          <w:sz w:val="24"/>
          <w:lang w:val="zh-CN"/>
        </w:rPr>
        <w:t>、磋商供应商响应采购需求应具体、明确，应以招标项目参数要求为基本投标要求，对超出或不满足招标项目参数要求的指标需列出“</w:t>
      </w:r>
      <w:r>
        <w:rPr>
          <w:rFonts w:ascii="宋体" w:hAnsi="宋体" w:cs="Arial"/>
          <w:b/>
          <w:bCs/>
          <w:sz w:val="24"/>
          <w:lang w:val="zh-CN"/>
        </w:rPr>
        <w:t>+</w:t>
      </w:r>
      <w:r>
        <w:rPr>
          <w:rFonts w:hint="eastAsia" w:ascii="宋体" w:hAnsi="宋体" w:cs="Arial"/>
          <w:b/>
          <w:bCs/>
          <w:sz w:val="24"/>
          <w:lang w:val="zh-CN"/>
        </w:rPr>
        <w:t>、</w:t>
      </w:r>
      <w:r>
        <w:rPr>
          <w:rFonts w:ascii="宋体" w:hAnsi="宋体" w:cs="Arial"/>
          <w:b/>
          <w:bCs/>
          <w:sz w:val="24"/>
          <w:lang w:val="zh-CN"/>
        </w:rPr>
        <w:t>-</w:t>
      </w:r>
      <w:r>
        <w:rPr>
          <w:rFonts w:hint="eastAsia" w:ascii="宋体" w:hAnsi="宋体" w:cs="Arial"/>
          <w:b/>
          <w:bCs/>
          <w:sz w:val="24"/>
          <w:lang w:val="zh-CN"/>
        </w:rPr>
        <w:t>”偏差，并做出详细说明；如果只注明“</w:t>
      </w:r>
      <w:r>
        <w:rPr>
          <w:rFonts w:ascii="宋体" w:hAnsi="宋体" w:cs="Arial"/>
          <w:b/>
          <w:bCs/>
          <w:sz w:val="24"/>
          <w:lang w:val="zh-CN"/>
        </w:rPr>
        <w:t>+</w:t>
      </w:r>
      <w:r>
        <w:rPr>
          <w:rFonts w:hint="eastAsia" w:ascii="宋体" w:hAnsi="宋体" w:cs="Arial"/>
          <w:b/>
          <w:bCs/>
          <w:sz w:val="24"/>
          <w:lang w:val="zh-CN"/>
        </w:rPr>
        <w:t>”、“</w:t>
      </w:r>
      <w:r>
        <w:rPr>
          <w:rFonts w:ascii="宋体" w:hAnsi="宋体" w:cs="Arial"/>
          <w:b/>
          <w:bCs/>
          <w:sz w:val="24"/>
          <w:lang w:val="zh-CN"/>
        </w:rPr>
        <w:t>-</w:t>
      </w:r>
      <w:r>
        <w:rPr>
          <w:rFonts w:hint="eastAsia" w:ascii="宋体" w:hAnsi="宋体" w:cs="Arial"/>
          <w:b/>
          <w:bCs/>
          <w:sz w:val="24"/>
          <w:lang w:val="zh-CN"/>
        </w:rPr>
        <w:t>”或未填写，将视为该项指标不响应。</w:t>
      </w:r>
    </w:p>
    <w:p>
      <w:pPr>
        <w:autoSpaceDE w:val="0"/>
        <w:autoSpaceDN w:val="0"/>
        <w:spacing w:line="360" w:lineRule="auto"/>
        <w:ind w:firstLine="482" w:firstLineChars="200"/>
        <w:rPr>
          <w:rFonts w:ascii="宋体" w:hAnsi="宋体" w:cs="Arial"/>
          <w:b/>
          <w:bCs/>
          <w:sz w:val="24"/>
          <w:lang w:val="zh-CN"/>
        </w:rPr>
      </w:pPr>
      <w:r>
        <w:rPr>
          <w:rFonts w:ascii="宋体" w:hAnsi="宋体" w:cs="Arial"/>
          <w:b/>
          <w:bCs/>
          <w:sz w:val="24"/>
          <w:lang w:val="zh-CN"/>
        </w:rPr>
        <w:t>4</w:t>
      </w:r>
      <w:r>
        <w:rPr>
          <w:rFonts w:hint="eastAsia" w:ascii="宋体" w:hAnsi="宋体" w:cs="Arial"/>
          <w:b/>
          <w:bCs/>
          <w:sz w:val="24"/>
          <w:lang w:val="zh-CN"/>
        </w:rPr>
        <w:t>、磋商供应商应按投标产品实际情况填写，不得照抄、复制招标文件技术参数要求。</w:t>
      </w:r>
    </w:p>
    <w:p>
      <w:pPr>
        <w:autoSpaceDE w:val="0"/>
        <w:autoSpaceDN w:val="0"/>
        <w:spacing w:line="360" w:lineRule="auto"/>
        <w:ind w:firstLine="482" w:firstLineChars="200"/>
        <w:rPr>
          <w:rFonts w:ascii="宋体" w:hAnsi="宋体" w:cs="Arial"/>
          <w:b/>
          <w:bCs/>
          <w:sz w:val="24"/>
          <w:lang w:val="zh-CN"/>
        </w:rPr>
      </w:pPr>
      <w:r>
        <w:rPr>
          <w:rFonts w:ascii="宋体" w:hAnsi="宋体" w:cs="Arial"/>
          <w:b/>
          <w:bCs/>
          <w:sz w:val="24"/>
          <w:lang w:val="zh-CN"/>
        </w:rPr>
        <w:t>5</w:t>
      </w:r>
      <w:r>
        <w:rPr>
          <w:rFonts w:hint="eastAsia" w:ascii="宋体" w:hAnsi="宋体" w:cs="Arial"/>
          <w:b/>
          <w:bCs/>
          <w:sz w:val="24"/>
          <w:lang w:val="zh-CN"/>
        </w:rPr>
        <w:t>、磋商供应商响应采购需求应具体、明确，含糊不清、不确切或伪造、编造证明材料的，按照实质性不响应处理。对伪造、编造证明材料的，将报送采购监管部门查处。</w:t>
      </w:r>
    </w:p>
    <w:p>
      <w:pPr>
        <w:tabs>
          <w:tab w:val="left" w:pos="168"/>
        </w:tabs>
        <w:adjustRightInd w:val="0"/>
        <w:spacing w:line="360" w:lineRule="auto"/>
        <w:textAlignment w:val="baseline"/>
        <w:rPr>
          <w:rFonts w:ascii="宋体" w:hAnsi="宋体"/>
          <w:bCs/>
          <w:sz w:val="24"/>
        </w:rPr>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lang w:eastAsia="zh-CN"/>
        </w:rPr>
        <w:t>磋商供应商</w:t>
      </w:r>
      <w:r>
        <w:rPr>
          <w:rFonts w:hint="eastAsia" w:ascii="宋体" w:hAnsi="宋体"/>
          <w:bCs/>
          <w:sz w:val="24"/>
        </w:rPr>
        <w:t>：             （公章）</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ind w:firstLine="6240" w:firstLineChars="2600"/>
        <w:jc w:val="left"/>
        <w:textAlignment w:val="baseline"/>
        <w:rPr>
          <w:rFonts w:hAnsi="宋体"/>
          <w:bCs/>
          <w:sz w:val="24"/>
          <w:szCs w:val="24"/>
        </w:rPr>
      </w:pPr>
      <w:r>
        <w:rPr>
          <w:rFonts w:hint="eastAsia" w:ascii="宋体" w:hAnsi="宋体"/>
          <w:bCs/>
          <w:sz w:val="24"/>
        </w:rPr>
        <w:t>日期：    年   月   日</w:t>
      </w:r>
      <w:r>
        <w:rPr>
          <w:rFonts w:hAnsi="宋体"/>
          <w:bCs/>
          <w:sz w:val="24"/>
          <w:szCs w:val="24"/>
        </w:rPr>
        <w:br w:type="page"/>
      </w:r>
    </w:p>
    <w:p>
      <w:pPr>
        <w:tabs>
          <w:tab w:val="left" w:pos="168"/>
        </w:tabs>
        <w:adjustRightInd w:val="0"/>
        <w:spacing w:line="360" w:lineRule="auto"/>
        <w:jc w:val="left"/>
        <w:textAlignment w:val="baseline"/>
        <w:rPr>
          <w:rFonts w:hint="eastAsia" w:hAnsi="宋体"/>
          <w:b/>
          <w:sz w:val="24"/>
          <w:szCs w:val="24"/>
          <w:lang w:val="zh-CN"/>
        </w:rPr>
      </w:pPr>
      <w:r>
        <w:rPr>
          <w:rFonts w:hint="eastAsia" w:hAnsi="宋体"/>
          <w:b/>
          <w:sz w:val="24"/>
          <w:szCs w:val="24"/>
          <w:lang w:val="zh-CN"/>
        </w:rPr>
        <w:t>格式1</w:t>
      </w:r>
      <w:r>
        <w:rPr>
          <w:rFonts w:hint="eastAsia" w:hAnsi="宋体"/>
          <w:b/>
          <w:sz w:val="24"/>
          <w:szCs w:val="24"/>
          <w:lang w:val="en-US" w:eastAsia="zh-CN"/>
        </w:rPr>
        <w:t>4</w:t>
      </w:r>
      <w:r>
        <w:rPr>
          <w:rFonts w:hint="eastAsia" w:hAnsi="宋体"/>
          <w:b/>
          <w:sz w:val="24"/>
          <w:szCs w:val="24"/>
          <w:lang w:val="zh-CN"/>
        </w:rPr>
        <w:t>、磋商产品相关资料</w:t>
      </w:r>
    </w:p>
    <w:p>
      <w:pPr>
        <w:pStyle w:val="55"/>
      </w:pPr>
    </w:p>
    <w:p>
      <w:pPr>
        <w:spacing w:line="360" w:lineRule="auto"/>
        <w:rPr>
          <w:rFonts w:ascii="宋体" w:hAnsi="宋体"/>
          <w:b/>
          <w:bCs/>
          <w:kern w:val="28"/>
          <w:sz w:val="24"/>
          <w:lang w:val="zh-CN"/>
        </w:rPr>
      </w:pPr>
    </w:p>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磋商</w:t>
      </w:r>
      <w:r>
        <w:rPr>
          <w:rFonts w:ascii="宋体" w:hAnsi="宋体" w:cs="宋体"/>
          <w:b/>
          <w:bCs/>
          <w:kern w:val="0"/>
          <w:sz w:val="24"/>
          <w:lang w:val="zh-CN"/>
        </w:rPr>
        <w:t>产品相关资料</w:t>
      </w:r>
    </w:p>
    <w:p>
      <w:pPr>
        <w:pStyle w:val="55"/>
        <w:rPr>
          <w:lang w:val="zh-CN"/>
        </w:rPr>
      </w:pPr>
    </w:p>
    <w:p>
      <w:pPr>
        <w:spacing w:line="360" w:lineRule="auto"/>
        <w:ind w:firstLine="424" w:firstLineChars="177"/>
        <w:rPr>
          <w:rFonts w:ascii="宋体" w:hAnsi="宋体"/>
          <w:b/>
          <w:sz w:val="24"/>
          <w:lang w:val="zh-CN"/>
        </w:rPr>
      </w:pPr>
      <w:r>
        <w:rPr>
          <w:rFonts w:hint="eastAsia" w:ascii="宋体" w:hAnsi="宋体" w:cs="Arial"/>
          <w:sz w:val="24"/>
        </w:rPr>
        <w:t>根据采购项目内容，磋商时提供国家认可的质监机构出具的磋商产品的产品材料的检验报告、证明技术参数响应的相关资料（或厂家公开发布的资料参数）、相关认证等资料。</w:t>
      </w:r>
      <w:bookmarkEnd w:id="137"/>
      <w:bookmarkEnd w:id="138"/>
      <w:bookmarkEnd w:id="139"/>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int="eastAsia" w:hAnsi="宋体"/>
          <w:b/>
          <w:sz w:val="24"/>
          <w:szCs w:val="24"/>
          <w:lang w:val="zh-CN"/>
        </w:rPr>
      </w:pPr>
      <w:bookmarkStart w:id="140" w:name="_Toc9074"/>
      <w:r>
        <w:rPr>
          <w:rFonts w:hint="eastAsia" w:hAnsi="宋体"/>
          <w:b/>
          <w:sz w:val="24"/>
          <w:szCs w:val="24"/>
          <w:lang w:val="zh-CN"/>
        </w:rPr>
        <w:t>格式1</w:t>
      </w:r>
      <w:r>
        <w:rPr>
          <w:rFonts w:hint="eastAsia" w:hAnsi="宋体"/>
          <w:b/>
          <w:sz w:val="24"/>
          <w:szCs w:val="24"/>
          <w:lang w:val="en-US" w:eastAsia="zh-CN"/>
        </w:rPr>
        <w:t>5</w:t>
      </w:r>
      <w:r>
        <w:rPr>
          <w:rFonts w:hint="eastAsia" w:hAnsi="宋体"/>
          <w:b/>
          <w:sz w:val="24"/>
          <w:szCs w:val="24"/>
          <w:lang w:val="zh-CN"/>
        </w:rPr>
        <w:t>、磋商供应商的类似业绩证明材料</w:t>
      </w:r>
      <w:bookmarkEnd w:id="140"/>
    </w:p>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jc w:val="center"/>
        <w:rPr>
          <w:rFonts w:ascii="宋体" w:hAnsi="宋体" w:cs="宋体"/>
          <w:b/>
          <w:bCs/>
          <w:kern w:val="0"/>
          <w:sz w:val="24"/>
          <w:lang w:val="zh-CN"/>
        </w:rPr>
      </w:pPr>
      <w:r>
        <w:rPr>
          <w:rFonts w:hint="eastAsia" w:ascii="宋体" w:hAnsi="宋体" w:cs="宋体"/>
          <w:b/>
          <w:bCs/>
          <w:kern w:val="0"/>
          <w:sz w:val="24"/>
          <w:lang w:val="zh-CN"/>
        </w:rPr>
        <w:t>磋商供应商的类似业绩证明材料</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ind w:firstLine="840" w:firstLineChars="350"/>
        <w:rPr>
          <w:rFonts w:ascii="宋体" w:hAnsi="宋体" w:cs="宋体"/>
          <w:kern w:val="0"/>
          <w:sz w:val="24"/>
          <w:lang w:val="zh-CN"/>
        </w:rPr>
      </w:pPr>
      <w:r>
        <w:rPr>
          <w:rFonts w:hint="eastAsia" w:ascii="宋体" w:hAnsi="宋体" w:cs="宋体"/>
          <w:kern w:val="0"/>
          <w:sz w:val="24"/>
          <w:lang w:val="zh-CN"/>
        </w:rPr>
        <w:t>根据评分表要求提供相应的业绩证明材料</w:t>
      </w:r>
      <w:r>
        <w:rPr>
          <w:rFonts w:ascii="宋体" w:hAnsi="宋体" w:cs="宋体"/>
          <w:kern w:val="0"/>
          <w:sz w:val="24"/>
          <w:lang w:val="zh-CN"/>
        </w:rPr>
        <w:t>。</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Ansi="宋体"/>
          <w:b/>
          <w:sz w:val="24"/>
          <w:szCs w:val="24"/>
          <w:lang w:val="zh-CN"/>
        </w:rPr>
      </w:pPr>
      <w:bookmarkStart w:id="141" w:name="_Toc3906"/>
      <w:r>
        <w:rPr>
          <w:rFonts w:hint="eastAsia" w:hAnsi="宋体"/>
          <w:b/>
          <w:sz w:val="24"/>
          <w:szCs w:val="24"/>
          <w:lang w:val="zh-CN"/>
        </w:rPr>
        <w:t>格式1</w:t>
      </w:r>
      <w:r>
        <w:rPr>
          <w:rFonts w:hint="eastAsia" w:hAnsi="宋体"/>
          <w:b/>
          <w:sz w:val="24"/>
          <w:szCs w:val="24"/>
          <w:lang w:val="en-US" w:eastAsia="zh-CN"/>
        </w:rPr>
        <w:t>6</w:t>
      </w:r>
      <w:r>
        <w:rPr>
          <w:rFonts w:hint="eastAsia" w:hAnsi="宋体"/>
          <w:b/>
          <w:sz w:val="24"/>
          <w:szCs w:val="24"/>
          <w:lang w:val="zh-CN"/>
        </w:rPr>
        <w:t>、享受政府采购政策优惠的证明资料</w:t>
      </w:r>
      <w:bookmarkEnd w:id="141"/>
    </w:p>
    <w:p>
      <w:pPr>
        <w:spacing w:line="360" w:lineRule="auto"/>
        <w:rPr>
          <w:rFonts w:ascii="宋体" w:hAnsi="宋体"/>
          <w:sz w:val="24"/>
          <w:lang w:val="zh-CN"/>
        </w:rPr>
      </w:pPr>
    </w:p>
    <w:p>
      <w:pPr>
        <w:pStyle w:val="55"/>
        <w:rPr>
          <w:lang w:val="zh-CN"/>
        </w:rPr>
      </w:pPr>
    </w:p>
    <w:p>
      <w:pPr>
        <w:autoSpaceDE w:val="0"/>
        <w:autoSpaceDN w:val="0"/>
        <w:spacing w:line="360" w:lineRule="auto"/>
        <w:jc w:val="center"/>
        <w:rPr>
          <w:b/>
          <w:bCs/>
          <w:kern w:val="0"/>
          <w:sz w:val="28"/>
          <w:szCs w:val="28"/>
        </w:rPr>
      </w:pPr>
      <w:bookmarkStart w:id="142" w:name="_Toc25276"/>
    </w:p>
    <w:p>
      <w:pPr>
        <w:autoSpaceDE w:val="0"/>
        <w:autoSpaceDN w:val="0"/>
        <w:spacing w:line="360" w:lineRule="auto"/>
        <w:jc w:val="center"/>
        <w:rPr>
          <w:b/>
          <w:bCs/>
          <w:kern w:val="0"/>
          <w:sz w:val="28"/>
          <w:szCs w:val="28"/>
        </w:rPr>
      </w:pPr>
      <w:r>
        <w:rPr>
          <w:rFonts w:hint="eastAsia"/>
          <w:b/>
          <w:bCs/>
          <w:kern w:val="0"/>
          <w:sz w:val="28"/>
          <w:szCs w:val="28"/>
        </w:rPr>
        <w:t>节能产品、环境标志产品证明材料</w:t>
      </w:r>
      <w:bookmarkEnd w:id="142"/>
    </w:p>
    <w:p>
      <w:pPr>
        <w:autoSpaceDE w:val="0"/>
        <w:autoSpaceDN w:val="0"/>
        <w:spacing w:line="360" w:lineRule="auto"/>
        <w:jc w:val="center"/>
        <w:rPr>
          <w:b/>
          <w:bCs/>
          <w:kern w:val="0"/>
          <w:sz w:val="28"/>
          <w:szCs w:val="28"/>
        </w:rPr>
      </w:pPr>
    </w:p>
    <w:p>
      <w:pPr>
        <w:autoSpaceDE w:val="0"/>
        <w:autoSpaceDN w:val="0"/>
        <w:spacing w:line="360" w:lineRule="auto"/>
        <w:ind w:firstLine="480" w:firstLineChars="200"/>
        <w:rPr>
          <w:rFonts w:ascii="宋体" w:hAnsi="宋体" w:cs="宋体"/>
          <w:kern w:val="0"/>
          <w:sz w:val="24"/>
          <w:lang w:val="zh-CN"/>
        </w:rPr>
      </w:pPr>
      <w:r>
        <w:rPr>
          <w:rFonts w:hint="eastAsia" w:ascii="宋体" w:hAnsi="宋体" w:cs="仿宋"/>
          <w:kern w:val="0"/>
          <w:sz w:val="24"/>
        </w:rPr>
        <w:t>产品属于品目清单范围的，实施政府优先采购和强制采购。供应商应提供国家确定的认证机构出具的、处于有效期之内的节能产品、环境标志产品认证证书，并加盖供应商单位公章。</w:t>
      </w: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rPr>
          <w:rFonts w:ascii="宋体" w:hAnsi="宋体" w:cs="宋体"/>
          <w:kern w:val="0"/>
          <w:sz w:val="24"/>
          <w:lang w:val="zh-CN"/>
        </w:rPr>
      </w:pPr>
    </w:p>
    <w:p>
      <w:pPr>
        <w:autoSpaceDE w:val="0"/>
        <w:autoSpaceDN w:val="0"/>
        <w:spacing w:line="360" w:lineRule="auto"/>
        <w:jc w:val="right"/>
        <w:rPr>
          <w:rFonts w:ascii="宋体" w:hAnsi="宋体"/>
          <w:bCs/>
          <w:sz w:val="24"/>
        </w:rPr>
      </w:pPr>
    </w:p>
    <w:p>
      <w:pPr>
        <w:autoSpaceDE w:val="0"/>
        <w:autoSpaceDN w:val="0"/>
        <w:spacing w:line="360" w:lineRule="auto"/>
        <w:jc w:val="right"/>
        <w:rPr>
          <w:rFonts w:ascii="宋体" w:hAnsi="宋体"/>
          <w:bCs/>
          <w:sz w:val="24"/>
        </w:rPr>
      </w:pPr>
    </w:p>
    <w:p>
      <w:pPr>
        <w:autoSpaceDE w:val="0"/>
        <w:autoSpaceDN w:val="0"/>
        <w:spacing w:line="360" w:lineRule="auto"/>
        <w:jc w:val="right"/>
        <w:rPr>
          <w:rFonts w:ascii="宋体" w:hAnsi="宋体" w:cs="宋体"/>
          <w:b/>
          <w:bCs/>
          <w:kern w:val="0"/>
          <w:sz w:val="24"/>
          <w:lang w:val="zh-CN"/>
        </w:rPr>
      </w:pPr>
    </w:p>
    <w:p>
      <w:pPr>
        <w:autoSpaceDE w:val="0"/>
        <w:autoSpaceDN w:val="0"/>
        <w:spacing w:line="360" w:lineRule="auto"/>
        <w:jc w:val="center"/>
        <w:rPr>
          <w:rFonts w:hAnsi="宋体"/>
          <w:sz w:val="24"/>
          <w:lang w:val="zh-CN"/>
        </w:rPr>
      </w:pPr>
      <w:r>
        <w:rPr>
          <w:rFonts w:hAnsi="宋体"/>
          <w:sz w:val="24"/>
          <w:lang w:val="zh-CN"/>
        </w:rPr>
        <w:br w:type="page"/>
      </w:r>
    </w:p>
    <w:p>
      <w:pPr>
        <w:autoSpaceDE w:val="0"/>
        <w:autoSpaceDN w:val="0"/>
        <w:spacing w:line="360" w:lineRule="auto"/>
        <w:jc w:val="center"/>
        <w:rPr>
          <w:rFonts w:hAnsi="宋体"/>
          <w:sz w:val="24"/>
          <w:lang w:val="zh-CN"/>
        </w:rPr>
      </w:pPr>
    </w:p>
    <w:p>
      <w:pPr>
        <w:pStyle w:val="9"/>
        <w:numPr>
          <w:ilvl w:val="0"/>
          <w:numId w:val="0"/>
        </w:numPr>
        <w:ind w:left="709" w:hanging="709"/>
        <w:rPr>
          <w:rFonts w:hAnsi="宋体"/>
          <w:b/>
          <w:sz w:val="24"/>
          <w:szCs w:val="24"/>
          <w:lang w:val="zh-CN"/>
        </w:rPr>
      </w:pPr>
      <w:r>
        <w:rPr>
          <w:rFonts w:hint="eastAsia" w:hAnsi="宋体"/>
          <w:b/>
          <w:sz w:val="24"/>
          <w:szCs w:val="24"/>
          <w:lang w:val="zh-CN"/>
        </w:rPr>
        <w:t>格式1</w:t>
      </w:r>
      <w:r>
        <w:rPr>
          <w:rFonts w:hint="eastAsia" w:hAnsi="宋体"/>
          <w:b/>
          <w:sz w:val="24"/>
          <w:szCs w:val="24"/>
          <w:lang w:val="en-US" w:eastAsia="zh-CN"/>
        </w:rPr>
        <w:t>7</w:t>
      </w:r>
      <w:r>
        <w:rPr>
          <w:rFonts w:hint="eastAsia" w:hAnsi="宋体"/>
          <w:b/>
          <w:sz w:val="24"/>
          <w:szCs w:val="24"/>
          <w:lang w:val="zh-CN"/>
        </w:rPr>
        <w:t>、享受政府采购政策优惠的证明资料</w:t>
      </w:r>
    </w:p>
    <w:p>
      <w:pPr>
        <w:autoSpaceDE w:val="0"/>
        <w:autoSpaceDN w:val="0"/>
        <w:spacing w:line="360" w:lineRule="auto"/>
        <w:jc w:val="center"/>
        <w:rPr>
          <w:rFonts w:hint="eastAsia"/>
          <w:b/>
          <w:bCs/>
          <w:kern w:val="0"/>
          <w:sz w:val="28"/>
          <w:szCs w:val="28"/>
        </w:rPr>
      </w:pPr>
    </w:p>
    <w:p>
      <w:pPr>
        <w:autoSpaceDE w:val="0"/>
        <w:autoSpaceDN w:val="0"/>
        <w:spacing w:line="360" w:lineRule="auto"/>
        <w:jc w:val="center"/>
        <w:rPr>
          <w:rFonts w:hint="eastAsia"/>
          <w:b/>
          <w:bCs/>
          <w:kern w:val="0"/>
          <w:sz w:val="28"/>
          <w:szCs w:val="28"/>
        </w:rPr>
      </w:pPr>
      <w:r>
        <w:rPr>
          <w:rFonts w:hint="eastAsia"/>
          <w:b/>
          <w:bCs/>
          <w:kern w:val="0"/>
          <w:sz w:val="28"/>
          <w:szCs w:val="28"/>
        </w:rPr>
        <w:t>制造（生产）企业小型、微型企业声明函</w:t>
      </w:r>
    </w:p>
    <w:p>
      <w:pPr>
        <w:pStyle w:val="12"/>
        <w:rPr>
          <w:rFonts w:hint="eastAsia" w:eastAsia="宋体"/>
          <w:lang w:eastAsia="zh-CN"/>
        </w:rPr>
      </w:pPr>
      <w:r>
        <w:t>致：</w:t>
      </w:r>
      <w:r>
        <w:rPr>
          <w:rFonts w:hint="eastAsia"/>
          <w:lang w:eastAsia="zh-CN"/>
        </w:rPr>
        <w:t>河南省建科建设监理有限公司</w:t>
      </w:r>
    </w:p>
    <w:p>
      <w:pPr>
        <w:pStyle w:val="3"/>
        <w:spacing w:before="8"/>
        <w:rPr>
          <w:b/>
          <w:sz w:val="23"/>
        </w:rPr>
      </w:pPr>
    </w:p>
    <w:p>
      <w:pPr>
        <w:pStyle w:val="3"/>
        <w:tabs>
          <w:tab w:val="left" w:pos="2740"/>
        </w:tabs>
        <w:spacing w:before="1" w:line="458" w:lineRule="auto"/>
        <w:ind w:right="1135" w:firstLine="720" w:firstLineChars="300"/>
        <w:jc w:val="both"/>
        <w:rPr>
          <w:rFonts w:hint="eastAsia" w:ascii="宋体" w:hAnsi="宋体" w:eastAsia="宋体" w:cs="仿宋"/>
          <w:kern w:val="0"/>
          <w:sz w:val="24"/>
          <w:szCs w:val="24"/>
          <w:lang w:val="en-US" w:eastAsia="zh-CN" w:bidi="ar-SA"/>
        </w:rPr>
      </w:pPr>
      <w:r>
        <w:rPr>
          <w:rFonts w:hint="eastAsia" w:ascii="宋体" w:hAnsi="宋体" w:eastAsia="宋体" w:cs="仿宋"/>
          <w:kern w:val="0"/>
          <w:sz w:val="24"/>
          <w:szCs w:val="24"/>
          <w:lang w:val="en-US" w:eastAsia="zh-CN" w:bidi="ar-SA"/>
        </w:rPr>
        <w:t xml:space="preserve">本公司郑重声明，根据《政府采购促进中小企业发展管理办法》（财库〔2020〕46号）的规   定，本公司为 </w:t>
      </w:r>
      <w:r>
        <w:rPr>
          <w:rFonts w:hint="eastAsia" w:ascii="宋体" w:hAnsi="宋体" w:eastAsia="宋体" w:cs="仿宋"/>
          <w:kern w:val="0"/>
          <w:sz w:val="24"/>
          <w:szCs w:val="24"/>
          <w:lang w:val="en-US" w:eastAsia="zh-CN" w:bidi="ar-SA"/>
        </w:rPr>
        <w:tab/>
      </w:r>
      <w:r>
        <w:rPr>
          <w:rFonts w:hint="eastAsia" w:ascii="宋体" w:hAnsi="宋体" w:eastAsia="宋体" w:cs="仿宋"/>
          <w:kern w:val="0"/>
          <w:sz w:val="24"/>
          <w:szCs w:val="24"/>
          <w:lang w:val="en-US" w:eastAsia="zh-CN" w:bidi="ar-SA"/>
        </w:rPr>
        <w:t>（请填写：小型、微型）企业。即，本公司满足以下条件：《工业和信息化  部、国家统计局、国家发展和改革委员会、财政部关于印发中小企业划型标准规定的通知》（工   信部联企业〔2011〕300号）规定的划分标准。</w:t>
      </w:r>
    </w:p>
    <w:p>
      <w:pPr>
        <w:pStyle w:val="3"/>
        <w:spacing w:line="255" w:lineRule="exact"/>
        <w:ind w:left="1360"/>
      </w:pPr>
      <w:r>
        <w:t>本公司对上述声明的真实性负责。如有虚假，将依法承担相应责任。</w:t>
      </w:r>
    </w:p>
    <w:p>
      <w:pPr>
        <w:spacing w:line="480" w:lineRule="auto"/>
        <w:jc w:val="right"/>
        <w:rPr>
          <w:b/>
          <w:bCs/>
          <w:kern w:val="0"/>
        </w:rPr>
      </w:pPr>
    </w:p>
    <w:p>
      <w:pPr>
        <w:adjustRightInd w:val="0"/>
        <w:snapToGrid w:val="0"/>
        <w:spacing w:line="440" w:lineRule="exact"/>
        <w:ind w:left="6114" w:hanging="6114" w:hangingChars="2900"/>
        <w:jc w:val="center"/>
        <w:rPr>
          <w:b/>
          <w:bCs/>
          <w:kern w:val="0"/>
          <w:lang w:val="zh-CN"/>
        </w:rPr>
      </w:pPr>
    </w:p>
    <w:p>
      <w:pPr>
        <w:spacing w:before="120" w:beforeLines="50" w:line="560" w:lineRule="exact"/>
        <w:ind w:firstLine="5280" w:firstLineChars="2200"/>
        <w:jc w:val="both"/>
        <w:rPr>
          <w:rFonts w:hint="eastAsia" w:ascii="宋体" w:hAnsi="宋体" w:cs="仿宋"/>
          <w:kern w:val="0"/>
          <w:sz w:val="24"/>
        </w:rPr>
      </w:pPr>
      <w:bookmarkStart w:id="143" w:name="_Toc30801"/>
      <w:bookmarkStart w:id="144" w:name="_Toc9477"/>
    </w:p>
    <w:p>
      <w:pPr>
        <w:spacing w:before="120" w:beforeLines="50" w:line="560" w:lineRule="exact"/>
        <w:ind w:firstLine="5280" w:firstLineChars="2200"/>
        <w:jc w:val="both"/>
        <w:rPr>
          <w:rFonts w:hint="eastAsia" w:ascii="宋体" w:hAnsi="宋体" w:cs="仿宋"/>
          <w:kern w:val="0"/>
          <w:sz w:val="24"/>
        </w:rPr>
      </w:pPr>
    </w:p>
    <w:p>
      <w:pPr>
        <w:spacing w:before="120" w:beforeLines="50" w:line="560" w:lineRule="exact"/>
        <w:ind w:firstLine="5280" w:firstLineChars="2200"/>
        <w:jc w:val="both"/>
        <w:rPr>
          <w:rFonts w:hint="eastAsia" w:ascii="宋体" w:hAnsi="宋体" w:cs="仿宋"/>
          <w:kern w:val="0"/>
          <w:sz w:val="24"/>
        </w:rPr>
      </w:pPr>
    </w:p>
    <w:p>
      <w:pPr>
        <w:spacing w:before="120" w:beforeLines="50" w:line="560" w:lineRule="exact"/>
        <w:ind w:firstLine="5280" w:firstLineChars="2200"/>
        <w:jc w:val="both"/>
        <w:rPr>
          <w:rFonts w:hint="eastAsia" w:ascii="宋体" w:hAnsi="宋体" w:cs="仿宋"/>
          <w:kern w:val="0"/>
          <w:sz w:val="24"/>
        </w:rPr>
      </w:pPr>
    </w:p>
    <w:p>
      <w:pPr>
        <w:spacing w:before="120" w:beforeLines="50" w:line="560" w:lineRule="exact"/>
        <w:ind w:firstLine="5280" w:firstLineChars="2200"/>
        <w:jc w:val="both"/>
        <w:rPr>
          <w:rFonts w:hint="eastAsia" w:ascii="宋体" w:hAnsi="宋体" w:cs="仿宋"/>
          <w:kern w:val="0"/>
          <w:sz w:val="24"/>
        </w:rPr>
      </w:pPr>
    </w:p>
    <w:p>
      <w:pPr>
        <w:spacing w:before="120" w:beforeLines="50" w:line="560" w:lineRule="exact"/>
        <w:ind w:firstLine="6000" w:firstLineChars="2500"/>
        <w:jc w:val="both"/>
        <w:rPr>
          <w:rFonts w:ascii="宋体" w:hAnsi="宋体" w:cs="仿宋"/>
          <w:kern w:val="0"/>
          <w:sz w:val="24"/>
        </w:rPr>
      </w:pPr>
      <w:r>
        <w:rPr>
          <w:rFonts w:hint="eastAsia" w:ascii="宋体" w:hAnsi="宋体" w:cs="仿宋"/>
          <w:kern w:val="0"/>
          <w:sz w:val="24"/>
        </w:rPr>
        <w:t>单位名称：       （公章）</w:t>
      </w:r>
    </w:p>
    <w:p>
      <w:pPr>
        <w:spacing w:before="120" w:beforeLines="50" w:line="560" w:lineRule="exact"/>
        <w:ind w:firstLine="480" w:firstLineChars="200"/>
        <w:jc w:val="right"/>
        <w:rPr>
          <w:rFonts w:ascii="宋体" w:hAnsi="宋体" w:cs="仿宋"/>
          <w:kern w:val="0"/>
          <w:sz w:val="24"/>
        </w:rPr>
      </w:pPr>
      <w:r>
        <w:rPr>
          <w:rFonts w:hint="eastAsia" w:ascii="宋体" w:hAnsi="宋体" w:cs="仿宋"/>
          <w:kern w:val="0"/>
          <w:sz w:val="24"/>
        </w:rPr>
        <w:t xml:space="preserve">        法定代表人或委托代理人：       （签字或盖章）</w:t>
      </w:r>
    </w:p>
    <w:p>
      <w:pPr>
        <w:spacing w:before="120" w:beforeLines="50" w:line="560" w:lineRule="exact"/>
        <w:ind w:firstLine="640" w:firstLineChars="200"/>
        <w:jc w:val="center"/>
        <w:rPr>
          <w:rFonts w:ascii="宋体" w:hAnsi="宋体" w:cs="仿宋"/>
          <w:kern w:val="0"/>
          <w:sz w:val="24"/>
        </w:rPr>
      </w:pPr>
      <w:r>
        <w:rPr>
          <w:rFonts w:hint="eastAsia" w:ascii="仿宋_GB2312" w:hAnsi="仿宋_GB2312" w:eastAsia="仿宋_GB2312" w:cs="仿宋_GB2312"/>
          <w:bCs/>
          <w:color w:val="000000"/>
          <w:sz w:val="32"/>
          <w:szCs w:val="32"/>
        </w:rPr>
        <w:t xml:space="preserve">                                    </w:t>
      </w:r>
      <w:r>
        <w:rPr>
          <w:rFonts w:hint="eastAsia" w:ascii="宋体" w:hAnsi="宋体" w:cs="仿宋"/>
          <w:kern w:val="0"/>
          <w:sz w:val="24"/>
        </w:rPr>
        <w:t>年   月  日</w:t>
      </w:r>
    </w:p>
    <w:p>
      <w:pPr>
        <w:pStyle w:val="33"/>
        <w:jc w:val="both"/>
        <w:rPr>
          <w:rFonts w:ascii="Times New Roman" w:hAnsi="Times New Roman"/>
          <w:sz w:val="30"/>
          <w:szCs w:val="30"/>
        </w:rPr>
      </w:pPr>
    </w:p>
    <w:p/>
    <w:p>
      <w:pPr>
        <w:autoSpaceDE w:val="0"/>
        <w:autoSpaceDN w:val="0"/>
        <w:spacing w:line="360" w:lineRule="auto"/>
        <w:jc w:val="center"/>
        <w:rPr>
          <w:sz w:val="30"/>
          <w:szCs w:val="30"/>
        </w:rPr>
      </w:pPr>
    </w:p>
    <w:p>
      <w:pPr>
        <w:pStyle w:val="2"/>
        <w:rPr>
          <w:sz w:val="30"/>
          <w:szCs w:val="30"/>
        </w:rPr>
      </w:pPr>
    </w:p>
    <w:p>
      <w:pPr>
        <w:pStyle w:val="2"/>
        <w:rPr>
          <w:sz w:val="30"/>
          <w:szCs w:val="30"/>
        </w:rPr>
      </w:pPr>
    </w:p>
    <w:p>
      <w:pPr>
        <w:autoSpaceDE w:val="0"/>
        <w:autoSpaceDN w:val="0"/>
        <w:spacing w:line="360" w:lineRule="auto"/>
        <w:jc w:val="center"/>
        <w:rPr>
          <w:b/>
          <w:bCs/>
          <w:kern w:val="0"/>
          <w:sz w:val="28"/>
          <w:szCs w:val="28"/>
        </w:rPr>
      </w:pPr>
      <w:r>
        <w:rPr>
          <w:rFonts w:hint="eastAsia"/>
          <w:b/>
          <w:bCs/>
          <w:kern w:val="0"/>
          <w:sz w:val="28"/>
          <w:szCs w:val="28"/>
        </w:rPr>
        <w:t>监狱企业证明资料</w:t>
      </w:r>
      <w:bookmarkEnd w:id="143"/>
      <w:bookmarkEnd w:id="144"/>
    </w:p>
    <w:p>
      <w:pPr>
        <w:autoSpaceDE w:val="0"/>
        <w:autoSpaceDN w:val="0"/>
        <w:spacing w:line="360" w:lineRule="auto"/>
        <w:jc w:val="center"/>
        <w:rPr>
          <w:rFonts w:ascii="楷体" w:hAnsi="楷体" w:eastAsia="楷体" w:cs="楷体"/>
          <w:sz w:val="32"/>
          <w:szCs w:val="32"/>
        </w:rPr>
      </w:pPr>
    </w:p>
    <w:p>
      <w:pPr>
        <w:adjustRightInd w:val="0"/>
        <w:snapToGrid w:val="0"/>
        <w:spacing w:line="560" w:lineRule="exact"/>
        <w:jc w:val="center"/>
        <w:rPr>
          <w:rFonts w:ascii="仿宋_GB2312" w:hAnsi="仿宋_GB2312" w:eastAsia="仿宋_GB2312" w:cs="仿宋_GB2312"/>
          <w:sz w:val="32"/>
          <w:szCs w:val="32"/>
        </w:rPr>
      </w:pPr>
      <w:bookmarkStart w:id="145" w:name="_Toc25903_WPSOffice_Level3"/>
      <w:bookmarkStart w:id="146" w:name="_Toc28022_WPSOffice_Level3"/>
      <w:r>
        <w:rPr>
          <w:rFonts w:hint="eastAsia" w:ascii="仿宋_GB2312" w:hAnsi="仿宋_GB2312" w:eastAsia="仿宋_GB2312" w:cs="仿宋_GB2312"/>
          <w:b/>
          <w:spacing w:val="6"/>
          <w:sz w:val="32"/>
          <w:szCs w:val="32"/>
        </w:rPr>
        <w:t>(不属于监狱企业的无需提供)</w:t>
      </w:r>
      <w:bookmarkEnd w:id="145"/>
      <w:bookmarkEnd w:id="146"/>
    </w:p>
    <w:p>
      <w:pPr>
        <w:adjustRightInd w:val="0"/>
        <w:snapToGrid w:val="0"/>
        <w:spacing w:line="560" w:lineRule="exact"/>
        <w:ind w:firstLine="480" w:firstLineChars="200"/>
        <w:rPr>
          <w:rFonts w:ascii="宋体" w:hAnsi="宋体" w:cs="仿宋"/>
          <w:kern w:val="0"/>
          <w:sz w:val="24"/>
        </w:rPr>
      </w:pPr>
      <w:r>
        <w:rPr>
          <w:rFonts w:hint="eastAsia" w:ascii="宋体" w:hAnsi="宋体" w:cs="仿宋"/>
          <w:kern w:val="0"/>
          <w:sz w:val="24"/>
        </w:rPr>
        <w:t>备注：按《财政部司法部关于政府采购支持监狱企业发展有关问题的通知》(财库〔2014〕68号)文件规定提供证明文件（复印件）。</w:t>
      </w:r>
    </w:p>
    <w:p>
      <w:pPr>
        <w:spacing w:before="120" w:beforeLines="50" w:line="560" w:lineRule="exact"/>
        <w:ind w:firstLine="480" w:firstLineChars="200"/>
        <w:jc w:val="right"/>
        <w:rPr>
          <w:rFonts w:ascii="宋体" w:hAnsi="宋体" w:cs="仿宋"/>
          <w:kern w:val="0"/>
          <w:sz w:val="24"/>
        </w:rPr>
      </w:pPr>
      <w:r>
        <w:rPr>
          <w:rFonts w:hint="eastAsia" w:ascii="宋体" w:hAnsi="宋体" w:cs="仿宋"/>
          <w:kern w:val="0"/>
          <w:sz w:val="24"/>
        </w:rPr>
        <w:t xml:space="preserve">                 </w:t>
      </w:r>
      <w:bookmarkStart w:id="147" w:name="_Toc22071_WPSOffice_Level3"/>
    </w:p>
    <w:p>
      <w:pPr>
        <w:spacing w:before="120" w:beforeLines="50" w:line="560" w:lineRule="exact"/>
        <w:jc w:val="both"/>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pStyle w:val="2"/>
        <w:rPr>
          <w:rFonts w:ascii="宋体" w:hAnsi="宋体" w:cs="仿宋"/>
          <w:kern w:val="0"/>
          <w:sz w:val="24"/>
        </w:rPr>
      </w:pPr>
    </w:p>
    <w:p>
      <w:pPr>
        <w:spacing w:before="120" w:beforeLines="50" w:line="560" w:lineRule="exact"/>
        <w:ind w:firstLine="480" w:firstLineChars="200"/>
        <w:jc w:val="right"/>
        <w:rPr>
          <w:rFonts w:ascii="宋体" w:hAnsi="宋体" w:cs="仿宋"/>
          <w:kern w:val="0"/>
          <w:sz w:val="24"/>
        </w:rPr>
      </w:pPr>
      <w:r>
        <w:rPr>
          <w:rFonts w:hint="eastAsia" w:ascii="宋体" w:hAnsi="宋体" w:cs="仿宋"/>
          <w:kern w:val="0"/>
          <w:sz w:val="24"/>
        </w:rPr>
        <w:t>单位名称：       （公章）</w:t>
      </w:r>
      <w:bookmarkEnd w:id="147"/>
    </w:p>
    <w:p>
      <w:pPr>
        <w:spacing w:before="120" w:beforeLines="50" w:line="560" w:lineRule="exact"/>
        <w:ind w:firstLine="480" w:firstLineChars="200"/>
        <w:jc w:val="right"/>
        <w:rPr>
          <w:rFonts w:ascii="宋体" w:hAnsi="宋体" w:cs="仿宋"/>
          <w:kern w:val="0"/>
          <w:sz w:val="24"/>
        </w:rPr>
      </w:pPr>
      <w:r>
        <w:rPr>
          <w:rFonts w:hint="eastAsia" w:ascii="宋体" w:hAnsi="宋体" w:cs="仿宋"/>
          <w:kern w:val="0"/>
          <w:sz w:val="24"/>
        </w:rPr>
        <w:t xml:space="preserve">        </w:t>
      </w:r>
      <w:bookmarkStart w:id="148" w:name="_Toc11539_WPSOffice_Level3"/>
      <w:r>
        <w:rPr>
          <w:rFonts w:hint="eastAsia" w:ascii="宋体" w:hAnsi="宋体" w:cs="仿宋"/>
          <w:kern w:val="0"/>
          <w:sz w:val="24"/>
        </w:rPr>
        <w:t>法定代表人或委托代理人：       （签字或盖章）</w:t>
      </w:r>
      <w:bookmarkEnd w:id="148"/>
    </w:p>
    <w:p>
      <w:pPr>
        <w:spacing w:before="120" w:beforeLines="50" w:line="560" w:lineRule="exact"/>
        <w:ind w:firstLine="640" w:firstLineChars="200"/>
        <w:jc w:val="center"/>
        <w:rPr>
          <w:rFonts w:ascii="宋体" w:hAnsi="宋体" w:cs="仿宋"/>
          <w:kern w:val="0"/>
          <w:sz w:val="24"/>
        </w:rPr>
      </w:pPr>
      <w:r>
        <w:rPr>
          <w:rFonts w:hint="eastAsia" w:ascii="仿宋_GB2312" w:hAnsi="仿宋_GB2312" w:eastAsia="仿宋_GB2312" w:cs="仿宋_GB2312"/>
          <w:bCs/>
          <w:color w:val="000000"/>
          <w:sz w:val="32"/>
          <w:szCs w:val="32"/>
        </w:rPr>
        <w:t xml:space="preserve">                                    </w:t>
      </w:r>
      <w:bookmarkStart w:id="149" w:name="_Toc3285_WPSOffice_Level3"/>
      <w:r>
        <w:rPr>
          <w:rFonts w:hint="eastAsia" w:ascii="宋体" w:hAnsi="宋体" w:cs="仿宋"/>
          <w:kern w:val="0"/>
          <w:sz w:val="24"/>
        </w:rPr>
        <w:t>年   月  日</w:t>
      </w:r>
      <w:bookmarkEnd w:id="149"/>
    </w:p>
    <w:p>
      <w:pPr>
        <w:pStyle w:val="33"/>
        <w:jc w:val="both"/>
        <w:rPr>
          <w:rFonts w:ascii="Times New Roman" w:hAnsi="Times New Roman"/>
          <w:sz w:val="30"/>
          <w:szCs w:val="30"/>
        </w:rPr>
      </w:pPr>
    </w:p>
    <w:p/>
    <w:p>
      <w:pPr>
        <w:autoSpaceDE w:val="0"/>
        <w:autoSpaceDN w:val="0"/>
        <w:spacing w:line="360" w:lineRule="auto"/>
        <w:jc w:val="center"/>
        <w:rPr>
          <w:b/>
          <w:bCs/>
          <w:kern w:val="0"/>
          <w:sz w:val="28"/>
          <w:szCs w:val="28"/>
          <w:lang w:val="zh-CN"/>
        </w:rPr>
      </w:pPr>
      <w:r>
        <w:rPr>
          <w:b/>
          <w:bCs/>
          <w:kern w:val="0"/>
          <w:sz w:val="28"/>
          <w:szCs w:val="28"/>
          <w:lang w:val="zh-CN"/>
        </w:rPr>
        <w:br w:type="page"/>
      </w:r>
    </w:p>
    <w:p>
      <w:pPr>
        <w:autoSpaceDE w:val="0"/>
        <w:autoSpaceDN w:val="0"/>
        <w:spacing w:line="360" w:lineRule="auto"/>
        <w:jc w:val="center"/>
        <w:rPr>
          <w:b/>
          <w:bCs/>
          <w:kern w:val="0"/>
          <w:sz w:val="28"/>
          <w:szCs w:val="28"/>
        </w:rPr>
      </w:pPr>
      <w:r>
        <w:rPr>
          <w:b/>
          <w:bCs/>
          <w:kern w:val="0"/>
          <w:sz w:val="28"/>
          <w:szCs w:val="28"/>
        </w:rPr>
        <w:t>残疾人福利性单位声明函</w:t>
      </w:r>
    </w:p>
    <w:p>
      <w:pPr>
        <w:pStyle w:val="55"/>
      </w:pPr>
    </w:p>
    <w:p>
      <w:pPr>
        <w:spacing w:after="120" w:afterLines="50"/>
        <w:rPr>
          <w:bCs/>
        </w:rPr>
      </w:pPr>
    </w:p>
    <w:p>
      <w:pPr>
        <w:adjustRightInd w:val="0"/>
        <w:snapToGrid w:val="0"/>
        <w:spacing w:line="440" w:lineRule="exact"/>
        <w:ind w:left="6987" w:hanging="6987" w:hangingChars="2900"/>
        <w:rPr>
          <w:b/>
          <w:bCs/>
          <w:kern w:val="0"/>
          <w:sz w:val="24"/>
          <w:lang w:val="zh-CN"/>
        </w:rPr>
      </w:pPr>
      <w:r>
        <w:rPr>
          <w:b/>
          <w:bCs/>
          <w:kern w:val="0"/>
          <w:sz w:val="24"/>
          <w:lang w:val="zh-CN"/>
        </w:rPr>
        <w:t>致：</w:t>
      </w:r>
      <w:r>
        <w:rPr>
          <w:rFonts w:hint="eastAsia"/>
          <w:b/>
          <w:bCs/>
          <w:kern w:val="0"/>
          <w:sz w:val="24"/>
          <w:lang w:val="zh-CN"/>
        </w:rPr>
        <w:t>河南省建科建设监理有限公司</w:t>
      </w:r>
    </w:p>
    <w:p>
      <w:pPr>
        <w:spacing w:line="360" w:lineRule="auto"/>
        <w:ind w:firstLine="480"/>
      </w:pPr>
    </w:p>
    <w:p>
      <w:pPr>
        <w:adjustRightInd w:val="0"/>
        <w:snapToGrid w:val="0"/>
        <w:spacing w:line="440" w:lineRule="exact"/>
        <w:ind w:left="-4" w:leftChars="-2" w:firstLine="480" w:firstLineChars="200"/>
        <w:rPr>
          <w:sz w:val="24"/>
        </w:rPr>
      </w:pPr>
      <w:r>
        <w:rPr>
          <w:sz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40" w:lineRule="exact"/>
        <w:ind w:left="-4" w:leftChars="-2" w:firstLine="480" w:firstLineChars="200"/>
        <w:rPr>
          <w:sz w:val="24"/>
        </w:rPr>
      </w:pPr>
      <w:r>
        <w:rPr>
          <w:sz w:val="24"/>
        </w:rPr>
        <w:t>本单位对上述声明的真实性负责。如有虚假，将依法承担相应责任。</w:t>
      </w:r>
    </w:p>
    <w:p>
      <w:pPr>
        <w:adjustRightInd w:val="0"/>
        <w:snapToGrid w:val="0"/>
        <w:spacing w:line="440" w:lineRule="exact"/>
        <w:ind w:left="-4" w:leftChars="-2" w:firstLine="480" w:firstLineChars="200"/>
        <w:rPr>
          <w:sz w:val="24"/>
        </w:rPr>
      </w:pPr>
    </w:p>
    <w:p>
      <w:pPr>
        <w:adjustRightInd w:val="0"/>
        <w:snapToGrid w:val="0"/>
        <w:spacing w:line="440" w:lineRule="exact"/>
        <w:ind w:left="-4" w:leftChars="-2" w:firstLine="480" w:firstLineChars="200"/>
        <w:rPr>
          <w:sz w:val="24"/>
        </w:rPr>
      </w:pPr>
      <w:r>
        <w:rPr>
          <w:sz w:val="24"/>
        </w:rPr>
        <w:t>注：若无此项内容，可不提供此函。</w:t>
      </w:r>
    </w:p>
    <w:p>
      <w:pPr>
        <w:spacing w:line="360" w:lineRule="auto"/>
        <w:ind w:firstLine="480"/>
      </w:pPr>
    </w:p>
    <w:p>
      <w:pPr>
        <w:spacing w:line="360" w:lineRule="auto"/>
        <w:ind w:firstLine="480"/>
      </w:pPr>
    </w:p>
    <w:p>
      <w:pPr>
        <w:spacing w:line="360" w:lineRule="auto"/>
      </w:pPr>
    </w:p>
    <w:p>
      <w:pPr>
        <w:spacing w:line="360" w:lineRule="auto"/>
        <w:ind w:firstLine="480"/>
      </w:pPr>
    </w:p>
    <w:p>
      <w:pPr>
        <w:spacing w:line="360" w:lineRule="auto"/>
        <w:ind w:firstLine="480"/>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ind w:firstLine="480"/>
      </w:pPr>
    </w:p>
    <w:p>
      <w:pPr>
        <w:spacing w:line="360" w:lineRule="auto"/>
        <w:ind w:firstLine="480"/>
      </w:pPr>
    </w:p>
    <w:p>
      <w:pPr>
        <w:autoSpaceDE w:val="0"/>
        <w:autoSpaceDN w:val="0"/>
        <w:spacing w:line="360" w:lineRule="auto"/>
        <w:jc w:val="right"/>
        <w:rPr>
          <w:bCs/>
          <w:sz w:val="24"/>
          <w:szCs w:val="28"/>
        </w:rPr>
      </w:pPr>
      <w:r>
        <w:rPr>
          <w:b/>
        </w:rPr>
        <w:t xml:space="preserve">                                </w:t>
      </w:r>
      <w:r>
        <w:rPr>
          <w:bCs/>
          <w:sz w:val="24"/>
          <w:szCs w:val="28"/>
        </w:rPr>
        <w:t>企业名称：       （公章）</w:t>
      </w:r>
    </w:p>
    <w:p>
      <w:pPr>
        <w:autoSpaceDE w:val="0"/>
        <w:autoSpaceDN w:val="0"/>
        <w:spacing w:line="360" w:lineRule="auto"/>
        <w:jc w:val="right"/>
        <w:rPr>
          <w:bCs/>
          <w:sz w:val="24"/>
          <w:szCs w:val="28"/>
        </w:rPr>
      </w:pPr>
      <w:r>
        <w:rPr>
          <w:bCs/>
          <w:sz w:val="24"/>
          <w:szCs w:val="28"/>
        </w:rPr>
        <w:t xml:space="preserve">       企业法定代表人：       （签字或盖章）</w:t>
      </w:r>
    </w:p>
    <w:p>
      <w:pPr>
        <w:autoSpaceDE w:val="0"/>
        <w:autoSpaceDN w:val="0"/>
        <w:spacing w:line="360" w:lineRule="auto"/>
        <w:jc w:val="right"/>
        <w:rPr>
          <w:bCs/>
          <w:sz w:val="24"/>
          <w:szCs w:val="28"/>
        </w:rPr>
      </w:pPr>
      <w:r>
        <w:rPr>
          <w:bCs/>
          <w:sz w:val="24"/>
          <w:szCs w:val="28"/>
        </w:rPr>
        <w:t xml:space="preserve">                                                              年   月  日</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9"/>
        <w:numPr>
          <w:ilvl w:val="0"/>
          <w:numId w:val="0"/>
        </w:numPr>
        <w:rPr>
          <w:rFonts w:hAnsi="宋体"/>
          <w:bCs/>
          <w:sz w:val="24"/>
          <w:szCs w:val="24"/>
        </w:rPr>
      </w:pPr>
      <w:r>
        <w:rPr>
          <w:rFonts w:hAnsi="宋体"/>
          <w:bCs/>
          <w:sz w:val="24"/>
          <w:szCs w:val="24"/>
        </w:rPr>
        <w:br w:type="page"/>
      </w:r>
      <w:bookmarkStart w:id="150" w:name="_Toc31287"/>
    </w:p>
    <w:p>
      <w:pPr>
        <w:pStyle w:val="9"/>
        <w:numPr>
          <w:ilvl w:val="0"/>
          <w:numId w:val="0"/>
        </w:numPr>
        <w:rPr>
          <w:rFonts w:hAnsi="宋体"/>
          <w:bCs/>
          <w:sz w:val="24"/>
          <w:szCs w:val="24"/>
        </w:rPr>
      </w:pPr>
    </w:p>
    <w:p>
      <w:pPr>
        <w:pStyle w:val="9"/>
        <w:numPr>
          <w:ilvl w:val="0"/>
          <w:numId w:val="0"/>
        </w:numPr>
        <w:rPr>
          <w:rFonts w:hint="eastAsia" w:hAnsi="宋体"/>
          <w:b/>
          <w:sz w:val="24"/>
          <w:szCs w:val="24"/>
          <w:lang w:val="zh-CN"/>
        </w:rPr>
      </w:pPr>
      <w:bookmarkStart w:id="151" w:name="_Toc24256"/>
      <w:r>
        <w:rPr>
          <w:rFonts w:hint="eastAsia" w:hAnsi="宋体"/>
          <w:b/>
          <w:sz w:val="24"/>
          <w:szCs w:val="24"/>
          <w:lang w:val="zh-CN"/>
        </w:rPr>
        <w:t>格式1</w:t>
      </w:r>
      <w:r>
        <w:rPr>
          <w:rFonts w:hint="eastAsia" w:hAnsi="宋体"/>
          <w:b/>
          <w:sz w:val="24"/>
          <w:szCs w:val="24"/>
          <w:lang w:val="en-US" w:eastAsia="zh-CN"/>
        </w:rPr>
        <w:t>8</w:t>
      </w:r>
      <w:r>
        <w:rPr>
          <w:rFonts w:hint="eastAsia" w:hAnsi="宋体"/>
          <w:b/>
          <w:sz w:val="24"/>
          <w:szCs w:val="24"/>
          <w:lang w:val="zh-CN"/>
        </w:rPr>
        <w:t>、磋商供应商认为在其他方面有必要说明的事项</w:t>
      </w:r>
      <w:bookmarkEnd w:id="150"/>
      <w:bookmarkEnd w:id="151"/>
    </w:p>
    <w:p/>
    <w:p>
      <w:pPr>
        <w:autoSpaceDE w:val="0"/>
        <w:autoSpaceDN w:val="0"/>
        <w:adjustRightInd w:val="0"/>
        <w:spacing w:line="360" w:lineRule="auto"/>
        <w:rPr>
          <w:rFonts w:ascii="宋体" w:hAnsi="宋体" w:cs="宋体"/>
          <w:kern w:val="0"/>
          <w:sz w:val="24"/>
          <w:lang w:val="zh-CN"/>
        </w:rPr>
      </w:pPr>
    </w:p>
    <w:p>
      <w:pPr>
        <w:pStyle w:val="20"/>
        <w:spacing w:line="360" w:lineRule="auto"/>
        <w:jc w:val="center"/>
        <w:rPr>
          <w:rFonts w:hint="eastAsia" w:hAnsi="宋体" w:cs="宋体"/>
          <w:b/>
          <w:bCs/>
          <w:sz w:val="24"/>
          <w:szCs w:val="24"/>
          <w:lang w:val="zh-CN"/>
        </w:rPr>
      </w:pPr>
      <w:r>
        <w:rPr>
          <w:rFonts w:hint="eastAsia" w:hAnsi="宋体" w:cs="宋体"/>
          <w:b/>
          <w:bCs/>
          <w:sz w:val="24"/>
          <w:szCs w:val="24"/>
          <w:lang w:val="zh-CN"/>
        </w:rPr>
        <w:t>磋商供应商认为在其他方面有必要说明的事项</w:t>
      </w:r>
    </w:p>
    <w:p>
      <w:pPr>
        <w:pStyle w:val="20"/>
        <w:spacing w:line="360" w:lineRule="auto"/>
        <w:jc w:val="center"/>
        <w:rPr>
          <w:rFonts w:hint="eastAsia" w:hAnsi="宋体" w:cs="宋体"/>
          <w:b/>
          <w:bCs/>
          <w:sz w:val="24"/>
          <w:szCs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磋商供应商在参加本项目磋商中根据磋商文件的要求认为需要说明的事项，但不作为评标依据。如没有说明事项，此项可忽略。（格式可自定）</w:t>
      </w:r>
    </w:p>
    <w:p>
      <w:pPr>
        <w:pStyle w:val="9"/>
        <w:numPr>
          <w:ilvl w:val="0"/>
          <w:numId w:val="0"/>
        </w:numPr>
        <w:ind w:left="709" w:hanging="709"/>
        <w:rPr>
          <w:rFonts w:hAnsi="宋体"/>
          <w:bCs/>
          <w:sz w:val="24"/>
          <w:szCs w:val="24"/>
        </w:rPr>
      </w:pPr>
      <w:r>
        <w:rPr>
          <w:rFonts w:hAnsi="宋体"/>
          <w:bCs/>
          <w:sz w:val="24"/>
          <w:szCs w:val="24"/>
        </w:rPr>
        <w:br w:type="page"/>
      </w:r>
    </w:p>
    <w:p>
      <w:pPr>
        <w:pStyle w:val="9"/>
        <w:numPr>
          <w:ilvl w:val="0"/>
          <w:numId w:val="0"/>
        </w:numPr>
        <w:ind w:left="709" w:hanging="709"/>
        <w:rPr>
          <w:rFonts w:hAnsi="宋体"/>
          <w:bCs/>
          <w:sz w:val="24"/>
          <w:szCs w:val="24"/>
        </w:rPr>
      </w:pPr>
    </w:p>
    <w:p>
      <w:pPr>
        <w:pStyle w:val="9"/>
        <w:numPr>
          <w:ilvl w:val="0"/>
          <w:numId w:val="0"/>
        </w:numPr>
        <w:ind w:left="709" w:hanging="709"/>
        <w:rPr>
          <w:rFonts w:hint="eastAsia" w:hAnsi="宋体"/>
          <w:b/>
          <w:sz w:val="24"/>
          <w:szCs w:val="24"/>
        </w:rPr>
      </w:pPr>
      <w:bookmarkStart w:id="152" w:name="_Toc14504"/>
      <w:r>
        <w:rPr>
          <w:rFonts w:hAnsi="宋体"/>
          <w:b/>
          <w:sz w:val="24"/>
          <w:szCs w:val="24"/>
          <w:lang w:val="zh-CN"/>
        </w:rPr>
        <w:t>格式</w:t>
      </w:r>
      <w:r>
        <w:rPr>
          <w:rFonts w:hint="eastAsia" w:hAnsi="宋体"/>
          <w:b/>
          <w:sz w:val="24"/>
          <w:szCs w:val="24"/>
          <w:lang w:val="zh-CN"/>
        </w:rPr>
        <w:t>19、磋商最终报价表</w:t>
      </w:r>
      <w:r>
        <w:rPr>
          <w:rFonts w:hint="eastAsia" w:hAnsi="宋体"/>
          <w:b/>
          <w:sz w:val="24"/>
          <w:szCs w:val="24"/>
        </w:rPr>
        <w:t>（单独提交）</w:t>
      </w:r>
      <w:bookmarkEnd w:id="152"/>
    </w:p>
    <w:p>
      <w:pPr>
        <w:rPr>
          <w:lang w:val="zh-CN"/>
        </w:rPr>
      </w:pPr>
    </w:p>
    <w:p>
      <w:pPr>
        <w:spacing w:line="360" w:lineRule="auto"/>
        <w:jc w:val="center"/>
        <w:rPr>
          <w:rFonts w:ascii="宋体" w:hAnsi="宋体"/>
          <w:b/>
          <w:sz w:val="24"/>
        </w:rPr>
      </w:pPr>
      <w:r>
        <w:rPr>
          <w:rFonts w:hint="eastAsia" w:ascii="宋体" w:hAnsi="宋体"/>
          <w:b/>
          <w:sz w:val="24"/>
        </w:rPr>
        <w:t>磋商最终报价表</w:t>
      </w:r>
    </w:p>
    <w:p>
      <w:pPr>
        <w:spacing w:line="360" w:lineRule="auto"/>
        <w:rPr>
          <w:rFonts w:ascii="宋体" w:hAnsi="宋体"/>
          <w:b/>
          <w:sz w:val="24"/>
        </w:rPr>
      </w:pPr>
      <w:r>
        <w:rPr>
          <w:rFonts w:hint="eastAsia" w:ascii="宋体" w:hAnsi="宋体"/>
          <w:b/>
          <w:sz w:val="24"/>
        </w:rPr>
        <w:t xml:space="preserve">磋商供应商名称： </w:t>
      </w:r>
    </w:p>
    <w:p>
      <w:pPr>
        <w:autoSpaceDE w:val="0"/>
        <w:autoSpaceDN w:val="0"/>
        <w:adjustRightInd w:val="0"/>
        <w:spacing w:line="360" w:lineRule="auto"/>
        <w:jc w:val="right"/>
        <w:rPr>
          <w:rFonts w:ascii="宋体" w:hAnsi="宋体" w:cs="宋体"/>
          <w:b/>
          <w:bCs/>
          <w:kern w:val="0"/>
          <w:sz w:val="24"/>
          <w:lang w:val="zh-CN"/>
        </w:rPr>
      </w:pPr>
      <w:r>
        <w:rPr>
          <w:rFonts w:hint="eastAsia" w:ascii="宋体" w:hAnsi="宋体" w:cs="宋体"/>
          <w:b/>
          <w:bCs/>
          <w:kern w:val="0"/>
          <w:sz w:val="24"/>
          <w:lang w:val="zh-CN"/>
        </w:rPr>
        <w:t xml:space="preserve">         </w:t>
      </w:r>
      <w:r>
        <w:rPr>
          <w:rFonts w:hint="eastAsia" w:ascii="宋体" w:hAnsi="宋体"/>
          <w:b/>
          <w:sz w:val="24"/>
        </w:rPr>
        <w:t xml:space="preserve">                                                单位：元</w:t>
      </w:r>
    </w:p>
    <w:tbl>
      <w:tblPr>
        <w:tblStyle w:val="35"/>
        <w:tblW w:w="9968" w:type="dxa"/>
        <w:jc w:val="center"/>
        <w:tblLayout w:type="fixed"/>
        <w:tblCellMar>
          <w:top w:w="0" w:type="dxa"/>
          <w:left w:w="108" w:type="dxa"/>
          <w:bottom w:w="0" w:type="dxa"/>
          <w:right w:w="108" w:type="dxa"/>
        </w:tblCellMar>
      </w:tblPr>
      <w:tblGrid>
        <w:gridCol w:w="3458"/>
        <w:gridCol w:w="2951"/>
        <w:gridCol w:w="2313"/>
        <w:gridCol w:w="1246"/>
      </w:tblGrid>
      <w:tr>
        <w:tblPrEx>
          <w:tblCellMar>
            <w:top w:w="0" w:type="dxa"/>
            <w:left w:w="108" w:type="dxa"/>
            <w:bottom w:w="0" w:type="dxa"/>
            <w:right w:w="108" w:type="dxa"/>
          </w:tblCellMar>
        </w:tblPrEx>
        <w:trPr>
          <w:trHeight w:val="699" w:hRule="atLeast"/>
          <w:jc w:val="center"/>
        </w:trPr>
        <w:tc>
          <w:tcPr>
            <w:tcW w:w="345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r>
              <w:rPr>
                <w:rFonts w:ascii="宋体" w:hAnsi="宋体" w:cs="Arial"/>
                <w:bCs/>
                <w:sz w:val="24"/>
                <w:lang w:val="zh-CN"/>
              </w:rPr>
              <w:t>项目名称</w:t>
            </w:r>
          </w:p>
        </w:tc>
        <w:tc>
          <w:tcPr>
            <w:tcW w:w="29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firstLine="482"/>
              <w:jc w:val="center"/>
              <w:rPr>
                <w:rFonts w:ascii="宋体" w:hAnsi="宋体" w:cs="Arial"/>
                <w:sz w:val="24"/>
                <w:lang w:val="zh-CN"/>
              </w:rPr>
            </w:pPr>
            <w:r>
              <w:rPr>
                <w:rFonts w:ascii="宋体" w:hAnsi="宋体" w:cs="Arial"/>
                <w:bCs/>
                <w:sz w:val="24"/>
                <w:lang w:val="zh-CN"/>
              </w:rPr>
              <w:t>投标报价</w:t>
            </w:r>
          </w:p>
        </w:tc>
        <w:tc>
          <w:tcPr>
            <w:tcW w:w="2313"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jc w:val="center"/>
              <w:rPr>
                <w:rFonts w:ascii="宋体" w:hAnsi="宋体" w:cs="Arial"/>
                <w:bCs/>
                <w:sz w:val="24"/>
                <w:lang w:val="zh-CN"/>
              </w:rPr>
            </w:pPr>
            <w:r>
              <w:rPr>
                <w:rFonts w:ascii="宋体" w:hAnsi="宋体" w:cs="Arial"/>
                <w:bCs/>
                <w:sz w:val="24"/>
                <w:lang w:val="zh-CN"/>
              </w:rPr>
              <w:t>交货期</w:t>
            </w:r>
          </w:p>
        </w:tc>
        <w:tc>
          <w:tcPr>
            <w:tcW w:w="124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r>
              <w:rPr>
                <w:rFonts w:ascii="宋体" w:hAnsi="宋体" w:cs="Arial"/>
                <w:bCs/>
                <w:sz w:val="24"/>
                <w:lang w:val="zh-CN"/>
              </w:rPr>
              <w:t>备注</w:t>
            </w:r>
          </w:p>
        </w:tc>
      </w:tr>
      <w:tr>
        <w:tblPrEx>
          <w:tblCellMar>
            <w:top w:w="0" w:type="dxa"/>
            <w:left w:w="108" w:type="dxa"/>
            <w:bottom w:w="0" w:type="dxa"/>
            <w:right w:w="108" w:type="dxa"/>
          </w:tblCellMar>
        </w:tblPrEx>
        <w:trPr>
          <w:trHeight w:val="749" w:hRule="atLeast"/>
          <w:jc w:val="center"/>
        </w:trPr>
        <w:tc>
          <w:tcPr>
            <w:tcW w:w="3458"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29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Arial"/>
                <w:sz w:val="24"/>
                <w:lang w:val="zh-CN"/>
              </w:rPr>
            </w:pPr>
            <w:r>
              <w:rPr>
                <w:rFonts w:ascii="宋体" w:hAnsi="宋体" w:cs="Arial"/>
                <w:bCs/>
                <w:sz w:val="24"/>
                <w:lang w:val="zh-CN"/>
              </w:rPr>
              <w:t>大写：</w:t>
            </w:r>
          </w:p>
        </w:tc>
        <w:tc>
          <w:tcPr>
            <w:tcW w:w="2313" w:type="dxa"/>
            <w:vMerge w:val="restart"/>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ind w:firstLine="197"/>
              <w:jc w:val="center"/>
              <w:rPr>
                <w:rFonts w:ascii="宋体" w:hAnsi="宋体" w:cs="Arial"/>
                <w:sz w:val="24"/>
                <w:lang w:val="zh-CN"/>
              </w:rPr>
            </w:pPr>
          </w:p>
        </w:tc>
        <w:tc>
          <w:tcPr>
            <w:tcW w:w="1246"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r>
      <w:tr>
        <w:tblPrEx>
          <w:tblCellMar>
            <w:top w:w="0" w:type="dxa"/>
            <w:left w:w="108" w:type="dxa"/>
            <w:bottom w:w="0" w:type="dxa"/>
            <w:right w:w="108" w:type="dxa"/>
          </w:tblCellMar>
        </w:tblPrEx>
        <w:trPr>
          <w:trHeight w:val="1026" w:hRule="atLeast"/>
          <w:jc w:val="center"/>
        </w:trPr>
        <w:tc>
          <w:tcPr>
            <w:tcW w:w="3458"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29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Arial"/>
                <w:sz w:val="24"/>
                <w:lang w:val="zh-CN"/>
              </w:rPr>
            </w:pPr>
            <w:r>
              <w:rPr>
                <w:rFonts w:ascii="宋体" w:hAnsi="宋体" w:cs="Arial"/>
                <w:bCs/>
                <w:sz w:val="24"/>
                <w:lang w:val="zh-CN"/>
              </w:rPr>
              <w:t>小写：</w:t>
            </w:r>
          </w:p>
        </w:tc>
        <w:tc>
          <w:tcPr>
            <w:tcW w:w="2313" w:type="dxa"/>
            <w:vMerge w:val="continue"/>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jc w:val="center"/>
              <w:rPr>
                <w:rFonts w:ascii="宋体" w:hAnsi="宋体" w:cs="Arial"/>
                <w:sz w:val="24"/>
                <w:lang w:val="zh-CN"/>
              </w:rPr>
            </w:pPr>
          </w:p>
        </w:tc>
        <w:tc>
          <w:tcPr>
            <w:tcW w:w="1246"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Arial"/>
                <w:sz w:val="24"/>
                <w:lang w:val="zh-CN"/>
              </w:rPr>
            </w:pPr>
          </w:p>
        </w:tc>
      </w:tr>
    </w:tbl>
    <w:p>
      <w:pPr>
        <w:spacing w:line="360" w:lineRule="auto"/>
        <w:rPr>
          <w:rFonts w:hint="eastAsia" w:ascii="宋体" w:hAnsi="宋体"/>
          <w:b/>
          <w:sz w:val="24"/>
        </w:rPr>
      </w:pPr>
    </w:p>
    <w:p>
      <w:pPr>
        <w:spacing w:line="360" w:lineRule="auto"/>
        <w:rPr>
          <w:rFonts w:ascii="宋体" w:hAnsi="宋体"/>
          <w:b/>
          <w:sz w:val="24"/>
        </w:rPr>
      </w:pPr>
      <w:r>
        <w:rPr>
          <w:rFonts w:hint="eastAsia" w:ascii="宋体" w:hAnsi="宋体"/>
          <w:b/>
          <w:sz w:val="24"/>
        </w:rPr>
        <w:t>注</w:t>
      </w:r>
      <w:r>
        <w:rPr>
          <w:rFonts w:ascii="宋体" w:hAnsi="宋体"/>
          <w:b/>
          <w:sz w:val="24"/>
        </w:rPr>
        <w:t>：</w:t>
      </w:r>
      <w:r>
        <w:rPr>
          <w:rFonts w:hint="eastAsia" w:ascii="宋体" w:hAnsi="宋体"/>
          <w:b/>
          <w:sz w:val="24"/>
        </w:rPr>
        <w:t>此表不需装订在磋商响应文件中，磋商供应商事先须盖章、签字。在磋商期间，由磋商小组确定合格的磋商供应商现场填写。</w:t>
      </w:r>
    </w:p>
    <w:p>
      <w:pPr>
        <w:tabs>
          <w:tab w:val="left" w:pos="168"/>
        </w:tabs>
        <w:adjustRightInd w:val="0"/>
        <w:spacing w:line="360" w:lineRule="auto"/>
        <w:textAlignment w:val="baseline"/>
        <w:rPr>
          <w:rFonts w:ascii="宋体" w:hAnsi="宋体"/>
          <w:b/>
          <w:bCs/>
          <w:sz w:val="24"/>
        </w:rPr>
      </w:pPr>
    </w:p>
    <w:p>
      <w:pPr>
        <w:tabs>
          <w:tab w:val="left" w:pos="168"/>
        </w:tabs>
        <w:adjustRightInd w:val="0"/>
        <w:spacing w:line="360" w:lineRule="auto"/>
        <w:textAlignment w:val="baseline"/>
        <w:rPr>
          <w:rFonts w:ascii="宋体" w:hAnsi="宋体"/>
          <w:b/>
          <w:bCs/>
          <w:sz w:val="24"/>
        </w:rPr>
      </w:pPr>
    </w:p>
    <w:p>
      <w:pPr>
        <w:tabs>
          <w:tab w:val="left" w:pos="168"/>
        </w:tabs>
        <w:adjustRightInd w:val="0"/>
        <w:spacing w:line="360" w:lineRule="auto"/>
        <w:textAlignment w:val="baseline"/>
        <w:rPr>
          <w:rFonts w:ascii="宋体" w:hAnsi="宋体"/>
          <w:b/>
          <w:bCs/>
          <w:sz w:val="24"/>
        </w:rPr>
      </w:pPr>
    </w:p>
    <w:p>
      <w:pPr>
        <w:tabs>
          <w:tab w:val="left" w:pos="168"/>
        </w:tabs>
        <w:adjustRightInd w:val="0"/>
        <w:spacing w:line="360" w:lineRule="auto"/>
        <w:textAlignment w:val="baseline"/>
        <w:rPr>
          <w:rFonts w:ascii="宋体" w:hAnsi="宋体"/>
          <w:b/>
          <w:bCs/>
          <w:sz w:val="24"/>
        </w:rPr>
      </w:pPr>
    </w:p>
    <w:p>
      <w:pPr>
        <w:tabs>
          <w:tab w:val="left" w:pos="168"/>
        </w:tabs>
        <w:adjustRightInd w:val="0"/>
        <w:spacing w:line="360" w:lineRule="auto"/>
        <w:textAlignment w:val="baseline"/>
        <w:rPr>
          <w:rFonts w:ascii="宋体" w:hAnsi="宋体"/>
          <w:bCs/>
          <w:sz w:val="24"/>
        </w:rPr>
      </w:pP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磋商供应商：             （公章）</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法定代表人或委托代理人：                （签字）</w:t>
      </w:r>
    </w:p>
    <w:p>
      <w:pPr>
        <w:tabs>
          <w:tab w:val="left" w:pos="168"/>
        </w:tabs>
        <w:adjustRightInd w:val="0"/>
        <w:spacing w:line="360" w:lineRule="auto"/>
        <w:jc w:val="right"/>
        <w:textAlignment w:val="baseline"/>
        <w:rPr>
          <w:rFonts w:ascii="宋体" w:hAnsi="宋体"/>
          <w:bCs/>
          <w:sz w:val="24"/>
        </w:rPr>
      </w:pPr>
      <w:r>
        <w:rPr>
          <w:rFonts w:hint="eastAsia" w:ascii="宋体" w:hAnsi="宋体"/>
          <w:bCs/>
          <w:sz w:val="24"/>
        </w:rPr>
        <w:t>日期：    年   月   日</w:t>
      </w:r>
    </w:p>
    <w:p>
      <w:pPr>
        <w:spacing w:line="360" w:lineRule="auto"/>
        <w:jc w:val="center"/>
        <w:rPr>
          <w:rFonts w:ascii="宋体" w:hAnsi="宋体"/>
          <w:bCs/>
          <w:sz w:val="24"/>
        </w:rPr>
      </w:pPr>
    </w:p>
    <w:p>
      <w:pPr>
        <w:pStyle w:val="26"/>
        <w:spacing w:before="0" w:after="0" w:line="360" w:lineRule="auto"/>
        <w:rPr>
          <w:rFonts w:ascii="宋体" w:hAnsi="宋体"/>
          <w:b w:val="0"/>
          <w:sz w:val="24"/>
          <w:szCs w:val="24"/>
        </w:rPr>
      </w:pPr>
      <w:r>
        <w:rPr>
          <w:rFonts w:ascii="宋体" w:hAnsi="宋体"/>
          <w:b w:val="0"/>
          <w:sz w:val="24"/>
          <w:szCs w:val="24"/>
        </w:rPr>
        <w:br w:type="page"/>
      </w:r>
      <w:bookmarkStart w:id="153" w:name="_Toc444715745"/>
      <w:bookmarkStart w:id="154" w:name="_Toc29404"/>
    </w:p>
    <w:p>
      <w:pPr>
        <w:pStyle w:val="26"/>
        <w:spacing w:before="0" w:after="0" w:line="360" w:lineRule="auto"/>
        <w:rPr>
          <w:rFonts w:ascii="宋体" w:hAnsi="宋体"/>
          <w:b w:val="0"/>
          <w:sz w:val="24"/>
          <w:szCs w:val="24"/>
        </w:rPr>
      </w:pPr>
    </w:p>
    <w:p>
      <w:pPr>
        <w:pStyle w:val="26"/>
        <w:numPr>
          <w:ilvl w:val="0"/>
          <w:numId w:val="16"/>
        </w:numPr>
        <w:spacing w:before="0" w:after="0" w:line="360" w:lineRule="auto"/>
        <w:rPr>
          <w:rFonts w:hint="eastAsia" w:ascii="宋体" w:hAnsi="宋体"/>
          <w:sz w:val="48"/>
          <w:szCs w:val="48"/>
        </w:rPr>
      </w:pPr>
      <w:r>
        <w:rPr>
          <w:rFonts w:hint="eastAsia" w:ascii="宋体" w:hAnsi="宋体"/>
          <w:sz w:val="48"/>
          <w:szCs w:val="48"/>
        </w:rPr>
        <w:t xml:space="preserve"> </w:t>
      </w:r>
      <w:bookmarkStart w:id="155" w:name="_Toc3635"/>
      <w:r>
        <w:rPr>
          <w:rFonts w:hint="eastAsia" w:ascii="宋体" w:hAnsi="宋体"/>
          <w:sz w:val="48"/>
          <w:szCs w:val="48"/>
        </w:rPr>
        <w:t>采购项目要求及技术参数</w:t>
      </w:r>
      <w:bookmarkEnd w:id="153"/>
      <w:bookmarkEnd w:id="154"/>
      <w:bookmarkEnd w:id="155"/>
    </w:p>
    <w:p>
      <w:pPr>
        <w:numPr>
          <w:ilvl w:val="0"/>
          <w:numId w:val="0"/>
        </w:numPr>
      </w:pPr>
    </w:p>
    <w:p>
      <w:pPr>
        <w:pStyle w:val="9"/>
        <w:keepNext/>
        <w:keepLines/>
        <w:numPr>
          <w:ilvl w:val="0"/>
          <w:numId w:val="0"/>
        </w:numPr>
        <w:tabs>
          <w:tab w:val="clear" w:pos="425"/>
        </w:tabs>
        <w:snapToGrid/>
        <w:ind w:left="567" w:hanging="567"/>
        <w:rPr>
          <w:rFonts w:hAnsi="宋体"/>
          <w:b/>
          <w:bCs/>
          <w:kern w:val="0"/>
          <w:sz w:val="24"/>
          <w:szCs w:val="24"/>
        </w:rPr>
      </w:pPr>
      <w:bookmarkStart w:id="156" w:name="_Toc428180595"/>
      <w:bookmarkStart w:id="157" w:name="_Toc12936"/>
      <w:bookmarkStart w:id="158" w:name="_Toc28283"/>
      <w:r>
        <w:rPr>
          <w:rFonts w:hint="eastAsia" w:hAnsi="宋体"/>
          <w:b/>
          <w:bCs/>
          <w:kern w:val="0"/>
          <w:sz w:val="24"/>
          <w:szCs w:val="24"/>
        </w:rPr>
        <w:t>一、磋商要求</w:t>
      </w:r>
      <w:bookmarkEnd w:id="156"/>
      <w:bookmarkEnd w:id="157"/>
      <w:bookmarkEnd w:id="158"/>
    </w:p>
    <w:p>
      <w:pPr>
        <w:adjustRightInd w:val="0"/>
        <w:snapToGrid w:val="0"/>
        <w:spacing w:line="360" w:lineRule="auto"/>
        <w:ind w:left="425" w:hanging="425"/>
        <w:rPr>
          <w:rFonts w:ascii="宋体" w:hAnsi="宋体"/>
          <w:kern w:val="0"/>
          <w:sz w:val="24"/>
        </w:rPr>
      </w:pPr>
      <w:bookmarkStart w:id="159" w:name="_Toc428180596"/>
      <w:r>
        <w:rPr>
          <w:rFonts w:ascii="宋体" w:hAnsi="宋体"/>
          <w:kern w:val="0"/>
          <w:sz w:val="24"/>
        </w:rPr>
        <w:t>1.</w:t>
      </w:r>
      <w:r>
        <w:rPr>
          <w:rFonts w:hint="eastAsia" w:ascii="宋体" w:hAnsi="宋体"/>
          <w:kern w:val="0"/>
          <w:sz w:val="24"/>
        </w:rPr>
        <w:t>磋商说明</w:t>
      </w:r>
      <w:bookmarkEnd w:id="159"/>
    </w:p>
    <w:p>
      <w:pPr>
        <w:autoSpaceDE w:val="0"/>
        <w:autoSpaceDN w:val="0"/>
        <w:adjustRightInd w:val="0"/>
        <w:spacing w:line="360" w:lineRule="auto"/>
        <w:ind w:firstLine="480" w:firstLineChars="200"/>
        <w:rPr>
          <w:rFonts w:ascii="宋体" w:hAnsi="宋体" w:cs="宋体"/>
          <w:kern w:val="0"/>
          <w:sz w:val="24"/>
          <w:lang w:val="zh-CN"/>
        </w:rPr>
      </w:pPr>
      <w:r>
        <w:rPr>
          <w:rFonts w:ascii="宋体" w:hAnsi="宋体" w:cs="宋体"/>
          <w:kern w:val="0"/>
          <w:sz w:val="24"/>
          <w:lang w:val="zh-CN"/>
        </w:rPr>
        <w:t>1.1.</w:t>
      </w:r>
      <w:r>
        <w:rPr>
          <w:rFonts w:hint="eastAsia" w:ascii="宋体" w:hAnsi="宋体" w:cs="宋体"/>
          <w:kern w:val="0"/>
          <w:sz w:val="24"/>
          <w:lang w:val="zh-CN"/>
        </w:rPr>
        <w:t>磋商供应商可以按照磋商文件的规定磋商，但必须对所投包号中的所有内容作为一个整体进行磋商，不能拆分或少报。否则，磋商无效。</w:t>
      </w:r>
    </w:p>
    <w:p>
      <w:pPr>
        <w:autoSpaceDE w:val="0"/>
        <w:autoSpaceDN w:val="0"/>
        <w:adjustRightInd w:val="0"/>
        <w:spacing w:line="360" w:lineRule="auto"/>
        <w:ind w:firstLine="480" w:firstLineChars="200"/>
        <w:rPr>
          <w:rFonts w:ascii="宋体" w:hAnsi="宋体" w:cs="宋体"/>
          <w:kern w:val="0"/>
          <w:sz w:val="24"/>
          <w:lang w:val="zh-CN"/>
        </w:rPr>
      </w:pPr>
      <w:r>
        <w:rPr>
          <w:rFonts w:ascii="宋体" w:hAnsi="宋体" w:cs="宋体"/>
          <w:kern w:val="0"/>
          <w:sz w:val="24"/>
          <w:lang w:val="zh-CN"/>
        </w:rPr>
        <w:t>1.2.</w:t>
      </w:r>
      <w:r>
        <w:rPr>
          <w:rFonts w:hint="eastAsia" w:ascii="宋体" w:hAnsi="宋体" w:cs="宋体"/>
          <w:kern w:val="0"/>
          <w:sz w:val="24"/>
          <w:lang w:val="zh-CN"/>
        </w:rPr>
        <w:t>磋商报价应包括</w:t>
      </w:r>
      <w:r>
        <w:rPr>
          <w:rFonts w:hint="eastAsia" w:hAnsi="宋体"/>
          <w:sz w:val="24"/>
          <w:szCs w:val="24"/>
          <w:lang w:eastAsia="zh-CN"/>
        </w:rPr>
        <w:t>产品费、验收费、手续费、包装费、运输费、保险费、安装费、调试费、培训费、售前、售中、售后服务费、成交服务费及不可预见费等全部费用。</w:t>
      </w:r>
      <w:r>
        <w:rPr>
          <w:rFonts w:hint="eastAsia" w:ascii="宋体" w:hAnsi="宋体"/>
          <w:sz w:val="24"/>
        </w:rPr>
        <w:t>（说明：具体内容应根据项目特点实事求是的填写）</w:t>
      </w:r>
      <w:r>
        <w:rPr>
          <w:rFonts w:hint="eastAsia" w:ascii="宋体" w:hAnsi="宋体" w:cs="宋体"/>
          <w:kern w:val="0"/>
          <w:sz w:val="24"/>
          <w:lang w:val="zh-CN"/>
        </w:rPr>
        <w:t>。若磋商报价不能完全包括上述内容，该磋商将被认为非实质性响应。</w:t>
      </w:r>
    </w:p>
    <w:p>
      <w:pPr>
        <w:autoSpaceDE w:val="0"/>
        <w:autoSpaceDN w:val="0"/>
        <w:adjustRightInd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ascii="宋体" w:hAnsi="宋体" w:cs="宋体"/>
          <w:kern w:val="0"/>
          <w:sz w:val="24"/>
          <w:lang w:val="zh-CN"/>
        </w:rPr>
        <w:t>1.3.</w:t>
      </w:r>
      <w:r>
        <w:rPr>
          <w:rFonts w:hint="eastAsia" w:ascii="宋体" w:hAnsi="宋体" w:cs="宋体"/>
          <w:kern w:val="0"/>
          <w:sz w:val="24"/>
          <w:lang w:val="zh-CN"/>
        </w:rPr>
        <w:t>磋商供应商必须如实填写</w:t>
      </w:r>
      <w:r>
        <w:rPr>
          <w:rFonts w:ascii="宋体" w:hAnsi="宋体" w:cs="宋体"/>
          <w:kern w:val="0"/>
          <w:sz w:val="24"/>
          <w:lang w:val="zh-CN"/>
        </w:rPr>
        <w:t>“</w:t>
      </w:r>
      <w:r>
        <w:rPr>
          <w:rFonts w:hint="eastAsia" w:ascii="宋体" w:hAnsi="宋体" w:cs="宋体"/>
          <w:kern w:val="0"/>
          <w:sz w:val="24"/>
          <w:lang w:val="zh-CN"/>
        </w:rPr>
        <w:t>技术规格响应表</w:t>
      </w:r>
      <w:r>
        <w:rPr>
          <w:rFonts w:ascii="宋体" w:hAnsi="宋体" w:cs="宋体"/>
          <w:kern w:val="0"/>
          <w:sz w:val="24"/>
          <w:lang w:val="zh-CN"/>
        </w:rPr>
        <w:t>”</w:t>
      </w:r>
      <w:r>
        <w:rPr>
          <w:rFonts w:hint="eastAsia" w:ascii="宋体" w:hAnsi="宋体" w:cs="宋体"/>
          <w:kern w:val="0"/>
          <w:sz w:val="24"/>
          <w:lang w:val="zh-CN"/>
        </w:rPr>
        <w:t>，在</w:t>
      </w:r>
      <w:r>
        <w:rPr>
          <w:rFonts w:ascii="宋体" w:hAnsi="宋体" w:cs="宋体"/>
          <w:kern w:val="0"/>
          <w:sz w:val="24"/>
          <w:lang w:val="zh-CN"/>
        </w:rPr>
        <w:t>“</w:t>
      </w:r>
      <w:r>
        <w:rPr>
          <w:rFonts w:hint="eastAsia" w:ascii="宋体" w:hAnsi="宋体" w:cs="宋体"/>
          <w:kern w:val="0"/>
          <w:sz w:val="24"/>
          <w:lang w:val="zh-CN"/>
        </w:rPr>
        <w:t>磋商产品技术参数、指标</w:t>
      </w:r>
      <w:r>
        <w:rPr>
          <w:rFonts w:ascii="宋体" w:hAnsi="宋体" w:cs="宋体"/>
          <w:kern w:val="0"/>
          <w:sz w:val="24"/>
          <w:lang w:val="zh-CN"/>
        </w:rPr>
        <w:t>”</w:t>
      </w:r>
      <w:r>
        <w:rPr>
          <w:rFonts w:hint="eastAsia" w:ascii="宋体" w:hAnsi="宋体" w:cs="宋体"/>
          <w:kern w:val="0"/>
          <w:sz w:val="24"/>
          <w:lang w:val="zh-CN"/>
        </w:rPr>
        <w:t>栏中列出所投产品的具体规格型号和具体技术参数、指标；以招标人需求为最低指标要求，磋商供应商对超</w:t>
      </w:r>
      <w:r>
        <w:rPr>
          <w:rFonts w:hint="eastAsia" w:ascii="宋体" w:hAnsi="宋体" w:cs="宋体"/>
          <w:color w:val="000000" w:themeColor="text1"/>
          <w:kern w:val="0"/>
          <w:sz w:val="24"/>
          <w:lang w:val="zh-CN"/>
          <w14:textFill>
            <w14:solidFill>
              <w14:schemeClr w14:val="tx1"/>
            </w14:solidFill>
          </w14:textFill>
        </w:rPr>
        <w:t>出或不满足最低指标要求的指标需列出</w:t>
      </w:r>
      <w:r>
        <w:rPr>
          <w:rFonts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偏差。如果与磋商响应文件中提供的产品检测报告等证明材料中的实质性响应情况不一致或直接复制磋商文件</w:t>
      </w:r>
      <w:r>
        <w:rPr>
          <w:rFonts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采购需求技术参数、指标</w:t>
      </w:r>
      <w:r>
        <w:rPr>
          <w:rFonts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内容的，按无效磋商处理。</w:t>
      </w:r>
    </w:p>
    <w:p>
      <w:pPr>
        <w:autoSpaceDE w:val="0"/>
        <w:autoSpaceDN w:val="0"/>
        <w:adjustRightInd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zh-CN"/>
          <w14:textFill>
            <w14:solidFill>
              <w14:schemeClr w14:val="tx1"/>
            </w14:solidFill>
          </w14:textFill>
        </w:rPr>
        <w:t>4交货时间、地点：按采购单位指定的时间、地点交货并安装交付使用。</w:t>
      </w:r>
    </w:p>
    <w:p>
      <w:pPr>
        <w:adjustRightInd w:val="0"/>
        <w:snapToGrid w:val="0"/>
        <w:spacing w:line="360" w:lineRule="auto"/>
        <w:ind w:left="425" w:hanging="425"/>
        <w:rPr>
          <w:rFonts w:ascii="宋体" w:hAnsi="宋体"/>
          <w:color w:val="000000" w:themeColor="text1"/>
          <w:kern w:val="0"/>
          <w:sz w:val="24"/>
          <w14:textFill>
            <w14:solidFill>
              <w14:schemeClr w14:val="tx1"/>
            </w14:solidFill>
          </w14:textFill>
        </w:rPr>
      </w:pPr>
      <w:bookmarkStart w:id="160" w:name="_Toc428180597"/>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报价说明</w:t>
      </w:r>
      <w:bookmarkEnd w:id="160"/>
    </w:p>
    <w:p>
      <w:pPr>
        <w:autoSpaceDE w:val="0"/>
        <w:autoSpaceDN w:val="0"/>
        <w:adjustRightInd w:val="0"/>
        <w:spacing w:line="360" w:lineRule="auto"/>
        <w:ind w:firstLine="48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本次磋商文件中规定的采购预算额度为磋商最高限价，磋商供应商</w:t>
      </w:r>
      <w:r>
        <w:rPr>
          <w:rFonts w:hint="eastAsia" w:ascii="宋体" w:hAnsi="宋体" w:cs="宋体"/>
          <w:kern w:val="0"/>
          <w:sz w:val="24"/>
          <w:lang w:val="zh-CN"/>
        </w:rPr>
        <w:t>的磋商报价不得超出此额度。否则，</w:t>
      </w:r>
      <w:r>
        <w:rPr>
          <w:rFonts w:hint="eastAsia" w:ascii="宋体" w:hAnsi="宋体" w:cs="宋体"/>
          <w:color w:val="000000" w:themeColor="text1"/>
          <w:kern w:val="0"/>
          <w:sz w:val="24"/>
          <w:lang w:val="zh-CN"/>
          <w14:textFill>
            <w14:solidFill>
              <w14:schemeClr w14:val="tx1"/>
            </w14:solidFill>
          </w14:textFill>
        </w:rPr>
        <w:t>磋商无效。</w:t>
      </w:r>
    </w:p>
    <w:p>
      <w:pPr>
        <w:adjustRightInd w:val="0"/>
        <w:snapToGrid w:val="0"/>
        <w:spacing w:line="360" w:lineRule="auto"/>
        <w:ind w:left="425" w:hanging="425"/>
        <w:rPr>
          <w:rFonts w:hint="eastAsia" w:ascii="宋体" w:hAnsi="宋体"/>
          <w:color w:val="000000" w:themeColor="text1"/>
          <w:kern w:val="0"/>
          <w:sz w:val="24"/>
          <w14:textFill>
            <w14:solidFill>
              <w14:schemeClr w14:val="tx1"/>
            </w14:solidFill>
          </w14:textFill>
        </w:rPr>
      </w:pPr>
      <w:bookmarkStart w:id="161" w:name="_Toc480468113"/>
      <w:bookmarkStart w:id="162" w:name="_Toc459377899"/>
      <w:bookmarkStart w:id="163" w:name="_Hlk486599483"/>
      <w:r>
        <w:rPr>
          <w:rFonts w:hint="eastAsia" w:ascii="宋体" w:hAnsi="宋体"/>
          <w:color w:val="000000" w:themeColor="text1"/>
          <w:kern w:val="0"/>
          <w:sz w:val="24"/>
          <w:lang w:val="en-US" w:eastAsia="zh-CN"/>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质保及维护、维修</w:t>
      </w:r>
    </w:p>
    <w:p>
      <w:pPr>
        <w:adjustRightInd w:val="0"/>
        <w:snapToGrid w:val="0"/>
        <w:spacing w:line="360" w:lineRule="auto"/>
        <w:ind w:left="425" w:hanging="425"/>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1</w:t>
      </w:r>
      <w:r>
        <w:rPr>
          <w:rFonts w:hint="eastAsia" w:ascii="宋体" w:hAnsi="宋体"/>
          <w:color w:val="000000" w:themeColor="text1"/>
          <w:kern w:val="0"/>
          <w:sz w:val="24"/>
          <w:lang w:eastAsia="zh-CN"/>
          <w14:textFill>
            <w14:solidFill>
              <w14:schemeClr w14:val="tx1"/>
            </w14:solidFill>
          </w14:textFill>
        </w:rPr>
        <w:t>）供应商必须按生厂家提供的质保计划，提供质保</w:t>
      </w:r>
      <w:r>
        <w:rPr>
          <w:rFonts w:hint="eastAsia" w:ascii="宋体" w:hAnsi="宋体"/>
          <w:color w:val="000000" w:themeColor="text1"/>
          <w:kern w:val="0"/>
          <w:sz w:val="24"/>
          <w14:textFill>
            <w14:solidFill>
              <w14:schemeClr w14:val="tx1"/>
            </w14:solidFill>
          </w14:textFill>
        </w:rPr>
        <w:t>。提供相关证明材料。</w:t>
      </w:r>
    </w:p>
    <w:p>
      <w:pPr>
        <w:pStyle w:val="55"/>
        <w:rPr>
          <w:rFonts w:hint="eastAsia" w:ascii="宋体" w:hAnsi="宋体" w:eastAsia="宋体"/>
          <w:color w:val="000000" w:themeColor="text1"/>
          <w:kern w:val="0"/>
          <w:sz w:val="24"/>
          <w:lang w:val="en-US" w:eastAsia="zh-CN"/>
          <w14:textFill>
            <w14:solidFill>
              <w14:schemeClr w14:val="tx1"/>
            </w14:solidFill>
          </w14:textFill>
        </w:rPr>
      </w:pPr>
      <w:r>
        <w:rPr>
          <w:rFonts w:hint="eastAsia" w:ascii="宋体" w:hAnsi="宋体"/>
          <w:color w:val="000000" w:themeColor="text1"/>
          <w:kern w:val="0"/>
          <w:sz w:val="24"/>
          <w:lang w:eastAsia="zh-CN"/>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lang w:eastAsia="zh-CN"/>
          <w14:textFill>
            <w14:solidFill>
              <w14:schemeClr w14:val="tx1"/>
            </w14:solidFill>
          </w14:textFill>
        </w:rPr>
        <w:t>）交货期：</w:t>
      </w:r>
      <w:r>
        <w:rPr>
          <w:rFonts w:hint="eastAsia" w:ascii="宋体" w:hAnsi="宋体" w:eastAsia="宋体"/>
          <w:color w:val="000000" w:themeColor="text1"/>
          <w:kern w:val="0"/>
          <w:sz w:val="24"/>
          <w:lang w:val="en-US" w:eastAsia="zh-CN"/>
          <w14:textFill>
            <w14:solidFill>
              <w14:schemeClr w14:val="tx1"/>
            </w14:solidFill>
          </w14:textFill>
        </w:rPr>
        <w:t>合同签订后</w:t>
      </w:r>
      <w:r>
        <w:rPr>
          <w:rFonts w:hint="eastAsia" w:ascii="宋体" w:hAnsi="宋体"/>
          <w:color w:val="000000" w:themeColor="text1"/>
          <w:kern w:val="0"/>
          <w:sz w:val="24"/>
          <w:lang w:val="en-US" w:eastAsia="zh-CN"/>
          <w14:textFill>
            <w14:solidFill>
              <w14:schemeClr w14:val="tx1"/>
            </w14:solidFill>
          </w14:textFill>
        </w:rPr>
        <w:t>15天</w:t>
      </w:r>
      <w:r>
        <w:rPr>
          <w:rFonts w:hint="eastAsia" w:ascii="宋体" w:hAnsi="宋体" w:eastAsia="宋体"/>
          <w:color w:val="000000" w:themeColor="text1"/>
          <w:kern w:val="0"/>
          <w:sz w:val="24"/>
          <w:lang w:val="en-US" w:eastAsia="zh-CN"/>
          <w14:textFill>
            <w14:solidFill>
              <w14:schemeClr w14:val="tx1"/>
            </w14:solidFill>
          </w14:textFill>
        </w:rPr>
        <w:t>内</w:t>
      </w: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55"/>
        <w:rPr>
          <w:rFonts w:hint="eastAsia" w:ascii="宋体" w:hAnsi="宋体" w:eastAsia="宋体"/>
          <w:color w:val="000000" w:themeColor="text1"/>
          <w:kern w:val="0"/>
          <w:sz w:val="24"/>
          <w:lang w:val="en-US" w:eastAsia="zh-CN"/>
          <w14:textFill>
            <w14:solidFill>
              <w14:schemeClr w14:val="tx1"/>
            </w14:solidFill>
          </w14:textFill>
        </w:rPr>
      </w:pPr>
    </w:p>
    <w:p>
      <w:pPr>
        <w:pStyle w:val="9"/>
        <w:numPr>
          <w:ilvl w:val="0"/>
          <w:numId w:val="17"/>
        </w:numPr>
        <w:jc w:val="center"/>
        <w:rPr>
          <w:rFonts w:hint="eastAsia" w:asciiTheme="minorEastAsia" w:hAnsiTheme="minorEastAsia" w:eastAsiaTheme="minorEastAsia" w:cstheme="minorEastAsia"/>
          <w:b/>
          <w:color w:val="000000"/>
          <w:sz w:val="24"/>
          <w:szCs w:val="24"/>
          <w:lang w:val="en-US" w:eastAsia="zh-CN"/>
        </w:rPr>
      </w:pPr>
      <w:bookmarkStart w:id="164" w:name="_Hlk497464497"/>
      <w:bookmarkStart w:id="165" w:name="_Toc11498"/>
      <w:bookmarkStart w:id="166" w:name="_Toc19164"/>
      <w:r>
        <w:rPr>
          <w:rFonts w:hint="eastAsia" w:hAnsi="宋体"/>
          <w:b/>
          <w:bCs/>
          <w:kern w:val="0"/>
          <w:sz w:val="28"/>
          <w:szCs w:val="28"/>
        </w:rPr>
        <w:t>采购项目参数及要求</w:t>
      </w:r>
      <w:bookmarkEnd w:id="161"/>
      <w:bookmarkEnd w:id="162"/>
      <w:bookmarkEnd w:id="163"/>
      <w:bookmarkEnd w:id="164"/>
      <w:bookmarkEnd w:id="165"/>
      <w:bookmarkEnd w:id="166"/>
    </w:p>
    <w:p>
      <w:pPr>
        <w:jc w:val="center"/>
        <w:rPr>
          <w:rFonts w:hint="default"/>
          <w:b/>
          <w:bCs/>
          <w:sz w:val="32"/>
          <w:szCs w:val="32"/>
          <w:lang w:val="en-US" w:eastAsia="zh-CN"/>
        </w:rPr>
      </w:pPr>
      <w:r>
        <w:rPr>
          <w:rFonts w:hint="eastAsia"/>
          <w:b/>
          <w:bCs/>
          <w:sz w:val="32"/>
          <w:szCs w:val="32"/>
          <w:lang w:val="en-US" w:eastAsia="zh-CN"/>
        </w:rPr>
        <w:t>包1</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739"/>
        <w:gridCol w:w="5613"/>
        <w:gridCol w:w="826"/>
        <w:gridCol w:w="104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6" w:type="dxa"/>
            <w:vAlign w:val="center"/>
          </w:tcPr>
          <w:p>
            <w:pPr>
              <w:pStyle w:val="2"/>
              <w:ind w:left="0" w:leftChars="0" w:firstLine="0" w:firstLineChars="0"/>
              <w:jc w:val="center"/>
              <w:rPr>
                <w:rFonts w:hint="eastAsia"/>
                <w:vertAlign w:val="baseline"/>
                <w:lang w:val="en-US" w:eastAsia="zh-CN"/>
              </w:rPr>
            </w:pPr>
            <w:r>
              <w:rPr>
                <w:rFonts w:hint="eastAsia"/>
                <w:sz w:val="24"/>
                <w:szCs w:val="24"/>
                <w:vertAlign w:val="baseline"/>
                <w:lang w:val="en-US" w:eastAsia="zh-CN"/>
              </w:rPr>
              <w:t>序号</w:t>
            </w:r>
          </w:p>
        </w:tc>
        <w:tc>
          <w:tcPr>
            <w:tcW w:w="739"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项目名称</w:t>
            </w:r>
          </w:p>
        </w:tc>
        <w:tc>
          <w:tcPr>
            <w:tcW w:w="5613"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性能</w:t>
            </w:r>
            <w:r>
              <w:rPr>
                <w:rFonts w:hint="eastAsia" w:eastAsia="宋体"/>
                <w:sz w:val="24"/>
                <w:szCs w:val="24"/>
                <w:vertAlign w:val="baseline"/>
                <w:lang w:val="en-US" w:eastAsia="zh-CN"/>
              </w:rPr>
              <w:t>参数</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单位</w:t>
            </w:r>
          </w:p>
        </w:tc>
        <w:tc>
          <w:tcPr>
            <w:tcW w:w="1045"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数量</w:t>
            </w:r>
          </w:p>
        </w:tc>
        <w:tc>
          <w:tcPr>
            <w:tcW w:w="975"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54" w:type="dxa"/>
            <w:gridSpan w:val="6"/>
            <w:vAlign w:val="center"/>
          </w:tcPr>
          <w:p>
            <w:pPr>
              <w:pStyle w:val="2"/>
              <w:jc w:val="center"/>
              <w:rPr>
                <w:rFonts w:hint="eastAsia"/>
                <w:vertAlign w:val="baseline"/>
                <w:lang w:val="en-US" w:eastAsia="zh-CN"/>
              </w:rPr>
            </w:pPr>
            <w:r>
              <w:rPr>
                <w:rFonts w:hint="eastAsia"/>
                <w:vertAlign w:val="baseline"/>
                <w:lang w:val="en-US" w:eastAsia="zh-CN"/>
              </w:rPr>
              <w:t>1、生活垃圾收集转运工程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56" w:type="dxa"/>
            <w:vAlign w:val="center"/>
          </w:tcPr>
          <w:p>
            <w:pPr>
              <w:pStyle w:val="2"/>
              <w:ind w:left="0" w:leftChars="0" w:firstLine="0" w:firstLineChars="0"/>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w:t>
            </w:r>
            <w:r>
              <w:rPr>
                <w:rFonts w:hint="eastAsia" w:ascii="宋体" w:hAnsi="宋体" w:cs="宋体"/>
                <w:i w:val="0"/>
                <w:iCs w:val="0"/>
                <w:color w:val="000000"/>
                <w:kern w:val="2"/>
                <w:sz w:val="20"/>
                <w:szCs w:val="20"/>
                <w:u w:val="none"/>
                <w:lang w:val="en-US" w:eastAsia="zh-CN" w:bidi="ar-SA"/>
              </w:rPr>
              <w:t>1</w:t>
            </w:r>
          </w:p>
        </w:tc>
        <w:tc>
          <w:tcPr>
            <w:tcW w:w="739" w:type="dxa"/>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小型电动三轮垃圾车</w:t>
            </w:r>
          </w:p>
        </w:tc>
        <w:tc>
          <w:tcPr>
            <w:tcW w:w="5613"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额定乘员：1 人</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长*宽*高：2920*1000*1600（mm）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续驶里程：≥50KM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车厢尺寸：1500*1000*860（mm）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额定装载质量：≥500kg</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爬坡度：m≤15 度</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充电时间：6-8 小时（放电率≥80%）</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轮胎规格：前后 16/4.0</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容量：≥1150L</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电机：60V800W 高磁钢无刷差速电机</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电控：60V18 管无刷双排控制器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电池：60V 免维护铅酸电池</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充电器：便捷式智能全自动充电器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灯光及信号：包括（照明灯、左右转向灯、刹车灯、行车灯、仪表、电喇叭、</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工作警示灯）</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悬架：前悬架为 43 龙爆前叉；后悬架为独立悬架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后桥：一体式差速后桥</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制动：脚踩机械连杆鼓式后轮制动+手动机械驻车制动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仪表台：注塑成型仪表台，电门锁，仪表，组合开关</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辆</w:t>
            </w:r>
          </w:p>
        </w:tc>
        <w:tc>
          <w:tcPr>
            <w:tcW w:w="1045"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2</w:t>
            </w:r>
          </w:p>
        </w:tc>
        <w:tc>
          <w:tcPr>
            <w:tcW w:w="975"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trPr>
        <w:tc>
          <w:tcPr>
            <w:tcW w:w="656" w:type="dxa"/>
            <w:vAlign w:val="center"/>
          </w:tcPr>
          <w:p>
            <w:pPr>
              <w:pStyle w:val="2"/>
              <w:ind w:left="0" w:leftChars="0" w:firstLine="0" w:firstLineChars="0"/>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w:t>
            </w:r>
            <w:r>
              <w:rPr>
                <w:rFonts w:hint="eastAsia" w:ascii="宋体" w:hAnsi="宋体" w:cs="宋体"/>
                <w:i w:val="0"/>
                <w:iCs w:val="0"/>
                <w:color w:val="000000"/>
                <w:kern w:val="2"/>
                <w:sz w:val="20"/>
                <w:szCs w:val="20"/>
                <w:u w:val="none"/>
                <w:lang w:val="en-US" w:eastAsia="zh-CN" w:bidi="ar-SA"/>
              </w:rPr>
              <w:t>2</w:t>
            </w:r>
          </w:p>
        </w:tc>
        <w:tc>
          <w:tcPr>
            <w:tcW w:w="739" w:type="dxa"/>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小型装载车</w:t>
            </w:r>
          </w:p>
        </w:tc>
        <w:tc>
          <w:tcPr>
            <w:tcW w:w="5613"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整机质量：≥1700kg</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发动机功率：单缸柴油 25 匹 转速：≥2400r/min</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车身：≥3800*1300*1900（mm）前轮距配重 2500，拆去可拆卸简易棚后车身高度</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为：无人状态：≥1500（mm）、驾驶状态：≥1700（mm）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变速器：高低速双进双退（四驱）</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额定载重：≥700kg</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轮距：≥1160（mm）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轴距≥1880（mm）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水平托举：≥650（mm）卸载高度≥2250（mm）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料斗容量：≥0.5 方</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大臂板厚：≥16mm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轮胎规格：≥825-16（4 条）</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液压系统：工作压力：≥19Mpa；流量：≥21L/min</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辆</w:t>
            </w:r>
          </w:p>
        </w:tc>
        <w:tc>
          <w:tcPr>
            <w:tcW w:w="1045"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1</w:t>
            </w:r>
          </w:p>
        </w:tc>
        <w:tc>
          <w:tcPr>
            <w:tcW w:w="975"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656" w:type="dxa"/>
            <w:vAlign w:val="center"/>
          </w:tcPr>
          <w:p>
            <w:pPr>
              <w:pStyle w:val="2"/>
              <w:ind w:left="0" w:leftChars="0" w:firstLine="0" w:firstLineChars="0"/>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w:t>
            </w:r>
            <w:r>
              <w:rPr>
                <w:rFonts w:hint="eastAsia" w:ascii="宋体" w:hAnsi="宋体" w:cs="宋体"/>
                <w:i w:val="0"/>
                <w:iCs w:val="0"/>
                <w:color w:val="000000"/>
                <w:kern w:val="2"/>
                <w:sz w:val="20"/>
                <w:szCs w:val="20"/>
                <w:u w:val="none"/>
                <w:lang w:val="en-US" w:eastAsia="zh-CN" w:bidi="ar-SA"/>
              </w:rPr>
              <w:t>3</w:t>
            </w:r>
          </w:p>
        </w:tc>
        <w:tc>
          <w:tcPr>
            <w:tcW w:w="739" w:type="dxa"/>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压缩式垃圾车</w:t>
            </w:r>
          </w:p>
        </w:tc>
        <w:tc>
          <w:tcPr>
            <w:tcW w:w="5613"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名称：压缩式垃圾车（配垃圾斗使用）</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外形尺寸：≥7190*2270*2410（mm）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箱体容积：≥8.5 立方米</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填充器装载桶数：≥3（桶）（240L 垃圾桶）</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驾驶室准乘人数：3 人（含驾驶员）</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车轴：2 轴；轴距≥3800（mm）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接近角/离去角：≥21/11（°）</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前悬/后悬：≥1130/2370,1130/2470（mm）；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轮胎规格：245/70R19.5，（6+1）条</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发动机：YCS04200-68，排量： ≥ 4.16L 功率： ≥ 143，转速： ≥ 2300r/min</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辆</w:t>
            </w:r>
          </w:p>
        </w:tc>
        <w:tc>
          <w:tcPr>
            <w:tcW w:w="1045"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1</w:t>
            </w:r>
          </w:p>
        </w:tc>
        <w:tc>
          <w:tcPr>
            <w:tcW w:w="975" w:type="dxa"/>
            <w:vAlign w:val="center"/>
          </w:tcPr>
          <w:p>
            <w:pPr>
              <w:pStyle w:val="2"/>
              <w:ind w:left="0" w:leftChars="0" w:firstLine="0" w:firstLineChars="0"/>
              <w:jc w:val="center"/>
              <w:rPr>
                <w:rFonts w:hint="default"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656" w:type="dxa"/>
            <w:vAlign w:val="center"/>
          </w:tcPr>
          <w:p>
            <w:pPr>
              <w:pStyle w:val="2"/>
              <w:ind w:left="0" w:leftChars="0" w:firstLine="0" w:firstLineChars="0"/>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w:t>
            </w:r>
            <w:r>
              <w:rPr>
                <w:rFonts w:hint="eastAsia" w:ascii="宋体" w:hAnsi="宋体" w:cs="宋体"/>
                <w:i w:val="0"/>
                <w:iCs w:val="0"/>
                <w:color w:val="000000"/>
                <w:kern w:val="2"/>
                <w:sz w:val="20"/>
                <w:szCs w:val="20"/>
                <w:u w:val="none"/>
                <w:lang w:val="en-US" w:eastAsia="zh-CN" w:bidi="ar-SA"/>
              </w:rPr>
              <w:t>4</w:t>
            </w:r>
          </w:p>
        </w:tc>
        <w:tc>
          <w:tcPr>
            <w:tcW w:w="739" w:type="dxa"/>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垃圾斗</w:t>
            </w:r>
          </w:p>
        </w:tc>
        <w:tc>
          <w:tcPr>
            <w:tcW w:w="5613"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外形尺寸（长*宽*高）： 2600*1670*1255mm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底长：≥ 1720mm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上盖尺寸： ≥770*800mm/2 个</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下盖尺寸： ≥770*1730mm/2 个</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容积：≥4 立方米</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边板、底板材质：3mm 厚钢板于 63#槽钢骨架焊接而成</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垃圾斗的组成：由底板、顶部箱盖、两个对接板、两个吊装销组成</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前部对接板材质：由 16mm 的 Q345 钢板数控切割而成</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顶部焊接工艺：2.5 米花纹板折边焊接</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垃圾斗焊接工艺：中部间断焊接满焊</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漆面工艺： 垃圾斗整体经过耐火、防腐处理后喷涂酚醛防锈底漆，然后再喷</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涂醇酸面漆。</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个</w:t>
            </w:r>
          </w:p>
        </w:tc>
        <w:tc>
          <w:tcPr>
            <w:tcW w:w="1045" w:type="dxa"/>
            <w:vAlign w:val="center"/>
          </w:tcPr>
          <w:p>
            <w:pPr>
              <w:pStyle w:val="2"/>
              <w:ind w:left="0" w:leftChars="0" w:firstLine="0" w:firstLineChars="0"/>
              <w:jc w:val="center"/>
              <w:rPr>
                <w:rFonts w:hint="default" w:eastAsia="宋体"/>
                <w:sz w:val="24"/>
                <w:szCs w:val="24"/>
                <w:vertAlign w:val="baseline"/>
                <w:lang w:val="en-US" w:eastAsia="zh-CN"/>
              </w:rPr>
            </w:pPr>
            <w:r>
              <w:rPr>
                <w:rFonts w:hint="default" w:eastAsia="宋体"/>
                <w:sz w:val="24"/>
                <w:szCs w:val="24"/>
                <w:vertAlign w:val="baseline"/>
                <w:lang w:val="en-US" w:eastAsia="zh-CN"/>
              </w:rPr>
              <w:t>10</w:t>
            </w:r>
          </w:p>
        </w:tc>
        <w:tc>
          <w:tcPr>
            <w:tcW w:w="975" w:type="dxa"/>
            <w:vAlign w:val="center"/>
          </w:tcPr>
          <w:p>
            <w:pPr>
              <w:pStyle w:val="2"/>
              <w:ind w:left="0" w:leftChars="0" w:firstLine="0" w:firstLineChars="0"/>
              <w:jc w:val="center"/>
              <w:rPr>
                <w:rFonts w:hint="default"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656" w:type="dxa"/>
            <w:vAlign w:val="center"/>
          </w:tcPr>
          <w:p>
            <w:pPr>
              <w:pStyle w:val="2"/>
              <w:ind w:left="0" w:leftChars="0" w:firstLine="0" w:firstLineChars="0"/>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w:t>
            </w:r>
            <w:r>
              <w:rPr>
                <w:rFonts w:hint="eastAsia" w:ascii="宋体" w:hAnsi="宋体" w:cs="宋体"/>
                <w:i w:val="0"/>
                <w:iCs w:val="0"/>
                <w:color w:val="000000"/>
                <w:kern w:val="2"/>
                <w:sz w:val="20"/>
                <w:szCs w:val="20"/>
                <w:u w:val="none"/>
                <w:lang w:val="en-US" w:eastAsia="zh-CN" w:bidi="ar-SA"/>
              </w:rPr>
              <w:t>5</w:t>
            </w:r>
          </w:p>
        </w:tc>
        <w:tc>
          <w:tcPr>
            <w:tcW w:w="739" w:type="dxa"/>
            <w:vAlign w:val="center"/>
          </w:tcPr>
          <w:p>
            <w:pPr>
              <w:pStyle w:val="2"/>
              <w:tabs>
                <w:tab w:val="left" w:pos="557"/>
              </w:tabs>
              <w:ind w:left="0" w:leftChars="0" w:firstLine="0" w:firstLineChars="0"/>
              <w:jc w:val="left"/>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公共宣传牌</w:t>
            </w:r>
          </w:p>
        </w:tc>
        <w:tc>
          <w:tcPr>
            <w:tcW w:w="5613"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标识牌尺寸：总高2280mm，总宽：2700mm，其中：面板规格：2000mm×1200mm,采用亚克力面板，铝塑背板，面板边框采用不锈钢折弯焊接，立柱采用φ60x2不绣钢管，埋地深80mm,雨帽尺寸：2700mm*500mm采用不锈钢；</w:t>
            </w:r>
          </w:p>
        </w:tc>
        <w:tc>
          <w:tcPr>
            <w:tcW w:w="826"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个</w:t>
            </w:r>
          </w:p>
        </w:tc>
        <w:tc>
          <w:tcPr>
            <w:tcW w:w="1045"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1</w:t>
            </w:r>
          </w:p>
        </w:tc>
        <w:tc>
          <w:tcPr>
            <w:tcW w:w="975"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95" w:type="dxa"/>
            <w:gridSpan w:val="2"/>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合计</w:t>
            </w:r>
          </w:p>
        </w:tc>
        <w:tc>
          <w:tcPr>
            <w:tcW w:w="8459" w:type="dxa"/>
            <w:gridSpan w:val="4"/>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36.22万元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95" w:type="dxa"/>
            <w:gridSpan w:val="2"/>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备注</w:t>
            </w:r>
          </w:p>
        </w:tc>
        <w:tc>
          <w:tcPr>
            <w:tcW w:w="8459" w:type="dxa"/>
            <w:gridSpan w:val="4"/>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以上设备含采购、安装、调试及运输、税金等全部费用。</w:t>
            </w:r>
          </w:p>
        </w:tc>
      </w:tr>
    </w:tbl>
    <w:p>
      <w:pPr>
        <w:jc w:val="center"/>
        <w:rPr>
          <w:rFonts w:hint="eastAsia"/>
          <w:b/>
          <w:bCs/>
          <w:sz w:val="32"/>
          <w:szCs w:val="32"/>
          <w:lang w:val="en-US" w:eastAsia="zh-CN"/>
        </w:rPr>
      </w:pPr>
    </w:p>
    <w:p>
      <w:pPr>
        <w:jc w:val="center"/>
        <w:rPr>
          <w:rFonts w:hint="default"/>
          <w:b/>
          <w:bCs/>
          <w:sz w:val="32"/>
          <w:szCs w:val="32"/>
          <w:lang w:val="en-US" w:eastAsia="zh-CN"/>
        </w:rPr>
      </w:pPr>
      <w:r>
        <w:rPr>
          <w:rFonts w:hint="eastAsia"/>
          <w:b/>
          <w:bCs/>
          <w:sz w:val="32"/>
          <w:szCs w:val="32"/>
          <w:lang w:val="en-US" w:eastAsia="zh-CN"/>
        </w:rPr>
        <w:t>包2</w:t>
      </w:r>
    </w:p>
    <w:tbl>
      <w:tblPr>
        <w:tblStyle w:val="36"/>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77"/>
        <w:gridCol w:w="5132"/>
        <w:gridCol w:w="1112"/>
        <w:gridCol w:w="961"/>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36"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序号</w:t>
            </w:r>
          </w:p>
        </w:tc>
        <w:tc>
          <w:tcPr>
            <w:tcW w:w="977"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项目名称</w:t>
            </w:r>
          </w:p>
        </w:tc>
        <w:tc>
          <w:tcPr>
            <w:tcW w:w="5132" w:type="dxa"/>
            <w:vAlign w:val="center"/>
          </w:tcPr>
          <w:p>
            <w:pPr>
              <w:pStyle w:val="2"/>
              <w:ind w:left="0" w:leftChars="0" w:firstLine="0" w:firstLineChars="0"/>
              <w:jc w:val="center"/>
              <w:rPr>
                <w:rFonts w:hint="eastAsia" w:ascii="宋体" w:hAnsi="宋体" w:eastAsia="宋体" w:cs="宋体"/>
                <w:i w:val="0"/>
                <w:iCs w:val="0"/>
                <w:color w:val="000000"/>
                <w:kern w:val="2"/>
                <w:sz w:val="20"/>
                <w:szCs w:val="20"/>
                <w:u w:val="none"/>
                <w:lang w:val="en-US" w:eastAsia="zh-CN" w:bidi="ar-SA"/>
              </w:rPr>
            </w:pPr>
            <w:r>
              <w:rPr>
                <w:rFonts w:hint="eastAsia"/>
                <w:sz w:val="24"/>
                <w:szCs w:val="24"/>
                <w:vertAlign w:val="baseline"/>
                <w:lang w:val="en-US" w:eastAsia="zh-CN"/>
              </w:rPr>
              <w:t>性能</w:t>
            </w:r>
            <w:r>
              <w:rPr>
                <w:rFonts w:hint="eastAsia" w:eastAsia="宋体"/>
                <w:sz w:val="24"/>
                <w:szCs w:val="24"/>
                <w:vertAlign w:val="baseline"/>
                <w:lang w:val="en-US" w:eastAsia="zh-CN"/>
              </w:rPr>
              <w:t>参数</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单位</w:t>
            </w:r>
          </w:p>
        </w:tc>
        <w:tc>
          <w:tcPr>
            <w:tcW w:w="961"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数量</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8" w:type="dxa"/>
            <w:gridSpan w:val="6"/>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进口在线监测站房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1</w:t>
            </w:r>
          </w:p>
        </w:tc>
        <w:tc>
          <w:tcPr>
            <w:tcW w:w="977" w:type="dxa"/>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2"/>
                <w:szCs w:val="22"/>
                <w:u w:val="none"/>
                <w:lang w:val="en-US" w:eastAsia="zh-CN" w:bidi="ar-SA"/>
              </w:rPr>
            </w:pPr>
            <w:r>
              <w:rPr>
                <w:rFonts w:hint="eastAsia" w:ascii="Times New Roman" w:hAnsi="Times New Roman" w:eastAsia="宋体" w:cs="Times New Roman"/>
                <w:kern w:val="0"/>
                <w:sz w:val="24"/>
                <w:szCs w:val="24"/>
                <w:vertAlign w:val="baseline"/>
                <w:lang w:val="en-US" w:eastAsia="zh-CN" w:bidi="ar-SA"/>
              </w:rPr>
              <w:t>集成柜</w:t>
            </w:r>
          </w:p>
        </w:tc>
        <w:tc>
          <w:tcPr>
            <w:tcW w:w="5132" w:type="dxa"/>
            <w:vAlign w:val="top"/>
          </w:tcPr>
          <w:p>
            <w:pPr>
              <w:keepNext w:val="0"/>
              <w:keepLines w:val="0"/>
              <w:widowControl/>
              <w:suppressLineNumbers w:val="0"/>
              <w:jc w:val="left"/>
              <w:textAlignment w:val="top"/>
              <w:rPr>
                <w:rFonts w:hint="default" w:ascii="宋体" w:hAnsi="宋体" w:eastAsia="宋体" w:cs="宋体"/>
                <w:i w:val="0"/>
                <w:iCs w:val="0"/>
                <w:color w:val="000000"/>
                <w:kern w:val="2"/>
                <w:sz w:val="20"/>
                <w:szCs w:val="20"/>
                <w:u w:val="none"/>
                <w:lang w:val="en-US" w:eastAsia="zh-CN" w:bidi="ar-SA"/>
              </w:rPr>
            </w:pPr>
            <w:r>
              <w:rPr>
                <w:rFonts w:hint="default" w:ascii="宋体" w:hAnsi="宋体" w:eastAsia="宋体" w:cs="宋体"/>
                <w:i w:val="0"/>
                <w:iCs w:val="0"/>
                <w:color w:val="000000"/>
                <w:kern w:val="2"/>
                <w:sz w:val="20"/>
                <w:szCs w:val="20"/>
                <w:u w:val="none"/>
                <w:lang w:val="en-US" w:eastAsia="zh-CN" w:bidi="ar-SA"/>
              </w:rPr>
              <w:t>根据设备定制</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2</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取样系统</w:t>
            </w:r>
          </w:p>
        </w:tc>
        <w:tc>
          <w:tcPr>
            <w:tcW w:w="5132"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采样瓶 规格：1000ml*24;单次采样量 (5～1000)ml;</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采样间隔 (2～9999)min;采样记录 1000条;</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开关门记录 200条;停电记录 200条;</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采样量误差 ±7%;等比例采样量误差 ±8%;</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系统时钟时</w:t>
            </w:r>
            <w:bookmarkStart w:id="167" w:name="_GoBack"/>
            <w:bookmarkEnd w:id="167"/>
            <w:r>
              <w:rPr>
                <w:rFonts w:hint="eastAsia" w:ascii="宋体" w:hAnsi="宋体" w:eastAsia="宋体" w:cs="宋体"/>
                <w:i w:val="0"/>
                <w:iCs w:val="0"/>
                <w:color w:val="000000"/>
                <w:kern w:val="2"/>
                <w:sz w:val="20"/>
                <w:szCs w:val="20"/>
                <w:u w:val="none"/>
                <w:lang w:val="en-US" w:eastAsia="zh-CN" w:bidi="ar-SA"/>
              </w:rPr>
              <w:t>间控制误差 Δ1≤0.1% Δ12≤30s;</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控温精度 ±1.5℃;采样垂直高度 ≥8m;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水平采样距离 ≥80m;管路系统气密性 ≤-0.085MPa;</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平均无故障连续运行时间（MTBF） ≥1440 h/次;</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绝缘阻抗 ＞20 MΩ;通讯接口 RS-232/RS-485;</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模拟接口 4mA ~20mA;数字量输入接口 开关量                                 含水泵、管路</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PH/T、SS、流量在线设备</w:t>
            </w:r>
          </w:p>
        </w:tc>
        <w:tc>
          <w:tcPr>
            <w:tcW w:w="5132"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测量范围：0~14PH；-1999~+1999mV  ORP;显示方式：LCD液晶显示;分辨 率：0.01 PH；1mV;精 确 度：0.05 PH；3mV;重 复 性：±1.0%FS;稳 定 性：±1.0%FS;环境温度：-20~40℃;相对湿度：（65±20）%;模拟输出：4~20mA、负载750Ω;开关输出：双路继电器、容量220VAC/ 5 A;数字信号：RS485(可选);供电电源：AC220V±10%或DC24V;电源频率：（50±0.5）Hz.</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变送器技术参数：</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测量范围：0~50g/L；显示方式：LCD液晶显示;测量单位：g/L、mg/L和NTU可选;分 辨 率：0.01 g/L或1mg/L;精 确 度：±1.0%FS;重 复 性：±1.0%FS;环境温度：-20~60℃;相对湿度：（65±20）%;模拟输出：4~20mA、负载750Ω;报警输出：双路继电器;数字输出：RS485;供电电源：AC220V±10%或DC24V</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传感器技术参数：</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材    质： 不锈钢;温度范围： 0-60℃;耐    压： 1.0MPa;过程连接： G3/4;防护等级： IP68;安装方式： 支架浸入式、插入式可选;连接电缆： 屏蔽线缆10m (标配)</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（流量监测厂商依据实际情况选配）                                         含仪表、电极、安装附件、电磁流量计同进口管道一体标配，符合HJ353-2019相关要求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试验台</w:t>
            </w:r>
          </w:p>
        </w:tc>
        <w:tc>
          <w:tcPr>
            <w:tcW w:w="513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全钢结构,不锈钢台面，3000*750*820mm,不锈钢台面厚度1.2mm；</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台</w:t>
            </w:r>
          </w:p>
        </w:tc>
        <w:tc>
          <w:tcPr>
            <w:tcW w:w="961"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5</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空调</w:t>
            </w:r>
          </w:p>
        </w:tc>
        <w:tc>
          <w:tcPr>
            <w:tcW w:w="5132" w:type="dxa"/>
            <w:vAlign w:val="top"/>
          </w:tcPr>
          <w:p>
            <w:pPr>
              <w:pStyle w:val="2"/>
              <w:ind w:left="0" w:leftChars="0" w:firstLine="0" w:firstLineChars="0"/>
              <w:rPr>
                <w:rFonts w:hint="eastAsia"/>
                <w:lang w:val="en-US" w:eastAsia="zh-CN"/>
              </w:rPr>
            </w:pPr>
            <w:r>
              <w:rPr>
                <w:rFonts w:hint="eastAsia"/>
                <w:lang w:val="en-US" w:eastAsia="zh-CN"/>
              </w:rPr>
              <w:t>1、制冷功率：980W</w:t>
            </w:r>
          </w:p>
          <w:p>
            <w:pPr>
              <w:pStyle w:val="2"/>
              <w:ind w:left="0" w:leftChars="0" w:firstLine="0" w:firstLineChars="0"/>
              <w:rPr>
                <w:rFonts w:hint="eastAsia"/>
                <w:lang w:val="en-US" w:eastAsia="zh-CN"/>
              </w:rPr>
            </w:pPr>
            <w:r>
              <w:rPr>
                <w:rFonts w:hint="eastAsia"/>
                <w:lang w:val="en-US" w:eastAsia="zh-CN"/>
              </w:rPr>
              <w:t>2、制热功率：1390W</w:t>
            </w:r>
          </w:p>
          <w:p>
            <w:pPr>
              <w:pStyle w:val="2"/>
              <w:ind w:left="0" w:leftChars="0" w:firstLine="0" w:firstLineChars="0"/>
              <w:rPr>
                <w:rFonts w:hint="eastAsia"/>
                <w:lang w:val="en-US" w:eastAsia="zh-CN"/>
              </w:rPr>
            </w:pPr>
            <w:r>
              <w:rPr>
                <w:rFonts w:hint="eastAsia"/>
                <w:lang w:val="en-US" w:eastAsia="zh-CN"/>
              </w:rPr>
              <w:t>3、循环风量：690立方/小时</w:t>
            </w:r>
          </w:p>
          <w:p>
            <w:pPr>
              <w:pStyle w:val="2"/>
              <w:ind w:left="0" w:leftChars="0" w:firstLine="0" w:firstLineChars="0"/>
              <w:rPr>
                <w:rFonts w:hint="eastAsia"/>
                <w:lang w:val="en-US" w:eastAsia="zh-CN"/>
              </w:rPr>
            </w:pPr>
            <w:r>
              <w:rPr>
                <w:rFonts w:hint="eastAsia"/>
                <w:lang w:val="en-US" w:eastAsia="zh-CN"/>
              </w:rPr>
              <w:t>4、制热量：4600W</w:t>
            </w:r>
          </w:p>
          <w:p>
            <w:pPr>
              <w:pStyle w:val="2"/>
              <w:ind w:left="0" w:leftChars="0" w:firstLine="0" w:firstLineChars="0"/>
              <w:rPr>
                <w:rFonts w:hint="eastAsia"/>
                <w:lang w:val="en-US" w:eastAsia="zh-CN"/>
              </w:rPr>
            </w:pPr>
            <w:r>
              <w:rPr>
                <w:rFonts w:hint="eastAsia"/>
                <w:lang w:val="en-US" w:eastAsia="zh-CN"/>
              </w:rPr>
              <w:t>5、制冷量：3500W</w:t>
            </w:r>
          </w:p>
          <w:p>
            <w:pPr>
              <w:pStyle w:val="2"/>
              <w:ind w:left="0" w:leftChars="0" w:firstLine="0" w:firstLineChars="0"/>
              <w:rPr>
                <w:rFonts w:hint="eastAsia"/>
                <w:lang w:val="en-US" w:eastAsia="zh-CN"/>
              </w:rPr>
            </w:pPr>
            <w:r>
              <w:rPr>
                <w:rFonts w:hint="eastAsia"/>
                <w:lang w:val="en-US" w:eastAsia="zh-CN"/>
              </w:rPr>
              <w:t>6、噪音值：41DB</w:t>
            </w:r>
          </w:p>
          <w:p>
            <w:pPr>
              <w:pStyle w:val="2"/>
              <w:ind w:left="0" w:leftChars="0" w:firstLine="0" w:firstLineChars="0"/>
              <w:rPr>
                <w:rFonts w:hint="eastAsia"/>
                <w:lang w:val="en-US" w:eastAsia="zh-CN"/>
              </w:rPr>
            </w:pPr>
            <w:r>
              <w:rPr>
                <w:rFonts w:hint="eastAsia"/>
                <w:lang w:val="en-US" w:eastAsia="zh-CN"/>
              </w:rPr>
              <w:t xml:space="preserve">7、使用面积：16-20平方米                                                        8、≥1P       </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8" w:type="dxa"/>
            <w:gridSpan w:val="6"/>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2、</w:t>
            </w:r>
            <w:r>
              <w:rPr>
                <w:rFonts w:hint="eastAsia" w:eastAsia="宋体"/>
                <w:sz w:val="24"/>
                <w:szCs w:val="24"/>
                <w:vertAlign w:val="baseline"/>
                <w:lang w:val="en-US" w:eastAsia="zh-CN"/>
              </w:rPr>
              <w:t>出口在线监测站房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2"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2、1</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CODcr在线监测设备</w:t>
            </w:r>
          </w:p>
        </w:tc>
        <w:tc>
          <w:tcPr>
            <w:tcW w:w="5132"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法依据：《水质-化学耗氧量测定-重铬酸钾》。</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测量范围：0-5000 mg/L COD。</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准确度：≥100mg/L时，不超过±10%；＜100mg/L时，不超过±4mg/L。</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重复性：≥100mg/L时，不超过±10%；＜100mg/L时，不超过±4mg/L。</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测量周期：最小测量周期为20分钟，据实际水样，可在5～120min任意修改消解时间。</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采样周期：时间间隔（10～9999min任意可调）和整点测量模式。</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校准周期：1～99天任意间隔任意时刻可调。</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维护周期：一般每月一次，每次约30 min。</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输出：RS-232，4-20mA（选配）。</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环境要求：温度可调的室内，建议温度+5～28℃；湿度≤90%（不结露）。</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电源：AC220±10% V，50±10% Hz，5A。</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其他：异常报警和断电不会丢失数据；</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触摸屏显示及指令输入；</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异常复位和断电后来电，仪器自动排出仪器内残留反应物，自动恢复工作状态。             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台</w:t>
            </w:r>
          </w:p>
        </w:tc>
        <w:tc>
          <w:tcPr>
            <w:tcW w:w="961"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2、2</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NH3-N在线监测设备</w:t>
            </w:r>
          </w:p>
        </w:tc>
        <w:tc>
          <w:tcPr>
            <w:tcW w:w="5132" w:type="dxa"/>
            <w:vAlign w:val="top"/>
          </w:tcPr>
          <w:p>
            <w:pPr>
              <w:pStyle w:val="2"/>
              <w:ind w:left="0" w:leftChars="0" w:firstLine="0" w:firstLineChars="0"/>
              <w:rPr>
                <w:rFonts w:hint="eastAsia"/>
                <w:lang w:val="en-US" w:eastAsia="zh-CN"/>
              </w:rPr>
            </w:pPr>
            <w:r>
              <w:rPr>
                <w:rFonts w:hint="eastAsia"/>
                <w:lang w:val="en-US" w:eastAsia="zh-CN"/>
              </w:rPr>
              <w:t>方法依据：水杨酸分光光度检测。</w:t>
            </w:r>
          </w:p>
          <w:p>
            <w:pPr>
              <w:pStyle w:val="2"/>
              <w:ind w:left="0" w:leftChars="0" w:firstLine="0" w:firstLineChars="0"/>
              <w:rPr>
                <w:rFonts w:hint="eastAsia"/>
                <w:lang w:val="en-US" w:eastAsia="zh-CN"/>
              </w:rPr>
            </w:pPr>
            <w:r>
              <w:rPr>
                <w:rFonts w:hint="eastAsia"/>
                <w:lang w:val="en-US" w:eastAsia="zh-CN"/>
              </w:rPr>
              <w:t>测量范围：0-500 mg/L 氨氮（分档0-8mg/L；0.1-30mg/L；5-500mg/L）。</w:t>
            </w:r>
          </w:p>
          <w:p>
            <w:pPr>
              <w:pStyle w:val="2"/>
              <w:ind w:left="0" w:leftChars="0" w:firstLine="0" w:firstLineChars="0"/>
              <w:rPr>
                <w:rFonts w:hint="eastAsia"/>
                <w:lang w:val="en-US" w:eastAsia="zh-CN"/>
              </w:rPr>
            </w:pPr>
            <w:r>
              <w:rPr>
                <w:rFonts w:hint="eastAsia"/>
                <w:lang w:val="en-US" w:eastAsia="zh-CN"/>
              </w:rPr>
              <w:t>准确度：不超过±5%或不超过±0.2mg/L。</w:t>
            </w:r>
          </w:p>
          <w:p>
            <w:pPr>
              <w:pStyle w:val="2"/>
              <w:ind w:left="0" w:leftChars="0" w:firstLine="0" w:firstLineChars="0"/>
              <w:rPr>
                <w:rFonts w:hint="eastAsia"/>
                <w:lang w:val="en-US" w:eastAsia="zh-CN"/>
              </w:rPr>
            </w:pPr>
            <w:r>
              <w:rPr>
                <w:rFonts w:hint="eastAsia"/>
                <w:lang w:val="en-US" w:eastAsia="zh-CN"/>
              </w:rPr>
              <w:t>重复性：不超过±5%或不超过±0.2mg/L。</w:t>
            </w:r>
          </w:p>
          <w:p>
            <w:pPr>
              <w:pStyle w:val="2"/>
              <w:ind w:left="0" w:leftChars="0" w:firstLine="0" w:firstLineChars="0"/>
              <w:rPr>
                <w:rFonts w:hint="eastAsia"/>
                <w:lang w:val="en-US" w:eastAsia="zh-CN"/>
              </w:rPr>
            </w:pPr>
            <w:r>
              <w:rPr>
                <w:rFonts w:hint="eastAsia"/>
                <w:lang w:val="en-US" w:eastAsia="zh-CN"/>
              </w:rPr>
              <w:t>测量周期：最小测量周期为20分钟，据现场环境，可在5～120min任意修改显色时间。</w:t>
            </w:r>
          </w:p>
          <w:p>
            <w:pPr>
              <w:pStyle w:val="2"/>
              <w:ind w:left="0" w:leftChars="0" w:firstLine="0" w:firstLineChars="0"/>
              <w:rPr>
                <w:rFonts w:hint="eastAsia"/>
                <w:lang w:val="en-US" w:eastAsia="zh-CN"/>
              </w:rPr>
            </w:pPr>
            <w:r>
              <w:rPr>
                <w:rFonts w:hint="eastAsia"/>
                <w:lang w:val="en-US" w:eastAsia="zh-CN"/>
              </w:rPr>
              <w:t>采样周期：时间间隔（10～9999min任意可调）和整点测量模式。</w:t>
            </w:r>
          </w:p>
          <w:p>
            <w:pPr>
              <w:pStyle w:val="2"/>
              <w:ind w:left="0" w:leftChars="0" w:firstLine="0" w:firstLineChars="0"/>
              <w:rPr>
                <w:rFonts w:hint="eastAsia"/>
                <w:lang w:val="en-US" w:eastAsia="zh-CN"/>
              </w:rPr>
            </w:pPr>
            <w:r>
              <w:rPr>
                <w:rFonts w:hint="eastAsia"/>
                <w:lang w:val="en-US" w:eastAsia="zh-CN"/>
              </w:rPr>
              <w:t>校准周期：1～99天任意间隔任意时刻可调。</w:t>
            </w:r>
          </w:p>
          <w:p>
            <w:pPr>
              <w:pStyle w:val="2"/>
              <w:ind w:left="0" w:leftChars="0" w:firstLine="0" w:firstLineChars="0"/>
              <w:rPr>
                <w:rFonts w:hint="eastAsia"/>
                <w:lang w:val="en-US" w:eastAsia="zh-CN"/>
              </w:rPr>
            </w:pPr>
            <w:r>
              <w:rPr>
                <w:rFonts w:hint="eastAsia"/>
                <w:lang w:val="en-US" w:eastAsia="zh-CN"/>
              </w:rPr>
              <w:t>维护周期：一般每月一次，每次约30 min。</w:t>
            </w:r>
          </w:p>
          <w:p>
            <w:pPr>
              <w:pStyle w:val="2"/>
              <w:ind w:left="0" w:leftChars="0" w:firstLine="0" w:firstLineChars="0"/>
              <w:rPr>
                <w:rFonts w:hint="eastAsia"/>
                <w:lang w:val="en-US" w:eastAsia="zh-CN"/>
              </w:rPr>
            </w:pPr>
            <w:r>
              <w:rPr>
                <w:rFonts w:hint="eastAsia"/>
                <w:lang w:val="en-US" w:eastAsia="zh-CN"/>
              </w:rPr>
              <w:t>输出：2路RS-232；1路4～20mA。</w:t>
            </w:r>
          </w:p>
          <w:p>
            <w:pPr>
              <w:pStyle w:val="2"/>
              <w:ind w:left="0" w:leftChars="0" w:firstLine="0" w:firstLineChars="0"/>
              <w:rPr>
                <w:rFonts w:hint="eastAsia"/>
                <w:lang w:val="en-US" w:eastAsia="zh-CN"/>
              </w:rPr>
            </w:pPr>
            <w:r>
              <w:rPr>
                <w:rFonts w:hint="eastAsia"/>
                <w:lang w:val="en-US" w:eastAsia="zh-CN"/>
              </w:rPr>
              <w:t>环境要求：温度可调的室内，建议温度+5～28℃；湿度≤90%（不结露）。</w:t>
            </w:r>
          </w:p>
          <w:p>
            <w:pPr>
              <w:pStyle w:val="2"/>
              <w:ind w:left="0" w:leftChars="0" w:firstLine="0" w:firstLineChars="0"/>
              <w:rPr>
                <w:rFonts w:hint="eastAsia"/>
                <w:lang w:val="en-US" w:eastAsia="zh-CN"/>
              </w:rPr>
            </w:pPr>
            <w:r>
              <w:rPr>
                <w:rFonts w:hint="eastAsia"/>
                <w:lang w:val="en-US" w:eastAsia="zh-CN"/>
              </w:rPr>
              <w:t>电源：AC220±10%V，50±10%Hz，5A。</w:t>
            </w:r>
          </w:p>
          <w:p>
            <w:pPr>
              <w:pStyle w:val="2"/>
              <w:ind w:left="0" w:leftChars="0" w:firstLine="0" w:firstLineChars="0"/>
              <w:rPr>
                <w:rFonts w:hint="eastAsia"/>
                <w:lang w:val="en-US" w:eastAsia="zh-CN"/>
              </w:rPr>
            </w:pPr>
            <w:r>
              <w:rPr>
                <w:rFonts w:hint="eastAsia"/>
                <w:lang w:val="en-US" w:eastAsia="zh-CN"/>
              </w:rPr>
              <w:t>其他：异常报警和断电不会丢失数据；</w:t>
            </w:r>
          </w:p>
          <w:p>
            <w:pPr>
              <w:pStyle w:val="2"/>
              <w:ind w:left="0" w:leftChars="0" w:firstLine="0" w:firstLineChars="0"/>
              <w:rPr>
                <w:rFonts w:hint="eastAsia"/>
                <w:lang w:val="en-US" w:eastAsia="zh-CN"/>
              </w:rPr>
            </w:pPr>
            <w:r>
              <w:rPr>
                <w:rFonts w:hint="eastAsia"/>
                <w:lang w:val="en-US" w:eastAsia="zh-CN"/>
              </w:rPr>
              <w:t>触摸屏显示及指令输入；</w:t>
            </w:r>
          </w:p>
          <w:p>
            <w:pPr>
              <w:pStyle w:val="2"/>
              <w:ind w:left="0" w:leftChars="0" w:firstLine="0" w:firstLineChars="0"/>
              <w:rPr>
                <w:rFonts w:hint="eastAsia"/>
                <w:lang w:val="en-US" w:eastAsia="zh-CN"/>
              </w:rPr>
            </w:pPr>
            <w:r>
              <w:rPr>
                <w:rFonts w:hint="eastAsia"/>
                <w:lang w:val="en-US" w:eastAsia="zh-CN"/>
              </w:rPr>
              <w:t>异常复位和断电后来电，仪器自动排出仪器内残留反应物，自动恢复工作状态。     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台</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2.3</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TN在线监测设备</w:t>
            </w:r>
          </w:p>
        </w:tc>
        <w:tc>
          <w:tcPr>
            <w:tcW w:w="5132" w:type="dxa"/>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方法依据：碱性过硫酸钾分光光度法。</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测量范围：0-300 mg/L 总氮。</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准确度：不超过±5%或不超过±2%FS。</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重复性：不超过±5%或不超过±2%FS。</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测量周期：最小测量周期为25分钟。</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采样周期：时间间隔（10～9999min任意可调）和整点测量模式。</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校准周期：定期手动校准，无自动校准功能。</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维护周期：一般每月一次，每次约30 min。</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输出：2路RS-232；1路4～20mA。</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环境要求：温度可调的室内，建议温度+5～28℃；湿度≤90%（不结露）。</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电源：AC230±10%V，50±10%Hz，5A。</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其他：异常报警和断电不会丢失数据；</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触摸屏显示及指令输入；</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异常复位和断电后来电，仪器自动排出仪器内残留反应物，自动恢复工作状态。     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台</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2.4</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TP在线监测设备</w:t>
            </w:r>
          </w:p>
        </w:tc>
        <w:tc>
          <w:tcPr>
            <w:tcW w:w="5132" w:type="dxa"/>
            <w:vAlign w:val="top"/>
          </w:tcPr>
          <w:p>
            <w:pPr>
              <w:keepNext w:val="0"/>
              <w:keepLines w:val="0"/>
              <w:widowControl/>
              <w:suppressLineNumbers w:val="0"/>
              <w:jc w:val="left"/>
              <w:textAlignment w:val="top"/>
              <w:rPr>
                <w:rFonts w:hint="eastAsia"/>
                <w:lang w:val="en-US" w:eastAsia="zh-CN"/>
              </w:rPr>
            </w:pPr>
            <w:r>
              <w:rPr>
                <w:rFonts w:hint="eastAsia"/>
                <w:lang w:val="en-US" w:eastAsia="zh-CN"/>
              </w:rPr>
              <w:t>方法依据：磷钼蓝法分光光度检测。</w:t>
            </w:r>
          </w:p>
          <w:p>
            <w:pPr>
              <w:keepNext w:val="0"/>
              <w:keepLines w:val="0"/>
              <w:widowControl/>
              <w:suppressLineNumbers w:val="0"/>
              <w:jc w:val="left"/>
              <w:textAlignment w:val="top"/>
              <w:rPr>
                <w:rFonts w:hint="eastAsia"/>
                <w:lang w:val="en-US" w:eastAsia="zh-CN"/>
              </w:rPr>
            </w:pPr>
            <w:r>
              <w:rPr>
                <w:rFonts w:hint="eastAsia"/>
                <w:lang w:val="en-US" w:eastAsia="zh-CN"/>
              </w:rPr>
              <w:t>测量范围：0-100mg/L 总磷。</w:t>
            </w:r>
          </w:p>
          <w:p>
            <w:pPr>
              <w:keepNext w:val="0"/>
              <w:keepLines w:val="0"/>
              <w:widowControl/>
              <w:suppressLineNumbers w:val="0"/>
              <w:jc w:val="left"/>
              <w:textAlignment w:val="top"/>
              <w:rPr>
                <w:rFonts w:hint="eastAsia"/>
                <w:lang w:val="en-US" w:eastAsia="zh-CN"/>
              </w:rPr>
            </w:pPr>
            <w:r>
              <w:rPr>
                <w:rFonts w:hint="eastAsia"/>
                <w:lang w:val="en-US" w:eastAsia="zh-CN"/>
              </w:rPr>
              <w:t>准确度：不超过±5%或不超过±0.2mg/L。</w:t>
            </w:r>
          </w:p>
          <w:p>
            <w:pPr>
              <w:keepNext w:val="0"/>
              <w:keepLines w:val="0"/>
              <w:widowControl/>
              <w:suppressLineNumbers w:val="0"/>
              <w:jc w:val="left"/>
              <w:textAlignment w:val="top"/>
              <w:rPr>
                <w:rFonts w:hint="eastAsia"/>
                <w:lang w:val="en-US" w:eastAsia="zh-CN"/>
              </w:rPr>
            </w:pPr>
            <w:r>
              <w:rPr>
                <w:rFonts w:hint="eastAsia"/>
                <w:lang w:val="en-US" w:eastAsia="zh-CN"/>
              </w:rPr>
              <w:t>重复性：不超过±5%或不超过±0.2mg/L。</w:t>
            </w:r>
          </w:p>
          <w:p>
            <w:pPr>
              <w:keepNext w:val="0"/>
              <w:keepLines w:val="0"/>
              <w:widowControl/>
              <w:suppressLineNumbers w:val="0"/>
              <w:jc w:val="left"/>
              <w:textAlignment w:val="top"/>
              <w:rPr>
                <w:rFonts w:hint="eastAsia"/>
                <w:lang w:val="en-US" w:eastAsia="zh-CN"/>
              </w:rPr>
            </w:pPr>
            <w:r>
              <w:rPr>
                <w:rFonts w:hint="eastAsia"/>
                <w:lang w:val="en-US" w:eastAsia="zh-CN"/>
              </w:rPr>
              <w:t>测量周期：最小测量周期为30分钟，据实际水样，可在5～120min任意修改消解时间。</w:t>
            </w:r>
          </w:p>
          <w:p>
            <w:pPr>
              <w:keepNext w:val="0"/>
              <w:keepLines w:val="0"/>
              <w:widowControl/>
              <w:suppressLineNumbers w:val="0"/>
              <w:jc w:val="left"/>
              <w:textAlignment w:val="top"/>
              <w:rPr>
                <w:rFonts w:hint="eastAsia"/>
                <w:lang w:val="en-US" w:eastAsia="zh-CN"/>
              </w:rPr>
            </w:pPr>
            <w:r>
              <w:rPr>
                <w:rFonts w:hint="eastAsia"/>
                <w:lang w:val="en-US" w:eastAsia="zh-CN"/>
              </w:rPr>
              <w:t>采样周期：时间间隔（10～9999min任意可调）和整点测量模式。</w:t>
            </w:r>
          </w:p>
          <w:p>
            <w:pPr>
              <w:keepNext w:val="0"/>
              <w:keepLines w:val="0"/>
              <w:widowControl/>
              <w:suppressLineNumbers w:val="0"/>
              <w:jc w:val="left"/>
              <w:textAlignment w:val="top"/>
              <w:rPr>
                <w:rFonts w:hint="eastAsia"/>
                <w:lang w:val="en-US" w:eastAsia="zh-CN"/>
              </w:rPr>
            </w:pPr>
            <w:r>
              <w:rPr>
                <w:rFonts w:hint="eastAsia"/>
                <w:lang w:val="en-US" w:eastAsia="zh-CN"/>
              </w:rPr>
              <w:t>校准周期：1～99天任意间隔任意时刻可调。</w:t>
            </w:r>
          </w:p>
          <w:p>
            <w:pPr>
              <w:keepNext w:val="0"/>
              <w:keepLines w:val="0"/>
              <w:widowControl/>
              <w:suppressLineNumbers w:val="0"/>
              <w:jc w:val="left"/>
              <w:textAlignment w:val="top"/>
              <w:rPr>
                <w:rFonts w:hint="eastAsia"/>
                <w:lang w:val="en-US" w:eastAsia="zh-CN"/>
              </w:rPr>
            </w:pPr>
            <w:r>
              <w:rPr>
                <w:rFonts w:hint="eastAsia"/>
                <w:lang w:val="en-US" w:eastAsia="zh-CN"/>
              </w:rPr>
              <w:t>维护周期：一般每月一次，每次约30 min。</w:t>
            </w:r>
          </w:p>
          <w:p>
            <w:pPr>
              <w:keepNext w:val="0"/>
              <w:keepLines w:val="0"/>
              <w:widowControl/>
              <w:suppressLineNumbers w:val="0"/>
              <w:jc w:val="left"/>
              <w:textAlignment w:val="top"/>
              <w:rPr>
                <w:rFonts w:hint="eastAsia"/>
                <w:lang w:val="en-US" w:eastAsia="zh-CN"/>
              </w:rPr>
            </w:pPr>
            <w:r>
              <w:rPr>
                <w:rFonts w:hint="eastAsia"/>
                <w:lang w:val="en-US" w:eastAsia="zh-CN"/>
              </w:rPr>
              <w:t>输出：2路RS-232；1路4～20mA。</w:t>
            </w:r>
          </w:p>
          <w:p>
            <w:pPr>
              <w:keepNext w:val="0"/>
              <w:keepLines w:val="0"/>
              <w:widowControl/>
              <w:suppressLineNumbers w:val="0"/>
              <w:jc w:val="left"/>
              <w:textAlignment w:val="top"/>
              <w:rPr>
                <w:rFonts w:hint="eastAsia"/>
                <w:lang w:val="en-US" w:eastAsia="zh-CN"/>
              </w:rPr>
            </w:pPr>
            <w:r>
              <w:rPr>
                <w:rFonts w:hint="eastAsia"/>
                <w:lang w:val="en-US" w:eastAsia="zh-CN"/>
              </w:rPr>
              <w:t>环境要求：温度可调的室内，建议温度+5～28℃；湿度≤90%（不结露）。</w:t>
            </w:r>
          </w:p>
          <w:p>
            <w:pPr>
              <w:keepNext w:val="0"/>
              <w:keepLines w:val="0"/>
              <w:widowControl/>
              <w:suppressLineNumbers w:val="0"/>
              <w:jc w:val="left"/>
              <w:textAlignment w:val="top"/>
              <w:rPr>
                <w:rFonts w:hint="eastAsia"/>
                <w:lang w:val="en-US" w:eastAsia="zh-CN"/>
              </w:rPr>
            </w:pPr>
            <w:r>
              <w:rPr>
                <w:rFonts w:hint="eastAsia"/>
                <w:lang w:val="en-US" w:eastAsia="zh-CN"/>
              </w:rPr>
              <w:t>电源：AC230±10%V，50±10%Hz，5A。</w:t>
            </w:r>
          </w:p>
          <w:p>
            <w:pPr>
              <w:keepNext w:val="0"/>
              <w:keepLines w:val="0"/>
              <w:widowControl/>
              <w:suppressLineNumbers w:val="0"/>
              <w:jc w:val="left"/>
              <w:textAlignment w:val="top"/>
              <w:rPr>
                <w:rFonts w:hint="eastAsia"/>
                <w:lang w:val="en-US" w:eastAsia="zh-CN"/>
              </w:rPr>
            </w:pPr>
            <w:r>
              <w:rPr>
                <w:rFonts w:hint="eastAsia"/>
                <w:lang w:val="en-US" w:eastAsia="zh-CN"/>
              </w:rPr>
              <w:t>其他：异常报警和断电不会丢失数据；</w:t>
            </w:r>
          </w:p>
          <w:p>
            <w:pPr>
              <w:keepNext w:val="0"/>
              <w:keepLines w:val="0"/>
              <w:widowControl/>
              <w:suppressLineNumbers w:val="0"/>
              <w:jc w:val="left"/>
              <w:textAlignment w:val="top"/>
              <w:rPr>
                <w:rFonts w:hint="eastAsia"/>
                <w:lang w:val="en-US" w:eastAsia="zh-CN"/>
              </w:rPr>
            </w:pPr>
            <w:r>
              <w:rPr>
                <w:rFonts w:hint="eastAsia"/>
                <w:lang w:val="en-US" w:eastAsia="zh-CN"/>
              </w:rPr>
              <w:t>触摸屏显示及指令输入；</w:t>
            </w:r>
          </w:p>
          <w:p>
            <w:pPr>
              <w:keepNext w:val="0"/>
              <w:keepLines w:val="0"/>
              <w:widowControl/>
              <w:suppressLineNumbers w:val="0"/>
              <w:jc w:val="left"/>
              <w:textAlignment w:val="top"/>
              <w:rPr>
                <w:rFonts w:hint="eastAsia"/>
                <w:lang w:val="en-US" w:eastAsia="zh-CN"/>
              </w:rPr>
            </w:pPr>
            <w:r>
              <w:rPr>
                <w:rFonts w:hint="eastAsia"/>
                <w:lang w:val="en-US" w:eastAsia="zh-CN"/>
              </w:rPr>
              <w:t>异常复位和断电后来电，仪器自动排出仪器内残留反应物，自动恢复工作状态。       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台</w:t>
            </w:r>
          </w:p>
        </w:tc>
        <w:tc>
          <w:tcPr>
            <w:tcW w:w="961"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2.5</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PH/T、SS、流量在线设备</w:t>
            </w:r>
          </w:p>
        </w:tc>
        <w:tc>
          <w:tcPr>
            <w:tcW w:w="5132" w:type="dxa"/>
            <w:vAlign w:val="top"/>
          </w:tcPr>
          <w:p>
            <w:pPr>
              <w:pStyle w:val="2"/>
              <w:ind w:left="0" w:leftChars="0" w:firstLine="0" w:firstLineChars="0"/>
              <w:rPr>
                <w:rFonts w:hint="eastAsia"/>
                <w:lang w:val="en-US" w:eastAsia="zh-CN"/>
              </w:rPr>
            </w:pPr>
            <w:r>
              <w:rPr>
                <w:rFonts w:hint="eastAsia"/>
                <w:lang w:val="en-US" w:eastAsia="zh-CN"/>
              </w:rPr>
              <w:t>测量范围：0~14PH；-1999~+1999mV  ORP</w:t>
            </w:r>
          </w:p>
          <w:p>
            <w:pPr>
              <w:pStyle w:val="2"/>
              <w:ind w:left="0" w:leftChars="0" w:firstLine="0" w:firstLineChars="0"/>
              <w:rPr>
                <w:rFonts w:hint="eastAsia"/>
                <w:lang w:val="en-US" w:eastAsia="zh-CN"/>
              </w:rPr>
            </w:pPr>
            <w:r>
              <w:rPr>
                <w:rFonts w:hint="eastAsia"/>
                <w:lang w:val="en-US" w:eastAsia="zh-CN"/>
              </w:rPr>
              <w:t>显示方式：LCD液晶显示  分 辨 率：0.01 PH；1mV精 确 度：0.05 PH；3mV重 复 性：±1.0%FS稳 定 性：±1.0%FS环境温度：-20~40℃相对湿度：（65±20）%模拟输出：4~20mA、负载750Ω开关输出：双路继电器、容量220VAC/ 5 A</w:t>
            </w:r>
          </w:p>
          <w:p>
            <w:pPr>
              <w:pStyle w:val="2"/>
              <w:ind w:left="0" w:leftChars="0" w:firstLine="0" w:firstLineChars="0"/>
              <w:rPr>
                <w:rFonts w:hint="eastAsia"/>
                <w:lang w:val="en-US" w:eastAsia="zh-CN"/>
              </w:rPr>
            </w:pPr>
            <w:r>
              <w:rPr>
                <w:rFonts w:hint="eastAsia"/>
                <w:lang w:val="en-US" w:eastAsia="zh-CN"/>
              </w:rPr>
              <w:t>数字信号：RS485(可选)供电电源：AC220V±10%或DC24V电源频率：（50±0.5）Hz.变送器技术参数：测量范围：0~50g/L；显示方式：LCD液晶显示;测量单位：g/L、mg/L和NTU可选分 辨 率：0.01 g/L或1mg/L精 确 度：±1.0%FS重 复 性：±1.0%FS环境温度：-20~60℃相对湿度：（65±20）%模拟输出：~20mA、负载750Ω报警输出：双路继电器数字输出：RS485供电电源：AC220V±10%或DC24V传感器技术参数：材    质： 不锈钢温度范围： 0-60℃耐    压： 1.0MPa过程连接： G3/4防护等级： IP68安装方式： 支架浸入式、插入式可选连接电缆： 屏蔽线缆10m (标配)            含仪表、电极、安装附件、电磁流量计同出口管道一体标配，符合HJ353-2019相关要求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p>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eastAsia"/>
                <w:sz w:val="24"/>
                <w:szCs w:val="24"/>
                <w:vertAlign w:val="baseline"/>
                <w:lang w:val="en-US" w:eastAsia="zh-CN"/>
              </w:rPr>
            </w:pPr>
          </w:p>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2.6</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数据采集仪</w:t>
            </w:r>
          </w:p>
        </w:tc>
        <w:tc>
          <w:tcPr>
            <w:tcW w:w="5132" w:type="dxa"/>
            <w:vAlign w:val="top"/>
          </w:tcPr>
          <w:p>
            <w:pPr>
              <w:pStyle w:val="2"/>
              <w:ind w:left="0" w:leftChars="0" w:firstLine="0" w:firstLineChars="0"/>
              <w:rPr>
                <w:rFonts w:hint="eastAsia"/>
                <w:lang w:val="en-US" w:eastAsia="zh-CN"/>
              </w:rPr>
            </w:pPr>
            <w:r>
              <w:rPr>
                <w:rFonts w:hint="eastAsia"/>
                <w:lang w:val="en-US" w:eastAsia="zh-CN"/>
              </w:rPr>
              <w:t>lØ 8路带隔离的RS-232接口，波特率范围：1200-115200；</w:t>
            </w:r>
          </w:p>
          <w:p>
            <w:pPr>
              <w:pStyle w:val="2"/>
              <w:ind w:left="0" w:leftChars="0" w:firstLine="0" w:firstLineChars="0"/>
              <w:rPr>
                <w:rFonts w:hint="eastAsia"/>
                <w:lang w:val="en-US" w:eastAsia="zh-CN"/>
              </w:rPr>
            </w:pPr>
            <w:r>
              <w:rPr>
                <w:rFonts w:hint="eastAsia"/>
                <w:lang w:val="en-US" w:eastAsia="zh-CN"/>
              </w:rPr>
              <w:t>lØ 1路带隔离的RS-485接口，波特率范围：1200-115200；</w:t>
            </w:r>
          </w:p>
          <w:p>
            <w:pPr>
              <w:pStyle w:val="2"/>
              <w:ind w:left="0" w:leftChars="0" w:firstLine="0" w:firstLineChars="0"/>
              <w:rPr>
                <w:rFonts w:hint="eastAsia"/>
                <w:lang w:val="en-US" w:eastAsia="zh-CN"/>
              </w:rPr>
            </w:pPr>
            <w:r>
              <w:rPr>
                <w:rFonts w:hint="eastAsia"/>
                <w:lang w:val="en-US" w:eastAsia="zh-CN"/>
              </w:rPr>
              <w:t>lØ 8路模拟量输入通道，16位分辨率，支持4-20mA电流信号和0-5V电压信号；</w:t>
            </w:r>
          </w:p>
          <w:p>
            <w:pPr>
              <w:pStyle w:val="2"/>
              <w:ind w:left="0" w:leftChars="0" w:firstLine="0" w:firstLineChars="0"/>
              <w:rPr>
                <w:rFonts w:hint="eastAsia"/>
                <w:lang w:val="en-US" w:eastAsia="zh-CN"/>
              </w:rPr>
            </w:pPr>
            <w:r>
              <w:rPr>
                <w:rFonts w:hint="eastAsia"/>
                <w:lang w:val="en-US" w:eastAsia="zh-CN"/>
              </w:rPr>
              <w:t>lØ 8路带隔离的开关量输入通道，输入电压范围：0-5VDC，可接受最高30VDC的电压输入；</w:t>
            </w:r>
          </w:p>
          <w:p>
            <w:pPr>
              <w:pStyle w:val="2"/>
              <w:ind w:left="0" w:leftChars="0" w:firstLine="0" w:firstLineChars="0"/>
              <w:rPr>
                <w:rFonts w:hint="eastAsia"/>
                <w:lang w:val="en-US" w:eastAsia="zh-CN"/>
              </w:rPr>
            </w:pPr>
            <w:r>
              <w:rPr>
                <w:rFonts w:hint="eastAsia"/>
                <w:lang w:val="en-US" w:eastAsia="zh-CN"/>
              </w:rPr>
              <w:t>lØ 4路继电器输出，负载能力为24VDC/1A；</w:t>
            </w:r>
          </w:p>
          <w:p>
            <w:pPr>
              <w:pStyle w:val="2"/>
              <w:ind w:left="0" w:leftChars="0" w:firstLine="0" w:firstLineChars="0"/>
              <w:rPr>
                <w:rFonts w:hint="eastAsia"/>
                <w:lang w:val="en-US" w:eastAsia="zh-CN"/>
              </w:rPr>
            </w:pPr>
            <w:r>
              <w:rPr>
                <w:rFonts w:hint="eastAsia"/>
                <w:lang w:val="en-US" w:eastAsia="zh-CN"/>
              </w:rPr>
              <w:t>lØ 1路USB接口,用于程序更新及数据导出；</w:t>
            </w:r>
          </w:p>
          <w:p>
            <w:pPr>
              <w:pStyle w:val="2"/>
              <w:ind w:left="0" w:leftChars="0" w:firstLine="0" w:firstLineChars="0"/>
              <w:rPr>
                <w:rFonts w:hint="eastAsia"/>
                <w:lang w:val="en-US" w:eastAsia="zh-CN"/>
              </w:rPr>
            </w:pPr>
            <w:r>
              <w:rPr>
                <w:rFonts w:hint="eastAsia"/>
                <w:lang w:val="en-US" w:eastAsia="zh-CN"/>
              </w:rPr>
              <w:t>lØ 1路CAN接口；内置2路千兆以太网接口； 内置4G全网通通信模块</w:t>
            </w:r>
          </w:p>
          <w:p>
            <w:pPr>
              <w:pStyle w:val="2"/>
              <w:ind w:left="0" w:leftChars="0" w:firstLine="0" w:firstLineChars="0"/>
              <w:rPr>
                <w:rFonts w:hint="eastAsia"/>
                <w:lang w:val="en-US" w:eastAsia="zh-CN"/>
              </w:rPr>
            </w:pPr>
            <w:r>
              <w:rPr>
                <w:rFonts w:hint="eastAsia"/>
                <w:lang w:val="en-US" w:eastAsia="zh-CN"/>
              </w:rPr>
              <w:t>lØ 内置自动锁； 内置大容量的锂电池，支持充电； 内置高精度时钟芯片；</w:t>
            </w:r>
          </w:p>
          <w:p>
            <w:pPr>
              <w:pStyle w:val="2"/>
              <w:ind w:left="0" w:leftChars="0" w:firstLine="0" w:firstLineChars="0"/>
              <w:rPr>
                <w:rFonts w:hint="eastAsia"/>
                <w:lang w:val="en-US" w:eastAsia="zh-CN"/>
              </w:rPr>
            </w:pPr>
            <w:r>
              <w:rPr>
                <w:rFonts w:hint="eastAsia"/>
                <w:lang w:val="en-US" w:eastAsia="zh-CN"/>
              </w:rPr>
              <w:t>lØ 内置温度传感器；</w:t>
            </w:r>
          </w:p>
          <w:p>
            <w:pPr>
              <w:pStyle w:val="2"/>
              <w:ind w:left="0" w:leftChars="0" w:firstLine="0" w:firstLineChars="0"/>
              <w:rPr>
                <w:rFonts w:hint="eastAsia"/>
                <w:lang w:val="en-US" w:eastAsia="zh-CN"/>
              </w:rPr>
            </w:pPr>
            <w:r>
              <w:rPr>
                <w:rFonts w:hint="eastAsia"/>
                <w:lang w:val="en-US" w:eastAsia="zh-CN"/>
              </w:rPr>
              <w:t>lØ 10寸触摸彩屏</w:t>
            </w:r>
          </w:p>
          <w:p>
            <w:pPr>
              <w:pStyle w:val="2"/>
              <w:ind w:left="0" w:leftChars="0" w:firstLine="0" w:firstLineChars="0"/>
              <w:rPr>
                <w:rFonts w:hint="eastAsia"/>
                <w:lang w:val="en-US" w:eastAsia="zh-CN"/>
              </w:rPr>
            </w:pPr>
            <w:r>
              <w:rPr>
                <w:rFonts w:hint="eastAsia"/>
                <w:lang w:val="en-US" w:eastAsia="zh-CN"/>
              </w:rPr>
              <w:t>lØ 4G的NANDFLASH空间用于保存历史数据；</w:t>
            </w:r>
          </w:p>
          <w:p>
            <w:pPr>
              <w:pStyle w:val="2"/>
              <w:ind w:left="0" w:leftChars="0" w:firstLine="0" w:firstLineChars="0"/>
              <w:rPr>
                <w:rFonts w:hint="eastAsia"/>
                <w:lang w:val="en-US" w:eastAsia="zh-CN"/>
              </w:rPr>
            </w:pPr>
            <w:r>
              <w:rPr>
                <w:rFonts w:hint="eastAsia"/>
                <w:lang w:val="en-US" w:eastAsia="zh-CN"/>
              </w:rPr>
              <w:t>lØ 10G的NANDFLASH的文件系统空间；</w:t>
            </w:r>
          </w:p>
          <w:p>
            <w:pPr>
              <w:pStyle w:val="2"/>
              <w:ind w:left="0" w:leftChars="0" w:firstLine="0" w:firstLineChars="0"/>
              <w:rPr>
                <w:rFonts w:hint="eastAsia"/>
                <w:lang w:val="en-US" w:eastAsia="zh-CN"/>
              </w:rPr>
            </w:pPr>
            <w:r>
              <w:rPr>
                <w:rFonts w:hint="eastAsia"/>
                <w:lang w:val="en-US" w:eastAsia="zh-CN"/>
              </w:rPr>
              <w:t>lØ 512M的内存空间；</w:t>
            </w:r>
          </w:p>
          <w:p>
            <w:pPr>
              <w:pStyle w:val="2"/>
              <w:ind w:left="0" w:leftChars="0" w:firstLine="0" w:firstLineChars="0"/>
              <w:rPr>
                <w:rFonts w:hint="eastAsia"/>
                <w:lang w:val="en-US" w:eastAsia="zh-CN"/>
              </w:rPr>
            </w:pPr>
            <w:r>
              <w:rPr>
                <w:rFonts w:hint="eastAsia"/>
                <w:lang w:val="en-US" w:eastAsia="zh-CN"/>
              </w:rPr>
              <w:t>lØ 空调控制器；</w:t>
            </w:r>
          </w:p>
          <w:p>
            <w:pPr>
              <w:pStyle w:val="2"/>
              <w:ind w:left="0" w:leftChars="0" w:firstLine="0" w:firstLineChars="0"/>
              <w:rPr>
                <w:rFonts w:hint="eastAsia"/>
                <w:lang w:val="en-US" w:eastAsia="zh-CN"/>
              </w:rPr>
            </w:pPr>
            <w:r>
              <w:rPr>
                <w:rFonts w:hint="eastAsia"/>
                <w:lang w:val="en-US" w:eastAsia="zh-CN"/>
              </w:rPr>
              <w:t>lØ 运行Linux操作系统；</w:t>
            </w:r>
          </w:p>
          <w:p>
            <w:pPr>
              <w:pStyle w:val="2"/>
              <w:ind w:left="0" w:leftChars="0" w:firstLine="0" w:firstLineChars="0"/>
              <w:rPr>
                <w:rFonts w:hint="eastAsia"/>
                <w:lang w:val="en-US" w:eastAsia="zh-CN"/>
              </w:rPr>
            </w:pPr>
            <w:r>
              <w:rPr>
                <w:rFonts w:hint="eastAsia"/>
                <w:lang w:val="en-US" w:eastAsia="zh-CN"/>
              </w:rPr>
              <w:t>lØ 远程维护。</w:t>
            </w:r>
          </w:p>
          <w:p>
            <w:pPr>
              <w:pStyle w:val="2"/>
              <w:ind w:left="0" w:leftChars="0" w:firstLine="0" w:firstLineChars="0"/>
              <w:rPr>
                <w:rFonts w:hint="eastAsia"/>
                <w:lang w:val="en-US" w:eastAsia="zh-CN"/>
              </w:rPr>
            </w:pPr>
            <w:r>
              <w:rPr>
                <w:rFonts w:hint="eastAsia"/>
                <w:lang w:val="en-US" w:eastAsia="zh-CN"/>
              </w:rPr>
              <w:t>2、数采仪系统要求</w:t>
            </w:r>
          </w:p>
          <w:p>
            <w:pPr>
              <w:pStyle w:val="2"/>
              <w:ind w:left="0" w:leftChars="0" w:firstLine="0" w:firstLineChars="0"/>
              <w:rPr>
                <w:rFonts w:hint="eastAsia"/>
                <w:lang w:val="en-US" w:eastAsia="zh-CN"/>
              </w:rPr>
            </w:pPr>
            <w:r>
              <w:rPr>
                <w:rFonts w:hint="eastAsia"/>
                <w:lang w:val="en-US" w:eastAsia="zh-CN"/>
              </w:rPr>
              <w:t>1、数据采集器需采用双CPU双系统设计，主系统Linux及监测运行系统。Linux操作系统负责采集运算及通信等，当主系统出现异常或故障时监测系统介入并可重启主系统的运行程序保证整机系统的稳定可靠。</w:t>
            </w:r>
          </w:p>
          <w:p>
            <w:pPr>
              <w:pStyle w:val="2"/>
              <w:ind w:left="0" w:leftChars="0" w:firstLine="0" w:firstLineChars="0"/>
              <w:rPr>
                <w:rFonts w:hint="eastAsia"/>
                <w:lang w:val="en-US" w:eastAsia="zh-CN"/>
              </w:rPr>
            </w:pPr>
            <w:r>
              <w:rPr>
                <w:rFonts w:hint="eastAsia"/>
                <w:lang w:val="en-US" w:eastAsia="zh-CN"/>
              </w:rPr>
              <w:t>2、数采仪嵌入网页平台，可以通过内嵌网登录每台数采仪的嵌入网页平台进行对数采仪维护、查看数据、导出数据等。</w:t>
            </w:r>
          </w:p>
          <w:p>
            <w:pPr>
              <w:pStyle w:val="2"/>
              <w:ind w:left="0" w:leftChars="0" w:firstLine="0" w:firstLineChars="0"/>
              <w:rPr>
                <w:rFonts w:hint="eastAsia"/>
                <w:lang w:val="en-US" w:eastAsia="zh-CN"/>
              </w:rPr>
            </w:pPr>
            <w:r>
              <w:rPr>
                <w:rFonts w:hint="eastAsia"/>
                <w:lang w:val="en-US" w:eastAsia="zh-CN"/>
              </w:rPr>
              <w:t>3、数采仪能保存采集到的原始报文、上报平台的所有报文、操作日志，时间同步等信息。</w:t>
            </w:r>
          </w:p>
          <w:p>
            <w:pPr>
              <w:pStyle w:val="2"/>
              <w:ind w:left="0" w:leftChars="0" w:firstLine="0" w:firstLineChars="0"/>
              <w:rPr>
                <w:rFonts w:hint="eastAsia"/>
                <w:lang w:val="en-US" w:eastAsia="zh-CN"/>
              </w:rPr>
            </w:pPr>
            <w:r>
              <w:rPr>
                <w:rFonts w:hint="eastAsia"/>
                <w:lang w:val="en-US" w:eastAsia="zh-CN"/>
              </w:rPr>
              <w:t>4、数据采集器支持监控站房门禁管理，与数采仪使用同一ID进行管理并记录相关日志。                                                                     符合HJ353-2019相关要求</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2.7</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集成柜</w:t>
            </w:r>
          </w:p>
        </w:tc>
        <w:tc>
          <w:tcPr>
            <w:tcW w:w="5132" w:type="dxa"/>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根据设备定制</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2.8</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取样系统</w:t>
            </w:r>
          </w:p>
        </w:tc>
        <w:tc>
          <w:tcPr>
            <w:tcW w:w="5132" w:type="dxa"/>
            <w:vAlign w:val="center"/>
          </w:tcPr>
          <w:p>
            <w:pPr>
              <w:pStyle w:val="2"/>
              <w:ind w:left="0" w:leftChars="0" w:firstLine="0" w:firstLineChars="0"/>
              <w:rPr>
                <w:rFonts w:hint="eastAsia"/>
                <w:lang w:val="en-US" w:eastAsia="zh-CN"/>
              </w:rPr>
            </w:pPr>
            <w:r>
              <w:rPr>
                <w:rFonts w:hint="eastAsia"/>
                <w:lang w:val="en-US" w:eastAsia="zh-CN"/>
              </w:rPr>
              <w:t>采样瓶 规格：1000ml*24；单次采样量 (5～1000)ml；采样间隔 (2～9999)min；</w:t>
            </w:r>
          </w:p>
          <w:p>
            <w:pPr>
              <w:pStyle w:val="2"/>
              <w:ind w:left="0" w:leftChars="0" w:firstLine="0" w:firstLineChars="0"/>
              <w:rPr>
                <w:rFonts w:hint="eastAsia"/>
                <w:lang w:val="en-US" w:eastAsia="zh-CN"/>
              </w:rPr>
            </w:pPr>
            <w:r>
              <w:rPr>
                <w:rFonts w:hint="eastAsia"/>
                <w:lang w:val="en-US" w:eastAsia="zh-CN"/>
              </w:rPr>
              <w:t>采样记录 1000条；开关门记录 200条；停电记录 200条；采样量误差 ±7%</w:t>
            </w:r>
          </w:p>
          <w:p>
            <w:pPr>
              <w:pStyle w:val="2"/>
              <w:ind w:left="0" w:leftChars="0" w:firstLine="0" w:firstLineChars="0"/>
              <w:rPr>
                <w:rFonts w:hint="eastAsia"/>
                <w:lang w:val="en-US" w:eastAsia="zh-CN"/>
              </w:rPr>
            </w:pPr>
            <w:r>
              <w:rPr>
                <w:rFonts w:hint="eastAsia"/>
                <w:lang w:val="en-US" w:eastAsia="zh-CN"/>
              </w:rPr>
              <w:t>等比例采样量误差 ±8%；系统时钟时间控制误差 Δ1≤0.1% Δ12≤30s；</w:t>
            </w:r>
          </w:p>
          <w:p>
            <w:pPr>
              <w:pStyle w:val="2"/>
              <w:ind w:left="0" w:leftChars="0" w:firstLine="0" w:firstLineChars="0"/>
              <w:rPr>
                <w:rFonts w:hint="eastAsia"/>
                <w:lang w:val="en-US" w:eastAsia="zh-CN"/>
              </w:rPr>
            </w:pPr>
            <w:r>
              <w:rPr>
                <w:rFonts w:hint="eastAsia"/>
                <w:lang w:val="en-US" w:eastAsia="zh-CN"/>
              </w:rPr>
              <w:t>控温精度 ±1.5℃；采样垂直高度 ≥8m；水平采样距离 ≥80m；</w:t>
            </w:r>
          </w:p>
          <w:p>
            <w:pPr>
              <w:pStyle w:val="2"/>
              <w:ind w:left="0" w:leftChars="0" w:firstLine="0" w:firstLineChars="0"/>
              <w:rPr>
                <w:rFonts w:hint="eastAsia"/>
                <w:lang w:val="en-US" w:eastAsia="zh-CN"/>
              </w:rPr>
            </w:pPr>
            <w:r>
              <w:rPr>
                <w:rFonts w:hint="eastAsia"/>
                <w:lang w:val="en-US" w:eastAsia="zh-CN"/>
              </w:rPr>
              <w:t>管路系统气密性 ≤-0.085MPa；平均无故障连续运行时间（MTBF） ≥1440 h/次；</w:t>
            </w:r>
          </w:p>
          <w:p>
            <w:pPr>
              <w:pStyle w:val="2"/>
              <w:ind w:left="0" w:leftChars="0" w:firstLine="0" w:firstLineChars="0"/>
              <w:rPr>
                <w:rFonts w:hint="eastAsia"/>
                <w:lang w:val="en-US" w:eastAsia="zh-CN"/>
              </w:rPr>
            </w:pPr>
            <w:r>
              <w:rPr>
                <w:rFonts w:hint="eastAsia"/>
                <w:lang w:val="en-US" w:eastAsia="zh-CN"/>
              </w:rPr>
              <w:t>绝缘阻抗 ＞20 MΩ；通讯接口 RS-232/RS-485；</w:t>
            </w:r>
          </w:p>
          <w:p>
            <w:pPr>
              <w:pStyle w:val="2"/>
              <w:ind w:left="0" w:leftChars="0" w:firstLine="0" w:firstLineChars="0"/>
              <w:rPr>
                <w:rFonts w:hint="eastAsia"/>
                <w:lang w:val="en-US" w:eastAsia="zh-CN"/>
              </w:rPr>
            </w:pPr>
            <w:r>
              <w:rPr>
                <w:rFonts w:hint="eastAsia"/>
                <w:lang w:val="en-US" w:eastAsia="zh-CN"/>
              </w:rPr>
              <w:t>模拟接口 4mA ~20mA；数字量输入接口 开关量。                             含水泵、管路</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center"/>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2.9</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试验台</w:t>
            </w:r>
          </w:p>
        </w:tc>
        <w:tc>
          <w:tcPr>
            <w:tcW w:w="513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全钢结构,不锈钢台面，3000*750*820mm,不锈钢台面厚度1.2mm；</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both"/>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2.10</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空调</w:t>
            </w:r>
          </w:p>
        </w:tc>
        <w:tc>
          <w:tcPr>
            <w:tcW w:w="5132" w:type="dxa"/>
            <w:vAlign w:val="center"/>
          </w:tcPr>
          <w:p>
            <w:pPr>
              <w:pStyle w:val="2"/>
              <w:ind w:left="0" w:leftChars="0" w:firstLine="0" w:firstLineChars="0"/>
              <w:rPr>
                <w:rFonts w:hint="default"/>
                <w:lang w:val="en-US" w:eastAsia="zh-CN"/>
              </w:rPr>
            </w:pPr>
            <w:r>
              <w:rPr>
                <w:rFonts w:hint="default"/>
                <w:lang w:val="en-US" w:eastAsia="zh-CN"/>
              </w:rPr>
              <w:t>1、制冷功率：980W</w:t>
            </w:r>
          </w:p>
          <w:p>
            <w:pPr>
              <w:pStyle w:val="2"/>
              <w:ind w:left="0" w:leftChars="0" w:firstLine="0" w:firstLineChars="0"/>
              <w:rPr>
                <w:rFonts w:hint="default"/>
                <w:lang w:val="en-US" w:eastAsia="zh-CN"/>
              </w:rPr>
            </w:pPr>
            <w:r>
              <w:rPr>
                <w:rFonts w:hint="default"/>
                <w:lang w:val="en-US" w:eastAsia="zh-CN"/>
              </w:rPr>
              <w:t>2、制热功率：1390W</w:t>
            </w:r>
          </w:p>
          <w:p>
            <w:pPr>
              <w:pStyle w:val="2"/>
              <w:ind w:left="0" w:leftChars="0" w:firstLine="0" w:firstLineChars="0"/>
              <w:rPr>
                <w:rFonts w:hint="default"/>
                <w:lang w:val="en-US" w:eastAsia="zh-CN"/>
              </w:rPr>
            </w:pPr>
            <w:r>
              <w:rPr>
                <w:rFonts w:hint="default"/>
                <w:lang w:val="en-US" w:eastAsia="zh-CN"/>
              </w:rPr>
              <w:t>3、循环风量：690立方/小时</w:t>
            </w:r>
          </w:p>
          <w:p>
            <w:pPr>
              <w:pStyle w:val="2"/>
              <w:ind w:left="0" w:leftChars="0" w:firstLine="0" w:firstLineChars="0"/>
              <w:rPr>
                <w:rFonts w:hint="default"/>
                <w:lang w:val="en-US" w:eastAsia="zh-CN"/>
              </w:rPr>
            </w:pPr>
            <w:r>
              <w:rPr>
                <w:rFonts w:hint="default"/>
                <w:lang w:val="en-US" w:eastAsia="zh-CN"/>
              </w:rPr>
              <w:t>4、制热量：4600W</w:t>
            </w:r>
          </w:p>
          <w:p>
            <w:pPr>
              <w:pStyle w:val="2"/>
              <w:ind w:left="0" w:leftChars="0" w:firstLine="0" w:firstLineChars="0"/>
              <w:rPr>
                <w:rFonts w:hint="default"/>
                <w:lang w:val="en-US" w:eastAsia="zh-CN"/>
              </w:rPr>
            </w:pPr>
            <w:r>
              <w:rPr>
                <w:rFonts w:hint="default"/>
                <w:lang w:val="en-US" w:eastAsia="zh-CN"/>
              </w:rPr>
              <w:t>5、制冷量：3500W</w:t>
            </w:r>
          </w:p>
          <w:p>
            <w:pPr>
              <w:pStyle w:val="2"/>
              <w:ind w:left="0" w:leftChars="0" w:firstLine="0" w:firstLineChars="0"/>
              <w:rPr>
                <w:rFonts w:hint="default"/>
                <w:lang w:val="en-US" w:eastAsia="zh-CN"/>
              </w:rPr>
            </w:pPr>
            <w:r>
              <w:rPr>
                <w:rFonts w:hint="default"/>
                <w:lang w:val="en-US" w:eastAsia="zh-CN"/>
              </w:rPr>
              <w:t>6、噪音值：41DB</w:t>
            </w:r>
          </w:p>
          <w:p>
            <w:pPr>
              <w:pStyle w:val="2"/>
              <w:ind w:left="0" w:leftChars="0" w:firstLine="0" w:firstLineChars="0"/>
              <w:rPr>
                <w:rFonts w:hint="default"/>
                <w:lang w:val="en-US" w:eastAsia="zh-CN"/>
              </w:rPr>
            </w:pPr>
            <w:r>
              <w:rPr>
                <w:rFonts w:hint="default"/>
                <w:lang w:val="en-US" w:eastAsia="zh-CN"/>
              </w:rPr>
              <w:t xml:space="preserve">7、使用面积：16-20平方米                                                        8、≥1P      </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both"/>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8" w:type="dxa"/>
            <w:gridSpan w:val="6"/>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3、</w:t>
            </w:r>
            <w:r>
              <w:rPr>
                <w:rFonts w:hint="eastAsia" w:eastAsia="宋体"/>
                <w:sz w:val="24"/>
                <w:szCs w:val="24"/>
                <w:vertAlign w:val="baseline"/>
                <w:lang w:val="en-US" w:eastAsia="zh-CN"/>
              </w:rPr>
              <w:t>工艺设施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3.1</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液位计</w:t>
            </w:r>
          </w:p>
        </w:tc>
        <w:tc>
          <w:tcPr>
            <w:tcW w:w="513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量程：0～10m或定制；精度等级：0.1%FS；0.5%FS（可选）；稳定性能：±0.05%FS/年；±0.1%FS/年；过载能力：150%FS；零点温度系数：±0.01%FS/℃；</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满度温度系数：±0.02%FS/℃；防护等级：IP68；输出信号：RS485、4-20mA（可选）；供电电源：9V～36V DC；环境温度：-10℃～80℃；                    存储温度：-40℃～85℃。</w:t>
            </w:r>
          </w:p>
        </w:tc>
        <w:tc>
          <w:tcPr>
            <w:tcW w:w="1112" w:type="dxa"/>
            <w:vAlign w:val="center"/>
          </w:tcPr>
          <w:p>
            <w:pPr>
              <w:pStyle w:val="2"/>
              <w:ind w:left="0" w:leftChars="0" w:firstLine="0" w:firstLineChars="0"/>
              <w:jc w:val="center"/>
              <w:rPr>
                <w:rFonts w:hint="eastAsia" w:eastAsia="宋体"/>
                <w:sz w:val="24"/>
                <w:szCs w:val="24"/>
                <w:vertAlign w:val="baseline"/>
                <w:lang w:val="en-US" w:eastAsia="zh-CN"/>
              </w:rPr>
            </w:pPr>
            <w:r>
              <w:rPr>
                <w:rFonts w:hint="eastAsia"/>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w:t>
            </w:r>
          </w:p>
        </w:tc>
        <w:tc>
          <w:tcPr>
            <w:tcW w:w="1150" w:type="dxa"/>
            <w:vAlign w:val="center"/>
          </w:tcPr>
          <w:p>
            <w:pPr>
              <w:pStyle w:val="2"/>
              <w:ind w:left="0" w:leftChars="0" w:firstLine="0" w:firstLineChars="0"/>
              <w:jc w:val="both"/>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968" w:type="dxa"/>
            <w:gridSpan w:val="6"/>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4、化验室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4.1</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生化培养箱</w:t>
            </w:r>
          </w:p>
        </w:tc>
        <w:tc>
          <w:tcPr>
            <w:tcW w:w="513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公称容积 (L) 250；温控范围（℃） 0~60；温度波动度（℃） 加热hot： ±0.5</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制冷cool： ±1；温度均匀性（℃） ±1；定时范围（min） 1~9999min</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额定功率（W） 350；制冷剂 R134a；电源 220±10%V   50Hz；工作时间 连续。</w:t>
            </w:r>
          </w:p>
        </w:tc>
        <w:tc>
          <w:tcPr>
            <w:tcW w:w="1112" w:type="dxa"/>
            <w:vAlign w:val="center"/>
          </w:tcPr>
          <w:p>
            <w:pPr>
              <w:pStyle w:val="2"/>
              <w:ind w:left="0" w:leftChars="0" w:firstLine="0" w:firstLineChars="0"/>
              <w:jc w:val="center"/>
              <w:rPr>
                <w:rFonts w:hint="eastAsia"/>
              </w:rPr>
            </w:pPr>
            <w:r>
              <w:rPr>
                <w:rFonts w:hint="eastAsia"/>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both"/>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36" w:type="dxa"/>
            <w:vAlign w:val="center"/>
          </w:tcPr>
          <w:p>
            <w:pPr>
              <w:pStyle w:val="2"/>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4.2</w:t>
            </w:r>
          </w:p>
        </w:tc>
        <w:tc>
          <w:tcPr>
            <w:tcW w:w="977" w:type="dxa"/>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硫酸保险柜</w:t>
            </w:r>
          </w:p>
        </w:tc>
        <w:tc>
          <w:tcPr>
            <w:tcW w:w="513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1.柜体：采用抗强酸碱耐化学品，耐冲击磁白色PP板(原装进口)承制，厚度8mm ，抗强酸、化学药品，耐冲击，不腐蚀，不生锈。</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2.铰炼/把手：采用耐强酸、强碱材质，拉门采用同质PP聚丙稀材料制作</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3.调整脚：采用塑钢模具成型，无金属部分外露，可依现场地面调整水平</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4.无毒、无味，密度小,可在100℃左右环境下使用；其良好的化学性能，以及几乎不吸水的材质，与大多数化学药品不反应本质，是实验室存放化学药品的理想选择。</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5.采用厚度为8MM（PP）材料，经无缝焊接，经久耐用。</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6.配备进口聚丙烯防泄漏托盘，可自由取出，便于清洁。</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7.柜体张贴有醒目的腐蚀性提醒标识 </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8.为提高操作安全度，化学品柜还可以选配双锁，实现“双人双锁”管理的要求。</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9. 内有防漏液槽，防止酸碱物品的外溢，柜体底部有防刮脚垫。</w:t>
            </w:r>
          </w:p>
          <w:p>
            <w:pPr>
              <w:keepNext w:val="0"/>
              <w:keepLines w:val="0"/>
              <w:widowControl/>
              <w:suppressLineNumbers w:val="0"/>
              <w:jc w:val="both"/>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10.容积：4加仑</w:t>
            </w:r>
          </w:p>
        </w:tc>
        <w:tc>
          <w:tcPr>
            <w:tcW w:w="1112" w:type="dxa"/>
            <w:vAlign w:val="center"/>
          </w:tcPr>
          <w:p>
            <w:pPr>
              <w:pStyle w:val="2"/>
              <w:ind w:left="0" w:leftChars="0" w:firstLine="0" w:firstLineChars="0"/>
              <w:jc w:val="center"/>
              <w:rPr>
                <w:rFonts w:hint="eastAsia"/>
              </w:rPr>
            </w:pPr>
            <w:r>
              <w:rPr>
                <w:rFonts w:hint="eastAsia"/>
              </w:rPr>
              <w:t>套</w:t>
            </w:r>
          </w:p>
        </w:tc>
        <w:tc>
          <w:tcPr>
            <w:tcW w:w="961" w:type="dxa"/>
            <w:vAlign w:val="center"/>
          </w:tcPr>
          <w:p>
            <w:pPr>
              <w:pStyle w:val="2"/>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w:t>
            </w:r>
          </w:p>
        </w:tc>
        <w:tc>
          <w:tcPr>
            <w:tcW w:w="1150" w:type="dxa"/>
            <w:vAlign w:val="center"/>
          </w:tcPr>
          <w:p>
            <w:pPr>
              <w:pStyle w:val="2"/>
              <w:ind w:left="0" w:leftChars="0" w:firstLine="0" w:firstLineChars="0"/>
              <w:jc w:val="both"/>
              <w:rPr>
                <w:rFonts w:hint="eastAsia" w:eastAsia="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13" w:type="dxa"/>
            <w:gridSpan w:val="2"/>
            <w:vAlign w:val="center"/>
          </w:tcPr>
          <w:p>
            <w:pPr>
              <w:pStyle w:val="2"/>
              <w:tabs>
                <w:tab w:val="left" w:pos="557"/>
              </w:tabs>
              <w:ind w:left="0" w:leftChars="0" w:firstLine="0" w:firstLineChars="0"/>
              <w:jc w:val="left"/>
              <w:rPr>
                <w:rFonts w:hint="eastAsia" w:eastAsia="宋体"/>
                <w:sz w:val="24"/>
                <w:szCs w:val="24"/>
                <w:vertAlign w:val="baseline"/>
                <w:lang w:val="en-US" w:eastAsia="zh-CN"/>
              </w:rPr>
            </w:pPr>
            <w:r>
              <w:rPr>
                <w:rFonts w:hint="eastAsia" w:eastAsia="宋体"/>
                <w:sz w:val="24"/>
                <w:szCs w:val="24"/>
                <w:vertAlign w:val="baseline"/>
                <w:lang w:val="en-US" w:eastAsia="zh-CN"/>
              </w:rPr>
              <w:t>合计</w:t>
            </w:r>
          </w:p>
        </w:tc>
        <w:tc>
          <w:tcPr>
            <w:tcW w:w="8355" w:type="dxa"/>
            <w:gridSpan w:val="4"/>
            <w:vAlign w:val="center"/>
          </w:tcPr>
          <w:p>
            <w:pPr>
              <w:pStyle w:val="2"/>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13" w:type="dxa"/>
            <w:gridSpan w:val="2"/>
            <w:vAlign w:val="center"/>
          </w:tcPr>
          <w:p>
            <w:pPr>
              <w:pStyle w:val="2"/>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c>
          <w:tcPr>
            <w:tcW w:w="8355" w:type="dxa"/>
            <w:gridSpan w:val="4"/>
            <w:vAlign w:val="center"/>
          </w:tcPr>
          <w:p>
            <w:pPr>
              <w:pStyle w:val="2"/>
              <w:ind w:left="0" w:leftChars="0" w:firstLine="0" w:firstLineChars="0"/>
              <w:jc w:val="center"/>
              <w:rPr>
                <w:rFonts w:hint="eastAsia" w:eastAsia="宋体"/>
                <w:sz w:val="24"/>
                <w:szCs w:val="24"/>
                <w:vertAlign w:val="baseline"/>
                <w:lang w:val="en-US" w:eastAsia="zh-CN"/>
              </w:rPr>
            </w:pPr>
            <w:r>
              <w:rPr>
                <w:rFonts w:hint="eastAsia" w:eastAsia="宋体"/>
                <w:sz w:val="24"/>
                <w:szCs w:val="24"/>
                <w:vertAlign w:val="baseline"/>
                <w:lang w:val="en-US" w:eastAsia="zh-CN"/>
              </w:rPr>
              <w:t>以上设备含采购、安装、调试及运输、税金等全部费用。</w:t>
            </w:r>
          </w:p>
        </w:tc>
      </w:tr>
    </w:tbl>
    <w:p>
      <w:pPr>
        <w:jc w:val="center"/>
        <w:rPr>
          <w:rFonts w:hint="default"/>
          <w:b/>
          <w:bCs/>
          <w:sz w:val="32"/>
          <w:szCs w:val="32"/>
          <w:lang w:val="en-US" w:eastAsia="zh-CN"/>
        </w:rPr>
      </w:pPr>
    </w:p>
    <w:sectPr>
      <w:headerReference r:id="rId4" w:type="first"/>
      <w:headerReference r:id="rId3" w:type="default"/>
      <w:footerReference r:id="rId5" w:type="default"/>
      <w:pgSz w:w="11906" w:h="16838"/>
      <w:pgMar w:top="1440" w:right="1134" w:bottom="1440" w:left="1134" w:header="851" w:footer="992" w:gutter="0"/>
      <w:pgBorders w:display="notFirstPage" w:offsetFrom="page">
        <w:top w:val="none" w:sz="0" w:space="0"/>
        <w:left w:val="none" w:sz="0" w:space="0"/>
        <w:bottom w:val="none" w:sz="0" w:space="0"/>
        <w:right w:val="none" w:sz="0" w:space="0"/>
      </w:pgBorders>
      <w:pgNumType w:start="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monospac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GE Inspira Pitch">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b/>
        <w:sz w:val="21"/>
      </w:rPr>
    </w:pPr>
    <w:r>
      <w:rPr>
        <w:rFonts w:ascii="宋体" w:hAnsi="宋体"/>
        <w:b/>
        <w:sz w:val="21"/>
      </w:rPr>
      <w:fldChar w:fldCharType="begin"/>
    </w:r>
    <w:r>
      <w:rPr>
        <w:rFonts w:ascii="宋体" w:hAnsi="宋体"/>
        <w:b/>
        <w:sz w:val="21"/>
      </w:rPr>
      <w:instrText xml:space="preserve">PAGE   \* MERGEFORMAT</w:instrText>
    </w:r>
    <w:r>
      <w:rPr>
        <w:rFonts w:ascii="宋体" w:hAnsi="宋体"/>
        <w:b/>
        <w:sz w:val="21"/>
      </w:rPr>
      <w:fldChar w:fldCharType="separate"/>
    </w:r>
    <w:r>
      <w:rPr>
        <w:rFonts w:ascii="宋体" w:hAnsi="宋体"/>
        <w:b/>
        <w:sz w:val="21"/>
        <w:lang w:val="zh-CN"/>
      </w:rPr>
      <w:t>23</w:t>
    </w:r>
    <w:r>
      <w:rPr>
        <w:rFonts w:ascii="宋体" w:hAnsi="宋体"/>
        <w:b/>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left"/>
      <w:rPr>
        <w:rFonts w:ascii="楷体" w:hAnsi="楷体" w:eastAsia="楷体"/>
        <w:b/>
        <w:sz w:val="16"/>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1B6B"/>
    <w:multiLevelType w:val="singleLevel"/>
    <w:tmpl w:val="801D1B6B"/>
    <w:lvl w:ilvl="0" w:tentative="0">
      <w:start w:val="6"/>
      <w:numFmt w:val="chineseCounting"/>
      <w:suff w:val="space"/>
      <w:lvlText w:val="第%1部分"/>
      <w:lvlJc w:val="left"/>
      <w:rPr>
        <w:rFonts w:hint="eastAsia"/>
      </w:rPr>
    </w:lvl>
  </w:abstractNum>
  <w:abstractNum w:abstractNumId="1">
    <w:nsid w:val="FDB7E0AA"/>
    <w:multiLevelType w:val="singleLevel"/>
    <w:tmpl w:val="FDB7E0AA"/>
    <w:lvl w:ilvl="0" w:tentative="0">
      <w:start w:val="2"/>
      <w:numFmt w:val="chineseCounting"/>
      <w:suff w:val="nothing"/>
      <w:lvlText w:val="%1、"/>
      <w:lvlJc w:val="left"/>
      <w:rPr>
        <w:rFonts w:hint="eastAsia"/>
      </w:rPr>
    </w:lvl>
  </w:abstractNum>
  <w:abstractNum w:abstractNumId="2">
    <w:nsid w:val="084C0B88"/>
    <w:multiLevelType w:val="multilevel"/>
    <w:tmpl w:val="084C0B88"/>
    <w:lvl w:ilvl="0" w:tentative="0">
      <w:start w:val="1"/>
      <w:numFmt w:val="decimal"/>
      <w:lvlText w:val="%1."/>
      <w:lvlJc w:val="left"/>
      <w:pPr>
        <w:ind w:left="360" w:hanging="360"/>
      </w:pPr>
      <w:rPr>
        <w:rFonts w:hint="default"/>
        <w:b/>
      </w:rPr>
    </w:lvl>
    <w:lvl w:ilvl="1" w:tentative="0">
      <w:start w:val="1"/>
      <w:numFmt w:val="decimal"/>
      <w:isLgl/>
      <w:lvlText w:val="%1.%2"/>
      <w:lvlJc w:val="left"/>
      <w:pPr>
        <w:ind w:left="480" w:hanging="480"/>
      </w:pPr>
      <w:rPr>
        <w:rFonts w:hint="default"/>
        <w:b w:val="0"/>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0FD92A73"/>
    <w:multiLevelType w:val="multilevel"/>
    <w:tmpl w:val="0FD92A73"/>
    <w:lvl w:ilvl="0" w:tentative="0">
      <w:start w:val="2"/>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4">
    <w:nsid w:val="25933C0A"/>
    <w:multiLevelType w:val="multilevel"/>
    <w:tmpl w:val="25933C0A"/>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40CF13D4"/>
    <w:multiLevelType w:val="multilevel"/>
    <w:tmpl w:val="40CF13D4"/>
    <w:lvl w:ilvl="0" w:tentative="0">
      <w:start w:val="1"/>
      <w:numFmt w:val="decimal"/>
      <w:pStyle w:val="7"/>
      <w:lvlText w:val="%1."/>
      <w:lvlJc w:val="left"/>
      <w:pPr>
        <w:tabs>
          <w:tab w:val="left" w:pos="425"/>
        </w:tabs>
        <w:ind w:left="425" w:hanging="425"/>
      </w:pPr>
      <w:rPr>
        <w:rFonts w:hint="eastAsia"/>
      </w:rPr>
    </w:lvl>
    <w:lvl w:ilvl="1" w:tentative="0">
      <w:start w:val="1"/>
      <w:numFmt w:val="decimal"/>
      <w:pStyle w:val="8"/>
      <w:lvlText w:val="%1.%2."/>
      <w:lvlJc w:val="left"/>
      <w:pPr>
        <w:tabs>
          <w:tab w:val="left" w:pos="720"/>
        </w:tabs>
        <w:ind w:left="567" w:hanging="567"/>
      </w:pPr>
      <w:rPr>
        <w:rFonts w:hint="eastAsia"/>
      </w:rPr>
    </w:lvl>
    <w:lvl w:ilvl="2" w:tentative="0">
      <w:start w:val="1"/>
      <w:numFmt w:val="chineseCountingThousand"/>
      <w:lvlText w:val="%3、"/>
      <w:lvlJc w:val="left"/>
      <w:pPr>
        <w:tabs>
          <w:tab w:val="left" w:pos="2836"/>
        </w:tabs>
        <w:ind w:left="2836" w:hanging="709"/>
      </w:pPr>
      <w:rPr>
        <w:rFonts w:hint="eastAsia"/>
        <w:b/>
        <w:spacing w:val="-20"/>
        <w:lang w:val="en-US"/>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453E453C"/>
    <w:multiLevelType w:val="singleLevel"/>
    <w:tmpl w:val="453E453C"/>
    <w:lvl w:ilvl="0" w:tentative="0">
      <w:start w:val="3"/>
      <w:numFmt w:val="chineseCounting"/>
      <w:suff w:val="nothing"/>
      <w:lvlText w:val="%1、"/>
      <w:lvlJc w:val="left"/>
      <w:rPr>
        <w:rFonts w:hint="eastAsia"/>
      </w:rPr>
    </w:lvl>
  </w:abstractNum>
  <w:abstractNum w:abstractNumId="7">
    <w:nsid w:val="46F3A7BB"/>
    <w:multiLevelType w:val="singleLevel"/>
    <w:tmpl w:val="46F3A7BB"/>
    <w:lvl w:ilvl="0" w:tentative="0">
      <w:start w:val="1"/>
      <w:numFmt w:val="decimal"/>
      <w:suff w:val="nothing"/>
      <w:lvlText w:val="%1、"/>
      <w:lvlJc w:val="left"/>
    </w:lvl>
  </w:abstractNum>
  <w:abstractNum w:abstractNumId="8">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9">
    <w:nsid w:val="5670449B"/>
    <w:multiLevelType w:val="multilevel"/>
    <w:tmpl w:val="5670449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47E01AF"/>
    <w:multiLevelType w:val="multilevel"/>
    <w:tmpl w:val="647E01AF"/>
    <w:lvl w:ilvl="0" w:tentative="0">
      <w:start w:val="6"/>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1">
    <w:nsid w:val="6BC93FB5"/>
    <w:multiLevelType w:val="multilevel"/>
    <w:tmpl w:val="6BC93FB5"/>
    <w:lvl w:ilvl="0" w:tentative="0">
      <w:start w:val="8"/>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2">
    <w:nsid w:val="6C525B9F"/>
    <w:multiLevelType w:val="multilevel"/>
    <w:tmpl w:val="6C525B9F"/>
    <w:lvl w:ilvl="0" w:tentative="0">
      <w:start w:val="5"/>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3">
    <w:nsid w:val="719C3F02"/>
    <w:multiLevelType w:val="multilevel"/>
    <w:tmpl w:val="719C3F02"/>
    <w:lvl w:ilvl="0" w:tentative="0">
      <w:start w:val="7"/>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4">
    <w:nsid w:val="72C135E4"/>
    <w:multiLevelType w:val="multilevel"/>
    <w:tmpl w:val="72C135E4"/>
    <w:lvl w:ilvl="0" w:tentative="0">
      <w:start w:val="9"/>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5">
    <w:nsid w:val="75300036"/>
    <w:multiLevelType w:val="multilevel"/>
    <w:tmpl w:val="75300036"/>
    <w:lvl w:ilvl="0" w:tentative="0">
      <w:start w:val="4"/>
      <w:numFmt w:val="decimal"/>
      <w:lvlText w:val="%1"/>
      <w:lvlJc w:val="left"/>
      <w:pPr>
        <w:ind w:left="360" w:hanging="360"/>
      </w:pPr>
      <w:rPr>
        <w:rFonts w:hint="default"/>
      </w:rPr>
    </w:lvl>
    <w:lvl w:ilvl="1" w:tentative="0">
      <w:start w:val="1"/>
      <w:numFmt w:val="decimal"/>
      <w:lvlText w:val="%1.%2"/>
      <w:lvlJc w:val="left"/>
      <w:pPr>
        <w:ind w:left="501"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6">
    <w:nsid w:val="75ED3CEE"/>
    <w:multiLevelType w:val="singleLevel"/>
    <w:tmpl w:val="75ED3CEE"/>
    <w:lvl w:ilvl="0" w:tentative="0">
      <w:start w:val="1"/>
      <w:numFmt w:val="chineseCounting"/>
      <w:suff w:val="space"/>
      <w:lvlText w:val="第%1部分"/>
      <w:lvlJc w:val="left"/>
      <w:rPr>
        <w:rFonts w:hint="eastAsia"/>
      </w:rPr>
    </w:lvl>
  </w:abstractNum>
  <w:num w:numId="1">
    <w:abstractNumId w:val="5"/>
  </w:num>
  <w:num w:numId="2">
    <w:abstractNumId w:val="16"/>
  </w:num>
  <w:num w:numId="3">
    <w:abstractNumId w:val="8"/>
  </w:num>
  <w:num w:numId="4">
    <w:abstractNumId w:val="3"/>
  </w:num>
  <w:num w:numId="5">
    <w:abstractNumId w:val="15"/>
  </w:num>
  <w:num w:numId="6">
    <w:abstractNumId w:val="12"/>
  </w:num>
  <w:num w:numId="7">
    <w:abstractNumId w:val="10"/>
  </w:num>
  <w:num w:numId="8">
    <w:abstractNumId w:val="6"/>
  </w:num>
  <w:num w:numId="9">
    <w:abstractNumId w:val="13"/>
  </w:num>
  <w:num w:numId="10">
    <w:abstractNumId w:val="11"/>
  </w:num>
  <w:num w:numId="11">
    <w:abstractNumId w:val="14"/>
  </w:num>
  <w:num w:numId="12">
    <w:abstractNumId w:val="4"/>
  </w:num>
  <w:num w:numId="13">
    <w:abstractNumId w:val="2"/>
  </w:num>
  <w:num w:numId="14">
    <w:abstractNumId w:val="9"/>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gutterAtTop/>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69"/>
    <w:rsid w:val="00002BF7"/>
    <w:rsid w:val="000038F3"/>
    <w:rsid w:val="0000523C"/>
    <w:rsid w:val="00005A48"/>
    <w:rsid w:val="000067C2"/>
    <w:rsid w:val="00006833"/>
    <w:rsid w:val="00007EA5"/>
    <w:rsid w:val="00010612"/>
    <w:rsid w:val="0001239E"/>
    <w:rsid w:val="000138A2"/>
    <w:rsid w:val="00014941"/>
    <w:rsid w:val="000150EB"/>
    <w:rsid w:val="00015785"/>
    <w:rsid w:val="0001710E"/>
    <w:rsid w:val="0001758F"/>
    <w:rsid w:val="00020295"/>
    <w:rsid w:val="0002211A"/>
    <w:rsid w:val="000224C6"/>
    <w:rsid w:val="00023E42"/>
    <w:rsid w:val="0002411A"/>
    <w:rsid w:val="000270B5"/>
    <w:rsid w:val="00030AFF"/>
    <w:rsid w:val="0003102F"/>
    <w:rsid w:val="0003112F"/>
    <w:rsid w:val="00033C36"/>
    <w:rsid w:val="00033CB3"/>
    <w:rsid w:val="00034AC1"/>
    <w:rsid w:val="000436A5"/>
    <w:rsid w:val="00043AA4"/>
    <w:rsid w:val="00044157"/>
    <w:rsid w:val="000446E2"/>
    <w:rsid w:val="000457A3"/>
    <w:rsid w:val="00045810"/>
    <w:rsid w:val="00046F57"/>
    <w:rsid w:val="00047649"/>
    <w:rsid w:val="00047F62"/>
    <w:rsid w:val="00051006"/>
    <w:rsid w:val="00051784"/>
    <w:rsid w:val="00053076"/>
    <w:rsid w:val="000532B7"/>
    <w:rsid w:val="00053663"/>
    <w:rsid w:val="00053BD8"/>
    <w:rsid w:val="00053D3B"/>
    <w:rsid w:val="0005473E"/>
    <w:rsid w:val="00054EB9"/>
    <w:rsid w:val="000558CC"/>
    <w:rsid w:val="000562AC"/>
    <w:rsid w:val="00057DDD"/>
    <w:rsid w:val="00060656"/>
    <w:rsid w:val="0006091D"/>
    <w:rsid w:val="00060A80"/>
    <w:rsid w:val="00060CCE"/>
    <w:rsid w:val="00061A61"/>
    <w:rsid w:val="00064C22"/>
    <w:rsid w:val="00067AEA"/>
    <w:rsid w:val="00070389"/>
    <w:rsid w:val="00071AFA"/>
    <w:rsid w:val="00071E6B"/>
    <w:rsid w:val="0007472D"/>
    <w:rsid w:val="00075EB8"/>
    <w:rsid w:val="0007617E"/>
    <w:rsid w:val="00076F9D"/>
    <w:rsid w:val="000806B7"/>
    <w:rsid w:val="00081442"/>
    <w:rsid w:val="00081E42"/>
    <w:rsid w:val="00082C27"/>
    <w:rsid w:val="00083F67"/>
    <w:rsid w:val="000846AA"/>
    <w:rsid w:val="0008494D"/>
    <w:rsid w:val="000872D0"/>
    <w:rsid w:val="00090332"/>
    <w:rsid w:val="00091565"/>
    <w:rsid w:val="00091938"/>
    <w:rsid w:val="0009193B"/>
    <w:rsid w:val="00092BBF"/>
    <w:rsid w:val="00094715"/>
    <w:rsid w:val="00095A45"/>
    <w:rsid w:val="00095B69"/>
    <w:rsid w:val="00095B6F"/>
    <w:rsid w:val="00095F54"/>
    <w:rsid w:val="000A2FE2"/>
    <w:rsid w:val="000A34B2"/>
    <w:rsid w:val="000A3E69"/>
    <w:rsid w:val="000A4266"/>
    <w:rsid w:val="000A4A29"/>
    <w:rsid w:val="000A5B2E"/>
    <w:rsid w:val="000A5D96"/>
    <w:rsid w:val="000A5E33"/>
    <w:rsid w:val="000A63AE"/>
    <w:rsid w:val="000A6482"/>
    <w:rsid w:val="000A670C"/>
    <w:rsid w:val="000A6B77"/>
    <w:rsid w:val="000A79BC"/>
    <w:rsid w:val="000A7AA9"/>
    <w:rsid w:val="000A7E78"/>
    <w:rsid w:val="000B04C5"/>
    <w:rsid w:val="000B0C19"/>
    <w:rsid w:val="000B1F19"/>
    <w:rsid w:val="000B46FC"/>
    <w:rsid w:val="000B4836"/>
    <w:rsid w:val="000B6728"/>
    <w:rsid w:val="000B6C24"/>
    <w:rsid w:val="000C18FF"/>
    <w:rsid w:val="000C2843"/>
    <w:rsid w:val="000C3092"/>
    <w:rsid w:val="000C336D"/>
    <w:rsid w:val="000C3CC9"/>
    <w:rsid w:val="000C4278"/>
    <w:rsid w:val="000C43F0"/>
    <w:rsid w:val="000C57AF"/>
    <w:rsid w:val="000C60A4"/>
    <w:rsid w:val="000C6505"/>
    <w:rsid w:val="000C6B3B"/>
    <w:rsid w:val="000D019E"/>
    <w:rsid w:val="000D19A1"/>
    <w:rsid w:val="000D1FC0"/>
    <w:rsid w:val="000D3929"/>
    <w:rsid w:val="000D64A4"/>
    <w:rsid w:val="000D6DF6"/>
    <w:rsid w:val="000D7068"/>
    <w:rsid w:val="000D7CD3"/>
    <w:rsid w:val="000E0567"/>
    <w:rsid w:val="000E09CB"/>
    <w:rsid w:val="000E0E00"/>
    <w:rsid w:val="000E1298"/>
    <w:rsid w:val="000E346D"/>
    <w:rsid w:val="000E4C8C"/>
    <w:rsid w:val="000E791D"/>
    <w:rsid w:val="000F00E5"/>
    <w:rsid w:val="000F03C2"/>
    <w:rsid w:val="000F095F"/>
    <w:rsid w:val="000F3469"/>
    <w:rsid w:val="000F5C6D"/>
    <w:rsid w:val="00100215"/>
    <w:rsid w:val="001003FB"/>
    <w:rsid w:val="00100A96"/>
    <w:rsid w:val="00101C28"/>
    <w:rsid w:val="001033A1"/>
    <w:rsid w:val="0010348C"/>
    <w:rsid w:val="001039CF"/>
    <w:rsid w:val="00103A39"/>
    <w:rsid w:val="001042F0"/>
    <w:rsid w:val="00104CCA"/>
    <w:rsid w:val="0010631C"/>
    <w:rsid w:val="001068A3"/>
    <w:rsid w:val="001100C2"/>
    <w:rsid w:val="0011027C"/>
    <w:rsid w:val="00110842"/>
    <w:rsid w:val="00110AF9"/>
    <w:rsid w:val="00110EE4"/>
    <w:rsid w:val="0011125A"/>
    <w:rsid w:val="0011163B"/>
    <w:rsid w:val="00112CB9"/>
    <w:rsid w:val="001135A0"/>
    <w:rsid w:val="00114C0A"/>
    <w:rsid w:val="00114D98"/>
    <w:rsid w:val="001164D8"/>
    <w:rsid w:val="00117E99"/>
    <w:rsid w:val="001209A9"/>
    <w:rsid w:val="00120EB7"/>
    <w:rsid w:val="00120F9A"/>
    <w:rsid w:val="00121135"/>
    <w:rsid w:val="0012381B"/>
    <w:rsid w:val="00123F0F"/>
    <w:rsid w:val="00124055"/>
    <w:rsid w:val="001254F6"/>
    <w:rsid w:val="00125A2E"/>
    <w:rsid w:val="0012666C"/>
    <w:rsid w:val="001309C1"/>
    <w:rsid w:val="00130B08"/>
    <w:rsid w:val="00130E28"/>
    <w:rsid w:val="00132691"/>
    <w:rsid w:val="00133612"/>
    <w:rsid w:val="001337D1"/>
    <w:rsid w:val="00134A4A"/>
    <w:rsid w:val="00135CE1"/>
    <w:rsid w:val="0013606C"/>
    <w:rsid w:val="00137081"/>
    <w:rsid w:val="00141D84"/>
    <w:rsid w:val="0014227A"/>
    <w:rsid w:val="0014346E"/>
    <w:rsid w:val="00143668"/>
    <w:rsid w:val="00144745"/>
    <w:rsid w:val="00144849"/>
    <w:rsid w:val="00144F80"/>
    <w:rsid w:val="00146FA2"/>
    <w:rsid w:val="001509BD"/>
    <w:rsid w:val="00150B55"/>
    <w:rsid w:val="00153051"/>
    <w:rsid w:val="001538F6"/>
    <w:rsid w:val="00153B72"/>
    <w:rsid w:val="00157CBF"/>
    <w:rsid w:val="00161442"/>
    <w:rsid w:val="001624DE"/>
    <w:rsid w:val="00163370"/>
    <w:rsid w:val="00164B21"/>
    <w:rsid w:val="00165018"/>
    <w:rsid w:val="001655A7"/>
    <w:rsid w:val="001659BA"/>
    <w:rsid w:val="001673A5"/>
    <w:rsid w:val="00170482"/>
    <w:rsid w:val="001714CB"/>
    <w:rsid w:val="00171BAC"/>
    <w:rsid w:val="00172D02"/>
    <w:rsid w:val="00173A17"/>
    <w:rsid w:val="00174D3A"/>
    <w:rsid w:val="00174F7A"/>
    <w:rsid w:val="00175689"/>
    <w:rsid w:val="00176770"/>
    <w:rsid w:val="001773F2"/>
    <w:rsid w:val="00177C16"/>
    <w:rsid w:val="001801DD"/>
    <w:rsid w:val="00180A83"/>
    <w:rsid w:val="001810DF"/>
    <w:rsid w:val="00181301"/>
    <w:rsid w:val="001829C0"/>
    <w:rsid w:val="00184ADA"/>
    <w:rsid w:val="00185FA7"/>
    <w:rsid w:val="00187489"/>
    <w:rsid w:val="0018749E"/>
    <w:rsid w:val="0018786E"/>
    <w:rsid w:val="00191300"/>
    <w:rsid w:val="00191B3C"/>
    <w:rsid w:val="00194DC7"/>
    <w:rsid w:val="00197375"/>
    <w:rsid w:val="001A1F4C"/>
    <w:rsid w:val="001A27B9"/>
    <w:rsid w:val="001A589B"/>
    <w:rsid w:val="001A5D19"/>
    <w:rsid w:val="001A6164"/>
    <w:rsid w:val="001A6395"/>
    <w:rsid w:val="001A7AF7"/>
    <w:rsid w:val="001B1AB2"/>
    <w:rsid w:val="001B258F"/>
    <w:rsid w:val="001B290C"/>
    <w:rsid w:val="001B3668"/>
    <w:rsid w:val="001B3A0B"/>
    <w:rsid w:val="001B5289"/>
    <w:rsid w:val="001B5A29"/>
    <w:rsid w:val="001B6AEF"/>
    <w:rsid w:val="001C100B"/>
    <w:rsid w:val="001C12BF"/>
    <w:rsid w:val="001C1E19"/>
    <w:rsid w:val="001C3362"/>
    <w:rsid w:val="001C3EEB"/>
    <w:rsid w:val="001C4112"/>
    <w:rsid w:val="001C4B2F"/>
    <w:rsid w:val="001C5860"/>
    <w:rsid w:val="001C7E11"/>
    <w:rsid w:val="001D0224"/>
    <w:rsid w:val="001D0BB0"/>
    <w:rsid w:val="001D20DD"/>
    <w:rsid w:val="001D2B64"/>
    <w:rsid w:val="001D5003"/>
    <w:rsid w:val="001D5386"/>
    <w:rsid w:val="001D704B"/>
    <w:rsid w:val="001D7FF7"/>
    <w:rsid w:val="001E08C0"/>
    <w:rsid w:val="001E1452"/>
    <w:rsid w:val="001E1C73"/>
    <w:rsid w:val="001E3597"/>
    <w:rsid w:val="001E3D4B"/>
    <w:rsid w:val="001E4FBC"/>
    <w:rsid w:val="001E62CF"/>
    <w:rsid w:val="001E78D7"/>
    <w:rsid w:val="001F06E7"/>
    <w:rsid w:val="001F15AA"/>
    <w:rsid w:val="001F165B"/>
    <w:rsid w:val="001F197B"/>
    <w:rsid w:val="001F263D"/>
    <w:rsid w:val="001F37EE"/>
    <w:rsid w:val="001F4C47"/>
    <w:rsid w:val="001F5EF3"/>
    <w:rsid w:val="001F6128"/>
    <w:rsid w:val="001F63F1"/>
    <w:rsid w:val="001F6CA1"/>
    <w:rsid w:val="002002AB"/>
    <w:rsid w:val="00200B28"/>
    <w:rsid w:val="00202142"/>
    <w:rsid w:val="00202149"/>
    <w:rsid w:val="002027BC"/>
    <w:rsid w:val="002032A7"/>
    <w:rsid w:val="002062BB"/>
    <w:rsid w:val="00206488"/>
    <w:rsid w:val="002069D8"/>
    <w:rsid w:val="00210596"/>
    <w:rsid w:val="00210EAD"/>
    <w:rsid w:val="00210EEA"/>
    <w:rsid w:val="00211082"/>
    <w:rsid w:val="00211346"/>
    <w:rsid w:val="0021138A"/>
    <w:rsid w:val="002118EC"/>
    <w:rsid w:val="00212E60"/>
    <w:rsid w:val="002136BF"/>
    <w:rsid w:val="00213F9D"/>
    <w:rsid w:val="00221B90"/>
    <w:rsid w:val="002229E0"/>
    <w:rsid w:val="00224136"/>
    <w:rsid w:val="0022430C"/>
    <w:rsid w:val="002249FE"/>
    <w:rsid w:val="00224B53"/>
    <w:rsid w:val="002250D0"/>
    <w:rsid w:val="002307FD"/>
    <w:rsid w:val="0023168C"/>
    <w:rsid w:val="0023487E"/>
    <w:rsid w:val="00234B46"/>
    <w:rsid w:val="00234FAA"/>
    <w:rsid w:val="0023585A"/>
    <w:rsid w:val="00235CAF"/>
    <w:rsid w:val="00235ED3"/>
    <w:rsid w:val="00237D6B"/>
    <w:rsid w:val="00240485"/>
    <w:rsid w:val="002411CA"/>
    <w:rsid w:val="00242D84"/>
    <w:rsid w:val="002471F8"/>
    <w:rsid w:val="002475F8"/>
    <w:rsid w:val="00247938"/>
    <w:rsid w:val="00250300"/>
    <w:rsid w:val="00250602"/>
    <w:rsid w:val="00250E1D"/>
    <w:rsid w:val="00250E41"/>
    <w:rsid w:val="00250E43"/>
    <w:rsid w:val="0025211E"/>
    <w:rsid w:val="00253C8B"/>
    <w:rsid w:val="00253CA5"/>
    <w:rsid w:val="002550B8"/>
    <w:rsid w:val="002554DC"/>
    <w:rsid w:val="002565A6"/>
    <w:rsid w:val="00256BE3"/>
    <w:rsid w:val="00260023"/>
    <w:rsid w:val="0026098D"/>
    <w:rsid w:val="002612E7"/>
    <w:rsid w:val="00262A92"/>
    <w:rsid w:val="002634E7"/>
    <w:rsid w:val="00263995"/>
    <w:rsid w:val="00263C2D"/>
    <w:rsid w:val="00263CBE"/>
    <w:rsid w:val="00263CC7"/>
    <w:rsid w:val="00264625"/>
    <w:rsid w:val="00264E70"/>
    <w:rsid w:val="00265C78"/>
    <w:rsid w:val="00266104"/>
    <w:rsid w:val="00266513"/>
    <w:rsid w:val="00267C26"/>
    <w:rsid w:val="00270623"/>
    <w:rsid w:val="00271723"/>
    <w:rsid w:val="0027217E"/>
    <w:rsid w:val="00273870"/>
    <w:rsid w:val="00273EF6"/>
    <w:rsid w:val="0027411F"/>
    <w:rsid w:val="002759C5"/>
    <w:rsid w:val="0027632C"/>
    <w:rsid w:val="00280EEC"/>
    <w:rsid w:val="002812BE"/>
    <w:rsid w:val="00281F11"/>
    <w:rsid w:val="0028262A"/>
    <w:rsid w:val="002839E2"/>
    <w:rsid w:val="00284776"/>
    <w:rsid w:val="00285653"/>
    <w:rsid w:val="00286271"/>
    <w:rsid w:val="002863DA"/>
    <w:rsid w:val="002867B9"/>
    <w:rsid w:val="00287023"/>
    <w:rsid w:val="00287946"/>
    <w:rsid w:val="00292A1E"/>
    <w:rsid w:val="0029314E"/>
    <w:rsid w:val="0029318E"/>
    <w:rsid w:val="00293A57"/>
    <w:rsid w:val="00293AFC"/>
    <w:rsid w:val="002948C0"/>
    <w:rsid w:val="00294A2B"/>
    <w:rsid w:val="00295B9A"/>
    <w:rsid w:val="002965BE"/>
    <w:rsid w:val="002A0F8E"/>
    <w:rsid w:val="002A252B"/>
    <w:rsid w:val="002A4AFC"/>
    <w:rsid w:val="002A5FC8"/>
    <w:rsid w:val="002B0774"/>
    <w:rsid w:val="002B0B5B"/>
    <w:rsid w:val="002B3906"/>
    <w:rsid w:val="002B3C13"/>
    <w:rsid w:val="002B3D73"/>
    <w:rsid w:val="002B3D9A"/>
    <w:rsid w:val="002B3E7B"/>
    <w:rsid w:val="002B40F9"/>
    <w:rsid w:val="002B4366"/>
    <w:rsid w:val="002B67F7"/>
    <w:rsid w:val="002B6CF5"/>
    <w:rsid w:val="002B7080"/>
    <w:rsid w:val="002C03FE"/>
    <w:rsid w:val="002C0A84"/>
    <w:rsid w:val="002C1B1B"/>
    <w:rsid w:val="002C225A"/>
    <w:rsid w:val="002C59C7"/>
    <w:rsid w:val="002C5A13"/>
    <w:rsid w:val="002C68CB"/>
    <w:rsid w:val="002C6A48"/>
    <w:rsid w:val="002C6AFF"/>
    <w:rsid w:val="002C709C"/>
    <w:rsid w:val="002C7491"/>
    <w:rsid w:val="002C7F49"/>
    <w:rsid w:val="002D471D"/>
    <w:rsid w:val="002D49D1"/>
    <w:rsid w:val="002D5143"/>
    <w:rsid w:val="002D56ED"/>
    <w:rsid w:val="002D7C5E"/>
    <w:rsid w:val="002E0050"/>
    <w:rsid w:val="002E00A6"/>
    <w:rsid w:val="002E120E"/>
    <w:rsid w:val="002E18F2"/>
    <w:rsid w:val="002E27F1"/>
    <w:rsid w:val="002E2E37"/>
    <w:rsid w:val="002E3341"/>
    <w:rsid w:val="002E5582"/>
    <w:rsid w:val="002E5C15"/>
    <w:rsid w:val="002E6972"/>
    <w:rsid w:val="002F1F0A"/>
    <w:rsid w:val="002F29A0"/>
    <w:rsid w:val="002F2BA1"/>
    <w:rsid w:val="002F3442"/>
    <w:rsid w:val="002F3D64"/>
    <w:rsid w:val="002F45B9"/>
    <w:rsid w:val="002F4602"/>
    <w:rsid w:val="002F4AE4"/>
    <w:rsid w:val="002F5A06"/>
    <w:rsid w:val="002F611D"/>
    <w:rsid w:val="002F750C"/>
    <w:rsid w:val="002F7D44"/>
    <w:rsid w:val="002F7F12"/>
    <w:rsid w:val="00301408"/>
    <w:rsid w:val="00301577"/>
    <w:rsid w:val="003015BD"/>
    <w:rsid w:val="00301D59"/>
    <w:rsid w:val="00301D7F"/>
    <w:rsid w:val="003028D3"/>
    <w:rsid w:val="00302F31"/>
    <w:rsid w:val="003035D3"/>
    <w:rsid w:val="003035EC"/>
    <w:rsid w:val="00305706"/>
    <w:rsid w:val="00305E0E"/>
    <w:rsid w:val="003072F8"/>
    <w:rsid w:val="003103AB"/>
    <w:rsid w:val="003106A7"/>
    <w:rsid w:val="00310A22"/>
    <w:rsid w:val="00310E13"/>
    <w:rsid w:val="0031377B"/>
    <w:rsid w:val="00314AA7"/>
    <w:rsid w:val="00315066"/>
    <w:rsid w:val="003158A9"/>
    <w:rsid w:val="00315EC4"/>
    <w:rsid w:val="003163D0"/>
    <w:rsid w:val="0031651E"/>
    <w:rsid w:val="00317608"/>
    <w:rsid w:val="0031780A"/>
    <w:rsid w:val="00317891"/>
    <w:rsid w:val="00321269"/>
    <w:rsid w:val="00321E99"/>
    <w:rsid w:val="003233E5"/>
    <w:rsid w:val="00324D72"/>
    <w:rsid w:val="00326CD6"/>
    <w:rsid w:val="0032741F"/>
    <w:rsid w:val="003304B9"/>
    <w:rsid w:val="0033150D"/>
    <w:rsid w:val="00331ABE"/>
    <w:rsid w:val="0033290B"/>
    <w:rsid w:val="0034157D"/>
    <w:rsid w:val="00341D0D"/>
    <w:rsid w:val="00342F14"/>
    <w:rsid w:val="003440F7"/>
    <w:rsid w:val="00344401"/>
    <w:rsid w:val="00345385"/>
    <w:rsid w:val="00345721"/>
    <w:rsid w:val="0034606E"/>
    <w:rsid w:val="00347405"/>
    <w:rsid w:val="0034743D"/>
    <w:rsid w:val="00347C5C"/>
    <w:rsid w:val="0035056F"/>
    <w:rsid w:val="003529E5"/>
    <w:rsid w:val="00353663"/>
    <w:rsid w:val="00354055"/>
    <w:rsid w:val="00355C6E"/>
    <w:rsid w:val="003560BD"/>
    <w:rsid w:val="00356255"/>
    <w:rsid w:val="0035748A"/>
    <w:rsid w:val="00357C79"/>
    <w:rsid w:val="003612B2"/>
    <w:rsid w:val="0036137E"/>
    <w:rsid w:val="00361505"/>
    <w:rsid w:val="00362A2D"/>
    <w:rsid w:val="00362BCC"/>
    <w:rsid w:val="00363694"/>
    <w:rsid w:val="0036418A"/>
    <w:rsid w:val="00370C11"/>
    <w:rsid w:val="00372C89"/>
    <w:rsid w:val="00373EBB"/>
    <w:rsid w:val="00374189"/>
    <w:rsid w:val="00374879"/>
    <w:rsid w:val="00375A67"/>
    <w:rsid w:val="00376663"/>
    <w:rsid w:val="00377A32"/>
    <w:rsid w:val="00380B68"/>
    <w:rsid w:val="00381CA9"/>
    <w:rsid w:val="00382732"/>
    <w:rsid w:val="00386E74"/>
    <w:rsid w:val="003871E6"/>
    <w:rsid w:val="003873A3"/>
    <w:rsid w:val="00390084"/>
    <w:rsid w:val="00390AF1"/>
    <w:rsid w:val="00393A63"/>
    <w:rsid w:val="00393E2C"/>
    <w:rsid w:val="00394D96"/>
    <w:rsid w:val="00395FBC"/>
    <w:rsid w:val="00396783"/>
    <w:rsid w:val="00396A62"/>
    <w:rsid w:val="0039788F"/>
    <w:rsid w:val="003A0AF6"/>
    <w:rsid w:val="003A0C81"/>
    <w:rsid w:val="003A0E91"/>
    <w:rsid w:val="003A11A4"/>
    <w:rsid w:val="003A1C5A"/>
    <w:rsid w:val="003A2B4C"/>
    <w:rsid w:val="003A2CEB"/>
    <w:rsid w:val="003A39C0"/>
    <w:rsid w:val="003A3CBB"/>
    <w:rsid w:val="003A4B5B"/>
    <w:rsid w:val="003A54E9"/>
    <w:rsid w:val="003A7E68"/>
    <w:rsid w:val="003B0ABE"/>
    <w:rsid w:val="003B45D2"/>
    <w:rsid w:val="003B6101"/>
    <w:rsid w:val="003C0201"/>
    <w:rsid w:val="003C4D8F"/>
    <w:rsid w:val="003C644F"/>
    <w:rsid w:val="003C7A96"/>
    <w:rsid w:val="003D0248"/>
    <w:rsid w:val="003D041C"/>
    <w:rsid w:val="003D0529"/>
    <w:rsid w:val="003D1776"/>
    <w:rsid w:val="003D1CBD"/>
    <w:rsid w:val="003D322B"/>
    <w:rsid w:val="003D4271"/>
    <w:rsid w:val="003D4506"/>
    <w:rsid w:val="003D46EA"/>
    <w:rsid w:val="003D4CB9"/>
    <w:rsid w:val="003D5661"/>
    <w:rsid w:val="003D5817"/>
    <w:rsid w:val="003D6B4E"/>
    <w:rsid w:val="003D7DDD"/>
    <w:rsid w:val="003E02F7"/>
    <w:rsid w:val="003E0378"/>
    <w:rsid w:val="003E0459"/>
    <w:rsid w:val="003E0BFB"/>
    <w:rsid w:val="003E1052"/>
    <w:rsid w:val="003E416E"/>
    <w:rsid w:val="003E4F99"/>
    <w:rsid w:val="003E536F"/>
    <w:rsid w:val="003E625F"/>
    <w:rsid w:val="003E68AA"/>
    <w:rsid w:val="003E7FCD"/>
    <w:rsid w:val="003F1EDC"/>
    <w:rsid w:val="003F6B9A"/>
    <w:rsid w:val="003F70BB"/>
    <w:rsid w:val="003F7545"/>
    <w:rsid w:val="003F78B4"/>
    <w:rsid w:val="003F794B"/>
    <w:rsid w:val="00400FFB"/>
    <w:rsid w:val="00402BE9"/>
    <w:rsid w:val="004049D9"/>
    <w:rsid w:val="004060D8"/>
    <w:rsid w:val="004066EF"/>
    <w:rsid w:val="00411025"/>
    <w:rsid w:val="004116F3"/>
    <w:rsid w:val="004152C0"/>
    <w:rsid w:val="00415784"/>
    <w:rsid w:val="00415A34"/>
    <w:rsid w:val="004165A2"/>
    <w:rsid w:val="00416962"/>
    <w:rsid w:val="004172E0"/>
    <w:rsid w:val="00417367"/>
    <w:rsid w:val="0041793E"/>
    <w:rsid w:val="00417C36"/>
    <w:rsid w:val="004204FB"/>
    <w:rsid w:val="00420E67"/>
    <w:rsid w:val="004216E2"/>
    <w:rsid w:val="004239FA"/>
    <w:rsid w:val="004245B7"/>
    <w:rsid w:val="00425183"/>
    <w:rsid w:val="00426720"/>
    <w:rsid w:val="00426906"/>
    <w:rsid w:val="004273F5"/>
    <w:rsid w:val="004318C5"/>
    <w:rsid w:val="00432419"/>
    <w:rsid w:val="004325F1"/>
    <w:rsid w:val="00433A07"/>
    <w:rsid w:val="00436011"/>
    <w:rsid w:val="00437DE0"/>
    <w:rsid w:val="004429E4"/>
    <w:rsid w:val="004435F8"/>
    <w:rsid w:val="00443800"/>
    <w:rsid w:val="00443869"/>
    <w:rsid w:val="004443A4"/>
    <w:rsid w:val="00446641"/>
    <w:rsid w:val="0044682A"/>
    <w:rsid w:val="00447F80"/>
    <w:rsid w:val="00450E42"/>
    <w:rsid w:val="00451525"/>
    <w:rsid w:val="00451913"/>
    <w:rsid w:val="00451ED2"/>
    <w:rsid w:val="0045206A"/>
    <w:rsid w:val="00452B6F"/>
    <w:rsid w:val="00452FAD"/>
    <w:rsid w:val="00454BA4"/>
    <w:rsid w:val="004569F1"/>
    <w:rsid w:val="0045707F"/>
    <w:rsid w:val="00457735"/>
    <w:rsid w:val="00457D5F"/>
    <w:rsid w:val="00461142"/>
    <w:rsid w:val="00461184"/>
    <w:rsid w:val="00461E9F"/>
    <w:rsid w:val="0046364C"/>
    <w:rsid w:val="00463BB6"/>
    <w:rsid w:val="00464556"/>
    <w:rsid w:val="00464C20"/>
    <w:rsid w:val="0046591C"/>
    <w:rsid w:val="00466044"/>
    <w:rsid w:val="004704BB"/>
    <w:rsid w:val="004714C6"/>
    <w:rsid w:val="004719A0"/>
    <w:rsid w:val="00471ACC"/>
    <w:rsid w:val="00472193"/>
    <w:rsid w:val="004737FD"/>
    <w:rsid w:val="00473DDA"/>
    <w:rsid w:val="00475DE5"/>
    <w:rsid w:val="00475E8E"/>
    <w:rsid w:val="00475FE2"/>
    <w:rsid w:val="00476424"/>
    <w:rsid w:val="004766AB"/>
    <w:rsid w:val="004773FB"/>
    <w:rsid w:val="004777F0"/>
    <w:rsid w:val="004802FC"/>
    <w:rsid w:val="00480C84"/>
    <w:rsid w:val="00481C49"/>
    <w:rsid w:val="00482614"/>
    <w:rsid w:val="00482CF8"/>
    <w:rsid w:val="00482F1A"/>
    <w:rsid w:val="004844D1"/>
    <w:rsid w:val="00487974"/>
    <w:rsid w:val="00490F61"/>
    <w:rsid w:val="004938FF"/>
    <w:rsid w:val="00494755"/>
    <w:rsid w:val="004955F0"/>
    <w:rsid w:val="0049591A"/>
    <w:rsid w:val="00496CD5"/>
    <w:rsid w:val="0049768E"/>
    <w:rsid w:val="004A070E"/>
    <w:rsid w:val="004A1B0D"/>
    <w:rsid w:val="004A2070"/>
    <w:rsid w:val="004A2FAE"/>
    <w:rsid w:val="004A3ED2"/>
    <w:rsid w:val="004A4982"/>
    <w:rsid w:val="004A732D"/>
    <w:rsid w:val="004A7887"/>
    <w:rsid w:val="004A7B50"/>
    <w:rsid w:val="004A7C28"/>
    <w:rsid w:val="004B08FC"/>
    <w:rsid w:val="004B244C"/>
    <w:rsid w:val="004B2D23"/>
    <w:rsid w:val="004B489F"/>
    <w:rsid w:val="004B52B3"/>
    <w:rsid w:val="004B5A65"/>
    <w:rsid w:val="004B5C58"/>
    <w:rsid w:val="004B6399"/>
    <w:rsid w:val="004C0CD5"/>
    <w:rsid w:val="004C1069"/>
    <w:rsid w:val="004C366C"/>
    <w:rsid w:val="004C37FF"/>
    <w:rsid w:val="004C6759"/>
    <w:rsid w:val="004D162B"/>
    <w:rsid w:val="004D1921"/>
    <w:rsid w:val="004D249E"/>
    <w:rsid w:val="004D282F"/>
    <w:rsid w:val="004D2858"/>
    <w:rsid w:val="004D3CFB"/>
    <w:rsid w:val="004E0FA5"/>
    <w:rsid w:val="004E131E"/>
    <w:rsid w:val="004E1822"/>
    <w:rsid w:val="004E229C"/>
    <w:rsid w:val="004E26CF"/>
    <w:rsid w:val="004E3E7D"/>
    <w:rsid w:val="004E4BA3"/>
    <w:rsid w:val="004E6363"/>
    <w:rsid w:val="004E6710"/>
    <w:rsid w:val="004E6FBE"/>
    <w:rsid w:val="004F0575"/>
    <w:rsid w:val="004F193D"/>
    <w:rsid w:val="004F24AD"/>
    <w:rsid w:val="004F2EB9"/>
    <w:rsid w:val="004F305B"/>
    <w:rsid w:val="004F3214"/>
    <w:rsid w:val="004F3B9C"/>
    <w:rsid w:val="004F4D1B"/>
    <w:rsid w:val="004F5D79"/>
    <w:rsid w:val="004F6F8B"/>
    <w:rsid w:val="004F7309"/>
    <w:rsid w:val="004F7C4F"/>
    <w:rsid w:val="004F7C5A"/>
    <w:rsid w:val="004F7E68"/>
    <w:rsid w:val="00500775"/>
    <w:rsid w:val="00500AC0"/>
    <w:rsid w:val="00504944"/>
    <w:rsid w:val="005053C9"/>
    <w:rsid w:val="00505B0A"/>
    <w:rsid w:val="00505F31"/>
    <w:rsid w:val="00506FCA"/>
    <w:rsid w:val="00510EB0"/>
    <w:rsid w:val="00511E57"/>
    <w:rsid w:val="00511FD7"/>
    <w:rsid w:val="0051425A"/>
    <w:rsid w:val="005146F9"/>
    <w:rsid w:val="005151EB"/>
    <w:rsid w:val="0051535D"/>
    <w:rsid w:val="00515EE5"/>
    <w:rsid w:val="00515EF3"/>
    <w:rsid w:val="005166FC"/>
    <w:rsid w:val="005167CD"/>
    <w:rsid w:val="00521E96"/>
    <w:rsid w:val="00522BAA"/>
    <w:rsid w:val="005234AC"/>
    <w:rsid w:val="00525A2F"/>
    <w:rsid w:val="005278AC"/>
    <w:rsid w:val="00527F7E"/>
    <w:rsid w:val="005315A3"/>
    <w:rsid w:val="0053187E"/>
    <w:rsid w:val="00531A76"/>
    <w:rsid w:val="0053263F"/>
    <w:rsid w:val="00532D7A"/>
    <w:rsid w:val="005345CD"/>
    <w:rsid w:val="005354DE"/>
    <w:rsid w:val="00535DA6"/>
    <w:rsid w:val="00536BD8"/>
    <w:rsid w:val="00541737"/>
    <w:rsid w:val="00541B49"/>
    <w:rsid w:val="00541D7E"/>
    <w:rsid w:val="00542A0D"/>
    <w:rsid w:val="00542DED"/>
    <w:rsid w:val="00545FD8"/>
    <w:rsid w:val="00546516"/>
    <w:rsid w:val="005468E9"/>
    <w:rsid w:val="00546EDF"/>
    <w:rsid w:val="005476BB"/>
    <w:rsid w:val="0055015E"/>
    <w:rsid w:val="00552132"/>
    <w:rsid w:val="005527D5"/>
    <w:rsid w:val="00552880"/>
    <w:rsid w:val="0055309F"/>
    <w:rsid w:val="005530FE"/>
    <w:rsid w:val="00553AC2"/>
    <w:rsid w:val="00553E6B"/>
    <w:rsid w:val="00554E99"/>
    <w:rsid w:val="005553DD"/>
    <w:rsid w:val="00556754"/>
    <w:rsid w:val="00561DC2"/>
    <w:rsid w:val="00562FD5"/>
    <w:rsid w:val="00563186"/>
    <w:rsid w:val="0056552C"/>
    <w:rsid w:val="005657BF"/>
    <w:rsid w:val="00570371"/>
    <w:rsid w:val="005707E0"/>
    <w:rsid w:val="00574582"/>
    <w:rsid w:val="00574777"/>
    <w:rsid w:val="00574CC1"/>
    <w:rsid w:val="00576FFD"/>
    <w:rsid w:val="00582885"/>
    <w:rsid w:val="00583185"/>
    <w:rsid w:val="005831E3"/>
    <w:rsid w:val="00584921"/>
    <w:rsid w:val="00585198"/>
    <w:rsid w:val="00585F1B"/>
    <w:rsid w:val="0058630A"/>
    <w:rsid w:val="005864CE"/>
    <w:rsid w:val="00586E2B"/>
    <w:rsid w:val="00586FC3"/>
    <w:rsid w:val="00591B28"/>
    <w:rsid w:val="00592F25"/>
    <w:rsid w:val="0059310B"/>
    <w:rsid w:val="005936E2"/>
    <w:rsid w:val="005A075B"/>
    <w:rsid w:val="005A0DD0"/>
    <w:rsid w:val="005A0E7D"/>
    <w:rsid w:val="005A196F"/>
    <w:rsid w:val="005A2653"/>
    <w:rsid w:val="005A36AE"/>
    <w:rsid w:val="005A3726"/>
    <w:rsid w:val="005A3934"/>
    <w:rsid w:val="005A4403"/>
    <w:rsid w:val="005A47D2"/>
    <w:rsid w:val="005A4B0F"/>
    <w:rsid w:val="005A61A6"/>
    <w:rsid w:val="005A7358"/>
    <w:rsid w:val="005A79D9"/>
    <w:rsid w:val="005B11B1"/>
    <w:rsid w:val="005B1A5F"/>
    <w:rsid w:val="005B22A0"/>
    <w:rsid w:val="005B2A68"/>
    <w:rsid w:val="005B2E24"/>
    <w:rsid w:val="005B2E8A"/>
    <w:rsid w:val="005B3715"/>
    <w:rsid w:val="005B4000"/>
    <w:rsid w:val="005B4707"/>
    <w:rsid w:val="005B583F"/>
    <w:rsid w:val="005B71FE"/>
    <w:rsid w:val="005B7FD5"/>
    <w:rsid w:val="005C0030"/>
    <w:rsid w:val="005C1590"/>
    <w:rsid w:val="005C16B4"/>
    <w:rsid w:val="005C23CC"/>
    <w:rsid w:val="005C3128"/>
    <w:rsid w:val="005C3AFA"/>
    <w:rsid w:val="005C519E"/>
    <w:rsid w:val="005C5AFA"/>
    <w:rsid w:val="005C77E3"/>
    <w:rsid w:val="005C7CEC"/>
    <w:rsid w:val="005C7E66"/>
    <w:rsid w:val="005D0243"/>
    <w:rsid w:val="005D1809"/>
    <w:rsid w:val="005D2508"/>
    <w:rsid w:val="005D43E8"/>
    <w:rsid w:val="005D62D3"/>
    <w:rsid w:val="005D6984"/>
    <w:rsid w:val="005D7465"/>
    <w:rsid w:val="005D79B3"/>
    <w:rsid w:val="005D7FE4"/>
    <w:rsid w:val="005E10F4"/>
    <w:rsid w:val="005E70AC"/>
    <w:rsid w:val="005E713D"/>
    <w:rsid w:val="005E76A8"/>
    <w:rsid w:val="005F1FE4"/>
    <w:rsid w:val="005F20E0"/>
    <w:rsid w:val="005F449B"/>
    <w:rsid w:val="005F47F0"/>
    <w:rsid w:val="005F489F"/>
    <w:rsid w:val="005F50B1"/>
    <w:rsid w:val="005F51C8"/>
    <w:rsid w:val="005F54A6"/>
    <w:rsid w:val="005F5C48"/>
    <w:rsid w:val="005F6F5E"/>
    <w:rsid w:val="005F7412"/>
    <w:rsid w:val="005F76F1"/>
    <w:rsid w:val="00600293"/>
    <w:rsid w:val="0060118C"/>
    <w:rsid w:val="00601782"/>
    <w:rsid w:val="00601B0F"/>
    <w:rsid w:val="00604F61"/>
    <w:rsid w:val="00605754"/>
    <w:rsid w:val="00607D57"/>
    <w:rsid w:val="00610616"/>
    <w:rsid w:val="00610BBD"/>
    <w:rsid w:val="00615373"/>
    <w:rsid w:val="0061611B"/>
    <w:rsid w:val="00617319"/>
    <w:rsid w:val="0061747E"/>
    <w:rsid w:val="00617B01"/>
    <w:rsid w:val="00617C82"/>
    <w:rsid w:val="00617E12"/>
    <w:rsid w:val="00620D6A"/>
    <w:rsid w:val="006212DE"/>
    <w:rsid w:val="006222CF"/>
    <w:rsid w:val="00623CEE"/>
    <w:rsid w:val="00623FB7"/>
    <w:rsid w:val="0062417C"/>
    <w:rsid w:val="0062460E"/>
    <w:rsid w:val="006259AB"/>
    <w:rsid w:val="00625C34"/>
    <w:rsid w:val="00627D6F"/>
    <w:rsid w:val="00627E81"/>
    <w:rsid w:val="00630504"/>
    <w:rsid w:val="00631565"/>
    <w:rsid w:val="00633C11"/>
    <w:rsid w:val="006341AF"/>
    <w:rsid w:val="006348D7"/>
    <w:rsid w:val="00640890"/>
    <w:rsid w:val="00640AEB"/>
    <w:rsid w:val="00640CB5"/>
    <w:rsid w:val="00641042"/>
    <w:rsid w:val="006412F8"/>
    <w:rsid w:val="00643FA8"/>
    <w:rsid w:val="00645286"/>
    <w:rsid w:val="00645415"/>
    <w:rsid w:val="006461C6"/>
    <w:rsid w:val="0065005F"/>
    <w:rsid w:val="006503EB"/>
    <w:rsid w:val="006509E1"/>
    <w:rsid w:val="0065116F"/>
    <w:rsid w:val="0065148E"/>
    <w:rsid w:val="00651C89"/>
    <w:rsid w:val="00652325"/>
    <w:rsid w:val="0065351A"/>
    <w:rsid w:val="00654177"/>
    <w:rsid w:val="00654E30"/>
    <w:rsid w:val="006552D2"/>
    <w:rsid w:val="006553E6"/>
    <w:rsid w:val="00656667"/>
    <w:rsid w:val="006613FE"/>
    <w:rsid w:val="006629DD"/>
    <w:rsid w:val="00662A00"/>
    <w:rsid w:val="00663BC1"/>
    <w:rsid w:val="00664BB0"/>
    <w:rsid w:val="00664EBE"/>
    <w:rsid w:val="00665CD3"/>
    <w:rsid w:val="0066628F"/>
    <w:rsid w:val="00667584"/>
    <w:rsid w:val="00670377"/>
    <w:rsid w:val="0067134C"/>
    <w:rsid w:val="0067228E"/>
    <w:rsid w:val="00672F27"/>
    <w:rsid w:val="006730A4"/>
    <w:rsid w:val="006730CA"/>
    <w:rsid w:val="006734DC"/>
    <w:rsid w:val="00677B8E"/>
    <w:rsid w:val="00680F53"/>
    <w:rsid w:val="006823C9"/>
    <w:rsid w:val="00682AAA"/>
    <w:rsid w:val="00683DB1"/>
    <w:rsid w:val="00684781"/>
    <w:rsid w:val="0068487D"/>
    <w:rsid w:val="006856F1"/>
    <w:rsid w:val="00685850"/>
    <w:rsid w:val="00685DC3"/>
    <w:rsid w:val="00690057"/>
    <w:rsid w:val="006911C8"/>
    <w:rsid w:val="006915A7"/>
    <w:rsid w:val="00691E36"/>
    <w:rsid w:val="006923A3"/>
    <w:rsid w:val="00692C09"/>
    <w:rsid w:val="0069396F"/>
    <w:rsid w:val="006939DB"/>
    <w:rsid w:val="00693AFF"/>
    <w:rsid w:val="0069447F"/>
    <w:rsid w:val="00694FA6"/>
    <w:rsid w:val="00695987"/>
    <w:rsid w:val="0069635D"/>
    <w:rsid w:val="006968BC"/>
    <w:rsid w:val="006977B3"/>
    <w:rsid w:val="006A13F2"/>
    <w:rsid w:val="006A2514"/>
    <w:rsid w:val="006A4AEA"/>
    <w:rsid w:val="006A5AF6"/>
    <w:rsid w:val="006A5C90"/>
    <w:rsid w:val="006A757E"/>
    <w:rsid w:val="006A7D4C"/>
    <w:rsid w:val="006B011C"/>
    <w:rsid w:val="006B1E3B"/>
    <w:rsid w:val="006B2D82"/>
    <w:rsid w:val="006B489C"/>
    <w:rsid w:val="006B7A72"/>
    <w:rsid w:val="006C00C2"/>
    <w:rsid w:val="006C0BFD"/>
    <w:rsid w:val="006C17EB"/>
    <w:rsid w:val="006C3BB6"/>
    <w:rsid w:val="006C498A"/>
    <w:rsid w:val="006C58B9"/>
    <w:rsid w:val="006C722E"/>
    <w:rsid w:val="006C76D2"/>
    <w:rsid w:val="006C7D4B"/>
    <w:rsid w:val="006D0531"/>
    <w:rsid w:val="006D08B1"/>
    <w:rsid w:val="006D23BD"/>
    <w:rsid w:val="006D2F46"/>
    <w:rsid w:val="006D5378"/>
    <w:rsid w:val="006D6A3A"/>
    <w:rsid w:val="006D6A9B"/>
    <w:rsid w:val="006D7AB0"/>
    <w:rsid w:val="006D7AF3"/>
    <w:rsid w:val="006E07CE"/>
    <w:rsid w:val="006E17F0"/>
    <w:rsid w:val="006E2449"/>
    <w:rsid w:val="006E2581"/>
    <w:rsid w:val="006E2CE6"/>
    <w:rsid w:val="006E3235"/>
    <w:rsid w:val="006E3F95"/>
    <w:rsid w:val="006E46B1"/>
    <w:rsid w:val="006E4D3F"/>
    <w:rsid w:val="006E62FC"/>
    <w:rsid w:val="006E747E"/>
    <w:rsid w:val="006E74BE"/>
    <w:rsid w:val="006E78EB"/>
    <w:rsid w:val="006E7AD5"/>
    <w:rsid w:val="006F0558"/>
    <w:rsid w:val="006F1138"/>
    <w:rsid w:val="006F1885"/>
    <w:rsid w:val="006F2461"/>
    <w:rsid w:val="006F285E"/>
    <w:rsid w:val="006F2CDB"/>
    <w:rsid w:val="006F488A"/>
    <w:rsid w:val="006F51CD"/>
    <w:rsid w:val="006F53C1"/>
    <w:rsid w:val="006F6C19"/>
    <w:rsid w:val="006F6EE3"/>
    <w:rsid w:val="006F73D2"/>
    <w:rsid w:val="00702BE3"/>
    <w:rsid w:val="00704D43"/>
    <w:rsid w:val="00704F3F"/>
    <w:rsid w:val="00706038"/>
    <w:rsid w:val="007060D2"/>
    <w:rsid w:val="00706D7A"/>
    <w:rsid w:val="007073CA"/>
    <w:rsid w:val="0071067E"/>
    <w:rsid w:val="007147AC"/>
    <w:rsid w:val="00716145"/>
    <w:rsid w:val="007161D7"/>
    <w:rsid w:val="007173C3"/>
    <w:rsid w:val="00721E68"/>
    <w:rsid w:val="00721ED0"/>
    <w:rsid w:val="00722462"/>
    <w:rsid w:val="0072511C"/>
    <w:rsid w:val="00725686"/>
    <w:rsid w:val="00725CB3"/>
    <w:rsid w:val="00727D04"/>
    <w:rsid w:val="00731069"/>
    <w:rsid w:val="00731F3C"/>
    <w:rsid w:val="00732CB0"/>
    <w:rsid w:val="007344C1"/>
    <w:rsid w:val="007355A5"/>
    <w:rsid w:val="00736326"/>
    <w:rsid w:val="00736341"/>
    <w:rsid w:val="007364E9"/>
    <w:rsid w:val="00737626"/>
    <w:rsid w:val="007376A4"/>
    <w:rsid w:val="0074048C"/>
    <w:rsid w:val="0074198E"/>
    <w:rsid w:val="00741F64"/>
    <w:rsid w:val="00743A70"/>
    <w:rsid w:val="007444D7"/>
    <w:rsid w:val="007457F3"/>
    <w:rsid w:val="00747B55"/>
    <w:rsid w:val="00747D95"/>
    <w:rsid w:val="007503A1"/>
    <w:rsid w:val="007511E0"/>
    <w:rsid w:val="0075218F"/>
    <w:rsid w:val="007521B4"/>
    <w:rsid w:val="0075230D"/>
    <w:rsid w:val="0075345E"/>
    <w:rsid w:val="00754CA7"/>
    <w:rsid w:val="0075612C"/>
    <w:rsid w:val="0075640C"/>
    <w:rsid w:val="00756511"/>
    <w:rsid w:val="00757391"/>
    <w:rsid w:val="00757473"/>
    <w:rsid w:val="007574F7"/>
    <w:rsid w:val="00757975"/>
    <w:rsid w:val="007625B4"/>
    <w:rsid w:val="00763072"/>
    <w:rsid w:val="007636B2"/>
    <w:rsid w:val="00765424"/>
    <w:rsid w:val="00766562"/>
    <w:rsid w:val="00770111"/>
    <w:rsid w:val="007716E5"/>
    <w:rsid w:val="00775E29"/>
    <w:rsid w:val="0077662D"/>
    <w:rsid w:val="00777E33"/>
    <w:rsid w:val="00781110"/>
    <w:rsid w:val="007828D0"/>
    <w:rsid w:val="00784E87"/>
    <w:rsid w:val="007857CA"/>
    <w:rsid w:val="00786C50"/>
    <w:rsid w:val="00786E76"/>
    <w:rsid w:val="00790229"/>
    <w:rsid w:val="00790933"/>
    <w:rsid w:val="007915B0"/>
    <w:rsid w:val="00793135"/>
    <w:rsid w:val="007946C1"/>
    <w:rsid w:val="007965CC"/>
    <w:rsid w:val="00796C6D"/>
    <w:rsid w:val="0079732D"/>
    <w:rsid w:val="00797DEF"/>
    <w:rsid w:val="007A04A0"/>
    <w:rsid w:val="007A1690"/>
    <w:rsid w:val="007A1AE0"/>
    <w:rsid w:val="007A3EC8"/>
    <w:rsid w:val="007A4F27"/>
    <w:rsid w:val="007A6867"/>
    <w:rsid w:val="007A6A33"/>
    <w:rsid w:val="007B0205"/>
    <w:rsid w:val="007B0EBE"/>
    <w:rsid w:val="007B1510"/>
    <w:rsid w:val="007B1E2E"/>
    <w:rsid w:val="007B33D6"/>
    <w:rsid w:val="007B4264"/>
    <w:rsid w:val="007B43E9"/>
    <w:rsid w:val="007B6126"/>
    <w:rsid w:val="007B663F"/>
    <w:rsid w:val="007B6896"/>
    <w:rsid w:val="007B6E26"/>
    <w:rsid w:val="007B71CF"/>
    <w:rsid w:val="007B7DFC"/>
    <w:rsid w:val="007C012C"/>
    <w:rsid w:val="007C04BF"/>
    <w:rsid w:val="007C08A8"/>
    <w:rsid w:val="007C13B5"/>
    <w:rsid w:val="007C1D0A"/>
    <w:rsid w:val="007C2716"/>
    <w:rsid w:val="007C2854"/>
    <w:rsid w:val="007C3F17"/>
    <w:rsid w:val="007C541F"/>
    <w:rsid w:val="007C5D11"/>
    <w:rsid w:val="007C5EEB"/>
    <w:rsid w:val="007C6874"/>
    <w:rsid w:val="007C6F59"/>
    <w:rsid w:val="007D440C"/>
    <w:rsid w:val="007D452A"/>
    <w:rsid w:val="007D4AC6"/>
    <w:rsid w:val="007D510B"/>
    <w:rsid w:val="007D6EA0"/>
    <w:rsid w:val="007E14CA"/>
    <w:rsid w:val="007E1910"/>
    <w:rsid w:val="007E1990"/>
    <w:rsid w:val="007E378F"/>
    <w:rsid w:val="007E3A0B"/>
    <w:rsid w:val="007E3CEB"/>
    <w:rsid w:val="007E4B54"/>
    <w:rsid w:val="007E4D18"/>
    <w:rsid w:val="007E6A9F"/>
    <w:rsid w:val="007E6FBA"/>
    <w:rsid w:val="007E75C5"/>
    <w:rsid w:val="007F040A"/>
    <w:rsid w:val="007F1082"/>
    <w:rsid w:val="007F2DE5"/>
    <w:rsid w:val="007F39A1"/>
    <w:rsid w:val="007F5058"/>
    <w:rsid w:val="007F71F0"/>
    <w:rsid w:val="007F77E1"/>
    <w:rsid w:val="007F79F5"/>
    <w:rsid w:val="007F7A13"/>
    <w:rsid w:val="00802677"/>
    <w:rsid w:val="00802AB0"/>
    <w:rsid w:val="00802F71"/>
    <w:rsid w:val="00803213"/>
    <w:rsid w:val="00803E4F"/>
    <w:rsid w:val="0080415B"/>
    <w:rsid w:val="008043DC"/>
    <w:rsid w:val="00806850"/>
    <w:rsid w:val="00807336"/>
    <w:rsid w:val="00813AD2"/>
    <w:rsid w:val="008146D3"/>
    <w:rsid w:val="00814F4D"/>
    <w:rsid w:val="008152A0"/>
    <w:rsid w:val="0081697B"/>
    <w:rsid w:val="00817241"/>
    <w:rsid w:val="00817A13"/>
    <w:rsid w:val="008251D4"/>
    <w:rsid w:val="00825455"/>
    <w:rsid w:val="008255A3"/>
    <w:rsid w:val="00826813"/>
    <w:rsid w:val="00834EEF"/>
    <w:rsid w:val="00836013"/>
    <w:rsid w:val="00836A7A"/>
    <w:rsid w:val="00842137"/>
    <w:rsid w:val="0084233F"/>
    <w:rsid w:val="008423D9"/>
    <w:rsid w:val="0084267A"/>
    <w:rsid w:val="008441EC"/>
    <w:rsid w:val="0084557F"/>
    <w:rsid w:val="0084590C"/>
    <w:rsid w:val="0084772E"/>
    <w:rsid w:val="00855577"/>
    <w:rsid w:val="00855832"/>
    <w:rsid w:val="00856A9B"/>
    <w:rsid w:val="00861847"/>
    <w:rsid w:val="00861D6D"/>
    <w:rsid w:val="0086215A"/>
    <w:rsid w:val="008625C7"/>
    <w:rsid w:val="00863419"/>
    <w:rsid w:val="00863D0C"/>
    <w:rsid w:val="00866226"/>
    <w:rsid w:val="0087022A"/>
    <w:rsid w:val="0087096E"/>
    <w:rsid w:val="0087111C"/>
    <w:rsid w:val="0087147A"/>
    <w:rsid w:val="00871CDC"/>
    <w:rsid w:val="00872472"/>
    <w:rsid w:val="00873425"/>
    <w:rsid w:val="00877BF5"/>
    <w:rsid w:val="0088147A"/>
    <w:rsid w:val="00882BF7"/>
    <w:rsid w:val="00882C8F"/>
    <w:rsid w:val="00882D04"/>
    <w:rsid w:val="00884917"/>
    <w:rsid w:val="0088681B"/>
    <w:rsid w:val="00886D76"/>
    <w:rsid w:val="00887206"/>
    <w:rsid w:val="00887706"/>
    <w:rsid w:val="0089181E"/>
    <w:rsid w:val="0089572A"/>
    <w:rsid w:val="008958F5"/>
    <w:rsid w:val="00897386"/>
    <w:rsid w:val="0089797F"/>
    <w:rsid w:val="008A02DB"/>
    <w:rsid w:val="008A2660"/>
    <w:rsid w:val="008A35BE"/>
    <w:rsid w:val="008A3E2F"/>
    <w:rsid w:val="008A46F7"/>
    <w:rsid w:val="008A560A"/>
    <w:rsid w:val="008A6B8E"/>
    <w:rsid w:val="008A7E5E"/>
    <w:rsid w:val="008B3C23"/>
    <w:rsid w:val="008B3D37"/>
    <w:rsid w:val="008B54D7"/>
    <w:rsid w:val="008B57CD"/>
    <w:rsid w:val="008B5E77"/>
    <w:rsid w:val="008B5E94"/>
    <w:rsid w:val="008B6A4E"/>
    <w:rsid w:val="008C0630"/>
    <w:rsid w:val="008C3631"/>
    <w:rsid w:val="008C4B00"/>
    <w:rsid w:val="008C5683"/>
    <w:rsid w:val="008C748A"/>
    <w:rsid w:val="008C74AF"/>
    <w:rsid w:val="008D02C8"/>
    <w:rsid w:val="008D0DE3"/>
    <w:rsid w:val="008D1E9D"/>
    <w:rsid w:val="008D267D"/>
    <w:rsid w:val="008D2A93"/>
    <w:rsid w:val="008D3380"/>
    <w:rsid w:val="008D5F9D"/>
    <w:rsid w:val="008D72FE"/>
    <w:rsid w:val="008D7A9C"/>
    <w:rsid w:val="008E004E"/>
    <w:rsid w:val="008E2AD5"/>
    <w:rsid w:val="008E389D"/>
    <w:rsid w:val="008E4609"/>
    <w:rsid w:val="008E5310"/>
    <w:rsid w:val="008E5FAD"/>
    <w:rsid w:val="008E61A9"/>
    <w:rsid w:val="008E673D"/>
    <w:rsid w:val="008F1533"/>
    <w:rsid w:val="008F1D46"/>
    <w:rsid w:val="008F3DCD"/>
    <w:rsid w:val="008F51A5"/>
    <w:rsid w:val="008F6925"/>
    <w:rsid w:val="008F6F19"/>
    <w:rsid w:val="008F72EF"/>
    <w:rsid w:val="008F7A5D"/>
    <w:rsid w:val="00900D9A"/>
    <w:rsid w:val="00901DE2"/>
    <w:rsid w:val="0090236C"/>
    <w:rsid w:val="009026AD"/>
    <w:rsid w:val="0090541D"/>
    <w:rsid w:val="009054B8"/>
    <w:rsid w:val="009101C1"/>
    <w:rsid w:val="00910519"/>
    <w:rsid w:val="00910B88"/>
    <w:rsid w:val="00911107"/>
    <w:rsid w:val="0091331B"/>
    <w:rsid w:val="00913443"/>
    <w:rsid w:val="00913919"/>
    <w:rsid w:val="00914219"/>
    <w:rsid w:val="0091458B"/>
    <w:rsid w:val="009149DA"/>
    <w:rsid w:val="00915FF3"/>
    <w:rsid w:val="00917D96"/>
    <w:rsid w:val="00920A97"/>
    <w:rsid w:val="00921BBA"/>
    <w:rsid w:val="00923521"/>
    <w:rsid w:val="00923BFF"/>
    <w:rsid w:val="00924654"/>
    <w:rsid w:val="0092580E"/>
    <w:rsid w:val="009261BF"/>
    <w:rsid w:val="009268CF"/>
    <w:rsid w:val="00926B75"/>
    <w:rsid w:val="009276A8"/>
    <w:rsid w:val="009301E4"/>
    <w:rsid w:val="00930A61"/>
    <w:rsid w:val="00930D70"/>
    <w:rsid w:val="00932FB4"/>
    <w:rsid w:val="009335A7"/>
    <w:rsid w:val="00934652"/>
    <w:rsid w:val="00934E60"/>
    <w:rsid w:val="0093621F"/>
    <w:rsid w:val="009375C4"/>
    <w:rsid w:val="00937DD0"/>
    <w:rsid w:val="00940C26"/>
    <w:rsid w:val="0094161D"/>
    <w:rsid w:val="00942C2C"/>
    <w:rsid w:val="00943987"/>
    <w:rsid w:val="00944FFC"/>
    <w:rsid w:val="00950149"/>
    <w:rsid w:val="00951B84"/>
    <w:rsid w:val="00952A67"/>
    <w:rsid w:val="00956908"/>
    <w:rsid w:val="0095717A"/>
    <w:rsid w:val="00957DE8"/>
    <w:rsid w:val="00960790"/>
    <w:rsid w:val="00960E06"/>
    <w:rsid w:val="00961428"/>
    <w:rsid w:val="00963271"/>
    <w:rsid w:val="009639A1"/>
    <w:rsid w:val="00966D4C"/>
    <w:rsid w:val="009674BE"/>
    <w:rsid w:val="00970037"/>
    <w:rsid w:val="009719EB"/>
    <w:rsid w:val="00973A76"/>
    <w:rsid w:val="00975B67"/>
    <w:rsid w:val="00976557"/>
    <w:rsid w:val="0097741C"/>
    <w:rsid w:val="00977562"/>
    <w:rsid w:val="0097795F"/>
    <w:rsid w:val="009828B4"/>
    <w:rsid w:val="00982F4D"/>
    <w:rsid w:val="00985A6C"/>
    <w:rsid w:val="00985FB9"/>
    <w:rsid w:val="009869B9"/>
    <w:rsid w:val="009873DE"/>
    <w:rsid w:val="009915BB"/>
    <w:rsid w:val="00993AF9"/>
    <w:rsid w:val="0099454B"/>
    <w:rsid w:val="0099627A"/>
    <w:rsid w:val="009975EF"/>
    <w:rsid w:val="00997DE3"/>
    <w:rsid w:val="009A5600"/>
    <w:rsid w:val="009A718F"/>
    <w:rsid w:val="009B0593"/>
    <w:rsid w:val="009B2F53"/>
    <w:rsid w:val="009B5C2D"/>
    <w:rsid w:val="009B6178"/>
    <w:rsid w:val="009B6658"/>
    <w:rsid w:val="009B6D0A"/>
    <w:rsid w:val="009B756E"/>
    <w:rsid w:val="009C03D7"/>
    <w:rsid w:val="009C25BA"/>
    <w:rsid w:val="009C3E03"/>
    <w:rsid w:val="009C40F6"/>
    <w:rsid w:val="009C42D4"/>
    <w:rsid w:val="009C48AA"/>
    <w:rsid w:val="009C4AFD"/>
    <w:rsid w:val="009C7CA6"/>
    <w:rsid w:val="009D297C"/>
    <w:rsid w:val="009D2CDA"/>
    <w:rsid w:val="009D6249"/>
    <w:rsid w:val="009D6CAB"/>
    <w:rsid w:val="009D71F5"/>
    <w:rsid w:val="009D7643"/>
    <w:rsid w:val="009E296C"/>
    <w:rsid w:val="009E3F8B"/>
    <w:rsid w:val="009E4D06"/>
    <w:rsid w:val="009E6666"/>
    <w:rsid w:val="009E6B13"/>
    <w:rsid w:val="009E6C38"/>
    <w:rsid w:val="009E74F3"/>
    <w:rsid w:val="009E7ABE"/>
    <w:rsid w:val="009F0213"/>
    <w:rsid w:val="009F0DD2"/>
    <w:rsid w:val="009F0F68"/>
    <w:rsid w:val="009F14AA"/>
    <w:rsid w:val="009F29D6"/>
    <w:rsid w:val="009F2B3A"/>
    <w:rsid w:val="009F4D27"/>
    <w:rsid w:val="009F5CA3"/>
    <w:rsid w:val="009F61B2"/>
    <w:rsid w:val="009F683A"/>
    <w:rsid w:val="00A00AE9"/>
    <w:rsid w:val="00A01C46"/>
    <w:rsid w:val="00A01FB1"/>
    <w:rsid w:val="00A047DC"/>
    <w:rsid w:val="00A04A8C"/>
    <w:rsid w:val="00A11B77"/>
    <w:rsid w:val="00A124DF"/>
    <w:rsid w:val="00A128E0"/>
    <w:rsid w:val="00A12AD7"/>
    <w:rsid w:val="00A1312D"/>
    <w:rsid w:val="00A13BC5"/>
    <w:rsid w:val="00A14D97"/>
    <w:rsid w:val="00A16C28"/>
    <w:rsid w:val="00A171B4"/>
    <w:rsid w:val="00A1777E"/>
    <w:rsid w:val="00A17C8F"/>
    <w:rsid w:val="00A20362"/>
    <w:rsid w:val="00A20614"/>
    <w:rsid w:val="00A21327"/>
    <w:rsid w:val="00A21E8B"/>
    <w:rsid w:val="00A223C2"/>
    <w:rsid w:val="00A26A7D"/>
    <w:rsid w:val="00A27724"/>
    <w:rsid w:val="00A27E65"/>
    <w:rsid w:val="00A27EEB"/>
    <w:rsid w:val="00A34447"/>
    <w:rsid w:val="00A348F7"/>
    <w:rsid w:val="00A3544C"/>
    <w:rsid w:val="00A37371"/>
    <w:rsid w:val="00A40343"/>
    <w:rsid w:val="00A40760"/>
    <w:rsid w:val="00A415F3"/>
    <w:rsid w:val="00A416E7"/>
    <w:rsid w:val="00A4197A"/>
    <w:rsid w:val="00A423F8"/>
    <w:rsid w:val="00A435B7"/>
    <w:rsid w:val="00A43CEB"/>
    <w:rsid w:val="00A440F7"/>
    <w:rsid w:val="00A44FCA"/>
    <w:rsid w:val="00A4547C"/>
    <w:rsid w:val="00A459EE"/>
    <w:rsid w:val="00A50462"/>
    <w:rsid w:val="00A50BA2"/>
    <w:rsid w:val="00A51AFC"/>
    <w:rsid w:val="00A54024"/>
    <w:rsid w:val="00A5428B"/>
    <w:rsid w:val="00A54DFA"/>
    <w:rsid w:val="00A552A0"/>
    <w:rsid w:val="00A5540B"/>
    <w:rsid w:val="00A556BC"/>
    <w:rsid w:val="00A60436"/>
    <w:rsid w:val="00A60C9B"/>
    <w:rsid w:val="00A619FF"/>
    <w:rsid w:val="00A621C5"/>
    <w:rsid w:val="00A63CB1"/>
    <w:rsid w:val="00A646A6"/>
    <w:rsid w:val="00A64B39"/>
    <w:rsid w:val="00A65348"/>
    <w:rsid w:val="00A6568B"/>
    <w:rsid w:val="00A662CA"/>
    <w:rsid w:val="00A700C1"/>
    <w:rsid w:val="00A71155"/>
    <w:rsid w:val="00A71750"/>
    <w:rsid w:val="00A72050"/>
    <w:rsid w:val="00A73684"/>
    <w:rsid w:val="00A736AD"/>
    <w:rsid w:val="00A73900"/>
    <w:rsid w:val="00A74CA3"/>
    <w:rsid w:val="00A773C2"/>
    <w:rsid w:val="00A77C28"/>
    <w:rsid w:val="00A81823"/>
    <w:rsid w:val="00A81829"/>
    <w:rsid w:val="00A8257C"/>
    <w:rsid w:val="00A83458"/>
    <w:rsid w:val="00A8349D"/>
    <w:rsid w:val="00A84448"/>
    <w:rsid w:val="00A848CA"/>
    <w:rsid w:val="00A8710E"/>
    <w:rsid w:val="00A87FBA"/>
    <w:rsid w:val="00A901F7"/>
    <w:rsid w:val="00A91005"/>
    <w:rsid w:val="00A912AD"/>
    <w:rsid w:val="00A945DD"/>
    <w:rsid w:val="00A94898"/>
    <w:rsid w:val="00A94B27"/>
    <w:rsid w:val="00A94B69"/>
    <w:rsid w:val="00A94C40"/>
    <w:rsid w:val="00A94FB1"/>
    <w:rsid w:val="00A95687"/>
    <w:rsid w:val="00A9680C"/>
    <w:rsid w:val="00A97031"/>
    <w:rsid w:val="00A97775"/>
    <w:rsid w:val="00A97E05"/>
    <w:rsid w:val="00AA0200"/>
    <w:rsid w:val="00AA02BE"/>
    <w:rsid w:val="00AA1ABB"/>
    <w:rsid w:val="00AA1C23"/>
    <w:rsid w:val="00AA4361"/>
    <w:rsid w:val="00AA4700"/>
    <w:rsid w:val="00AA4C43"/>
    <w:rsid w:val="00AA672B"/>
    <w:rsid w:val="00AB2871"/>
    <w:rsid w:val="00AB2A08"/>
    <w:rsid w:val="00AB2A35"/>
    <w:rsid w:val="00AB2BD5"/>
    <w:rsid w:val="00AB3145"/>
    <w:rsid w:val="00AB317D"/>
    <w:rsid w:val="00AB3751"/>
    <w:rsid w:val="00AB4A16"/>
    <w:rsid w:val="00AB51B3"/>
    <w:rsid w:val="00AB5DBA"/>
    <w:rsid w:val="00AB5EF9"/>
    <w:rsid w:val="00AB6A3E"/>
    <w:rsid w:val="00AB6D16"/>
    <w:rsid w:val="00AB720B"/>
    <w:rsid w:val="00AC1C92"/>
    <w:rsid w:val="00AC3302"/>
    <w:rsid w:val="00AC6E70"/>
    <w:rsid w:val="00AC74BF"/>
    <w:rsid w:val="00AD01D4"/>
    <w:rsid w:val="00AD20C4"/>
    <w:rsid w:val="00AD385A"/>
    <w:rsid w:val="00AD3FC7"/>
    <w:rsid w:val="00AD47C8"/>
    <w:rsid w:val="00AD5D1E"/>
    <w:rsid w:val="00AD6081"/>
    <w:rsid w:val="00AD72EB"/>
    <w:rsid w:val="00AE02A9"/>
    <w:rsid w:val="00AE0954"/>
    <w:rsid w:val="00AE130E"/>
    <w:rsid w:val="00AE161C"/>
    <w:rsid w:val="00AE4A3B"/>
    <w:rsid w:val="00AE51B0"/>
    <w:rsid w:val="00AE5F1F"/>
    <w:rsid w:val="00AE67E5"/>
    <w:rsid w:val="00AF1295"/>
    <w:rsid w:val="00AF1588"/>
    <w:rsid w:val="00AF22E0"/>
    <w:rsid w:val="00AF2438"/>
    <w:rsid w:val="00AF3224"/>
    <w:rsid w:val="00AF4B5B"/>
    <w:rsid w:val="00B02254"/>
    <w:rsid w:val="00B04E1D"/>
    <w:rsid w:val="00B05826"/>
    <w:rsid w:val="00B059F4"/>
    <w:rsid w:val="00B0621B"/>
    <w:rsid w:val="00B0638F"/>
    <w:rsid w:val="00B07F2F"/>
    <w:rsid w:val="00B10ABF"/>
    <w:rsid w:val="00B12831"/>
    <w:rsid w:val="00B13683"/>
    <w:rsid w:val="00B13CBF"/>
    <w:rsid w:val="00B13E9E"/>
    <w:rsid w:val="00B14E75"/>
    <w:rsid w:val="00B15173"/>
    <w:rsid w:val="00B15E51"/>
    <w:rsid w:val="00B16183"/>
    <w:rsid w:val="00B167C9"/>
    <w:rsid w:val="00B20452"/>
    <w:rsid w:val="00B20740"/>
    <w:rsid w:val="00B2088A"/>
    <w:rsid w:val="00B2323D"/>
    <w:rsid w:val="00B2366B"/>
    <w:rsid w:val="00B2428A"/>
    <w:rsid w:val="00B2652E"/>
    <w:rsid w:val="00B26A9F"/>
    <w:rsid w:val="00B273F1"/>
    <w:rsid w:val="00B274E3"/>
    <w:rsid w:val="00B300A5"/>
    <w:rsid w:val="00B34B22"/>
    <w:rsid w:val="00B34D80"/>
    <w:rsid w:val="00B3682F"/>
    <w:rsid w:val="00B369DB"/>
    <w:rsid w:val="00B408B8"/>
    <w:rsid w:val="00B40F0D"/>
    <w:rsid w:val="00B438A2"/>
    <w:rsid w:val="00B469A4"/>
    <w:rsid w:val="00B4732C"/>
    <w:rsid w:val="00B51B59"/>
    <w:rsid w:val="00B51C9E"/>
    <w:rsid w:val="00B51D27"/>
    <w:rsid w:val="00B53B19"/>
    <w:rsid w:val="00B53FB6"/>
    <w:rsid w:val="00B54AA4"/>
    <w:rsid w:val="00B56EAB"/>
    <w:rsid w:val="00B573B8"/>
    <w:rsid w:val="00B575A6"/>
    <w:rsid w:val="00B615F5"/>
    <w:rsid w:val="00B61E76"/>
    <w:rsid w:val="00B62512"/>
    <w:rsid w:val="00B637DC"/>
    <w:rsid w:val="00B63876"/>
    <w:rsid w:val="00B64A69"/>
    <w:rsid w:val="00B703C9"/>
    <w:rsid w:val="00B708D8"/>
    <w:rsid w:val="00B7155D"/>
    <w:rsid w:val="00B71C5F"/>
    <w:rsid w:val="00B73B3C"/>
    <w:rsid w:val="00B740AE"/>
    <w:rsid w:val="00B74A90"/>
    <w:rsid w:val="00B76BB1"/>
    <w:rsid w:val="00B80BB1"/>
    <w:rsid w:val="00B80E7E"/>
    <w:rsid w:val="00B81EC6"/>
    <w:rsid w:val="00B82083"/>
    <w:rsid w:val="00B83CEA"/>
    <w:rsid w:val="00B855A5"/>
    <w:rsid w:val="00B8715D"/>
    <w:rsid w:val="00B92AAF"/>
    <w:rsid w:val="00B92CE2"/>
    <w:rsid w:val="00B953CD"/>
    <w:rsid w:val="00B95544"/>
    <w:rsid w:val="00B96459"/>
    <w:rsid w:val="00B96E1A"/>
    <w:rsid w:val="00B97CDB"/>
    <w:rsid w:val="00B97D84"/>
    <w:rsid w:val="00BA02C4"/>
    <w:rsid w:val="00BA06DE"/>
    <w:rsid w:val="00BA13FA"/>
    <w:rsid w:val="00BA2610"/>
    <w:rsid w:val="00BA2C35"/>
    <w:rsid w:val="00BA3189"/>
    <w:rsid w:val="00BA4E56"/>
    <w:rsid w:val="00BA5209"/>
    <w:rsid w:val="00BA7388"/>
    <w:rsid w:val="00BB29A0"/>
    <w:rsid w:val="00BB3A70"/>
    <w:rsid w:val="00BB4F06"/>
    <w:rsid w:val="00BB564A"/>
    <w:rsid w:val="00BB6646"/>
    <w:rsid w:val="00BB7194"/>
    <w:rsid w:val="00BB7E4E"/>
    <w:rsid w:val="00BB7F5E"/>
    <w:rsid w:val="00BC21FF"/>
    <w:rsid w:val="00BC38C0"/>
    <w:rsid w:val="00BC4190"/>
    <w:rsid w:val="00BC429B"/>
    <w:rsid w:val="00BC5685"/>
    <w:rsid w:val="00BC7C40"/>
    <w:rsid w:val="00BD107F"/>
    <w:rsid w:val="00BD2868"/>
    <w:rsid w:val="00BD3873"/>
    <w:rsid w:val="00BD3C3F"/>
    <w:rsid w:val="00BD4955"/>
    <w:rsid w:val="00BD56EE"/>
    <w:rsid w:val="00BD6AB1"/>
    <w:rsid w:val="00BE00AE"/>
    <w:rsid w:val="00BE0C25"/>
    <w:rsid w:val="00BE0E79"/>
    <w:rsid w:val="00BE1010"/>
    <w:rsid w:val="00BF0F1D"/>
    <w:rsid w:val="00BF2453"/>
    <w:rsid w:val="00BF252F"/>
    <w:rsid w:val="00BF29BD"/>
    <w:rsid w:val="00BF303B"/>
    <w:rsid w:val="00BF3A9B"/>
    <w:rsid w:val="00BF41B3"/>
    <w:rsid w:val="00BF52B7"/>
    <w:rsid w:val="00BF6684"/>
    <w:rsid w:val="00BF739E"/>
    <w:rsid w:val="00BF7442"/>
    <w:rsid w:val="00BF76F9"/>
    <w:rsid w:val="00BF7DC4"/>
    <w:rsid w:val="00BF7E77"/>
    <w:rsid w:val="00C00EB6"/>
    <w:rsid w:val="00C02CDD"/>
    <w:rsid w:val="00C035D4"/>
    <w:rsid w:val="00C04555"/>
    <w:rsid w:val="00C048D5"/>
    <w:rsid w:val="00C05D98"/>
    <w:rsid w:val="00C0668E"/>
    <w:rsid w:val="00C076D8"/>
    <w:rsid w:val="00C1140D"/>
    <w:rsid w:val="00C11C36"/>
    <w:rsid w:val="00C1234B"/>
    <w:rsid w:val="00C13FD0"/>
    <w:rsid w:val="00C1647E"/>
    <w:rsid w:val="00C16FED"/>
    <w:rsid w:val="00C173FB"/>
    <w:rsid w:val="00C17C0C"/>
    <w:rsid w:val="00C17C46"/>
    <w:rsid w:val="00C203B8"/>
    <w:rsid w:val="00C20400"/>
    <w:rsid w:val="00C2056C"/>
    <w:rsid w:val="00C209BD"/>
    <w:rsid w:val="00C22117"/>
    <w:rsid w:val="00C244C2"/>
    <w:rsid w:val="00C24756"/>
    <w:rsid w:val="00C24764"/>
    <w:rsid w:val="00C26D03"/>
    <w:rsid w:val="00C26EC5"/>
    <w:rsid w:val="00C30ADD"/>
    <w:rsid w:val="00C319FD"/>
    <w:rsid w:val="00C32130"/>
    <w:rsid w:val="00C3338E"/>
    <w:rsid w:val="00C34BD8"/>
    <w:rsid w:val="00C364B0"/>
    <w:rsid w:val="00C3714A"/>
    <w:rsid w:val="00C41A7D"/>
    <w:rsid w:val="00C422C2"/>
    <w:rsid w:val="00C426E1"/>
    <w:rsid w:val="00C42A87"/>
    <w:rsid w:val="00C44494"/>
    <w:rsid w:val="00C44B37"/>
    <w:rsid w:val="00C4514F"/>
    <w:rsid w:val="00C45893"/>
    <w:rsid w:val="00C46213"/>
    <w:rsid w:val="00C46BF5"/>
    <w:rsid w:val="00C50234"/>
    <w:rsid w:val="00C507E6"/>
    <w:rsid w:val="00C52C62"/>
    <w:rsid w:val="00C53499"/>
    <w:rsid w:val="00C57BB8"/>
    <w:rsid w:val="00C57C50"/>
    <w:rsid w:val="00C60B36"/>
    <w:rsid w:val="00C626DC"/>
    <w:rsid w:val="00C63BB4"/>
    <w:rsid w:val="00C6442A"/>
    <w:rsid w:val="00C64D9E"/>
    <w:rsid w:val="00C659CE"/>
    <w:rsid w:val="00C66EFD"/>
    <w:rsid w:val="00C675A6"/>
    <w:rsid w:val="00C703BD"/>
    <w:rsid w:val="00C71456"/>
    <w:rsid w:val="00C71599"/>
    <w:rsid w:val="00C71DCD"/>
    <w:rsid w:val="00C720A9"/>
    <w:rsid w:val="00C73244"/>
    <w:rsid w:val="00C75470"/>
    <w:rsid w:val="00C75C88"/>
    <w:rsid w:val="00C75DC6"/>
    <w:rsid w:val="00C76992"/>
    <w:rsid w:val="00C774D6"/>
    <w:rsid w:val="00C7769A"/>
    <w:rsid w:val="00C77D83"/>
    <w:rsid w:val="00C8015D"/>
    <w:rsid w:val="00C80213"/>
    <w:rsid w:val="00C80A7A"/>
    <w:rsid w:val="00C80B98"/>
    <w:rsid w:val="00C810B6"/>
    <w:rsid w:val="00C81676"/>
    <w:rsid w:val="00C817EB"/>
    <w:rsid w:val="00C840B7"/>
    <w:rsid w:val="00C84C9A"/>
    <w:rsid w:val="00C854C8"/>
    <w:rsid w:val="00C864FA"/>
    <w:rsid w:val="00C8720D"/>
    <w:rsid w:val="00C87AA4"/>
    <w:rsid w:val="00C91AF0"/>
    <w:rsid w:val="00C922CC"/>
    <w:rsid w:val="00C9234F"/>
    <w:rsid w:val="00C92394"/>
    <w:rsid w:val="00C92C12"/>
    <w:rsid w:val="00C93443"/>
    <w:rsid w:val="00C93F2B"/>
    <w:rsid w:val="00C94B4B"/>
    <w:rsid w:val="00CA4273"/>
    <w:rsid w:val="00CA5E08"/>
    <w:rsid w:val="00CA79B5"/>
    <w:rsid w:val="00CB082D"/>
    <w:rsid w:val="00CB11F5"/>
    <w:rsid w:val="00CB2357"/>
    <w:rsid w:val="00CB2E01"/>
    <w:rsid w:val="00CB3DF0"/>
    <w:rsid w:val="00CB434F"/>
    <w:rsid w:val="00CB49BC"/>
    <w:rsid w:val="00CB4A65"/>
    <w:rsid w:val="00CB6A73"/>
    <w:rsid w:val="00CB747B"/>
    <w:rsid w:val="00CB754D"/>
    <w:rsid w:val="00CC00A9"/>
    <w:rsid w:val="00CC1EAF"/>
    <w:rsid w:val="00CC23F6"/>
    <w:rsid w:val="00CC24CC"/>
    <w:rsid w:val="00CC2CE4"/>
    <w:rsid w:val="00CC307B"/>
    <w:rsid w:val="00CC3F73"/>
    <w:rsid w:val="00CC5B22"/>
    <w:rsid w:val="00CC5B72"/>
    <w:rsid w:val="00CC5E24"/>
    <w:rsid w:val="00CC6C0B"/>
    <w:rsid w:val="00CD0766"/>
    <w:rsid w:val="00CD0F39"/>
    <w:rsid w:val="00CD2294"/>
    <w:rsid w:val="00CD24E8"/>
    <w:rsid w:val="00CD3105"/>
    <w:rsid w:val="00CD428D"/>
    <w:rsid w:val="00CD4F1F"/>
    <w:rsid w:val="00CD4F9B"/>
    <w:rsid w:val="00CD5D8A"/>
    <w:rsid w:val="00CD67EF"/>
    <w:rsid w:val="00CE0062"/>
    <w:rsid w:val="00CE274E"/>
    <w:rsid w:val="00CE410A"/>
    <w:rsid w:val="00CE5BC0"/>
    <w:rsid w:val="00CE67C0"/>
    <w:rsid w:val="00CE78DF"/>
    <w:rsid w:val="00CE7E82"/>
    <w:rsid w:val="00CF181E"/>
    <w:rsid w:val="00CF2690"/>
    <w:rsid w:val="00D00C1C"/>
    <w:rsid w:val="00D019FE"/>
    <w:rsid w:val="00D01A2B"/>
    <w:rsid w:val="00D03459"/>
    <w:rsid w:val="00D038BD"/>
    <w:rsid w:val="00D04FAA"/>
    <w:rsid w:val="00D052C7"/>
    <w:rsid w:val="00D05DDF"/>
    <w:rsid w:val="00D077DF"/>
    <w:rsid w:val="00D11D09"/>
    <w:rsid w:val="00D120C5"/>
    <w:rsid w:val="00D12AD0"/>
    <w:rsid w:val="00D21155"/>
    <w:rsid w:val="00D2152B"/>
    <w:rsid w:val="00D22568"/>
    <w:rsid w:val="00D24E43"/>
    <w:rsid w:val="00D24EFD"/>
    <w:rsid w:val="00D25417"/>
    <w:rsid w:val="00D25E80"/>
    <w:rsid w:val="00D264DF"/>
    <w:rsid w:val="00D30074"/>
    <w:rsid w:val="00D333FD"/>
    <w:rsid w:val="00D34B01"/>
    <w:rsid w:val="00D34E96"/>
    <w:rsid w:val="00D352F6"/>
    <w:rsid w:val="00D35BB3"/>
    <w:rsid w:val="00D4019B"/>
    <w:rsid w:val="00D41775"/>
    <w:rsid w:val="00D46659"/>
    <w:rsid w:val="00D469F5"/>
    <w:rsid w:val="00D47322"/>
    <w:rsid w:val="00D47F14"/>
    <w:rsid w:val="00D50684"/>
    <w:rsid w:val="00D50B93"/>
    <w:rsid w:val="00D50E50"/>
    <w:rsid w:val="00D56943"/>
    <w:rsid w:val="00D5791C"/>
    <w:rsid w:val="00D623F0"/>
    <w:rsid w:val="00D640C3"/>
    <w:rsid w:val="00D6426D"/>
    <w:rsid w:val="00D648D1"/>
    <w:rsid w:val="00D66787"/>
    <w:rsid w:val="00D67014"/>
    <w:rsid w:val="00D716AA"/>
    <w:rsid w:val="00D71830"/>
    <w:rsid w:val="00D72D4B"/>
    <w:rsid w:val="00D74BFD"/>
    <w:rsid w:val="00D76370"/>
    <w:rsid w:val="00D766E2"/>
    <w:rsid w:val="00D779CB"/>
    <w:rsid w:val="00D80175"/>
    <w:rsid w:val="00D80FB0"/>
    <w:rsid w:val="00D82045"/>
    <w:rsid w:val="00D8324F"/>
    <w:rsid w:val="00D8437A"/>
    <w:rsid w:val="00D854AA"/>
    <w:rsid w:val="00D87241"/>
    <w:rsid w:val="00D87345"/>
    <w:rsid w:val="00D9131E"/>
    <w:rsid w:val="00D918F7"/>
    <w:rsid w:val="00D91CF5"/>
    <w:rsid w:val="00D952AA"/>
    <w:rsid w:val="00D976CD"/>
    <w:rsid w:val="00D97BAF"/>
    <w:rsid w:val="00D97C77"/>
    <w:rsid w:val="00DA0F99"/>
    <w:rsid w:val="00DA17E9"/>
    <w:rsid w:val="00DA1FF7"/>
    <w:rsid w:val="00DA476B"/>
    <w:rsid w:val="00DA4D53"/>
    <w:rsid w:val="00DA58FB"/>
    <w:rsid w:val="00DA65FD"/>
    <w:rsid w:val="00DA726B"/>
    <w:rsid w:val="00DB1B9F"/>
    <w:rsid w:val="00DB2057"/>
    <w:rsid w:val="00DB3397"/>
    <w:rsid w:val="00DB3ADD"/>
    <w:rsid w:val="00DB640C"/>
    <w:rsid w:val="00DB6C1F"/>
    <w:rsid w:val="00DC1256"/>
    <w:rsid w:val="00DC13ED"/>
    <w:rsid w:val="00DC2156"/>
    <w:rsid w:val="00DC2A7A"/>
    <w:rsid w:val="00DC3828"/>
    <w:rsid w:val="00DC472A"/>
    <w:rsid w:val="00DC490C"/>
    <w:rsid w:val="00DC50A3"/>
    <w:rsid w:val="00DC7A94"/>
    <w:rsid w:val="00DD0A67"/>
    <w:rsid w:val="00DD17A9"/>
    <w:rsid w:val="00DD2D34"/>
    <w:rsid w:val="00DD2ED1"/>
    <w:rsid w:val="00DD37B9"/>
    <w:rsid w:val="00DD3F6D"/>
    <w:rsid w:val="00DD40DE"/>
    <w:rsid w:val="00DD5B38"/>
    <w:rsid w:val="00DD5BF5"/>
    <w:rsid w:val="00DD7DCF"/>
    <w:rsid w:val="00DE026E"/>
    <w:rsid w:val="00DE1C04"/>
    <w:rsid w:val="00DE2173"/>
    <w:rsid w:val="00DE2316"/>
    <w:rsid w:val="00DE3FB4"/>
    <w:rsid w:val="00DE4CAE"/>
    <w:rsid w:val="00DE5B86"/>
    <w:rsid w:val="00DE5DD3"/>
    <w:rsid w:val="00DE7ED3"/>
    <w:rsid w:val="00DF28E7"/>
    <w:rsid w:val="00DF3580"/>
    <w:rsid w:val="00DF3B1E"/>
    <w:rsid w:val="00DF46B3"/>
    <w:rsid w:val="00DF56B6"/>
    <w:rsid w:val="00DF57FE"/>
    <w:rsid w:val="00DF62BB"/>
    <w:rsid w:val="00DF6345"/>
    <w:rsid w:val="00DF6742"/>
    <w:rsid w:val="00DF7194"/>
    <w:rsid w:val="00E001EA"/>
    <w:rsid w:val="00E01198"/>
    <w:rsid w:val="00E02E1D"/>
    <w:rsid w:val="00E03C78"/>
    <w:rsid w:val="00E04515"/>
    <w:rsid w:val="00E0603E"/>
    <w:rsid w:val="00E063A0"/>
    <w:rsid w:val="00E066B7"/>
    <w:rsid w:val="00E06791"/>
    <w:rsid w:val="00E10C55"/>
    <w:rsid w:val="00E11399"/>
    <w:rsid w:val="00E137C3"/>
    <w:rsid w:val="00E13C8E"/>
    <w:rsid w:val="00E15F4A"/>
    <w:rsid w:val="00E160FD"/>
    <w:rsid w:val="00E1650E"/>
    <w:rsid w:val="00E16611"/>
    <w:rsid w:val="00E175D1"/>
    <w:rsid w:val="00E205D8"/>
    <w:rsid w:val="00E22299"/>
    <w:rsid w:val="00E22AB6"/>
    <w:rsid w:val="00E22C3A"/>
    <w:rsid w:val="00E25ABF"/>
    <w:rsid w:val="00E26D9D"/>
    <w:rsid w:val="00E32DDB"/>
    <w:rsid w:val="00E32F66"/>
    <w:rsid w:val="00E34872"/>
    <w:rsid w:val="00E3515E"/>
    <w:rsid w:val="00E4041F"/>
    <w:rsid w:val="00E4106A"/>
    <w:rsid w:val="00E41B77"/>
    <w:rsid w:val="00E428A4"/>
    <w:rsid w:val="00E42E05"/>
    <w:rsid w:val="00E42E3F"/>
    <w:rsid w:val="00E43626"/>
    <w:rsid w:val="00E43BDB"/>
    <w:rsid w:val="00E471C9"/>
    <w:rsid w:val="00E47254"/>
    <w:rsid w:val="00E50214"/>
    <w:rsid w:val="00E50999"/>
    <w:rsid w:val="00E51289"/>
    <w:rsid w:val="00E51566"/>
    <w:rsid w:val="00E51E31"/>
    <w:rsid w:val="00E523AA"/>
    <w:rsid w:val="00E523D3"/>
    <w:rsid w:val="00E5353D"/>
    <w:rsid w:val="00E53721"/>
    <w:rsid w:val="00E53E51"/>
    <w:rsid w:val="00E54143"/>
    <w:rsid w:val="00E54494"/>
    <w:rsid w:val="00E56C6B"/>
    <w:rsid w:val="00E56DBD"/>
    <w:rsid w:val="00E6152A"/>
    <w:rsid w:val="00E629B0"/>
    <w:rsid w:val="00E629C2"/>
    <w:rsid w:val="00E6339F"/>
    <w:rsid w:val="00E63B15"/>
    <w:rsid w:val="00E6407B"/>
    <w:rsid w:val="00E64F05"/>
    <w:rsid w:val="00E66CEF"/>
    <w:rsid w:val="00E6724A"/>
    <w:rsid w:val="00E676AC"/>
    <w:rsid w:val="00E70005"/>
    <w:rsid w:val="00E71966"/>
    <w:rsid w:val="00E739D3"/>
    <w:rsid w:val="00E7503E"/>
    <w:rsid w:val="00E75194"/>
    <w:rsid w:val="00E76345"/>
    <w:rsid w:val="00E7754C"/>
    <w:rsid w:val="00E807B0"/>
    <w:rsid w:val="00E80A49"/>
    <w:rsid w:val="00E81042"/>
    <w:rsid w:val="00E850EA"/>
    <w:rsid w:val="00E85497"/>
    <w:rsid w:val="00E85F02"/>
    <w:rsid w:val="00E863E4"/>
    <w:rsid w:val="00E903F3"/>
    <w:rsid w:val="00E91FDC"/>
    <w:rsid w:val="00E94002"/>
    <w:rsid w:val="00E94594"/>
    <w:rsid w:val="00E9488F"/>
    <w:rsid w:val="00E94CFB"/>
    <w:rsid w:val="00E94E2B"/>
    <w:rsid w:val="00E9526F"/>
    <w:rsid w:val="00E96018"/>
    <w:rsid w:val="00E97934"/>
    <w:rsid w:val="00EA07FD"/>
    <w:rsid w:val="00EA08BE"/>
    <w:rsid w:val="00EA2E63"/>
    <w:rsid w:val="00EA4BE2"/>
    <w:rsid w:val="00EA4FD4"/>
    <w:rsid w:val="00EB05A8"/>
    <w:rsid w:val="00EB155B"/>
    <w:rsid w:val="00EB32DF"/>
    <w:rsid w:val="00EB3B69"/>
    <w:rsid w:val="00EB453C"/>
    <w:rsid w:val="00EC33AB"/>
    <w:rsid w:val="00EC3658"/>
    <w:rsid w:val="00EC3783"/>
    <w:rsid w:val="00EC3F72"/>
    <w:rsid w:val="00EC4AE2"/>
    <w:rsid w:val="00EC5FA5"/>
    <w:rsid w:val="00ED00C2"/>
    <w:rsid w:val="00ED11C5"/>
    <w:rsid w:val="00ED13D2"/>
    <w:rsid w:val="00ED2034"/>
    <w:rsid w:val="00ED2B6B"/>
    <w:rsid w:val="00ED69EA"/>
    <w:rsid w:val="00ED6D93"/>
    <w:rsid w:val="00ED76EB"/>
    <w:rsid w:val="00EE0FA3"/>
    <w:rsid w:val="00EE12FB"/>
    <w:rsid w:val="00EE1CC1"/>
    <w:rsid w:val="00EE2BDA"/>
    <w:rsid w:val="00EE3D8E"/>
    <w:rsid w:val="00EE4DAC"/>
    <w:rsid w:val="00EE5AE5"/>
    <w:rsid w:val="00EE65FC"/>
    <w:rsid w:val="00EE69CB"/>
    <w:rsid w:val="00EF0785"/>
    <w:rsid w:val="00EF24B6"/>
    <w:rsid w:val="00EF2894"/>
    <w:rsid w:val="00EF352F"/>
    <w:rsid w:val="00EF7276"/>
    <w:rsid w:val="00F01A98"/>
    <w:rsid w:val="00F0360C"/>
    <w:rsid w:val="00F03990"/>
    <w:rsid w:val="00F0406C"/>
    <w:rsid w:val="00F040F9"/>
    <w:rsid w:val="00F06065"/>
    <w:rsid w:val="00F06FDA"/>
    <w:rsid w:val="00F10E2E"/>
    <w:rsid w:val="00F14DDC"/>
    <w:rsid w:val="00F1551E"/>
    <w:rsid w:val="00F1566D"/>
    <w:rsid w:val="00F16A51"/>
    <w:rsid w:val="00F17B79"/>
    <w:rsid w:val="00F20904"/>
    <w:rsid w:val="00F20CAA"/>
    <w:rsid w:val="00F23E16"/>
    <w:rsid w:val="00F24004"/>
    <w:rsid w:val="00F24250"/>
    <w:rsid w:val="00F2591F"/>
    <w:rsid w:val="00F2646C"/>
    <w:rsid w:val="00F26FA3"/>
    <w:rsid w:val="00F307EE"/>
    <w:rsid w:val="00F32226"/>
    <w:rsid w:val="00F331F2"/>
    <w:rsid w:val="00F35D0E"/>
    <w:rsid w:val="00F40076"/>
    <w:rsid w:val="00F40354"/>
    <w:rsid w:val="00F40436"/>
    <w:rsid w:val="00F40AE3"/>
    <w:rsid w:val="00F414AB"/>
    <w:rsid w:val="00F41A6C"/>
    <w:rsid w:val="00F435A4"/>
    <w:rsid w:val="00F43D6A"/>
    <w:rsid w:val="00F44A0B"/>
    <w:rsid w:val="00F45240"/>
    <w:rsid w:val="00F50184"/>
    <w:rsid w:val="00F513DB"/>
    <w:rsid w:val="00F52472"/>
    <w:rsid w:val="00F52B42"/>
    <w:rsid w:val="00F5320D"/>
    <w:rsid w:val="00F545E6"/>
    <w:rsid w:val="00F54911"/>
    <w:rsid w:val="00F5607B"/>
    <w:rsid w:val="00F56300"/>
    <w:rsid w:val="00F5647B"/>
    <w:rsid w:val="00F565AD"/>
    <w:rsid w:val="00F63C45"/>
    <w:rsid w:val="00F64E03"/>
    <w:rsid w:val="00F6717C"/>
    <w:rsid w:val="00F67930"/>
    <w:rsid w:val="00F67FB6"/>
    <w:rsid w:val="00F70B79"/>
    <w:rsid w:val="00F71700"/>
    <w:rsid w:val="00F71AC7"/>
    <w:rsid w:val="00F7303F"/>
    <w:rsid w:val="00F73226"/>
    <w:rsid w:val="00F736B7"/>
    <w:rsid w:val="00F738C7"/>
    <w:rsid w:val="00F7660C"/>
    <w:rsid w:val="00F83881"/>
    <w:rsid w:val="00F84B06"/>
    <w:rsid w:val="00F86599"/>
    <w:rsid w:val="00F8784A"/>
    <w:rsid w:val="00F87FC7"/>
    <w:rsid w:val="00F904DE"/>
    <w:rsid w:val="00F909FE"/>
    <w:rsid w:val="00F90CA3"/>
    <w:rsid w:val="00F92111"/>
    <w:rsid w:val="00F93087"/>
    <w:rsid w:val="00F93535"/>
    <w:rsid w:val="00F96460"/>
    <w:rsid w:val="00F96834"/>
    <w:rsid w:val="00F969AA"/>
    <w:rsid w:val="00FA3153"/>
    <w:rsid w:val="00FA4299"/>
    <w:rsid w:val="00FA4582"/>
    <w:rsid w:val="00FA5A06"/>
    <w:rsid w:val="00FA6451"/>
    <w:rsid w:val="00FB0738"/>
    <w:rsid w:val="00FB1454"/>
    <w:rsid w:val="00FB1504"/>
    <w:rsid w:val="00FB260D"/>
    <w:rsid w:val="00FB3A04"/>
    <w:rsid w:val="00FB3BEB"/>
    <w:rsid w:val="00FB5063"/>
    <w:rsid w:val="00FB7EE7"/>
    <w:rsid w:val="00FC1155"/>
    <w:rsid w:val="00FC13A8"/>
    <w:rsid w:val="00FC296D"/>
    <w:rsid w:val="00FC2B56"/>
    <w:rsid w:val="00FC31C0"/>
    <w:rsid w:val="00FC3B2E"/>
    <w:rsid w:val="00FC4E85"/>
    <w:rsid w:val="00FC53FC"/>
    <w:rsid w:val="00FC60C2"/>
    <w:rsid w:val="00FD0A4E"/>
    <w:rsid w:val="00FD1E2C"/>
    <w:rsid w:val="00FD3B08"/>
    <w:rsid w:val="00FD45C7"/>
    <w:rsid w:val="00FD5632"/>
    <w:rsid w:val="00FD6E57"/>
    <w:rsid w:val="00FD74CC"/>
    <w:rsid w:val="00FE18DB"/>
    <w:rsid w:val="00FE1D0D"/>
    <w:rsid w:val="00FE1FC5"/>
    <w:rsid w:val="00FE4B4B"/>
    <w:rsid w:val="00FE5BFA"/>
    <w:rsid w:val="00FE749B"/>
    <w:rsid w:val="00FF1031"/>
    <w:rsid w:val="00FF3A7D"/>
    <w:rsid w:val="00FF3BC6"/>
    <w:rsid w:val="00FF529F"/>
    <w:rsid w:val="00FF7082"/>
    <w:rsid w:val="015F78F1"/>
    <w:rsid w:val="018F0027"/>
    <w:rsid w:val="01BF19D1"/>
    <w:rsid w:val="020804A4"/>
    <w:rsid w:val="029455AD"/>
    <w:rsid w:val="0374586D"/>
    <w:rsid w:val="03E406E3"/>
    <w:rsid w:val="041D6970"/>
    <w:rsid w:val="057C07A9"/>
    <w:rsid w:val="05A3053D"/>
    <w:rsid w:val="05C03BC3"/>
    <w:rsid w:val="05C23925"/>
    <w:rsid w:val="05FB4A52"/>
    <w:rsid w:val="06DA5D19"/>
    <w:rsid w:val="0749688F"/>
    <w:rsid w:val="075E40BB"/>
    <w:rsid w:val="079F0861"/>
    <w:rsid w:val="0A3854DD"/>
    <w:rsid w:val="0AA42F62"/>
    <w:rsid w:val="0AAC1E5E"/>
    <w:rsid w:val="0AC562FD"/>
    <w:rsid w:val="0B2D4F70"/>
    <w:rsid w:val="0B421300"/>
    <w:rsid w:val="0BD83611"/>
    <w:rsid w:val="0C59767E"/>
    <w:rsid w:val="0CE97D42"/>
    <w:rsid w:val="0D091F4F"/>
    <w:rsid w:val="0D423770"/>
    <w:rsid w:val="0E3A3B6B"/>
    <w:rsid w:val="0E687A3B"/>
    <w:rsid w:val="1252082F"/>
    <w:rsid w:val="12C543F6"/>
    <w:rsid w:val="133B2B8B"/>
    <w:rsid w:val="13583F56"/>
    <w:rsid w:val="1365144E"/>
    <w:rsid w:val="143E0385"/>
    <w:rsid w:val="146548AF"/>
    <w:rsid w:val="14893727"/>
    <w:rsid w:val="14D3666F"/>
    <w:rsid w:val="152261A4"/>
    <w:rsid w:val="15875813"/>
    <w:rsid w:val="15ED255C"/>
    <w:rsid w:val="15FC19AC"/>
    <w:rsid w:val="15FF7E6C"/>
    <w:rsid w:val="160C44E4"/>
    <w:rsid w:val="16BC0F4E"/>
    <w:rsid w:val="17290CBC"/>
    <w:rsid w:val="17767152"/>
    <w:rsid w:val="17DB194C"/>
    <w:rsid w:val="18364045"/>
    <w:rsid w:val="18BE53BE"/>
    <w:rsid w:val="18EE0FF5"/>
    <w:rsid w:val="19EB139B"/>
    <w:rsid w:val="1A0B4978"/>
    <w:rsid w:val="1A417530"/>
    <w:rsid w:val="1A6E4810"/>
    <w:rsid w:val="1A8B2106"/>
    <w:rsid w:val="1AE51725"/>
    <w:rsid w:val="1BB12787"/>
    <w:rsid w:val="1BC47DF2"/>
    <w:rsid w:val="1C6052B0"/>
    <w:rsid w:val="1CD744CC"/>
    <w:rsid w:val="1D951CB1"/>
    <w:rsid w:val="1D9B470A"/>
    <w:rsid w:val="1D9C4C6D"/>
    <w:rsid w:val="1F681F5F"/>
    <w:rsid w:val="20074AC3"/>
    <w:rsid w:val="20285CD0"/>
    <w:rsid w:val="202D2A69"/>
    <w:rsid w:val="2039388E"/>
    <w:rsid w:val="208C2AF3"/>
    <w:rsid w:val="20D70139"/>
    <w:rsid w:val="20DF1A81"/>
    <w:rsid w:val="212A2877"/>
    <w:rsid w:val="21DA33D9"/>
    <w:rsid w:val="22371E1E"/>
    <w:rsid w:val="228F4D8E"/>
    <w:rsid w:val="22DC4764"/>
    <w:rsid w:val="239B2561"/>
    <w:rsid w:val="248273BC"/>
    <w:rsid w:val="24E43AF1"/>
    <w:rsid w:val="25801CD3"/>
    <w:rsid w:val="25907302"/>
    <w:rsid w:val="260F4DA8"/>
    <w:rsid w:val="26D14BE0"/>
    <w:rsid w:val="27401E28"/>
    <w:rsid w:val="27414C32"/>
    <w:rsid w:val="27622468"/>
    <w:rsid w:val="27885ACA"/>
    <w:rsid w:val="286B0675"/>
    <w:rsid w:val="286D2C2F"/>
    <w:rsid w:val="289E1564"/>
    <w:rsid w:val="28A44A8B"/>
    <w:rsid w:val="28C12209"/>
    <w:rsid w:val="2983407D"/>
    <w:rsid w:val="29BE5775"/>
    <w:rsid w:val="29DC7068"/>
    <w:rsid w:val="2A5874ED"/>
    <w:rsid w:val="2A866EAD"/>
    <w:rsid w:val="2B8605FF"/>
    <w:rsid w:val="2BE71A4E"/>
    <w:rsid w:val="2C087541"/>
    <w:rsid w:val="2C3B29A6"/>
    <w:rsid w:val="2C726454"/>
    <w:rsid w:val="2C7E6EC0"/>
    <w:rsid w:val="2CAA43CA"/>
    <w:rsid w:val="2DAE2509"/>
    <w:rsid w:val="2EA702F2"/>
    <w:rsid w:val="2EBC3D59"/>
    <w:rsid w:val="2EF7683B"/>
    <w:rsid w:val="2F2E5FD2"/>
    <w:rsid w:val="2FF17810"/>
    <w:rsid w:val="30F47A27"/>
    <w:rsid w:val="31242D00"/>
    <w:rsid w:val="31811153"/>
    <w:rsid w:val="328A2480"/>
    <w:rsid w:val="32D5191B"/>
    <w:rsid w:val="33622CC4"/>
    <w:rsid w:val="33C550B4"/>
    <w:rsid w:val="341E08CC"/>
    <w:rsid w:val="342F62F6"/>
    <w:rsid w:val="345B1B06"/>
    <w:rsid w:val="34B955A4"/>
    <w:rsid w:val="34BF1578"/>
    <w:rsid w:val="362E26F6"/>
    <w:rsid w:val="363E4EDB"/>
    <w:rsid w:val="37115432"/>
    <w:rsid w:val="37DF6525"/>
    <w:rsid w:val="37F35FAD"/>
    <w:rsid w:val="38A80A21"/>
    <w:rsid w:val="38FD1CD3"/>
    <w:rsid w:val="390A723C"/>
    <w:rsid w:val="39D10BCD"/>
    <w:rsid w:val="3A765BAE"/>
    <w:rsid w:val="3A8D3755"/>
    <w:rsid w:val="3C195B71"/>
    <w:rsid w:val="3C221B9E"/>
    <w:rsid w:val="3C357E53"/>
    <w:rsid w:val="3C8138E7"/>
    <w:rsid w:val="3C956475"/>
    <w:rsid w:val="3CCA7406"/>
    <w:rsid w:val="3D6040CD"/>
    <w:rsid w:val="3D691E7B"/>
    <w:rsid w:val="3E0A11D3"/>
    <w:rsid w:val="3E744009"/>
    <w:rsid w:val="3EB946D3"/>
    <w:rsid w:val="3EF92BC7"/>
    <w:rsid w:val="3F023BCC"/>
    <w:rsid w:val="3F45797E"/>
    <w:rsid w:val="3FD95863"/>
    <w:rsid w:val="3FDB71DF"/>
    <w:rsid w:val="4038660A"/>
    <w:rsid w:val="4126289F"/>
    <w:rsid w:val="416C1B62"/>
    <w:rsid w:val="420325CD"/>
    <w:rsid w:val="4254472C"/>
    <w:rsid w:val="42642B8B"/>
    <w:rsid w:val="430711AD"/>
    <w:rsid w:val="43351D02"/>
    <w:rsid w:val="436808C1"/>
    <w:rsid w:val="43B86F03"/>
    <w:rsid w:val="43EA6609"/>
    <w:rsid w:val="442D57E5"/>
    <w:rsid w:val="45EA0448"/>
    <w:rsid w:val="46200992"/>
    <w:rsid w:val="46284176"/>
    <w:rsid w:val="46E20DB6"/>
    <w:rsid w:val="473D2589"/>
    <w:rsid w:val="47C8032A"/>
    <w:rsid w:val="48682CFA"/>
    <w:rsid w:val="487F6336"/>
    <w:rsid w:val="492D2E04"/>
    <w:rsid w:val="4A4D10FA"/>
    <w:rsid w:val="4A592E3B"/>
    <w:rsid w:val="4AA344B3"/>
    <w:rsid w:val="4AE57112"/>
    <w:rsid w:val="4B3D2633"/>
    <w:rsid w:val="4B426D6F"/>
    <w:rsid w:val="4C335D8A"/>
    <w:rsid w:val="4E374BEF"/>
    <w:rsid w:val="4E4E1648"/>
    <w:rsid w:val="4F1D0113"/>
    <w:rsid w:val="4F374ABE"/>
    <w:rsid w:val="4F9F58D6"/>
    <w:rsid w:val="4FDE4134"/>
    <w:rsid w:val="506C1094"/>
    <w:rsid w:val="5097052E"/>
    <w:rsid w:val="51C9452A"/>
    <w:rsid w:val="52326683"/>
    <w:rsid w:val="525060E8"/>
    <w:rsid w:val="52B97E69"/>
    <w:rsid w:val="52C51423"/>
    <w:rsid w:val="531B2857"/>
    <w:rsid w:val="532C41E9"/>
    <w:rsid w:val="53A12D82"/>
    <w:rsid w:val="53C945FB"/>
    <w:rsid w:val="540063BC"/>
    <w:rsid w:val="54333971"/>
    <w:rsid w:val="549876F9"/>
    <w:rsid w:val="54D232B6"/>
    <w:rsid w:val="54EB627C"/>
    <w:rsid w:val="559770A6"/>
    <w:rsid w:val="56066F50"/>
    <w:rsid w:val="561065A1"/>
    <w:rsid w:val="565A5D8A"/>
    <w:rsid w:val="56B927C0"/>
    <w:rsid w:val="58D27FFF"/>
    <w:rsid w:val="58DA63FA"/>
    <w:rsid w:val="593A19F0"/>
    <w:rsid w:val="597E4AFB"/>
    <w:rsid w:val="598B0010"/>
    <w:rsid w:val="59987307"/>
    <w:rsid w:val="5A174D6B"/>
    <w:rsid w:val="5A3B477C"/>
    <w:rsid w:val="5A7539E6"/>
    <w:rsid w:val="5B061ADC"/>
    <w:rsid w:val="5B557525"/>
    <w:rsid w:val="5BDE1D97"/>
    <w:rsid w:val="5C4D3844"/>
    <w:rsid w:val="5CCE3AC3"/>
    <w:rsid w:val="5D306882"/>
    <w:rsid w:val="5D7067F8"/>
    <w:rsid w:val="5DE35530"/>
    <w:rsid w:val="5E9A15F3"/>
    <w:rsid w:val="5EAC6562"/>
    <w:rsid w:val="5F321485"/>
    <w:rsid w:val="5F8E6C0B"/>
    <w:rsid w:val="618A6458"/>
    <w:rsid w:val="61C1676D"/>
    <w:rsid w:val="62222DA9"/>
    <w:rsid w:val="622A2EA4"/>
    <w:rsid w:val="62315D38"/>
    <w:rsid w:val="62A02C94"/>
    <w:rsid w:val="6312369C"/>
    <w:rsid w:val="63584072"/>
    <w:rsid w:val="639030FC"/>
    <w:rsid w:val="63E55E3D"/>
    <w:rsid w:val="64375256"/>
    <w:rsid w:val="64D5039D"/>
    <w:rsid w:val="65DD673C"/>
    <w:rsid w:val="660C033A"/>
    <w:rsid w:val="6615324D"/>
    <w:rsid w:val="665151C5"/>
    <w:rsid w:val="666C02D2"/>
    <w:rsid w:val="668D26EF"/>
    <w:rsid w:val="66E162E3"/>
    <w:rsid w:val="66EA7895"/>
    <w:rsid w:val="676043F9"/>
    <w:rsid w:val="67C70996"/>
    <w:rsid w:val="67F15358"/>
    <w:rsid w:val="6979382E"/>
    <w:rsid w:val="69A932E3"/>
    <w:rsid w:val="69D168ED"/>
    <w:rsid w:val="6A826436"/>
    <w:rsid w:val="6AC16EF6"/>
    <w:rsid w:val="6AF16C29"/>
    <w:rsid w:val="6C083ECD"/>
    <w:rsid w:val="6CA32054"/>
    <w:rsid w:val="6D4142E7"/>
    <w:rsid w:val="6D87324C"/>
    <w:rsid w:val="6DA27ACC"/>
    <w:rsid w:val="6DB02BA2"/>
    <w:rsid w:val="6DBE18DA"/>
    <w:rsid w:val="6DFE351E"/>
    <w:rsid w:val="6EE5105C"/>
    <w:rsid w:val="6F021872"/>
    <w:rsid w:val="6F1F338C"/>
    <w:rsid w:val="6FAB69B9"/>
    <w:rsid w:val="70022FC2"/>
    <w:rsid w:val="703E5D1A"/>
    <w:rsid w:val="70512711"/>
    <w:rsid w:val="70F73796"/>
    <w:rsid w:val="71536AB4"/>
    <w:rsid w:val="717520A8"/>
    <w:rsid w:val="71F07FA7"/>
    <w:rsid w:val="71FD30EB"/>
    <w:rsid w:val="724315AE"/>
    <w:rsid w:val="727C60DF"/>
    <w:rsid w:val="728C6382"/>
    <w:rsid w:val="738D4A3C"/>
    <w:rsid w:val="74151D55"/>
    <w:rsid w:val="747F57CA"/>
    <w:rsid w:val="75450BB9"/>
    <w:rsid w:val="759A4470"/>
    <w:rsid w:val="75B52320"/>
    <w:rsid w:val="76631A40"/>
    <w:rsid w:val="76FC3A86"/>
    <w:rsid w:val="776E7002"/>
    <w:rsid w:val="781474DC"/>
    <w:rsid w:val="781F2AEE"/>
    <w:rsid w:val="7831145A"/>
    <w:rsid w:val="78E0626B"/>
    <w:rsid w:val="799A7EFC"/>
    <w:rsid w:val="79DD5495"/>
    <w:rsid w:val="7A2B1FDC"/>
    <w:rsid w:val="7A651918"/>
    <w:rsid w:val="7ADC1DBC"/>
    <w:rsid w:val="7B1C052F"/>
    <w:rsid w:val="7C3A4CEA"/>
    <w:rsid w:val="7D234290"/>
    <w:rsid w:val="7D714BF8"/>
    <w:rsid w:val="7D752C71"/>
    <w:rsid w:val="7D9648D2"/>
    <w:rsid w:val="7DC31396"/>
    <w:rsid w:val="7E092135"/>
    <w:rsid w:val="7E80705E"/>
    <w:rsid w:val="7F142A4D"/>
    <w:rsid w:val="7FE8124D"/>
    <w:rsid w:val="7FEA2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semiHidden="0"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7">
    <w:name w:val="heading 1"/>
    <w:basedOn w:val="1"/>
    <w:next w:val="1"/>
    <w:link w:val="54"/>
    <w:qFormat/>
    <w:uiPriority w:val="0"/>
    <w:pPr>
      <w:keepNext/>
      <w:keepLines/>
      <w:numPr>
        <w:ilvl w:val="0"/>
        <w:numId w:val="1"/>
      </w:numPr>
      <w:snapToGrid w:val="0"/>
      <w:spacing w:line="400" w:lineRule="atLeast"/>
      <w:outlineLvl w:val="0"/>
    </w:pPr>
    <w:rPr>
      <w:rFonts w:ascii="宋体" w:eastAsia="黑体"/>
      <w:kern w:val="28"/>
      <w:sz w:val="28"/>
      <w:szCs w:val="20"/>
    </w:rPr>
  </w:style>
  <w:style w:type="paragraph" w:styleId="8">
    <w:name w:val="heading 2"/>
    <w:basedOn w:val="1"/>
    <w:next w:val="1"/>
    <w:link w:val="53"/>
    <w:qFormat/>
    <w:uiPriority w:val="0"/>
    <w:pPr>
      <w:numPr>
        <w:ilvl w:val="1"/>
        <w:numId w:val="1"/>
      </w:numPr>
      <w:tabs>
        <w:tab w:val="left" w:pos="425"/>
      </w:tabs>
      <w:snapToGrid w:val="0"/>
      <w:spacing w:line="360" w:lineRule="auto"/>
      <w:outlineLvl w:val="1"/>
    </w:pPr>
    <w:rPr>
      <w:rFonts w:ascii="宋体"/>
      <w:sz w:val="28"/>
      <w:szCs w:val="20"/>
    </w:rPr>
  </w:style>
  <w:style w:type="paragraph" w:styleId="9">
    <w:name w:val="heading 3"/>
    <w:basedOn w:val="1"/>
    <w:next w:val="1"/>
    <w:link w:val="52"/>
    <w:qFormat/>
    <w:uiPriority w:val="0"/>
    <w:pPr>
      <w:tabs>
        <w:tab w:val="left" w:pos="425"/>
        <w:tab w:val="left" w:pos="720"/>
        <w:tab w:val="left" w:pos="1985"/>
        <w:tab w:val="left" w:pos="7088"/>
      </w:tabs>
      <w:outlineLvl w:val="2"/>
    </w:pPr>
  </w:style>
  <w:style w:type="paragraph" w:styleId="10">
    <w:name w:val="heading 4"/>
    <w:basedOn w:val="1"/>
    <w:next w:val="1"/>
    <w:link w:val="79"/>
    <w:qFormat/>
    <w:uiPriority w:val="0"/>
    <w:pPr>
      <w:keepNext/>
      <w:keepLines/>
      <w:spacing w:before="280" w:after="290" w:line="376" w:lineRule="auto"/>
      <w:outlineLvl w:val="3"/>
    </w:pPr>
    <w:rPr>
      <w:rFonts w:ascii="Calibri Light" w:hAnsi="Calibri Light"/>
      <w:b/>
      <w:bCs/>
      <w:kern w:val="0"/>
      <w:sz w:val="28"/>
      <w:szCs w:val="28"/>
    </w:rPr>
  </w:style>
  <w:style w:type="paragraph" w:styleId="11">
    <w:name w:val="heading 5"/>
    <w:basedOn w:val="1"/>
    <w:next w:val="1"/>
    <w:link w:val="82"/>
    <w:qFormat/>
    <w:uiPriority w:val="0"/>
    <w:pPr>
      <w:keepNext/>
      <w:keepLines/>
      <w:spacing w:before="280" w:after="290" w:line="376" w:lineRule="auto"/>
      <w:outlineLvl w:val="4"/>
    </w:pPr>
    <w:rPr>
      <w:b/>
      <w:bCs/>
      <w:kern w:val="0"/>
      <w:sz w:val="28"/>
      <w:szCs w:val="28"/>
    </w:rPr>
  </w:style>
  <w:style w:type="paragraph" w:styleId="12">
    <w:name w:val="heading 6"/>
    <w:basedOn w:val="1"/>
    <w:next w:val="1"/>
    <w:link w:val="76"/>
    <w:qFormat/>
    <w:uiPriority w:val="0"/>
    <w:pPr>
      <w:keepNext/>
      <w:keepLines/>
      <w:spacing w:before="240" w:after="64" w:line="320" w:lineRule="auto"/>
      <w:outlineLvl w:val="5"/>
    </w:pPr>
    <w:rPr>
      <w:rFonts w:ascii="Calibri Light" w:hAnsi="Calibri Light"/>
      <w:b/>
      <w:bCs/>
      <w:kern w:val="0"/>
      <w:sz w:val="24"/>
    </w:rPr>
  </w:style>
  <w:style w:type="paragraph" w:styleId="13">
    <w:name w:val="heading 7"/>
    <w:basedOn w:val="1"/>
    <w:next w:val="1"/>
    <w:link w:val="91"/>
    <w:qFormat/>
    <w:uiPriority w:val="9"/>
    <w:pPr>
      <w:keepNext/>
      <w:keepLines/>
      <w:spacing w:before="240" w:after="64" w:line="320" w:lineRule="auto"/>
      <w:outlineLvl w:val="6"/>
    </w:pPr>
    <w:rPr>
      <w:b/>
      <w:bCs/>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4"/>
    <w:qFormat/>
    <w:uiPriority w:val="0"/>
    <w:pPr>
      <w:ind w:firstLine="420" w:firstLineChars="100"/>
    </w:pPr>
  </w:style>
  <w:style w:type="paragraph" w:styleId="3">
    <w:name w:val="Body Text"/>
    <w:basedOn w:val="1"/>
    <w:next w:val="4"/>
    <w:link w:val="85"/>
    <w:qFormat/>
    <w:uiPriority w:val="0"/>
    <w:pPr>
      <w:spacing w:after="120"/>
    </w:pPr>
    <w:rPr>
      <w:kern w:val="0"/>
      <w:sz w:val="20"/>
    </w:rPr>
  </w:style>
  <w:style w:type="paragraph" w:customStyle="1" w:styleId="4">
    <w:name w:val="一级条标题"/>
    <w:basedOn w:val="5"/>
    <w:next w:val="6"/>
    <w:link w:val="108"/>
    <w:qFormat/>
    <w:uiPriority w:val="0"/>
    <w:pPr>
      <w:tabs>
        <w:tab w:val="left" w:pos="720"/>
      </w:tabs>
      <w:spacing w:beforeLines="0" w:afterLines="0"/>
      <w:outlineLvl w:val="2"/>
    </w:pPr>
  </w:style>
  <w:style w:type="paragraph" w:customStyle="1" w:styleId="5">
    <w:name w:val="章标题"/>
    <w:next w:val="1"/>
    <w:link w:val="107"/>
    <w:qFormat/>
    <w:uiPriority w:val="0"/>
    <w:pPr>
      <w:tabs>
        <w:tab w:val="left" w:pos="720"/>
      </w:tabs>
      <w:spacing w:beforeLines="50" w:afterLines="50"/>
      <w:ind w:left="567" w:hanging="567"/>
      <w:jc w:val="both"/>
      <w:outlineLvl w:val="1"/>
    </w:pPr>
    <w:rPr>
      <w:rFonts w:ascii="黑体" w:hAnsi="Calibri" w:eastAsia="黑体" w:cs="Times New Roman"/>
      <w:sz w:val="21"/>
      <w:lang w:val="en-US" w:eastAsia="zh-CN" w:bidi="ar-SA"/>
    </w:rPr>
  </w:style>
  <w:style w:type="paragraph" w:customStyle="1" w:styleId="6">
    <w:name w:val="段"/>
    <w:next w:val="1"/>
    <w:link w:val="102"/>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14">
    <w:name w:val="Normal Indent"/>
    <w:basedOn w:val="1"/>
    <w:link w:val="123"/>
    <w:qFormat/>
    <w:uiPriority w:val="0"/>
    <w:pPr>
      <w:ind w:firstLine="420" w:firstLineChars="200"/>
    </w:pPr>
  </w:style>
  <w:style w:type="paragraph" w:styleId="15">
    <w:name w:val="Document Map"/>
    <w:basedOn w:val="1"/>
    <w:link w:val="77"/>
    <w:unhideWhenUsed/>
    <w:qFormat/>
    <w:uiPriority w:val="99"/>
    <w:rPr>
      <w:rFonts w:ascii="Microsoft YaHei UI" w:eastAsia="Microsoft YaHei UI"/>
      <w:kern w:val="0"/>
      <w:sz w:val="18"/>
      <w:szCs w:val="18"/>
    </w:rPr>
  </w:style>
  <w:style w:type="paragraph" w:styleId="16">
    <w:name w:val="annotation text"/>
    <w:basedOn w:val="1"/>
    <w:link w:val="92"/>
    <w:qFormat/>
    <w:uiPriority w:val="0"/>
    <w:rPr>
      <w:kern w:val="0"/>
      <w:sz w:val="20"/>
    </w:rPr>
  </w:style>
  <w:style w:type="paragraph" w:styleId="17">
    <w:name w:val="Body Text Indent"/>
    <w:basedOn w:val="1"/>
    <w:link w:val="94"/>
    <w:qFormat/>
    <w:uiPriority w:val="0"/>
    <w:pPr>
      <w:tabs>
        <w:tab w:val="left" w:pos="2160"/>
      </w:tabs>
      <w:ind w:left="2159" w:leftChars="1028" w:firstLine="1"/>
    </w:pPr>
    <w:rPr>
      <w:rFonts w:ascii="宋体" w:hAnsi="宋体"/>
      <w:kern w:val="0"/>
      <w:sz w:val="20"/>
      <w:szCs w:val="21"/>
    </w:rPr>
  </w:style>
  <w:style w:type="paragraph" w:styleId="18">
    <w:name w:val="index 4"/>
    <w:basedOn w:val="1"/>
    <w:next w:val="1"/>
    <w:semiHidden/>
    <w:unhideWhenUsed/>
    <w:qFormat/>
    <w:uiPriority w:val="99"/>
    <w:pPr>
      <w:ind w:left="600" w:leftChars="600"/>
    </w:pPr>
  </w:style>
  <w:style w:type="paragraph" w:styleId="19">
    <w:name w:val="toc 3"/>
    <w:basedOn w:val="1"/>
    <w:next w:val="1"/>
    <w:unhideWhenUsed/>
    <w:qFormat/>
    <w:uiPriority w:val="39"/>
    <w:pPr>
      <w:spacing w:after="100" w:line="259" w:lineRule="auto"/>
      <w:ind w:left="440"/>
    </w:pPr>
    <w:rPr>
      <w:rFonts w:ascii="Calibri" w:hAnsi="Calibri"/>
      <w:kern w:val="0"/>
      <w:sz w:val="22"/>
      <w:szCs w:val="22"/>
    </w:rPr>
  </w:style>
  <w:style w:type="paragraph" w:styleId="20">
    <w:name w:val="Plain Text"/>
    <w:basedOn w:val="1"/>
    <w:link w:val="87"/>
    <w:qFormat/>
    <w:uiPriority w:val="0"/>
    <w:rPr>
      <w:rFonts w:ascii="宋体" w:hAnsi="Courier New"/>
      <w:kern w:val="0"/>
      <w:sz w:val="20"/>
      <w:szCs w:val="20"/>
    </w:rPr>
  </w:style>
  <w:style w:type="paragraph" w:styleId="21">
    <w:name w:val="Date"/>
    <w:basedOn w:val="1"/>
    <w:next w:val="1"/>
    <w:link w:val="95"/>
    <w:qFormat/>
    <w:uiPriority w:val="0"/>
    <w:pPr>
      <w:ind w:left="100" w:leftChars="2500"/>
    </w:pPr>
    <w:rPr>
      <w:kern w:val="0"/>
      <w:sz w:val="20"/>
    </w:rPr>
  </w:style>
  <w:style w:type="paragraph" w:styleId="22">
    <w:name w:val="Balloon Text"/>
    <w:basedOn w:val="1"/>
    <w:link w:val="74"/>
    <w:qFormat/>
    <w:uiPriority w:val="99"/>
    <w:rPr>
      <w:kern w:val="0"/>
      <w:sz w:val="18"/>
      <w:szCs w:val="18"/>
    </w:rPr>
  </w:style>
  <w:style w:type="paragraph" w:styleId="23">
    <w:name w:val="footer"/>
    <w:basedOn w:val="1"/>
    <w:link w:val="73"/>
    <w:qFormat/>
    <w:uiPriority w:val="0"/>
    <w:pPr>
      <w:tabs>
        <w:tab w:val="center" w:pos="4153"/>
        <w:tab w:val="right" w:pos="8306"/>
      </w:tabs>
      <w:snapToGrid w:val="0"/>
    </w:pPr>
    <w:rPr>
      <w:kern w:val="0"/>
      <w:sz w:val="18"/>
      <w:szCs w:val="20"/>
    </w:rPr>
  </w:style>
  <w:style w:type="paragraph" w:styleId="24">
    <w:name w:val="header"/>
    <w:basedOn w:val="1"/>
    <w:link w:val="90"/>
    <w:qFormat/>
    <w:uiPriority w:val="0"/>
    <w:pPr>
      <w:pBdr>
        <w:bottom w:val="single" w:color="auto" w:sz="6" w:space="1"/>
      </w:pBdr>
      <w:tabs>
        <w:tab w:val="center" w:pos="4153"/>
        <w:tab w:val="right" w:pos="8306"/>
      </w:tabs>
      <w:snapToGrid w:val="0"/>
      <w:jc w:val="center"/>
    </w:pPr>
    <w:rPr>
      <w:kern w:val="0"/>
      <w:sz w:val="18"/>
      <w:szCs w:val="20"/>
    </w:rPr>
  </w:style>
  <w:style w:type="paragraph" w:styleId="25">
    <w:name w:val="toc 1"/>
    <w:basedOn w:val="1"/>
    <w:next w:val="1"/>
    <w:qFormat/>
    <w:uiPriority w:val="39"/>
    <w:pPr>
      <w:tabs>
        <w:tab w:val="right" w:leader="dot" w:pos="8296"/>
      </w:tabs>
    </w:pPr>
  </w:style>
  <w:style w:type="paragraph" w:styleId="26">
    <w:name w:val="Subtitle"/>
    <w:basedOn w:val="1"/>
    <w:next w:val="1"/>
    <w:link w:val="78"/>
    <w:qFormat/>
    <w:uiPriority w:val="0"/>
    <w:pPr>
      <w:spacing w:before="240" w:after="60" w:line="312" w:lineRule="auto"/>
      <w:jc w:val="center"/>
      <w:outlineLvl w:val="1"/>
    </w:pPr>
    <w:rPr>
      <w:rFonts w:ascii="Calibri Light" w:hAnsi="Calibri Light"/>
      <w:b/>
      <w:bCs/>
      <w:kern w:val="28"/>
      <w:sz w:val="32"/>
      <w:szCs w:val="32"/>
    </w:rPr>
  </w:style>
  <w:style w:type="paragraph" w:styleId="27">
    <w:name w:val="Body Text Indent 3"/>
    <w:basedOn w:val="1"/>
    <w:link w:val="75"/>
    <w:qFormat/>
    <w:uiPriority w:val="0"/>
    <w:pPr>
      <w:spacing w:after="120"/>
      <w:ind w:left="420" w:leftChars="200"/>
    </w:pPr>
    <w:rPr>
      <w:kern w:val="0"/>
      <w:sz w:val="16"/>
      <w:szCs w:val="16"/>
    </w:rPr>
  </w:style>
  <w:style w:type="paragraph" w:styleId="28">
    <w:name w:val="toc 2"/>
    <w:basedOn w:val="1"/>
    <w:next w:val="1"/>
    <w:unhideWhenUsed/>
    <w:qFormat/>
    <w:uiPriority w:val="39"/>
    <w:pPr>
      <w:spacing w:after="100" w:line="259" w:lineRule="auto"/>
      <w:ind w:left="220"/>
    </w:pPr>
    <w:rPr>
      <w:rFonts w:ascii="Calibri" w:hAnsi="Calibri"/>
      <w:kern w:val="0"/>
      <w:sz w:val="22"/>
      <w:szCs w:val="22"/>
    </w:rPr>
  </w:style>
  <w:style w:type="paragraph" w:styleId="29">
    <w:name w:val="toc 9"/>
    <w:basedOn w:val="1"/>
    <w:next w:val="1"/>
    <w:qFormat/>
    <w:uiPriority w:val="0"/>
    <w:pPr>
      <w:ind w:left="3360" w:leftChars="1600"/>
    </w:pPr>
  </w:style>
  <w:style w:type="paragraph" w:styleId="30">
    <w:name w:val="Body Text 2"/>
    <w:basedOn w:val="1"/>
    <w:semiHidden/>
    <w:unhideWhenUsed/>
    <w:qFormat/>
    <w:uiPriority w:val="99"/>
    <w:pPr>
      <w:spacing w:after="120" w:line="480" w:lineRule="auto"/>
    </w:pPr>
    <w:rPr>
      <w:rFonts w:cs="Cambria"/>
    </w:rPr>
  </w:style>
  <w:style w:type="paragraph" w:styleId="31">
    <w:name w:val="HTML Preformatted"/>
    <w:basedOn w:val="1"/>
    <w:link w:val="11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rPr>
  </w:style>
  <w:style w:type="paragraph" w:styleId="32">
    <w:name w:val="Normal (Web)"/>
    <w:basedOn w:val="1"/>
    <w:unhideWhenUsed/>
    <w:qFormat/>
    <w:uiPriority w:val="0"/>
    <w:pPr>
      <w:spacing w:before="100" w:beforeAutospacing="1" w:after="100" w:afterAutospacing="1"/>
    </w:pPr>
    <w:rPr>
      <w:rFonts w:ascii="宋体" w:hAnsi="宋体" w:cs="宋体"/>
      <w:kern w:val="0"/>
      <w:sz w:val="24"/>
    </w:rPr>
  </w:style>
  <w:style w:type="paragraph" w:styleId="33">
    <w:name w:val="Title"/>
    <w:basedOn w:val="1"/>
    <w:next w:val="1"/>
    <w:link w:val="93"/>
    <w:qFormat/>
    <w:uiPriority w:val="0"/>
    <w:pPr>
      <w:spacing w:before="240" w:after="60"/>
      <w:jc w:val="center"/>
      <w:outlineLvl w:val="0"/>
    </w:pPr>
    <w:rPr>
      <w:rFonts w:ascii="Cambria" w:hAnsi="Cambria"/>
      <w:b/>
      <w:bCs/>
      <w:kern w:val="0"/>
      <w:sz w:val="36"/>
      <w:szCs w:val="32"/>
    </w:rPr>
  </w:style>
  <w:style w:type="paragraph" w:styleId="34">
    <w:name w:val="annotation subject"/>
    <w:basedOn w:val="16"/>
    <w:next w:val="16"/>
    <w:link w:val="72"/>
    <w:qFormat/>
    <w:uiPriority w:val="99"/>
    <w:rPr>
      <w:b/>
      <w:bCs/>
    </w:rPr>
  </w:style>
  <w:style w:type="table" w:styleId="36">
    <w:name w:val="Table Grid"/>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qFormat/>
    <w:uiPriority w:val="0"/>
  </w:style>
  <w:style w:type="character" w:styleId="40">
    <w:name w:val="FollowedHyperlink"/>
    <w:qFormat/>
    <w:uiPriority w:val="99"/>
    <w:rPr>
      <w:color w:val="0000FF"/>
      <w:u w:val="single"/>
    </w:rPr>
  </w:style>
  <w:style w:type="character" w:styleId="41">
    <w:name w:val="Emphasis"/>
    <w:qFormat/>
    <w:uiPriority w:val="20"/>
    <w:rPr>
      <w:i/>
      <w:iCs/>
    </w:rPr>
  </w:style>
  <w:style w:type="character" w:styleId="42">
    <w:name w:val="HTML Definition"/>
    <w:basedOn w:val="37"/>
    <w:semiHidden/>
    <w:unhideWhenUsed/>
    <w:qFormat/>
    <w:uiPriority w:val="99"/>
  </w:style>
  <w:style w:type="character" w:styleId="43">
    <w:name w:val="HTML Typewriter"/>
    <w:basedOn w:val="37"/>
    <w:semiHidden/>
    <w:unhideWhenUsed/>
    <w:qFormat/>
    <w:uiPriority w:val="99"/>
    <w:rPr>
      <w:rFonts w:hint="default" w:ascii="monospace" w:hAnsi="monospace" w:eastAsia="monospace" w:cs="monospace"/>
      <w:color w:val="FFFFFF"/>
      <w:sz w:val="19"/>
      <w:szCs w:val="19"/>
      <w:shd w:val="clear" w:fill="F6F6F6"/>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qFormat/>
    <w:uiPriority w:val="99"/>
    <w:rPr>
      <w:color w:val="000099"/>
      <w:u w:val="none"/>
    </w:rPr>
  </w:style>
  <w:style w:type="character" w:styleId="47">
    <w:name w:val="HTML Code"/>
    <w:basedOn w:val="37"/>
    <w:semiHidden/>
    <w:unhideWhenUsed/>
    <w:qFormat/>
    <w:uiPriority w:val="99"/>
    <w:rPr>
      <w:rFonts w:hint="default" w:ascii="monospace" w:hAnsi="monospace" w:eastAsia="monospace" w:cs="monospace"/>
      <w:sz w:val="18"/>
      <w:szCs w:val="18"/>
      <w:bdr w:val="single" w:color="D2D2D2" w:sz="2" w:space="0"/>
    </w:rPr>
  </w:style>
  <w:style w:type="character" w:styleId="48">
    <w:name w:val="annotation reference"/>
    <w:qFormat/>
    <w:uiPriority w:val="99"/>
    <w:rPr>
      <w:sz w:val="21"/>
      <w:szCs w:val="21"/>
    </w:rPr>
  </w:style>
  <w:style w:type="character" w:styleId="49">
    <w:name w:val="HTML Cite"/>
    <w:unhideWhenUsed/>
    <w:qFormat/>
    <w:uiPriority w:val="99"/>
    <w:rPr>
      <w:color w:val="008000"/>
    </w:rPr>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character" w:customStyle="1" w:styleId="52">
    <w:name w:val="标题 3 Char"/>
    <w:link w:val="9"/>
    <w:qFormat/>
    <w:uiPriority w:val="0"/>
    <w:rPr>
      <w:rFonts w:ascii="宋体"/>
      <w:kern w:val="2"/>
      <w:sz w:val="28"/>
    </w:rPr>
  </w:style>
  <w:style w:type="character" w:customStyle="1" w:styleId="53">
    <w:name w:val="标题 2 Char"/>
    <w:link w:val="8"/>
    <w:qFormat/>
    <w:uiPriority w:val="0"/>
    <w:rPr>
      <w:rFonts w:ascii="宋体"/>
      <w:kern w:val="2"/>
      <w:sz w:val="28"/>
    </w:rPr>
  </w:style>
  <w:style w:type="character" w:customStyle="1" w:styleId="54">
    <w:name w:val="标题 1 Char"/>
    <w:link w:val="7"/>
    <w:qFormat/>
    <w:uiPriority w:val="0"/>
    <w:rPr>
      <w:rFonts w:ascii="宋体" w:eastAsia="黑体"/>
      <w:kern w:val="28"/>
      <w:sz w:val="28"/>
    </w:rPr>
  </w:style>
  <w:style w:type="paragraph" w:customStyle="1" w:styleId="55">
    <w:name w:val="样式 标题 3 + 首行缩进:  2 字符"/>
    <w:basedOn w:val="9"/>
    <w:qFormat/>
    <w:uiPriority w:val="0"/>
    <w:pPr>
      <w:spacing w:before="0" w:beforeLines="0" w:after="0" w:afterLines="0" w:line="480" w:lineRule="exact"/>
      <w:jc w:val="left"/>
    </w:pPr>
    <w:rPr>
      <w:rFonts w:eastAsia="宋体"/>
      <w:sz w:val="28"/>
      <w:szCs w:val="28"/>
      <w:lang w:bidi="ar-DZ"/>
    </w:rPr>
  </w:style>
  <w:style w:type="paragraph" w:customStyle="1" w:styleId="56">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_0_0"/>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58">
    <w:name w:val="3"/>
    <w:basedOn w:val="1"/>
    <w:qFormat/>
    <w:uiPriority w:val="34"/>
    <w:pPr>
      <w:ind w:firstLine="420" w:firstLineChars="200"/>
    </w:pPr>
  </w:style>
  <w:style w:type="paragraph" w:customStyle="1" w:styleId="59">
    <w:name w:val="xl54"/>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60">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2"/>
    <w:link w:val="89"/>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xl52"/>
    <w:basedOn w:val="1"/>
    <w:qFormat/>
    <w:uiPriority w:val="0"/>
    <w:pPr>
      <w:spacing w:before="100" w:beforeAutospacing="1" w:after="100" w:afterAutospacing="1"/>
      <w:jc w:val="center"/>
      <w:textAlignment w:val="top"/>
    </w:pPr>
    <w:rPr>
      <w:kern w:val="0"/>
      <w:sz w:val="20"/>
      <w:szCs w:val="20"/>
    </w:rPr>
  </w:style>
  <w:style w:type="paragraph" w:customStyle="1" w:styleId="63">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64">
    <w:name w:val="_Style 3"/>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Char1"/>
    <w:basedOn w:val="15"/>
    <w:qFormat/>
    <w:uiPriority w:val="0"/>
    <w:pPr>
      <w:shd w:val="clear" w:color="auto" w:fill="000080"/>
    </w:pPr>
    <w:rPr>
      <w:rFonts w:ascii="Times New Roman" w:eastAsia="宋体"/>
      <w:sz w:val="21"/>
      <w:szCs w:val="20"/>
      <w:shd w:val="clear" w:color="auto" w:fill="000080"/>
    </w:rPr>
  </w:style>
  <w:style w:type="paragraph" w:customStyle="1" w:styleId="66">
    <w:name w:val="Table Text"/>
    <w:basedOn w:val="1"/>
    <w:qFormat/>
    <w:uiPriority w:val="0"/>
    <w:pPr>
      <w:tabs>
        <w:tab w:val="decimal" w:pos="0"/>
      </w:tabs>
      <w:autoSpaceDE w:val="0"/>
      <w:autoSpaceDN w:val="0"/>
      <w:adjustRightInd w:val="0"/>
      <w:spacing w:before="80" w:after="80"/>
    </w:pPr>
    <w:rPr>
      <w:rFonts w:ascii="Arial" w:hAnsi="Arial"/>
      <w:kern w:val="0"/>
      <w:sz w:val="18"/>
      <w:szCs w:val="20"/>
    </w:rPr>
  </w:style>
  <w:style w:type="paragraph" w:customStyle="1" w:styleId="67">
    <w:name w:val="列出段落111"/>
    <w:basedOn w:val="1"/>
    <w:qFormat/>
    <w:uiPriority w:val="0"/>
    <w:pPr>
      <w:ind w:firstLine="420" w:firstLineChars="200"/>
    </w:pPr>
    <w:rPr>
      <w:rFonts w:ascii="Calibri" w:hAnsi="Calibri"/>
      <w:sz w:val="28"/>
    </w:rPr>
  </w:style>
  <w:style w:type="paragraph" w:customStyle="1" w:styleId="68">
    <w:name w:val="样式1"/>
    <w:basedOn w:val="1"/>
    <w:qFormat/>
    <w:uiPriority w:val="0"/>
    <w:rPr>
      <w:rFonts w:eastAsia="仿宋_GB2312"/>
      <w:kern w:val="0"/>
      <w:sz w:val="32"/>
      <w:szCs w:val="20"/>
    </w:rPr>
  </w:style>
  <w:style w:type="paragraph" w:customStyle="1" w:styleId="69">
    <w:name w:val="1"/>
    <w:basedOn w:val="7"/>
    <w:next w:val="1"/>
    <w:qFormat/>
    <w:uiPriority w:val="39"/>
    <w:pPr>
      <w:numPr>
        <w:numId w:val="0"/>
      </w:numPr>
      <w:snapToGrid/>
      <w:spacing w:before="240" w:line="259" w:lineRule="auto"/>
      <w:outlineLvl w:val="9"/>
    </w:pPr>
    <w:rPr>
      <w:rFonts w:ascii="Calibri Light" w:hAnsi="Calibri Light" w:eastAsia="宋体"/>
      <w:color w:val="2E74B5"/>
      <w:kern w:val="0"/>
      <w:sz w:val="32"/>
      <w:szCs w:val="32"/>
    </w:rPr>
  </w:style>
  <w:style w:type="paragraph" w:customStyle="1" w:styleId="70">
    <w:name w:val="列出段落11"/>
    <w:basedOn w:val="1"/>
    <w:qFormat/>
    <w:uiPriority w:val="0"/>
    <w:pPr>
      <w:ind w:firstLine="420" w:firstLineChars="200"/>
    </w:pPr>
  </w:style>
  <w:style w:type="paragraph" w:customStyle="1" w:styleId="71">
    <w:name w:val="正文_0"/>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customStyle="1" w:styleId="72">
    <w:name w:val="批注主题 Char1"/>
    <w:link w:val="34"/>
    <w:qFormat/>
    <w:uiPriority w:val="99"/>
    <w:rPr>
      <w:rFonts w:ascii="Times New Roman" w:hAnsi="Times New Roman" w:eastAsia="宋体" w:cs="Times New Roman"/>
      <w:b/>
      <w:bCs/>
      <w:szCs w:val="24"/>
    </w:rPr>
  </w:style>
  <w:style w:type="character" w:customStyle="1" w:styleId="73">
    <w:name w:val="页脚 Char"/>
    <w:link w:val="23"/>
    <w:qFormat/>
    <w:uiPriority w:val="99"/>
    <w:rPr>
      <w:rFonts w:ascii="Times New Roman" w:hAnsi="Times New Roman" w:eastAsia="宋体" w:cs="Times New Roman"/>
      <w:sz w:val="18"/>
      <w:szCs w:val="20"/>
    </w:rPr>
  </w:style>
  <w:style w:type="character" w:customStyle="1" w:styleId="74">
    <w:name w:val="批注框文本 Char"/>
    <w:link w:val="22"/>
    <w:qFormat/>
    <w:uiPriority w:val="99"/>
    <w:rPr>
      <w:rFonts w:ascii="Times New Roman" w:hAnsi="Times New Roman" w:eastAsia="宋体" w:cs="Times New Roman"/>
      <w:sz w:val="18"/>
      <w:szCs w:val="18"/>
    </w:rPr>
  </w:style>
  <w:style w:type="character" w:customStyle="1" w:styleId="75">
    <w:name w:val="正文文本缩进 3 Char"/>
    <w:link w:val="27"/>
    <w:qFormat/>
    <w:uiPriority w:val="0"/>
    <w:rPr>
      <w:rFonts w:ascii="Times New Roman" w:hAnsi="Times New Roman" w:eastAsia="宋体" w:cs="Times New Roman"/>
      <w:sz w:val="16"/>
      <w:szCs w:val="16"/>
    </w:rPr>
  </w:style>
  <w:style w:type="character" w:customStyle="1" w:styleId="76">
    <w:name w:val="标题 6 Char"/>
    <w:link w:val="12"/>
    <w:qFormat/>
    <w:uiPriority w:val="0"/>
    <w:rPr>
      <w:rFonts w:ascii="Calibri Light" w:hAnsi="Calibri Light" w:eastAsia="宋体" w:cs="Times New Roman"/>
      <w:b/>
      <w:bCs/>
      <w:sz w:val="24"/>
      <w:szCs w:val="24"/>
    </w:rPr>
  </w:style>
  <w:style w:type="character" w:customStyle="1" w:styleId="77">
    <w:name w:val="文档结构图 Char"/>
    <w:link w:val="15"/>
    <w:semiHidden/>
    <w:qFormat/>
    <w:uiPriority w:val="99"/>
    <w:rPr>
      <w:rFonts w:ascii="Microsoft YaHei UI" w:hAnsi="Times New Roman" w:eastAsia="Microsoft YaHei UI" w:cs="Times New Roman"/>
      <w:sz w:val="18"/>
      <w:szCs w:val="18"/>
    </w:rPr>
  </w:style>
  <w:style w:type="character" w:customStyle="1" w:styleId="78">
    <w:name w:val="副标题 Char"/>
    <w:link w:val="26"/>
    <w:qFormat/>
    <w:uiPriority w:val="0"/>
    <w:rPr>
      <w:rFonts w:ascii="Calibri Light" w:hAnsi="Calibri Light" w:eastAsia="宋体" w:cs="Times New Roman"/>
      <w:b/>
      <w:bCs/>
      <w:kern w:val="28"/>
      <w:sz w:val="32"/>
      <w:szCs w:val="32"/>
    </w:rPr>
  </w:style>
  <w:style w:type="character" w:customStyle="1" w:styleId="79">
    <w:name w:val="标题 4 Char"/>
    <w:link w:val="10"/>
    <w:qFormat/>
    <w:uiPriority w:val="0"/>
    <w:rPr>
      <w:rFonts w:ascii="Calibri Light" w:hAnsi="Calibri Light" w:eastAsia="宋体" w:cs="Times New Roman"/>
      <w:b/>
      <w:bCs/>
      <w:sz w:val="28"/>
      <w:szCs w:val="28"/>
    </w:rPr>
  </w:style>
  <w:style w:type="character" w:customStyle="1" w:styleId="80">
    <w:name w:val="标题 Char1"/>
    <w:qFormat/>
    <w:uiPriority w:val="0"/>
    <w:rPr>
      <w:rFonts w:ascii="Calibri Light" w:hAnsi="Calibri Light" w:eastAsia="宋体" w:cs="Times New Roman"/>
      <w:b/>
      <w:bCs/>
      <w:sz w:val="32"/>
      <w:szCs w:val="32"/>
    </w:rPr>
  </w:style>
  <w:style w:type="character" w:customStyle="1" w:styleId="81">
    <w:name w:val="批注文字 Char"/>
    <w:qFormat/>
    <w:uiPriority w:val="0"/>
    <w:rPr>
      <w:rFonts w:ascii="Times New Roman" w:hAnsi="Times New Roman" w:eastAsia="宋体" w:cs="Times New Roman"/>
      <w:szCs w:val="24"/>
    </w:rPr>
  </w:style>
  <w:style w:type="character" w:customStyle="1" w:styleId="82">
    <w:name w:val="标题 5 Char"/>
    <w:link w:val="11"/>
    <w:qFormat/>
    <w:uiPriority w:val="0"/>
    <w:rPr>
      <w:rFonts w:ascii="Times New Roman" w:hAnsi="Times New Roman" w:eastAsia="宋体" w:cs="Times New Roman"/>
      <w:b/>
      <w:bCs/>
      <w:sz w:val="28"/>
      <w:szCs w:val="28"/>
    </w:rPr>
  </w:style>
  <w:style w:type="character" w:customStyle="1" w:styleId="83">
    <w:name w:val="Table Text Char Char Char"/>
    <w:qFormat/>
    <w:uiPriority w:val="0"/>
    <w:rPr>
      <w:rFonts w:ascii="Arial" w:hAnsi="Arial" w:eastAsia="宋体" w:cs="Arial"/>
      <w:sz w:val="18"/>
      <w:szCs w:val="18"/>
      <w:lang w:val="en-US" w:eastAsia="zh-CN" w:bidi="ar-SA"/>
    </w:rPr>
  </w:style>
  <w:style w:type="character" w:customStyle="1" w:styleId="84">
    <w:name w:val="正文首行缩进 Char"/>
    <w:link w:val="2"/>
    <w:qFormat/>
    <w:uiPriority w:val="0"/>
    <w:rPr>
      <w:rFonts w:ascii="Times New Roman" w:hAnsi="Times New Roman" w:eastAsia="宋体" w:cs="Times New Roman"/>
      <w:szCs w:val="24"/>
    </w:rPr>
  </w:style>
  <w:style w:type="character" w:customStyle="1" w:styleId="85">
    <w:name w:val="正文文本 Char"/>
    <w:link w:val="3"/>
    <w:qFormat/>
    <w:uiPriority w:val="0"/>
    <w:rPr>
      <w:rFonts w:ascii="Times New Roman" w:hAnsi="Times New Roman" w:eastAsia="宋体" w:cs="Times New Roman"/>
      <w:szCs w:val="24"/>
    </w:rPr>
  </w:style>
  <w:style w:type="character" w:customStyle="1" w:styleId="86">
    <w:name w:val="纯文本 Char"/>
    <w:qFormat/>
    <w:uiPriority w:val="0"/>
    <w:rPr>
      <w:rFonts w:ascii="宋体" w:hAnsi="Courier New" w:eastAsia="宋体" w:cs="Courier New"/>
      <w:szCs w:val="21"/>
    </w:rPr>
  </w:style>
  <w:style w:type="character" w:customStyle="1" w:styleId="87">
    <w:name w:val="纯文本 Char2"/>
    <w:link w:val="20"/>
    <w:qFormat/>
    <w:uiPriority w:val="0"/>
    <w:rPr>
      <w:rFonts w:ascii="宋体" w:hAnsi="Courier New" w:eastAsia="宋体" w:cs="Times New Roman"/>
      <w:szCs w:val="20"/>
    </w:rPr>
  </w:style>
  <w:style w:type="character" w:customStyle="1" w:styleId="88">
    <w:name w:val="Table Text Char"/>
    <w:qFormat/>
    <w:uiPriority w:val="0"/>
    <w:rPr>
      <w:rFonts w:ascii="Arial" w:hAnsi="Arial" w:eastAsia="宋体"/>
      <w:sz w:val="18"/>
      <w:lang w:val="en-US" w:eastAsia="zh-CN" w:bidi="ar-SA"/>
    </w:rPr>
  </w:style>
  <w:style w:type="character" w:customStyle="1" w:styleId="89">
    <w:name w:val="无间隔 Char"/>
    <w:link w:val="61"/>
    <w:qFormat/>
    <w:uiPriority w:val="1"/>
    <w:rPr>
      <w:rFonts w:ascii="Times New Roman" w:hAnsi="Times New Roman"/>
      <w:kern w:val="2"/>
      <w:sz w:val="21"/>
      <w:szCs w:val="24"/>
      <w:lang w:val="en-US" w:eastAsia="zh-CN" w:bidi="ar-SA"/>
    </w:rPr>
  </w:style>
  <w:style w:type="character" w:customStyle="1" w:styleId="90">
    <w:name w:val="页眉 Char1"/>
    <w:link w:val="24"/>
    <w:qFormat/>
    <w:uiPriority w:val="99"/>
    <w:rPr>
      <w:rFonts w:ascii="Times New Roman" w:hAnsi="Times New Roman" w:eastAsia="宋体" w:cs="Times New Roman"/>
      <w:sz w:val="18"/>
      <w:szCs w:val="20"/>
    </w:rPr>
  </w:style>
  <w:style w:type="character" w:customStyle="1" w:styleId="91">
    <w:name w:val="标题 7 Char"/>
    <w:link w:val="13"/>
    <w:semiHidden/>
    <w:qFormat/>
    <w:uiPriority w:val="9"/>
    <w:rPr>
      <w:rFonts w:ascii="Times New Roman" w:hAnsi="Times New Roman"/>
      <w:b/>
      <w:bCs/>
      <w:kern w:val="2"/>
      <w:sz w:val="24"/>
      <w:szCs w:val="24"/>
    </w:rPr>
  </w:style>
  <w:style w:type="character" w:customStyle="1" w:styleId="92">
    <w:name w:val="批注文字 Char1"/>
    <w:link w:val="16"/>
    <w:qFormat/>
    <w:uiPriority w:val="0"/>
    <w:rPr>
      <w:rFonts w:ascii="Times New Roman" w:hAnsi="Times New Roman" w:eastAsia="宋体" w:cs="Times New Roman"/>
      <w:szCs w:val="24"/>
    </w:rPr>
  </w:style>
  <w:style w:type="character" w:customStyle="1" w:styleId="93">
    <w:name w:val="标题 Char"/>
    <w:link w:val="33"/>
    <w:qFormat/>
    <w:uiPriority w:val="0"/>
    <w:rPr>
      <w:rFonts w:ascii="Cambria" w:hAnsi="Cambria"/>
      <w:b/>
      <w:bCs/>
      <w:sz w:val="36"/>
      <w:szCs w:val="32"/>
    </w:rPr>
  </w:style>
  <w:style w:type="character" w:customStyle="1" w:styleId="94">
    <w:name w:val="正文文本缩进 Char"/>
    <w:link w:val="17"/>
    <w:qFormat/>
    <w:uiPriority w:val="0"/>
    <w:rPr>
      <w:rFonts w:ascii="宋体" w:hAnsi="宋体" w:eastAsia="宋体" w:cs="Times New Roman"/>
      <w:szCs w:val="21"/>
    </w:rPr>
  </w:style>
  <w:style w:type="character" w:customStyle="1" w:styleId="95">
    <w:name w:val="日期 Char"/>
    <w:link w:val="21"/>
    <w:qFormat/>
    <w:uiPriority w:val="0"/>
    <w:rPr>
      <w:rFonts w:ascii="Times New Roman" w:hAnsi="Times New Roman" w:eastAsia="宋体" w:cs="Times New Roman"/>
      <w:szCs w:val="24"/>
    </w:rPr>
  </w:style>
  <w:style w:type="character" w:customStyle="1" w:styleId="96">
    <w:name w:val="批注主题 Char"/>
    <w:semiHidden/>
    <w:qFormat/>
    <w:uiPriority w:val="99"/>
    <w:rPr>
      <w:rFonts w:ascii="Times New Roman" w:hAnsi="Times New Roman" w:eastAsia="宋体" w:cs="Times New Roman"/>
      <w:b/>
      <w:bCs/>
      <w:szCs w:val="24"/>
    </w:rPr>
  </w:style>
  <w:style w:type="paragraph" w:customStyle="1" w:styleId="97">
    <w:name w:val="p16"/>
    <w:basedOn w:val="1"/>
    <w:qFormat/>
    <w:uiPriority w:val="0"/>
    <w:rPr>
      <w:rFonts w:ascii="宋体" w:hAnsi="宋体" w:cs="宋体"/>
      <w:kern w:val="0"/>
      <w:szCs w:val="21"/>
    </w:rPr>
  </w:style>
  <w:style w:type="paragraph" w:styleId="98">
    <w:name w:val="List Paragraph"/>
    <w:basedOn w:val="1"/>
    <w:link w:val="130"/>
    <w:unhideWhenUsed/>
    <w:qFormat/>
    <w:uiPriority w:val="34"/>
    <w:pPr>
      <w:ind w:firstLine="420" w:firstLineChars="200"/>
    </w:pPr>
  </w:style>
  <w:style w:type="paragraph" w:customStyle="1" w:styleId="99">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00">
    <w:name w:val="列出段落1"/>
    <w:basedOn w:val="1"/>
    <w:qFormat/>
    <w:uiPriority w:val="0"/>
    <w:pPr>
      <w:ind w:firstLine="420" w:firstLineChars="200"/>
    </w:pPr>
    <w:rPr>
      <w:rFonts w:ascii="Calibri" w:hAnsi="Calibri" w:cs="黑体"/>
      <w:szCs w:val="22"/>
    </w:rPr>
  </w:style>
  <w:style w:type="paragraph" w:styleId="101">
    <w:name w:val="No Spacing"/>
    <w:link w:val="113"/>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2">
    <w:name w:val="段 Char Char"/>
    <w:link w:val="6"/>
    <w:qFormat/>
    <w:uiPriority w:val="0"/>
    <w:rPr>
      <w:rFonts w:ascii="宋体"/>
      <w:sz w:val="21"/>
      <w:lang w:val="en-US" w:eastAsia="zh-CN" w:bidi="ar-SA"/>
    </w:rPr>
  </w:style>
  <w:style w:type="character" w:customStyle="1" w:styleId="103">
    <w:name w:val="三级条标题 Char Char"/>
    <w:link w:val="104"/>
    <w:qFormat/>
    <w:uiPriority w:val="0"/>
    <w:rPr>
      <w:rFonts w:ascii="黑体" w:eastAsia="黑体"/>
      <w:sz w:val="21"/>
    </w:rPr>
  </w:style>
  <w:style w:type="paragraph" w:customStyle="1" w:styleId="104">
    <w:name w:val="三级条标题"/>
    <w:basedOn w:val="105"/>
    <w:next w:val="6"/>
    <w:link w:val="103"/>
    <w:qFormat/>
    <w:uiPriority w:val="0"/>
    <w:pPr>
      <w:tabs>
        <w:tab w:val="left" w:pos="720"/>
        <w:tab w:val="left" w:pos="992"/>
      </w:tabs>
      <w:ind w:left="992" w:hanging="992"/>
      <w:outlineLvl w:val="4"/>
    </w:pPr>
  </w:style>
  <w:style w:type="paragraph" w:customStyle="1" w:styleId="105">
    <w:name w:val="二级条标题"/>
    <w:basedOn w:val="4"/>
    <w:next w:val="6"/>
    <w:link w:val="106"/>
    <w:qFormat/>
    <w:uiPriority w:val="0"/>
    <w:pPr>
      <w:outlineLvl w:val="3"/>
    </w:pPr>
  </w:style>
  <w:style w:type="character" w:customStyle="1" w:styleId="106">
    <w:name w:val="二级条标题 Char Char"/>
    <w:link w:val="105"/>
    <w:qFormat/>
    <w:uiPriority w:val="0"/>
    <w:rPr>
      <w:rFonts w:ascii="黑体" w:eastAsia="黑体"/>
      <w:sz w:val="21"/>
    </w:rPr>
  </w:style>
  <w:style w:type="character" w:customStyle="1" w:styleId="107">
    <w:name w:val="章标题 Char Char"/>
    <w:link w:val="5"/>
    <w:qFormat/>
    <w:uiPriority w:val="0"/>
    <w:rPr>
      <w:rFonts w:ascii="黑体" w:eastAsia="黑体"/>
      <w:sz w:val="21"/>
      <w:lang w:val="en-US" w:eastAsia="zh-CN" w:bidi="ar-SA"/>
    </w:rPr>
  </w:style>
  <w:style w:type="character" w:customStyle="1" w:styleId="108">
    <w:name w:val="一级条标题 Char Char"/>
    <w:link w:val="4"/>
    <w:qFormat/>
    <w:uiPriority w:val="0"/>
    <w:rPr>
      <w:rFonts w:ascii="黑体" w:eastAsia="黑体"/>
      <w:sz w:val="21"/>
    </w:rPr>
  </w:style>
  <w:style w:type="paragraph" w:customStyle="1" w:styleId="109">
    <w:name w:val="正文图标题"/>
    <w:next w:val="6"/>
    <w:qFormat/>
    <w:uiPriority w:val="0"/>
    <w:pPr>
      <w:ind w:left="360" w:hanging="360"/>
      <w:jc w:val="center"/>
    </w:pPr>
    <w:rPr>
      <w:rFonts w:ascii="黑体" w:hAnsi="Times New Roman" w:eastAsia="黑体" w:cs="Times New Roman"/>
      <w:sz w:val="21"/>
      <w:lang w:val="en-US" w:eastAsia="zh-CN" w:bidi="ar-SA"/>
    </w:rPr>
  </w:style>
  <w:style w:type="paragraph" w:customStyle="1" w:styleId="110">
    <w:name w:val="正文表标题"/>
    <w:next w:val="6"/>
    <w:qFormat/>
    <w:uiPriority w:val="0"/>
    <w:pPr>
      <w:ind w:left="360" w:hanging="360"/>
      <w:jc w:val="center"/>
    </w:pPr>
    <w:rPr>
      <w:rFonts w:ascii="黑体" w:hAnsi="Times New Roman" w:eastAsia="黑体" w:cs="Times New Roman"/>
      <w:sz w:val="21"/>
      <w:lang w:val="en-US" w:eastAsia="zh-CN" w:bidi="ar-SA"/>
    </w:rPr>
  </w:style>
  <w:style w:type="paragraph" w:customStyle="1" w:styleId="111">
    <w:name w:val="目次、标准名称标题"/>
    <w:basedOn w:val="1"/>
    <w:next w:val="6"/>
    <w:qFormat/>
    <w:uiPriority w:val="0"/>
    <w:pPr>
      <w:shd w:val="clear" w:color="FFFFFF" w:fill="FFFFFF"/>
      <w:spacing w:before="640" w:after="560" w:line="460" w:lineRule="exact"/>
      <w:jc w:val="center"/>
      <w:outlineLvl w:val="0"/>
    </w:pPr>
    <w:rPr>
      <w:rFonts w:ascii="黑体" w:eastAsia="黑体"/>
      <w:kern w:val="0"/>
      <w:sz w:val="32"/>
      <w:szCs w:val="20"/>
    </w:rPr>
  </w:style>
  <w:style w:type="character" w:customStyle="1" w:styleId="112">
    <w:name w:val="纯文本 Char1"/>
    <w:qFormat/>
    <w:uiPriority w:val="0"/>
    <w:rPr>
      <w:rFonts w:ascii="宋体" w:hAnsi="Courier New" w:eastAsia="宋体" w:cs="Courier New"/>
      <w:sz w:val="21"/>
      <w:szCs w:val="21"/>
    </w:rPr>
  </w:style>
  <w:style w:type="character" w:customStyle="1" w:styleId="113">
    <w:name w:val="无间隔 Char1"/>
    <w:link w:val="101"/>
    <w:qFormat/>
    <w:uiPriority w:val="1"/>
    <w:rPr>
      <w:rFonts w:ascii="Times New Roman" w:hAnsi="Times New Roman"/>
      <w:kern w:val="2"/>
      <w:sz w:val="21"/>
      <w:szCs w:val="24"/>
      <w:lang w:bidi="ar-SA"/>
    </w:rPr>
  </w:style>
  <w:style w:type="character" w:customStyle="1" w:styleId="114">
    <w:name w:val="HTML 预设格式 Char"/>
    <w:link w:val="31"/>
    <w:qFormat/>
    <w:uiPriority w:val="99"/>
    <w:rPr>
      <w:rFonts w:ascii="宋体" w:hAnsi="宋体" w:cs="宋体"/>
      <w:sz w:val="24"/>
      <w:szCs w:val="24"/>
    </w:rPr>
  </w:style>
  <w:style w:type="character" w:customStyle="1" w:styleId="115">
    <w:name w:val="页眉 Char"/>
    <w:qFormat/>
    <w:uiPriority w:val="99"/>
    <w:rPr>
      <w:lang w:eastAsia="zh-CN"/>
    </w:rPr>
  </w:style>
  <w:style w:type="character" w:customStyle="1" w:styleId="116">
    <w:name w:val="textcontents"/>
    <w:qFormat/>
    <w:uiPriority w:val="0"/>
    <w:rPr>
      <w:rFonts w:cs="Times New Roman"/>
    </w:rPr>
  </w:style>
  <w:style w:type="character" w:customStyle="1" w:styleId="117">
    <w:name w:val="标题4 Char Char"/>
    <w:link w:val="118"/>
    <w:qFormat/>
    <w:uiPriority w:val="0"/>
    <w:rPr>
      <w:rFonts w:ascii="Arial" w:hAnsi="Arial"/>
      <w:b/>
      <w:bCs/>
      <w:sz w:val="24"/>
      <w:szCs w:val="32"/>
    </w:rPr>
  </w:style>
  <w:style w:type="paragraph" w:customStyle="1" w:styleId="118">
    <w:name w:val="标题4"/>
    <w:basedOn w:val="8"/>
    <w:next w:val="18"/>
    <w:link w:val="117"/>
    <w:qFormat/>
    <w:uiPriority w:val="0"/>
    <w:pPr>
      <w:numPr>
        <w:ilvl w:val="0"/>
        <w:numId w:val="0"/>
      </w:numPr>
      <w:tabs>
        <w:tab w:val="clear" w:pos="425"/>
        <w:tab w:val="clear" w:pos="720"/>
      </w:tabs>
      <w:snapToGrid/>
      <w:spacing w:before="260" w:after="260" w:line="413" w:lineRule="auto"/>
    </w:pPr>
    <w:rPr>
      <w:rFonts w:ascii="Arial" w:hAnsi="Arial"/>
      <w:b/>
      <w:bCs/>
      <w:kern w:val="0"/>
      <w:sz w:val="24"/>
      <w:szCs w:val="32"/>
    </w:rPr>
  </w:style>
  <w:style w:type="character" w:customStyle="1" w:styleId="119">
    <w:name w:val="tabg"/>
    <w:qFormat/>
    <w:uiPriority w:val="0"/>
    <w:rPr>
      <w:rFonts w:ascii="微软雅黑" w:hAnsi="微软雅黑" w:eastAsia="微软雅黑" w:cs="微软雅黑"/>
      <w:color w:val="FFFFFF"/>
      <w:sz w:val="27"/>
      <w:szCs w:val="27"/>
    </w:rPr>
  </w:style>
  <w:style w:type="paragraph" w:customStyle="1" w:styleId="120">
    <w:name w:val="xl154"/>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textAlignment w:val="center"/>
    </w:pPr>
    <w:rPr>
      <w:rFonts w:ascii="Arial" w:hAnsi="Arial" w:cs="Arial"/>
      <w:b/>
      <w:bCs/>
      <w:i/>
      <w:iCs/>
      <w:kern w:val="0"/>
      <w:sz w:val="20"/>
      <w:szCs w:val="20"/>
    </w:rPr>
  </w:style>
  <w:style w:type="paragraph" w:customStyle="1" w:styleId="121">
    <w:name w:val="表内文字  居左"/>
    <w:basedOn w:val="1"/>
    <w:qFormat/>
    <w:uiPriority w:val="0"/>
    <w:rPr>
      <w:snapToGrid w:val="0"/>
      <w:szCs w:val="20"/>
    </w:rPr>
  </w:style>
  <w:style w:type="paragraph" w:customStyle="1" w:styleId="122">
    <w:name w:val="_Style 32"/>
    <w:qFormat/>
    <w:uiPriority w:val="1"/>
    <w:pPr>
      <w:widowControl w:val="0"/>
      <w:jc w:val="both"/>
    </w:pPr>
    <w:rPr>
      <w:rFonts w:ascii="Calibri" w:hAnsi="Calibri" w:eastAsia="微软雅黑" w:cs="Times New Roman"/>
      <w:kern w:val="2"/>
      <w:sz w:val="21"/>
      <w:szCs w:val="24"/>
      <w:lang w:val="en-US" w:eastAsia="zh-CN" w:bidi="ar-SA"/>
    </w:rPr>
  </w:style>
  <w:style w:type="character" w:customStyle="1" w:styleId="123">
    <w:name w:val="正文缩进 Char"/>
    <w:link w:val="14"/>
    <w:qFormat/>
    <w:uiPriority w:val="0"/>
    <w:rPr>
      <w:kern w:val="2"/>
      <w:sz w:val="21"/>
      <w:szCs w:val="24"/>
    </w:rPr>
  </w:style>
  <w:style w:type="character" w:customStyle="1" w:styleId="124">
    <w:name w:val="font41"/>
    <w:qFormat/>
    <w:uiPriority w:val="0"/>
    <w:rPr>
      <w:rFonts w:hint="default" w:ascii="GE Inspira Pitch" w:hAnsi="GE Inspira Pitch" w:eastAsia="GE Inspira Pitch" w:cs="GE Inspira Pitch"/>
      <w:color w:val="FF0000"/>
      <w:sz w:val="22"/>
      <w:szCs w:val="22"/>
      <w:u w:val="none"/>
    </w:rPr>
  </w:style>
  <w:style w:type="character" w:customStyle="1" w:styleId="125">
    <w:name w:val="日期 Char1"/>
    <w:semiHidden/>
    <w:qFormat/>
    <w:uiPriority w:val="99"/>
    <w:rPr>
      <w:kern w:val="2"/>
      <w:sz w:val="21"/>
      <w:szCs w:val="24"/>
    </w:rPr>
  </w:style>
  <w:style w:type="character" w:customStyle="1" w:styleId="126">
    <w:name w:val="font21"/>
    <w:qFormat/>
    <w:uiPriority w:val="0"/>
    <w:rPr>
      <w:rFonts w:hint="default" w:ascii="GE Inspira Pitch" w:hAnsi="GE Inspira Pitch" w:eastAsia="GE Inspira Pitch" w:cs="GE Inspira Pitch"/>
      <w:b/>
      <w:color w:val="000000"/>
      <w:sz w:val="22"/>
      <w:szCs w:val="22"/>
      <w:u w:val="none"/>
    </w:rPr>
  </w:style>
  <w:style w:type="character" w:customStyle="1" w:styleId="127">
    <w:name w:val="font01"/>
    <w:qFormat/>
    <w:uiPriority w:val="0"/>
    <w:rPr>
      <w:rFonts w:hint="eastAsia" w:ascii="宋体" w:hAnsi="宋体" w:eastAsia="宋体" w:cs="宋体"/>
      <w:color w:val="000000"/>
      <w:sz w:val="22"/>
      <w:szCs w:val="22"/>
      <w:u w:val="none"/>
    </w:rPr>
  </w:style>
  <w:style w:type="character" w:customStyle="1" w:styleId="128">
    <w:name w:val="font61"/>
    <w:qFormat/>
    <w:uiPriority w:val="0"/>
    <w:rPr>
      <w:rFonts w:hint="default" w:ascii="GE Inspira Pitch" w:hAnsi="GE Inspira Pitch" w:eastAsia="GE Inspira Pitch" w:cs="GE Inspira Pitch"/>
      <w:color w:val="000000"/>
      <w:sz w:val="22"/>
      <w:szCs w:val="22"/>
      <w:u w:val="none"/>
    </w:rPr>
  </w:style>
  <w:style w:type="character" w:customStyle="1" w:styleId="129">
    <w:name w:val="font71"/>
    <w:qFormat/>
    <w:uiPriority w:val="0"/>
    <w:rPr>
      <w:rFonts w:hint="default" w:ascii="幼圆" w:hAnsi="幼圆" w:eastAsia="幼圆" w:cs="幼圆"/>
      <w:color w:val="000000"/>
      <w:sz w:val="22"/>
      <w:szCs w:val="22"/>
      <w:u w:val="none"/>
    </w:rPr>
  </w:style>
  <w:style w:type="character" w:customStyle="1" w:styleId="130">
    <w:name w:val="列出段落 Char"/>
    <w:link w:val="98"/>
    <w:qFormat/>
    <w:uiPriority w:val="34"/>
    <w:rPr>
      <w:kern w:val="2"/>
      <w:sz w:val="21"/>
      <w:szCs w:val="24"/>
    </w:rPr>
  </w:style>
  <w:style w:type="character" w:customStyle="1" w:styleId="131">
    <w:name w:val="font51"/>
    <w:qFormat/>
    <w:uiPriority w:val="0"/>
    <w:rPr>
      <w:rFonts w:hint="default" w:ascii="幼圆" w:hAnsi="幼圆" w:eastAsia="幼圆" w:cs="幼圆"/>
      <w:color w:val="FF0000"/>
      <w:sz w:val="22"/>
      <w:szCs w:val="22"/>
      <w:u w:val="none"/>
    </w:rPr>
  </w:style>
  <w:style w:type="character" w:customStyle="1" w:styleId="132">
    <w:name w:val="font101"/>
    <w:qFormat/>
    <w:uiPriority w:val="0"/>
    <w:rPr>
      <w:rFonts w:hint="default" w:ascii="GE Inspira Pitch" w:hAnsi="GE Inspira Pitch" w:eastAsia="GE Inspira Pitch" w:cs="GE Inspira Pitch"/>
      <w:color w:val="0000FF"/>
      <w:sz w:val="22"/>
      <w:szCs w:val="22"/>
      <w:u w:val="none"/>
    </w:rPr>
  </w:style>
  <w:style w:type="character" w:customStyle="1" w:styleId="133">
    <w:name w:val="font91"/>
    <w:qFormat/>
    <w:uiPriority w:val="0"/>
    <w:rPr>
      <w:rFonts w:hint="default" w:ascii="幼圆" w:hAnsi="幼圆" w:eastAsia="幼圆" w:cs="幼圆"/>
      <w:b/>
      <w:color w:val="000000"/>
      <w:sz w:val="32"/>
      <w:szCs w:val="32"/>
      <w:u w:val="none"/>
    </w:rPr>
  </w:style>
  <w:style w:type="character" w:customStyle="1" w:styleId="134">
    <w:name w:val="font11"/>
    <w:qFormat/>
    <w:uiPriority w:val="0"/>
    <w:rPr>
      <w:rFonts w:hint="eastAsia" w:ascii="宋体" w:hAnsi="宋体" w:eastAsia="宋体" w:cs="宋体"/>
      <w:color w:val="333333"/>
      <w:sz w:val="13"/>
      <w:szCs w:val="13"/>
      <w:u w:val="none"/>
    </w:rPr>
  </w:style>
  <w:style w:type="character" w:customStyle="1" w:styleId="135">
    <w:name w:val="font31"/>
    <w:qFormat/>
    <w:uiPriority w:val="0"/>
    <w:rPr>
      <w:rFonts w:ascii="幼圆" w:hAnsi="幼圆" w:eastAsia="幼圆" w:cs="幼圆"/>
      <w:b/>
      <w:color w:val="000000"/>
      <w:sz w:val="22"/>
      <w:szCs w:val="22"/>
      <w:u w:val="none"/>
    </w:rPr>
  </w:style>
  <w:style w:type="paragraph" w:customStyle="1" w:styleId="136">
    <w:name w:val="新正文"/>
    <w:basedOn w:val="1"/>
    <w:qFormat/>
    <w:uiPriority w:val="0"/>
    <w:pPr>
      <w:spacing w:line="440" w:lineRule="exact"/>
    </w:pPr>
    <w:rPr>
      <w:rFonts w:hAnsi="宋体" w:cs="Arial"/>
      <w:sz w:val="28"/>
      <w:szCs w:val="28"/>
    </w:rPr>
  </w:style>
  <w:style w:type="paragraph" w:customStyle="1" w:styleId="137">
    <w:name w:val="Char"/>
    <w:basedOn w:val="1"/>
    <w:qFormat/>
    <w:uiPriority w:val="0"/>
  </w:style>
  <w:style w:type="paragraph" w:customStyle="1" w:styleId="138">
    <w:name w:val="List Paragraph1"/>
    <w:basedOn w:val="1"/>
    <w:qFormat/>
    <w:uiPriority w:val="0"/>
    <w:pPr>
      <w:ind w:firstLine="420" w:firstLineChars="200"/>
    </w:pPr>
    <w:rPr>
      <w:szCs w:val="20"/>
    </w:rPr>
  </w:style>
  <w:style w:type="paragraph" w:customStyle="1" w:styleId="139">
    <w:name w:val="Free Form"/>
    <w:qFormat/>
    <w:uiPriority w:val="0"/>
    <w:rPr>
      <w:rFonts w:ascii="Helvetica" w:hAnsi="Helvetica" w:eastAsia="ヒラギノ角ゴ Pro W3" w:cs="Times New Roman"/>
      <w:color w:val="000000"/>
      <w:sz w:val="24"/>
      <w:lang w:val="en-US" w:eastAsia="en-US" w:bidi="ar-SA"/>
    </w:rPr>
  </w:style>
  <w:style w:type="paragraph" w:customStyle="1" w:styleId="140">
    <w:name w:val="Char Char"/>
    <w:basedOn w:val="1"/>
    <w:qFormat/>
    <w:uiPriority w:val="0"/>
    <w:pPr>
      <w:spacing w:after="160" w:line="240" w:lineRule="exact"/>
    </w:pPr>
  </w:style>
  <w:style w:type="paragraph" w:customStyle="1" w:styleId="141">
    <w:name w:val="Body"/>
    <w:qFormat/>
    <w:uiPriority w:val="0"/>
    <w:rPr>
      <w:rFonts w:ascii="Helvetica" w:hAnsi="Helvetica" w:eastAsia="ヒラギノ角ゴ Pro W3" w:cs="Times New Roman"/>
      <w:color w:val="000000"/>
      <w:sz w:val="24"/>
      <w:lang w:val="en-US" w:eastAsia="en-US" w:bidi="ar-SA"/>
    </w:rPr>
  </w:style>
  <w:style w:type="character" w:customStyle="1" w:styleId="142">
    <w:name w:val="apple-converted-space"/>
    <w:qFormat/>
    <w:uiPriority w:val="0"/>
  </w:style>
  <w:style w:type="paragraph" w:customStyle="1" w:styleId="143">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64050-A243-4FB9-A012-1E402541195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5456</Words>
  <Characters>31105</Characters>
  <Lines>259</Lines>
  <Paragraphs>72</Paragraphs>
  <TotalTime>8</TotalTime>
  <ScaleCrop>false</ScaleCrop>
  <LinksUpToDate>false</LinksUpToDate>
  <CharactersWithSpaces>36489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2021-05-27T10:07:00Z</dcterms:created>
  <dc:creator>李青</dc:creator>
  <cp:lastModifiedBy>heart ....不离不弃</cp:lastModifiedBy>
  <cp:lastPrinted>2021-11-22T05:09:00Z</cp:lastPrinted>
  <dcterms:modified xsi:type="dcterms:W3CDTF">2021-12-03T09:47:19Z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BF335541C6DC4CE29ACC47D1B9E8F267</vt:lpwstr>
  </property>
</Properties>
</file>