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2112C">
      <w:pPr>
        <w:pStyle w:val="9"/>
        <w:spacing w:before="156" w:beforeLines="50" w:line="560" w:lineRule="exact"/>
        <w:jc w:val="center"/>
        <w:rPr>
          <w:rFonts w:ascii="隶书" w:hAnsi="华文中宋" w:eastAsia="隶书"/>
          <w:sz w:val="84"/>
          <w:szCs w:val="84"/>
        </w:rPr>
      </w:pPr>
    </w:p>
    <w:p w14:paraId="7A063053">
      <w:pPr>
        <w:pStyle w:val="9"/>
        <w:spacing w:before="156" w:beforeLines="50" w:line="560" w:lineRule="exact"/>
        <w:jc w:val="center"/>
        <w:rPr>
          <w:rFonts w:ascii="隶书" w:hAnsi="华文中宋" w:eastAsia="隶书"/>
          <w:sz w:val="84"/>
          <w:szCs w:val="84"/>
        </w:rPr>
      </w:pPr>
    </w:p>
    <w:p w14:paraId="7B061D42">
      <w:pPr>
        <w:pStyle w:val="9"/>
        <w:spacing w:before="156" w:beforeLines="50" w:line="560" w:lineRule="exact"/>
        <w:jc w:val="center"/>
        <w:rPr>
          <w:rFonts w:ascii="隶书" w:hAnsi="华文中宋" w:eastAsia="隶书"/>
          <w:sz w:val="84"/>
          <w:szCs w:val="84"/>
        </w:rPr>
      </w:pPr>
    </w:p>
    <w:p w14:paraId="143C0F5E">
      <w:pPr>
        <w:pStyle w:val="9"/>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政府采购</w:t>
      </w:r>
    </w:p>
    <w:p w14:paraId="38199911">
      <w:pPr>
        <w:pStyle w:val="9"/>
        <w:spacing w:before="312" w:beforeLines="100" w:line="560" w:lineRule="exact"/>
        <w:jc w:val="center"/>
        <w:rPr>
          <w:rFonts w:ascii="华文中宋" w:hAnsi="华文中宋" w:eastAsia="华文中宋" w:cs="华文中宋"/>
          <w:sz w:val="84"/>
          <w:szCs w:val="84"/>
        </w:rPr>
      </w:pPr>
    </w:p>
    <w:p w14:paraId="60EFC9C0">
      <w:pPr>
        <w:pStyle w:val="9"/>
        <w:adjustRightInd w:val="0"/>
        <w:snapToGrid w:val="0"/>
        <w:spacing w:before="312" w:beforeLines="100" w:line="560" w:lineRule="exact"/>
        <w:jc w:val="center"/>
        <w:rPr>
          <w:rFonts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14:paraId="6A1A00A5">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1D2F3819">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27288C50">
      <w:pPr>
        <w:pStyle w:val="9"/>
        <w:adjustRightInd w:val="0"/>
        <w:snapToGrid w:val="0"/>
        <w:spacing w:before="312" w:beforeLines="100" w:line="560" w:lineRule="exact"/>
        <w:ind w:left="7043" w:leftChars="554" w:hanging="5880" w:hangingChars="700"/>
        <w:rPr>
          <w:rFonts w:ascii="华文中宋" w:hAnsi="华文中宋" w:eastAsia="华文中宋" w:cs="华文中宋"/>
          <w:sz w:val="84"/>
          <w:szCs w:val="84"/>
        </w:rPr>
      </w:pPr>
    </w:p>
    <w:p w14:paraId="3497B226">
      <w:pPr>
        <w:pStyle w:val="9"/>
        <w:adjustRightInd w:val="0"/>
        <w:snapToGrid w:val="0"/>
        <w:spacing w:before="312" w:beforeLines="100" w:line="560" w:lineRule="exact"/>
        <w:ind w:left="2563" w:leftChars="554" w:hanging="1400" w:hangingChars="700"/>
        <w:rPr>
          <w:rFonts w:ascii="Tahoma" w:hAnsi="Tahoma" w:cs="Tahoma"/>
          <w:sz w:val="20"/>
          <w:szCs w:val="20"/>
        </w:rPr>
      </w:pPr>
    </w:p>
    <w:p w14:paraId="4A637562">
      <w:pPr>
        <w:adjustRightInd w:val="0"/>
        <w:snapToGrid w:val="0"/>
        <w:spacing w:before="156" w:beforeLines="50" w:line="560" w:lineRule="exact"/>
        <w:rPr>
          <w:rFonts w:ascii="华文中宋" w:hAnsi="华文中宋" w:eastAsia="华文中宋" w:cs="华文中宋"/>
          <w:bCs/>
          <w:sz w:val="30"/>
          <w:szCs w:val="30"/>
          <w:highlight w:val="none"/>
        </w:rPr>
      </w:pPr>
      <w:r>
        <w:rPr>
          <w:rFonts w:hint="eastAsia" w:ascii="华文中宋" w:hAnsi="华文中宋" w:eastAsia="华文中宋" w:cs="华文中宋"/>
          <w:bCs/>
          <w:sz w:val="30"/>
          <w:szCs w:val="30"/>
          <w:highlight w:val="none"/>
        </w:rPr>
        <w:t>采购项目名称：</w:t>
      </w:r>
      <w:r>
        <w:rPr>
          <w:rFonts w:hint="eastAsia" w:ascii="华文中宋" w:hAnsi="华文中宋" w:eastAsia="华文中宋" w:cs="华文中宋"/>
          <w:bCs/>
          <w:color w:val="000000"/>
          <w:kern w:val="0"/>
          <w:sz w:val="30"/>
          <w:szCs w:val="30"/>
          <w:highlight w:val="none"/>
          <w:u w:val="single"/>
          <w:lang w:val="zh-CN"/>
        </w:rPr>
        <w:t>贵德县新街乡高原夏菜种植基地建设项目（货物采购）</w:t>
      </w:r>
    </w:p>
    <w:p w14:paraId="1C8B5F4D">
      <w:pPr>
        <w:autoSpaceDE w:val="0"/>
        <w:autoSpaceDN w:val="0"/>
        <w:adjustRightInd w:val="0"/>
        <w:spacing w:before="156" w:beforeLines="50" w:line="560" w:lineRule="exact"/>
        <w:jc w:val="left"/>
        <w:rPr>
          <w:rFonts w:ascii="华文中宋" w:hAnsi="华文中宋" w:eastAsia="华文中宋" w:cs="华文中宋"/>
          <w:bCs/>
          <w:color w:val="000000"/>
          <w:kern w:val="0"/>
          <w:sz w:val="30"/>
          <w:szCs w:val="30"/>
          <w:highlight w:val="none"/>
          <w:u w:val="single"/>
          <w:lang w:val="zh-CN"/>
        </w:rPr>
      </w:pPr>
      <w:r>
        <w:rPr>
          <w:rFonts w:hint="eastAsia" w:ascii="华文中宋" w:hAnsi="华文中宋" w:eastAsia="华文中宋" w:cs="华文中宋"/>
          <w:bCs/>
          <w:sz w:val="30"/>
          <w:szCs w:val="30"/>
          <w:highlight w:val="none"/>
        </w:rPr>
        <w:t>政府采购编号：</w:t>
      </w:r>
      <w:r>
        <w:rPr>
          <w:rFonts w:hint="eastAsia" w:ascii="华文中宋" w:hAnsi="华文中宋" w:eastAsia="华文中宋" w:cs="华文中宋"/>
          <w:bCs/>
          <w:color w:val="000000"/>
          <w:kern w:val="0"/>
          <w:sz w:val="30"/>
          <w:szCs w:val="30"/>
          <w:highlight w:val="none"/>
          <w:u w:val="single"/>
          <w:lang w:val="zh-CN"/>
        </w:rPr>
        <w:t>青海聚鑫</w:t>
      </w:r>
      <w:r>
        <w:rPr>
          <w:rFonts w:hint="eastAsia" w:ascii="华文中宋" w:hAnsi="华文中宋" w:eastAsia="华文中宋" w:cs="华文中宋"/>
          <w:bCs/>
          <w:color w:val="000000"/>
          <w:kern w:val="0"/>
          <w:sz w:val="30"/>
          <w:szCs w:val="30"/>
          <w:highlight w:val="none"/>
          <w:u w:val="single"/>
          <w:lang w:val="en-US" w:eastAsia="zh-CN"/>
        </w:rPr>
        <w:t>竞谈</w:t>
      </w:r>
      <w:r>
        <w:rPr>
          <w:rFonts w:hint="eastAsia" w:ascii="华文中宋" w:hAnsi="华文中宋" w:eastAsia="华文中宋" w:cs="华文中宋"/>
          <w:bCs/>
          <w:color w:val="000000"/>
          <w:kern w:val="0"/>
          <w:sz w:val="30"/>
          <w:szCs w:val="30"/>
          <w:highlight w:val="none"/>
          <w:u w:val="single"/>
          <w:lang w:val="zh-CN"/>
        </w:rPr>
        <w:t xml:space="preserve">（货物）2025-017      </w:t>
      </w:r>
      <w:r>
        <w:rPr>
          <w:rFonts w:hint="eastAsia" w:ascii="华文中宋" w:hAnsi="华文中宋" w:eastAsia="华文中宋" w:cs="华文中宋"/>
          <w:bCs/>
          <w:color w:val="000000"/>
          <w:kern w:val="0"/>
          <w:sz w:val="30"/>
          <w:szCs w:val="30"/>
          <w:highlight w:val="none"/>
          <w:u w:val="single"/>
          <w:lang w:val="en-US" w:eastAsia="zh-CN"/>
        </w:rPr>
        <w:t xml:space="preserve">       </w:t>
      </w:r>
      <w:r>
        <w:rPr>
          <w:rFonts w:hint="eastAsia" w:ascii="华文中宋" w:hAnsi="华文中宋" w:eastAsia="华文中宋" w:cs="华文中宋"/>
          <w:bCs/>
          <w:color w:val="000000"/>
          <w:kern w:val="0"/>
          <w:sz w:val="30"/>
          <w:szCs w:val="30"/>
          <w:highlight w:val="none"/>
          <w:u w:val="single"/>
          <w:lang w:val="zh-CN"/>
        </w:rPr>
        <w:t xml:space="preserve"> </w:t>
      </w:r>
    </w:p>
    <w:p w14:paraId="2FB3C6A9">
      <w:pPr>
        <w:adjustRightInd w:val="0"/>
        <w:snapToGrid w:val="0"/>
        <w:spacing w:before="156" w:beforeLines="50" w:line="560" w:lineRule="exact"/>
        <w:ind w:left="2240" w:hanging="2100" w:hangingChars="700"/>
        <w:rPr>
          <w:rFonts w:hint="default" w:ascii="华文中宋" w:hAnsi="华文中宋" w:eastAsia="华文中宋" w:cs="华文中宋"/>
          <w:bCs/>
          <w:color w:val="000000"/>
          <w:kern w:val="0"/>
          <w:sz w:val="30"/>
          <w:szCs w:val="30"/>
          <w:u w:val="single"/>
          <w:lang w:val="en-US"/>
        </w:rPr>
      </w:pPr>
      <w:r>
        <w:rPr>
          <w:rFonts w:hint="eastAsia" w:ascii="华文中宋" w:hAnsi="华文中宋" w:eastAsia="华文中宋" w:cs="华文中宋"/>
          <w:bCs/>
          <w:sz w:val="30"/>
          <w:szCs w:val="30"/>
        </w:rPr>
        <w:t>采   购   人：</w:t>
      </w:r>
      <w:r>
        <w:rPr>
          <w:rFonts w:hint="eastAsia" w:ascii="华文中宋" w:hAnsi="华文中宋" w:eastAsia="华文中宋" w:cs="华文中宋"/>
          <w:bCs/>
          <w:color w:val="000000"/>
          <w:kern w:val="0"/>
          <w:sz w:val="30"/>
          <w:szCs w:val="30"/>
          <w:u w:val="single"/>
          <w:lang w:val="en-US" w:eastAsia="zh-CN"/>
        </w:rPr>
        <w:t xml:space="preserve">贵德县新街回族乡人民政府                   </w:t>
      </w:r>
    </w:p>
    <w:p w14:paraId="6B253976">
      <w:pPr>
        <w:adjustRightInd w:val="0"/>
        <w:snapToGrid w:val="0"/>
        <w:spacing w:before="156" w:beforeLines="50" w:line="560" w:lineRule="exact"/>
        <w:rPr>
          <w:rFonts w:hint="default" w:ascii="华文中宋" w:hAnsi="华文中宋" w:eastAsia="华文中宋" w:cs="华文中宋"/>
          <w:bCs/>
          <w:color w:val="000000"/>
          <w:kern w:val="0"/>
          <w:sz w:val="32"/>
          <w:szCs w:val="32"/>
          <w:u w:val="single"/>
          <w:lang w:val="en-US" w:eastAsia="zh-CN"/>
        </w:rPr>
      </w:pPr>
      <w:r>
        <w:rPr>
          <w:rFonts w:hint="eastAsia" w:ascii="华文中宋" w:hAnsi="华文中宋" w:eastAsia="华文中宋" w:cs="华文中宋"/>
          <w:bCs/>
          <w:sz w:val="30"/>
          <w:szCs w:val="30"/>
        </w:rPr>
        <w:t>采购代理机构：</w:t>
      </w:r>
      <w:r>
        <w:rPr>
          <w:rFonts w:hint="eastAsia" w:ascii="华文中宋" w:hAnsi="华文中宋" w:eastAsia="华文中宋" w:cs="华文中宋"/>
          <w:bCs/>
          <w:color w:val="000000"/>
          <w:kern w:val="0"/>
          <w:sz w:val="30"/>
          <w:szCs w:val="30"/>
          <w:u w:val="single"/>
          <w:lang w:val="zh-CN"/>
        </w:rPr>
        <w:t>青海聚鑫工程管理有限公司</w:t>
      </w:r>
      <w:r>
        <w:rPr>
          <w:rFonts w:hint="eastAsia" w:ascii="华文中宋" w:hAnsi="华文中宋" w:eastAsia="华文中宋" w:cs="华文中宋"/>
          <w:bCs/>
          <w:color w:val="000000"/>
          <w:kern w:val="0"/>
          <w:sz w:val="30"/>
          <w:szCs w:val="30"/>
          <w:u w:val="single"/>
          <w:lang w:val="en-US" w:eastAsia="zh-CN"/>
        </w:rPr>
        <w:t xml:space="preserve">                   </w:t>
      </w:r>
    </w:p>
    <w:p w14:paraId="02FD3617">
      <w:pPr>
        <w:autoSpaceDE w:val="0"/>
        <w:autoSpaceDN w:val="0"/>
        <w:adjustRightInd w:val="0"/>
        <w:spacing w:before="156" w:beforeLines="50" w:line="560" w:lineRule="exact"/>
        <w:jc w:val="left"/>
        <w:rPr>
          <w:rFonts w:ascii="宋体" w:hAnsi="宋体" w:cs="宋体"/>
          <w:color w:val="000000"/>
          <w:kern w:val="0"/>
          <w:sz w:val="30"/>
          <w:szCs w:val="30"/>
          <w:lang w:val="zh-CN"/>
        </w:rPr>
      </w:pPr>
    </w:p>
    <w:p w14:paraId="74FAE400">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67430014">
      <w:pPr>
        <w:autoSpaceDE w:val="0"/>
        <w:autoSpaceDN w:val="0"/>
        <w:adjustRightInd w:val="0"/>
        <w:spacing w:before="156" w:beforeLines="50" w:line="390" w:lineRule="exact"/>
        <w:jc w:val="left"/>
        <w:rPr>
          <w:rFonts w:ascii="华文中宋" w:hAnsi="华文中宋" w:eastAsia="华文中宋" w:cs="华文中宋"/>
          <w:color w:val="000000"/>
          <w:kern w:val="0"/>
          <w:sz w:val="44"/>
          <w:szCs w:val="44"/>
          <w:lang w:val="zh-CN"/>
        </w:rPr>
      </w:pPr>
    </w:p>
    <w:p w14:paraId="2C638C64">
      <w:pPr>
        <w:spacing w:line="380" w:lineRule="exact"/>
        <w:jc w:val="center"/>
        <w:rPr>
          <w:rFonts w:hint="eastAsia" w:ascii="华文中宋" w:hAnsi="华文中宋" w:eastAsia="华文中宋" w:cs="华文中宋"/>
          <w:sz w:val="24"/>
        </w:rPr>
        <w:sectPr>
          <w:headerReference r:id="rId3" w:type="default"/>
          <w:pgSz w:w="11906" w:h="16838"/>
          <w:pgMar w:top="1984" w:right="1474" w:bottom="1871" w:left="1474" w:header="851" w:footer="992" w:gutter="0"/>
          <w:pgNumType w:fmt="decimal" w:start="1"/>
          <w:cols w:space="720" w:num="1"/>
          <w:titlePg/>
          <w:docGrid w:type="lines" w:linePitch="312" w:charSpace="0"/>
        </w:sectPr>
      </w:pPr>
    </w:p>
    <w:p w14:paraId="3F17DF16">
      <w:pPr>
        <w:spacing w:line="380" w:lineRule="exact"/>
        <w:jc w:val="center"/>
        <w:rPr>
          <w:sz w:val="24"/>
        </w:rPr>
      </w:pPr>
      <w:r>
        <w:rPr>
          <w:rFonts w:hint="eastAsia" w:ascii="华文中宋" w:hAnsi="华文中宋" w:eastAsia="华文中宋" w:cs="华文中宋"/>
          <w:sz w:val="24"/>
        </w:rPr>
        <w:t>目录</w:t>
      </w:r>
    </w:p>
    <w:p w14:paraId="6D52AA69">
      <w:pPr>
        <w:pStyle w:val="13"/>
        <w:tabs>
          <w:tab w:val="right" w:leader="dot" w:pos="8958"/>
        </w:tabs>
        <w:spacing w:line="380" w:lineRule="exact"/>
      </w:pPr>
      <w:r>
        <w:rPr>
          <w:sz w:val="24"/>
        </w:rPr>
        <w:fldChar w:fldCharType="begin"/>
      </w:r>
      <w:r>
        <w:rPr>
          <w:sz w:val="24"/>
        </w:rPr>
        <w:instrText xml:space="preserve">TOC \o "1-3" \h \u </w:instrText>
      </w:r>
      <w:r>
        <w:rPr>
          <w:sz w:val="24"/>
        </w:rPr>
        <w:fldChar w:fldCharType="separate"/>
      </w:r>
      <w:r>
        <w:fldChar w:fldCharType="begin"/>
      </w:r>
      <w:r>
        <w:instrText xml:space="preserve"> HYPERLINK \l "_Toc27521" </w:instrText>
      </w:r>
      <w:r>
        <w:fldChar w:fldCharType="separate"/>
      </w:r>
      <w:r>
        <w:rPr>
          <w:rFonts w:hint="eastAsia" w:ascii="华文中宋" w:hAnsi="华文中宋" w:eastAsia="华文中宋" w:cs="仿宋_GB2312"/>
          <w:szCs w:val="44"/>
        </w:rPr>
        <w:t>第一部分 谈判邀请</w:t>
      </w:r>
      <w:r>
        <w:tab/>
      </w:r>
      <w:r>
        <w:fldChar w:fldCharType="begin"/>
      </w:r>
      <w:r>
        <w:instrText xml:space="preserve"> PAGEREF _Toc27521 \h </w:instrText>
      </w:r>
      <w:r>
        <w:fldChar w:fldCharType="separate"/>
      </w:r>
      <w:r>
        <w:t>3</w:t>
      </w:r>
      <w:r>
        <w:fldChar w:fldCharType="end"/>
      </w:r>
      <w:r>
        <w:fldChar w:fldCharType="end"/>
      </w:r>
    </w:p>
    <w:p w14:paraId="4EB12E13">
      <w:pPr>
        <w:pStyle w:val="13"/>
        <w:tabs>
          <w:tab w:val="right" w:leader="dot" w:pos="8958"/>
        </w:tabs>
        <w:spacing w:line="380" w:lineRule="exact"/>
      </w:pPr>
      <w:r>
        <w:fldChar w:fldCharType="begin"/>
      </w:r>
      <w:r>
        <w:instrText xml:space="preserve"> HYPERLINK \l "_Toc25367" </w:instrText>
      </w:r>
      <w:r>
        <w:fldChar w:fldCharType="separate"/>
      </w:r>
      <w:r>
        <w:rPr>
          <w:rFonts w:hint="eastAsia" w:ascii="华文中宋" w:hAnsi="华文中宋" w:eastAsia="华文中宋" w:cs="华文中宋"/>
          <w:szCs w:val="44"/>
        </w:rPr>
        <w:t>第二部分 谈判须知前附表及说明</w:t>
      </w:r>
      <w:r>
        <w:tab/>
      </w:r>
      <w:r>
        <w:fldChar w:fldCharType="begin"/>
      </w:r>
      <w:r>
        <w:instrText xml:space="preserve"> PAGEREF _Toc25367 \h </w:instrText>
      </w:r>
      <w:r>
        <w:fldChar w:fldCharType="separate"/>
      </w:r>
      <w:r>
        <w:t>6</w:t>
      </w:r>
      <w:r>
        <w:fldChar w:fldCharType="end"/>
      </w:r>
      <w:r>
        <w:fldChar w:fldCharType="end"/>
      </w:r>
    </w:p>
    <w:p w14:paraId="4FBC538D">
      <w:pPr>
        <w:pStyle w:val="14"/>
        <w:tabs>
          <w:tab w:val="right" w:leader="dot" w:pos="8958"/>
        </w:tabs>
        <w:spacing w:line="380" w:lineRule="exact"/>
      </w:pPr>
      <w:r>
        <w:fldChar w:fldCharType="begin"/>
      </w:r>
      <w:r>
        <w:instrText xml:space="preserve"> HYPERLINK \l "_Toc31127" </w:instrText>
      </w:r>
      <w:r>
        <w:fldChar w:fldCharType="separate"/>
      </w:r>
      <w:r>
        <w:rPr>
          <w:rFonts w:hint="eastAsia" w:ascii="黑体" w:hAnsi="黑体" w:eastAsia="黑体" w:cs="黑体"/>
          <w:szCs w:val="32"/>
        </w:rPr>
        <w:t>一、说明</w:t>
      </w:r>
      <w:r>
        <w:tab/>
      </w:r>
      <w:r>
        <w:fldChar w:fldCharType="begin"/>
      </w:r>
      <w:r>
        <w:instrText xml:space="preserve"> PAGEREF _Toc31127 \h </w:instrText>
      </w:r>
      <w:r>
        <w:fldChar w:fldCharType="separate"/>
      </w:r>
      <w:r>
        <w:t>10</w:t>
      </w:r>
      <w:r>
        <w:fldChar w:fldCharType="end"/>
      </w:r>
      <w:r>
        <w:fldChar w:fldCharType="end"/>
      </w:r>
    </w:p>
    <w:p w14:paraId="4BDB9A70">
      <w:pPr>
        <w:pStyle w:val="8"/>
        <w:tabs>
          <w:tab w:val="right" w:leader="dot" w:pos="8958"/>
        </w:tabs>
        <w:spacing w:line="380" w:lineRule="exact"/>
      </w:pPr>
      <w:r>
        <w:fldChar w:fldCharType="begin"/>
      </w:r>
      <w:r>
        <w:instrText xml:space="preserve"> HYPERLINK \l "_Toc22017" </w:instrText>
      </w:r>
      <w:r>
        <w:fldChar w:fldCharType="separate"/>
      </w:r>
      <w:r>
        <w:rPr>
          <w:rFonts w:hint="eastAsia" w:ascii="楷体_GB2312" w:hAnsi="楷体_GB2312" w:eastAsia="楷体_GB2312" w:cs="楷体_GB2312"/>
        </w:rPr>
        <w:t>1.适用范围</w:t>
      </w:r>
      <w:r>
        <w:tab/>
      </w:r>
      <w:r>
        <w:fldChar w:fldCharType="begin"/>
      </w:r>
      <w:r>
        <w:instrText xml:space="preserve"> PAGEREF _Toc22017 \h </w:instrText>
      </w:r>
      <w:r>
        <w:fldChar w:fldCharType="separate"/>
      </w:r>
      <w:r>
        <w:t>10</w:t>
      </w:r>
      <w:r>
        <w:fldChar w:fldCharType="end"/>
      </w:r>
      <w:r>
        <w:fldChar w:fldCharType="end"/>
      </w:r>
    </w:p>
    <w:p w14:paraId="18F3699F">
      <w:pPr>
        <w:pStyle w:val="8"/>
        <w:tabs>
          <w:tab w:val="right" w:leader="dot" w:pos="8958"/>
        </w:tabs>
        <w:spacing w:line="380" w:lineRule="exact"/>
      </w:pPr>
      <w:r>
        <w:fldChar w:fldCharType="begin"/>
      </w:r>
      <w:r>
        <w:instrText xml:space="preserve"> HYPERLINK \l "_Toc23029" </w:instrText>
      </w:r>
      <w:r>
        <w:fldChar w:fldCharType="separate"/>
      </w:r>
      <w:r>
        <w:rPr>
          <w:rFonts w:hint="eastAsia" w:ascii="楷体_GB2312" w:hAnsi="楷体_GB2312" w:eastAsia="楷体_GB2312" w:cs="楷体_GB2312"/>
        </w:rPr>
        <w:t>2.采购人及代理机构</w:t>
      </w:r>
      <w:r>
        <w:tab/>
      </w:r>
      <w:r>
        <w:fldChar w:fldCharType="begin"/>
      </w:r>
      <w:r>
        <w:instrText xml:space="preserve"> PAGEREF _Toc23029 \h </w:instrText>
      </w:r>
      <w:r>
        <w:fldChar w:fldCharType="separate"/>
      </w:r>
      <w:r>
        <w:t>10</w:t>
      </w:r>
      <w:r>
        <w:fldChar w:fldCharType="end"/>
      </w:r>
      <w:r>
        <w:fldChar w:fldCharType="end"/>
      </w:r>
    </w:p>
    <w:p w14:paraId="36F14E40">
      <w:pPr>
        <w:pStyle w:val="8"/>
        <w:tabs>
          <w:tab w:val="right" w:leader="dot" w:pos="8958"/>
        </w:tabs>
        <w:spacing w:line="380" w:lineRule="exact"/>
      </w:pPr>
      <w:r>
        <w:fldChar w:fldCharType="begin"/>
      </w:r>
      <w:r>
        <w:instrText xml:space="preserve"> HYPERLINK \l "_Toc22448" </w:instrText>
      </w:r>
      <w:r>
        <w:fldChar w:fldCharType="separate"/>
      </w:r>
      <w:r>
        <w:rPr>
          <w:rFonts w:hint="eastAsia" w:ascii="楷体_GB2312" w:hAnsi="楷体_GB2312" w:eastAsia="楷体_GB2312" w:cs="楷体_GB2312"/>
        </w:rPr>
        <w:t>3.供应商的资格要求</w:t>
      </w:r>
      <w:r>
        <w:tab/>
      </w:r>
      <w:r>
        <w:fldChar w:fldCharType="begin"/>
      </w:r>
      <w:r>
        <w:instrText xml:space="preserve"> PAGEREF _Toc22448 \h </w:instrText>
      </w:r>
      <w:r>
        <w:fldChar w:fldCharType="separate"/>
      </w:r>
      <w:r>
        <w:t>10</w:t>
      </w:r>
      <w:r>
        <w:fldChar w:fldCharType="end"/>
      </w:r>
      <w:r>
        <w:fldChar w:fldCharType="end"/>
      </w:r>
    </w:p>
    <w:p w14:paraId="57FF8D1A">
      <w:pPr>
        <w:pStyle w:val="8"/>
        <w:tabs>
          <w:tab w:val="right" w:leader="dot" w:pos="8958"/>
        </w:tabs>
        <w:spacing w:line="380" w:lineRule="exact"/>
      </w:pPr>
      <w:r>
        <w:fldChar w:fldCharType="begin"/>
      </w:r>
      <w:r>
        <w:instrText xml:space="preserve"> HYPERLINK \l "_Toc558" </w:instrText>
      </w:r>
      <w:r>
        <w:fldChar w:fldCharType="separate"/>
      </w:r>
      <w:r>
        <w:rPr>
          <w:rFonts w:hint="eastAsia" w:ascii="楷体_GB2312" w:hAnsi="楷体_GB2312" w:eastAsia="楷体_GB2312" w:cs="楷体_GB2312"/>
        </w:rPr>
        <w:t>4.谈判费用</w:t>
      </w:r>
      <w:r>
        <w:tab/>
      </w:r>
      <w:r>
        <w:fldChar w:fldCharType="begin"/>
      </w:r>
      <w:r>
        <w:instrText xml:space="preserve"> PAGEREF _Toc558 \h </w:instrText>
      </w:r>
      <w:r>
        <w:fldChar w:fldCharType="separate"/>
      </w:r>
      <w:r>
        <w:t>10</w:t>
      </w:r>
      <w:r>
        <w:fldChar w:fldCharType="end"/>
      </w:r>
      <w:r>
        <w:fldChar w:fldCharType="end"/>
      </w:r>
    </w:p>
    <w:p w14:paraId="629596AC">
      <w:pPr>
        <w:pStyle w:val="14"/>
        <w:tabs>
          <w:tab w:val="right" w:leader="dot" w:pos="8958"/>
        </w:tabs>
        <w:spacing w:line="380" w:lineRule="exact"/>
      </w:pPr>
      <w:r>
        <w:fldChar w:fldCharType="begin"/>
      </w:r>
      <w:r>
        <w:instrText xml:space="preserve"> HYPERLINK \l "_Toc5717" </w:instrText>
      </w:r>
      <w:r>
        <w:fldChar w:fldCharType="separate"/>
      </w:r>
      <w:r>
        <w:rPr>
          <w:rFonts w:hint="eastAsia" w:ascii="黑体" w:hAnsi="黑体" w:eastAsia="黑体" w:cs="黑体"/>
          <w:szCs w:val="32"/>
        </w:rPr>
        <w:t>二、谈判文件</w:t>
      </w:r>
      <w:r>
        <w:tab/>
      </w:r>
      <w:r>
        <w:fldChar w:fldCharType="begin"/>
      </w:r>
      <w:r>
        <w:instrText xml:space="preserve"> PAGEREF _Toc5717 \h </w:instrText>
      </w:r>
      <w:r>
        <w:fldChar w:fldCharType="separate"/>
      </w:r>
      <w:r>
        <w:t>10</w:t>
      </w:r>
      <w:r>
        <w:fldChar w:fldCharType="end"/>
      </w:r>
      <w:r>
        <w:fldChar w:fldCharType="end"/>
      </w:r>
    </w:p>
    <w:p w14:paraId="57D506BF">
      <w:pPr>
        <w:pStyle w:val="8"/>
        <w:tabs>
          <w:tab w:val="right" w:leader="dot" w:pos="8958"/>
        </w:tabs>
        <w:spacing w:line="380" w:lineRule="exact"/>
      </w:pPr>
      <w:r>
        <w:fldChar w:fldCharType="begin"/>
      </w:r>
      <w:r>
        <w:instrText xml:space="preserve"> HYPERLINK \l "_Toc25326" </w:instrText>
      </w:r>
      <w:r>
        <w:fldChar w:fldCharType="separate"/>
      </w:r>
      <w:r>
        <w:rPr>
          <w:rFonts w:hint="eastAsia" w:ascii="楷体_GB2312" w:hAnsi="楷体_GB2312" w:eastAsia="楷体_GB2312" w:cs="楷体_GB2312"/>
        </w:rPr>
        <w:t>5.谈判文件的组成</w:t>
      </w:r>
      <w:r>
        <w:tab/>
      </w:r>
      <w:r>
        <w:fldChar w:fldCharType="begin"/>
      </w:r>
      <w:r>
        <w:instrText xml:space="preserve"> PAGEREF _Toc25326 \h </w:instrText>
      </w:r>
      <w:r>
        <w:fldChar w:fldCharType="separate"/>
      </w:r>
      <w:r>
        <w:t>10</w:t>
      </w:r>
      <w:r>
        <w:fldChar w:fldCharType="end"/>
      </w:r>
      <w:r>
        <w:fldChar w:fldCharType="end"/>
      </w:r>
    </w:p>
    <w:p w14:paraId="18D85212">
      <w:pPr>
        <w:pStyle w:val="8"/>
        <w:tabs>
          <w:tab w:val="right" w:leader="dot" w:pos="8958"/>
        </w:tabs>
        <w:spacing w:line="380" w:lineRule="exact"/>
      </w:pPr>
      <w:r>
        <w:fldChar w:fldCharType="begin"/>
      </w:r>
      <w:r>
        <w:instrText xml:space="preserve"> HYPERLINK \l "_Toc22054" </w:instrText>
      </w:r>
      <w:r>
        <w:fldChar w:fldCharType="separate"/>
      </w:r>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r>
        <w:tab/>
      </w:r>
      <w:r>
        <w:fldChar w:fldCharType="begin"/>
      </w:r>
      <w:r>
        <w:instrText xml:space="preserve"> PAGEREF _Toc22054 \h </w:instrText>
      </w:r>
      <w:r>
        <w:fldChar w:fldCharType="separate"/>
      </w:r>
      <w:r>
        <w:t>11</w:t>
      </w:r>
      <w:r>
        <w:fldChar w:fldCharType="end"/>
      </w:r>
      <w:r>
        <w:fldChar w:fldCharType="end"/>
      </w:r>
    </w:p>
    <w:p w14:paraId="5B4D3525">
      <w:pPr>
        <w:pStyle w:val="8"/>
        <w:tabs>
          <w:tab w:val="right" w:leader="dot" w:pos="8958"/>
        </w:tabs>
        <w:spacing w:line="380" w:lineRule="exact"/>
      </w:pPr>
      <w:r>
        <w:fldChar w:fldCharType="begin"/>
      </w:r>
      <w:r>
        <w:instrText xml:space="preserve"> HYPERLINK \l "_Toc21736" </w:instrText>
      </w:r>
      <w:r>
        <w:fldChar w:fldCharType="separate"/>
      </w:r>
      <w:r>
        <w:rPr>
          <w:rFonts w:hint="eastAsia" w:ascii="楷体_GB2312" w:hAnsi="楷体_GB2312" w:eastAsia="楷体_GB2312" w:cs="楷体_GB2312"/>
        </w:rPr>
        <w:t>7.谈判文件的询问或质疑</w:t>
      </w:r>
      <w:r>
        <w:tab/>
      </w:r>
      <w:r>
        <w:fldChar w:fldCharType="begin"/>
      </w:r>
      <w:r>
        <w:instrText xml:space="preserve"> PAGEREF _Toc21736 \h </w:instrText>
      </w:r>
      <w:r>
        <w:fldChar w:fldCharType="separate"/>
      </w:r>
      <w:r>
        <w:t>11</w:t>
      </w:r>
      <w:r>
        <w:fldChar w:fldCharType="end"/>
      </w:r>
      <w:r>
        <w:fldChar w:fldCharType="end"/>
      </w:r>
    </w:p>
    <w:p w14:paraId="41013E44">
      <w:pPr>
        <w:pStyle w:val="14"/>
        <w:tabs>
          <w:tab w:val="right" w:leader="dot" w:pos="8958"/>
        </w:tabs>
        <w:spacing w:line="380" w:lineRule="exact"/>
      </w:pPr>
      <w:r>
        <w:fldChar w:fldCharType="begin"/>
      </w:r>
      <w:r>
        <w:instrText xml:space="preserve"> HYPERLINK \l "_Toc25876" </w:instrText>
      </w:r>
      <w:r>
        <w:fldChar w:fldCharType="separate"/>
      </w:r>
      <w:r>
        <w:rPr>
          <w:rFonts w:hint="eastAsia" w:ascii="黑体" w:hAnsi="黑体" w:eastAsia="黑体" w:cs="黑体"/>
          <w:szCs w:val="32"/>
        </w:rPr>
        <w:t>三、响应文件</w:t>
      </w:r>
      <w:r>
        <w:tab/>
      </w:r>
      <w:r>
        <w:fldChar w:fldCharType="begin"/>
      </w:r>
      <w:r>
        <w:instrText xml:space="preserve"> PAGEREF _Toc25876 \h </w:instrText>
      </w:r>
      <w:r>
        <w:fldChar w:fldCharType="separate"/>
      </w:r>
      <w:r>
        <w:t>11</w:t>
      </w:r>
      <w:r>
        <w:fldChar w:fldCharType="end"/>
      </w:r>
      <w:r>
        <w:fldChar w:fldCharType="end"/>
      </w:r>
    </w:p>
    <w:p w14:paraId="6563DA8D">
      <w:pPr>
        <w:pStyle w:val="8"/>
        <w:tabs>
          <w:tab w:val="right" w:leader="dot" w:pos="8958"/>
        </w:tabs>
        <w:spacing w:line="380" w:lineRule="exact"/>
      </w:pPr>
      <w:r>
        <w:fldChar w:fldCharType="begin"/>
      </w:r>
      <w:r>
        <w:instrText xml:space="preserve"> HYPERLINK \l "_Toc3622" </w:instrText>
      </w:r>
      <w:r>
        <w:fldChar w:fldCharType="separate"/>
      </w:r>
      <w:r>
        <w:rPr>
          <w:rFonts w:hint="eastAsia" w:ascii="楷体_GB2312" w:hAnsi="楷体_GB2312" w:eastAsia="楷体_GB2312" w:cs="楷体_GB2312"/>
        </w:rPr>
        <w:t>8.一般要求</w:t>
      </w:r>
      <w:r>
        <w:tab/>
      </w:r>
      <w:r>
        <w:fldChar w:fldCharType="begin"/>
      </w:r>
      <w:r>
        <w:instrText xml:space="preserve"> PAGEREF _Toc3622 \h </w:instrText>
      </w:r>
      <w:r>
        <w:fldChar w:fldCharType="separate"/>
      </w:r>
      <w:r>
        <w:t>11</w:t>
      </w:r>
      <w:r>
        <w:fldChar w:fldCharType="end"/>
      </w:r>
      <w:r>
        <w:fldChar w:fldCharType="end"/>
      </w:r>
    </w:p>
    <w:p w14:paraId="098398CF">
      <w:pPr>
        <w:pStyle w:val="8"/>
        <w:tabs>
          <w:tab w:val="right" w:leader="dot" w:pos="8958"/>
        </w:tabs>
        <w:spacing w:line="380" w:lineRule="exact"/>
      </w:pPr>
      <w:r>
        <w:fldChar w:fldCharType="begin"/>
      </w:r>
      <w:r>
        <w:instrText xml:space="preserve"> HYPERLINK \l "_Toc18780" </w:instrText>
      </w:r>
      <w:r>
        <w:fldChar w:fldCharType="separate"/>
      </w:r>
      <w:r>
        <w:rPr>
          <w:rFonts w:hint="eastAsia" w:ascii="楷体_GB2312" w:hAnsi="楷体_GB2312" w:eastAsia="楷体_GB2312" w:cs="楷体_GB2312"/>
        </w:rPr>
        <w:t>9.报价要求</w:t>
      </w:r>
      <w:r>
        <w:tab/>
      </w:r>
      <w:r>
        <w:fldChar w:fldCharType="begin"/>
      </w:r>
      <w:r>
        <w:instrText xml:space="preserve"> PAGEREF _Toc18780 \h </w:instrText>
      </w:r>
      <w:r>
        <w:fldChar w:fldCharType="separate"/>
      </w:r>
      <w:r>
        <w:t>12</w:t>
      </w:r>
      <w:r>
        <w:fldChar w:fldCharType="end"/>
      </w:r>
      <w:r>
        <w:fldChar w:fldCharType="end"/>
      </w:r>
    </w:p>
    <w:p w14:paraId="604BEFA7">
      <w:pPr>
        <w:pStyle w:val="8"/>
        <w:tabs>
          <w:tab w:val="right" w:leader="dot" w:pos="8958"/>
        </w:tabs>
        <w:spacing w:line="380" w:lineRule="exact"/>
      </w:pPr>
      <w:r>
        <w:fldChar w:fldCharType="begin"/>
      </w:r>
      <w:r>
        <w:instrText xml:space="preserve"> HYPERLINK \l "_Toc27369" </w:instrText>
      </w:r>
      <w:r>
        <w:fldChar w:fldCharType="separate"/>
      </w:r>
      <w:r>
        <w:rPr>
          <w:rFonts w:hint="eastAsia" w:ascii="楷体_GB2312" w:hAnsi="楷体_GB2312" w:eastAsia="楷体_GB2312" w:cs="楷体_GB2312"/>
        </w:rPr>
        <w:t>10.保证金</w:t>
      </w:r>
      <w:r>
        <w:tab/>
      </w:r>
      <w:r>
        <w:fldChar w:fldCharType="begin"/>
      </w:r>
      <w:r>
        <w:instrText xml:space="preserve"> PAGEREF _Toc27369 \h </w:instrText>
      </w:r>
      <w:r>
        <w:fldChar w:fldCharType="separate"/>
      </w:r>
      <w:r>
        <w:t>13</w:t>
      </w:r>
      <w:r>
        <w:fldChar w:fldCharType="end"/>
      </w:r>
      <w:r>
        <w:fldChar w:fldCharType="end"/>
      </w:r>
    </w:p>
    <w:p w14:paraId="3F27AC70">
      <w:pPr>
        <w:pStyle w:val="8"/>
        <w:tabs>
          <w:tab w:val="right" w:leader="dot" w:pos="8958"/>
        </w:tabs>
        <w:spacing w:line="380" w:lineRule="exact"/>
      </w:pPr>
      <w:r>
        <w:fldChar w:fldCharType="begin"/>
      </w:r>
      <w:r>
        <w:instrText xml:space="preserve"> HYPERLINK \l "_Toc26981" </w:instrText>
      </w:r>
      <w:r>
        <w:fldChar w:fldCharType="separate"/>
      </w:r>
      <w:r>
        <w:rPr>
          <w:rFonts w:hint="eastAsia" w:ascii="楷体_GB2312" w:hAnsi="楷体_GB2312" w:eastAsia="楷体_GB2312" w:cs="楷体_GB2312"/>
        </w:rPr>
        <w:t>11.响应文件的组成</w:t>
      </w:r>
      <w:r>
        <w:tab/>
      </w:r>
      <w:r>
        <w:fldChar w:fldCharType="begin"/>
      </w:r>
      <w:r>
        <w:instrText xml:space="preserve"> PAGEREF _Toc26981 \h </w:instrText>
      </w:r>
      <w:r>
        <w:fldChar w:fldCharType="separate"/>
      </w:r>
      <w:r>
        <w:t>13</w:t>
      </w:r>
      <w:r>
        <w:fldChar w:fldCharType="end"/>
      </w:r>
      <w:r>
        <w:fldChar w:fldCharType="end"/>
      </w:r>
    </w:p>
    <w:p w14:paraId="7A2E1CE4">
      <w:pPr>
        <w:pStyle w:val="8"/>
        <w:tabs>
          <w:tab w:val="right" w:leader="dot" w:pos="8958"/>
        </w:tabs>
        <w:spacing w:line="380" w:lineRule="exact"/>
      </w:pPr>
      <w:r>
        <w:fldChar w:fldCharType="begin"/>
      </w:r>
      <w:r>
        <w:instrText xml:space="preserve"> HYPERLINK \l "_Toc28283" </w:instrText>
      </w:r>
      <w:r>
        <w:fldChar w:fldCharType="separate"/>
      </w:r>
      <w:r>
        <w:rPr>
          <w:rFonts w:hint="eastAsia" w:ascii="楷体_GB2312" w:hAnsi="楷体_GB2312" w:eastAsia="楷体_GB2312" w:cs="楷体_GB2312"/>
        </w:rPr>
        <w:t>12.响应文件有效期</w:t>
      </w:r>
      <w:r>
        <w:tab/>
      </w:r>
      <w:r>
        <w:fldChar w:fldCharType="begin"/>
      </w:r>
      <w:r>
        <w:instrText xml:space="preserve"> PAGEREF _Toc28283 \h </w:instrText>
      </w:r>
      <w:r>
        <w:fldChar w:fldCharType="separate"/>
      </w:r>
      <w:r>
        <w:t>14</w:t>
      </w:r>
      <w:r>
        <w:fldChar w:fldCharType="end"/>
      </w:r>
      <w:r>
        <w:fldChar w:fldCharType="end"/>
      </w:r>
    </w:p>
    <w:p w14:paraId="06F815A3">
      <w:pPr>
        <w:pStyle w:val="8"/>
        <w:tabs>
          <w:tab w:val="right" w:leader="dot" w:pos="8958"/>
        </w:tabs>
        <w:spacing w:line="380" w:lineRule="exact"/>
      </w:pPr>
      <w:r>
        <w:fldChar w:fldCharType="begin"/>
      </w:r>
      <w:r>
        <w:instrText xml:space="preserve"> HYPERLINK \l "_Toc8136" </w:instrText>
      </w:r>
      <w:r>
        <w:fldChar w:fldCharType="separate"/>
      </w:r>
      <w:r>
        <w:rPr>
          <w:rFonts w:hint="eastAsia" w:ascii="楷体_GB2312" w:hAnsi="楷体_GB2312" w:eastAsia="楷体_GB2312" w:cs="楷体_GB2312"/>
        </w:rPr>
        <w:t>13.响应文件的签署及规定</w:t>
      </w:r>
      <w:r>
        <w:tab/>
      </w:r>
      <w:r>
        <w:fldChar w:fldCharType="begin"/>
      </w:r>
      <w:r>
        <w:instrText xml:space="preserve"> PAGEREF _Toc8136 \h </w:instrText>
      </w:r>
      <w:r>
        <w:fldChar w:fldCharType="separate"/>
      </w:r>
      <w:r>
        <w:t>15</w:t>
      </w:r>
      <w:r>
        <w:fldChar w:fldCharType="end"/>
      </w:r>
      <w:r>
        <w:fldChar w:fldCharType="end"/>
      </w:r>
    </w:p>
    <w:p w14:paraId="6D7A8355">
      <w:pPr>
        <w:pStyle w:val="14"/>
        <w:tabs>
          <w:tab w:val="right" w:leader="dot" w:pos="8958"/>
        </w:tabs>
        <w:spacing w:line="380" w:lineRule="exact"/>
      </w:pPr>
      <w:r>
        <w:fldChar w:fldCharType="begin"/>
      </w:r>
      <w:r>
        <w:instrText xml:space="preserve"> HYPERLINK \l "_Toc17315" </w:instrText>
      </w:r>
      <w:r>
        <w:fldChar w:fldCharType="separate"/>
      </w:r>
      <w:r>
        <w:rPr>
          <w:rFonts w:hint="eastAsia" w:ascii="黑体" w:hAnsi="黑体" w:eastAsia="黑体" w:cs="黑体"/>
          <w:szCs w:val="32"/>
        </w:rPr>
        <w:t>四、响应文件的递交</w:t>
      </w:r>
      <w:r>
        <w:tab/>
      </w:r>
      <w:r>
        <w:fldChar w:fldCharType="begin"/>
      </w:r>
      <w:r>
        <w:instrText xml:space="preserve"> PAGEREF _Toc17315 \h </w:instrText>
      </w:r>
      <w:r>
        <w:fldChar w:fldCharType="separate"/>
      </w:r>
      <w:r>
        <w:t>15</w:t>
      </w:r>
      <w:r>
        <w:fldChar w:fldCharType="end"/>
      </w:r>
      <w:r>
        <w:fldChar w:fldCharType="end"/>
      </w:r>
    </w:p>
    <w:p w14:paraId="33C30C6D">
      <w:pPr>
        <w:pStyle w:val="8"/>
        <w:tabs>
          <w:tab w:val="right" w:leader="dot" w:pos="8958"/>
        </w:tabs>
        <w:spacing w:line="380" w:lineRule="exact"/>
        <w:rPr>
          <w:rFonts w:hint="eastAsia" w:eastAsia="宋体"/>
          <w:lang w:val="en-US" w:eastAsia="zh-CN"/>
        </w:rPr>
      </w:pPr>
      <w:r>
        <w:fldChar w:fldCharType="begin"/>
      </w:r>
      <w:r>
        <w:instrText xml:space="preserve"> HYPERLINK \l "_Toc1151" </w:instrText>
      </w:r>
      <w:r>
        <w:fldChar w:fldCharType="separate"/>
      </w:r>
      <w:r>
        <w:rPr>
          <w:rFonts w:hint="eastAsia" w:ascii="楷体_GB2312" w:hAnsi="楷体_GB2312" w:eastAsia="楷体_GB2312" w:cs="楷体_GB2312"/>
        </w:rPr>
        <w:t>14.响应文件的密封和标记</w:t>
      </w:r>
      <w:r>
        <w:tab/>
      </w:r>
      <w:r>
        <w:rPr>
          <w:rFonts w:hint="eastAsia"/>
          <w:lang w:val="en-US" w:eastAsia="zh-CN"/>
        </w:rPr>
        <w:t>1</w:t>
      </w:r>
      <w:r>
        <w:fldChar w:fldCharType="end"/>
      </w:r>
      <w:r>
        <w:rPr>
          <w:rFonts w:hint="eastAsia"/>
          <w:lang w:val="en-US" w:eastAsia="zh-CN"/>
        </w:rPr>
        <w:t>3</w:t>
      </w:r>
    </w:p>
    <w:p w14:paraId="20B39DE4">
      <w:pPr>
        <w:pStyle w:val="8"/>
        <w:tabs>
          <w:tab w:val="right" w:leader="dot" w:pos="8958"/>
        </w:tabs>
        <w:spacing w:line="380" w:lineRule="exact"/>
      </w:pPr>
      <w:r>
        <w:fldChar w:fldCharType="begin"/>
      </w:r>
      <w:r>
        <w:instrText xml:space="preserve"> HYPERLINK \l "_Toc405" </w:instrText>
      </w:r>
      <w:r>
        <w:fldChar w:fldCharType="separate"/>
      </w:r>
      <w:r>
        <w:rPr>
          <w:rFonts w:hint="eastAsia" w:ascii="楷体_GB2312" w:hAnsi="楷体_GB2312" w:eastAsia="楷体_GB2312" w:cs="楷体_GB2312"/>
        </w:rPr>
        <w:t>15.响应文件的递交与接收</w:t>
      </w:r>
      <w:r>
        <w:tab/>
      </w:r>
      <w:r>
        <w:fldChar w:fldCharType="begin"/>
      </w:r>
      <w:r>
        <w:instrText xml:space="preserve"> PAGEREF _Toc405 \h </w:instrText>
      </w:r>
      <w:r>
        <w:fldChar w:fldCharType="separate"/>
      </w:r>
      <w:r>
        <w:t>15</w:t>
      </w:r>
      <w:r>
        <w:fldChar w:fldCharType="end"/>
      </w:r>
      <w:r>
        <w:fldChar w:fldCharType="end"/>
      </w:r>
    </w:p>
    <w:p w14:paraId="3C31252F">
      <w:pPr>
        <w:pStyle w:val="8"/>
        <w:tabs>
          <w:tab w:val="right" w:leader="dot" w:pos="8958"/>
        </w:tabs>
        <w:spacing w:line="380" w:lineRule="exact"/>
      </w:pPr>
      <w:r>
        <w:fldChar w:fldCharType="begin"/>
      </w:r>
      <w:r>
        <w:instrText xml:space="preserve"> HYPERLINK \l "_Toc15490" </w:instrText>
      </w:r>
      <w:r>
        <w:fldChar w:fldCharType="separate"/>
      </w:r>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r>
        <w:tab/>
      </w:r>
      <w:r>
        <w:fldChar w:fldCharType="begin"/>
      </w:r>
      <w:r>
        <w:instrText xml:space="preserve"> PAGEREF _Toc15490 \h </w:instrText>
      </w:r>
      <w:r>
        <w:fldChar w:fldCharType="separate"/>
      </w:r>
      <w:r>
        <w:t>15</w:t>
      </w:r>
      <w:r>
        <w:fldChar w:fldCharType="end"/>
      </w:r>
      <w:r>
        <w:fldChar w:fldCharType="end"/>
      </w:r>
    </w:p>
    <w:p w14:paraId="73416201">
      <w:pPr>
        <w:pStyle w:val="14"/>
        <w:tabs>
          <w:tab w:val="right" w:leader="dot" w:pos="8958"/>
        </w:tabs>
        <w:spacing w:line="380" w:lineRule="exact"/>
      </w:pPr>
      <w:r>
        <w:fldChar w:fldCharType="begin"/>
      </w:r>
      <w:r>
        <w:instrText xml:space="preserve"> HYPERLINK \l "_Toc24988" </w:instrText>
      </w:r>
      <w:r>
        <w:fldChar w:fldCharType="separate"/>
      </w:r>
      <w:r>
        <w:rPr>
          <w:rFonts w:hint="eastAsia" w:ascii="黑体" w:hAnsi="黑体" w:eastAsia="黑体" w:cs="黑体"/>
          <w:szCs w:val="32"/>
        </w:rPr>
        <w:t>五、响应文件的评审与谈判</w:t>
      </w:r>
      <w:r>
        <w:tab/>
      </w:r>
      <w:r>
        <w:fldChar w:fldCharType="begin"/>
      </w:r>
      <w:r>
        <w:instrText xml:space="preserve"> PAGEREF _Toc24988 \h </w:instrText>
      </w:r>
      <w:r>
        <w:fldChar w:fldCharType="separate"/>
      </w:r>
      <w:r>
        <w:t>15</w:t>
      </w:r>
      <w:r>
        <w:fldChar w:fldCharType="end"/>
      </w:r>
      <w:r>
        <w:fldChar w:fldCharType="end"/>
      </w:r>
    </w:p>
    <w:p w14:paraId="16C257C0">
      <w:pPr>
        <w:pStyle w:val="8"/>
        <w:tabs>
          <w:tab w:val="right" w:leader="dot" w:pos="8958"/>
        </w:tabs>
        <w:spacing w:line="380" w:lineRule="exact"/>
      </w:pPr>
      <w:r>
        <w:fldChar w:fldCharType="begin"/>
      </w:r>
      <w:r>
        <w:instrText xml:space="preserve"> HYPERLINK \l "_Toc27488" </w:instrText>
      </w:r>
      <w:r>
        <w:fldChar w:fldCharType="separate"/>
      </w:r>
      <w:r>
        <w:rPr>
          <w:rFonts w:hint="eastAsia" w:ascii="楷体_GB2312" w:hAnsi="楷体_GB2312" w:eastAsia="楷体_GB2312" w:cs="楷体_GB2312"/>
        </w:rPr>
        <w:t>17.谈判小组</w:t>
      </w:r>
      <w:r>
        <w:tab/>
      </w:r>
      <w:r>
        <w:fldChar w:fldCharType="begin"/>
      </w:r>
      <w:r>
        <w:instrText xml:space="preserve"> PAGEREF _Toc27488 \h </w:instrText>
      </w:r>
      <w:r>
        <w:fldChar w:fldCharType="separate"/>
      </w:r>
      <w:r>
        <w:t>15</w:t>
      </w:r>
      <w:r>
        <w:fldChar w:fldCharType="end"/>
      </w:r>
      <w:r>
        <w:fldChar w:fldCharType="end"/>
      </w:r>
    </w:p>
    <w:p w14:paraId="46BE4007">
      <w:pPr>
        <w:pStyle w:val="8"/>
        <w:tabs>
          <w:tab w:val="right" w:leader="dot" w:pos="8958"/>
        </w:tabs>
        <w:spacing w:line="380" w:lineRule="exact"/>
      </w:pPr>
      <w:r>
        <w:fldChar w:fldCharType="begin"/>
      </w:r>
      <w:r>
        <w:instrText xml:space="preserve"> HYPERLINK \l "_Toc13002" </w:instrText>
      </w:r>
      <w:r>
        <w:fldChar w:fldCharType="separate"/>
      </w:r>
      <w:r>
        <w:rPr>
          <w:rFonts w:hint="eastAsia" w:ascii="楷体_GB2312" w:hAnsi="楷体_GB2312" w:eastAsia="楷体_GB2312" w:cs="楷体_GB2312"/>
        </w:rPr>
        <w:t>18.响应文件审查</w:t>
      </w:r>
      <w:r>
        <w:tab/>
      </w:r>
      <w:r>
        <w:fldChar w:fldCharType="begin"/>
      </w:r>
      <w:r>
        <w:instrText xml:space="preserve"> PAGEREF _Toc13002 \h </w:instrText>
      </w:r>
      <w:r>
        <w:fldChar w:fldCharType="separate"/>
      </w:r>
      <w:r>
        <w:t>17</w:t>
      </w:r>
      <w:r>
        <w:fldChar w:fldCharType="end"/>
      </w:r>
      <w:r>
        <w:fldChar w:fldCharType="end"/>
      </w:r>
    </w:p>
    <w:p w14:paraId="2EAF57A3">
      <w:pPr>
        <w:pStyle w:val="8"/>
        <w:tabs>
          <w:tab w:val="right" w:leader="dot" w:pos="8958"/>
        </w:tabs>
        <w:spacing w:line="380" w:lineRule="exact"/>
      </w:pPr>
      <w:r>
        <w:fldChar w:fldCharType="begin"/>
      </w:r>
      <w:r>
        <w:instrText xml:space="preserve"> HYPERLINK \l "_Toc32410" </w:instrText>
      </w:r>
      <w:r>
        <w:fldChar w:fldCharType="separate"/>
      </w:r>
      <w:r>
        <w:rPr>
          <w:rFonts w:hint="eastAsia" w:ascii="楷体_GB2312" w:hAnsi="楷体_GB2312" w:eastAsia="楷体_GB2312" w:cs="楷体_GB2312"/>
        </w:rPr>
        <w:t>19.谈判程序</w:t>
      </w:r>
      <w:r>
        <w:tab/>
      </w:r>
      <w:r>
        <w:fldChar w:fldCharType="begin"/>
      </w:r>
      <w:r>
        <w:instrText xml:space="preserve"> PAGEREF _Toc32410 \h </w:instrText>
      </w:r>
      <w:r>
        <w:fldChar w:fldCharType="separate"/>
      </w:r>
      <w:r>
        <w:t>17</w:t>
      </w:r>
      <w:r>
        <w:fldChar w:fldCharType="end"/>
      </w:r>
      <w:r>
        <w:fldChar w:fldCharType="end"/>
      </w:r>
    </w:p>
    <w:p w14:paraId="721AEA6C">
      <w:pPr>
        <w:pStyle w:val="8"/>
        <w:tabs>
          <w:tab w:val="right" w:leader="dot" w:pos="8958"/>
        </w:tabs>
        <w:spacing w:line="380" w:lineRule="exact"/>
      </w:pPr>
      <w:r>
        <w:fldChar w:fldCharType="begin"/>
      </w:r>
      <w:r>
        <w:instrText xml:space="preserve"> HYPERLINK \l "_Toc1137" </w:instrText>
      </w:r>
      <w:r>
        <w:fldChar w:fldCharType="separate"/>
      </w:r>
      <w:r>
        <w:rPr>
          <w:rFonts w:hint="eastAsia" w:ascii="楷体_GB2312" w:hAnsi="楷体_GB2312" w:eastAsia="楷体_GB2312" w:cs="楷体_GB2312"/>
        </w:rPr>
        <w:t>20.澄清</w:t>
      </w:r>
      <w:r>
        <w:tab/>
      </w:r>
      <w:r>
        <w:fldChar w:fldCharType="begin"/>
      </w:r>
      <w:r>
        <w:instrText xml:space="preserve"> PAGEREF _Toc1137 \h </w:instrText>
      </w:r>
      <w:r>
        <w:fldChar w:fldCharType="separate"/>
      </w:r>
      <w:r>
        <w:t>18</w:t>
      </w:r>
      <w:r>
        <w:fldChar w:fldCharType="end"/>
      </w:r>
      <w:r>
        <w:fldChar w:fldCharType="end"/>
      </w:r>
    </w:p>
    <w:p w14:paraId="7996DA1E">
      <w:pPr>
        <w:pStyle w:val="8"/>
        <w:tabs>
          <w:tab w:val="right" w:leader="dot" w:pos="8958"/>
        </w:tabs>
        <w:spacing w:line="380" w:lineRule="exact"/>
      </w:pPr>
      <w:r>
        <w:fldChar w:fldCharType="begin"/>
      </w:r>
      <w:r>
        <w:instrText xml:space="preserve"> HYPERLINK \l "_Toc2242" </w:instrText>
      </w:r>
      <w:r>
        <w:fldChar w:fldCharType="separate"/>
      </w:r>
      <w:r>
        <w:rPr>
          <w:rFonts w:hint="eastAsia" w:ascii="楷体_GB2312" w:hAnsi="楷体_GB2312" w:eastAsia="楷体_GB2312" w:cs="楷体_GB2312"/>
        </w:rPr>
        <w:t>21.退出谈判</w:t>
      </w:r>
      <w:r>
        <w:tab/>
      </w:r>
      <w:r>
        <w:fldChar w:fldCharType="begin"/>
      </w:r>
      <w:r>
        <w:instrText xml:space="preserve"> PAGEREF _Toc2242 \h </w:instrText>
      </w:r>
      <w:r>
        <w:fldChar w:fldCharType="separate"/>
      </w:r>
      <w:r>
        <w:t>18</w:t>
      </w:r>
      <w:r>
        <w:fldChar w:fldCharType="end"/>
      </w:r>
      <w:r>
        <w:fldChar w:fldCharType="end"/>
      </w:r>
    </w:p>
    <w:p w14:paraId="4825CB72">
      <w:pPr>
        <w:pStyle w:val="8"/>
        <w:tabs>
          <w:tab w:val="right" w:leader="dot" w:pos="8958"/>
        </w:tabs>
        <w:spacing w:line="380" w:lineRule="exact"/>
      </w:pPr>
      <w:r>
        <w:fldChar w:fldCharType="begin"/>
      </w:r>
      <w:r>
        <w:instrText xml:space="preserve"> HYPERLINK \l "_Toc1342" </w:instrText>
      </w:r>
      <w:r>
        <w:fldChar w:fldCharType="separate"/>
      </w:r>
      <w:r>
        <w:rPr>
          <w:rFonts w:hint="eastAsia" w:ascii="楷体_GB2312" w:hAnsi="楷体_GB2312" w:eastAsia="楷体_GB2312" w:cs="楷体_GB2312"/>
        </w:rPr>
        <w:t>22.最后报价</w:t>
      </w:r>
      <w:r>
        <w:tab/>
      </w:r>
      <w:r>
        <w:fldChar w:fldCharType="begin"/>
      </w:r>
      <w:r>
        <w:instrText xml:space="preserve"> PAGEREF _Toc1342 \h </w:instrText>
      </w:r>
      <w:r>
        <w:fldChar w:fldCharType="separate"/>
      </w:r>
      <w:r>
        <w:t>18</w:t>
      </w:r>
      <w:r>
        <w:fldChar w:fldCharType="end"/>
      </w:r>
      <w:r>
        <w:fldChar w:fldCharType="end"/>
      </w:r>
    </w:p>
    <w:p w14:paraId="5387EB48">
      <w:pPr>
        <w:pStyle w:val="8"/>
        <w:tabs>
          <w:tab w:val="right" w:leader="dot" w:pos="8958"/>
        </w:tabs>
        <w:spacing w:line="380" w:lineRule="exact"/>
      </w:pPr>
      <w:r>
        <w:fldChar w:fldCharType="begin"/>
      </w:r>
      <w:r>
        <w:instrText xml:space="preserve"> HYPERLINK \l "_Toc21167" </w:instrText>
      </w:r>
      <w:r>
        <w:fldChar w:fldCharType="separate"/>
      </w:r>
      <w:r>
        <w:rPr>
          <w:rFonts w:hint="eastAsia" w:ascii="楷体_GB2312" w:hAnsi="楷体_GB2312" w:eastAsia="楷体_GB2312" w:cs="楷体_GB2312"/>
        </w:rPr>
        <w:t>23.确定成交供应商</w:t>
      </w:r>
      <w:r>
        <w:tab/>
      </w:r>
      <w:r>
        <w:fldChar w:fldCharType="begin"/>
      </w:r>
      <w:r>
        <w:instrText xml:space="preserve"> PAGEREF _Toc21167 \h </w:instrText>
      </w:r>
      <w:r>
        <w:fldChar w:fldCharType="separate"/>
      </w:r>
      <w:r>
        <w:t>19</w:t>
      </w:r>
      <w:r>
        <w:fldChar w:fldCharType="end"/>
      </w:r>
      <w:r>
        <w:fldChar w:fldCharType="end"/>
      </w:r>
    </w:p>
    <w:p w14:paraId="7131F206">
      <w:pPr>
        <w:pStyle w:val="8"/>
        <w:tabs>
          <w:tab w:val="right" w:leader="dot" w:pos="8958"/>
        </w:tabs>
        <w:spacing w:line="380" w:lineRule="exact"/>
      </w:pPr>
      <w:r>
        <w:fldChar w:fldCharType="begin"/>
      </w:r>
      <w:r>
        <w:instrText xml:space="preserve"> HYPERLINK \l "_Toc17436" </w:instrText>
      </w:r>
      <w:r>
        <w:fldChar w:fldCharType="separate"/>
      </w:r>
      <w:r>
        <w:rPr>
          <w:rFonts w:hint="eastAsia" w:ascii="楷体_GB2312" w:hAnsi="楷体_GB2312" w:eastAsia="楷体_GB2312" w:cs="楷体_GB2312"/>
        </w:rPr>
        <w:t>24.重新评审</w:t>
      </w:r>
      <w:r>
        <w:tab/>
      </w:r>
      <w:r>
        <w:fldChar w:fldCharType="begin"/>
      </w:r>
      <w:r>
        <w:instrText xml:space="preserve"> PAGEREF _Toc17436 \h </w:instrText>
      </w:r>
      <w:r>
        <w:fldChar w:fldCharType="separate"/>
      </w:r>
      <w:r>
        <w:t>20</w:t>
      </w:r>
      <w:r>
        <w:fldChar w:fldCharType="end"/>
      </w:r>
      <w:r>
        <w:fldChar w:fldCharType="end"/>
      </w:r>
    </w:p>
    <w:p w14:paraId="047D430B">
      <w:pPr>
        <w:pStyle w:val="8"/>
        <w:tabs>
          <w:tab w:val="right" w:leader="dot" w:pos="8958"/>
        </w:tabs>
        <w:spacing w:line="380" w:lineRule="exact"/>
      </w:pPr>
      <w:r>
        <w:fldChar w:fldCharType="begin"/>
      </w:r>
      <w:r>
        <w:instrText xml:space="preserve"> HYPERLINK \l "_Toc15179" </w:instrText>
      </w:r>
      <w:r>
        <w:fldChar w:fldCharType="separate"/>
      </w:r>
      <w:r>
        <w:rPr>
          <w:rFonts w:hint="eastAsia" w:ascii="楷体_GB2312" w:hAnsi="楷体_GB2312" w:eastAsia="楷体_GB2312" w:cs="楷体_GB2312"/>
        </w:rPr>
        <w:t>25.谈判终止</w:t>
      </w:r>
      <w:r>
        <w:tab/>
      </w:r>
      <w:r>
        <w:fldChar w:fldCharType="begin"/>
      </w:r>
      <w:r>
        <w:instrText xml:space="preserve"> PAGEREF _Toc15179 \h </w:instrText>
      </w:r>
      <w:r>
        <w:fldChar w:fldCharType="separate"/>
      </w:r>
      <w:r>
        <w:t>20</w:t>
      </w:r>
      <w:r>
        <w:fldChar w:fldCharType="end"/>
      </w:r>
      <w:r>
        <w:fldChar w:fldCharType="end"/>
      </w:r>
    </w:p>
    <w:p w14:paraId="154AB532">
      <w:pPr>
        <w:pStyle w:val="8"/>
        <w:tabs>
          <w:tab w:val="right" w:leader="dot" w:pos="8958"/>
        </w:tabs>
        <w:spacing w:line="380" w:lineRule="exact"/>
      </w:pPr>
      <w:r>
        <w:fldChar w:fldCharType="begin"/>
      </w:r>
      <w:r>
        <w:instrText xml:space="preserve"> HYPERLINK \l "_Toc10575" </w:instrText>
      </w:r>
      <w:r>
        <w:fldChar w:fldCharType="separate"/>
      </w:r>
      <w:r>
        <w:rPr>
          <w:rFonts w:hint="eastAsia" w:ascii="楷体_GB2312" w:hAnsi="楷体_GB2312" w:eastAsia="楷体_GB2312" w:cs="楷体_GB2312"/>
        </w:rPr>
        <w:t>26.串通情形认定及处理</w:t>
      </w:r>
      <w:r>
        <w:tab/>
      </w:r>
      <w:r>
        <w:fldChar w:fldCharType="begin"/>
      </w:r>
      <w:r>
        <w:instrText xml:space="preserve"> PAGEREF _Toc10575 \h </w:instrText>
      </w:r>
      <w:r>
        <w:fldChar w:fldCharType="separate"/>
      </w:r>
      <w:r>
        <w:t>20</w:t>
      </w:r>
      <w:r>
        <w:fldChar w:fldCharType="end"/>
      </w:r>
      <w:r>
        <w:fldChar w:fldCharType="end"/>
      </w:r>
    </w:p>
    <w:p w14:paraId="5F4D1650">
      <w:pPr>
        <w:pStyle w:val="8"/>
        <w:tabs>
          <w:tab w:val="right" w:leader="dot" w:pos="8958"/>
        </w:tabs>
        <w:spacing w:line="380" w:lineRule="exact"/>
      </w:pPr>
      <w:r>
        <w:fldChar w:fldCharType="begin"/>
      </w:r>
      <w:r>
        <w:instrText xml:space="preserve"> HYPERLINK \l "_Toc701" </w:instrText>
      </w:r>
      <w:r>
        <w:fldChar w:fldCharType="separate"/>
      </w:r>
      <w:r>
        <w:rPr>
          <w:rFonts w:hint="eastAsia" w:ascii="楷体_GB2312" w:hAnsi="楷体_GB2312" w:eastAsia="楷体_GB2312" w:cs="楷体_GB2312"/>
        </w:rPr>
        <w:t>27.成交信息的公布与通知</w:t>
      </w:r>
      <w:r>
        <w:tab/>
      </w:r>
      <w:r>
        <w:fldChar w:fldCharType="begin"/>
      </w:r>
      <w:r>
        <w:instrText xml:space="preserve"> PAGEREF _Toc701 \h </w:instrText>
      </w:r>
      <w:r>
        <w:fldChar w:fldCharType="separate"/>
      </w:r>
      <w:r>
        <w:t>21</w:t>
      </w:r>
      <w:r>
        <w:fldChar w:fldCharType="end"/>
      </w:r>
      <w:r>
        <w:fldChar w:fldCharType="end"/>
      </w:r>
    </w:p>
    <w:p w14:paraId="6D25D89A">
      <w:pPr>
        <w:pStyle w:val="8"/>
        <w:tabs>
          <w:tab w:val="right" w:leader="dot" w:pos="8958"/>
        </w:tabs>
        <w:spacing w:line="380" w:lineRule="exact"/>
      </w:pPr>
      <w:r>
        <w:fldChar w:fldCharType="begin"/>
      </w:r>
      <w:r>
        <w:instrText xml:space="preserve"> HYPERLINK \l "_Toc29042" </w:instrText>
      </w:r>
      <w:r>
        <w:fldChar w:fldCharType="separate"/>
      </w:r>
      <w:r>
        <w:rPr>
          <w:rFonts w:hint="eastAsia" w:ascii="楷体_GB2312" w:hAnsi="楷体_GB2312" w:eastAsia="楷体_GB2312" w:cs="楷体_GB2312"/>
        </w:rPr>
        <w:t>28.授予合同</w:t>
      </w:r>
      <w:r>
        <w:tab/>
      </w:r>
      <w:r>
        <w:fldChar w:fldCharType="begin"/>
      </w:r>
      <w:r>
        <w:instrText xml:space="preserve"> PAGEREF _Toc29042 \h </w:instrText>
      </w:r>
      <w:r>
        <w:fldChar w:fldCharType="separate"/>
      </w:r>
      <w:r>
        <w:t>22</w:t>
      </w:r>
      <w:r>
        <w:fldChar w:fldCharType="end"/>
      </w:r>
      <w:r>
        <w:fldChar w:fldCharType="end"/>
      </w:r>
    </w:p>
    <w:p w14:paraId="67775DA6">
      <w:pPr>
        <w:pStyle w:val="8"/>
        <w:tabs>
          <w:tab w:val="right" w:leader="dot" w:pos="8958"/>
        </w:tabs>
        <w:spacing w:line="380" w:lineRule="exact"/>
      </w:pPr>
      <w:r>
        <w:fldChar w:fldCharType="begin"/>
      </w:r>
      <w:r>
        <w:instrText xml:space="preserve"> HYPERLINK \l "_Toc17412" </w:instrText>
      </w:r>
      <w:r>
        <w:fldChar w:fldCharType="separate"/>
      </w:r>
      <w:r>
        <w:rPr>
          <w:rFonts w:hint="eastAsia" w:ascii="楷体_GB2312" w:hAnsi="楷体_GB2312" w:eastAsia="楷体_GB2312" w:cs="楷体_GB2312"/>
        </w:rPr>
        <w:t>29.履约验收</w:t>
      </w:r>
      <w:r>
        <w:tab/>
      </w:r>
      <w:r>
        <w:fldChar w:fldCharType="begin"/>
      </w:r>
      <w:r>
        <w:instrText xml:space="preserve"> PAGEREF _Toc17412 \h </w:instrText>
      </w:r>
      <w:r>
        <w:fldChar w:fldCharType="separate"/>
      </w:r>
      <w:r>
        <w:t>22</w:t>
      </w:r>
      <w:r>
        <w:fldChar w:fldCharType="end"/>
      </w:r>
      <w:r>
        <w:fldChar w:fldCharType="end"/>
      </w:r>
    </w:p>
    <w:p w14:paraId="140CC14C">
      <w:pPr>
        <w:pStyle w:val="14"/>
        <w:tabs>
          <w:tab w:val="right" w:leader="dot" w:pos="8958"/>
        </w:tabs>
        <w:spacing w:line="380" w:lineRule="exact"/>
      </w:pPr>
      <w:r>
        <w:fldChar w:fldCharType="begin"/>
      </w:r>
      <w:r>
        <w:instrText xml:space="preserve"> HYPERLINK \l "_Toc304" </w:instrText>
      </w:r>
      <w:r>
        <w:fldChar w:fldCharType="separate"/>
      </w:r>
      <w:r>
        <w:rPr>
          <w:rFonts w:hint="eastAsia" w:ascii="黑体" w:hAnsi="黑体" w:eastAsia="黑体" w:cs="黑体"/>
          <w:szCs w:val="32"/>
        </w:rPr>
        <w:t>七、询问与质疑</w:t>
      </w:r>
      <w:r>
        <w:tab/>
      </w:r>
      <w:r>
        <w:fldChar w:fldCharType="begin"/>
      </w:r>
      <w:r>
        <w:instrText xml:space="preserve"> PAGEREF _Toc304 \h </w:instrText>
      </w:r>
      <w:r>
        <w:fldChar w:fldCharType="separate"/>
      </w:r>
      <w:r>
        <w:t>23</w:t>
      </w:r>
      <w:r>
        <w:fldChar w:fldCharType="end"/>
      </w:r>
      <w:r>
        <w:fldChar w:fldCharType="end"/>
      </w:r>
    </w:p>
    <w:p w14:paraId="031299D3">
      <w:pPr>
        <w:pStyle w:val="8"/>
        <w:tabs>
          <w:tab w:val="right" w:leader="dot" w:pos="8958"/>
        </w:tabs>
        <w:spacing w:line="380" w:lineRule="exact"/>
      </w:pPr>
      <w:r>
        <w:fldChar w:fldCharType="begin"/>
      </w:r>
      <w:r>
        <w:instrText xml:space="preserve"> HYPERLINK \l "_Toc14391" </w:instrText>
      </w:r>
      <w:r>
        <w:fldChar w:fldCharType="separate"/>
      </w:r>
      <w:r>
        <w:rPr>
          <w:rFonts w:hint="eastAsia" w:ascii="楷体_GB2312" w:hAnsi="楷体_GB2312" w:eastAsia="楷体_GB2312" w:cs="楷体_GB2312"/>
        </w:rPr>
        <w:t>30.对采购过程、结果的询问及质疑</w:t>
      </w:r>
      <w:r>
        <w:tab/>
      </w:r>
      <w:r>
        <w:fldChar w:fldCharType="begin"/>
      </w:r>
      <w:r>
        <w:instrText xml:space="preserve"> PAGEREF _Toc14391 \h </w:instrText>
      </w:r>
      <w:r>
        <w:fldChar w:fldCharType="separate"/>
      </w:r>
      <w:r>
        <w:t>23</w:t>
      </w:r>
      <w:r>
        <w:fldChar w:fldCharType="end"/>
      </w:r>
      <w:r>
        <w:fldChar w:fldCharType="end"/>
      </w:r>
    </w:p>
    <w:p w14:paraId="48895D3C">
      <w:pPr>
        <w:pStyle w:val="14"/>
        <w:tabs>
          <w:tab w:val="right" w:leader="dot" w:pos="8958"/>
        </w:tabs>
        <w:spacing w:line="380" w:lineRule="exact"/>
      </w:pPr>
      <w:r>
        <w:fldChar w:fldCharType="begin"/>
      </w:r>
      <w:r>
        <w:instrText xml:space="preserve"> HYPERLINK \l "_Toc24559" </w:instrText>
      </w:r>
      <w:r>
        <w:fldChar w:fldCharType="separate"/>
      </w:r>
      <w:r>
        <w:rPr>
          <w:rFonts w:hint="eastAsia" w:ascii="黑体" w:hAnsi="黑体" w:eastAsia="黑体" w:cs="黑体"/>
          <w:szCs w:val="32"/>
        </w:rPr>
        <w:t>八、政府采购政策</w:t>
      </w:r>
      <w:r>
        <w:tab/>
      </w:r>
      <w:r>
        <w:fldChar w:fldCharType="begin"/>
      </w:r>
      <w:r>
        <w:instrText xml:space="preserve"> PAGEREF _Toc24559 \h </w:instrText>
      </w:r>
      <w:r>
        <w:fldChar w:fldCharType="separate"/>
      </w:r>
      <w:r>
        <w:t>23</w:t>
      </w:r>
      <w:r>
        <w:fldChar w:fldCharType="end"/>
      </w:r>
      <w:r>
        <w:fldChar w:fldCharType="end"/>
      </w:r>
    </w:p>
    <w:p w14:paraId="7046F068">
      <w:pPr>
        <w:pStyle w:val="8"/>
        <w:tabs>
          <w:tab w:val="right" w:leader="dot" w:pos="8958"/>
        </w:tabs>
        <w:spacing w:line="380" w:lineRule="exact"/>
      </w:pPr>
      <w:r>
        <w:fldChar w:fldCharType="begin"/>
      </w:r>
      <w:r>
        <w:instrText xml:space="preserve"> HYPERLINK \l "_Toc30988" </w:instrText>
      </w:r>
      <w:r>
        <w:fldChar w:fldCharType="separate"/>
      </w:r>
      <w:r>
        <w:rPr>
          <w:rFonts w:hint="eastAsia" w:ascii="楷体_GB2312" w:hAnsi="楷体_GB2312" w:eastAsia="楷体_GB2312" w:cs="楷体_GB2312"/>
        </w:rPr>
        <w:t>31.政府采购政策</w:t>
      </w:r>
      <w:r>
        <w:tab/>
      </w:r>
      <w:r>
        <w:fldChar w:fldCharType="begin"/>
      </w:r>
      <w:r>
        <w:instrText xml:space="preserve"> PAGEREF _Toc30988 \h </w:instrText>
      </w:r>
      <w:r>
        <w:fldChar w:fldCharType="separate"/>
      </w:r>
      <w:r>
        <w:t>23</w:t>
      </w:r>
      <w:r>
        <w:fldChar w:fldCharType="end"/>
      </w:r>
      <w:r>
        <w:fldChar w:fldCharType="end"/>
      </w:r>
    </w:p>
    <w:p w14:paraId="0CBFA95D">
      <w:pPr>
        <w:pStyle w:val="14"/>
        <w:tabs>
          <w:tab w:val="right" w:leader="dot" w:pos="8958"/>
        </w:tabs>
        <w:spacing w:line="380" w:lineRule="exact"/>
      </w:pPr>
      <w:r>
        <w:fldChar w:fldCharType="begin"/>
      </w:r>
      <w:r>
        <w:instrText xml:space="preserve"> HYPERLINK \l "_Toc22739" </w:instrText>
      </w:r>
      <w:r>
        <w:fldChar w:fldCharType="separate"/>
      </w:r>
      <w:r>
        <w:rPr>
          <w:rFonts w:hint="eastAsia" w:ascii="黑体" w:hAnsi="黑体" w:eastAsia="黑体" w:cs="黑体"/>
          <w:szCs w:val="32"/>
        </w:rPr>
        <w:t>九、其他规定</w:t>
      </w:r>
      <w:r>
        <w:tab/>
      </w:r>
      <w:r>
        <w:fldChar w:fldCharType="begin"/>
      </w:r>
      <w:r>
        <w:instrText xml:space="preserve"> PAGEREF _Toc22739 \h </w:instrText>
      </w:r>
      <w:r>
        <w:fldChar w:fldCharType="separate"/>
      </w:r>
      <w:r>
        <w:t>24</w:t>
      </w:r>
      <w:r>
        <w:fldChar w:fldCharType="end"/>
      </w:r>
      <w:r>
        <w:fldChar w:fldCharType="end"/>
      </w:r>
    </w:p>
    <w:p w14:paraId="7D09084A">
      <w:pPr>
        <w:pStyle w:val="8"/>
        <w:tabs>
          <w:tab w:val="right" w:leader="dot" w:pos="8958"/>
        </w:tabs>
        <w:spacing w:line="380" w:lineRule="exact"/>
      </w:pPr>
      <w:r>
        <w:fldChar w:fldCharType="begin"/>
      </w:r>
      <w:r>
        <w:instrText xml:space="preserve"> HYPERLINK \l "_Toc25686" </w:instrText>
      </w:r>
      <w:r>
        <w:fldChar w:fldCharType="separate"/>
      </w:r>
      <w:r>
        <w:rPr>
          <w:rFonts w:hint="eastAsia" w:ascii="楷体_GB2312" w:hAnsi="楷体_GB2312" w:eastAsia="楷体_GB2312" w:cs="楷体_GB2312"/>
        </w:rPr>
        <w:t>32.代理服务费</w:t>
      </w:r>
      <w:r>
        <w:tab/>
      </w:r>
      <w:r>
        <w:fldChar w:fldCharType="begin"/>
      </w:r>
      <w:r>
        <w:instrText xml:space="preserve"> PAGEREF _Toc25686 \h </w:instrText>
      </w:r>
      <w:r>
        <w:fldChar w:fldCharType="separate"/>
      </w:r>
      <w:r>
        <w:t>24</w:t>
      </w:r>
      <w:r>
        <w:fldChar w:fldCharType="end"/>
      </w:r>
      <w:r>
        <w:fldChar w:fldCharType="end"/>
      </w:r>
    </w:p>
    <w:p w14:paraId="676C4B36">
      <w:pPr>
        <w:pStyle w:val="8"/>
        <w:tabs>
          <w:tab w:val="right" w:leader="dot" w:pos="8958"/>
        </w:tabs>
        <w:spacing w:line="380" w:lineRule="exact"/>
      </w:pPr>
      <w:r>
        <w:fldChar w:fldCharType="begin"/>
      </w:r>
      <w:r>
        <w:instrText xml:space="preserve"> HYPERLINK \l "_Toc31926" </w:instrText>
      </w:r>
      <w:r>
        <w:fldChar w:fldCharType="separate"/>
      </w:r>
      <w:r>
        <w:rPr>
          <w:rFonts w:hint="eastAsia" w:ascii="楷体_GB2312" w:hAnsi="楷体_GB2312" w:eastAsia="楷体_GB2312" w:cs="楷体_GB2312"/>
        </w:rPr>
        <w:t>33.其他规定</w:t>
      </w:r>
      <w:r>
        <w:tab/>
      </w:r>
      <w:r>
        <w:fldChar w:fldCharType="begin"/>
      </w:r>
      <w:r>
        <w:instrText xml:space="preserve"> PAGEREF _Toc31926 \h </w:instrText>
      </w:r>
      <w:r>
        <w:fldChar w:fldCharType="separate"/>
      </w:r>
      <w:r>
        <w:t>24</w:t>
      </w:r>
      <w:r>
        <w:fldChar w:fldCharType="end"/>
      </w:r>
      <w:r>
        <w:fldChar w:fldCharType="end"/>
      </w:r>
    </w:p>
    <w:p w14:paraId="69E491A6">
      <w:pPr>
        <w:pStyle w:val="13"/>
        <w:tabs>
          <w:tab w:val="right" w:leader="dot" w:pos="8958"/>
        </w:tabs>
        <w:spacing w:line="380" w:lineRule="exact"/>
      </w:pPr>
      <w:r>
        <w:fldChar w:fldCharType="begin"/>
      </w:r>
      <w:r>
        <w:instrText xml:space="preserve"> HYPERLINK \l "_Toc4238" </w:instrText>
      </w:r>
      <w:r>
        <w:fldChar w:fldCharType="separate"/>
      </w:r>
      <w:r>
        <w:rPr>
          <w:rFonts w:hint="eastAsia" w:ascii="华文中宋" w:hAnsi="华文中宋" w:eastAsia="华文中宋" w:cs="华文中宋"/>
          <w:szCs w:val="44"/>
        </w:rPr>
        <w:t>第三部分 采购需求</w:t>
      </w:r>
      <w:r>
        <w:tab/>
      </w:r>
      <w:r>
        <w:fldChar w:fldCharType="begin"/>
      </w:r>
      <w:r>
        <w:instrText xml:space="preserve"> PAGEREF _Toc4238 \h </w:instrText>
      </w:r>
      <w:r>
        <w:fldChar w:fldCharType="separate"/>
      </w:r>
      <w:r>
        <w:t>25</w:t>
      </w:r>
      <w:r>
        <w:fldChar w:fldCharType="end"/>
      </w:r>
      <w:r>
        <w:fldChar w:fldCharType="end"/>
      </w:r>
    </w:p>
    <w:p w14:paraId="132EF821">
      <w:pPr>
        <w:pStyle w:val="13"/>
        <w:tabs>
          <w:tab w:val="right" w:leader="dot" w:pos="8958"/>
        </w:tabs>
        <w:spacing w:line="380" w:lineRule="exact"/>
        <w:rPr>
          <w:rFonts w:hint="eastAsia" w:eastAsia="宋体"/>
          <w:lang w:val="en-US" w:eastAsia="zh-CN"/>
        </w:rPr>
      </w:pPr>
      <w:r>
        <w:fldChar w:fldCharType="begin"/>
      </w:r>
      <w:r>
        <w:instrText xml:space="preserve"> HYPERLINK \l "_Toc4238" </w:instrText>
      </w:r>
      <w:r>
        <w:fldChar w:fldCharType="separate"/>
      </w:r>
      <w:r>
        <w:rPr>
          <w:rFonts w:hint="eastAsia" w:ascii="华文中宋" w:hAnsi="华文中宋" w:eastAsia="华文中宋" w:cs="华文中宋"/>
          <w:szCs w:val="44"/>
        </w:rPr>
        <w:t>第四部分 谈判响应文件格式</w:t>
      </w:r>
      <w:r>
        <w:tab/>
      </w:r>
      <w:r>
        <w:rPr>
          <w:rFonts w:hint="eastAsia"/>
          <w:lang w:val="en-US" w:eastAsia="zh-CN"/>
        </w:rPr>
        <w:t>2</w:t>
      </w:r>
      <w:r>
        <w:fldChar w:fldCharType="end"/>
      </w:r>
      <w:r>
        <w:rPr>
          <w:rFonts w:hint="eastAsia"/>
          <w:lang w:val="en-US" w:eastAsia="zh-CN"/>
        </w:rPr>
        <w:t>4</w:t>
      </w:r>
    </w:p>
    <w:p w14:paraId="7D8F6C98">
      <w:pPr>
        <w:pStyle w:val="14"/>
        <w:tabs>
          <w:tab w:val="right" w:leader="dot" w:pos="8958"/>
        </w:tabs>
        <w:spacing w:line="380" w:lineRule="exact"/>
      </w:pPr>
      <w:r>
        <w:fldChar w:fldCharType="begin"/>
      </w:r>
      <w:r>
        <w:instrText xml:space="preserve"> HYPERLINK \l "_Toc21773" </w:instrText>
      </w:r>
      <w:r>
        <w:fldChar w:fldCharType="separate"/>
      </w:r>
      <w:r>
        <w:rPr>
          <w:rFonts w:hint="eastAsia" w:ascii="黑体" w:hAnsi="黑体" w:eastAsia="黑体" w:cs="黑体"/>
          <w:szCs w:val="32"/>
        </w:rPr>
        <w:t>十、谈判响应文件的组成</w:t>
      </w:r>
      <w:r>
        <w:tab/>
      </w:r>
      <w:r>
        <w:fldChar w:fldCharType="begin"/>
      </w:r>
      <w:r>
        <w:instrText xml:space="preserve"> PAGEREF _Toc21773 \h </w:instrText>
      </w:r>
      <w:r>
        <w:fldChar w:fldCharType="separate"/>
      </w:r>
      <w:r>
        <w:t>29</w:t>
      </w:r>
      <w:r>
        <w:fldChar w:fldCharType="end"/>
      </w:r>
      <w:r>
        <w:fldChar w:fldCharType="end"/>
      </w:r>
    </w:p>
    <w:p w14:paraId="09E1CE4A">
      <w:pPr>
        <w:pStyle w:val="8"/>
        <w:tabs>
          <w:tab w:val="right" w:leader="dot" w:pos="8958"/>
        </w:tabs>
        <w:spacing w:line="380" w:lineRule="exact"/>
      </w:pPr>
      <w:r>
        <w:fldChar w:fldCharType="begin"/>
      </w:r>
      <w:r>
        <w:instrText xml:space="preserve"> HYPERLINK \l "_Toc688"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_Toc688 \h </w:instrText>
      </w:r>
      <w:r>
        <w:fldChar w:fldCharType="separate"/>
      </w:r>
      <w:r>
        <w:t>29</w:t>
      </w:r>
      <w:r>
        <w:fldChar w:fldCharType="end"/>
      </w:r>
      <w:r>
        <w:fldChar w:fldCharType="end"/>
      </w:r>
    </w:p>
    <w:p w14:paraId="598D09AA">
      <w:pPr>
        <w:pStyle w:val="8"/>
        <w:tabs>
          <w:tab w:val="right" w:leader="dot" w:pos="8958"/>
        </w:tabs>
        <w:spacing w:line="380" w:lineRule="exact"/>
      </w:pPr>
      <w:r>
        <w:fldChar w:fldCharType="begin"/>
      </w:r>
      <w:r>
        <w:instrText xml:space="preserve"> HYPERLINK \l "_Toc22228"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_Toc22228 \h </w:instrText>
      </w:r>
      <w:r>
        <w:fldChar w:fldCharType="separate"/>
      </w:r>
      <w:r>
        <w:t>29</w:t>
      </w:r>
      <w:r>
        <w:fldChar w:fldCharType="end"/>
      </w:r>
      <w:r>
        <w:fldChar w:fldCharType="end"/>
      </w:r>
    </w:p>
    <w:p w14:paraId="5B320CBA">
      <w:pPr>
        <w:pStyle w:val="14"/>
        <w:tabs>
          <w:tab w:val="right" w:leader="dot" w:pos="8958"/>
        </w:tabs>
        <w:spacing w:line="380" w:lineRule="exact"/>
      </w:pPr>
      <w:r>
        <w:fldChar w:fldCharType="begin"/>
      </w:r>
      <w:r>
        <w:instrText xml:space="preserve"> HYPERLINK \l "_Toc6128" </w:instrText>
      </w:r>
      <w:r>
        <w:fldChar w:fldCharType="separate"/>
      </w:r>
      <w:r>
        <w:rPr>
          <w:rFonts w:hint="eastAsia" w:ascii="黑体" w:hAnsi="黑体" w:eastAsia="黑体" w:cs="黑体"/>
          <w:szCs w:val="32"/>
        </w:rPr>
        <w:t>十一、谈判响应文件</w:t>
      </w:r>
      <w:r>
        <w:tab/>
      </w:r>
      <w:r>
        <w:fldChar w:fldCharType="begin"/>
      </w:r>
      <w:r>
        <w:instrText xml:space="preserve"> PAGEREF _Toc6128 \h </w:instrText>
      </w:r>
      <w:r>
        <w:fldChar w:fldCharType="separate"/>
      </w:r>
      <w:r>
        <w:t>30</w:t>
      </w:r>
      <w:r>
        <w:fldChar w:fldCharType="end"/>
      </w:r>
      <w:r>
        <w:fldChar w:fldCharType="end"/>
      </w:r>
    </w:p>
    <w:p w14:paraId="72C3B68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"_Toc24053"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附件1：响应函</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_Toc24053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31</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727AAED">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"_Toc27148"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附件2：法定代表人证明书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_Toc27148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32</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972406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"_Toc31941"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附件3：法定代表人授权书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_Toc31941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33</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09F86F42">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"_Toc27469"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附件4：供应商承诺函</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_Toc27469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34</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360A23B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"_Toc2189"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附件5：供应商诚信承诺书</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_Toc2189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35</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5BEA09E">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"_Toc8053"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附件6：供应商资格证明文件</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_Toc8053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36</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6E91C413">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"_Toc21305"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附件7：财务状况、缴纳税收和社会保障资金证明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_Toc21305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37</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07038987">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"_Toc16678"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附件8：无重大违法记录声明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_Toc16678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38</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5A0B037C">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"_Toc17316"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附件9：谈判保证金证明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_Toc17316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39</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16CCD3F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"_Toc24461"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附件10：谈判首次报价表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_Toc24461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41</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26796C9F">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"_Toc18712"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附件11：分项报价表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_Toc18712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42</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4E021820">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"_Toc7764"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附件12：具备履行合同所必须的设备和专业技术能力证明</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_Toc7764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44</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201AB33">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"_Toc19450"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附件13：享受政府采购政策优惠的证明资料</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_Toc19450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45</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5C813DE4">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"_Toc21028"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附件14：供应商认为在其他方面有必要说明的事项（格式自定）</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_Toc21028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48</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7E3BB32D">
      <w:pPr>
        <w:pStyle w:val="8"/>
        <w:tabs>
          <w:tab w:val="right" w:leader="dot" w:pos="8958"/>
        </w:tabs>
        <w:spacing w:line="380" w:lineRule="exact"/>
        <w:rPr>
          <w:rFonts w:hint="eastAsia" w:ascii="楷体_GB2312" w:hAnsi="楷体_GB2312" w:eastAsia="楷体_GB2312" w:cs="楷体_GB2312"/>
          <w:bCs/>
          <w:szCs w:val="32"/>
          <w:lang w:val="zh-CN"/>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"_Toc3267"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附件15：最后报价表</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_Toc3267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49</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p>
    <w:p w14:paraId="4E457363">
      <w:pPr>
        <w:pStyle w:val="8"/>
        <w:tabs>
          <w:tab w:val="right" w:leader="dot" w:pos="8958"/>
        </w:tabs>
        <w:spacing w:line="380" w:lineRule="exact"/>
        <w:rPr>
          <w:szCs w:val="24"/>
        </w:rPr>
      </w:pP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HYPERLINK \l "_Toc17985"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第五部分</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Cs/>
          <w:szCs w:val="32"/>
          <w:lang w:val="zh-CN"/>
        </w:rPr>
        <w:t>青海省政府采购项目合同书范本</w:t>
      </w:r>
      <w:r>
        <w:rPr>
          <w:rFonts w:hint="eastAsia" w:ascii="楷体_GB2312" w:hAnsi="楷体_GB2312" w:eastAsia="楷体_GB2312" w:cs="楷体_GB2312"/>
          <w:bCs/>
          <w:szCs w:val="32"/>
          <w:lang w:val="zh-CN"/>
        </w:rPr>
        <w:tab/>
      </w:r>
      <w:r>
        <w:rPr>
          <w:rFonts w:hint="eastAsia" w:ascii="楷体_GB2312" w:hAnsi="楷体_GB2312" w:eastAsia="楷体_GB2312" w:cs="楷体_GB2312"/>
          <w:bCs/>
          <w:szCs w:val="32"/>
          <w:lang w:val="zh-CN"/>
        </w:rPr>
        <w:fldChar w:fldCharType="begin"/>
      </w:r>
      <w:r>
        <w:rPr>
          <w:rFonts w:hint="eastAsia" w:ascii="楷体_GB2312" w:hAnsi="楷体_GB2312" w:eastAsia="楷体_GB2312" w:cs="楷体_GB2312"/>
          <w:bCs/>
          <w:szCs w:val="32"/>
          <w:lang w:val="zh-CN"/>
        </w:rPr>
        <w:instrText xml:space="preserve"> PAGEREF _Toc17985 \h </w:instrText>
      </w:r>
      <w:r>
        <w:rPr>
          <w:rFonts w:hint="eastAsia" w:ascii="楷体_GB2312" w:hAnsi="楷体_GB2312" w:eastAsia="楷体_GB2312" w:cs="楷体_GB2312"/>
          <w:bCs/>
          <w:szCs w:val="32"/>
          <w:lang w:val="zh-CN"/>
        </w:rPr>
        <w:fldChar w:fldCharType="separate"/>
      </w:r>
      <w:r>
        <w:rPr>
          <w:rFonts w:hint="eastAsia" w:ascii="楷体_GB2312" w:hAnsi="楷体_GB2312" w:eastAsia="楷体_GB2312" w:cs="楷体_GB2312"/>
          <w:bCs/>
          <w:szCs w:val="32"/>
          <w:lang w:val="zh-CN"/>
        </w:rPr>
        <w:t>50</w:t>
      </w:r>
      <w:r>
        <w:rPr>
          <w:rFonts w:hint="eastAsia" w:ascii="楷体_GB2312" w:hAnsi="楷体_GB2312" w:eastAsia="楷体_GB2312" w:cs="楷体_GB2312"/>
          <w:bCs/>
          <w:szCs w:val="32"/>
          <w:lang w:val="zh-CN"/>
        </w:rPr>
        <w:fldChar w:fldCharType="end"/>
      </w:r>
      <w:r>
        <w:rPr>
          <w:rFonts w:hint="eastAsia" w:ascii="楷体_GB2312" w:hAnsi="楷体_GB2312" w:eastAsia="楷体_GB2312" w:cs="楷体_GB2312"/>
          <w:bCs/>
          <w:szCs w:val="32"/>
          <w:lang w:val="zh-CN"/>
        </w:rPr>
        <w:fldChar w:fldCharType="end"/>
      </w:r>
      <w:r>
        <w:rPr>
          <w:szCs w:val="24"/>
        </w:rPr>
        <w:fldChar w:fldCharType="end"/>
      </w:r>
      <w:bookmarkStart w:id="0" w:name="_Toc27521"/>
    </w:p>
    <w:p w14:paraId="425EAE18">
      <w:pPr>
        <w:rPr>
          <w:rFonts w:hint="eastAsia"/>
          <w:lang w:val="en-US" w:eastAsia="zh-CN"/>
        </w:rPr>
      </w:pPr>
    </w:p>
    <w:p w14:paraId="61F97BD5">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hint="eastAsia" w:ascii="华文中宋" w:hAnsi="华文中宋" w:eastAsia="华文中宋" w:cs="华文中宋"/>
          <w:b w:val="0"/>
          <w:bCs w:val="0"/>
          <w:sz w:val="36"/>
          <w:szCs w:val="36"/>
        </w:rPr>
        <w:sectPr>
          <w:footerReference r:id="rId5" w:type="first"/>
          <w:footerReference r:id="rId4" w:type="default"/>
          <w:pgSz w:w="11906" w:h="16838"/>
          <w:pgMar w:top="1984" w:right="1474" w:bottom="1871" w:left="1474" w:header="851" w:footer="992" w:gutter="0"/>
          <w:pgNumType w:fmt="decimal" w:start="1"/>
          <w:cols w:space="720" w:num="1"/>
          <w:titlePg/>
          <w:docGrid w:type="lines" w:linePitch="312" w:charSpace="0"/>
        </w:sectPr>
      </w:pPr>
    </w:p>
    <w:p w14:paraId="03B03838">
      <w:pPr>
        <w:pStyle w:val="2"/>
        <w:keepNext/>
        <w:keepLines w:val="0"/>
        <w:pageBreakBefore w:val="0"/>
        <w:widowControl w:val="0"/>
        <w:numPr>
          <w:ilvl w:val="0"/>
          <w:numId w:val="0"/>
        </w:numPr>
        <w:kinsoku/>
        <w:wordWrap/>
        <w:overflowPunct/>
        <w:topLinePunct w:val="0"/>
        <w:autoSpaceDE/>
        <w:autoSpaceDN/>
        <w:bidi w:val="0"/>
        <w:adjustRightInd w:val="0"/>
        <w:snapToGrid w:val="0"/>
        <w:spacing w:before="156" w:beforeLines="50" w:line="500" w:lineRule="exact"/>
        <w:textAlignment w:val="auto"/>
        <w:rPr>
          <w:rFonts w:ascii="华文中宋" w:hAnsi="华文中宋" w:eastAsia="华文中宋" w:cs="仿宋_GB2312"/>
          <w:b w:val="0"/>
          <w:sz w:val="44"/>
          <w:szCs w:val="44"/>
        </w:rPr>
      </w:pPr>
      <w:r>
        <w:rPr>
          <w:rFonts w:hint="eastAsia" w:ascii="华文中宋" w:hAnsi="华文中宋" w:eastAsia="华文中宋" w:cs="华文中宋"/>
          <w:b w:val="0"/>
          <w:bCs w:val="0"/>
          <w:sz w:val="36"/>
          <w:szCs w:val="36"/>
        </w:rPr>
        <w:t>第</w:t>
      </w:r>
      <w:r>
        <w:rPr>
          <w:rFonts w:hint="eastAsia" w:ascii="华文中宋" w:hAnsi="华文中宋" w:eastAsia="华文中宋" w:cs="华文中宋"/>
          <w:b w:val="0"/>
          <w:bCs w:val="0"/>
          <w:sz w:val="36"/>
          <w:szCs w:val="36"/>
          <w:lang w:val="en-US" w:eastAsia="zh-CN"/>
        </w:rPr>
        <w:t>一</w:t>
      </w:r>
      <w:r>
        <w:rPr>
          <w:rFonts w:hint="eastAsia" w:ascii="华文中宋" w:hAnsi="华文中宋" w:eastAsia="华文中宋" w:cs="华文中宋"/>
          <w:b w:val="0"/>
          <w:bCs w:val="0"/>
          <w:sz w:val="36"/>
          <w:szCs w:val="36"/>
        </w:rPr>
        <w:t>部分  谈判邀请</w:t>
      </w:r>
      <w:bookmarkEnd w:id="0"/>
    </w:p>
    <w:p w14:paraId="6F75D064">
      <w:pPr>
        <w:jc w:val="center"/>
      </w:pPr>
    </w:p>
    <w:p w14:paraId="6CE95EF2">
      <w:pPr>
        <w:keepNext w:val="0"/>
        <w:keepLines w:val="0"/>
        <w:widowControl w:val="0"/>
        <w:suppressLineNumbers w:val="0"/>
        <w:spacing w:before="0" w:beforeAutospacing="0" w:after="0" w:afterAutospacing="0" w:line="590" w:lineRule="exact"/>
        <w:ind w:left="0" w:right="0"/>
        <w:jc w:val="center"/>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贵德县新街乡高原夏菜种植基地建设项目（货物采购）</w:t>
      </w:r>
    </w:p>
    <w:p w14:paraId="49BA1E39">
      <w:pPr>
        <w:keepNext w:val="0"/>
        <w:keepLines w:val="0"/>
        <w:widowControl w:val="0"/>
        <w:suppressLineNumbers w:val="0"/>
        <w:spacing w:before="0" w:beforeAutospacing="0" w:after="0" w:afterAutospacing="0" w:line="460" w:lineRule="exact"/>
        <w:ind w:left="0" w:right="0"/>
        <w:jc w:val="center"/>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竞争性谈判公告</w:t>
      </w:r>
    </w:p>
    <w:p w14:paraId="3FB9CAFA">
      <w:pPr>
        <w:keepNext w:val="0"/>
        <w:keepLines w:val="0"/>
        <w:widowControl w:val="0"/>
        <w:suppressLineNumbers w:val="0"/>
        <w:spacing w:before="0" w:beforeAutospacing="0" w:after="0" w:afterAutospacing="0"/>
        <w:ind w:left="0" w:right="0"/>
        <w:jc w:val="left"/>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 xml:space="preserve"> </w:t>
      </w:r>
    </w:p>
    <w:p w14:paraId="08AD5846">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Times New Roman"/>
          <w:color w:val="000000"/>
          <w:kern w:val="2"/>
          <w:sz w:val="30"/>
          <w:szCs w:val="30"/>
        </w:rPr>
      </w:pPr>
      <w:r>
        <w:rPr>
          <w:rFonts w:hint="eastAsia" w:ascii="黑体" w:hAnsi="宋体" w:eastAsia="黑体" w:cs="黑体"/>
          <w:color w:val="000000"/>
          <w:kern w:val="2"/>
          <w:sz w:val="30"/>
          <w:szCs w:val="30"/>
          <w:lang w:val="en-US" w:eastAsia="zh-CN" w:bidi="ar"/>
        </w:rPr>
        <w:t>项目概况</w:t>
      </w:r>
    </w:p>
    <w:p w14:paraId="31AE42D5">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lang w:val="en-US" w:eastAsia="zh-CN" w:bidi="ar"/>
        </w:rPr>
        <w:t>贵德县新街乡高原夏菜种植基地建设项目（货物采购）的潜在供应商应通过政采云平台（https://www.zcygov.cn/）线上获取采购文件</w:t>
      </w:r>
      <w:r>
        <w:rPr>
          <w:rFonts w:hint="eastAsia" w:ascii="宋体" w:hAnsi="宋体" w:eastAsia="宋体" w:cs="宋体"/>
          <w:color w:val="000000"/>
          <w:kern w:val="2"/>
          <w:sz w:val="24"/>
          <w:szCs w:val="24"/>
          <w:highlight w:val="none"/>
          <w:lang w:val="en-US" w:eastAsia="zh-CN" w:bidi="ar"/>
        </w:rPr>
        <w:t>，并于202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日10:00（北京时间）前递交响应文件。</w:t>
      </w:r>
    </w:p>
    <w:p w14:paraId="3DD21AC8">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一、项目基本情况</w:t>
      </w:r>
    </w:p>
    <w:p w14:paraId="0995F533">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项目编号：青海聚鑫竞谈（货物）2025-017</w:t>
      </w:r>
    </w:p>
    <w:p w14:paraId="53998563">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项目名称：贵德县新街乡高原夏菜种植基地建设项目（货物采购）</w:t>
      </w:r>
    </w:p>
    <w:p w14:paraId="100AB574">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lang w:val="en-US"/>
        </w:rPr>
      </w:pPr>
      <w:r>
        <w:rPr>
          <w:rFonts w:hint="eastAsia" w:ascii="宋体" w:hAnsi="宋体" w:eastAsia="宋体" w:cs="宋体"/>
          <w:color w:val="000000"/>
          <w:kern w:val="2"/>
          <w:sz w:val="24"/>
          <w:szCs w:val="24"/>
          <w:lang w:val="en-US" w:eastAsia="zh-CN" w:bidi="ar"/>
        </w:rPr>
        <w:t>预算金额（元）：</w:t>
      </w:r>
      <w:r>
        <w:rPr>
          <w:rFonts w:hint="eastAsia" w:ascii="宋体" w:hAnsi="宋体" w:cs="宋体"/>
          <w:color w:val="000000"/>
          <w:kern w:val="2"/>
          <w:sz w:val="24"/>
          <w:szCs w:val="24"/>
          <w:lang w:val="en-US" w:eastAsia="zh-CN" w:bidi="ar"/>
        </w:rPr>
        <w:t>1950000.00</w:t>
      </w:r>
    </w:p>
    <w:p w14:paraId="26603E35">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lang w:val="en-US"/>
        </w:rPr>
      </w:pPr>
      <w:r>
        <w:rPr>
          <w:rFonts w:hint="eastAsia" w:ascii="宋体" w:hAnsi="宋体" w:eastAsia="宋体" w:cs="宋体"/>
          <w:color w:val="000000"/>
          <w:kern w:val="2"/>
          <w:sz w:val="24"/>
          <w:szCs w:val="24"/>
          <w:lang w:val="en-US" w:eastAsia="zh-CN" w:bidi="ar"/>
        </w:rPr>
        <w:t>最高限价（元）：</w:t>
      </w:r>
      <w:r>
        <w:rPr>
          <w:rFonts w:hint="eastAsia" w:ascii="宋体" w:hAnsi="宋体" w:cs="宋体"/>
          <w:color w:val="000000"/>
          <w:kern w:val="2"/>
          <w:sz w:val="24"/>
          <w:szCs w:val="24"/>
          <w:lang w:val="en-US" w:eastAsia="zh-CN" w:bidi="ar"/>
        </w:rPr>
        <w:t>1950000.00</w:t>
      </w:r>
    </w:p>
    <w:p w14:paraId="16284EEE">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采购需求：</w:t>
      </w:r>
    </w:p>
    <w:p w14:paraId="5E6C567E">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标项名称：贵德县新街乡高原夏菜种植基地建设项目（货物采购）</w:t>
      </w:r>
    </w:p>
    <w:p w14:paraId="0AF271FF">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Times New Roman"/>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bidi="ar"/>
        </w:rPr>
        <w:t>简要规格描述：购置真空制冷机1台、冷藏车1辆、冷藏柜1个、冷库设备1套、起重货车1辆、配套智能系统等</w:t>
      </w:r>
      <w:r>
        <w:rPr>
          <w:rFonts w:hint="eastAsia" w:ascii="宋体" w:hAnsi="宋体" w:cs="宋体"/>
          <w:color w:val="000000"/>
          <w:kern w:val="2"/>
          <w:sz w:val="24"/>
          <w:szCs w:val="24"/>
          <w:highlight w:val="none"/>
          <w:lang w:val="en-US" w:eastAsia="zh-CN" w:bidi="ar"/>
        </w:rPr>
        <w:t>，详见谈判文件。</w:t>
      </w:r>
    </w:p>
    <w:p w14:paraId="5DF040B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合同履约期限：合同签订之日起360天内。</w:t>
      </w:r>
    </w:p>
    <w:p w14:paraId="397A04B2">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本项目（否）接收联合体投标</w:t>
      </w:r>
    </w:p>
    <w:p w14:paraId="09A126DE">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二、申请人的资格要求</w:t>
      </w:r>
    </w:p>
    <w:p w14:paraId="2644CF6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1、本项目的特定资格要求：</w:t>
      </w:r>
    </w:p>
    <w:p w14:paraId="7575E5A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（1）符合《政府采购法》第22条规定，并提供下列材料：</w:t>
      </w:r>
    </w:p>
    <w:p w14:paraId="4BE33F2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1）供应商的营业执照等证明文件，自然人的身份证明。</w:t>
      </w:r>
    </w:p>
    <w:p w14:paraId="72EBCF9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2）财务状况报告，依法缴纳税收和社会保障资金的相关材料。</w:t>
      </w:r>
    </w:p>
    <w:p w14:paraId="24B5043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3）具备履行合同所必需的设备和专业技术能力的证明材料。</w:t>
      </w:r>
    </w:p>
    <w:p w14:paraId="3970B7C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4）参加政府采购活动前3年内在经营活动中没有重大违法记录的书面声明。</w:t>
      </w:r>
    </w:p>
    <w:p w14:paraId="79186FA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5）具备法律、行政法规规定的其他条件的证明材料。</w:t>
      </w:r>
    </w:p>
    <w:p w14:paraId="6D8104E2">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（2）单位负责人为同一人或者存在直接控股、管理关系的不同供应商，不得参加同一合同项下的政府采购活动。否则，皆取消投标资格。</w:t>
      </w:r>
      <w:r>
        <w:rPr>
          <w:rFonts w:hint="eastAsia" w:ascii="宋体" w:hAnsi="宋体" w:eastAsia="宋体" w:cs="Times New Roman"/>
          <w:color w:val="000000"/>
          <w:kern w:val="2"/>
          <w:sz w:val="24"/>
          <w:szCs w:val="24"/>
          <w:lang w:val="en-US" w:eastAsia="zh-CN" w:bidi="ar"/>
        </w:rPr>
        <w:t xml:space="preserve"> </w:t>
      </w:r>
    </w:p>
    <w:p w14:paraId="6BF1A8F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（3）为本采购项目提供整体设计、规范编制或者项目管理、监理、检测等服务的投标人，不得再参加该采购项目的其他采购活动。</w:t>
      </w:r>
    </w:p>
    <w:p w14:paraId="50A1C00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（4）经信用中国（www.creditchina.gov.cn）、中国政府采购网（www.ccgp.gov.cn）渠道查询后，列入失信被执行人、重大税收违法失信主体、政府采购严重违法失信行为记录名单的，取消投标资格。</w:t>
      </w:r>
    </w:p>
    <w:p w14:paraId="554CFAD7">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color w:val="000000"/>
          <w:kern w:val="2"/>
          <w:sz w:val="24"/>
          <w:szCs w:val="24"/>
          <w:lang w:val="en-US" w:eastAsia="zh-CN" w:bidi="ar"/>
        </w:rPr>
        <w:t>三、获取采购文件</w:t>
      </w:r>
    </w:p>
    <w:p w14:paraId="704DC24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时间：</w:t>
      </w:r>
      <w:r>
        <w:rPr>
          <w:rFonts w:hint="eastAsia" w:ascii="宋体" w:hAnsi="宋体" w:eastAsia="宋体" w:cs="宋体"/>
          <w:color w:val="000000"/>
          <w:kern w:val="0"/>
          <w:sz w:val="24"/>
          <w:szCs w:val="24"/>
          <w:lang w:val="en-US" w:eastAsia="zh-CN" w:bidi="ar"/>
        </w:rPr>
        <w:t>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2"/>
          <w:sz w:val="24"/>
          <w:szCs w:val="24"/>
          <w:lang w:val="en-US" w:eastAsia="zh-CN" w:bidi="ar"/>
        </w:rPr>
        <w:t>06</w:t>
      </w:r>
      <w:r>
        <w:rPr>
          <w:rFonts w:hint="eastAsia" w:ascii="宋体" w:hAnsi="宋体" w:eastAsia="宋体" w:cs="宋体"/>
          <w:color w:val="000000"/>
          <w:kern w:val="2"/>
          <w:sz w:val="24"/>
          <w:szCs w:val="24"/>
          <w:lang w:val="en-US" w:eastAsia="zh-CN" w:bidi="ar"/>
        </w:rPr>
        <w:t>月</w:t>
      </w:r>
      <w:r>
        <w:rPr>
          <w:rFonts w:hint="eastAsia" w:ascii="宋体" w:hAnsi="宋体" w:cs="宋体"/>
          <w:color w:val="000000"/>
          <w:kern w:val="2"/>
          <w:sz w:val="24"/>
          <w:szCs w:val="24"/>
          <w:lang w:val="en-US" w:eastAsia="zh-CN" w:bidi="ar"/>
        </w:rPr>
        <w:t>20</w:t>
      </w:r>
      <w:r>
        <w:rPr>
          <w:rFonts w:hint="eastAsia" w:ascii="宋体" w:hAnsi="宋体" w:eastAsia="宋体" w:cs="宋体"/>
          <w:color w:val="000000"/>
          <w:kern w:val="2"/>
          <w:sz w:val="24"/>
          <w:szCs w:val="24"/>
          <w:lang w:val="en-US" w:eastAsia="zh-CN" w:bidi="ar"/>
        </w:rPr>
        <w:t>日00:00</w:t>
      </w:r>
      <w:r>
        <w:rPr>
          <w:rFonts w:hint="eastAsia" w:ascii="宋体" w:hAnsi="宋体" w:eastAsia="宋体" w:cs="宋体"/>
          <w:color w:val="000000"/>
          <w:kern w:val="0"/>
          <w:sz w:val="24"/>
          <w:szCs w:val="24"/>
          <w:lang w:val="en-US" w:eastAsia="zh-CN" w:bidi="ar"/>
        </w:rPr>
        <w:t>至202</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06</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日23:59</w:t>
      </w:r>
    </w:p>
    <w:p w14:paraId="7DCE19A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地点：供应商登录政采云平台（https://www.zcygov.cn/）在线获取。</w:t>
      </w:r>
    </w:p>
    <w:p w14:paraId="36C7F0A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方式：供应商登录政采云平台（https://www.zcygov.cn/）在线获取。</w:t>
      </w:r>
    </w:p>
    <w:p w14:paraId="6A59A03B">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售价（元）：0元</w:t>
      </w:r>
    </w:p>
    <w:p w14:paraId="18CA79B2">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lang w:val="en-US" w:eastAsia="zh-CN" w:bidi="ar"/>
        </w:rPr>
        <w:t>四、</w:t>
      </w:r>
      <w:r>
        <w:rPr>
          <w:rFonts w:hint="eastAsia" w:ascii="宋体" w:hAnsi="宋体" w:eastAsia="宋体" w:cs="宋体"/>
          <w:b/>
          <w:bCs w:val="0"/>
          <w:color w:val="000000"/>
          <w:kern w:val="2"/>
          <w:sz w:val="24"/>
          <w:szCs w:val="24"/>
          <w:highlight w:val="none"/>
          <w:lang w:val="en-US" w:eastAsia="zh-CN" w:bidi="ar"/>
        </w:rPr>
        <w:t>响应文件提交</w:t>
      </w:r>
    </w:p>
    <w:p w14:paraId="4C783D49">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截止时间：202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w:t>
      </w:r>
    </w:p>
    <w:p w14:paraId="1BF931D8">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地点：供应商应在投标截止时间前按</w:t>
      </w:r>
      <w:r>
        <w:rPr>
          <w:rFonts w:hint="eastAsia" w:ascii="宋体" w:hAnsi="宋体" w:cs="宋体"/>
          <w:color w:val="000000"/>
          <w:kern w:val="2"/>
          <w:sz w:val="24"/>
          <w:szCs w:val="24"/>
          <w:highlight w:val="none"/>
          <w:lang w:val="en-US" w:eastAsia="zh-CN" w:bidi="ar"/>
        </w:rPr>
        <w:t>谈判</w:t>
      </w:r>
      <w:r>
        <w:rPr>
          <w:rFonts w:hint="eastAsia" w:ascii="宋体" w:hAnsi="宋体" w:eastAsia="宋体" w:cs="宋体"/>
          <w:color w:val="000000"/>
          <w:kern w:val="2"/>
          <w:sz w:val="24"/>
          <w:szCs w:val="24"/>
          <w:highlight w:val="none"/>
          <w:lang w:val="en-US" w:eastAsia="zh-CN" w:bidi="ar"/>
        </w:rPr>
        <w:t>文件要求使用政采云电子投标客户端制作上传电子响应文件。</w:t>
      </w:r>
    </w:p>
    <w:p w14:paraId="0563AEF8">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bidi="ar"/>
        </w:rPr>
        <w:t>五、响应文件开启</w:t>
      </w:r>
    </w:p>
    <w:p w14:paraId="6B579A24">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开启时间：202</w:t>
      </w:r>
      <w:r>
        <w:rPr>
          <w:rFonts w:hint="eastAsia" w:ascii="宋体" w:hAnsi="宋体" w:cs="宋体"/>
          <w:color w:val="000000"/>
          <w:kern w:val="2"/>
          <w:sz w:val="24"/>
          <w:szCs w:val="24"/>
          <w:highlight w:val="none"/>
          <w:lang w:val="en-US" w:eastAsia="zh-CN" w:bidi="ar"/>
        </w:rPr>
        <w:t>5</w:t>
      </w:r>
      <w:r>
        <w:rPr>
          <w:rFonts w:hint="eastAsia" w:ascii="宋体" w:hAnsi="宋体" w:eastAsia="宋体" w:cs="宋体"/>
          <w:color w:val="000000"/>
          <w:kern w:val="2"/>
          <w:sz w:val="24"/>
          <w:szCs w:val="24"/>
          <w:highlight w:val="none"/>
          <w:lang w:val="en-US" w:eastAsia="zh-CN" w:bidi="ar"/>
        </w:rPr>
        <w:t>年</w:t>
      </w:r>
      <w:r>
        <w:rPr>
          <w:rFonts w:hint="eastAsia" w:ascii="宋体" w:hAnsi="宋体" w:cs="宋体"/>
          <w:color w:val="000000"/>
          <w:kern w:val="2"/>
          <w:sz w:val="24"/>
          <w:szCs w:val="24"/>
          <w:highlight w:val="none"/>
          <w:lang w:val="en-US" w:eastAsia="zh-CN" w:bidi="ar"/>
        </w:rPr>
        <w:t>06</w:t>
      </w:r>
      <w:r>
        <w:rPr>
          <w:rFonts w:hint="eastAsia" w:ascii="宋体" w:hAnsi="宋体" w:eastAsia="宋体" w:cs="宋体"/>
          <w:color w:val="000000"/>
          <w:kern w:val="2"/>
          <w:sz w:val="24"/>
          <w:szCs w:val="24"/>
          <w:highlight w:val="none"/>
          <w:lang w:val="en-US" w:eastAsia="zh-CN" w:bidi="ar"/>
        </w:rPr>
        <w:t>月</w:t>
      </w:r>
      <w:r>
        <w:rPr>
          <w:rFonts w:hint="eastAsia" w:ascii="宋体" w:hAnsi="宋体" w:cs="宋体"/>
          <w:color w:val="000000"/>
          <w:kern w:val="2"/>
          <w:sz w:val="24"/>
          <w:szCs w:val="24"/>
          <w:highlight w:val="none"/>
          <w:lang w:val="en-US" w:eastAsia="zh-CN" w:bidi="ar"/>
        </w:rPr>
        <w:t>26</w:t>
      </w:r>
      <w:r>
        <w:rPr>
          <w:rFonts w:hint="eastAsia" w:ascii="宋体" w:hAnsi="宋体" w:eastAsia="宋体" w:cs="宋体"/>
          <w:color w:val="000000"/>
          <w:kern w:val="2"/>
          <w:sz w:val="24"/>
          <w:szCs w:val="24"/>
          <w:highlight w:val="none"/>
          <w:lang w:val="en-US" w:eastAsia="zh-CN" w:bidi="ar"/>
        </w:rPr>
        <w:t>日10:00（北京时间）</w:t>
      </w:r>
    </w:p>
    <w:p w14:paraId="470D1016">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地点：供应商应在投标截止时间前按</w:t>
      </w:r>
      <w:r>
        <w:rPr>
          <w:rFonts w:hint="eastAsia" w:ascii="宋体" w:hAnsi="宋体" w:cs="宋体"/>
          <w:color w:val="000000"/>
          <w:kern w:val="2"/>
          <w:sz w:val="24"/>
          <w:szCs w:val="24"/>
          <w:lang w:val="en-US" w:eastAsia="zh-CN" w:bidi="ar"/>
        </w:rPr>
        <w:t>谈判</w:t>
      </w:r>
      <w:r>
        <w:rPr>
          <w:rFonts w:hint="eastAsia" w:ascii="宋体" w:hAnsi="宋体" w:eastAsia="宋体" w:cs="宋体"/>
          <w:color w:val="000000"/>
          <w:kern w:val="2"/>
          <w:sz w:val="24"/>
          <w:szCs w:val="24"/>
          <w:lang w:val="en-US" w:eastAsia="zh-CN" w:bidi="ar"/>
        </w:rPr>
        <w:t>文件要求使用政采云电子投标客户端制作加密上传电子投标文件，并在开标后</w:t>
      </w: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30 分钟内远程解密投标文件。</w:t>
      </w:r>
    </w:p>
    <w:p w14:paraId="3A052A95">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六、公告期限</w:t>
      </w:r>
    </w:p>
    <w:p w14:paraId="068FA34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bCs/>
          <w:color w:val="000000"/>
          <w:kern w:val="2"/>
          <w:sz w:val="24"/>
          <w:szCs w:val="24"/>
        </w:rPr>
      </w:pPr>
      <w:r>
        <w:rPr>
          <w:rFonts w:hint="eastAsia" w:ascii="宋体" w:hAnsi="宋体" w:eastAsia="宋体" w:cs="宋体"/>
          <w:bCs/>
          <w:color w:val="000000"/>
          <w:kern w:val="2"/>
          <w:sz w:val="24"/>
          <w:szCs w:val="24"/>
          <w:lang w:val="en-US" w:eastAsia="zh-CN" w:bidi="ar"/>
        </w:rPr>
        <w:t>自本公告发布次日起3个工作日</w:t>
      </w:r>
    </w:p>
    <w:p w14:paraId="495C5589">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七、其他补充事宜</w:t>
      </w:r>
    </w:p>
    <w:p w14:paraId="527E64A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w:t>
      </w:r>
      <w:r>
        <w:rPr>
          <w:rFonts w:hint="eastAsia" w:ascii="宋体" w:hAnsi="宋体" w:eastAsia="宋体" w:cs="Times New Roman"/>
          <w:color w:val="000000"/>
          <w:kern w:val="2"/>
          <w:sz w:val="24"/>
          <w:szCs w:val="24"/>
          <w:lang w:val="en-US" w:eastAsia="zh-CN" w:bidi="ar"/>
        </w:rPr>
        <w:t xml:space="preserve">1）本公告在《中国招标投标公共服务平台》、《青海政府采购网》、《青海省电子招标投标公共服务平台》同时发布。  </w:t>
      </w:r>
    </w:p>
    <w:p w14:paraId="7D0672C1">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（2）公告内容以青海政府采购网发布的为准。</w:t>
      </w:r>
    </w:p>
    <w:p w14:paraId="2B7F9C8F">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b/>
          <w:bCs w:val="0"/>
          <w:color w:val="000000"/>
          <w:kern w:val="2"/>
          <w:sz w:val="24"/>
          <w:szCs w:val="24"/>
        </w:rPr>
      </w:pPr>
      <w:r>
        <w:rPr>
          <w:rFonts w:hint="eastAsia" w:ascii="宋体" w:hAnsi="宋体" w:eastAsia="宋体" w:cs="宋体"/>
          <w:b/>
          <w:bCs w:val="0"/>
          <w:color w:val="000000"/>
          <w:kern w:val="2"/>
          <w:sz w:val="24"/>
          <w:szCs w:val="24"/>
          <w:lang w:val="en-US" w:eastAsia="zh-CN" w:bidi="ar"/>
        </w:rPr>
        <w:t>八、对本次采购提出询问，请按以下方式联系</w:t>
      </w:r>
    </w:p>
    <w:p w14:paraId="14CDB2A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1、采购人信息</w:t>
      </w:r>
    </w:p>
    <w:p w14:paraId="04B8166C">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名称：贵德县新街回族乡人民政府</w:t>
      </w:r>
    </w:p>
    <w:p w14:paraId="29F692D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地址：贵德县新街村乡政府</w:t>
      </w:r>
    </w:p>
    <w:p w14:paraId="2EA3E510">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项目联系人：赵女士</w:t>
      </w:r>
    </w:p>
    <w:p w14:paraId="0D16A77E">
      <w:pPr>
        <w:keepNext w:val="0"/>
        <w:keepLines w:val="0"/>
        <w:widowControl w:val="0"/>
        <w:suppressLineNumbers w:val="0"/>
        <w:spacing w:before="0" w:beforeAutospacing="0" w:after="0" w:afterAutospacing="0" w:line="560" w:lineRule="exact"/>
        <w:ind w:left="0" w:right="0" w:firstLine="480" w:firstLineChars="200"/>
        <w:jc w:val="both"/>
        <w:rPr>
          <w:rFonts w:hint="default"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项目联系方式：</w:t>
      </w:r>
      <w:r>
        <w:rPr>
          <w:rFonts w:hint="eastAsia" w:ascii="宋体" w:hAnsi="宋体" w:cs="宋体"/>
          <w:color w:val="000000"/>
          <w:kern w:val="2"/>
          <w:sz w:val="24"/>
          <w:szCs w:val="24"/>
          <w:highlight w:val="none"/>
          <w:lang w:val="en-US" w:eastAsia="zh-CN" w:bidi="ar"/>
        </w:rPr>
        <w:t>0974-8569001</w:t>
      </w:r>
    </w:p>
    <w:p w14:paraId="7B4465ED">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2、采购代理机构信息</w:t>
      </w:r>
    </w:p>
    <w:p w14:paraId="511DA356">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名称：青海聚鑫工程管理有限公司</w:t>
      </w:r>
    </w:p>
    <w:p w14:paraId="10095D47">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地址：青海生物科技产业园纬一路24号8号大楼11层1101室</w:t>
      </w:r>
    </w:p>
    <w:p w14:paraId="32E4434C">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项目联系人：马先生</w:t>
      </w:r>
    </w:p>
    <w:p w14:paraId="0F7FBC05">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项目联系方式：</w:t>
      </w:r>
      <w:r>
        <w:rPr>
          <w:rFonts w:hint="eastAsia" w:ascii="宋体" w:hAnsi="宋体" w:eastAsia="宋体" w:cs="Times New Roman"/>
          <w:color w:val="000000"/>
          <w:kern w:val="2"/>
          <w:sz w:val="24"/>
          <w:szCs w:val="24"/>
          <w:lang w:val="en-US" w:eastAsia="zh-CN" w:bidi="ar"/>
        </w:rPr>
        <w:t>0971-8266981</w:t>
      </w:r>
    </w:p>
    <w:p w14:paraId="4B8A1D2D">
      <w:pPr>
        <w:keepNext w:val="0"/>
        <w:keepLines w:val="0"/>
        <w:widowControl w:val="0"/>
        <w:suppressLineNumbers w:val="0"/>
        <w:spacing w:before="0" w:beforeAutospacing="0" w:after="0" w:afterAutospacing="0" w:line="460" w:lineRule="exact"/>
        <w:ind w:left="0" w:right="0" w:firstLine="480" w:firstLineChars="200"/>
        <w:jc w:val="left"/>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2501E41F">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058C47A5">
      <w:pPr>
        <w:keepNext w:val="0"/>
        <w:keepLines w:val="0"/>
        <w:widowControl w:val="0"/>
        <w:suppressLineNumbers w:val="0"/>
        <w:spacing w:before="0" w:beforeAutospacing="0" w:after="0" w:afterAutospacing="0" w:line="460" w:lineRule="exact"/>
        <w:ind w:left="0" w:right="0" w:firstLine="480" w:firstLineChars="200"/>
        <w:jc w:val="center"/>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14:paraId="2FDBA8E7">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Times New Roman"/>
          <w:color w:val="000000"/>
          <w:kern w:val="2"/>
          <w:sz w:val="24"/>
          <w:szCs w:val="24"/>
          <w:lang w:val="en-US" w:eastAsia="zh-CN" w:bidi="ar"/>
        </w:rPr>
        <w:t xml:space="preserve">                                          20</w:t>
      </w:r>
      <w:r>
        <w:rPr>
          <w:rFonts w:hint="eastAsia" w:ascii="宋体" w:hAnsi="宋体" w:eastAsia="宋体" w:cs="宋体"/>
          <w:color w:val="000000"/>
          <w:kern w:val="2"/>
          <w:sz w:val="24"/>
          <w:szCs w:val="24"/>
          <w:lang w:val="en-US" w:eastAsia="zh-CN" w:bidi="ar"/>
        </w:rPr>
        <w:t>2</w:t>
      </w: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年</w:t>
      </w:r>
      <w:r>
        <w:rPr>
          <w:rFonts w:hint="eastAsia" w:ascii="宋体" w:hAnsi="宋体" w:cs="宋体"/>
          <w:color w:val="000000"/>
          <w:kern w:val="2"/>
          <w:sz w:val="24"/>
          <w:szCs w:val="24"/>
          <w:lang w:val="en-US" w:eastAsia="zh-CN" w:bidi="ar"/>
        </w:rPr>
        <w:t>06</w:t>
      </w:r>
      <w:r>
        <w:rPr>
          <w:rFonts w:hint="eastAsia" w:ascii="宋体" w:hAnsi="宋体" w:eastAsia="宋体" w:cs="宋体"/>
          <w:color w:val="000000"/>
          <w:kern w:val="2"/>
          <w:sz w:val="24"/>
          <w:szCs w:val="24"/>
          <w:lang w:val="en-US" w:eastAsia="zh-CN" w:bidi="ar"/>
        </w:rPr>
        <w:t>月</w:t>
      </w:r>
      <w:r>
        <w:rPr>
          <w:rFonts w:hint="eastAsia" w:ascii="宋体" w:hAnsi="宋体" w:cs="宋体"/>
          <w:color w:val="000000"/>
          <w:kern w:val="2"/>
          <w:sz w:val="24"/>
          <w:szCs w:val="24"/>
          <w:lang w:val="en-US" w:eastAsia="zh-CN" w:bidi="ar"/>
        </w:rPr>
        <w:t>19</w:t>
      </w:r>
      <w:r>
        <w:rPr>
          <w:rFonts w:hint="eastAsia" w:ascii="宋体" w:hAnsi="宋体" w:eastAsia="宋体" w:cs="宋体"/>
          <w:color w:val="000000"/>
          <w:kern w:val="2"/>
          <w:sz w:val="24"/>
          <w:szCs w:val="24"/>
          <w:lang w:val="en-US" w:eastAsia="zh-CN" w:bidi="ar"/>
        </w:rPr>
        <w:t>日</w:t>
      </w:r>
    </w:p>
    <w:p w14:paraId="2B691993">
      <w:pPr>
        <w:jc w:val="center"/>
        <w:rPr>
          <w:rFonts w:hint="eastAsia" w:ascii="华文中宋" w:hAnsi="华文中宋" w:eastAsia="华文中宋" w:cs="华文中宋"/>
          <w:b w:val="0"/>
          <w:bCs w:val="0"/>
          <w:sz w:val="44"/>
          <w:szCs w:val="44"/>
        </w:rPr>
      </w:pPr>
      <w:bookmarkStart w:id="1" w:name="_Toc13430_WPSOffice_Level1"/>
      <w:bookmarkStart w:id="2" w:name="_Toc68"/>
      <w:bookmarkStart w:id="3" w:name="_Toc29806_WPSOffice_Level1"/>
      <w:bookmarkStart w:id="4" w:name="_Toc7063_WPSOffice_Level1"/>
      <w:bookmarkStart w:id="5" w:name="_Toc19849"/>
      <w:bookmarkStart w:id="6" w:name="_Toc17554"/>
      <w:bookmarkStart w:id="7" w:name="_Toc25918_WPSOffice_Level1"/>
      <w:bookmarkStart w:id="8" w:name="_Toc29348_WPSOffice_Level1"/>
      <w:bookmarkStart w:id="9" w:name="_Toc26774_WPSOffice_Level1"/>
      <w:r>
        <w:rPr>
          <w:rFonts w:hint="eastAsia" w:ascii="华文中宋" w:hAnsi="华文中宋" w:eastAsia="华文中宋" w:cs="华文中宋"/>
          <w:sz w:val="44"/>
          <w:szCs w:val="44"/>
        </w:rPr>
        <w:br w:type="page"/>
      </w:r>
      <w:bookmarkStart w:id="10" w:name="_Toc25367"/>
      <w:r>
        <w:rPr>
          <w:rFonts w:hint="eastAsia" w:ascii="华文中宋" w:hAnsi="华文中宋" w:eastAsia="华文中宋" w:cs="华文中宋"/>
          <w:b w:val="0"/>
          <w:bCs w:val="0"/>
          <w:sz w:val="36"/>
          <w:szCs w:val="36"/>
        </w:rPr>
        <w:t>第二部分  谈判须知</w:t>
      </w:r>
      <w:bookmarkEnd w:id="1"/>
      <w:bookmarkEnd w:id="2"/>
      <w:bookmarkEnd w:id="3"/>
      <w:bookmarkEnd w:id="4"/>
      <w:bookmarkEnd w:id="5"/>
      <w:bookmarkEnd w:id="6"/>
      <w:bookmarkEnd w:id="7"/>
      <w:bookmarkEnd w:id="8"/>
      <w:bookmarkEnd w:id="9"/>
      <w:r>
        <w:rPr>
          <w:rFonts w:hint="eastAsia" w:ascii="华文中宋" w:hAnsi="华文中宋" w:eastAsia="华文中宋" w:cs="华文中宋"/>
          <w:b w:val="0"/>
          <w:bCs w:val="0"/>
          <w:sz w:val="36"/>
          <w:szCs w:val="36"/>
        </w:rPr>
        <w:t>前附表及说明</w:t>
      </w:r>
      <w:bookmarkEnd w:id="10"/>
    </w:p>
    <w:p w14:paraId="3BAF74F8"/>
    <w:tbl>
      <w:tblPr>
        <w:tblStyle w:val="18"/>
        <w:tblW w:w="921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54"/>
        <w:gridCol w:w="6858"/>
      </w:tblGrid>
      <w:tr w14:paraId="66FB7D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354" w:type="dxa"/>
            <w:tcBorders>
              <w:tl2br w:val="nil"/>
              <w:tr2bl w:val="nil"/>
            </w:tcBorders>
            <w:vAlign w:val="center"/>
          </w:tcPr>
          <w:p w14:paraId="6C4651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bookmarkStart w:id="11" w:name="_Toc7063_WPSOffice_Level2"/>
            <w:bookmarkStart w:id="12" w:name="_Toc34637765"/>
            <w:bookmarkStart w:id="13" w:name="_Toc29348_WPSOffice_Level2"/>
            <w:bookmarkStart w:id="14" w:name="_Toc16562"/>
            <w:bookmarkStart w:id="15" w:name="_Toc17019_WPSOffice_Level2"/>
            <w:bookmarkStart w:id="16" w:name="_Toc9336"/>
            <w:bookmarkStart w:id="17" w:name="_Toc27795"/>
            <w:r>
              <w:rPr>
                <w:rFonts w:hint="eastAsia" w:ascii="仿宋_GB2312" w:hAnsi="仿宋_GB2312" w:eastAsia="仿宋_GB2312" w:cs="仿宋_GB2312"/>
                <w:sz w:val="24"/>
                <w:szCs w:val="24"/>
              </w:rPr>
              <w:t>采购项目名称</w:t>
            </w:r>
          </w:p>
        </w:tc>
        <w:tc>
          <w:tcPr>
            <w:tcW w:w="6858" w:type="dxa"/>
            <w:tcBorders>
              <w:tl2br w:val="nil"/>
              <w:tr2bl w:val="nil"/>
            </w:tcBorders>
            <w:vAlign w:val="center"/>
          </w:tcPr>
          <w:p w14:paraId="21D6A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贵德县新街乡高原夏菜种植基地建设项目（货物采购）</w:t>
            </w:r>
          </w:p>
        </w:tc>
      </w:tr>
      <w:tr w14:paraId="7D04F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A1569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采购项目编号</w:t>
            </w:r>
          </w:p>
        </w:tc>
        <w:tc>
          <w:tcPr>
            <w:tcW w:w="6858" w:type="dxa"/>
            <w:tcBorders>
              <w:tl2br w:val="nil"/>
              <w:tr2bl w:val="nil"/>
            </w:tcBorders>
          </w:tcPr>
          <w:p w14:paraId="3C07A3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青海聚鑫竞谈（货物）2025-017</w:t>
            </w:r>
          </w:p>
        </w:tc>
      </w:tr>
      <w:tr w14:paraId="30AB9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354" w:type="dxa"/>
            <w:tcBorders>
              <w:tl2br w:val="nil"/>
              <w:tr2bl w:val="nil"/>
            </w:tcBorders>
            <w:vAlign w:val="center"/>
          </w:tcPr>
          <w:p w14:paraId="1E811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6858" w:type="dxa"/>
            <w:tcBorders>
              <w:tl2br w:val="nil"/>
              <w:tr2bl w:val="nil"/>
            </w:tcBorders>
          </w:tcPr>
          <w:p w14:paraId="45B01D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竞争性谈判</w:t>
            </w:r>
          </w:p>
        </w:tc>
      </w:tr>
      <w:tr w14:paraId="79F73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19F9D5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采购预算额度</w:t>
            </w:r>
          </w:p>
        </w:tc>
        <w:tc>
          <w:tcPr>
            <w:tcW w:w="6858" w:type="dxa"/>
            <w:tcBorders>
              <w:tl2br w:val="nil"/>
              <w:tr2bl w:val="nil"/>
            </w:tcBorders>
          </w:tcPr>
          <w:p w14:paraId="7B93EB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195</w:t>
            </w:r>
            <w:r>
              <w:rPr>
                <w:rFonts w:hint="eastAsia" w:ascii="仿宋_GB2312" w:hAnsi="仿宋_GB2312" w:eastAsia="仿宋_GB2312" w:cs="仿宋_GB2312"/>
                <w:sz w:val="24"/>
                <w:szCs w:val="24"/>
              </w:rPr>
              <w:t>万元</w:t>
            </w:r>
          </w:p>
        </w:tc>
      </w:tr>
      <w:tr w14:paraId="0C009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5251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最高限价</w:t>
            </w:r>
          </w:p>
        </w:tc>
        <w:tc>
          <w:tcPr>
            <w:tcW w:w="6858" w:type="dxa"/>
            <w:tcBorders>
              <w:tl2br w:val="nil"/>
              <w:tr2bl w:val="nil"/>
            </w:tcBorders>
          </w:tcPr>
          <w:p w14:paraId="260A6D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195万元</w:t>
            </w:r>
          </w:p>
        </w:tc>
      </w:tr>
      <w:tr w14:paraId="062D3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1BB95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项目分包个数</w:t>
            </w:r>
          </w:p>
        </w:tc>
        <w:tc>
          <w:tcPr>
            <w:tcW w:w="6858" w:type="dxa"/>
            <w:tcBorders>
              <w:tl2br w:val="nil"/>
              <w:tr2bl w:val="nil"/>
            </w:tcBorders>
          </w:tcPr>
          <w:p w14:paraId="30C86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无分包</w:t>
            </w:r>
          </w:p>
        </w:tc>
      </w:tr>
      <w:tr w14:paraId="37C2B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0F779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供应商</w:t>
            </w:r>
            <w:r>
              <w:rPr>
                <w:rFonts w:hint="eastAsia" w:ascii="仿宋_GB2312" w:hAnsi="仿宋_GB2312" w:eastAsia="仿宋_GB2312" w:cs="仿宋_GB2312"/>
                <w:sz w:val="24"/>
                <w:szCs w:val="24"/>
              </w:rPr>
              <w:t>资格条件</w:t>
            </w:r>
          </w:p>
        </w:tc>
        <w:tc>
          <w:tcPr>
            <w:tcW w:w="6858" w:type="dxa"/>
            <w:tcBorders>
              <w:tl2br w:val="nil"/>
              <w:tr2bl w:val="nil"/>
            </w:tcBorders>
          </w:tcPr>
          <w:p w14:paraId="63BD3A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（1）符合《政府采购法》第22条规定，并提供下列材料：</w:t>
            </w:r>
          </w:p>
          <w:p w14:paraId="1C7C4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1）供应商的营业执照等证明文件，自然人的身份证明。</w:t>
            </w:r>
          </w:p>
          <w:p w14:paraId="5DFA84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2）财务状况报告，依法缴纳税收和社会保障资金的相关材料。</w:t>
            </w:r>
          </w:p>
          <w:p w14:paraId="505681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3）具备履行合同所必需的设备和专业技术能力的证明材料。</w:t>
            </w:r>
          </w:p>
          <w:p w14:paraId="41CAF7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4）参加政府采购活动前3年内在经营活动中没有重大违法记录的书面声明。</w:t>
            </w:r>
          </w:p>
          <w:p w14:paraId="7B38A0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5）具备法律、行政法规规定的其他条件的证明材料。</w:t>
            </w:r>
          </w:p>
          <w:p w14:paraId="26D69D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（2）单位负责人为同一人或者存在直接控股、管理关系的不同供应商，不得参加同一合同项下的政府采购活动。否则，皆取消投标资格。 </w:t>
            </w:r>
          </w:p>
          <w:p w14:paraId="48593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（3）为本采购项目提供整体设计、规范编制或者项目管理、监理、检测等服务的投标人，不得再参加该采购项目的其他采购活动。</w:t>
            </w:r>
          </w:p>
          <w:p w14:paraId="3ABB0A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rPr>
              <w:t>（4）经信用中国（www.creditchina.gov.cn）、中国政府采购网（www.ccgp.gov.cn）渠道查询后，列入失信被执行人、重大税收违法失信主体、政府采购严重违法失信行为记录名单的，取消投标资格。</w:t>
            </w:r>
          </w:p>
        </w:tc>
      </w:tr>
      <w:tr w14:paraId="1A1B0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4C3B8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是否接收联合体形式</w:t>
            </w:r>
          </w:p>
        </w:tc>
        <w:tc>
          <w:tcPr>
            <w:tcW w:w="6858" w:type="dxa"/>
            <w:tcBorders>
              <w:tl2br w:val="nil"/>
              <w:tr2bl w:val="nil"/>
            </w:tcBorders>
          </w:tcPr>
          <w:p w14:paraId="7AD818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本项目</w:t>
            </w:r>
            <w:r>
              <w:rPr>
                <w:rFonts w:hint="eastAsia" w:ascii="仿宋_GB2312" w:hAnsi="仿宋_GB2312" w:eastAsia="仿宋_GB2312" w:cs="仿宋_GB2312"/>
                <w:color w:val="000000"/>
                <w:kern w:val="0"/>
                <w:sz w:val="24"/>
                <w:szCs w:val="24"/>
                <w:u w:val="single"/>
              </w:rPr>
              <w:t>不接受</w:t>
            </w:r>
            <w:r>
              <w:rPr>
                <w:rFonts w:hint="eastAsia" w:ascii="仿宋_GB2312" w:hAnsi="仿宋_GB2312" w:eastAsia="仿宋_GB2312" w:cs="仿宋_GB2312"/>
                <w:color w:val="000000"/>
                <w:kern w:val="0"/>
                <w:sz w:val="24"/>
                <w:szCs w:val="24"/>
                <w:lang w:val="zh-CN"/>
              </w:rPr>
              <w:t>供应商以联合体方式进行谈判；</w:t>
            </w:r>
          </w:p>
          <w:p w14:paraId="41FAB1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zh-CN"/>
              </w:rPr>
              <w:t>接受联合体形式的，联合体应当具备下列条件：/。</w:t>
            </w:r>
          </w:p>
        </w:tc>
      </w:tr>
      <w:tr w14:paraId="20901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6A9081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进口产品（本项目不适用）</w:t>
            </w:r>
          </w:p>
        </w:tc>
        <w:tc>
          <w:tcPr>
            <w:tcW w:w="6858" w:type="dxa"/>
            <w:tcBorders>
              <w:tl2br w:val="nil"/>
              <w:tr2bl w:val="nil"/>
            </w:tcBorders>
            <w:vAlign w:val="center"/>
          </w:tcPr>
          <w:p w14:paraId="5A810C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color w:val="000000"/>
                <w:kern w:val="0"/>
                <w:sz w:val="24"/>
                <w:szCs w:val="24"/>
                <w:lang w:val="zh-CN"/>
              </w:rPr>
            </w:pPr>
            <w:r>
              <w:rPr>
                <w:rFonts w:hint="eastAsia" w:ascii="仿宋_GB2312" w:hAnsi="仿宋_GB2312" w:eastAsia="仿宋_GB2312" w:cs="仿宋_GB2312"/>
                <w:bCs/>
                <w:sz w:val="24"/>
                <w:szCs w:val="24"/>
              </w:rPr>
              <w:t>本项目（接受/拒绝）进</w:t>
            </w:r>
            <w:r>
              <w:rPr>
                <w:rFonts w:hint="eastAsia" w:ascii="仿宋_GB2312" w:hAnsi="仿宋_GB2312" w:eastAsia="仿宋_GB2312" w:cs="仿宋_GB2312"/>
                <w:sz w:val="24"/>
                <w:szCs w:val="24"/>
              </w:rPr>
              <w:t>口产品参加谈判采购。</w:t>
            </w:r>
          </w:p>
        </w:tc>
      </w:tr>
      <w:tr w14:paraId="1E28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DC235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谈判文件的实质性变动内容</w:t>
            </w:r>
          </w:p>
        </w:tc>
        <w:tc>
          <w:tcPr>
            <w:tcW w:w="6858" w:type="dxa"/>
            <w:tcBorders>
              <w:tl2br w:val="nil"/>
              <w:tr2bl w:val="nil"/>
            </w:tcBorders>
            <w:vAlign w:val="center"/>
          </w:tcPr>
          <w:p w14:paraId="719C1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14:paraId="661A2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C6C2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公告发布时间</w:t>
            </w:r>
          </w:p>
        </w:tc>
        <w:tc>
          <w:tcPr>
            <w:tcW w:w="6858" w:type="dxa"/>
            <w:tcBorders>
              <w:tl2br w:val="nil"/>
              <w:tr2bl w:val="nil"/>
            </w:tcBorders>
          </w:tcPr>
          <w:p w14:paraId="31D52A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rPr>
              <w:t>2025</w:t>
            </w:r>
            <w:r>
              <w:rPr>
                <w:rFonts w:hint="eastAsia" w:ascii="仿宋_GB2312" w:hAnsi="仿宋_GB2312" w:eastAsia="仿宋_GB2312" w:cs="仿宋_GB2312"/>
                <w:color w:val="000000"/>
                <w:kern w:val="0"/>
                <w:sz w:val="24"/>
                <w:szCs w:val="24"/>
                <w:highlight w:val="none"/>
              </w:rPr>
              <w:t>年</w:t>
            </w:r>
            <w:r>
              <w:rPr>
                <w:rFonts w:hint="eastAsia" w:ascii="仿宋_GB2312" w:hAnsi="仿宋_GB2312" w:eastAsia="仿宋_GB2312" w:cs="仿宋_GB2312"/>
                <w:color w:val="000000"/>
                <w:kern w:val="0"/>
                <w:sz w:val="24"/>
                <w:szCs w:val="24"/>
                <w:highlight w:val="none"/>
                <w:lang w:val="en-US" w:eastAsia="zh-CN"/>
              </w:rPr>
              <w:t>06</w:t>
            </w:r>
            <w:r>
              <w:rPr>
                <w:rFonts w:hint="eastAsia" w:ascii="仿宋_GB2312" w:hAnsi="仿宋_GB2312" w:eastAsia="仿宋_GB2312" w:cs="仿宋_GB2312"/>
                <w:color w:val="000000"/>
                <w:kern w:val="0"/>
                <w:sz w:val="24"/>
                <w:szCs w:val="24"/>
                <w:highlight w:val="none"/>
              </w:rPr>
              <w:t>月</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日（北京时间）</w:t>
            </w:r>
          </w:p>
        </w:tc>
      </w:tr>
      <w:tr w14:paraId="2147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42DFD0A0">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起止时间</w:t>
            </w:r>
          </w:p>
        </w:tc>
        <w:tc>
          <w:tcPr>
            <w:tcW w:w="6858" w:type="dxa"/>
            <w:tcBorders>
              <w:tl2br w:val="nil"/>
              <w:tr2bl w:val="nil"/>
            </w:tcBorders>
          </w:tcPr>
          <w:p w14:paraId="466DD5CC">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2025年06月20日00:00至2025年06月24日23:59</w:t>
            </w:r>
          </w:p>
        </w:tc>
      </w:tr>
      <w:tr w14:paraId="5337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7A67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获取方式</w:t>
            </w:r>
          </w:p>
        </w:tc>
        <w:tc>
          <w:tcPr>
            <w:tcW w:w="6858" w:type="dxa"/>
            <w:tcBorders>
              <w:tl2br w:val="nil"/>
              <w:tr2bl w:val="nil"/>
            </w:tcBorders>
            <w:vAlign w:val="center"/>
          </w:tcPr>
          <w:p w14:paraId="1F7CCA0B">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1F4F3990">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文件（进入“项目采购”应用，在获取采购文件菜单中选择项</w:t>
            </w:r>
          </w:p>
          <w:p w14:paraId="696F2F54">
            <w:pPr>
              <w:keepNext w:val="0"/>
              <w:keepLines w:val="0"/>
              <w:pageBreakBefore w:val="0"/>
              <w:widowControl w:val="0"/>
              <w:suppressLineNumbers w:val="0"/>
              <w:tabs>
                <w:tab w:val="left" w:pos="320"/>
              </w:tabs>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目，申请获取采购文件）。</w:t>
            </w:r>
          </w:p>
        </w:tc>
      </w:tr>
      <w:tr w14:paraId="4A3F0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864865D">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地点</w:t>
            </w:r>
          </w:p>
        </w:tc>
        <w:tc>
          <w:tcPr>
            <w:tcW w:w="6858" w:type="dxa"/>
            <w:tcBorders>
              <w:tl2br w:val="nil"/>
              <w:tr2bl w:val="nil"/>
            </w:tcBorders>
            <w:vAlign w:val="center"/>
          </w:tcPr>
          <w:p w14:paraId="6A8FD132">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登录政采云平台 https://www.zcygov.cn/在线申请获取采购</w:t>
            </w:r>
          </w:p>
          <w:p w14:paraId="29F8D25A">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eastAsia="zh-CN"/>
              </w:rPr>
              <w:t>。</w:t>
            </w:r>
          </w:p>
        </w:tc>
      </w:tr>
      <w:tr w14:paraId="4F94C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22E48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获取</w:t>
            </w:r>
            <w:r>
              <w:rPr>
                <w:rFonts w:hint="eastAsia" w:ascii="仿宋_GB2312" w:hAnsi="仿宋_GB2312" w:eastAsia="仿宋_GB2312" w:cs="仿宋_GB2312"/>
                <w:sz w:val="24"/>
                <w:szCs w:val="24"/>
              </w:rPr>
              <w:t>谈判文件时应提供的材料</w:t>
            </w:r>
          </w:p>
        </w:tc>
        <w:tc>
          <w:tcPr>
            <w:tcW w:w="6858" w:type="dxa"/>
            <w:tcBorders>
              <w:tl2br w:val="nil"/>
              <w:tr2bl w:val="nil"/>
            </w:tcBorders>
            <w:vAlign w:val="center"/>
          </w:tcPr>
          <w:p w14:paraId="3D9C6E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营业执照复印件加盖公章</w:t>
            </w:r>
          </w:p>
        </w:tc>
      </w:tr>
      <w:tr w14:paraId="78A27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3E0189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p>
          <w:p w14:paraId="2B704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采购人名称、地址、电话、联系人</w:t>
            </w:r>
          </w:p>
        </w:tc>
        <w:tc>
          <w:tcPr>
            <w:tcW w:w="6858" w:type="dxa"/>
            <w:tcBorders>
              <w:tl2br w:val="nil"/>
              <w:tr2bl w:val="nil"/>
            </w:tcBorders>
          </w:tcPr>
          <w:p w14:paraId="7459D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名称：贵德县新街回族乡人民政府</w:t>
            </w:r>
          </w:p>
          <w:p w14:paraId="0C84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地址：贵德县新街村乡政府</w:t>
            </w:r>
          </w:p>
          <w:p w14:paraId="2E438A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项目联系人：赵女士</w:t>
            </w:r>
          </w:p>
          <w:p w14:paraId="4A655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项目联系方式：0974-8569001</w:t>
            </w:r>
          </w:p>
        </w:tc>
      </w:tr>
      <w:tr w14:paraId="34B098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tcPr>
          <w:p w14:paraId="74B957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仿宋_GB2312" w:hAnsi="仿宋_GB2312" w:eastAsia="仿宋_GB2312" w:cs="仿宋_GB2312"/>
                <w:sz w:val="24"/>
                <w:szCs w:val="24"/>
              </w:rPr>
            </w:pPr>
          </w:p>
          <w:p w14:paraId="42DDF4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采购代理机构及联系人电话</w:t>
            </w:r>
          </w:p>
        </w:tc>
        <w:tc>
          <w:tcPr>
            <w:tcW w:w="6858" w:type="dxa"/>
            <w:tcBorders>
              <w:tl2br w:val="nil"/>
              <w:tr2bl w:val="nil"/>
            </w:tcBorders>
          </w:tcPr>
          <w:p w14:paraId="58679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名称：青海聚鑫工程管理有限公司</w:t>
            </w:r>
          </w:p>
          <w:p w14:paraId="60DEF4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地址：青海生物科技产业园纬一路24号8号大楼11层1101室</w:t>
            </w:r>
          </w:p>
          <w:p w14:paraId="2D4DB5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项目联系人：马先生</w:t>
            </w:r>
          </w:p>
          <w:p w14:paraId="345282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项目联系方式：0971-8266981</w:t>
            </w:r>
          </w:p>
        </w:tc>
      </w:tr>
      <w:tr w14:paraId="3530BD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020F9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保证金</w:t>
            </w:r>
          </w:p>
        </w:tc>
        <w:tc>
          <w:tcPr>
            <w:tcW w:w="6858" w:type="dxa"/>
            <w:tcBorders>
              <w:tl2br w:val="nil"/>
              <w:tr2bl w:val="nil"/>
            </w:tcBorders>
            <w:vAlign w:val="center"/>
          </w:tcPr>
          <w:p w14:paraId="3A1B1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金额：</w:t>
            </w:r>
            <w:r>
              <w:rPr>
                <w:rFonts w:hint="eastAsia" w:ascii="仿宋_GB2312" w:hAnsi="仿宋_GB2312" w:eastAsia="仿宋_GB2312" w:cs="仿宋_GB2312"/>
                <w:sz w:val="24"/>
                <w:szCs w:val="24"/>
                <w:highlight w:val="none"/>
                <w:lang w:val="en-US" w:eastAsia="zh-CN"/>
              </w:rPr>
              <w:t>贰万</w:t>
            </w:r>
            <w:r>
              <w:rPr>
                <w:rFonts w:hint="eastAsia" w:ascii="仿宋_GB2312" w:hAnsi="仿宋_GB2312" w:eastAsia="仿宋_GB2312" w:cs="仿宋_GB2312"/>
                <w:sz w:val="24"/>
                <w:szCs w:val="24"/>
                <w:highlight w:val="none"/>
              </w:rPr>
              <w:t>元整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¥20000.00</w:t>
            </w:r>
            <w:r>
              <w:rPr>
                <w:rFonts w:hint="eastAsia" w:ascii="仿宋_GB2312" w:hAnsi="仿宋_GB2312" w:eastAsia="仿宋_GB2312" w:cs="仿宋_GB2312"/>
                <w:sz w:val="24"/>
                <w:szCs w:val="24"/>
                <w:highlight w:val="none"/>
                <w:lang w:eastAsia="zh-CN"/>
              </w:rPr>
              <w:t>）</w:t>
            </w:r>
          </w:p>
          <w:p w14:paraId="0C54B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开户银行：中国工商银行股份有限公司西宁城北支行</w:t>
            </w:r>
          </w:p>
          <w:p w14:paraId="2F8B8E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收款账号：2806046809000016675</w:t>
            </w:r>
          </w:p>
          <w:p w14:paraId="796EFC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收款单位：青海聚鑫工程管理有限公司</w:t>
            </w:r>
          </w:p>
          <w:p w14:paraId="74E54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缴费方式：</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保证金应当以电汇、转账、支票、汇票、本票或者金融机构、担保机构出具的保函等非现金形式提交。通过银行转账的，必须由供应商从其基本账户汇（转）入采购代理机构指定账户。</w:t>
            </w:r>
          </w:p>
          <w:p w14:paraId="05B23E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户名：青海聚鑫工程管理有限公司</w:t>
            </w:r>
          </w:p>
          <w:p w14:paraId="438DB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开户行：中国工商银行股份有限公司西宁城北支行</w:t>
            </w:r>
          </w:p>
          <w:p w14:paraId="57C0E2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账号：2806046809000016675</w:t>
            </w:r>
          </w:p>
          <w:p w14:paraId="0A3D17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供应商在递交响应文件截止时间前（202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06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26</w:t>
            </w:r>
            <w:r>
              <w:rPr>
                <w:rFonts w:hint="eastAsia" w:ascii="仿宋_GB2312" w:hAnsi="仿宋_GB2312" w:eastAsia="仿宋_GB2312" w:cs="仿宋_GB2312"/>
                <w:sz w:val="24"/>
                <w:szCs w:val="24"/>
                <w:highlight w:val="none"/>
              </w:rPr>
              <w:t>日10:00以前），以银行到账时间为准。</w:t>
            </w:r>
          </w:p>
          <w:p w14:paraId="60E8E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left"/>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供应商未按照</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文件要求提交</w:t>
            </w:r>
            <w:r>
              <w:rPr>
                <w:rFonts w:hint="eastAsia" w:ascii="仿宋_GB2312" w:hAnsi="仿宋_GB2312" w:eastAsia="仿宋_GB2312" w:cs="仿宋_GB2312"/>
                <w:sz w:val="24"/>
                <w:szCs w:val="24"/>
                <w:highlight w:val="none"/>
                <w:lang w:val="en-US" w:eastAsia="zh-CN"/>
              </w:rPr>
              <w:t>谈判</w:t>
            </w:r>
            <w:r>
              <w:rPr>
                <w:rFonts w:hint="eastAsia" w:ascii="仿宋_GB2312" w:hAnsi="仿宋_GB2312" w:eastAsia="仿宋_GB2312" w:cs="仿宋_GB2312"/>
                <w:sz w:val="24"/>
                <w:szCs w:val="24"/>
                <w:highlight w:val="none"/>
              </w:rPr>
              <w:t>保证金的，投标无效。</w:t>
            </w:r>
          </w:p>
        </w:tc>
      </w:tr>
      <w:tr w14:paraId="58203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792F4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bCs/>
                <w:sz w:val="24"/>
                <w:szCs w:val="24"/>
              </w:rPr>
              <w:t>响应文件有效期</w:t>
            </w:r>
          </w:p>
        </w:tc>
        <w:tc>
          <w:tcPr>
            <w:tcW w:w="6858" w:type="dxa"/>
            <w:tcBorders>
              <w:tl2br w:val="nil"/>
              <w:tr2bl w:val="nil"/>
            </w:tcBorders>
            <w:vAlign w:val="center"/>
          </w:tcPr>
          <w:p w14:paraId="3748C7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自谈判提交响应文件截止之日起不少于60天</w:t>
            </w:r>
          </w:p>
        </w:tc>
      </w:tr>
      <w:tr w14:paraId="5B528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354" w:type="dxa"/>
            <w:tcBorders>
              <w:tl2br w:val="nil"/>
              <w:tr2bl w:val="nil"/>
            </w:tcBorders>
            <w:vAlign w:val="center"/>
          </w:tcPr>
          <w:p w14:paraId="1D780F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rPr>
              <w:t>响应文件的递交截止时间</w:t>
            </w:r>
          </w:p>
        </w:tc>
        <w:tc>
          <w:tcPr>
            <w:tcW w:w="6858" w:type="dxa"/>
            <w:tcBorders>
              <w:tl2br w:val="nil"/>
              <w:tr2bl w:val="nil"/>
            </w:tcBorders>
            <w:vAlign w:val="center"/>
          </w:tcPr>
          <w:p w14:paraId="62834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06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26</w:t>
            </w:r>
            <w:r>
              <w:rPr>
                <w:rFonts w:hint="eastAsia" w:ascii="仿宋_GB2312" w:hAnsi="仿宋_GB2312" w:eastAsia="仿宋_GB2312" w:cs="仿宋_GB2312"/>
                <w:sz w:val="24"/>
                <w:szCs w:val="24"/>
                <w:highlight w:val="none"/>
              </w:rPr>
              <w:t>日10时00分</w:t>
            </w:r>
          </w:p>
        </w:tc>
      </w:tr>
      <w:tr w14:paraId="69DB6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354" w:type="dxa"/>
            <w:tcBorders>
              <w:tl2br w:val="nil"/>
              <w:tr2bl w:val="nil"/>
            </w:tcBorders>
            <w:vAlign w:val="center"/>
          </w:tcPr>
          <w:p w14:paraId="1163FF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递交响应文件地点</w:t>
            </w:r>
          </w:p>
        </w:tc>
        <w:tc>
          <w:tcPr>
            <w:tcW w:w="6858" w:type="dxa"/>
            <w:tcBorders>
              <w:tl2br w:val="nil"/>
              <w:tr2bl w:val="nil"/>
            </w:tcBorders>
            <w:vAlign w:val="center"/>
          </w:tcPr>
          <w:p w14:paraId="076CA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供应商应在投标截止时间前按谈判文件要求使用政采云电子</w:t>
            </w:r>
          </w:p>
          <w:p w14:paraId="628A7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投标客户端制作上传电子投标文件，并在开标后 30 分钟内远</w:t>
            </w:r>
          </w:p>
          <w:p w14:paraId="0F3C11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程解密投标文件。</w:t>
            </w:r>
          </w:p>
        </w:tc>
      </w:tr>
      <w:tr w14:paraId="433B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B618C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财政部门指定的媒体</w:t>
            </w:r>
          </w:p>
        </w:tc>
        <w:tc>
          <w:tcPr>
            <w:tcW w:w="6858" w:type="dxa"/>
            <w:tcBorders>
              <w:tl2br w:val="nil"/>
              <w:tr2bl w:val="nil"/>
            </w:tcBorders>
            <w:vAlign w:val="center"/>
          </w:tcPr>
          <w:p w14:paraId="47E2C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u w:val="single"/>
              </w:rPr>
            </w:pPr>
            <w:r>
              <w:rPr>
                <w:rFonts w:hint="eastAsia" w:ascii="仿宋_GB2312" w:hAnsi="仿宋_GB2312" w:eastAsia="仿宋_GB2312" w:cs="仿宋_GB2312"/>
                <w:sz w:val="24"/>
                <w:szCs w:val="24"/>
              </w:rPr>
              <w:t>青海政府采购网</w:t>
            </w:r>
          </w:p>
        </w:tc>
      </w:tr>
      <w:tr w14:paraId="7E383D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tcPr>
          <w:p w14:paraId="5262BBE8">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政策功能</w:t>
            </w:r>
          </w:p>
        </w:tc>
        <w:tc>
          <w:tcPr>
            <w:tcW w:w="6858" w:type="dxa"/>
            <w:tcBorders>
              <w:tl2br w:val="nil"/>
              <w:tr2bl w:val="nil"/>
            </w:tcBorders>
            <w:vAlign w:val="center"/>
          </w:tcPr>
          <w:p w14:paraId="0F712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1、根据《政府采购促进中小企业发展管理办法》（财库〔2020〕46 号）的规定，对于经主管预算单位统筹后未预留份额专门面向中小企业采购的采购项目，以及预留份额项目中的非预留部分采购包，对符合规定的小微企业报价给予10%的扣除，用扣除后的价格参加评审。</w:t>
            </w:r>
          </w:p>
          <w:p w14:paraId="6E0F1B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关于促进残疾人就业政府采购政策的通知》（财库[2017]141号）、《财政部司法部关于政府采购支持监狱企业发展有关问题的通知》(财库〔2014〕68号)相关规定，投标人属于残疾人福利性单位、监狱企业的视同为小型、微型企业，享受评标中价格扣除等促进中小企业发展的政府采购政策，同一个单位同时为小型、微型、残疾人福利性单位、监狱企业的不重复享受政策。</w:t>
            </w:r>
          </w:p>
          <w:p w14:paraId="554F8E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谈判小组</w:t>
            </w:r>
            <w:r>
              <w:rPr>
                <w:rFonts w:hint="eastAsia" w:ascii="仿宋_GB2312" w:hAnsi="仿宋_GB2312" w:eastAsia="仿宋_GB2312" w:cs="仿宋_GB2312"/>
                <w:sz w:val="24"/>
                <w:szCs w:val="24"/>
              </w:rPr>
              <w:t>认为</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仿宋_GB2312" w:hAnsi="仿宋_GB2312" w:eastAsia="仿宋_GB2312" w:cs="仿宋_GB2312"/>
                <w:sz w:val="24"/>
                <w:szCs w:val="24"/>
                <w:lang w:val="en-US" w:eastAsia="zh-CN"/>
              </w:rPr>
              <w:t>谈判小组</w:t>
            </w:r>
            <w:r>
              <w:rPr>
                <w:rFonts w:hint="eastAsia" w:ascii="仿宋_GB2312" w:hAnsi="仿宋_GB2312" w:eastAsia="仿宋_GB2312" w:cs="仿宋_GB2312"/>
                <w:sz w:val="24"/>
                <w:szCs w:val="24"/>
              </w:rPr>
              <w:t>应当将其作为无效投标处理。（参照执行国办发【2024】21号文件）。</w:t>
            </w:r>
          </w:p>
        </w:tc>
      </w:tr>
      <w:tr w14:paraId="03E55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0C50F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代理服务费</w:t>
            </w:r>
          </w:p>
        </w:tc>
        <w:tc>
          <w:tcPr>
            <w:tcW w:w="6858" w:type="dxa"/>
            <w:tcBorders>
              <w:tl2br w:val="nil"/>
              <w:tr2bl w:val="nil"/>
            </w:tcBorders>
            <w:vAlign w:val="center"/>
          </w:tcPr>
          <w:p w14:paraId="1F79E0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收取对象：</w:t>
            </w:r>
            <w:r>
              <w:rPr>
                <w:rFonts w:hint="eastAsia" w:ascii="仿宋_GB2312" w:hAnsi="仿宋_GB2312" w:eastAsia="仿宋_GB2312" w:cs="仿宋_GB2312"/>
                <w:b/>
                <w:bCs/>
                <w:sz w:val="24"/>
                <w:szCs w:val="24"/>
                <w:lang w:val="en-US" w:eastAsia="zh-CN"/>
              </w:rPr>
              <w:t>采购人</w:t>
            </w:r>
          </w:p>
          <w:p w14:paraId="34AF3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收费标准：依据《关于进一步放开建设项目专项业务服务价格的通知》（发改价格[2015]299号）。</w:t>
            </w:r>
          </w:p>
        </w:tc>
      </w:tr>
      <w:tr w14:paraId="6392A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354" w:type="dxa"/>
            <w:tcBorders>
              <w:tl2br w:val="nil"/>
              <w:tr2bl w:val="nil"/>
            </w:tcBorders>
            <w:vAlign w:val="center"/>
          </w:tcPr>
          <w:p w14:paraId="183125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其他规定</w:t>
            </w:r>
          </w:p>
        </w:tc>
        <w:tc>
          <w:tcPr>
            <w:tcW w:w="6858" w:type="dxa"/>
            <w:tcBorders>
              <w:tl2br w:val="nil"/>
              <w:tr2bl w:val="nil"/>
            </w:tcBorders>
            <w:vAlign w:val="center"/>
          </w:tcPr>
          <w:p w14:paraId="7605E1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1、本公告在《青海政府采购网》、《青海省电子招标投标公共服务平台》同时发布。公告内容以青海政府采购网发布的为准。</w:t>
            </w:r>
          </w:p>
          <w:p w14:paraId="02BF9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2、本次</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采用线上提交投标文件的方式进行采购，线上投</w:t>
            </w:r>
          </w:p>
          <w:p w14:paraId="17877D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标文件必须在投标截止时间前上传平台。</w:t>
            </w:r>
          </w:p>
          <w:p w14:paraId="3CBF0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3、若对项目采购电子交易系统操作有疑问，可登录政采云</w:t>
            </w:r>
          </w:p>
          <w:p w14:paraId="3D4952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（https://www.zcygov.cn/），点击右侧咨询小采，获取采小</w:t>
            </w:r>
          </w:p>
          <w:p w14:paraId="0258C4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蜜智能服务管家帮助</w:t>
            </w:r>
            <w:r>
              <w:rPr>
                <w:rFonts w:hint="eastAsia" w:ascii="仿宋_GB2312" w:hAnsi="仿宋_GB2312" w:eastAsia="仿宋_GB2312" w:cs="仿宋_GB2312"/>
                <w:sz w:val="24"/>
                <w:szCs w:val="24"/>
                <w:lang w:val="en-US" w:eastAsia="zh-CN"/>
              </w:rPr>
              <w:t>（或致电咨询95763）</w:t>
            </w:r>
            <w:r>
              <w:rPr>
                <w:rFonts w:hint="eastAsia" w:ascii="仿宋_GB2312" w:hAnsi="仿宋_GB2312" w:eastAsia="仿宋_GB2312" w:cs="仿宋_GB2312"/>
                <w:sz w:val="24"/>
                <w:szCs w:val="24"/>
              </w:rPr>
              <w:t xml:space="preserve">。 </w:t>
            </w:r>
          </w:p>
        </w:tc>
      </w:tr>
      <w:tr w14:paraId="3C2FC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354" w:type="dxa"/>
            <w:tcBorders>
              <w:tl2br w:val="nil"/>
              <w:tr2bl w:val="nil"/>
            </w:tcBorders>
            <w:vAlign w:val="center"/>
          </w:tcPr>
          <w:p w14:paraId="3FF1F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default"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财政监管部门及电话</w:t>
            </w:r>
          </w:p>
        </w:tc>
        <w:tc>
          <w:tcPr>
            <w:tcW w:w="6858" w:type="dxa"/>
            <w:tcBorders>
              <w:tl2br w:val="nil"/>
              <w:tr2bl w:val="nil"/>
            </w:tcBorders>
            <w:vAlign w:val="center"/>
          </w:tcPr>
          <w:p w14:paraId="0A035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监督单位：</w:t>
            </w:r>
            <w:r>
              <w:rPr>
                <w:rFonts w:hint="eastAsia" w:ascii="仿宋_GB2312" w:hAnsi="仿宋_GB2312" w:eastAsia="仿宋_GB2312" w:cs="仿宋_GB2312"/>
                <w:sz w:val="24"/>
                <w:szCs w:val="24"/>
                <w:highlight w:val="none"/>
                <w:lang w:val="en-US" w:eastAsia="zh-CN"/>
              </w:rPr>
              <w:t>贵德县财政局</w:t>
            </w:r>
          </w:p>
          <w:p w14:paraId="4E940B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联系电话：</w:t>
            </w:r>
            <w:r>
              <w:rPr>
                <w:rFonts w:hint="eastAsia" w:ascii="仿宋_GB2312" w:hAnsi="仿宋_GB2312" w:eastAsia="仿宋_GB2312" w:cs="仿宋_GB2312"/>
                <w:sz w:val="24"/>
                <w:szCs w:val="24"/>
                <w:highlight w:val="none"/>
                <w:lang w:val="en-US" w:eastAsia="zh-CN"/>
              </w:rPr>
              <w:t>0974-8552775</w:t>
            </w:r>
          </w:p>
        </w:tc>
      </w:tr>
    </w:tbl>
    <w:p w14:paraId="5F3FFB9E">
      <w:pPr>
        <w:adjustRightInd w:val="0"/>
        <w:snapToGrid w:val="0"/>
        <w:spacing w:before="156" w:beforeLines="50" w:line="560" w:lineRule="exact"/>
        <w:jc w:val="center"/>
        <w:outlineLvl w:val="1"/>
        <w:rPr>
          <w:rFonts w:ascii="黑体" w:hAnsi="黑体" w:eastAsia="黑体" w:cs="黑体"/>
          <w:sz w:val="32"/>
          <w:szCs w:val="32"/>
        </w:rPr>
      </w:pPr>
    </w:p>
    <w:p w14:paraId="1F6C079D">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8" w:name="_Toc31127"/>
      <w:r>
        <w:rPr>
          <w:rFonts w:hint="eastAsia" w:ascii="黑体" w:hAnsi="黑体" w:eastAsia="黑体" w:cs="黑体"/>
          <w:sz w:val="30"/>
          <w:szCs w:val="30"/>
        </w:rPr>
        <w:t>一、说明</w:t>
      </w:r>
      <w:bookmarkEnd w:id="11"/>
      <w:bookmarkEnd w:id="12"/>
      <w:bookmarkEnd w:id="13"/>
      <w:bookmarkEnd w:id="14"/>
      <w:bookmarkEnd w:id="15"/>
      <w:bookmarkEnd w:id="16"/>
      <w:bookmarkEnd w:id="17"/>
      <w:bookmarkEnd w:id="18"/>
    </w:p>
    <w:p w14:paraId="544F347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 w:name="_Toc11775_WPSOffice_Level3"/>
      <w:bookmarkStart w:id="20" w:name="_Toc13645"/>
      <w:bookmarkStart w:id="21" w:name="_Toc22017"/>
      <w:bookmarkStart w:id="22" w:name="_Toc7063_WPSOffice_Level3"/>
      <w:bookmarkStart w:id="23" w:name="_Toc29026"/>
      <w:r>
        <w:rPr>
          <w:rFonts w:hint="eastAsia" w:ascii="楷体_GB2312" w:hAnsi="楷体_GB2312" w:eastAsia="楷体_GB2312" w:cs="楷体_GB2312"/>
          <w:sz w:val="24"/>
          <w:szCs w:val="24"/>
        </w:rPr>
        <w:t>1.适用范围</w:t>
      </w:r>
      <w:bookmarkEnd w:id="19"/>
      <w:bookmarkEnd w:id="20"/>
      <w:bookmarkEnd w:id="21"/>
      <w:bookmarkEnd w:id="22"/>
      <w:bookmarkEnd w:id="23"/>
    </w:p>
    <w:p w14:paraId="333EFB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1.1本竞争性谈判文件仅适用于前述</w:t>
      </w:r>
      <w:r>
        <w:rPr>
          <w:rFonts w:hint="eastAsia" w:ascii="仿宋_GB2312" w:hAnsi="仿宋_GB2312" w:eastAsia="仿宋_GB2312" w:cs="仿宋_GB2312"/>
          <w:b/>
          <w:sz w:val="24"/>
          <w:szCs w:val="24"/>
        </w:rPr>
        <w:t>【</w:t>
      </w:r>
      <w:r>
        <w:rPr>
          <w:rFonts w:hint="eastAsia" w:ascii="仿宋_GB2312" w:hAnsi="仿宋_GB2312" w:eastAsia="仿宋_GB2312" w:cs="仿宋_GB2312"/>
          <w:b w:val="0"/>
          <w:bCs/>
          <w:sz w:val="24"/>
          <w:szCs w:val="24"/>
        </w:rPr>
        <w:t>谈判须知前附表</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中所叙述的采购项目。</w:t>
      </w:r>
    </w:p>
    <w:p w14:paraId="2629890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4" w:name="_Toc1646"/>
      <w:bookmarkStart w:id="25" w:name="_Toc15754_WPSOffice_Level3"/>
      <w:bookmarkStart w:id="26" w:name="_Toc2404_WPSOffice_Level3"/>
      <w:bookmarkStart w:id="27" w:name="_Toc12080"/>
      <w:bookmarkStart w:id="28" w:name="_Toc23029"/>
      <w:r>
        <w:rPr>
          <w:rFonts w:hint="eastAsia" w:ascii="楷体_GB2312" w:hAnsi="楷体_GB2312" w:eastAsia="楷体_GB2312" w:cs="楷体_GB2312"/>
          <w:sz w:val="24"/>
          <w:szCs w:val="24"/>
        </w:rPr>
        <w:t>2.采购人及代理机构</w:t>
      </w:r>
      <w:bookmarkEnd w:id="24"/>
      <w:bookmarkEnd w:id="25"/>
      <w:bookmarkEnd w:id="26"/>
      <w:bookmarkEnd w:id="27"/>
      <w:bookmarkEnd w:id="28"/>
    </w:p>
    <w:p w14:paraId="1C8DD0E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2.2采购人名称、地址、电话、联系人见【谈判须知前附表】。</w:t>
      </w:r>
    </w:p>
    <w:p w14:paraId="77EBB28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2.3采购代理机构名称、地址、电话、联系人、邮箱见【谈判须知前附表】。</w:t>
      </w:r>
    </w:p>
    <w:p w14:paraId="4CDDBA0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9" w:name="_Toc22448"/>
      <w:bookmarkStart w:id="30" w:name="_Toc31395"/>
      <w:bookmarkStart w:id="31" w:name="_Toc955_WPSOffice_Level3"/>
      <w:bookmarkStart w:id="32" w:name="_Toc21695"/>
      <w:bookmarkStart w:id="33" w:name="_Toc8089_WPSOffice_Level3"/>
      <w:r>
        <w:rPr>
          <w:rFonts w:hint="eastAsia" w:ascii="楷体_GB2312" w:hAnsi="楷体_GB2312" w:eastAsia="楷体_GB2312" w:cs="楷体_GB2312"/>
          <w:sz w:val="24"/>
          <w:szCs w:val="24"/>
        </w:rPr>
        <w:t>3.供应商的资格要求</w:t>
      </w:r>
      <w:bookmarkEnd w:id="29"/>
      <w:bookmarkEnd w:id="30"/>
      <w:bookmarkEnd w:id="31"/>
      <w:bookmarkEnd w:id="32"/>
      <w:bookmarkEnd w:id="33"/>
    </w:p>
    <w:p w14:paraId="675844E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3.1供应商是指响应谈判文件要求、参加竞争性谈判采购的法人、其他组织或者自然人。</w:t>
      </w:r>
    </w:p>
    <w:p w14:paraId="35642F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3.2供应商应当符合【谈判须知前附表】规定的供应商资格条件。</w:t>
      </w:r>
    </w:p>
    <w:p w14:paraId="7FAAC61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3.3【谈判须知前附表】规定接受联合体形式的，供应商除应符合上述资格条件的规定外，还应遵守以下规定： </w:t>
      </w:r>
    </w:p>
    <w:p w14:paraId="5D66D8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（l）联合体中有同类资质的供应商按照联合体分工承担相同工作的，应当按照资质等级较低的供应商确定资质等级。</w:t>
      </w:r>
    </w:p>
    <w:p w14:paraId="48D927B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（2）联合体各方应按谈判文件提供的格式签订联合体协议书，明确联合体牵头人和各方的权利义务、合同工作量比例；</w:t>
      </w:r>
    </w:p>
    <w:p w14:paraId="12CF63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（3）联合体各方签订联合体协议书后，</w:t>
      </w:r>
      <w:r>
        <w:rPr>
          <w:rFonts w:hint="eastAsia" w:ascii="仿宋_GB2312" w:hAnsi="仿宋_GB2312" w:eastAsia="仿宋_GB2312" w:cs="仿宋_GB2312"/>
          <w:sz w:val="24"/>
          <w:szCs w:val="24"/>
          <w:lang w:val="zh-CN"/>
        </w:rPr>
        <w:t>不得再单独参加或者与其他供应商组成新的联合体参加同一合同项下的采购活动。</w:t>
      </w:r>
    </w:p>
    <w:p w14:paraId="34909A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34" w:name="_Toc15386"/>
      <w:bookmarkStart w:id="35" w:name="_Toc29322_WPSOffice_Level3"/>
      <w:bookmarkStart w:id="36" w:name="_Toc18921"/>
      <w:bookmarkStart w:id="37" w:name="_Toc558"/>
      <w:bookmarkStart w:id="38" w:name="_Toc24112_WPSOffice_Level3"/>
      <w:r>
        <w:rPr>
          <w:rFonts w:hint="eastAsia" w:ascii="楷体_GB2312" w:hAnsi="楷体_GB2312" w:eastAsia="楷体_GB2312" w:cs="楷体_GB2312"/>
          <w:sz w:val="24"/>
          <w:szCs w:val="24"/>
        </w:rPr>
        <w:t>4.谈判费用</w:t>
      </w:r>
      <w:bookmarkEnd w:id="34"/>
      <w:bookmarkEnd w:id="35"/>
      <w:bookmarkEnd w:id="36"/>
      <w:bookmarkEnd w:id="37"/>
      <w:bookmarkEnd w:id="38"/>
    </w:p>
    <w:p w14:paraId="3262D9D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无论谈判的结果如何，供应商应自行承担所有与竞争性谈判采购活动有关的全部费用。</w:t>
      </w:r>
    </w:p>
    <w:p w14:paraId="25E0623B">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39" w:name="_Toc2404_WPSOffice_Level2"/>
      <w:bookmarkStart w:id="40" w:name="_Toc4912_WPSOffice_Level2"/>
      <w:bookmarkStart w:id="41" w:name="_Toc19663_WPSOffice_Level2"/>
      <w:bookmarkStart w:id="42" w:name="_Toc24356"/>
      <w:bookmarkStart w:id="43" w:name="_Toc24182"/>
      <w:bookmarkStart w:id="44" w:name="_Toc34637766"/>
      <w:bookmarkStart w:id="45" w:name="_Toc28758"/>
      <w:bookmarkStart w:id="46" w:name="_Toc5717"/>
      <w:r>
        <w:rPr>
          <w:rFonts w:hint="eastAsia" w:ascii="黑体" w:hAnsi="黑体" w:eastAsia="黑体" w:cs="黑体"/>
          <w:sz w:val="30"/>
          <w:szCs w:val="30"/>
        </w:rPr>
        <w:t>二、谈判文件</w:t>
      </w:r>
      <w:bookmarkEnd w:id="39"/>
      <w:bookmarkEnd w:id="40"/>
      <w:bookmarkEnd w:id="41"/>
      <w:bookmarkEnd w:id="42"/>
      <w:bookmarkEnd w:id="43"/>
      <w:bookmarkEnd w:id="44"/>
      <w:bookmarkEnd w:id="45"/>
      <w:bookmarkEnd w:id="46"/>
    </w:p>
    <w:p w14:paraId="59E29F9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47" w:name="_Toc1826"/>
      <w:bookmarkStart w:id="48" w:name="_Toc29785_WPSOffice_Level3"/>
      <w:bookmarkStart w:id="49" w:name="_Toc14464"/>
      <w:bookmarkStart w:id="50" w:name="_Toc18786_WPSOffice_Level3"/>
      <w:bookmarkStart w:id="51" w:name="_Toc25326"/>
      <w:r>
        <w:rPr>
          <w:rFonts w:hint="eastAsia" w:ascii="楷体_GB2312" w:hAnsi="楷体_GB2312" w:eastAsia="楷体_GB2312" w:cs="楷体_GB2312"/>
          <w:sz w:val="24"/>
          <w:szCs w:val="24"/>
        </w:rPr>
        <w:t>5.谈判文件的组成</w:t>
      </w:r>
      <w:bookmarkEnd w:id="47"/>
      <w:bookmarkEnd w:id="48"/>
      <w:bookmarkEnd w:id="49"/>
      <w:bookmarkEnd w:id="50"/>
      <w:bookmarkEnd w:id="51"/>
    </w:p>
    <w:p w14:paraId="06B2A0F8">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5.1谈判文件由下列文件组成：</w:t>
      </w:r>
    </w:p>
    <w:p w14:paraId="00BBF996">
      <w:pPr>
        <w:pStyle w:val="9"/>
        <w:pageBreakBefore w:val="0"/>
        <w:widowControl w:val="0"/>
        <w:numPr>
          <w:ilvl w:val="0"/>
          <w:numId w:val="1"/>
        </w:numPr>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谈判邀请</w:t>
      </w:r>
    </w:p>
    <w:p w14:paraId="0AE5459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（2）谈判须知</w:t>
      </w:r>
    </w:p>
    <w:p w14:paraId="5A7D495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（3）采购需求</w:t>
      </w:r>
    </w:p>
    <w:p w14:paraId="23A5F239">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（4）谈判响应文件格式</w:t>
      </w:r>
    </w:p>
    <w:p w14:paraId="6F9FD9D2">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（5）政府采购项目合同书范本</w:t>
      </w:r>
    </w:p>
    <w:p w14:paraId="392F6D5F">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5.2采购人、采购代理机构或者谈判小组在提交首次响应文件截止之日前对已发出的谈判文件进行的澄清或者修改，构成谈判文件的组成部分。</w:t>
      </w:r>
    </w:p>
    <w:p w14:paraId="0DD42770">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5.3谈判文件中，谈判小组根据与供应商谈判情况可能实质性变动的内容见【谈判须知前附表】。对谈判文件作出的实质性变动是谈判文件的有效组成部分。</w:t>
      </w:r>
    </w:p>
    <w:p w14:paraId="06B9C86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2" w:name="_Toc18056"/>
      <w:bookmarkStart w:id="53" w:name="_Toc31604_WPSOffice_Level3"/>
      <w:bookmarkStart w:id="54" w:name="_Toc1317"/>
      <w:bookmarkStart w:id="55" w:name="_Toc22054"/>
      <w:bookmarkStart w:id="56" w:name="_Toc25455_WPSOffice_Level3"/>
      <w:r>
        <w:rPr>
          <w:rFonts w:hint="eastAsia" w:ascii="楷体_GB2312" w:hAnsi="楷体_GB2312" w:eastAsia="楷体_GB2312" w:cs="楷体_GB2312"/>
          <w:sz w:val="24"/>
          <w:szCs w:val="24"/>
        </w:rPr>
        <w:t>6.谈判文件的澄清</w:t>
      </w:r>
      <w:r>
        <w:rPr>
          <w:rFonts w:hint="eastAsia" w:ascii="楷体_GB2312" w:hAnsi="楷体_GB2312" w:eastAsia="楷体_GB2312" w:cs="楷体_GB2312"/>
          <w:sz w:val="24"/>
          <w:szCs w:val="24"/>
          <w:lang w:val="zh-CN"/>
        </w:rPr>
        <w:t>或者</w:t>
      </w:r>
      <w:r>
        <w:rPr>
          <w:rFonts w:hint="eastAsia" w:ascii="楷体_GB2312" w:hAnsi="楷体_GB2312" w:eastAsia="楷体_GB2312" w:cs="楷体_GB2312"/>
          <w:sz w:val="24"/>
          <w:szCs w:val="24"/>
        </w:rPr>
        <w:t>修改</w:t>
      </w:r>
      <w:bookmarkEnd w:id="52"/>
      <w:bookmarkEnd w:id="53"/>
      <w:bookmarkEnd w:id="54"/>
      <w:bookmarkEnd w:id="55"/>
      <w:bookmarkEnd w:id="56"/>
    </w:p>
    <w:p w14:paraId="529505F1">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6.1在提交首次响应文件截止之3个工作日前，采购人、采购代理机构或者谈判小组可以对已发出的谈判文件进行必要的澄清或者修改。</w:t>
      </w:r>
    </w:p>
    <w:p w14:paraId="250E952A">
      <w:pPr>
        <w:pStyle w:val="9"/>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6.2澄清或者修改的内容可能影响响应文件编制的，采购人、采购代理机构或者谈判小组应当在提交首次响应文件截止之日3个工作日前，</w:t>
      </w:r>
      <w:r>
        <w:rPr>
          <w:rFonts w:hint="eastAsia" w:ascii="仿宋_GB2312" w:hAnsi="仿宋_GB2312" w:eastAsia="仿宋_GB2312" w:cs="仿宋_GB2312"/>
          <w:sz w:val="24"/>
          <w:szCs w:val="24"/>
          <w:lang w:val="en-US" w:eastAsia="zh-CN"/>
        </w:rPr>
        <w:t>通过政采云平台</w:t>
      </w:r>
      <w:r>
        <w:rPr>
          <w:rFonts w:hint="eastAsia" w:ascii="仿宋_GB2312" w:hAnsi="仿宋_GB2312" w:eastAsia="仿宋_GB2312" w:cs="仿宋_GB2312"/>
          <w:sz w:val="24"/>
          <w:szCs w:val="24"/>
        </w:rPr>
        <w:t>通知所有接收谈判文件的供应商，不足3个工作日的，顺延供应商提交首次响应文件截止时间。</w:t>
      </w:r>
    </w:p>
    <w:p w14:paraId="0A41088F">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57" w:name="_Toc25126"/>
      <w:bookmarkStart w:id="58" w:name="_Toc6866_WPSOffice_Level3"/>
      <w:bookmarkStart w:id="59" w:name="_Toc21736"/>
      <w:bookmarkStart w:id="60" w:name="_Toc4138_WPSOffice_Level3"/>
      <w:bookmarkStart w:id="61" w:name="_Toc27004"/>
      <w:bookmarkStart w:id="62" w:name="_Toc30"/>
      <w:bookmarkStart w:id="63" w:name="_Toc34637767"/>
      <w:r>
        <w:rPr>
          <w:rFonts w:hint="eastAsia" w:ascii="楷体_GB2312" w:hAnsi="楷体_GB2312" w:eastAsia="楷体_GB2312" w:cs="楷体_GB2312"/>
          <w:sz w:val="24"/>
          <w:szCs w:val="24"/>
        </w:rPr>
        <w:t>7.谈判文件的询问或质疑</w:t>
      </w:r>
      <w:bookmarkEnd w:id="57"/>
      <w:bookmarkEnd w:id="58"/>
      <w:bookmarkEnd w:id="59"/>
      <w:bookmarkEnd w:id="60"/>
      <w:bookmarkEnd w:id="61"/>
      <w:bookmarkEnd w:id="62"/>
    </w:p>
    <w:p w14:paraId="4955D2C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7.1供应商对谈判文件有疑问的，可以向采购人、采购代理机构提出询问。</w:t>
      </w:r>
    </w:p>
    <w:p w14:paraId="348A96D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519FA66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7.3供应商认为谈判文件使自己的权益受到损害的，应以书面形式提出质疑（不接受匿名质疑），供应商须在法定质疑期内一次性提出针对同一采购程序环节的质疑。</w:t>
      </w:r>
    </w:p>
    <w:p w14:paraId="39199EF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64" w:name="_Toc28815"/>
      <w:bookmarkStart w:id="65" w:name="_Toc955_WPSOffice_Level2"/>
      <w:bookmarkStart w:id="66" w:name="_Toc5732_WPSOffice_Level2"/>
      <w:bookmarkStart w:id="67" w:name="_Toc25876"/>
      <w:bookmarkStart w:id="68" w:name="_Toc16902"/>
      <w:bookmarkStart w:id="69" w:name="_Toc23235_WPSOffice_Level2"/>
      <w:r>
        <w:rPr>
          <w:rFonts w:hint="eastAsia" w:ascii="黑体" w:hAnsi="黑体" w:eastAsia="黑体" w:cs="黑体"/>
          <w:sz w:val="30"/>
          <w:szCs w:val="30"/>
        </w:rPr>
        <w:t>三、响应文件</w:t>
      </w:r>
      <w:bookmarkEnd w:id="63"/>
      <w:bookmarkEnd w:id="64"/>
      <w:bookmarkEnd w:id="65"/>
      <w:bookmarkEnd w:id="66"/>
      <w:bookmarkEnd w:id="67"/>
      <w:bookmarkEnd w:id="68"/>
      <w:bookmarkEnd w:id="69"/>
    </w:p>
    <w:p w14:paraId="6497822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0" w:name="_Toc3622"/>
      <w:bookmarkStart w:id="71" w:name="_Toc22063"/>
      <w:bookmarkStart w:id="72" w:name="_Toc10843_WPSOffice_Level3"/>
      <w:bookmarkStart w:id="73" w:name="_Toc2475"/>
      <w:bookmarkStart w:id="74" w:name="_Toc1096_WPSOffice_Level3"/>
      <w:bookmarkStart w:id="75" w:name="_Toc17983"/>
      <w:r>
        <w:rPr>
          <w:rFonts w:hint="eastAsia" w:ascii="楷体_GB2312" w:hAnsi="楷体_GB2312" w:eastAsia="楷体_GB2312" w:cs="楷体_GB2312"/>
          <w:sz w:val="24"/>
          <w:szCs w:val="24"/>
        </w:rPr>
        <w:t>8.一般要求</w:t>
      </w:r>
      <w:bookmarkEnd w:id="70"/>
      <w:bookmarkEnd w:id="71"/>
      <w:bookmarkEnd w:id="72"/>
      <w:bookmarkEnd w:id="73"/>
      <w:bookmarkEnd w:id="74"/>
      <w:bookmarkEnd w:id="75"/>
    </w:p>
    <w:p w14:paraId="6D686E2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5578BE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9FD6E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8.3除谈判文件中另有规定外，谈判响应文件所使用的度量衡单位，均须采用国家法定计量单位。未列明时应默认为我国法定计量单位。</w:t>
      </w:r>
    </w:p>
    <w:p w14:paraId="66C67EB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8.4响应文件应采用书面形式，电报、传真、电子邮件形式的响应文件概不接受。</w:t>
      </w:r>
    </w:p>
    <w:p w14:paraId="1D07AFE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8.5供应商应按谈判文件中提供的响应文件格式进行填写。</w:t>
      </w:r>
    </w:p>
    <w:p w14:paraId="52B9839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76" w:name="_Toc14527_WPSOffice_Level3"/>
      <w:bookmarkStart w:id="77" w:name="_Toc16030"/>
      <w:bookmarkStart w:id="78" w:name="_Toc20423_WPSOffice_Level3"/>
      <w:bookmarkStart w:id="79" w:name="_Toc12007"/>
      <w:bookmarkStart w:id="80" w:name="_Toc18780"/>
      <w:r>
        <w:rPr>
          <w:rFonts w:hint="eastAsia" w:ascii="楷体_GB2312" w:hAnsi="楷体_GB2312" w:eastAsia="楷体_GB2312" w:cs="楷体_GB2312"/>
          <w:sz w:val="24"/>
          <w:szCs w:val="24"/>
        </w:rPr>
        <w:t>9.报价要求</w:t>
      </w:r>
      <w:bookmarkEnd w:id="76"/>
      <w:bookmarkEnd w:id="77"/>
      <w:bookmarkEnd w:id="78"/>
      <w:bookmarkEnd w:id="79"/>
      <w:bookmarkEnd w:id="80"/>
    </w:p>
    <w:p w14:paraId="0AEA4CB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9.1供应商应当根据谈判文件“分项报价表”逐一报价；</w:t>
      </w:r>
    </w:p>
    <w:p w14:paraId="07691BB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9.2在首次报价表、分项报价表、最后报价表填写报价时应注意下列要求：</w:t>
      </w:r>
    </w:p>
    <w:p w14:paraId="202DD3A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（1）采购需求要求的服务费用。</w:t>
      </w:r>
    </w:p>
    <w:p w14:paraId="62BF66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（2）所有根据合同或其它原因应由供应商交纳和支付的税款和费用。</w:t>
      </w:r>
    </w:p>
    <w:p w14:paraId="0896DC2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（3）供应商报价应为完成本竞争性谈判文件中所要求的服务所应包括内容的所有价格。</w:t>
      </w:r>
    </w:p>
    <w:p w14:paraId="615AC0D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9.3</w:t>
      </w:r>
      <w:r>
        <w:rPr>
          <w:rFonts w:hint="eastAsia" w:ascii="仿宋_GB2312" w:hAnsi="仿宋_GB2312" w:eastAsia="仿宋_GB2312" w:cs="仿宋_GB2312"/>
          <w:sz w:val="24"/>
          <w:szCs w:val="24"/>
          <w:lang w:val="zh-CN"/>
        </w:rPr>
        <w:t>供应商</w:t>
      </w:r>
      <w:r>
        <w:rPr>
          <w:rFonts w:hint="eastAsia" w:ascii="仿宋_GB2312" w:hAnsi="仿宋_GB2312" w:eastAsia="仿宋_GB2312" w:cs="仿宋_GB2312"/>
          <w:sz w:val="24"/>
          <w:szCs w:val="24"/>
        </w:rPr>
        <w:t>的每次报价均不得超过采购项目预算，否则视为无效响应。采购项目预算见【谈判须知前附表】。</w:t>
      </w:r>
    </w:p>
    <w:p w14:paraId="6D52A8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9.4供应商提交的最后报价在合同执行过程中是固定不变的，不得以任何理由予以变更。以可变动价格提交的报价将被认为是非实质响应而被拒绝。</w:t>
      </w:r>
    </w:p>
    <w:p w14:paraId="5003F2C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9.5谈判报价为总价。供应商须按要求填写谈判总报价，最后报价不得出现两个或两个以上的报价方案。 </w:t>
      </w:r>
    </w:p>
    <w:p w14:paraId="1BF85AE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9.6报价币种为人民币。</w:t>
      </w:r>
    </w:p>
    <w:p w14:paraId="6A04902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1" w:name="_Toc19609_WPSOffice_Level3"/>
      <w:bookmarkStart w:id="82" w:name="_Toc30481"/>
      <w:bookmarkStart w:id="83" w:name="_Toc30839"/>
      <w:bookmarkStart w:id="84" w:name="_Toc24956_WPSOffice_Level3"/>
      <w:bookmarkStart w:id="85" w:name="_Toc27369"/>
      <w:r>
        <w:rPr>
          <w:rFonts w:hint="eastAsia" w:ascii="楷体_GB2312" w:hAnsi="楷体_GB2312" w:eastAsia="楷体_GB2312" w:cs="楷体_GB2312"/>
          <w:sz w:val="24"/>
          <w:szCs w:val="24"/>
        </w:rPr>
        <w:t>10.保证金</w:t>
      </w:r>
      <w:bookmarkEnd w:id="81"/>
      <w:bookmarkEnd w:id="82"/>
      <w:bookmarkEnd w:id="83"/>
      <w:bookmarkEnd w:id="84"/>
      <w:bookmarkEnd w:id="85"/>
    </w:p>
    <w:p w14:paraId="39E432C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FFB3E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10.2</w:t>
      </w:r>
      <w:r>
        <w:rPr>
          <w:rFonts w:hint="eastAsia" w:ascii="仿宋_GB2312" w:hAnsi="仿宋_GB2312" w:eastAsia="仿宋_GB2312" w:cs="仿宋_GB2312"/>
          <w:sz w:val="24"/>
          <w:szCs w:val="24"/>
          <w:lang w:val="zh-CN"/>
        </w:rPr>
        <w:t>供应商为联合体的，可以由联合体中的一方或者共同交纳保证金，其交纳的保证金，对联合体各方均具有约束力。</w:t>
      </w:r>
    </w:p>
    <w:p w14:paraId="4F55F0B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10.3保证金的退还按以下规定办理：</w:t>
      </w:r>
    </w:p>
    <w:p w14:paraId="5EACFB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（1）成交供应商的保证金，在政府采购合同签订后5个工作日内退还，但因供应商自身原因导致无法退还的除外。</w:t>
      </w:r>
    </w:p>
    <w:p w14:paraId="551C9F2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（2）未成交供应商的保证金，在成交通知书发出后5个工作日内退还。</w:t>
      </w:r>
    </w:p>
    <w:p w14:paraId="278C488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（3）终止竞争性谈判采购活动的，在发布项目终止公告后5个工作日内退还。</w:t>
      </w:r>
    </w:p>
    <w:p w14:paraId="15C606E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10.4有下列情形之一的，保证金不予退还，并上缴同级财政国库：</w:t>
      </w:r>
    </w:p>
    <w:p w14:paraId="33E9B05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（1）供应商在提交响应文件截止时间后撤回响应文件的；</w:t>
      </w:r>
    </w:p>
    <w:p w14:paraId="10A6F69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（2）供应商在响应文件中提供虚假材料的；</w:t>
      </w:r>
    </w:p>
    <w:p w14:paraId="53D6DF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（3）除因不可抗力或谈判文件认可的情形以外，成交供应商不与采购人签订合同的； </w:t>
      </w:r>
    </w:p>
    <w:p w14:paraId="46E6549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（4）供应商与采购人、其他供应商或者采购代理机构恶意串通的； </w:t>
      </w:r>
    </w:p>
    <w:p w14:paraId="64C4EED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（5）谈判文件规定的其他情形。</w:t>
      </w:r>
    </w:p>
    <w:p w14:paraId="7C8B220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86" w:name="_Toc26981"/>
      <w:bookmarkStart w:id="87" w:name="_Toc18765_WPSOffice_Level3"/>
      <w:bookmarkStart w:id="88" w:name="_Toc4945_WPSOffice_Level3"/>
      <w:bookmarkStart w:id="89" w:name="_Toc14144"/>
      <w:bookmarkStart w:id="90" w:name="_Toc5897"/>
      <w:r>
        <w:rPr>
          <w:rFonts w:hint="eastAsia" w:ascii="楷体_GB2312" w:hAnsi="楷体_GB2312" w:eastAsia="楷体_GB2312" w:cs="楷体_GB2312"/>
          <w:sz w:val="24"/>
          <w:szCs w:val="24"/>
        </w:rPr>
        <w:t>11.响应文件的组成</w:t>
      </w:r>
      <w:bookmarkEnd w:id="86"/>
      <w:bookmarkEnd w:id="87"/>
      <w:bookmarkEnd w:id="88"/>
      <w:bookmarkEnd w:id="89"/>
      <w:bookmarkEnd w:id="90"/>
    </w:p>
    <w:p w14:paraId="21E903C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11.1响应文件包括下列内容： </w:t>
      </w:r>
    </w:p>
    <w:p w14:paraId="7685A0D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供应商应提交相关证明材料，作为其参加谈判和成交后有能力履行合同的证明。编写的谈判响应文件须包括以下内容（格式详见谈判文件第四部分内容）：</w:t>
      </w:r>
    </w:p>
    <w:p w14:paraId="033D937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11.1.1</w:t>
      </w:r>
      <w:r>
        <w:rPr>
          <w:rFonts w:hint="eastAsia" w:ascii="仿宋_GB2312" w:hAnsi="仿宋_GB2312" w:eastAsia="仿宋_GB2312" w:cs="仿宋_GB2312"/>
          <w:sz w:val="24"/>
          <w:szCs w:val="24"/>
          <w:lang w:val="zh-CN"/>
        </w:rPr>
        <w:t>资格审查部分</w:t>
      </w:r>
    </w:p>
    <w:p w14:paraId="2F28265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1、响应函</w:t>
      </w:r>
    </w:p>
    <w:p w14:paraId="5FC94D4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2、法定代表人证明书</w:t>
      </w:r>
    </w:p>
    <w:p w14:paraId="4E3263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3、法定代表人授权书</w:t>
      </w:r>
    </w:p>
    <w:p w14:paraId="71FEB5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4、供应商承诺函</w:t>
      </w:r>
    </w:p>
    <w:p w14:paraId="61964EA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5、供应商诚信承诺书</w:t>
      </w:r>
    </w:p>
    <w:p w14:paraId="0669A61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6、供应商资格证明文件</w:t>
      </w:r>
    </w:p>
    <w:p w14:paraId="5057BCD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7、财务状况、缴纳税收和社会保障资金证明</w:t>
      </w:r>
    </w:p>
    <w:p w14:paraId="2279AC8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8、无重大违法记录声明</w:t>
      </w:r>
    </w:p>
    <w:p w14:paraId="3B5232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9、谈判保证金证明</w:t>
      </w:r>
    </w:p>
    <w:p w14:paraId="411AD3F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11.1.2有效性、完整性、响应程度审查</w:t>
      </w:r>
      <w:r>
        <w:rPr>
          <w:rFonts w:hint="eastAsia" w:ascii="仿宋_GB2312" w:hAnsi="仿宋_GB2312" w:eastAsia="仿宋_GB2312" w:cs="仿宋_GB2312"/>
          <w:sz w:val="24"/>
          <w:szCs w:val="24"/>
          <w:lang w:val="zh-CN"/>
        </w:rPr>
        <w:t>部分</w:t>
      </w:r>
    </w:p>
    <w:p w14:paraId="40D5C1B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1、谈判首次报价表</w:t>
      </w:r>
    </w:p>
    <w:p w14:paraId="324D92A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zh-CN"/>
        </w:rPr>
        <w:t>2、</w:t>
      </w:r>
      <w:r>
        <w:rPr>
          <w:rFonts w:hint="eastAsia" w:ascii="仿宋_GB2312" w:hAnsi="仿宋_GB2312" w:eastAsia="仿宋_GB2312" w:cs="仿宋_GB2312"/>
          <w:sz w:val="24"/>
          <w:szCs w:val="24"/>
          <w:highlight w:val="none"/>
          <w:lang w:val="en-US" w:eastAsia="zh-CN"/>
        </w:rPr>
        <w:t>分项报价表</w:t>
      </w:r>
    </w:p>
    <w:p w14:paraId="5B83A67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3、技术规格响应表</w:t>
      </w:r>
    </w:p>
    <w:p w14:paraId="2E94DEF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、具备履行合同所必须的设备和专业技术能力证明</w:t>
      </w:r>
    </w:p>
    <w:p w14:paraId="3DA301C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、供应商认为在其他方面有必要说明的事项</w:t>
      </w:r>
    </w:p>
    <w:p w14:paraId="5BCA241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zh-CN"/>
        </w:rPr>
        <w:t>、享受政府采购政策优惠的证明资料</w:t>
      </w:r>
    </w:p>
    <w:p w14:paraId="4F5932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、谈判最后报价表</w:t>
      </w:r>
    </w:p>
    <w:p w14:paraId="168D339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zh-CN"/>
        </w:rPr>
        <w:t>、其他证明材料</w:t>
      </w:r>
    </w:p>
    <w:p w14:paraId="36BF76C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供应商须按上述内容、顺序和格式编制响应文件，并按要求编制目录、页码，并保证所提供的全部资料真实可信，自愿承担相应责任。</w:t>
      </w:r>
    </w:p>
    <w:p w14:paraId="49FB62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11.2在谈判过程中，供应商根据谈判小组书面形式要求提交的最后报价是响应文件的有效组成部分。</w:t>
      </w:r>
    </w:p>
    <w:p w14:paraId="694DF4B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1" w:name="_Toc28283"/>
      <w:bookmarkStart w:id="92" w:name="_Toc3694_WPSOffice_Level3"/>
      <w:bookmarkStart w:id="93" w:name="_Toc11674"/>
      <w:bookmarkStart w:id="94" w:name="_Toc14930_WPSOffice_Level3"/>
      <w:bookmarkStart w:id="95" w:name="_Toc26621"/>
      <w:r>
        <w:rPr>
          <w:rFonts w:hint="eastAsia" w:ascii="楷体_GB2312" w:hAnsi="楷体_GB2312" w:eastAsia="楷体_GB2312" w:cs="楷体_GB2312"/>
          <w:sz w:val="24"/>
          <w:szCs w:val="24"/>
        </w:rPr>
        <w:t>12.响应文件有效期</w:t>
      </w:r>
      <w:bookmarkEnd w:id="91"/>
      <w:bookmarkEnd w:id="92"/>
      <w:bookmarkEnd w:id="93"/>
      <w:bookmarkEnd w:id="94"/>
      <w:bookmarkEnd w:id="95"/>
    </w:p>
    <w:p w14:paraId="14EFC08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响应文件有效期见【谈判须知前附表】，在此期间响应文件对供应商具有法律约束力，从提交首次响应文件截止时间之日起计算。响应文件有效期不足的将被视为无效响应。</w:t>
      </w:r>
    </w:p>
    <w:p w14:paraId="34F004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96" w:name="_Toc20265"/>
      <w:bookmarkStart w:id="97" w:name="_Toc31682_WPSOffice_Level3"/>
      <w:bookmarkStart w:id="98" w:name="_Toc8136"/>
      <w:bookmarkStart w:id="99" w:name="_Toc21033"/>
      <w:bookmarkStart w:id="100" w:name="_Toc8507_WPSOffice_Level3"/>
      <w:r>
        <w:rPr>
          <w:rFonts w:hint="eastAsia" w:ascii="楷体_GB2312" w:hAnsi="楷体_GB2312" w:eastAsia="楷体_GB2312" w:cs="楷体_GB2312"/>
          <w:sz w:val="24"/>
          <w:szCs w:val="24"/>
        </w:rPr>
        <w:t>13.响应文件的签署及规定</w:t>
      </w:r>
      <w:bookmarkEnd w:id="96"/>
      <w:bookmarkEnd w:id="97"/>
      <w:bookmarkEnd w:id="98"/>
      <w:bookmarkEnd w:id="99"/>
      <w:bookmarkEnd w:id="100"/>
    </w:p>
    <w:p w14:paraId="6BC2CB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11E709C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 xml:space="preserve">13.2 </w:t>
      </w:r>
      <w:r>
        <w:rPr>
          <w:rFonts w:hint="eastAsia" w:ascii="仿宋_GB2312" w:hAnsi="仿宋_GB2312" w:eastAsia="仿宋_GB2312" w:cs="仿宋_GB2312"/>
          <w:sz w:val="24"/>
          <w:szCs w:val="24"/>
          <w:lang w:val="zh-CN"/>
        </w:rPr>
        <w:t>供应商应按照谈判文件所提供的文件格式，分别填写谈判文件第四部分的内容，应分别注明所提供服务的名称、要求、和价格等内容；谈判文件要求签字、盖章的地方必须由供应商的法定代表人或委托代理人签字、盖章。</w:t>
      </w:r>
    </w:p>
    <w:p w14:paraId="3EBE070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响应文件不得行间插字，若有修改错漏处，应由供应商法定代表人或者其委托代理人签字、加盖公章。否则，将导致响应文件无效。</w:t>
      </w:r>
    </w:p>
    <w:p w14:paraId="0697B34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在谈判过程中，供应商按谈判文件规定和谈判小组</w:t>
      </w:r>
      <w:r>
        <w:rPr>
          <w:rFonts w:hint="eastAsia" w:ascii="仿宋_GB2312" w:hAnsi="仿宋_GB2312" w:eastAsia="仿宋_GB2312" w:cs="仿宋_GB2312"/>
          <w:sz w:val="24"/>
          <w:szCs w:val="24"/>
          <w:lang w:val="en-US" w:eastAsia="zh-CN"/>
        </w:rPr>
        <w:t>通过政采云平台发起的报价</w:t>
      </w:r>
      <w:r>
        <w:rPr>
          <w:rFonts w:hint="eastAsia" w:ascii="仿宋_GB2312" w:hAnsi="仿宋_GB2312" w:eastAsia="仿宋_GB2312" w:cs="仿宋_GB2312"/>
          <w:sz w:val="24"/>
          <w:szCs w:val="24"/>
        </w:rPr>
        <w:t>要求提交的最后报价(或者重新提交的响应文件和最后报价)。</w:t>
      </w:r>
    </w:p>
    <w:p w14:paraId="68CD6972">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01" w:name="_Toc34637768"/>
      <w:bookmarkStart w:id="102" w:name="_Toc25869"/>
      <w:bookmarkStart w:id="103" w:name="_Toc24112_WPSOffice_Level2"/>
      <w:bookmarkStart w:id="104" w:name="_Toc30575"/>
      <w:bookmarkStart w:id="105" w:name="_Toc8361"/>
      <w:bookmarkStart w:id="106" w:name="_Toc17315"/>
      <w:bookmarkStart w:id="107" w:name="_Toc31349_WPSOffice_Level2"/>
      <w:bookmarkStart w:id="108" w:name="_Toc32627_WPSOffice_Level2"/>
      <w:r>
        <w:rPr>
          <w:rFonts w:hint="eastAsia" w:ascii="黑体" w:hAnsi="黑体" w:eastAsia="黑体" w:cs="黑体"/>
          <w:sz w:val="30"/>
          <w:szCs w:val="30"/>
        </w:rPr>
        <w:t>四、响应文件的递交</w:t>
      </w:r>
      <w:bookmarkEnd w:id="101"/>
      <w:bookmarkEnd w:id="102"/>
      <w:bookmarkEnd w:id="103"/>
      <w:bookmarkEnd w:id="104"/>
      <w:bookmarkEnd w:id="105"/>
      <w:bookmarkEnd w:id="106"/>
      <w:bookmarkEnd w:id="107"/>
      <w:bookmarkEnd w:id="108"/>
    </w:p>
    <w:p w14:paraId="6C196D8D">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09" w:name="_Toc7845_WPSOffice_Level3"/>
      <w:bookmarkStart w:id="110" w:name="_Toc405"/>
      <w:bookmarkStart w:id="111" w:name="_Toc18048"/>
      <w:bookmarkStart w:id="112" w:name="_Toc1241"/>
      <w:bookmarkStart w:id="113" w:name="_Toc13231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.响应文件的递交</w:t>
      </w:r>
      <w:bookmarkEnd w:id="109"/>
      <w:bookmarkEnd w:id="110"/>
      <w:bookmarkEnd w:id="111"/>
      <w:bookmarkEnd w:id="112"/>
      <w:bookmarkEnd w:id="113"/>
    </w:p>
    <w:p w14:paraId="3F5E54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供应商应在【谈判须知前附表】规定的时间和地点提交响应文件。将投标文件上传指定平台，任何单位和个人不得在开标前开启响应文件。</w:t>
      </w:r>
    </w:p>
    <w:p w14:paraId="041C95CE">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14" w:name="_Toc17912"/>
      <w:bookmarkStart w:id="115" w:name="_Toc31959"/>
      <w:bookmarkStart w:id="116" w:name="_Toc19521_WPSOffice_Level3"/>
      <w:bookmarkStart w:id="117" w:name="_Toc5063_WPSOffice_Level3"/>
      <w:bookmarkStart w:id="118" w:name="_Toc15490"/>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.响应文件的</w:t>
      </w:r>
      <w:r>
        <w:rPr>
          <w:rFonts w:hint="eastAsia" w:ascii="楷体_GB2312" w:hAnsi="楷体_GB2312" w:eastAsia="楷体_GB2312" w:cs="楷体_GB2312"/>
          <w:sz w:val="24"/>
          <w:szCs w:val="24"/>
          <w:lang w:val="zh-CN"/>
        </w:rPr>
        <w:t>补充、修改或者撤回</w:t>
      </w:r>
      <w:bookmarkEnd w:id="114"/>
      <w:bookmarkEnd w:id="115"/>
      <w:bookmarkEnd w:id="116"/>
      <w:bookmarkEnd w:id="117"/>
      <w:bookmarkEnd w:id="118"/>
    </w:p>
    <w:p w14:paraId="136379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19" w:name="_Toc32435"/>
      <w:bookmarkStart w:id="120" w:name="_Toc34637769"/>
      <w:r>
        <w:rPr>
          <w:rFonts w:hint="eastAsia" w:ascii="仿宋_GB2312" w:hAnsi="仿宋_GB2312" w:eastAsia="仿宋_GB2312" w:cs="仿宋_GB2312"/>
          <w:sz w:val="24"/>
          <w:szCs w:val="24"/>
        </w:rPr>
        <w:t>供应商在谈判截止时间前，可以对所递交的响应文件进行补充、修改或者撤回，并通知采购人或者采购代理机构。补充、修改的内容作为响应文件的组成部分，补充、修改的内容与响应文件不一致的，以补充、修改的内容为准。</w:t>
      </w:r>
      <w:bookmarkEnd w:id="119"/>
    </w:p>
    <w:p w14:paraId="04D365BC">
      <w:pPr>
        <w:keepNext w:val="0"/>
        <w:keepLines w:val="0"/>
        <w:pageBreakBefore w:val="0"/>
        <w:widowControl w:val="0"/>
        <w:kinsoku/>
        <w:wordWrap/>
        <w:overflowPunct/>
        <w:topLinePunct w:val="0"/>
        <w:autoSpaceDE/>
        <w:autoSpaceDN/>
        <w:bidi w:val="0"/>
        <w:adjustRightInd w:val="0"/>
        <w:snapToGrid w:val="0"/>
        <w:spacing w:before="313" w:beforeLines="100" w:line="500" w:lineRule="exact"/>
        <w:jc w:val="center"/>
        <w:textAlignment w:val="auto"/>
        <w:outlineLvl w:val="1"/>
        <w:rPr>
          <w:rFonts w:hint="eastAsia" w:ascii="黑体" w:hAnsi="黑体" w:eastAsia="黑体" w:cs="黑体"/>
          <w:sz w:val="30"/>
          <w:szCs w:val="30"/>
        </w:rPr>
      </w:pPr>
      <w:bookmarkStart w:id="121" w:name="_Toc12974"/>
      <w:bookmarkStart w:id="122" w:name="_Toc24988"/>
      <w:bookmarkStart w:id="123" w:name="_Toc18610_WPSOffice_Level2"/>
      <w:bookmarkStart w:id="124" w:name="_Toc29785_WPSOffice_Level2"/>
      <w:bookmarkStart w:id="125" w:name="_Toc25721_WPSOffice_Level2"/>
      <w:bookmarkStart w:id="126" w:name="_Toc31993"/>
      <w:bookmarkStart w:id="127" w:name="_Toc10968"/>
      <w:r>
        <w:rPr>
          <w:rFonts w:hint="eastAsia" w:ascii="黑体" w:hAnsi="黑体" w:eastAsia="黑体" w:cs="黑体"/>
          <w:sz w:val="30"/>
          <w:szCs w:val="30"/>
        </w:rPr>
        <w:t>五、响应文件的评审与谈判</w:t>
      </w:r>
      <w:bookmarkEnd w:id="120"/>
      <w:bookmarkEnd w:id="121"/>
      <w:bookmarkEnd w:id="122"/>
      <w:bookmarkEnd w:id="123"/>
      <w:bookmarkEnd w:id="124"/>
      <w:bookmarkEnd w:id="125"/>
      <w:bookmarkEnd w:id="126"/>
      <w:bookmarkEnd w:id="127"/>
    </w:p>
    <w:p w14:paraId="69D460D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28" w:name="_Toc174"/>
      <w:bookmarkStart w:id="129" w:name="_Toc26446"/>
      <w:bookmarkStart w:id="130" w:name="_Toc27488"/>
      <w:bookmarkStart w:id="131" w:name="_Toc18713_WPSOffice_Level3"/>
      <w:bookmarkStart w:id="132" w:name="_Toc19596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.谈判小组</w:t>
      </w:r>
      <w:bookmarkEnd w:id="128"/>
      <w:bookmarkEnd w:id="129"/>
      <w:bookmarkEnd w:id="130"/>
      <w:bookmarkEnd w:id="131"/>
      <w:bookmarkEnd w:id="132"/>
    </w:p>
    <w:p w14:paraId="300C173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竞争性谈判小组由采购人代表和评审专家共人组成（3人以上单数组成），其中评审专家名（评审专家人数不得少于竞争性谈判小组成员总数的2/3）。采购人不得以评审专家身份参加本采购项目的评审。谈判小组评审专家从政府采购评审专家库内相关专业的专家名单中随机抽取。</w:t>
      </w:r>
    </w:p>
    <w:p w14:paraId="37247A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.2谈判由采购代理机构负责组织，具体谈判事务由依法组建的谈判小组负责，并独立履行下列职责：</w:t>
      </w:r>
    </w:p>
    <w:p w14:paraId="6485939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（1）确认谈判文件；</w:t>
      </w:r>
    </w:p>
    <w:p w14:paraId="76E9DAA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（2）审查供应商的响应文件并作出评价；</w:t>
      </w:r>
    </w:p>
    <w:p w14:paraId="1FF3331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（3）要求供应商对谈判文件有关事项作出澄清或者说明；</w:t>
      </w:r>
    </w:p>
    <w:p w14:paraId="511454F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（4）编写评审报告；</w:t>
      </w:r>
    </w:p>
    <w:p w14:paraId="1A78CDA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（5）确定成交候选人名单，以及根据采购人委托直接确定成交供应商；</w:t>
      </w:r>
    </w:p>
    <w:p w14:paraId="496BEDB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（6）告知采购人、采购代理机构在评审过程中发现的供应商的违法违规行为。</w:t>
      </w:r>
    </w:p>
    <w:p w14:paraId="767DA08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.3谈判小组应遵守并履行下列义务：</w:t>
      </w:r>
    </w:p>
    <w:p w14:paraId="504B9C0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（1）遵纪守法，客观、公正、廉洁地履行职责；</w:t>
      </w:r>
    </w:p>
    <w:p w14:paraId="4D1EF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（2）按照谈判文件规定的成交方法评审，对评审意见承担谈判小组成员责任；</w:t>
      </w:r>
    </w:p>
    <w:p w14:paraId="7B159C3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（3）对谈判响应文件、谈判情况和谈判中获悉的国家秘密、商业秘密保密；</w:t>
      </w:r>
    </w:p>
    <w:p w14:paraId="6E07425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（4）参与评审报告的起草；</w:t>
      </w:r>
    </w:p>
    <w:p w14:paraId="536CD0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（5）配合采购人、采购代理机构答复供应商提出的质疑；</w:t>
      </w:r>
    </w:p>
    <w:p w14:paraId="7228BB5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（6）配合财政部门的投诉处理和监督检查工作。</w:t>
      </w:r>
    </w:p>
    <w:p w14:paraId="25AF349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.4谈判小组成员有下列情形之一的，应当回避：</w:t>
      </w:r>
    </w:p>
    <w:p w14:paraId="027E85D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（1）参加采购活动前 3 年内与供应商存在劳动关系；</w:t>
      </w:r>
    </w:p>
    <w:p w14:paraId="2B86DD0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（2）参加采购活动前 3 年内担任供应商的董事、监事；</w:t>
      </w:r>
    </w:p>
    <w:p w14:paraId="035D52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（3）参加采购活动前 3 年内是供应商的控股股东或者实际控制人；</w:t>
      </w:r>
    </w:p>
    <w:p w14:paraId="7CF5507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（4）与供应商的法定代表人或者负责人有夫妻、直系血亲、三代以内旁系血亲或者近姻亲关系；</w:t>
      </w:r>
    </w:p>
    <w:p w14:paraId="76AA5FF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（5）与供应商有其他可能影响政府采购活动公平、公正进行的关系。</w:t>
      </w:r>
      <w:bookmarkStart w:id="133" w:name="_Toc19122"/>
      <w:bookmarkStart w:id="134" w:name="_Toc16350_WPSOffice_Level3"/>
    </w:p>
    <w:p w14:paraId="118DA4C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5" w:name="_Toc13002"/>
      <w:bookmarkStart w:id="136" w:name="_Toc22044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.响应文件审查</w:t>
      </w:r>
      <w:bookmarkEnd w:id="133"/>
      <w:bookmarkEnd w:id="134"/>
      <w:bookmarkEnd w:id="135"/>
      <w:bookmarkEnd w:id="136"/>
    </w:p>
    <w:p w14:paraId="41E22C4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18.1谈判小组应当对响应文件进行评审，并根据谈判文件规定的程序、评定成交的标准等事项与实质性响应谈判文件要求的供应商进行谈判。</w:t>
      </w:r>
    </w:p>
    <w:p w14:paraId="12FD72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18.2在对供应商进行审查时，存在下列情况之一的，按无效处理：</w:t>
      </w:r>
    </w:p>
    <w:p w14:paraId="3845CA5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（1）不符合谈判文件第一部分谈判须知前附表“供应商资格条件”的；</w:t>
      </w:r>
    </w:p>
    <w:p w14:paraId="71C89C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（2）未按第11.1.1款“</w:t>
      </w:r>
      <w:r>
        <w:rPr>
          <w:rFonts w:hint="eastAsia" w:ascii="仿宋_GB2312" w:hAnsi="仿宋_GB2312" w:eastAsia="仿宋_GB2312" w:cs="仿宋_GB2312"/>
          <w:sz w:val="24"/>
          <w:szCs w:val="24"/>
          <w:lang w:val="zh-CN"/>
        </w:rPr>
        <w:t>资格审查部分</w:t>
      </w:r>
      <w:r>
        <w:rPr>
          <w:rFonts w:hint="eastAsia" w:ascii="仿宋_GB2312" w:hAnsi="仿宋_GB2312" w:eastAsia="仿宋_GB2312" w:cs="仿宋_GB2312"/>
          <w:sz w:val="24"/>
          <w:szCs w:val="24"/>
        </w:rPr>
        <w:t>”要求提供相关资料的；</w:t>
      </w:r>
    </w:p>
    <w:p w14:paraId="1683EEA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（3）响应文件没有按谈判文件规定和要求签字、盖章的；</w:t>
      </w:r>
    </w:p>
    <w:p w14:paraId="5532E8F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（4）谈判有效期不能满足谈判文件要求的；</w:t>
      </w:r>
    </w:p>
    <w:p w14:paraId="56B7B8F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（5）谈判报价超过谈判文件规定的采购预算额度的；</w:t>
      </w:r>
    </w:p>
    <w:p w14:paraId="171EBD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（6）所提供</w:t>
      </w:r>
      <w:r>
        <w:rPr>
          <w:rFonts w:hint="eastAsia" w:ascii="仿宋_GB2312" w:hAnsi="仿宋_GB2312" w:eastAsia="仿宋_GB2312" w:cs="仿宋_GB2312"/>
          <w:sz w:val="24"/>
          <w:szCs w:val="24"/>
          <w:lang w:val="en-US" w:eastAsia="zh-CN"/>
        </w:rPr>
        <w:t>货物</w:t>
      </w:r>
      <w:r>
        <w:rPr>
          <w:rFonts w:hint="eastAsia" w:ascii="仿宋_GB2312" w:hAnsi="仿宋_GB2312" w:eastAsia="仿宋_GB2312" w:cs="仿宋_GB2312"/>
          <w:sz w:val="24"/>
          <w:szCs w:val="24"/>
        </w:rPr>
        <w:t>不符合采购项目要求的；</w:t>
      </w:r>
    </w:p>
    <w:p w14:paraId="43692C8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（7）谈判响应文件含有采购人不能接受的附加条件的；</w:t>
      </w:r>
    </w:p>
    <w:p w14:paraId="39B3C16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（8）响应文件不满足谈判文件实质性要求和条件的；</w:t>
      </w:r>
    </w:p>
    <w:p w14:paraId="269D63F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（9）谈判小组认为应按无效谈判处理的其他情况；</w:t>
      </w:r>
    </w:p>
    <w:p w14:paraId="00EDE6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（10）法律、法规规定的其他情形。</w:t>
      </w:r>
    </w:p>
    <w:p w14:paraId="79C7BF3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37" w:name="_Toc1673_WPSOffice_Level3"/>
      <w:bookmarkStart w:id="138" w:name="_Toc17197"/>
      <w:bookmarkStart w:id="139" w:name="_Toc32410"/>
      <w:bookmarkStart w:id="140" w:name="_Toc11154"/>
      <w:bookmarkStart w:id="141" w:name="_Toc17887_WPSOffice_Level3"/>
      <w:r>
        <w:rPr>
          <w:rFonts w:hint="eastAsia" w:ascii="楷体_GB2312" w:hAnsi="楷体_GB2312" w:eastAsia="楷体_GB2312" w:cs="楷体_GB2312"/>
          <w:sz w:val="24"/>
          <w:szCs w:val="24"/>
        </w:rPr>
        <w:t>1</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.谈判程序</w:t>
      </w:r>
      <w:bookmarkEnd w:id="137"/>
      <w:bookmarkEnd w:id="138"/>
      <w:bookmarkEnd w:id="139"/>
      <w:bookmarkEnd w:id="140"/>
      <w:bookmarkEnd w:id="141"/>
    </w:p>
    <w:p w14:paraId="72C195A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14:paraId="7FDA57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.2在谈判过程中，</w:t>
      </w:r>
      <w:r>
        <w:rPr>
          <w:rFonts w:hint="eastAsia" w:ascii="仿宋_GB2312" w:hAnsi="仿宋_GB2312" w:eastAsia="仿宋_GB2312" w:cs="仿宋_GB2312"/>
          <w:sz w:val="24"/>
          <w:szCs w:val="24"/>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24"/>
          <w:szCs w:val="24"/>
        </w:rPr>
        <w:t>。实质性变动的内容，须经采购人代表确认，谈判小组将以书面形式将修改内容同时通知所有参加谈判的供应商。</w:t>
      </w:r>
    </w:p>
    <w:p w14:paraId="6093361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u w:val="singl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CE757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.4响应文件中首次报价表内的报价为首次报价，根据技术、服务等满足谈判文件要求的情况，供应商可进行二次报价。</w:t>
      </w:r>
    </w:p>
    <w:p w14:paraId="20C960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u w:val="single"/>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208A07C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.6谈判工作在有关部门的监督下依法开展，任何单位和个人不得非法干预、影响谈判工作和谈判结果。</w:t>
      </w:r>
    </w:p>
    <w:p w14:paraId="3A383AE0">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2" w:name="_Toc25644_WPSOffice_Level3"/>
      <w:bookmarkStart w:id="143" w:name="_Toc14903"/>
      <w:bookmarkStart w:id="144" w:name="_Toc24288_WPSOffice_Level3"/>
      <w:bookmarkStart w:id="145" w:name="_Toc1137"/>
      <w:bookmarkStart w:id="146" w:name="_Toc2176"/>
      <w:r>
        <w:rPr>
          <w:rFonts w:hint="eastAsia" w:ascii="楷体_GB2312" w:hAnsi="楷体_GB2312" w:eastAsia="楷体_GB2312" w:cs="楷体_GB2312"/>
          <w:sz w:val="24"/>
          <w:szCs w:val="24"/>
          <w:lang w:val="en-US" w:eastAsia="zh-CN"/>
        </w:rPr>
        <w:t>19</w:t>
      </w:r>
      <w:r>
        <w:rPr>
          <w:rFonts w:hint="eastAsia" w:ascii="楷体_GB2312" w:hAnsi="楷体_GB2312" w:eastAsia="楷体_GB2312" w:cs="楷体_GB2312"/>
          <w:sz w:val="24"/>
          <w:szCs w:val="24"/>
        </w:rPr>
        <w:t>.澄清</w:t>
      </w:r>
      <w:bookmarkEnd w:id="142"/>
      <w:bookmarkEnd w:id="143"/>
      <w:bookmarkEnd w:id="144"/>
      <w:bookmarkEnd w:id="145"/>
      <w:bookmarkEnd w:id="146"/>
    </w:p>
    <w:p w14:paraId="154CB25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307DDF1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15A9D43B">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47" w:name="_Toc6898_WPSOffice_Level3"/>
      <w:bookmarkStart w:id="148" w:name="_Toc8374"/>
      <w:bookmarkStart w:id="149" w:name="_Toc4997"/>
      <w:bookmarkStart w:id="150" w:name="_Toc13262_WPSOffice_Level3"/>
      <w:bookmarkStart w:id="151" w:name="_Toc2242"/>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.退出谈判</w:t>
      </w:r>
      <w:bookmarkEnd w:id="147"/>
      <w:bookmarkEnd w:id="148"/>
      <w:bookmarkEnd w:id="149"/>
      <w:bookmarkEnd w:id="150"/>
      <w:bookmarkEnd w:id="151"/>
    </w:p>
    <w:p w14:paraId="011A422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23F7937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2" w:name="_Toc1342"/>
      <w:bookmarkStart w:id="153" w:name="_Toc14748"/>
      <w:bookmarkStart w:id="154" w:name="_Toc5048_WPSOffice_Level3"/>
      <w:bookmarkStart w:id="155" w:name="_Toc32003"/>
      <w:bookmarkStart w:id="156" w:name="_Toc18169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.最后报价</w:t>
      </w:r>
      <w:bookmarkEnd w:id="152"/>
      <w:bookmarkEnd w:id="153"/>
      <w:bookmarkEnd w:id="154"/>
      <w:bookmarkEnd w:id="155"/>
      <w:bookmarkEnd w:id="156"/>
    </w:p>
    <w:p w14:paraId="691FAD6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6CD9604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9394F4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.3最后报价的评审</w:t>
      </w:r>
    </w:p>
    <w:p w14:paraId="62FE340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（1）最后报价出现大写金额和小写金额不一致的，以大写金额为准。</w:t>
      </w:r>
    </w:p>
    <w:p w14:paraId="15E355B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（2）需落实政府采购政策的，按相关规定进行价格扣除。</w:t>
      </w:r>
    </w:p>
    <w:p w14:paraId="515D8B1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u w:val="single"/>
        </w:rPr>
        <w:t>最后报价如果高于其响应文件中的首次报价的，以最后报价为准。</w:t>
      </w:r>
    </w:p>
    <w:p w14:paraId="52EA016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.5采购人、采购代理机构在按规定公布供应商的最后报价前，不得公开供应商的技术资料、价格和其他信息。</w:t>
      </w:r>
    </w:p>
    <w:p w14:paraId="6FD885F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u w:val="single"/>
        </w:rPr>
        <w:t>若最后报价时出现最低价相同的情形，谈判小组应召集报价相同的供应商进行再次报价（或直接提出成交候选人）</w:t>
      </w:r>
      <w:r>
        <w:rPr>
          <w:rFonts w:hint="eastAsia" w:ascii="仿宋_GB2312" w:hAnsi="仿宋_GB2312" w:eastAsia="仿宋_GB2312" w:cs="仿宋_GB2312"/>
          <w:sz w:val="24"/>
          <w:szCs w:val="24"/>
        </w:rPr>
        <w:t>（由采购人、代理机构自主选择）。</w:t>
      </w:r>
    </w:p>
    <w:p w14:paraId="45ACA2E4">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57" w:name="_Toc21167"/>
      <w:bookmarkStart w:id="158" w:name="_Toc16084_WPSOffice_Level3"/>
      <w:bookmarkStart w:id="159" w:name="_Toc7275"/>
      <w:bookmarkStart w:id="160" w:name="_Toc8242_WPSOffice_Level3"/>
      <w:bookmarkStart w:id="161" w:name="_Toc1797"/>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.确定成交供应商</w:t>
      </w:r>
      <w:bookmarkEnd w:id="157"/>
      <w:bookmarkEnd w:id="158"/>
      <w:bookmarkEnd w:id="159"/>
      <w:bookmarkEnd w:id="160"/>
      <w:bookmarkEnd w:id="161"/>
    </w:p>
    <w:p w14:paraId="5FD9999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41FE4BB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DF04080">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.3采购代理机构应当在评审结束后2个工作日内将评审报告送采购人确认。</w:t>
      </w:r>
    </w:p>
    <w:p w14:paraId="6F1F3F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4F7617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.5采购人逾期未确定成交供应商且不提出异议的，视为确定评审报告提出的最后报价最低的供应商为成交供应商。</w:t>
      </w:r>
    </w:p>
    <w:p w14:paraId="202C0347">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2" w:name="_Toc10295"/>
      <w:bookmarkStart w:id="163" w:name="_Toc24684"/>
      <w:bookmarkStart w:id="164" w:name="_Toc17436"/>
      <w:bookmarkStart w:id="165" w:name="_Toc20869_WPSOffice_Level3"/>
      <w:bookmarkStart w:id="166" w:name="_Toc17639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.重新评审</w:t>
      </w:r>
      <w:bookmarkEnd w:id="162"/>
      <w:bookmarkEnd w:id="163"/>
      <w:bookmarkEnd w:id="164"/>
      <w:bookmarkEnd w:id="165"/>
      <w:bookmarkEnd w:id="166"/>
    </w:p>
    <w:p w14:paraId="3EC5F8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.1除资格审查认定错误和价格计算错误外，采购人、采购代理机构不以任何理由组织重新评审。</w:t>
      </w:r>
    </w:p>
    <w:p w14:paraId="3E8089B7">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.2采购人、采购代理机构发现谈判小组未按照谈判文件规定的评定成交标准进行评审的，应当重新开展采购活动，并同时书面报告同级财政部门。</w:t>
      </w:r>
    </w:p>
    <w:p w14:paraId="4500D97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67" w:name="_Toc15179"/>
      <w:bookmarkStart w:id="168" w:name="_Toc26374_WPSOffice_Level3"/>
      <w:bookmarkStart w:id="169" w:name="_Toc12673"/>
      <w:bookmarkStart w:id="170" w:name="_Toc3509"/>
      <w:bookmarkStart w:id="171" w:name="_Toc1388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z w:val="24"/>
          <w:szCs w:val="24"/>
        </w:rPr>
        <w:t>.谈判终止</w:t>
      </w:r>
      <w:bookmarkEnd w:id="167"/>
      <w:bookmarkEnd w:id="168"/>
      <w:bookmarkEnd w:id="169"/>
      <w:bookmarkEnd w:id="170"/>
      <w:bookmarkEnd w:id="171"/>
    </w:p>
    <w:p w14:paraId="3A55E23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.1出现下列情形之一的，采购人、采购代理机构应当终止竞争性谈判采购活动，在指定的媒体上发布项目终止公告并说明原因，重新开展采购活动： </w:t>
      </w:r>
    </w:p>
    <w:p w14:paraId="3B49B9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14:paraId="0F2985B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14:paraId="370A120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（3）在采购过程中符合谈判要求的供应商或者报价未超过采购预算的供应商不足3家的，或者提交最后报价的供应商少于3家的；</w:t>
      </w:r>
    </w:p>
    <w:p w14:paraId="7E741C7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（4）因重大变故，采购任务取消的。</w:t>
      </w:r>
    </w:p>
    <w:p w14:paraId="370983B5">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72" w:name="_Toc18635_WPSOffice_Level3"/>
      <w:bookmarkStart w:id="173" w:name="_Toc20688_WPSOffice_Level3"/>
      <w:bookmarkStart w:id="174" w:name="_Toc32730"/>
      <w:bookmarkStart w:id="175" w:name="_Toc11721"/>
      <w:bookmarkStart w:id="176" w:name="_Toc10575"/>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.串通情形认定及处理</w:t>
      </w:r>
      <w:bookmarkEnd w:id="172"/>
      <w:bookmarkEnd w:id="173"/>
      <w:bookmarkEnd w:id="174"/>
      <w:bookmarkEnd w:id="175"/>
      <w:bookmarkEnd w:id="176"/>
    </w:p>
    <w:p w14:paraId="08D56314">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24"/>
          <w:szCs w:val="24"/>
        </w:rPr>
        <w:t>采购工作。</w:t>
      </w:r>
    </w:p>
    <w:p w14:paraId="7C6AB648">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.2有下列情形之一的，成交无效，对供应商</w:t>
      </w:r>
      <w:r>
        <w:rPr>
          <w:rFonts w:hint="eastAsia" w:ascii="仿宋" w:hAnsi="仿宋" w:eastAsia="仿宋" w:cs="仿宋"/>
          <w:sz w:val="24"/>
          <w:szCs w:val="24"/>
          <w:lang w:val="zh-CN"/>
        </w:rPr>
        <w:t>依照《政府采购法》第七十七条的规定追究法律责任：</w:t>
      </w:r>
    </w:p>
    <w:p w14:paraId="63657B56">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bookmarkStart w:id="177" w:name="_Toc22761"/>
      <w:bookmarkStart w:id="178" w:name="_Toc34637770"/>
      <w:r>
        <w:rPr>
          <w:rFonts w:hint="eastAsia" w:ascii="仿宋" w:hAnsi="仿宋" w:eastAsia="仿宋" w:cs="仿宋"/>
          <w:sz w:val="24"/>
          <w:szCs w:val="24"/>
        </w:rPr>
        <w:t xml:space="preserve">   （1）供应商直接或者间接从采购人或者采购代理机构处获得其他供应商的相关情况并修改其响应文件；</w:t>
      </w:r>
    </w:p>
    <w:p w14:paraId="178DBEE7">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（2）供应商按照采购人或者采购代理机构的授意撤换、修改响应文件；</w:t>
      </w:r>
    </w:p>
    <w:p w14:paraId="3F24E1A4">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（3）供应商之间协商报价、技术方案等响应文件的实质性内容；</w:t>
      </w:r>
    </w:p>
    <w:p w14:paraId="491E587F">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（4）属于同一集团、协会、商会等组织成员的供应商按照该组织要求协同参加政府采购活动；</w:t>
      </w:r>
    </w:p>
    <w:p w14:paraId="14694EBA">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（5）供应商之间事先约定由某一特定供应商成交；</w:t>
      </w:r>
    </w:p>
    <w:p w14:paraId="46C73C42">
      <w:pPr>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（6）供应商之间商定部分供应商放弃参加政府采购活动或者放弃成交；</w:t>
      </w:r>
    </w:p>
    <w:p w14:paraId="49422710">
      <w:pPr>
        <w:pageBreakBefore w:val="0"/>
        <w:widowControl w:val="0"/>
        <w:kinsoku/>
        <w:wordWrap/>
        <w:overflowPunct/>
        <w:topLinePunct w:val="0"/>
        <w:autoSpaceDE/>
        <w:autoSpaceDN/>
        <w:bidi w:val="0"/>
        <w:spacing w:line="500" w:lineRule="exact"/>
        <w:textAlignment w:val="auto"/>
        <w:rPr>
          <w:rFonts w:ascii="仿宋" w:hAnsi="仿宋" w:eastAsia="仿宋" w:cs="仿宋"/>
          <w:sz w:val="24"/>
          <w:szCs w:val="24"/>
        </w:rPr>
      </w:pPr>
      <w:r>
        <w:rPr>
          <w:rFonts w:hint="eastAsia" w:ascii="仿宋" w:hAnsi="仿宋" w:eastAsia="仿宋" w:cs="仿宋"/>
          <w:sz w:val="24"/>
          <w:szCs w:val="24"/>
        </w:rPr>
        <w:t xml:space="preserve">   （7）供应商与采购人或者采购代理机构之间、供应商相互之间，为谋求特定供应商成交或者排斥其他供应商的其他串通行为。</w:t>
      </w:r>
    </w:p>
    <w:p w14:paraId="361899A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26.3 有下列情形之一的，视为供应商串通，其响应无效：</w:t>
      </w:r>
    </w:p>
    <w:p w14:paraId="688017C7">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16ED90A9">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（2）不同供应商委托同一单位或者个人办理谈判事宜；</w:t>
      </w:r>
    </w:p>
    <w:p w14:paraId="72658B0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731DBAC3">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（4）不同供应商的响应文件异常一致或者报价呈规律性差异；</w:t>
      </w:r>
    </w:p>
    <w:p w14:paraId="74410C8A">
      <w:pPr>
        <w:pageBreakBefore w:val="0"/>
        <w:widowControl w:val="0"/>
        <w:kinsoku/>
        <w:wordWrap/>
        <w:overflowPunct/>
        <w:topLinePunct w:val="0"/>
        <w:autoSpaceDE/>
        <w:autoSpaceDN/>
        <w:bidi w:val="0"/>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（5）不同供应商的响应文件相互混装；</w:t>
      </w:r>
    </w:p>
    <w:p w14:paraId="0060E40F">
      <w:pPr>
        <w:pageBreakBefore w:val="0"/>
        <w:widowControl w:val="0"/>
        <w:kinsoku/>
        <w:wordWrap/>
        <w:overflowPunct/>
        <w:topLinePunct w:val="0"/>
        <w:autoSpaceDE/>
        <w:autoSpaceDN/>
        <w:bidi w:val="0"/>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（6）不同供应商的保证金从同一单位或者个人的账户转出。</w:t>
      </w:r>
    </w:p>
    <w:p w14:paraId="075839EB">
      <w:pPr>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0"/>
          <w:szCs w:val="30"/>
        </w:rPr>
      </w:pPr>
    </w:p>
    <w:p w14:paraId="331FCB3B">
      <w:pPr>
        <w:pageBreakBefore w:val="0"/>
        <w:widowControl w:val="0"/>
        <w:kinsoku/>
        <w:wordWrap/>
        <w:overflowPunct/>
        <w:topLinePunct w:val="0"/>
        <w:autoSpaceDE/>
        <w:autoSpaceDN/>
        <w:bidi w:val="0"/>
        <w:spacing w:line="500" w:lineRule="exact"/>
        <w:jc w:val="center"/>
        <w:textAlignment w:val="auto"/>
        <w:rPr>
          <w:rFonts w:ascii="黑体" w:hAnsi="黑体" w:eastAsia="黑体" w:cs="黑体"/>
          <w:sz w:val="24"/>
          <w:szCs w:val="24"/>
        </w:rPr>
      </w:pPr>
      <w:r>
        <w:rPr>
          <w:rFonts w:hint="eastAsia" w:ascii="黑体" w:hAnsi="黑体" w:eastAsia="黑体" w:cs="黑体"/>
          <w:sz w:val="30"/>
          <w:szCs w:val="30"/>
        </w:rPr>
        <w:t>六、成交结果信息公布与授予合同</w:t>
      </w:r>
      <w:bookmarkEnd w:id="177"/>
      <w:bookmarkEnd w:id="178"/>
    </w:p>
    <w:p w14:paraId="386E00B9">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仿宋_GB2312" w:hAnsi="仿宋_GB2312" w:eastAsia="仿宋_GB2312" w:cs="仿宋_GB2312"/>
          <w:sz w:val="24"/>
          <w:szCs w:val="24"/>
        </w:rPr>
      </w:pPr>
      <w:bookmarkStart w:id="179" w:name="_Toc23126"/>
      <w:bookmarkStart w:id="180" w:name="_Toc30784_WPSOffice_Level3"/>
      <w:bookmarkStart w:id="181" w:name="_Toc701"/>
      <w:bookmarkStart w:id="182" w:name="_Toc8339_WPSOffice_Level3"/>
      <w:bookmarkStart w:id="183" w:name="_Toc947"/>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.成交信息的公布与通知</w:t>
      </w:r>
      <w:bookmarkEnd w:id="179"/>
      <w:bookmarkEnd w:id="180"/>
      <w:bookmarkEnd w:id="181"/>
      <w:bookmarkEnd w:id="182"/>
      <w:bookmarkEnd w:id="183"/>
    </w:p>
    <w:p w14:paraId="2351137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.1代理机构应自确定成交供应商之日起2个工作日内在青海政府采购信息网上公告成交结果，同时向成交供应商发出《成交通知书》。成交通知书对采购人和成交供应商具有同等法律效力。</w:t>
      </w:r>
    </w:p>
    <w:p w14:paraId="4204D59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.2成交结果公告应当包括以下内容：</w:t>
      </w:r>
    </w:p>
    <w:p w14:paraId="241684C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（1）采购人和采购代理机构的名称、地址和联系方式；</w:t>
      </w:r>
    </w:p>
    <w:p w14:paraId="34337D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（2）项目名称和项目编号；</w:t>
      </w:r>
    </w:p>
    <w:p w14:paraId="74E4F63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（3）成交供应商名称、地址和成交金额；</w:t>
      </w:r>
    </w:p>
    <w:p w14:paraId="77C24D42">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（4）主要成交标的的名称、服务要求；</w:t>
      </w:r>
    </w:p>
    <w:p w14:paraId="4BBC972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（5）谈判小组成员名单。</w:t>
      </w:r>
    </w:p>
    <w:p w14:paraId="7FE7068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.3《成交通知书》发出后，采购人不得违法改变采购结果，成交供应商无正当理由不得放弃。</w:t>
      </w:r>
    </w:p>
    <w:p w14:paraId="42CBAD81">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84" w:name="_Toc29042"/>
      <w:bookmarkStart w:id="185" w:name="_Toc29441"/>
      <w:bookmarkStart w:id="186" w:name="_Toc5068_WPSOffice_Level3"/>
      <w:bookmarkStart w:id="187" w:name="_Toc20586"/>
      <w:bookmarkStart w:id="188" w:name="_Toc13860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z w:val="24"/>
          <w:szCs w:val="24"/>
        </w:rPr>
        <w:t>.授予合同</w:t>
      </w:r>
      <w:bookmarkEnd w:id="184"/>
      <w:bookmarkEnd w:id="185"/>
      <w:bookmarkEnd w:id="186"/>
      <w:bookmarkEnd w:id="187"/>
      <w:bookmarkEnd w:id="188"/>
    </w:p>
    <w:p w14:paraId="2807140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.1谈判文件、成交供应商的响应文件及其补充的响应文件、成交通知书等均为签订政府采购合同的依据。</w:t>
      </w:r>
    </w:p>
    <w:p w14:paraId="444DC981">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.2采购人与成交供应商双方应当自《成交通知书》发出之日起30日内，按照谈判文件确定的合同文本以及采购标的、规格型号、采购金额、采购数量、技术和服务要求等事项签订政府采购合同。</w:t>
      </w:r>
    </w:p>
    <w:p w14:paraId="2C192CA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73B927C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bookmarkStart w:id="189" w:name="_Toc376936761"/>
      <w:bookmarkStart w:id="190" w:name="_Toc325726030"/>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.4采购人或采购代理机构应当自采购合同签订之日起2个工作日内，将采购合同在青海政府采购信息网上公告，但政府采购合同中涉及国家秘密、商业秘密的内容除外。</w:t>
      </w:r>
    </w:p>
    <w:p w14:paraId="2B1D2FF8">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191" w:name="_Toc17412"/>
      <w:bookmarkStart w:id="192" w:name="_Toc32538"/>
      <w:bookmarkStart w:id="193" w:name="_Toc8740_WPSOffice_Level3"/>
      <w:bookmarkStart w:id="194" w:name="_Toc16374"/>
      <w:bookmarkStart w:id="195" w:name="_Toc16258_WPSOffice_Level3"/>
      <w:r>
        <w:rPr>
          <w:rFonts w:hint="eastAsia" w:ascii="楷体_GB2312" w:hAnsi="楷体_GB2312" w:eastAsia="楷体_GB2312" w:cs="楷体_GB2312"/>
          <w:sz w:val="24"/>
          <w:szCs w:val="24"/>
        </w:rPr>
        <w:t>2</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.履约验收</w:t>
      </w:r>
      <w:bookmarkEnd w:id="191"/>
      <w:bookmarkEnd w:id="192"/>
      <w:bookmarkEnd w:id="193"/>
      <w:bookmarkEnd w:id="194"/>
      <w:bookmarkEnd w:id="195"/>
    </w:p>
    <w:p w14:paraId="27CD316E">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.1履约保证金：</w:t>
      </w:r>
      <w:r>
        <w:rPr>
          <w:rFonts w:hint="eastAsia" w:ascii="仿宋_GB2312" w:hAnsi="仿宋_GB2312" w:eastAsia="仿宋_GB2312" w:cs="仿宋_GB2312"/>
          <w:b/>
          <w:bCs/>
          <w:sz w:val="24"/>
          <w:szCs w:val="24"/>
          <w:u w:val="single"/>
          <w:lang w:val="en-US" w:eastAsia="zh-CN"/>
        </w:rPr>
        <w:t>合同签订时约定</w:t>
      </w:r>
      <w:r>
        <w:rPr>
          <w:rFonts w:hint="eastAsia" w:ascii="仿宋_GB2312" w:hAnsi="仿宋_GB2312" w:eastAsia="仿宋_GB2312" w:cs="仿宋_GB2312"/>
          <w:sz w:val="24"/>
          <w:szCs w:val="24"/>
        </w:rPr>
        <w:t>。</w:t>
      </w:r>
    </w:p>
    <w:p w14:paraId="5620C1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.2采购人或者采购代理机构应当按照政府采购合同规定的技术、服务、安全标准组织对供应商履约情况进行验收，并出具验收书。验收书应当包括每一项技术、服务、安全标准的履约情况。</w:t>
      </w:r>
    </w:p>
    <w:p w14:paraId="2700F73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.3采购人可以邀请参加本项目的其他供应商或者第三方机构参与验收。参与验收的供应商或者第三方机构的意见作为验收书的参考资料一并存档。</w:t>
      </w:r>
    </w:p>
    <w:p w14:paraId="1FBC8885">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.4采购人应当加强履约管理，并按照采购合同约定，及时向成交供应商支付采购资金。对于成交供应商违反采购合同约定的行为，采购人应当及时处理，依法追究其违约责任。</w:t>
      </w:r>
    </w:p>
    <w:p w14:paraId="64C1C444">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.5采购人、采购代理机构应当建立真实完整的谈判档案，妥善保存谈判的相关资料。</w:t>
      </w:r>
    </w:p>
    <w:p w14:paraId="70F3E0C4">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ascii="黑体" w:hAnsi="黑体" w:eastAsia="黑体" w:cs="黑体"/>
          <w:sz w:val="30"/>
          <w:szCs w:val="30"/>
        </w:rPr>
      </w:pPr>
      <w:bookmarkStart w:id="196" w:name="_Toc3517_WPSOffice_Level2"/>
      <w:bookmarkStart w:id="197" w:name="_Toc6881"/>
      <w:bookmarkStart w:id="198" w:name="_Toc2658_WPSOffice_Level2"/>
      <w:bookmarkStart w:id="199" w:name="_Toc32362"/>
      <w:bookmarkStart w:id="200" w:name="_Toc304"/>
      <w:bookmarkStart w:id="201" w:name="_Toc31604_WPSOffice_Level2"/>
      <w:bookmarkStart w:id="202" w:name="_Toc4328"/>
      <w:r>
        <w:rPr>
          <w:rFonts w:hint="eastAsia" w:ascii="黑体" w:hAnsi="黑体" w:eastAsia="黑体" w:cs="黑体"/>
          <w:sz w:val="30"/>
          <w:szCs w:val="30"/>
        </w:rPr>
        <w:t>七、询问与质疑</w:t>
      </w:r>
      <w:bookmarkEnd w:id="189"/>
      <w:bookmarkEnd w:id="190"/>
      <w:bookmarkEnd w:id="196"/>
      <w:bookmarkEnd w:id="197"/>
      <w:bookmarkEnd w:id="198"/>
      <w:bookmarkEnd w:id="199"/>
      <w:bookmarkEnd w:id="200"/>
      <w:bookmarkEnd w:id="201"/>
      <w:bookmarkEnd w:id="202"/>
    </w:p>
    <w:p w14:paraId="3528E8F2">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03" w:name="_Toc29785"/>
      <w:bookmarkStart w:id="204" w:name="_Toc21641"/>
      <w:bookmarkStart w:id="205" w:name="_Toc14391"/>
      <w:bookmarkStart w:id="206" w:name="_Toc23314_WPSOffice_Level3"/>
      <w:bookmarkStart w:id="207" w:name="_Toc25982_WPSOffice_Level3"/>
      <w:r>
        <w:rPr>
          <w:rFonts w:hint="eastAsia" w:ascii="楷体_GB2312" w:hAnsi="楷体_GB2312" w:eastAsia="楷体_GB2312" w:cs="楷体_GB2312"/>
          <w:sz w:val="24"/>
          <w:szCs w:val="24"/>
          <w:lang w:val="en-US" w:eastAsia="zh-CN"/>
        </w:rPr>
        <w:t>29</w:t>
      </w:r>
      <w:r>
        <w:rPr>
          <w:rFonts w:hint="eastAsia" w:ascii="楷体_GB2312" w:hAnsi="楷体_GB2312" w:eastAsia="楷体_GB2312" w:cs="楷体_GB2312"/>
          <w:sz w:val="24"/>
          <w:szCs w:val="24"/>
        </w:rPr>
        <w:t>.对采购过程、结果的询问及质疑</w:t>
      </w:r>
      <w:bookmarkEnd w:id="203"/>
      <w:bookmarkEnd w:id="204"/>
      <w:bookmarkEnd w:id="205"/>
      <w:bookmarkEnd w:id="206"/>
      <w:bookmarkEnd w:id="207"/>
    </w:p>
    <w:p w14:paraId="4B36954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.1供应商对政府采购过程、结果有疑问的，可以向采购人、采购代理机构提出询问。</w:t>
      </w:r>
    </w:p>
    <w:p w14:paraId="2DE59BEA">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.2参与所质疑项目的供应商认为采购过程、成交结果使自己的权益受到损害的，可以在知道或者应知其权益受到损害之日起7个工作日内，以书面形式向采购人、采购代理机构提出质疑。</w:t>
      </w:r>
    </w:p>
    <w:p w14:paraId="1AAC254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.3供应商应在法定质疑期内一次性提出针对同一采购程序环节的质疑。</w:t>
      </w:r>
    </w:p>
    <w:p w14:paraId="69402E73">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08" w:name="_Toc6866_WPSOffice_Level2"/>
      <w:bookmarkStart w:id="209" w:name="_Toc21832"/>
      <w:bookmarkStart w:id="210" w:name="_Toc11509_WPSOffice_Level2"/>
      <w:bookmarkStart w:id="211" w:name="_Toc4534"/>
      <w:bookmarkStart w:id="212" w:name="_Toc22201076"/>
      <w:bookmarkStart w:id="213" w:name="_Toc9701_WPSOffice_Level2"/>
      <w:bookmarkStart w:id="214" w:name="_Toc24559"/>
      <w:bookmarkStart w:id="215" w:name="_Toc34637771"/>
      <w:bookmarkStart w:id="216" w:name="_Toc22889"/>
      <w:r>
        <w:rPr>
          <w:rFonts w:hint="eastAsia" w:ascii="黑体" w:hAnsi="黑体" w:eastAsia="黑体" w:cs="黑体"/>
          <w:sz w:val="30"/>
          <w:szCs w:val="30"/>
        </w:rPr>
        <w:t>八、政府采购政策</w:t>
      </w:r>
      <w:bookmarkEnd w:id="208"/>
      <w:bookmarkEnd w:id="209"/>
      <w:bookmarkEnd w:id="210"/>
      <w:bookmarkEnd w:id="211"/>
      <w:bookmarkEnd w:id="212"/>
      <w:bookmarkEnd w:id="213"/>
      <w:bookmarkEnd w:id="214"/>
      <w:bookmarkEnd w:id="215"/>
      <w:bookmarkEnd w:id="216"/>
    </w:p>
    <w:p w14:paraId="6A105356">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17" w:name="_Toc27584"/>
      <w:bookmarkStart w:id="218" w:name="_Toc16893"/>
      <w:bookmarkStart w:id="219" w:name="_Toc19360_WPSOffice_Level3"/>
      <w:bookmarkStart w:id="220" w:name="_Toc17253_WPSOffice_Level3"/>
      <w:bookmarkStart w:id="221" w:name="_Toc30988"/>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0</w:t>
      </w:r>
      <w:r>
        <w:rPr>
          <w:rFonts w:hint="eastAsia" w:ascii="楷体_GB2312" w:hAnsi="楷体_GB2312" w:eastAsia="楷体_GB2312" w:cs="楷体_GB2312"/>
          <w:sz w:val="24"/>
          <w:szCs w:val="24"/>
        </w:rPr>
        <w:t>.政府采购政策</w:t>
      </w:r>
      <w:bookmarkEnd w:id="217"/>
      <w:bookmarkEnd w:id="218"/>
      <w:bookmarkEnd w:id="219"/>
      <w:bookmarkEnd w:id="220"/>
      <w:bookmarkEnd w:id="221"/>
    </w:p>
    <w:p w14:paraId="3E817B2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.1节能产品、环境标志产品的采购：</w:t>
      </w:r>
    </w:p>
    <w:p w14:paraId="3CDE5129">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21FC36">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.2价格评审优惠：</w:t>
      </w:r>
    </w:p>
    <w:p w14:paraId="6AC44A4B">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（1）根据《政府采购促进中小企业发展管理办法》（财库〔2020〕46 号）的规定，对于经主管预算单位统筹后未预留份额专门面向中小企业采购的采购项目，以及预留份额项目中的非预留部分采购包，对符合规定的小微企业报价给予10%的扣除，用扣除后的价格参加评审。 </w:t>
      </w:r>
    </w:p>
    <w:p w14:paraId="4E5DAF5F">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）监狱企业、残疾人福利性单位视同小型、微型企业。 </w:t>
      </w:r>
    </w:p>
    <w:p w14:paraId="104B6E4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.3供应商同时符合小型、微型企业及监狱企业、残疾人福利性单位要求的，评审时只有一种类型享受价格评审优惠政策；</w:t>
      </w:r>
    </w:p>
    <w:p w14:paraId="3A5AE65D">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.4响应文件符合本章前款规定的，供应商应提供相关证明资料，且所提供资料必须真实可信。如有虚假，将依法承担相应责任。</w:t>
      </w:r>
    </w:p>
    <w:p w14:paraId="1F005F78">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38302EAC">
      <w:pPr>
        <w:keepNext w:val="0"/>
        <w:keepLines w:val="0"/>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黑体" w:hAnsi="黑体" w:eastAsia="黑体" w:cs="黑体"/>
          <w:sz w:val="30"/>
          <w:szCs w:val="30"/>
        </w:rPr>
      </w:pPr>
      <w:bookmarkStart w:id="222" w:name="_Toc30960"/>
      <w:bookmarkStart w:id="223" w:name="_Toc34637772"/>
      <w:bookmarkStart w:id="224" w:name="_Toc22739"/>
      <w:bookmarkStart w:id="225" w:name="_Toc10843_WPSOffice_Level2"/>
      <w:bookmarkStart w:id="226" w:name="_Toc3719_WPSOffice_Level2"/>
      <w:bookmarkStart w:id="227" w:name="_Toc28078_WPSOffice_Level2"/>
      <w:bookmarkStart w:id="228" w:name="_Toc15805"/>
      <w:bookmarkStart w:id="229" w:name="_Toc15316"/>
      <w:r>
        <w:rPr>
          <w:rFonts w:hint="eastAsia" w:ascii="黑体" w:hAnsi="黑体" w:eastAsia="黑体" w:cs="黑体"/>
          <w:sz w:val="30"/>
          <w:szCs w:val="30"/>
        </w:rPr>
        <w:t>九、其他规定</w:t>
      </w:r>
      <w:bookmarkEnd w:id="222"/>
      <w:bookmarkEnd w:id="223"/>
      <w:bookmarkEnd w:id="224"/>
      <w:bookmarkEnd w:id="225"/>
      <w:bookmarkEnd w:id="226"/>
      <w:bookmarkEnd w:id="227"/>
      <w:bookmarkEnd w:id="228"/>
      <w:bookmarkEnd w:id="229"/>
    </w:p>
    <w:p w14:paraId="0D79E2AC">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0" w:name="_Toc10855"/>
      <w:bookmarkStart w:id="231" w:name="_Toc22185_WPSOffice_Level3"/>
      <w:bookmarkStart w:id="232" w:name="_Toc12390_WPSOffice_Level3"/>
      <w:bookmarkStart w:id="233" w:name="_Toc25686"/>
      <w:bookmarkStart w:id="234" w:name="_Toc10247"/>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z w:val="24"/>
          <w:szCs w:val="24"/>
        </w:rPr>
        <w:t>.代理服务费</w:t>
      </w:r>
      <w:bookmarkEnd w:id="230"/>
      <w:bookmarkEnd w:id="231"/>
      <w:bookmarkEnd w:id="232"/>
      <w:bookmarkEnd w:id="233"/>
      <w:bookmarkEnd w:id="234"/>
    </w:p>
    <w:p w14:paraId="2C9FBD6C">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采购代理服务费由成交供应商支付的，供应商应按【谈判须知前附表】规定向采购代理机构交纳代理服务费。</w:t>
      </w:r>
    </w:p>
    <w:p w14:paraId="4D1A886A">
      <w:pPr>
        <w:pStyle w:val="4"/>
        <w:pageBreakBefore w:val="0"/>
        <w:widowControl w:val="0"/>
        <w:kinsoku/>
        <w:wordWrap/>
        <w:overflowPunct/>
        <w:topLinePunct w:val="0"/>
        <w:autoSpaceDE/>
        <w:autoSpaceDN/>
        <w:bidi w:val="0"/>
        <w:adjustRightInd w:val="0"/>
        <w:snapToGrid w:val="0"/>
        <w:spacing w:before="0" w:after="0" w:line="500" w:lineRule="exact"/>
        <w:textAlignment w:val="auto"/>
        <w:rPr>
          <w:rFonts w:ascii="楷体_GB2312" w:hAnsi="楷体_GB2312" w:eastAsia="楷体_GB2312" w:cs="楷体_GB2312"/>
          <w:sz w:val="24"/>
          <w:szCs w:val="24"/>
        </w:rPr>
      </w:pPr>
      <w:bookmarkStart w:id="235" w:name="_Toc18975"/>
      <w:bookmarkStart w:id="236" w:name="_Toc1461_WPSOffice_Level3"/>
      <w:bookmarkStart w:id="237" w:name="_Toc27699_WPSOffice_Level3"/>
      <w:bookmarkStart w:id="238" w:name="_Toc14580"/>
      <w:bookmarkStart w:id="239" w:name="_Toc31926"/>
      <w:r>
        <w:rPr>
          <w:rFonts w:hint="eastAsia" w:ascii="楷体_GB2312" w:hAnsi="楷体_GB2312" w:eastAsia="楷体_GB2312" w:cs="楷体_GB2312"/>
          <w:sz w:val="24"/>
          <w:szCs w:val="24"/>
        </w:rPr>
        <w:t>3</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.其他规定</w:t>
      </w:r>
      <w:bookmarkEnd w:id="235"/>
      <w:bookmarkEnd w:id="236"/>
      <w:bookmarkEnd w:id="237"/>
      <w:bookmarkEnd w:id="238"/>
      <w:bookmarkEnd w:id="239"/>
    </w:p>
    <w:p w14:paraId="4FBC2CE3">
      <w:pPr>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sz w:val="24"/>
          <w:szCs w:val="24"/>
        </w:rPr>
      </w:pPr>
      <w:r>
        <w:rPr>
          <w:rFonts w:hint="eastAsia" w:ascii="仿宋_GB2312" w:hAnsi="仿宋_GB2312" w:eastAsia="仿宋_GB2312" w:cs="仿宋_GB2312"/>
          <w:sz w:val="24"/>
          <w:szCs w:val="24"/>
        </w:rPr>
        <w:t>谈判文件的其他规定见【谈判须知前附表】。</w:t>
      </w:r>
    </w:p>
    <w:p w14:paraId="6C98D7BC">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240" w:name="_Toc13204"/>
      <w:bookmarkStart w:id="241" w:name="_Toc31765_WPSOffice_Level1"/>
      <w:bookmarkStart w:id="242" w:name="_Toc7566"/>
      <w:bookmarkStart w:id="243" w:name="_Toc18130_WPSOffice_Level1"/>
      <w:bookmarkStart w:id="244" w:name="_Toc2404_WPSOffice_Level1"/>
      <w:bookmarkStart w:id="245" w:name="_Toc34637773"/>
      <w:bookmarkStart w:id="246" w:name="_Toc7780_WPSOffice_Level1"/>
      <w:bookmarkStart w:id="247" w:name="_Toc20750"/>
      <w:bookmarkStart w:id="248" w:name="_Toc4912_WPSOffice_Level1"/>
      <w:bookmarkStart w:id="249" w:name="_Toc29561_WPSOffice_Level1"/>
      <w:r>
        <w:rPr>
          <w:rFonts w:hint="eastAsia" w:ascii="华文中宋" w:hAnsi="华文中宋" w:eastAsia="华文中宋" w:cs="华文中宋"/>
          <w:b w:val="0"/>
          <w:bCs w:val="0"/>
          <w:sz w:val="44"/>
          <w:szCs w:val="44"/>
        </w:rPr>
        <w:br w:type="page"/>
      </w:r>
      <w:bookmarkStart w:id="250" w:name="_Toc4238"/>
      <w:r>
        <w:rPr>
          <w:rFonts w:hint="eastAsia" w:ascii="华文中宋" w:hAnsi="华文中宋" w:eastAsia="华文中宋" w:cs="华文中宋"/>
          <w:b w:val="0"/>
          <w:bCs w:val="0"/>
          <w:sz w:val="36"/>
          <w:szCs w:val="36"/>
        </w:rPr>
        <w:t xml:space="preserve">第三部分 </w:t>
      </w:r>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采购需求</w:t>
      </w:r>
      <w:bookmarkEnd w:id="240"/>
      <w:bookmarkEnd w:id="241"/>
      <w:bookmarkEnd w:id="242"/>
      <w:bookmarkEnd w:id="243"/>
      <w:bookmarkEnd w:id="244"/>
      <w:bookmarkEnd w:id="245"/>
      <w:bookmarkEnd w:id="246"/>
      <w:bookmarkEnd w:id="247"/>
      <w:bookmarkEnd w:id="248"/>
      <w:bookmarkEnd w:id="249"/>
      <w:bookmarkEnd w:id="250"/>
    </w:p>
    <w:p w14:paraId="2DEA405E">
      <w:pPr>
        <w:spacing w:line="400" w:lineRule="exact"/>
        <w:ind w:firstLine="720" w:firstLineChars="300"/>
        <w:rPr>
          <w:rFonts w:hint="eastAsia" w:ascii="宋体" w:hAnsi="宋体"/>
          <w:sz w:val="24"/>
          <w:lang w:val="en-US" w:eastAsia="zh-CN"/>
        </w:rPr>
      </w:pPr>
    </w:p>
    <w:tbl>
      <w:tblPr>
        <w:tblStyle w:val="17"/>
        <w:tblW w:w="9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256"/>
        <w:gridCol w:w="4537"/>
        <w:gridCol w:w="1000"/>
        <w:gridCol w:w="788"/>
        <w:gridCol w:w="887"/>
      </w:tblGrid>
      <w:tr w14:paraId="07A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3E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bookmarkStart w:id="251" w:name="_Toc18208_WPSOffice_Level1"/>
            <w:bookmarkStart w:id="252" w:name="_Toc6923_WPSOffice_Level1"/>
            <w:bookmarkStart w:id="253" w:name="_Toc15487_WPSOffice_Level1"/>
            <w:bookmarkStart w:id="254" w:name="_Toc18643_WPSOffice_Level1"/>
            <w:bookmarkStart w:id="255" w:name="_Toc955_WPSOffice_Level1"/>
            <w:bookmarkStart w:id="256" w:name="_Toc5732_WPSOffice_Level1"/>
            <w:bookmarkStart w:id="257" w:name="_Toc31138"/>
            <w:bookmarkStart w:id="258" w:name="_Toc22544"/>
            <w:r>
              <w:rPr>
                <w:rFonts w:hint="eastAsia" w:ascii="仿宋" w:hAnsi="仿宋" w:eastAsia="仿宋" w:cs="仿宋"/>
                <w:kern w:val="0"/>
                <w:sz w:val="21"/>
                <w:szCs w:val="21"/>
                <w:lang w:val="en-US" w:eastAsia="zh-CN" w:bidi="ar"/>
              </w:rPr>
              <w:t>序号</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0BE1E7B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设备名称</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4A0C19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参数</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9378F4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数量</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BC1D60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单位</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7199EF9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备注</w:t>
            </w:r>
          </w:p>
        </w:tc>
      </w:tr>
      <w:tr w14:paraId="27E8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239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9A0C3A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真空制冷机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4714C62">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每周期冷却处理量：900-1000Kg/30-40分钟；</w:t>
            </w:r>
          </w:p>
          <w:p w14:paraId="2FDF7193">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冷却温度：从高温40℃-1℃；</w:t>
            </w:r>
          </w:p>
          <w:p w14:paraId="7A3CFF5B">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真空箱有效容积：≥7立方米；</w:t>
            </w:r>
          </w:p>
          <w:p w14:paraId="4929491D">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装机总功率：≥30KW;</w:t>
            </w:r>
          </w:p>
          <w:p w14:paraId="5F15F56F">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压缩机功率：≥22KW；</w:t>
            </w:r>
          </w:p>
          <w:p w14:paraId="0CEB9024">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真空泵功率：≥7KW；</w:t>
            </w:r>
          </w:p>
          <w:p w14:paraId="5ED2BBD5">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风冷凝器功率：≥2KW；</w:t>
            </w:r>
          </w:p>
          <w:p w14:paraId="384F421C">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蒸发/冷却温度：-15℃/+40℃；</w:t>
            </w:r>
          </w:p>
          <w:p w14:paraId="540F4C9B">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最大环境温度：40℃；</w:t>
            </w:r>
          </w:p>
          <w:p w14:paraId="1C4FB841">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极限真空度：≤1000Pa；</w:t>
            </w:r>
          </w:p>
          <w:p w14:paraId="0A17E5F0">
            <w:pPr>
              <w:keepNext w:val="0"/>
              <w:keepLines w:val="0"/>
              <w:widowControl w:val="0"/>
              <w:numPr>
                <w:ilvl w:val="0"/>
                <w:numId w:val="2"/>
              </w:numPr>
              <w:suppressLineNumbers w:val="0"/>
              <w:autoSpaceDE w:val="0"/>
              <w:autoSpaceDN w:val="0"/>
              <w:adjustRightInd w:val="0"/>
              <w:spacing w:before="0" w:beforeAutospacing="0" w:after="0" w:afterAutospacing="0" w:line="360" w:lineRule="exact"/>
              <w:ind w:left="0" w:right="0" w:rightChars="0" w:firstLine="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物品最终温度：0-10℃可调。</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24BB9E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14D0C24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套</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EB630A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19B6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1F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93C4D2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冷藏柜牵引车</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345799C1">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1、车辆类型：牵引汽车（天然气）</w:t>
            </w:r>
          </w:p>
          <w:p w14:paraId="3A89621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2、发动机马力/功率：≥530马力/390KW</w:t>
            </w:r>
          </w:p>
          <w:p w14:paraId="2D170EE8">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3、总质量：25000kg</w:t>
            </w:r>
          </w:p>
          <w:p w14:paraId="59E19E2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4、整备质量：≥8800kg</w:t>
            </w:r>
          </w:p>
          <w:p w14:paraId="2468ACC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5、鞍座承载质量：≥16000kg</w:t>
            </w:r>
          </w:p>
          <w:p w14:paraId="251ADD6C">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6、轮胎规格：12R22.5  18PR</w:t>
            </w:r>
          </w:p>
          <w:p w14:paraId="1D8BAB0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7、轴距：≥3770+1350mm</w:t>
            </w:r>
          </w:p>
          <w:p w14:paraId="126B94B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8、前悬/后悬：≥1500/750mm</w:t>
            </w:r>
          </w:p>
          <w:p w14:paraId="0991AC51">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9、排放标准：国VI</w:t>
            </w:r>
          </w:p>
          <w:p w14:paraId="6143EBE8">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10、变速器型号：≥12档 AMT</w:t>
            </w:r>
          </w:p>
          <w:p w14:paraId="34572B0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11、燃料箱：≥1350L</w:t>
            </w:r>
          </w:p>
          <w:p w14:paraId="2C0EEC5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准乘人数：2人</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6B25084">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29A4C3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辆</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8E7CCA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0756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5108">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AE3D51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冷藏柜</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352AEDF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1、名称：冷藏半挂车</w:t>
            </w:r>
          </w:p>
          <w:p w14:paraId="19CF046B">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2、外形尺寸≥13600×2600×4000mm</w:t>
            </w:r>
          </w:p>
          <w:p w14:paraId="53E3DDCE">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3、货箱尺寸≥13435×2435×2500mm</w:t>
            </w:r>
          </w:p>
          <w:p w14:paraId="2EE0500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4、总质量：40000kg</w:t>
            </w:r>
          </w:p>
          <w:p w14:paraId="5BA2F92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5、额定载质量≥30200kg</w:t>
            </w:r>
          </w:p>
          <w:p w14:paraId="4EE81835">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6、整备质量≤9800kg</w:t>
            </w:r>
          </w:p>
          <w:p w14:paraId="50E2F86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7、轴距：6530+1310+1310</w:t>
            </w:r>
          </w:p>
          <w:p w14:paraId="343AA2BD">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8、轮胎：12R22.5</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A5CD5F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D797AC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43B03F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p>
        </w:tc>
      </w:tr>
      <w:tr w14:paraId="4B75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704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6ADE4B2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起重车</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7FF205B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底盘参数：</w:t>
            </w:r>
          </w:p>
          <w:p w14:paraId="7B3D3EB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1.发动机马力/功率：≥200马力/147KW</w:t>
            </w:r>
          </w:p>
          <w:p w14:paraId="2AAF1E4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2.轴距≥5100</w:t>
            </w:r>
          </w:p>
          <w:p w14:paraId="7145A093">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3.钢板≥8/10+8</w:t>
            </w:r>
          </w:p>
          <w:p w14:paraId="221DF03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4.轮胎≥10.00R 18PR</w:t>
            </w:r>
          </w:p>
          <w:p w14:paraId="1E8598B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5.前后桥5/10吨</w:t>
            </w:r>
          </w:p>
          <w:p w14:paraId="5F2DD28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6. 8挡变速箱</w:t>
            </w:r>
          </w:p>
          <w:p w14:paraId="313E120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7.整车外形尺寸≥9000/2550/3850mm</w:t>
            </w:r>
          </w:p>
          <w:p w14:paraId="64A33057">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8.货箱≥6050/2450/550mm</w:t>
            </w:r>
          </w:p>
          <w:p w14:paraId="20D555C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9.总质量≥18吨</w:t>
            </w:r>
          </w:p>
          <w:p w14:paraId="603BA992">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10.整备质量≥12吨</w:t>
            </w:r>
          </w:p>
          <w:p w14:paraId="57441544">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吊机参数：</w:t>
            </w:r>
          </w:p>
          <w:p w14:paraId="4852C15A">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18吨4节臂吊机</w:t>
            </w:r>
          </w:p>
          <w:p w14:paraId="14215FA5">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2全伸臂长≥16米</w:t>
            </w:r>
          </w:p>
          <w:p w14:paraId="5B4D20BF">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3最大吊起高度≥17.8米</w:t>
            </w:r>
          </w:p>
          <w:p w14:paraId="159D065C">
            <w:pPr>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4支腿水平横跨距离6米</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374859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4873AD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辆</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30E1F1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yellow"/>
              </w:rPr>
            </w:pPr>
          </w:p>
        </w:tc>
      </w:tr>
      <w:tr w14:paraId="4F84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14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8468" w:type="dxa"/>
            <w:gridSpan w:val="5"/>
            <w:tcBorders>
              <w:top w:val="single" w:color="000000" w:sz="4" w:space="0"/>
              <w:left w:val="nil"/>
              <w:bottom w:val="single" w:color="000000" w:sz="4" w:space="0"/>
              <w:right w:val="single" w:color="000000" w:sz="4" w:space="0"/>
            </w:tcBorders>
            <w:shd w:val="clear" w:color="auto" w:fill="auto"/>
            <w:vAlign w:val="center"/>
          </w:tcPr>
          <w:p w14:paraId="68DF4E6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冷库设备</w:t>
            </w:r>
          </w:p>
        </w:tc>
      </w:tr>
      <w:tr w14:paraId="081C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D0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11ACBC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风冷机组</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0BCCE5B">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50匹高温两并联螺杆机组 -10/35℃工况下制冷量≥210kw</w:t>
            </w:r>
          </w:p>
          <w:p w14:paraId="280BF94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40匹低温活塞机组箱式 -25/45℃工况下,制冷量≥36kw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AD5924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9FCE4A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B0400A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7FD2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F2B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FED44C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蒸发冷</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554362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换热量≥750kw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AF04E0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6A7B8F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FF9E38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28D2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9"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D5EC">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6AF88F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冷风机1</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764B3EEC">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蒸发温度-10</w:t>
            </w:r>
          </w:p>
          <w:p w14:paraId="7EE34B83">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制冷量≥75kw</w:t>
            </w:r>
          </w:p>
          <w:p w14:paraId="456ECD29">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铜管铝片</w:t>
            </w:r>
          </w:p>
          <w:p w14:paraId="63496CE5">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片距6mm</w:t>
            </w:r>
          </w:p>
          <w:p w14:paraId="71FE178A">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电化霜功率:≥19kw</w:t>
            </w:r>
          </w:p>
          <w:p w14:paraId="2C64EEA0">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风机功率:≥2*3kw</w:t>
            </w:r>
          </w:p>
          <w:p w14:paraId="294C4714">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接水盘功率:≥3.0kw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2A1CFF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4</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D79608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2E2ABF2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p>
        </w:tc>
      </w:tr>
      <w:tr w14:paraId="16DC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38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185FCE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冷风机2</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F5FCF43">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制冷量≥20kw</w:t>
            </w:r>
          </w:p>
          <w:p w14:paraId="1E719D0D">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铜管铝片</w:t>
            </w:r>
          </w:p>
          <w:p w14:paraId="164C57AE">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片距9mm</w:t>
            </w:r>
          </w:p>
          <w:p w14:paraId="10A67D56">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电化霜功率:≥12kw</w:t>
            </w:r>
          </w:p>
          <w:p w14:paraId="48FBC498">
            <w:pPr>
              <w:keepNext w:val="0"/>
              <w:keepLines w:val="0"/>
              <w:widowControl w:val="0"/>
              <w:suppressLineNumbers w:val="0"/>
              <w:autoSpaceDE w:val="0"/>
              <w:autoSpaceDN w:val="0"/>
              <w:adjustRightInd w:val="0"/>
              <w:spacing w:before="0" w:beforeAutospacing="0" w:after="0" w:afterAutospacing="0" w:line="360" w:lineRule="exact"/>
              <w:ind w:left="0" w:right="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风机功率:≥2*1kw</w:t>
            </w:r>
          </w:p>
          <w:p w14:paraId="56DD1F5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接水盘功率:≥1.5kw</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B6B893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85CDEF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09A0B9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p>
        </w:tc>
      </w:tr>
      <w:tr w14:paraId="7CE0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3F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2F9260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管材、阀球、电气控制及线缆</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EE7EC3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满足制冷设备正常运行</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11A1B0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D480BC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384DDC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highlight w:val="none"/>
              </w:rPr>
            </w:pPr>
          </w:p>
        </w:tc>
      </w:tr>
      <w:tr w14:paraId="2072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72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w:t>
            </w:r>
          </w:p>
        </w:tc>
        <w:tc>
          <w:tcPr>
            <w:tcW w:w="8468" w:type="dxa"/>
            <w:gridSpan w:val="5"/>
            <w:tcBorders>
              <w:top w:val="single" w:color="000000" w:sz="4" w:space="0"/>
              <w:left w:val="nil"/>
              <w:bottom w:val="single" w:color="000000" w:sz="4" w:space="0"/>
              <w:right w:val="single" w:color="000000" w:sz="4" w:space="0"/>
            </w:tcBorders>
            <w:shd w:val="clear" w:color="auto" w:fill="auto"/>
            <w:vAlign w:val="center"/>
          </w:tcPr>
          <w:p w14:paraId="20A9B98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智能化系统</w:t>
            </w:r>
          </w:p>
        </w:tc>
      </w:tr>
      <w:tr w14:paraId="5B1D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5E4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C85E3B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无线温湿度CO</w:t>
            </w:r>
            <w:r>
              <w:rPr>
                <w:rFonts w:hint="eastAsia" w:ascii="仿宋" w:hAnsi="仿宋" w:eastAsia="仿宋" w:cs="仿宋"/>
                <w:kern w:val="0"/>
                <w:sz w:val="21"/>
                <w:szCs w:val="21"/>
                <w:vertAlign w:val="subscript"/>
                <w:lang w:val="en-US" w:eastAsia="zh-CN" w:bidi="ar"/>
              </w:rPr>
              <w:t>2</w:t>
            </w:r>
            <w:r>
              <w:rPr>
                <w:rFonts w:hint="eastAsia" w:ascii="仿宋" w:hAnsi="仿宋" w:eastAsia="仿宋" w:cs="仿宋"/>
                <w:kern w:val="0"/>
                <w:sz w:val="21"/>
                <w:szCs w:val="21"/>
                <w:lang w:val="en-US" w:eastAsia="zh-CN" w:bidi="ar"/>
              </w:rPr>
              <w:t>多合一传感器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8A8F13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测量范围：温-20℃~85℃；湿0-100%RH；二氧：0-5000ppm、</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精度：温度0.3℃  湿度3%；±(100ppm±6%)</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2BCD311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468F716">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0E6E9B1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243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7EA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8D132F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氧气传感器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AAE20B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分辨率：0.1%VOL、量程：0-25%VOL、精度：±3%F.S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26D46A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282455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4BF502F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395D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94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4E46C52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氨气传感器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A03F46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分辨率：1ppm、量程：0~100ppm、精度：±2%F.S、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16A91D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9C9287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DD41CF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7648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88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6.4</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7A8E0B1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双基色LED显示屏</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0E9DFA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双基色LED显示屏4*4；</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规格：P5，双基色、单元板数：横4，竖4、尺寸：140*76cm、</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功能：从变送器动态获取数据，一次显示3个值，</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最多可8屏轮训，可远程设置显示汉字内容</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FF4D35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2BC08DC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9A97824">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65A9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E68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6.5</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102B057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物联网控制柜</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8D8802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5台制冷压缩机电机为一组；10个风机为5组：</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5台冷库门为1组；5台除霜机为一组</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实现手机电脑网页远程开关控制，根据传感器数据实现自动化。）</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A66F3F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19C4518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套</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268B7F96">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19B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FBD">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6.6</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271596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摄像头1</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214B5E1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200万poe球机</w:t>
            </w:r>
            <w:bookmarkStart w:id="496" w:name="_GoBack"/>
            <w:bookmarkEnd w:id="496"/>
            <w:r>
              <w:rPr>
                <w:rFonts w:hint="eastAsia" w:ascii="仿宋" w:hAnsi="仿宋" w:eastAsia="仿宋" w:cs="仿宋"/>
                <w:kern w:val="0"/>
                <w:sz w:val="21"/>
                <w:szCs w:val="21"/>
                <w:highlight w:val="none"/>
                <w:lang w:val="en-US" w:eastAsia="zh-CN" w:bidi="ar"/>
              </w:rPr>
              <w:br w:type="textWrapping"/>
            </w:r>
            <w:r>
              <w:rPr>
                <w:rFonts w:hint="eastAsia" w:ascii="仿宋" w:hAnsi="仿宋" w:eastAsia="仿宋" w:cs="仿宋"/>
                <w:kern w:val="0"/>
                <w:sz w:val="21"/>
                <w:szCs w:val="21"/>
                <w:highlight w:val="none"/>
                <w:lang w:val="en-US" w:eastAsia="zh-CN" w:bidi="ar"/>
              </w:rPr>
              <w:t>焦距：4-110mm23倍光学、旋转角度：360°水平旋转，垂直方向-15°-90°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3F9C15B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650AFCC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F9C1A4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775E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C98F">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6.7</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4D4FC34A">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摄像头2</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83E528E">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bidi="ar"/>
              </w:rPr>
              <w:t>200万POE枪机</w:t>
            </w:r>
            <w:r>
              <w:rPr>
                <w:rFonts w:hint="eastAsia" w:ascii="仿宋" w:hAnsi="仿宋" w:eastAsia="仿宋" w:cs="仿宋"/>
                <w:kern w:val="0"/>
                <w:sz w:val="21"/>
                <w:szCs w:val="21"/>
                <w:highlight w:val="none"/>
                <w:lang w:val="en-US" w:eastAsia="zh-CN" w:bidi="ar"/>
              </w:rPr>
              <w:br w:type="textWrapping"/>
            </w:r>
            <w:r>
              <w:rPr>
                <w:rFonts w:hint="eastAsia" w:ascii="仿宋" w:hAnsi="仿宋" w:eastAsia="仿宋" w:cs="仿宋"/>
                <w:kern w:val="0"/>
                <w:sz w:val="21"/>
                <w:szCs w:val="21"/>
                <w:highlight w:val="none"/>
                <w:lang w:val="en-US" w:eastAsia="zh-CN" w:bidi="ar"/>
              </w:rPr>
              <w:t>焦距：4-110mm23倍光学、旋转角度：枪式，垂直方向-15°-90°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5DB2B7A">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5</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502EE810">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1C38BD5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B67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D24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6.8</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28245187">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硬盘录像机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A5CAC3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32路网络硬盘录像机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（内存容量：6T、路数：32路、压缩格式：H.265）</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6A7C3C7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3D12955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6E80E0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606A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0DF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6.9</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5FF43AF1">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硬盘</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03B2DA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内存容量：6T、接口类型：SATA、硬盘转速：5400转</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48A2B771">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9311B3D">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C3DDDF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125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CE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6.10</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4D8C97E">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交换机</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5AB3BE25">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12口POE交换机</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类型：千兆交换机、传输速度：1000Mbps</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9AD8F69">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BCCB19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385FAF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510F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8C70">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6.11</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6746F7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液晶显示器</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03ED3A98">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80寸液晶显示器</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尺寸：80＂、分辨率：1920×1080</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5F0FF5C3">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3E70047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台</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77D8A15">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2BBC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636F">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6.12</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6D732E22">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物联控制平台</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68A1BBDB">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设备远程实时控制、监测系统数据远程实时/历史数据观测</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设定多种设备自动化控制规则进行自动化温控、</w:t>
            </w:r>
            <w:r>
              <w:rPr>
                <w:rFonts w:hint="eastAsia" w:ascii="仿宋" w:hAnsi="仿宋" w:eastAsia="仿宋" w:cs="仿宋"/>
                <w:kern w:val="0"/>
                <w:sz w:val="21"/>
                <w:szCs w:val="21"/>
                <w:lang w:val="en-US" w:eastAsia="zh-CN" w:bidi="ar"/>
              </w:rPr>
              <w:br w:type="textWrapping"/>
            </w:r>
            <w:r>
              <w:rPr>
                <w:rFonts w:hint="eastAsia" w:ascii="仿宋" w:hAnsi="仿宋" w:eastAsia="仿宋" w:cs="仿宋"/>
                <w:kern w:val="0"/>
                <w:sz w:val="21"/>
                <w:szCs w:val="21"/>
                <w:lang w:val="en-US" w:eastAsia="zh-CN" w:bidi="ar"/>
              </w:rPr>
              <w:t>视频监控远程查看、智能预警及时提醒）</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7971DFB2">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0DE7230C">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3CBCA8FB">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r w14:paraId="1D31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1D1C">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6.13</w:t>
            </w:r>
          </w:p>
        </w:tc>
        <w:tc>
          <w:tcPr>
            <w:tcW w:w="1256" w:type="dxa"/>
            <w:tcBorders>
              <w:top w:val="single" w:color="000000" w:sz="4" w:space="0"/>
              <w:left w:val="nil"/>
              <w:bottom w:val="single" w:color="000000" w:sz="4" w:space="0"/>
              <w:right w:val="single" w:color="000000" w:sz="4" w:space="0"/>
            </w:tcBorders>
            <w:shd w:val="clear" w:color="auto" w:fill="auto"/>
            <w:vAlign w:val="center"/>
          </w:tcPr>
          <w:p w14:paraId="334AA539">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辅材</w:t>
            </w:r>
          </w:p>
        </w:tc>
        <w:tc>
          <w:tcPr>
            <w:tcW w:w="4537" w:type="dxa"/>
            <w:tcBorders>
              <w:top w:val="single" w:color="000000" w:sz="4" w:space="0"/>
              <w:left w:val="nil"/>
              <w:bottom w:val="single" w:color="000000" w:sz="4" w:space="0"/>
              <w:right w:val="single" w:color="000000" w:sz="4" w:space="0"/>
            </w:tcBorders>
            <w:shd w:val="clear" w:color="auto" w:fill="auto"/>
            <w:vAlign w:val="center"/>
          </w:tcPr>
          <w:p w14:paraId="10EBFC37">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设施设备辅材及配件安装</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0FDDAEC4">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1</w:t>
            </w:r>
          </w:p>
        </w:tc>
        <w:tc>
          <w:tcPr>
            <w:tcW w:w="788" w:type="dxa"/>
            <w:tcBorders>
              <w:top w:val="single" w:color="000000" w:sz="4" w:space="0"/>
              <w:left w:val="nil"/>
              <w:bottom w:val="single" w:color="000000" w:sz="4" w:space="0"/>
              <w:right w:val="single" w:color="000000" w:sz="4" w:space="0"/>
            </w:tcBorders>
            <w:shd w:val="clear" w:color="auto" w:fill="auto"/>
            <w:vAlign w:val="center"/>
          </w:tcPr>
          <w:p w14:paraId="7F97ED1B">
            <w:pPr>
              <w:keepNext w:val="0"/>
              <w:keepLines w:val="0"/>
              <w:widowControl w:val="0"/>
              <w:suppressLineNumbers w:val="0"/>
              <w:autoSpaceDE w:val="0"/>
              <w:autoSpaceDN w:val="0"/>
              <w:adjustRightInd w:val="0"/>
              <w:spacing w:before="0" w:beforeAutospacing="0" w:after="0" w:afterAutospacing="0" w:line="360" w:lineRule="exact"/>
              <w:ind w:left="0" w:leftChars="0" w:right="0" w:rightChars="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项</w:t>
            </w:r>
          </w:p>
        </w:tc>
        <w:tc>
          <w:tcPr>
            <w:tcW w:w="887" w:type="dxa"/>
            <w:tcBorders>
              <w:top w:val="single" w:color="000000" w:sz="4" w:space="0"/>
              <w:left w:val="nil"/>
              <w:bottom w:val="single" w:color="000000" w:sz="4" w:space="0"/>
              <w:right w:val="single" w:color="000000" w:sz="4" w:space="0"/>
            </w:tcBorders>
            <w:shd w:val="clear" w:color="auto" w:fill="auto"/>
            <w:vAlign w:val="center"/>
          </w:tcPr>
          <w:p w14:paraId="600F7963">
            <w:pPr>
              <w:keepNext w:val="0"/>
              <w:keepLines w:val="0"/>
              <w:widowControl w:val="0"/>
              <w:suppressLineNumbers w:val="0"/>
              <w:autoSpaceDE w:val="0"/>
              <w:autoSpaceDN w:val="0"/>
              <w:adjustRightInd w:val="0"/>
              <w:spacing w:before="0" w:beforeAutospacing="0" w:after="0" w:afterAutospacing="0" w:line="360" w:lineRule="exact"/>
              <w:ind w:left="0" w:right="0"/>
              <w:jc w:val="center"/>
              <w:rPr>
                <w:rFonts w:hint="eastAsia" w:ascii="仿宋" w:hAnsi="仿宋" w:eastAsia="仿宋" w:cs="仿宋"/>
                <w:kern w:val="0"/>
                <w:sz w:val="21"/>
                <w:szCs w:val="21"/>
              </w:rPr>
            </w:pPr>
          </w:p>
        </w:tc>
      </w:tr>
    </w:tbl>
    <w:p w14:paraId="1D1FB889">
      <w:pPr>
        <w:jc w:val="center"/>
        <w:rPr>
          <w:rFonts w:hint="eastAsia" w:ascii="华文中宋" w:hAnsi="华文中宋" w:eastAsia="华文中宋" w:cs="华文中宋"/>
          <w:sz w:val="36"/>
          <w:szCs w:val="36"/>
        </w:rPr>
      </w:pPr>
    </w:p>
    <w:p w14:paraId="582A79AF">
      <w:pPr>
        <w:jc w:val="center"/>
        <w:rPr>
          <w:rFonts w:hint="eastAsia" w:ascii="华文中宋" w:hAnsi="华文中宋" w:eastAsia="华文中宋" w:cs="华文中宋"/>
          <w:sz w:val="36"/>
          <w:szCs w:val="36"/>
        </w:rPr>
      </w:pPr>
    </w:p>
    <w:p w14:paraId="4965F296">
      <w:pPr>
        <w:jc w:val="center"/>
        <w:rPr>
          <w:rFonts w:hint="eastAsia" w:ascii="华文中宋" w:hAnsi="华文中宋" w:eastAsia="华文中宋" w:cs="华文中宋"/>
          <w:sz w:val="36"/>
          <w:szCs w:val="36"/>
        </w:rPr>
      </w:pPr>
    </w:p>
    <w:p w14:paraId="774188FD">
      <w:pPr>
        <w:jc w:val="center"/>
        <w:rPr>
          <w:rFonts w:hint="eastAsia" w:ascii="华文中宋" w:hAnsi="华文中宋" w:eastAsia="华文中宋" w:cs="华文中宋"/>
          <w:sz w:val="36"/>
          <w:szCs w:val="36"/>
        </w:rPr>
      </w:pPr>
    </w:p>
    <w:p w14:paraId="323C421A">
      <w:pPr>
        <w:jc w:val="center"/>
        <w:rPr>
          <w:rFonts w:hint="eastAsia" w:ascii="华文中宋" w:hAnsi="华文中宋" w:eastAsia="华文中宋" w:cs="华文中宋"/>
          <w:sz w:val="36"/>
          <w:szCs w:val="36"/>
        </w:rPr>
      </w:pPr>
    </w:p>
    <w:p w14:paraId="69FAC5DB">
      <w:pPr>
        <w:jc w:val="center"/>
        <w:rPr>
          <w:rFonts w:hint="eastAsia" w:ascii="华文中宋" w:hAnsi="华文中宋" w:eastAsia="华文中宋" w:cs="华文中宋"/>
          <w:sz w:val="36"/>
          <w:szCs w:val="36"/>
        </w:rPr>
      </w:pPr>
    </w:p>
    <w:p w14:paraId="1AD0192C">
      <w:pPr>
        <w:jc w:val="center"/>
        <w:rPr>
          <w:rFonts w:hint="eastAsia" w:ascii="华文中宋" w:hAnsi="华文中宋" w:eastAsia="华文中宋" w:cs="华文中宋"/>
          <w:sz w:val="36"/>
          <w:szCs w:val="36"/>
        </w:rPr>
      </w:pPr>
    </w:p>
    <w:p w14:paraId="589A7710">
      <w:pPr>
        <w:jc w:val="center"/>
        <w:rPr>
          <w:rFonts w:hint="eastAsia" w:ascii="华文中宋" w:hAnsi="华文中宋" w:eastAsia="华文中宋" w:cs="华文中宋"/>
          <w:sz w:val="36"/>
          <w:szCs w:val="36"/>
        </w:rPr>
      </w:pPr>
    </w:p>
    <w:p w14:paraId="3F09F84A">
      <w:pPr>
        <w:jc w:val="center"/>
        <w:rPr>
          <w:rFonts w:hint="eastAsia" w:ascii="华文中宋" w:hAnsi="华文中宋" w:eastAsia="华文中宋" w:cs="华文中宋"/>
          <w:sz w:val="36"/>
          <w:szCs w:val="36"/>
        </w:rPr>
      </w:pPr>
    </w:p>
    <w:p w14:paraId="59FC3FBB">
      <w:pPr>
        <w:jc w:val="center"/>
        <w:rPr>
          <w:rFonts w:hint="eastAsia" w:ascii="华文中宋" w:hAnsi="华文中宋" w:eastAsia="华文中宋" w:cs="华文中宋"/>
          <w:sz w:val="36"/>
          <w:szCs w:val="36"/>
        </w:rPr>
      </w:pPr>
    </w:p>
    <w:p w14:paraId="46830D2E">
      <w:pPr>
        <w:jc w:val="center"/>
        <w:rPr>
          <w:rFonts w:hint="eastAsia" w:ascii="华文中宋" w:hAnsi="华文中宋" w:eastAsia="华文中宋" w:cs="华文中宋"/>
          <w:sz w:val="36"/>
          <w:szCs w:val="36"/>
        </w:rPr>
      </w:pPr>
    </w:p>
    <w:p w14:paraId="2416A8EF">
      <w:pPr>
        <w:jc w:val="center"/>
        <w:rPr>
          <w:rFonts w:hint="eastAsia" w:ascii="华文中宋" w:hAnsi="华文中宋" w:eastAsia="华文中宋" w:cs="华文中宋"/>
          <w:sz w:val="36"/>
          <w:szCs w:val="36"/>
        </w:rPr>
      </w:pPr>
    </w:p>
    <w:p w14:paraId="69D8B448">
      <w:pPr>
        <w:jc w:val="center"/>
        <w:rPr>
          <w:rFonts w:hint="eastAsia" w:ascii="华文中宋" w:hAnsi="华文中宋" w:eastAsia="华文中宋" w:cs="华文中宋"/>
          <w:sz w:val="36"/>
          <w:szCs w:val="36"/>
        </w:rPr>
      </w:pPr>
    </w:p>
    <w:p w14:paraId="46D0351D">
      <w:pPr>
        <w:jc w:val="center"/>
        <w:rPr>
          <w:rFonts w:hint="eastAsia" w:ascii="华文中宋" w:hAnsi="华文中宋" w:eastAsia="华文中宋" w:cs="华文中宋"/>
          <w:sz w:val="36"/>
          <w:szCs w:val="36"/>
        </w:rPr>
      </w:pPr>
    </w:p>
    <w:p w14:paraId="55FF6917">
      <w:pPr>
        <w:jc w:val="center"/>
        <w:rPr>
          <w:rFonts w:hint="eastAsia" w:ascii="华文中宋" w:hAnsi="华文中宋" w:eastAsia="华文中宋" w:cs="华文中宋"/>
          <w:sz w:val="36"/>
          <w:szCs w:val="36"/>
        </w:rPr>
      </w:pPr>
    </w:p>
    <w:p w14:paraId="10534D32">
      <w:pPr>
        <w:jc w:val="center"/>
        <w:rPr>
          <w:rFonts w:hint="eastAsia" w:ascii="华文中宋" w:hAnsi="华文中宋" w:eastAsia="华文中宋" w:cs="华文中宋"/>
          <w:sz w:val="36"/>
          <w:szCs w:val="36"/>
        </w:rPr>
      </w:pPr>
    </w:p>
    <w:p w14:paraId="196BF1C9">
      <w:pPr>
        <w:jc w:val="center"/>
        <w:rPr>
          <w:rFonts w:ascii="宋体"/>
          <w:b/>
          <w:color w:val="000000"/>
          <w:sz w:val="44"/>
          <w:szCs w:val="44"/>
        </w:rPr>
      </w:pPr>
      <w:r>
        <w:rPr>
          <w:rFonts w:hint="eastAsia" w:ascii="华文中宋" w:hAnsi="华文中宋" w:eastAsia="华文中宋" w:cs="华文中宋"/>
          <w:sz w:val="36"/>
          <w:szCs w:val="36"/>
        </w:rPr>
        <w:t>第四部分</w:t>
      </w:r>
      <w:r>
        <w:rPr>
          <w:rFonts w:hint="eastAsia" w:ascii="华文中宋" w:hAnsi="华文中宋" w:eastAsia="华文中宋" w:cs="华文中宋"/>
          <w:sz w:val="36"/>
          <w:szCs w:val="36"/>
          <w:lang w:val="en-US" w:eastAsia="zh-CN"/>
        </w:rPr>
        <w:t xml:space="preserve">  </w:t>
      </w:r>
      <w:r>
        <w:rPr>
          <w:rFonts w:hint="eastAsia" w:ascii="华文中宋" w:hAnsi="华文中宋" w:eastAsia="华文中宋" w:cs="华文中宋"/>
          <w:sz w:val="36"/>
          <w:szCs w:val="36"/>
        </w:rPr>
        <w:t>谈判响应文件格式</w:t>
      </w:r>
      <w:bookmarkEnd w:id="251"/>
      <w:bookmarkEnd w:id="252"/>
      <w:bookmarkEnd w:id="253"/>
      <w:bookmarkEnd w:id="254"/>
      <w:bookmarkEnd w:id="255"/>
      <w:bookmarkEnd w:id="256"/>
      <w:bookmarkEnd w:id="257"/>
      <w:bookmarkEnd w:id="258"/>
    </w:p>
    <w:p w14:paraId="2C021F9B">
      <w:pPr>
        <w:adjustRightInd w:val="0"/>
        <w:snapToGrid w:val="0"/>
        <w:spacing w:line="560" w:lineRule="exact"/>
        <w:jc w:val="center"/>
        <w:outlineLvl w:val="1"/>
        <w:rPr>
          <w:rFonts w:ascii="黑体" w:hAnsi="黑体" w:eastAsia="黑体" w:cs="黑体"/>
          <w:sz w:val="32"/>
          <w:szCs w:val="32"/>
        </w:rPr>
      </w:pPr>
      <w:bookmarkStart w:id="259" w:name="_Toc4945_WPSOffice_Level2"/>
      <w:bookmarkStart w:id="260" w:name="_Toc20166_WPSOffice_Level2"/>
      <w:bookmarkStart w:id="261" w:name="_Toc11968"/>
      <w:bookmarkStart w:id="262" w:name="_Toc12691_WPSOffice_Level2"/>
      <w:bookmarkStart w:id="263" w:name="_Toc21773"/>
      <w:r>
        <w:rPr>
          <w:rFonts w:hint="eastAsia" w:ascii="黑体" w:hAnsi="黑体" w:eastAsia="黑体" w:cs="黑体"/>
          <w:sz w:val="30"/>
          <w:szCs w:val="30"/>
        </w:rPr>
        <w:t>十、谈判响应文件的组成</w:t>
      </w:r>
      <w:bookmarkEnd w:id="259"/>
      <w:bookmarkEnd w:id="260"/>
      <w:bookmarkEnd w:id="261"/>
      <w:bookmarkEnd w:id="262"/>
      <w:bookmarkEnd w:id="263"/>
    </w:p>
    <w:p w14:paraId="2FDB5F85">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64" w:name="_Toc688"/>
      <w:bookmarkStart w:id="265" w:name="_Toc31451_WPSOffice_Level3"/>
      <w:bookmarkStart w:id="266" w:name="_Toc185_WPSOffice_Level2"/>
      <w:bookmarkStart w:id="267" w:name="_Toc22172"/>
      <w:r>
        <w:rPr>
          <w:rFonts w:hint="eastAsia" w:ascii="楷体_GB2312" w:hAnsi="楷体_GB2312" w:eastAsia="楷体_GB2312" w:cs="楷体_GB2312"/>
          <w:b/>
          <w:bCs/>
          <w:sz w:val="24"/>
          <w:szCs w:val="24"/>
          <w:lang w:val="zh-CN"/>
        </w:rPr>
        <w:t>（一）资格审查部分</w:t>
      </w:r>
      <w:bookmarkEnd w:id="264"/>
      <w:bookmarkEnd w:id="265"/>
      <w:bookmarkEnd w:id="266"/>
      <w:bookmarkEnd w:id="267"/>
    </w:p>
    <w:p w14:paraId="7E2216E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8" w:name="_Toc19260_WPSOffice_Level3"/>
      <w:r>
        <w:rPr>
          <w:rFonts w:hint="eastAsia" w:ascii="仿宋_GB2312" w:hAnsi="仿宋_GB2312" w:eastAsia="仿宋_GB2312" w:cs="仿宋_GB2312"/>
          <w:sz w:val="24"/>
          <w:szCs w:val="24"/>
          <w:lang w:val="zh-CN"/>
        </w:rPr>
        <w:t>1、响应函（见附件1）</w:t>
      </w:r>
      <w:bookmarkEnd w:id="268"/>
    </w:p>
    <w:p w14:paraId="09BC86B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69" w:name="_Toc13122_WPSOffice_Level3"/>
      <w:r>
        <w:rPr>
          <w:rFonts w:hint="eastAsia" w:ascii="仿宋_GB2312" w:hAnsi="仿宋_GB2312" w:eastAsia="仿宋_GB2312" w:cs="仿宋_GB2312"/>
          <w:sz w:val="24"/>
          <w:szCs w:val="24"/>
          <w:lang w:val="zh-CN"/>
        </w:rPr>
        <w:t>2、法定代表人证明书（见附件2）</w:t>
      </w:r>
      <w:bookmarkEnd w:id="269"/>
    </w:p>
    <w:p w14:paraId="1742D99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0" w:name="_Toc5677_WPSOffice_Level3"/>
      <w:r>
        <w:rPr>
          <w:rFonts w:hint="eastAsia" w:ascii="仿宋_GB2312" w:hAnsi="仿宋_GB2312" w:eastAsia="仿宋_GB2312" w:cs="仿宋_GB2312"/>
          <w:sz w:val="24"/>
          <w:szCs w:val="24"/>
          <w:lang w:val="zh-CN"/>
        </w:rPr>
        <w:t>3、法定代表人授权书（见附件3）</w:t>
      </w:r>
      <w:bookmarkEnd w:id="270"/>
    </w:p>
    <w:p w14:paraId="055A6A5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1" w:name="_Toc1890_WPSOffice_Level3"/>
      <w:r>
        <w:rPr>
          <w:rFonts w:hint="eastAsia" w:ascii="仿宋_GB2312" w:hAnsi="仿宋_GB2312" w:eastAsia="仿宋_GB2312" w:cs="仿宋_GB2312"/>
          <w:sz w:val="24"/>
          <w:szCs w:val="24"/>
          <w:lang w:val="zh-CN"/>
        </w:rPr>
        <w:t>4、供应商承诺函（见附件4）</w:t>
      </w:r>
      <w:bookmarkEnd w:id="271"/>
    </w:p>
    <w:p w14:paraId="6C5121F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2" w:name="_Toc25873_WPSOffice_Level3"/>
      <w:r>
        <w:rPr>
          <w:rFonts w:hint="eastAsia" w:ascii="仿宋_GB2312" w:hAnsi="仿宋_GB2312" w:eastAsia="仿宋_GB2312" w:cs="仿宋_GB2312"/>
          <w:sz w:val="24"/>
          <w:szCs w:val="24"/>
          <w:lang w:val="zh-CN"/>
        </w:rPr>
        <w:t>5、供应商诚信承诺书（见附件5）</w:t>
      </w:r>
      <w:bookmarkEnd w:id="272"/>
    </w:p>
    <w:p w14:paraId="462B6C49">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3" w:name="_Toc31370_WPSOffice_Level3"/>
      <w:r>
        <w:rPr>
          <w:rFonts w:hint="eastAsia" w:ascii="仿宋_GB2312" w:hAnsi="仿宋_GB2312" w:eastAsia="仿宋_GB2312" w:cs="仿宋_GB2312"/>
          <w:sz w:val="24"/>
          <w:szCs w:val="24"/>
          <w:lang w:val="zh-CN"/>
        </w:rPr>
        <w:t>6、供应商资格证明文件（见附件6）</w:t>
      </w:r>
      <w:bookmarkEnd w:id="273"/>
    </w:p>
    <w:p w14:paraId="2F2AE10E">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4" w:name="_Toc10045_WPSOffice_Level3"/>
      <w:r>
        <w:rPr>
          <w:rFonts w:hint="eastAsia" w:ascii="仿宋_GB2312" w:hAnsi="仿宋_GB2312" w:eastAsia="仿宋_GB2312" w:cs="仿宋_GB2312"/>
          <w:sz w:val="24"/>
          <w:szCs w:val="24"/>
          <w:lang w:val="zh-CN"/>
        </w:rPr>
        <w:t>7、财务状况、缴纳税收和社会保障资金证明（见附件7）</w:t>
      </w:r>
      <w:bookmarkEnd w:id="274"/>
    </w:p>
    <w:p w14:paraId="1318AD1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75" w:name="_Toc12223_WPSOffice_Level3"/>
      <w:r>
        <w:rPr>
          <w:rFonts w:hint="eastAsia" w:ascii="仿宋_GB2312" w:hAnsi="仿宋_GB2312" w:eastAsia="仿宋_GB2312" w:cs="仿宋_GB2312"/>
          <w:sz w:val="24"/>
          <w:szCs w:val="24"/>
          <w:lang w:val="zh-CN"/>
        </w:rPr>
        <w:t>8、无重大违法记录声明（见附件</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zh-CN"/>
        </w:rPr>
        <w:t>）</w:t>
      </w:r>
      <w:bookmarkEnd w:id="275"/>
    </w:p>
    <w:p w14:paraId="4C6ED6D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76" w:name="_Toc10394_WPSOffice_Level3"/>
      <w:r>
        <w:rPr>
          <w:rFonts w:hint="eastAsia" w:ascii="仿宋_GB2312" w:hAnsi="仿宋_GB2312" w:eastAsia="仿宋_GB2312" w:cs="仿宋_GB2312"/>
          <w:sz w:val="24"/>
          <w:szCs w:val="24"/>
        </w:rPr>
        <w:t>9、谈判保证金证明（见附件9）</w:t>
      </w:r>
      <w:bookmarkEnd w:id="276"/>
    </w:p>
    <w:p w14:paraId="59682C02">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2"/>
        <w:rPr>
          <w:rFonts w:ascii="楷体_GB2312" w:hAnsi="楷体_GB2312" w:eastAsia="楷体_GB2312" w:cs="楷体_GB2312"/>
          <w:b/>
          <w:bCs/>
          <w:sz w:val="24"/>
          <w:szCs w:val="24"/>
          <w:lang w:val="zh-CN"/>
        </w:rPr>
      </w:pPr>
      <w:bookmarkStart w:id="277" w:name="_Toc21135"/>
      <w:bookmarkStart w:id="278" w:name="_Toc22228"/>
      <w:bookmarkStart w:id="279" w:name="_Toc18301_WPSOffice_Level3"/>
      <w:bookmarkStart w:id="280" w:name="_Toc3154_WPSOffice_Level2"/>
      <w:r>
        <w:rPr>
          <w:rFonts w:hint="eastAsia" w:ascii="楷体_GB2312" w:hAnsi="楷体_GB2312" w:eastAsia="楷体_GB2312" w:cs="楷体_GB2312"/>
          <w:b/>
          <w:bCs/>
          <w:sz w:val="24"/>
          <w:szCs w:val="24"/>
          <w:lang w:val="zh-CN"/>
        </w:rPr>
        <w:t>（二）有效性、完整性、响应程度审查部分</w:t>
      </w:r>
      <w:bookmarkEnd w:id="277"/>
      <w:bookmarkEnd w:id="278"/>
      <w:bookmarkEnd w:id="279"/>
      <w:bookmarkEnd w:id="280"/>
    </w:p>
    <w:p w14:paraId="2785F36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1" w:name="_Toc9730_WPSOffice_Level3"/>
      <w:r>
        <w:rPr>
          <w:rFonts w:hint="eastAsia" w:ascii="仿宋_GB2312" w:hAnsi="仿宋_GB2312" w:eastAsia="仿宋_GB2312" w:cs="仿宋_GB2312"/>
          <w:sz w:val="24"/>
          <w:szCs w:val="24"/>
          <w:lang w:val="zh-CN"/>
        </w:rPr>
        <w:t>1、谈判首次报价表（见附件</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zh-CN"/>
        </w:rPr>
        <w:t>）</w:t>
      </w:r>
      <w:bookmarkEnd w:id="281"/>
    </w:p>
    <w:p w14:paraId="003AFBB1">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lang w:val="zh-CN"/>
        </w:rPr>
      </w:pPr>
      <w:bookmarkStart w:id="282" w:name="_Toc15196_WPSOffice_Level3"/>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lang w:val="en-US" w:eastAsia="zh-CN"/>
        </w:rPr>
        <w:t>分项报价表</w:t>
      </w:r>
      <w:r>
        <w:rPr>
          <w:rFonts w:hint="eastAsia" w:ascii="仿宋_GB2312" w:hAnsi="仿宋_GB2312" w:eastAsia="仿宋_GB2312" w:cs="仿宋_GB2312"/>
          <w:sz w:val="24"/>
          <w:szCs w:val="24"/>
          <w:lang w:val="zh-CN"/>
        </w:rPr>
        <w:t>（见附件1</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w:t>
      </w:r>
      <w:bookmarkEnd w:id="282"/>
    </w:p>
    <w:p w14:paraId="5FB171A6">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3、技术规格响应表（见附件12）</w:t>
      </w:r>
    </w:p>
    <w:p w14:paraId="66DBA1A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3" w:name="_Toc22060_WPSOffice_Level3"/>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、具备履行合同所必须的设备和专业技术能力证明（附件1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w:t>
      </w:r>
    </w:p>
    <w:bookmarkEnd w:id="283"/>
    <w:p w14:paraId="1BBC680B">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4" w:name="_Toc16307_WPSOffice_Level3"/>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zh-CN"/>
        </w:rPr>
        <w:t>、享受政府采购政策优惠的证明资料（见附件</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w:t>
      </w:r>
      <w:bookmarkEnd w:id="284"/>
    </w:p>
    <w:p w14:paraId="253AA33C">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lang w:val="zh-CN"/>
        </w:rPr>
      </w:pPr>
      <w:bookmarkStart w:id="285" w:name="_Toc1748_WPSOffice_Level3"/>
      <w:r>
        <w:rPr>
          <w:rFonts w:hint="eastAsia" w:ascii="仿宋_GB2312" w:hAnsi="仿宋_GB2312" w:eastAsia="仿宋_GB2312" w:cs="仿宋_GB2312"/>
          <w:sz w:val="24"/>
          <w:szCs w:val="24"/>
        </w:rPr>
        <w:t>5、</w:t>
      </w:r>
      <w:bookmarkEnd w:id="285"/>
      <w:r>
        <w:rPr>
          <w:rFonts w:hint="eastAsia" w:ascii="仿宋_GB2312" w:hAnsi="仿宋_GB2312" w:eastAsia="仿宋_GB2312" w:cs="仿宋_GB2312"/>
          <w:sz w:val="24"/>
          <w:szCs w:val="24"/>
          <w:lang w:val="zh-CN"/>
        </w:rPr>
        <w:t>供应商认为在其他方面有必要说明的事项（格式自定）</w:t>
      </w:r>
    </w:p>
    <w:p w14:paraId="6080A96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6" w:name="_Toc30100_WPSOffice_Level3"/>
      <w:r>
        <w:rPr>
          <w:rFonts w:hint="eastAsia" w:ascii="仿宋_GB2312" w:hAnsi="仿宋_GB2312" w:eastAsia="仿宋_GB2312" w:cs="仿宋_GB2312"/>
          <w:sz w:val="24"/>
          <w:szCs w:val="24"/>
        </w:rPr>
        <w:t>6、谈判最后报价表（见附件1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bookmarkEnd w:id="286"/>
    </w:p>
    <w:p w14:paraId="03A48297">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_GB2312" w:hAnsi="仿宋_GB2312" w:eastAsia="仿宋_GB2312" w:cs="仿宋_GB2312"/>
          <w:sz w:val="24"/>
          <w:szCs w:val="24"/>
        </w:rPr>
      </w:pPr>
      <w:bookmarkStart w:id="287" w:name="_Toc5088_WPSOffice_Level3"/>
      <w:r>
        <w:rPr>
          <w:rFonts w:hint="eastAsia" w:ascii="仿宋_GB2312" w:hAnsi="仿宋_GB2312" w:eastAsia="仿宋_GB2312" w:cs="仿宋_GB2312"/>
          <w:sz w:val="24"/>
          <w:szCs w:val="24"/>
        </w:rPr>
        <w:t>7、其他证明材料（格式自定）</w:t>
      </w:r>
      <w:bookmarkEnd w:id="287"/>
    </w:p>
    <w:p w14:paraId="089639A1">
      <w:pPr>
        <w:adjustRightInd w:val="0"/>
        <w:snapToGrid w:val="0"/>
        <w:spacing w:line="560" w:lineRule="exact"/>
        <w:jc w:val="left"/>
        <w:rPr>
          <w:rFonts w:ascii="仿宋_GB2312" w:hAnsi="仿宋_GB2312" w:eastAsia="仿宋_GB2312" w:cs="仿宋_GB2312"/>
          <w:sz w:val="32"/>
          <w:szCs w:val="32"/>
        </w:rPr>
      </w:pPr>
    </w:p>
    <w:p w14:paraId="43443D1B">
      <w:pPr>
        <w:adjustRightInd w:val="0"/>
        <w:snapToGrid w:val="0"/>
        <w:spacing w:line="560" w:lineRule="exact"/>
        <w:jc w:val="left"/>
        <w:rPr>
          <w:rFonts w:ascii="仿宋_GB2312" w:hAnsi="仿宋_GB2312" w:eastAsia="仿宋_GB2312" w:cs="仿宋_GB2312"/>
          <w:sz w:val="32"/>
          <w:szCs w:val="32"/>
        </w:rPr>
      </w:pPr>
    </w:p>
    <w:p w14:paraId="07691E6C">
      <w:pPr>
        <w:adjustRightInd w:val="0"/>
        <w:snapToGrid w:val="0"/>
        <w:spacing w:line="560" w:lineRule="exact"/>
        <w:jc w:val="center"/>
        <w:outlineLvl w:val="1"/>
        <w:rPr>
          <w:rFonts w:hint="eastAsia" w:ascii="黑体" w:hAnsi="黑体" w:eastAsia="黑体" w:cs="黑体"/>
          <w:sz w:val="30"/>
          <w:szCs w:val="30"/>
        </w:rPr>
      </w:pPr>
      <w:bookmarkStart w:id="288" w:name="_Toc6128"/>
      <w:bookmarkStart w:id="289" w:name="_Toc5252_WPSOffice_Level2"/>
      <w:bookmarkStart w:id="290" w:name="_Toc11918"/>
      <w:bookmarkStart w:id="291" w:name="_Toc14930_WPSOffice_Level2"/>
      <w:bookmarkStart w:id="292" w:name="_Toc1684_WPSOffice_Level2"/>
    </w:p>
    <w:p w14:paraId="75AB086B">
      <w:pPr>
        <w:adjustRightInd w:val="0"/>
        <w:snapToGrid w:val="0"/>
        <w:spacing w:line="560" w:lineRule="exact"/>
        <w:jc w:val="center"/>
        <w:outlineLvl w:val="1"/>
        <w:rPr>
          <w:rFonts w:hint="eastAsia" w:ascii="黑体" w:hAnsi="黑体" w:eastAsia="黑体" w:cs="黑体"/>
          <w:sz w:val="30"/>
          <w:szCs w:val="30"/>
        </w:rPr>
      </w:pPr>
    </w:p>
    <w:p w14:paraId="15A2595F">
      <w:pPr>
        <w:adjustRightInd w:val="0"/>
        <w:snapToGrid w:val="0"/>
        <w:spacing w:line="560" w:lineRule="exact"/>
        <w:jc w:val="center"/>
        <w:outlineLvl w:val="1"/>
        <w:rPr>
          <w:rFonts w:ascii="黑体" w:hAnsi="黑体" w:eastAsia="黑体" w:cs="黑体"/>
          <w:sz w:val="32"/>
          <w:szCs w:val="32"/>
        </w:rPr>
      </w:pPr>
      <w:r>
        <w:rPr>
          <w:rFonts w:hint="eastAsia" w:ascii="黑体" w:hAnsi="黑体" w:eastAsia="黑体" w:cs="黑体"/>
          <w:sz w:val="30"/>
          <w:szCs w:val="30"/>
        </w:rPr>
        <w:t>十一、谈判响应文件</w:t>
      </w:r>
      <w:bookmarkEnd w:id="288"/>
      <w:bookmarkEnd w:id="289"/>
      <w:bookmarkEnd w:id="290"/>
      <w:bookmarkEnd w:id="291"/>
      <w:bookmarkEnd w:id="292"/>
    </w:p>
    <w:p w14:paraId="17FEA7C5">
      <w:pPr>
        <w:spacing w:before="156" w:beforeLines="50" w:line="560" w:lineRule="exact"/>
        <w:ind w:firstLine="1285" w:firstLineChars="400"/>
        <w:rPr>
          <w:rFonts w:ascii="仿宋_GB2312" w:hAnsi="仿宋_GB2312" w:eastAsia="仿宋_GB2312" w:cs="仿宋_GB2312"/>
          <w:b/>
          <w:color w:val="000000"/>
          <w:sz w:val="32"/>
          <w:szCs w:val="32"/>
        </w:rPr>
      </w:pPr>
      <w:bookmarkStart w:id="293" w:name="_Toc28269_WPSOffice_Level3"/>
    </w:p>
    <w:p w14:paraId="626A5B70">
      <w:pPr>
        <w:spacing w:before="156" w:beforeLines="50" w:line="560" w:lineRule="exact"/>
        <w:jc w:val="center"/>
        <w:rPr>
          <w:rFonts w:ascii="仿宋_GB2312" w:hAnsi="仿宋_GB2312" w:eastAsia="仿宋_GB2312" w:cs="仿宋_GB2312"/>
          <w:b/>
          <w:color w:val="000000"/>
          <w:sz w:val="52"/>
          <w:szCs w:val="52"/>
        </w:rPr>
      </w:pPr>
      <w:bookmarkStart w:id="294" w:name="_Toc31682_WPSOffice_Level2"/>
      <w:bookmarkStart w:id="295" w:name="_Toc10997_WPSOffice_Level2"/>
      <w:r>
        <w:rPr>
          <w:rFonts w:hint="eastAsia" w:ascii="仿宋_GB2312" w:hAnsi="仿宋_GB2312" w:eastAsia="仿宋_GB2312" w:cs="仿宋_GB2312"/>
          <w:b/>
          <w:color w:val="000000"/>
          <w:sz w:val="52"/>
          <w:szCs w:val="52"/>
        </w:rPr>
        <w:t>青海省政府采购项目</w:t>
      </w:r>
      <w:bookmarkEnd w:id="293"/>
      <w:bookmarkEnd w:id="294"/>
      <w:bookmarkEnd w:id="295"/>
    </w:p>
    <w:p w14:paraId="6ED56288">
      <w:pPr>
        <w:spacing w:before="156" w:beforeLines="50" w:line="560" w:lineRule="exact"/>
        <w:jc w:val="center"/>
        <w:rPr>
          <w:rFonts w:ascii="仿宋_GB2312" w:hAnsi="仿宋_GB2312" w:eastAsia="仿宋_GB2312" w:cs="仿宋_GB2312"/>
          <w:b/>
          <w:color w:val="000000"/>
          <w:sz w:val="52"/>
          <w:szCs w:val="52"/>
        </w:rPr>
      </w:pPr>
      <w:bookmarkStart w:id="296" w:name="_Toc25378_WPSOffice_Level2"/>
      <w:bookmarkStart w:id="297" w:name="_Toc23622_WPSOffice_Level2"/>
      <w:r>
        <w:rPr>
          <w:rFonts w:hint="eastAsia" w:ascii="仿宋_GB2312" w:hAnsi="仿宋_GB2312" w:eastAsia="仿宋_GB2312" w:cs="仿宋_GB2312"/>
          <w:b/>
          <w:color w:val="000000"/>
          <w:sz w:val="52"/>
          <w:szCs w:val="52"/>
        </w:rPr>
        <w:t>谈判响应文件</w:t>
      </w:r>
      <w:bookmarkEnd w:id="296"/>
      <w:bookmarkEnd w:id="297"/>
    </w:p>
    <w:p w14:paraId="6DBAE39B">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bookmarkStart w:id="298" w:name="_Toc28825_WPSOffice_Level2"/>
      <w:bookmarkStart w:id="299" w:name="_Toc13231_WPSOffice_Level2"/>
    </w:p>
    <w:p w14:paraId="2F80BE83">
      <w:pPr>
        <w:adjustRightInd w:val="0"/>
        <w:spacing w:before="156" w:beforeLines="50" w:line="560" w:lineRule="exact"/>
        <w:ind w:firstLine="3052" w:firstLineChars="950"/>
        <w:textAlignment w:val="baseline"/>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资格审查部分</w:t>
      </w:r>
      <w:r>
        <w:rPr>
          <w:rFonts w:hint="eastAsia" w:ascii="仿宋_GB2312" w:hAnsi="仿宋_GB2312" w:eastAsia="仿宋_GB2312" w:cs="仿宋_GB2312"/>
          <w:b/>
          <w:bCs/>
          <w:color w:val="000000"/>
          <w:sz w:val="32"/>
          <w:szCs w:val="32"/>
        </w:rPr>
        <w:t>）</w:t>
      </w:r>
      <w:bookmarkEnd w:id="298"/>
      <w:bookmarkEnd w:id="299"/>
    </w:p>
    <w:p w14:paraId="359293B8">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6D8A6A99">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449E6DBC">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AE00446">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300" w:name="_Toc19521_WPSOffice_Level2"/>
      <w:bookmarkStart w:id="301" w:name="_Toc29803_WPSOffice_Level2"/>
      <w:r>
        <w:rPr>
          <w:rFonts w:hint="eastAsia" w:ascii="仿宋_GB2312" w:hAnsi="仿宋_GB2312" w:eastAsia="仿宋_GB2312" w:cs="仿宋_GB2312"/>
          <w:b/>
          <w:bCs/>
          <w:color w:val="000000"/>
          <w:sz w:val="32"/>
          <w:szCs w:val="32"/>
        </w:rPr>
        <w:t>采购项目编号:</w:t>
      </w:r>
      <w:bookmarkEnd w:id="300"/>
      <w:bookmarkEnd w:id="301"/>
    </w:p>
    <w:p w14:paraId="7A6E5D77">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2" w:name="_Toc18713_WPSOffice_Level2"/>
      <w:bookmarkStart w:id="303" w:name="_Toc14786_WPSOffice_Level2"/>
      <w:r>
        <w:rPr>
          <w:rFonts w:hint="eastAsia" w:ascii="仿宋_GB2312" w:hAnsi="仿宋_GB2312" w:eastAsia="仿宋_GB2312" w:cs="仿宋_GB2312"/>
          <w:b/>
          <w:bCs/>
          <w:color w:val="000000"/>
          <w:sz w:val="32"/>
          <w:szCs w:val="32"/>
        </w:rPr>
        <w:t>采购项目名称:</w:t>
      </w:r>
      <w:bookmarkEnd w:id="302"/>
      <w:bookmarkEnd w:id="303"/>
    </w:p>
    <w:p w14:paraId="084BAF20">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304" w:name="_Toc22044_WPSOffice_Level2"/>
      <w:bookmarkStart w:id="305" w:name="_Toc14087_WPSOffice_Level2"/>
      <w:r>
        <w:rPr>
          <w:rFonts w:hint="eastAsia" w:ascii="仿宋_GB2312" w:hAnsi="仿宋_GB2312" w:eastAsia="仿宋_GB2312" w:cs="仿宋_GB2312"/>
          <w:b/>
          <w:bCs/>
          <w:color w:val="000000"/>
          <w:sz w:val="32"/>
          <w:szCs w:val="32"/>
        </w:rPr>
        <w:t>供应商名称：</w:t>
      </w:r>
      <w:bookmarkEnd w:id="304"/>
      <w:bookmarkEnd w:id="305"/>
    </w:p>
    <w:p w14:paraId="5949B9C3">
      <w:pPr>
        <w:spacing w:before="156" w:beforeLines="50" w:line="560" w:lineRule="exact"/>
        <w:jc w:val="center"/>
        <w:rPr>
          <w:rFonts w:ascii="仿宋_GB2312" w:hAnsi="仿宋_GB2312" w:eastAsia="仿宋_GB2312" w:cs="仿宋_GB2312"/>
          <w:b/>
          <w:bCs/>
          <w:color w:val="000000"/>
          <w:sz w:val="32"/>
          <w:szCs w:val="32"/>
        </w:rPr>
      </w:pPr>
    </w:p>
    <w:p w14:paraId="135AB350">
      <w:pPr>
        <w:spacing w:before="156" w:beforeLines="50" w:line="560" w:lineRule="exact"/>
        <w:jc w:val="center"/>
        <w:rPr>
          <w:rFonts w:ascii="仿宋_GB2312" w:hAnsi="仿宋_GB2312" w:eastAsia="仿宋_GB2312" w:cs="仿宋_GB2312"/>
          <w:b/>
          <w:bCs/>
          <w:color w:val="000000"/>
          <w:sz w:val="32"/>
          <w:szCs w:val="32"/>
        </w:rPr>
      </w:pPr>
    </w:p>
    <w:p w14:paraId="437E4397">
      <w:pPr>
        <w:spacing w:before="156" w:beforeLines="50" w:line="560" w:lineRule="exact"/>
        <w:jc w:val="center"/>
        <w:rPr>
          <w:rFonts w:ascii="仿宋_GB2312" w:hAnsi="仿宋_GB2312" w:eastAsia="仿宋_GB2312" w:cs="仿宋_GB2312"/>
          <w:b/>
          <w:bCs/>
          <w:color w:val="000000"/>
          <w:sz w:val="32"/>
          <w:szCs w:val="32"/>
        </w:rPr>
      </w:pPr>
    </w:p>
    <w:p w14:paraId="6519C1D4">
      <w:pPr>
        <w:spacing w:before="156" w:beforeLines="50" w:line="560" w:lineRule="exact"/>
        <w:jc w:val="center"/>
        <w:rPr>
          <w:rFonts w:ascii="仿宋_GB2312" w:hAnsi="仿宋_GB2312" w:eastAsia="仿宋_GB2312" w:cs="仿宋_GB2312"/>
          <w:b/>
          <w:color w:val="000000"/>
          <w:sz w:val="32"/>
          <w:szCs w:val="32"/>
        </w:rPr>
      </w:pPr>
      <w:bookmarkStart w:id="306" w:name="_Toc1142_WPSOffice_Level3"/>
      <w:r>
        <w:rPr>
          <w:rFonts w:hint="eastAsia" w:ascii="仿宋_GB2312" w:hAnsi="仿宋_GB2312" w:eastAsia="仿宋_GB2312" w:cs="仿宋_GB2312"/>
          <w:b/>
          <w:color w:val="000000"/>
          <w:sz w:val="32"/>
          <w:szCs w:val="32"/>
        </w:rPr>
        <w:t>年  月  日</w:t>
      </w:r>
      <w:bookmarkEnd w:id="306"/>
    </w:p>
    <w:p w14:paraId="46DD799A">
      <w:pPr>
        <w:widowControl/>
        <w:snapToGrid w:val="0"/>
        <w:spacing w:before="156" w:beforeLines="50" w:line="560" w:lineRule="exact"/>
        <w:jc w:val="left"/>
        <w:rPr>
          <w:rFonts w:ascii="宋体"/>
          <w:b/>
          <w:color w:val="000000"/>
          <w:sz w:val="28"/>
          <w:szCs w:val="28"/>
        </w:rPr>
      </w:pPr>
    </w:p>
    <w:p w14:paraId="6DFE05AD">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b/>
          <w:color w:val="000000"/>
          <w:sz w:val="28"/>
          <w:szCs w:val="28"/>
        </w:rPr>
      </w:pPr>
      <w:r>
        <w:rPr>
          <w:rFonts w:ascii="宋体"/>
          <w:b/>
          <w:color w:val="000000"/>
          <w:sz w:val="28"/>
          <w:szCs w:val="28"/>
        </w:rPr>
        <w:br w:type="page"/>
      </w:r>
      <w:bookmarkStart w:id="307" w:name="_Toc27578"/>
      <w:bookmarkStart w:id="308" w:name="_Toc27597"/>
      <w:bookmarkStart w:id="309" w:name="_Toc24053"/>
      <w:bookmarkStart w:id="310" w:name="_Toc19203"/>
      <w:bookmarkStart w:id="311" w:name="_Toc32479_WPSOffice_Level3"/>
      <w:r>
        <w:rPr>
          <w:rFonts w:hint="eastAsia" w:ascii="楷体_GB2312" w:hAnsi="楷体_GB2312" w:eastAsia="楷体_GB2312" w:cs="楷体_GB2312"/>
          <w:b/>
          <w:color w:val="000000"/>
          <w:sz w:val="32"/>
          <w:szCs w:val="32"/>
        </w:rPr>
        <w:t>附件1：响应函</w:t>
      </w:r>
      <w:bookmarkEnd w:id="307"/>
      <w:bookmarkEnd w:id="308"/>
      <w:bookmarkEnd w:id="309"/>
      <w:bookmarkEnd w:id="310"/>
      <w:bookmarkEnd w:id="311"/>
    </w:p>
    <w:p w14:paraId="5FB69D05">
      <w:pPr>
        <w:keepNext w:val="0"/>
        <w:keepLines w:val="0"/>
        <w:pageBreakBefore w:val="0"/>
        <w:widowControl w:val="0"/>
        <w:kinsoku/>
        <w:wordWrap/>
        <w:overflowPunct/>
        <w:topLinePunct w:val="0"/>
        <w:autoSpaceDE/>
        <w:autoSpaceDN/>
        <w:bidi w:val="0"/>
        <w:spacing w:line="500" w:lineRule="exact"/>
        <w:jc w:val="center"/>
        <w:textAlignment w:val="auto"/>
        <w:rPr>
          <w:rFonts w:ascii="仿宋_GB2312" w:hAnsi="仿宋_GB2312" w:eastAsia="仿宋_GB2312" w:cs="仿宋_GB2312"/>
          <w:b/>
          <w:color w:val="000000"/>
          <w:sz w:val="24"/>
          <w:szCs w:val="24"/>
        </w:rPr>
      </w:pPr>
      <w:bookmarkStart w:id="312" w:name="_Toc24288_WPSOffice_Level2"/>
      <w:bookmarkStart w:id="313" w:name="_Toc22598_WPSOffice_Level2"/>
      <w:r>
        <w:rPr>
          <w:rFonts w:hint="eastAsia" w:ascii="仿宋_GB2312" w:hAnsi="仿宋_GB2312" w:eastAsia="仿宋_GB2312" w:cs="仿宋_GB2312"/>
          <w:b/>
          <w:color w:val="000000"/>
          <w:sz w:val="28"/>
          <w:szCs w:val="28"/>
        </w:rPr>
        <w:t>响应函</w:t>
      </w:r>
      <w:bookmarkEnd w:id="312"/>
      <w:bookmarkEnd w:id="313"/>
    </w:p>
    <w:p w14:paraId="3778A61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仿宋_GB2312" w:eastAsia="仿宋_GB2312" w:cs="仿宋_GB2312"/>
          <w:color w:val="000000"/>
          <w:sz w:val="24"/>
          <w:szCs w:val="24"/>
        </w:rPr>
      </w:pPr>
      <w:bookmarkStart w:id="314" w:name="_Toc16867_WPSOffice_Level2"/>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采购人名称或</w:t>
      </w:r>
      <w:r>
        <w:rPr>
          <w:rFonts w:hint="eastAsia" w:ascii="仿宋_GB2312" w:hAnsi="仿宋_GB2312" w:eastAsia="仿宋_GB2312" w:cs="仿宋_GB2312"/>
          <w:sz w:val="24"/>
          <w:szCs w:val="24"/>
          <w:u w:val="single"/>
        </w:rPr>
        <w:t>代理机构名称）</w:t>
      </w:r>
      <w:bookmarkEnd w:id="314"/>
    </w:p>
    <w:p w14:paraId="22B6A6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我们收到</w:t>
      </w:r>
      <w:r>
        <w:rPr>
          <w:rFonts w:hint="eastAsia" w:ascii="仿宋_GB2312" w:hAnsi="仿宋_GB2312" w:eastAsia="仿宋_GB2312" w:cs="仿宋_GB2312"/>
          <w:sz w:val="24"/>
          <w:szCs w:val="24"/>
          <w:u w:val="single"/>
        </w:rPr>
        <w:t xml:space="preserve"> （项目名称及编号）</w:t>
      </w:r>
      <w:r>
        <w:rPr>
          <w:rFonts w:hint="eastAsia" w:ascii="仿宋_GB2312" w:hAnsi="仿宋_GB2312" w:eastAsia="仿宋_GB2312" w:cs="仿宋_GB2312"/>
          <w:sz w:val="24"/>
          <w:szCs w:val="24"/>
        </w:rPr>
        <w:t>谈判文件，经研究，法定代表人</w:t>
      </w:r>
      <w:r>
        <w:rPr>
          <w:rFonts w:hint="eastAsia" w:ascii="仿宋_GB2312" w:hAnsi="仿宋_GB2312" w:eastAsia="仿宋_GB2312" w:cs="仿宋_GB2312"/>
          <w:sz w:val="24"/>
          <w:szCs w:val="24"/>
          <w:u w:val="single"/>
        </w:rPr>
        <w:t>（姓名、职务）</w:t>
      </w:r>
      <w:r>
        <w:rPr>
          <w:rFonts w:hint="eastAsia" w:ascii="仿宋_GB2312" w:hAnsi="仿宋_GB2312" w:eastAsia="仿宋_GB2312" w:cs="仿宋_GB2312"/>
          <w:sz w:val="24"/>
          <w:szCs w:val="24"/>
        </w:rPr>
        <w:t>正式授权</w:t>
      </w:r>
      <w:r>
        <w:rPr>
          <w:rFonts w:hint="eastAsia" w:ascii="仿宋_GB2312" w:hAnsi="仿宋_GB2312" w:eastAsia="仿宋_GB2312" w:cs="仿宋_GB2312"/>
          <w:sz w:val="24"/>
          <w:szCs w:val="24"/>
          <w:u w:val="single"/>
        </w:rPr>
        <w:t>（委托代理人姓名、职务）</w:t>
      </w:r>
      <w:r>
        <w:rPr>
          <w:rFonts w:hint="eastAsia" w:ascii="仿宋_GB2312" w:hAnsi="仿宋_GB2312" w:eastAsia="仿宋_GB2312" w:cs="仿宋_GB2312"/>
          <w:sz w:val="24"/>
          <w:szCs w:val="24"/>
        </w:rPr>
        <w:t>代表供应商</w:t>
      </w:r>
      <w:r>
        <w:rPr>
          <w:rFonts w:hint="eastAsia" w:ascii="仿宋_GB2312" w:hAnsi="仿宋_GB2312" w:eastAsia="仿宋_GB2312" w:cs="仿宋_GB2312"/>
          <w:sz w:val="24"/>
          <w:szCs w:val="24"/>
          <w:u w:val="single"/>
        </w:rPr>
        <w:t>（供应商名称、地址）</w:t>
      </w:r>
      <w:r>
        <w:rPr>
          <w:rFonts w:hint="eastAsia" w:ascii="仿宋_GB2312" w:hAnsi="仿宋_GB2312" w:eastAsia="仿宋_GB2312" w:cs="仿宋_GB2312"/>
          <w:sz w:val="24"/>
          <w:szCs w:val="24"/>
        </w:rPr>
        <w:t xml:space="preserve">提交谈判响应文件。    </w:t>
      </w:r>
    </w:p>
    <w:p w14:paraId="606515E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据此函，签字代表宣布同意如下：</w:t>
      </w:r>
    </w:p>
    <w:p w14:paraId="3179E6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1、我方已详阅谈判文件的全部内容，包括澄清、修改条款等有关附件，承诺对其完全理解并接受。</w:t>
      </w:r>
    </w:p>
    <w:p w14:paraId="0FA5142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2、若在响应文件发出后，我方在响应文件有效期内撤回或成交后不签约的，谈判保证金将被贵方没收。</w:t>
      </w:r>
    </w:p>
    <w:p w14:paraId="465D61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3、我方同意按照贵方要求提供与谈判有关的一切数据或资料，理解并接受贵方制定的评标办法。</w:t>
      </w:r>
    </w:p>
    <w:p w14:paraId="7FCC94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4、与本次竞争性谈判有关的一切正式往来通讯请寄：</w:t>
      </w:r>
    </w:p>
    <w:p w14:paraId="5E4F97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地址：_______________   邮编：______________</w:t>
      </w:r>
    </w:p>
    <w:p w14:paraId="5BA59F4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电话：_______________   传真：______________</w:t>
      </w:r>
    </w:p>
    <w:p w14:paraId="646B0E4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仿宋_GB2312" w:hAnsi="宋体" w:eastAsia="仿宋_GB2312"/>
          <w:color w:val="000000"/>
          <w:sz w:val="24"/>
          <w:szCs w:val="24"/>
        </w:rPr>
      </w:pPr>
      <w:r>
        <w:rPr>
          <w:rFonts w:hint="eastAsia" w:ascii="仿宋_GB2312" w:hAnsi="仿宋_GB2312" w:eastAsia="仿宋_GB2312" w:cs="仿宋_GB2312"/>
          <w:sz w:val="24"/>
          <w:szCs w:val="24"/>
        </w:rPr>
        <w:t>法定代表人姓名： ___________ 职务：_________</w:t>
      </w:r>
    </w:p>
    <w:p w14:paraId="6511F606">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315" w:name="_Toc28112_WPSOffice_Level3"/>
      <w:bookmarkStart w:id="316" w:name="_Toc1506_WPSOffice_Level3"/>
      <w:r>
        <w:rPr>
          <w:rFonts w:hint="eastAsia" w:ascii="仿宋_GB2312" w:hAnsi="仿宋_GB2312" w:eastAsia="仿宋_GB2312" w:cs="仿宋_GB2312"/>
          <w:bCs/>
          <w:color w:val="000000"/>
          <w:sz w:val="24"/>
          <w:szCs w:val="24"/>
          <w:lang w:val="en-US" w:eastAsia="zh-CN"/>
        </w:rPr>
        <w:t xml:space="preserve">                  </w:t>
      </w:r>
    </w:p>
    <w:p w14:paraId="02A52BF2">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单位名称：</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rPr>
        <w:t>（公章）</w:t>
      </w:r>
      <w:bookmarkEnd w:id="315"/>
      <w:bookmarkEnd w:id="316"/>
    </w:p>
    <w:p w14:paraId="6B0D26CD">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24"/>
          <w:szCs w:val="24"/>
        </w:rPr>
      </w:pPr>
      <w:bookmarkStart w:id="317" w:name="_Toc6385_WPSOffice_Level3"/>
      <w:bookmarkStart w:id="318" w:name="_Toc28651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法定代表人或委托代理人：</w:t>
      </w:r>
      <w:r>
        <w:rPr>
          <w:rFonts w:hint="eastAsia" w:ascii="仿宋_GB2312" w:hAnsi="仿宋_GB2312" w:eastAsia="仿宋_GB2312" w:cs="仿宋_GB2312"/>
          <w:bCs/>
          <w:color w:val="000000"/>
          <w:sz w:val="24"/>
          <w:szCs w:val="24"/>
          <w:u w:val="single"/>
          <w:lang w:val="en-US" w:eastAsia="zh-CN"/>
        </w:rPr>
        <w:t xml:space="preserve">         </w:t>
      </w:r>
      <w:r>
        <w:rPr>
          <w:rFonts w:hint="eastAsia" w:ascii="仿宋_GB2312" w:hAnsi="仿宋_GB2312" w:eastAsia="仿宋_GB2312" w:cs="仿宋_GB2312"/>
          <w:bCs/>
          <w:color w:val="000000"/>
          <w:sz w:val="24"/>
          <w:szCs w:val="24"/>
        </w:rPr>
        <w:t>（签字或盖章）</w:t>
      </w:r>
      <w:bookmarkEnd w:id="317"/>
      <w:bookmarkEnd w:id="318"/>
    </w:p>
    <w:p w14:paraId="671F2297">
      <w:pPr>
        <w:keepNext w:val="0"/>
        <w:keepLines w:val="0"/>
        <w:pageBreakBefore w:val="0"/>
        <w:widowControl w:val="0"/>
        <w:kinsoku/>
        <w:wordWrap/>
        <w:overflowPunct/>
        <w:topLinePunct w:val="0"/>
        <w:autoSpaceDE/>
        <w:autoSpaceDN/>
        <w:bidi w:val="0"/>
        <w:spacing w:line="500" w:lineRule="exact"/>
        <w:ind w:firstLine="480" w:firstLineChars="200"/>
        <w:jc w:val="center"/>
        <w:textAlignment w:val="auto"/>
        <w:rPr>
          <w:rFonts w:ascii="仿宋_GB2312" w:hAnsi="仿宋_GB2312" w:eastAsia="仿宋_GB2312" w:cs="仿宋_GB2312"/>
          <w:bCs/>
          <w:color w:val="000000"/>
          <w:sz w:val="32"/>
          <w:szCs w:val="32"/>
        </w:rPr>
      </w:pPr>
      <w:bookmarkStart w:id="319" w:name="_Toc130_WPSOffice_Level3"/>
      <w:bookmarkStart w:id="320" w:name="_Toc13325_WPSOffice_Level3"/>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bookmarkEnd w:id="319"/>
      <w:bookmarkEnd w:id="320"/>
    </w:p>
    <w:p w14:paraId="35C6F4BC">
      <w:pPr>
        <w:widowControl/>
        <w:snapToGrid w:val="0"/>
        <w:spacing w:before="156" w:beforeLines="50" w:line="560" w:lineRule="exact"/>
        <w:rPr>
          <w:rFonts w:ascii="宋体"/>
          <w:b/>
          <w:color w:val="000000"/>
          <w:sz w:val="28"/>
          <w:szCs w:val="28"/>
        </w:rPr>
      </w:pPr>
    </w:p>
    <w:p w14:paraId="1D4DADC2">
      <w:pPr>
        <w:rPr>
          <w:rFonts w:hint="eastAsia" w:ascii="楷体_GB2312" w:hAnsi="楷体_GB2312" w:eastAsia="楷体_GB2312" w:cs="楷体_GB2312"/>
          <w:b/>
          <w:color w:val="000000"/>
          <w:sz w:val="32"/>
          <w:szCs w:val="32"/>
        </w:rPr>
      </w:pPr>
      <w:bookmarkStart w:id="321" w:name="_Toc3082"/>
      <w:bookmarkStart w:id="322" w:name="_Toc12487"/>
      <w:bookmarkStart w:id="323" w:name="_Toc16050"/>
      <w:bookmarkStart w:id="324" w:name="_Toc17887_WPSOffice_Level2"/>
      <w:bookmarkStart w:id="325" w:name="_Toc26257_WPSOffice_Level2"/>
      <w:bookmarkStart w:id="326" w:name="_Toc20882_WPSOffice_Level3"/>
      <w:bookmarkStart w:id="327" w:name="_Toc27148"/>
      <w:r>
        <w:rPr>
          <w:rFonts w:hint="eastAsia" w:ascii="楷体_GB2312" w:hAnsi="楷体_GB2312" w:eastAsia="楷体_GB2312" w:cs="楷体_GB2312"/>
          <w:b/>
          <w:color w:val="000000"/>
          <w:sz w:val="32"/>
          <w:szCs w:val="32"/>
        </w:rPr>
        <w:br w:type="page"/>
      </w:r>
    </w:p>
    <w:p w14:paraId="06330399">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bCs/>
          <w:color w:val="000000"/>
          <w:sz w:val="36"/>
          <w:szCs w:val="36"/>
        </w:rPr>
      </w:pPr>
      <w:r>
        <w:rPr>
          <w:rFonts w:hint="eastAsia" w:ascii="楷体_GB2312" w:hAnsi="楷体_GB2312" w:eastAsia="楷体_GB2312" w:cs="楷体_GB2312"/>
          <w:b/>
          <w:color w:val="000000"/>
          <w:sz w:val="32"/>
          <w:szCs w:val="32"/>
        </w:rPr>
        <w:t>附件2：法定代表人证明书</w:t>
      </w:r>
      <w:bookmarkEnd w:id="321"/>
      <w:bookmarkEnd w:id="322"/>
      <w:bookmarkEnd w:id="323"/>
      <w:bookmarkEnd w:id="324"/>
      <w:bookmarkEnd w:id="325"/>
      <w:bookmarkEnd w:id="326"/>
      <w:bookmarkEnd w:id="327"/>
    </w:p>
    <w:p w14:paraId="03F5A1E7">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28" w:name="_Toc6898_WPSOffice_Level2"/>
      <w:bookmarkStart w:id="329" w:name="_Toc14917_WPSOffice_Level1"/>
      <w:bookmarkStart w:id="330" w:name="_Toc28170_WPSOffice_Level2"/>
      <w:bookmarkStart w:id="331" w:name="_Toc32036_WPSOffice_Level1"/>
      <w:r>
        <w:rPr>
          <w:rFonts w:hint="eastAsia" w:ascii="仿宋_GB2312" w:hAnsi="仿宋_GB2312" w:eastAsia="仿宋_GB2312" w:cs="仿宋_GB2312"/>
          <w:b/>
          <w:color w:val="000000"/>
          <w:sz w:val="28"/>
          <w:szCs w:val="28"/>
        </w:rPr>
        <w:t>法定代表人证明书</w:t>
      </w:r>
      <w:bookmarkEnd w:id="328"/>
      <w:bookmarkEnd w:id="329"/>
      <w:bookmarkEnd w:id="330"/>
      <w:bookmarkEnd w:id="331"/>
    </w:p>
    <w:p w14:paraId="19A39D93">
      <w:pPr>
        <w:keepNext w:val="0"/>
        <w:keepLines w:val="0"/>
        <w:pageBreakBefore w:val="0"/>
        <w:widowControl w:val="0"/>
        <w:kinsoku/>
        <w:wordWrap/>
        <w:overflowPunct/>
        <w:topLinePunct w:val="0"/>
        <w:bidi w:val="0"/>
        <w:snapToGrid/>
        <w:spacing w:line="50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7241078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（法定代表人姓名）  </w:t>
      </w:r>
      <w:r>
        <w:rPr>
          <w:rFonts w:hint="eastAsia" w:ascii="仿宋_GB2312" w:hAnsi="仿宋_GB2312" w:eastAsia="仿宋_GB2312" w:cs="仿宋_GB2312"/>
          <w:color w:val="000000"/>
          <w:sz w:val="24"/>
          <w:szCs w:val="24"/>
        </w:rPr>
        <w:t>现任我单位职务，为法定代表人，特此证明。</w:t>
      </w:r>
    </w:p>
    <w:p w14:paraId="6C6CC8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法定代表人基本情况：</w:t>
      </w:r>
    </w:p>
    <w:p w14:paraId="76FDB94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性别：</w:t>
      </w:r>
      <w:r>
        <w:rPr>
          <w:rFonts w:hint="eastAsia" w:ascii="仿宋_GB2312" w:hAnsi="仿宋_GB2312" w:eastAsia="仿宋_GB2312" w:cs="仿宋_GB2312"/>
          <w:color w:val="000000"/>
          <w:sz w:val="24"/>
          <w:szCs w:val="24"/>
          <w:u w:val="single"/>
          <w:lang w:val="en-US" w:eastAsia="zh-CN"/>
        </w:rPr>
        <w:t xml:space="preserve">        </w:t>
      </w:r>
    </w:p>
    <w:p w14:paraId="5321148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lang w:val="en-US" w:eastAsia="zh-CN"/>
        </w:rPr>
        <w:t xml:space="preserve">   </w:t>
      </w:r>
    </w:p>
    <w:p w14:paraId="578E033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民族：</w:t>
      </w:r>
      <w:r>
        <w:rPr>
          <w:rFonts w:hint="eastAsia" w:ascii="仿宋_GB2312" w:hAnsi="仿宋_GB2312" w:eastAsia="仿宋_GB2312" w:cs="仿宋_GB2312"/>
          <w:color w:val="000000"/>
          <w:sz w:val="24"/>
          <w:szCs w:val="24"/>
          <w:u w:val="single"/>
        </w:rPr>
        <w:t xml:space="preserve">        </w:t>
      </w:r>
    </w:p>
    <w:p w14:paraId="746E33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r>
        <w:rPr>
          <w:rFonts w:hint="eastAsia" w:ascii="仿宋_GB2312" w:hAnsi="仿宋_GB2312" w:eastAsia="仿宋_GB2312" w:cs="仿宋_GB2312"/>
          <w:color w:val="000000"/>
          <w:sz w:val="24"/>
          <w:szCs w:val="24"/>
          <w:u w:val="single"/>
        </w:rPr>
        <w:t xml:space="preserve">        </w:t>
      </w:r>
    </w:p>
    <w:p w14:paraId="172322C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身份证号码：</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p>
    <w:p w14:paraId="3E2B5AA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附法定代表人第二代身份证双面扫描或其他身份证明材料</w:t>
      </w:r>
    </w:p>
    <w:p w14:paraId="3875030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宋体"/>
          <w:color w:val="000000"/>
          <w:kern w:val="0"/>
          <w:sz w:val="24"/>
          <w:szCs w:val="24"/>
        </w:rPr>
      </w:pPr>
    </w:p>
    <w:p w14:paraId="5C0034F7">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eastAsia" w:ascii="仿宋_GB2312" w:hAnsi="Times New Roman" w:eastAsia="仿宋_GB2312" w:cs="仿宋_GB2312"/>
          <w:bCs/>
          <w:color w:val="000000"/>
          <w:kern w:val="2"/>
          <w:sz w:val="24"/>
          <w:szCs w:val="24"/>
          <w:lang w:val="en-US" w:eastAsia="zh-CN" w:bidi="ar"/>
        </w:rPr>
      </w:pPr>
      <w:r>
        <w:rPr>
          <w:rFonts w:hint="eastAsia" w:ascii="仿宋_GB2312" w:hAnsi="仿宋_GB2312" w:eastAsia="仿宋_GB2312" w:cs="仿宋_GB2312"/>
          <w:color w:val="000000"/>
          <w:sz w:val="24"/>
          <w:szCs w:val="24"/>
          <w:lang w:val="en-US" w:eastAsia="zh-CN"/>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 xml:space="preserve">（公章） </w:t>
      </w:r>
      <w:r>
        <w:rPr>
          <w:rFonts w:hint="eastAsia" w:ascii="仿宋_GB2312" w:hAnsi="Times New Roman" w:eastAsia="仿宋_GB2312" w:cs="仿宋_GB2312"/>
          <w:bCs/>
          <w:color w:val="000000"/>
          <w:kern w:val="2"/>
          <w:sz w:val="24"/>
          <w:szCs w:val="24"/>
          <w:lang w:val="en-US" w:eastAsia="zh-CN" w:bidi="ar"/>
        </w:rPr>
        <w:t xml:space="preserve">               </w:t>
      </w:r>
    </w:p>
    <w:p w14:paraId="577BEB37">
      <w:pPr>
        <w:keepNext w:val="0"/>
        <w:keepLines w:val="0"/>
        <w:widowControl w:val="0"/>
        <w:suppressLineNumbers w:val="0"/>
        <w:spacing w:before="0" w:beforeAutospacing="0" w:after="0" w:afterAutospacing="0"/>
        <w:ind w:left="0" w:right="0" w:firstLine="6000" w:firstLineChars="2500"/>
        <w:jc w:val="both"/>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513B3083">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仿宋_GB2312" w:hAnsi="仿宋_GB2312" w:eastAsia="仿宋_GB2312" w:cs="仿宋_GB2312"/>
          <w:color w:val="000000"/>
          <w:sz w:val="32"/>
          <w:szCs w:val="32"/>
        </w:rPr>
      </w:pPr>
    </w:p>
    <w:p w14:paraId="58972F5F">
      <w:pPr>
        <w:spacing w:before="156" w:beforeLines="50" w:line="560" w:lineRule="exact"/>
        <w:ind w:right="480"/>
        <w:jc w:val="right"/>
        <w:rPr>
          <w:rFonts w:ascii="宋体"/>
          <w:b/>
          <w:color w:val="000000"/>
          <w:sz w:val="36"/>
          <w:szCs w:val="36"/>
        </w:rPr>
      </w:pPr>
    </w:p>
    <w:p w14:paraId="58C0E14B">
      <w:pPr>
        <w:spacing w:before="156" w:beforeLines="50" w:line="560" w:lineRule="exact"/>
        <w:jc w:val="right"/>
        <w:rPr>
          <w:rFonts w:ascii="宋体"/>
          <w:b/>
          <w:color w:val="000000"/>
          <w:sz w:val="36"/>
          <w:szCs w:val="36"/>
        </w:rPr>
      </w:pPr>
    </w:p>
    <w:p w14:paraId="23278227">
      <w:pPr>
        <w:spacing w:before="156" w:beforeLines="50" w:line="560" w:lineRule="exact"/>
        <w:rPr>
          <w:rFonts w:ascii="宋体"/>
          <w:b/>
          <w:color w:val="000000"/>
          <w:sz w:val="36"/>
          <w:szCs w:val="36"/>
        </w:rPr>
      </w:pPr>
    </w:p>
    <w:p w14:paraId="37C72C59">
      <w:pPr>
        <w:rPr>
          <w:rFonts w:hint="eastAsia" w:ascii="楷体_GB2312" w:hAnsi="楷体_GB2312" w:eastAsia="楷体_GB2312" w:cs="楷体_GB2312"/>
          <w:b/>
          <w:color w:val="000000"/>
          <w:sz w:val="32"/>
          <w:szCs w:val="32"/>
        </w:rPr>
      </w:pPr>
      <w:bookmarkStart w:id="332" w:name="_Toc31941"/>
      <w:bookmarkStart w:id="333" w:name="_Toc18183"/>
      <w:bookmarkStart w:id="334" w:name="_Toc31901"/>
      <w:bookmarkStart w:id="335" w:name="_Toc21545_WPSOffice_Level3"/>
      <w:bookmarkStart w:id="336" w:name="_Toc23035_WPSOffice_Level2"/>
      <w:bookmarkStart w:id="337" w:name="_Toc27782"/>
      <w:r>
        <w:rPr>
          <w:rFonts w:hint="eastAsia" w:ascii="楷体_GB2312" w:hAnsi="楷体_GB2312" w:eastAsia="楷体_GB2312" w:cs="楷体_GB2312"/>
          <w:b/>
          <w:color w:val="000000"/>
          <w:sz w:val="32"/>
          <w:szCs w:val="32"/>
        </w:rPr>
        <w:br w:type="page"/>
      </w:r>
    </w:p>
    <w:p w14:paraId="22DC25A8">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宋体" w:hAnsi="宋体"/>
          <w:b/>
          <w:color w:val="000000"/>
          <w:sz w:val="36"/>
          <w:szCs w:val="36"/>
        </w:rPr>
      </w:pPr>
      <w:r>
        <w:rPr>
          <w:rFonts w:hint="eastAsia" w:ascii="楷体_GB2312" w:hAnsi="楷体_GB2312" w:eastAsia="楷体_GB2312" w:cs="楷体_GB2312"/>
          <w:b/>
          <w:color w:val="000000"/>
          <w:sz w:val="32"/>
          <w:szCs w:val="32"/>
        </w:rPr>
        <w:t>附件3：法定代表人授权书</w:t>
      </w:r>
      <w:bookmarkEnd w:id="332"/>
      <w:bookmarkEnd w:id="333"/>
      <w:bookmarkEnd w:id="334"/>
      <w:bookmarkEnd w:id="335"/>
      <w:bookmarkEnd w:id="336"/>
      <w:bookmarkEnd w:id="337"/>
    </w:p>
    <w:p w14:paraId="6BEB2592">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color w:val="000000"/>
          <w:sz w:val="24"/>
          <w:szCs w:val="24"/>
        </w:rPr>
      </w:pPr>
      <w:bookmarkStart w:id="338" w:name="_Toc5048_WPSOffice_Level2"/>
      <w:bookmarkStart w:id="339" w:name="_Toc1148_WPSOffice_Level3"/>
      <w:bookmarkStart w:id="340" w:name="_Toc26434_WPSOffice_Level2"/>
      <w:r>
        <w:rPr>
          <w:rFonts w:hint="eastAsia" w:ascii="仿宋_GB2312" w:hAnsi="仿宋_GB2312" w:eastAsia="仿宋_GB2312" w:cs="仿宋_GB2312"/>
          <w:b/>
          <w:color w:val="000000"/>
          <w:sz w:val="28"/>
          <w:szCs w:val="28"/>
        </w:rPr>
        <w:t>法定代表人授权书</w:t>
      </w:r>
      <w:bookmarkEnd w:id="338"/>
      <w:bookmarkEnd w:id="339"/>
      <w:bookmarkEnd w:id="340"/>
    </w:p>
    <w:p w14:paraId="10E0ACA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val="0"/>
          <w:bCs w:val="0"/>
          <w:color w:val="000000"/>
          <w:sz w:val="24"/>
          <w:szCs w:val="24"/>
          <w:u w:val="single"/>
        </w:rPr>
      </w:pPr>
      <w:bookmarkStart w:id="341" w:name="_Toc6307_WPSOffice_Level2"/>
      <w:bookmarkStart w:id="342" w:name="_Toc16084_WPSOffice_Level2"/>
      <w:bookmarkStart w:id="343" w:name="_Toc25306_WPSOffice_Level2"/>
      <w:r>
        <w:rPr>
          <w:rFonts w:hint="eastAsia" w:ascii="仿宋_GB2312" w:hAnsi="仿宋_GB2312" w:eastAsia="仿宋_GB2312" w:cs="仿宋_GB2312"/>
          <w:b w:val="0"/>
          <w:bCs w:val="0"/>
          <w:color w:val="000000"/>
          <w:sz w:val="24"/>
          <w:szCs w:val="24"/>
        </w:rPr>
        <w:t>致：</w:t>
      </w:r>
      <w:bookmarkEnd w:id="341"/>
      <w:bookmarkEnd w:id="342"/>
      <w:bookmarkEnd w:id="343"/>
      <w:r>
        <w:rPr>
          <w:rFonts w:hint="eastAsia" w:ascii="仿宋_GB2312" w:hAnsi="仿宋_GB2312" w:eastAsia="仿宋_GB2312" w:cs="仿宋_GB2312"/>
          <w:b w:val="0"/>
          <w:bCs w:val="0"/>
          <w:color w:val="000000"/>
          <w:sz w:val="24"/>
          <w:szCs w:val="24"/>
          <w:u w:val="single"/>
        </w:rPr>
        <w:t>（采购人名称或代理机构名称）</w:t>
      </w:r>
    </w:p>
    <w:p w14:paraId="58FBB2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  （供应商名称）  </w:t>
      </w:r>
      <w:r>
        <w:rPr>
          <w:rFonts w:hint="eastAsia" w:ascii="仿宋_GB2312" w:hAnsi="仿宋_GB2312" w:eastAsia="仿宋_GB2312" w:cs="仿宋_GB2312"/>
          <w:color w:val="000000"/>
          <w:sz w:val="24"/>
          <w:szCs w:val="24"/>
        </w:rPr>
        <w:t>系中华人民共和国合法企业，法定地址</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w:t>
      </w:r>
    </w:p>
    <w:p w14:paraId="1432D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u w:val="single"/>
        </w:rPr>
        <w:t xml:space="preserve">（法定代表人姓名）   </w:t>
      </w:r>
      <w:r>
        <w:rPr>
          <w:rFonts w:hint="eastAsia" w:ascii="仿宋_GB2312" w:hAnsi="仿宋_GB2312" w:eastAsia="仿宋_GB2312" w:cs="仿宋_GB2312"/>
          <w:color w:val="000000"/>
          <w:sz w:val="24"/>
          <w:szCs w:val="24"/>
        </w:rPr>
        <w:t>特授权</w:t>
      </w:r>
      <w:r>
        <w:rPr>
          <w:rFonts w:hint="eastAsia" w:ascii="仿宋_GB2312" w:hAnsi="仿宋_GB2312" w:eastAsia="仿宋_GB2312" w:cs="仿宋_GB2312"/>
          <w:color w:val="000000"/>
          <w:sz w:val="24"/>
          <w:szCs w:val="24"/>
          <w:u w:val="single"/>
        </w:rPr>
        <w:t xml:space="preserve"> （委托代理人姓名）    </w:t>
      </w:r>
      <w:r>
        <w:rPr>
          <w:rFonts w:hint="eastAsia" w:ascii="仿宋_GB2312" w:hAnsi="仿宋_GB2312" w:eastAsia="仿宋_GB2312" w:cs="仿宋_GB2312"/>
          <w:color w:val="000000"/>
          <w:sz w:val="24"/>
          <w:szCs w:val="24"/>
        </w:rPr>
        <w:t>代表我单位全权办理针对项目的谈判、答疑等具体工作，并签署全部有关的文件、资料。</w:t>
      </w:r>
    </w:p>
    <w:p w14:paraId="08CF7E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我单位对被授权人的签名负全部责任。</w:t>
      </w:r>
    </w:p>
    <w:p w14:paraId="57107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在撤销授权的书面通知以前，本授权书一直有效，被授权人签署的所有文件（在授权书有效期内签署的）不因授权的撤销而失效。</w:t>
      </w:r>
    </w:p>
    <w:p w14:paraId="69BDA4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授权期限：</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w:t>
      </w:r>
    </w:p>
    <w:p w14:paraId="5A3BA7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被授权人联系电话：</w:t>
      </w:r>
      <w:r>
        <w:rPr>
          <w:rFonts w:hint="eastAsia" w:ascii="仿宋_GB2312" w:hAnsi="仿宋_GB2312" w:eastAsia="仿宋_GB2312" w:cs="仿宋_GB2312"/>
          <w:color w:val="000000"/>
          <w:sz w:val="24"/>
          <w:szCs w:val="24"/>
          <w:u w:val="single"/>
          <w:lang w:val="en-US" w:eastAsia="zh-CN"/>
        </w:rPr>
        <w:t xml:space="preserve">               </w:t>
      </w:r>
    </w:p>
    <w:p w14:paraId="597917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被授权人（委托代理人）签字或盖章：</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职务：</w:t>
      </w:r>
      <w:r>
        <w:rPr>
          <w:rFonts w:hint="eastAsia" w:ascii="仿宋_GB2312" w:hAnsi="仿宋_GB2312" w:eastAsia="仿宋_GB2312" w:cs="仿宋_GB2312"/>
          <w:color w:val="000000"/>
          <w:sz w:val="24"/>
          <w:szCs w:val="24"/>
          <w:u w:val="single"/>
          <w:lang w:val="en-US" w:eastAsia="zh-CN"/>
        </w:rPr>
        <w:t xml:space="preserve">         </w:t>
      </w:r>
    </w:p>
    <w:p w14:paraId="71BDAC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u w:val="single"/>
          <w:lang w:val="en-US" w:eastAsia="zh-CN"/>
        </w:rPr>
      </w:pPr>
      <w:r>
        <w:rPr>
          <w:rFonts w:hint="eastAsia" w:ascii="仿宋_GB2312" w:hAnsi="仿宋_GB2312" w:eastAsia="仿宋_GB2312" w:cs="仿宋_GB2312"/>
          <w:color w:val="000000"/>
          <w:sz w:val="24"/>
          <w:szCs w:val="24"/>
        </w:rPr>
        <w:t>授权人（法定代表人）签字或盖章：</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职务：</w:t>
      </w:r>
      <w:r>
        <w:rPr>
          <w:rFonts w:hint="eastAsia" w:ascii="仿宋_GB2312" w:hAnsi="仿宋_GB2312" w:eastAsia="仿宋_GB2312" w:cs="仿宋_GB2312"/>
          <w:color w:val="000000"/>
          <w:sz w:val="24"/>
          <w:szCs w:val="24"/>
          <w:u w:val="single"/>
          <w:lang w:val="en-US" w:eastAsia="zh-CN"/>
        </w:rPr>
        <w:t xml:space="preserve">         </w:t>
      </w:r>
    </w:p>
    <w:p w14:paraId="251FE5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szCs w:val="24"/>
        </w:rPr>
      </w:pPr>
      <w:r>
        <w:rPr>
          <w:rFonts w:hint="eastAsia" w:ascii="仿宋_GB2312" w:hAnsi="仿宋_GB2312" w:eastAsia="仿宋_GB2312" w:cs="仿宋_GB2312"/>
          <w:color w:val="000000"/>
          <w:kern w:val="0"/>
          <w:sz w:val="24"/>
          <w:szCs w:val="24"/>
        </w:rPr>
        <w:t>附被授权人第二代身份证双面扫描（或复印）件</w:t>
      </w:r>
    </w:p>
    <w:p w14:paraId="4C6D34EF">
      <w:pPr>
        <w:keepNext w:val="0"/>
        <w:keepLines w:val="0"/>
        <w:pageBreakBefore w:val="0"/>
        <w:widowControl w:val="0"/>
        <w:kinsoku/>
        <w:wordWrap/>
        <w:overflowPunct/>
        <w:topLinePunct w:val="0"/>
        <w:autoSpaceDE/>
        <w:autoSpaceDN/>
        <w:bidi w:val="0"/>
        <w:adjustRightInd/>
        <w:snapToGrid/>
        <w:spacing w:line="500" w:lineRule="exact"/>
        <w:ind w:firstLine="3600" w:firstLineChars="1500"/>
        <w:jc w:val="center"/>
        <w:textAlignment w:val="auto"/>
        <w:rPr>
          <w:rFonts w:hint="eastAsia" w:ascii="仿宋_GB2312" w:hAnsi="仿宋_GB2312" w:eastAsia="仿宋_GB2312" w:cs="仿宋_GB2312"/>
          <w:bCs/>
          <w:color w:val="000000"/>
          <w:sz w:val="24"/>
          <w:szCs w:val="24"/>
          <w:lang w:val="en-US" w:eastAsia="zh-CN"/>
        </w:rPr>
      </w:pPr>
      <w:bookmarkStart w:id="344" w:name="_Toc13837_WPSOffice_Level3"/>
      <w:r>
        <w:rPr>
          <w:rFonts w:hint="eastAsia" w:ascii="仿宋_GB2312" w:hAnsi="仿宋_GB2312" w:eastAsia="仿宋_GB2312" w:cs="仿宋_GB2312"/>
          <w:bCs/>
          <w:color w:val="000000"/>
          <w:sz w:val="24"/>
          <w:szCs w:val="24"/>
          <w:lang w:val="en-US" w:eastAsia="zh-CN"/>
        </w:rPr>
        <w:t xml:space="preserve">        </w:t>
      </w:r>
    </w:p>
    <w:bookmarkEnd w:id="344"/>
    <w:p w14:paraId="1787AE6A">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eastAsia" w:ascii="仿宋_GB2312" w:hAnsi="Times New Roman" w:eastAsia="仿宋_GB2312" w:cs="仿宋_GB2312"/>
          <w:bCs/>
          <w:color w:val="000000"/>
          <w:kern w:val="2"/>
          <w:sz w:val="24"/>
          <w:szCs w:val="24"/>
          <w:lang w:val="en-US" w:eastAsia="zh-CN" w:bidi="ar"/>
        </w:rPr>
      </w:pPr>
      <w:r>
        <w:rPr>
          <w:rFonts w:hint="eastAsia" w:ascii="仿宋_GB2312" w:hAnsi="Times New Roman" w:eastAsia="仿宋_GB2312" w:cs="仿宋_GB2312"/>
          <w:bCs/>
          <w:color w:val="000000"/>
          <w:kern w:val="2"/>
          <w:sz w:val="24"/>
          <w:szCs w:val="24"/>
          <w:lang w:val="en-US" w:eastAsia="zh-CN" w:bidi="ar"/>
        </w:rPr>
        <w:t xml:space="preserve"> </w:t>
      </w:r>
    </w:p>
    <w:p w14:paraId="3AAEC0F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28FAFC7">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514B99D5">
      <w:pPr>
        <w:keepNext w:val="0"/>
        <w:keepLines w:val="0"/>
        <w:widowControl w:val="0"/>
        <w:suppressLineNumbers w:val="0"/>
        <w:spacing w:before="0" w:beforeAutospacing="0" w:after="0" w:afterAutospacing="0"/>
        <w:ind w:left="0" w:right="0" w:firstLine="5760" w:firstLineChars="240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79C00D1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ascii="仿宋_GB2312" w:hAnsi="仿宋_GB2312" w:eastAsia="仿宋_GB2312" w:cs="仿宋_GB2312"/>
          <w:bCs/>
          <w:color w:val="000000"/>
          <w:sz w:val="30"/>
          <w:szCs w:val="30"/>
        </w:rPr>
      </w:pPr>
    </w:p>
    <w:p w14:paraId="20AF44A4">
      <w:pPr>
        <w:spacing w:before="156" w:beforeLines="50" w:line="560" w:lineRule="exact"/>
        <w:rPr>
          <w:rFonts w:ascii="宋体" w:hAnsi="宋体"/>
          <w:b/>
          <w:bCs/>
          <w:color w:val="000000"/>
          <w:sz w:val="24"/>
        </w:rPr>
      </w:pPr>
    </w:p>
    <w:p w14:paraId="70BDC481">
      <w:pPr>
        <w:spacing w:before="156" w:beforeLines="50" w:line="560" w:lineRule="exact"/>
        <w:rPr>
          <w:rFonts w:ascii="宋体" w:hAnsi="宋体"/>
          <w:b/>
          <w:bCs/>
          <w:color w:val="000000"/>
          <w:sz w:val="24"/>
        </w:rPr>
      </w:pPr>
    </w:p>
    <w:p w14:paraId="2A95E292">
      <w:pPr>
        <w:rPr>
          <w:rFonts w:hint="eastAsia" w:ascii="楷体_GB2312" w:hAnsi="楷体_GB2312" w:eastAsia="楷体_GB2312" w:cs="楷体_GB2312"/>
          <w:b/>
          <w:color w:val="000000"/>
          <w:sz w:val="32"/>
          <w:szCs w:val="32"/>
        </w:rPr>
      </w:pPr>
      <w:bookmarkStart w:id="345" w:name="_Toc27469"/>
      <w:bookmarkStart w:id="346" w:name="_Toc26653_WPSOffice_Level3"/>
      <w:bookmarkStart w:id="347" w:name="_Toc7737_WPSOffice_Level3"/>
      <w:bookmarkStart w:id="348" w:name="_Toc23618"/>
      <w:bookmarkStart w:id="349" w:name="_Toc16704"/>
      <w:bookmarkStart w:id="350" w:name="_Toc30919"/>
      <w:r>
        <w:rPr>
          <w:rFonts w:hint="eastAsia" w:ascii="楷体_GB2312" w:hAnsi="楷体_GB2312" w:eastAsia="楷体_GB2312" w:cs="楷体_GB2312"/>
          <w:b/>
          <w:color w:val="000000"/>
          <w:sz w:val="32"/>
          <w:szCs w:val="32"/>
        </w:rPr>
        <w:br w:type="page"/>
      </w:r>
    </w:p>
    <w:p w14:paraId="32E9AF6F">
      <w:pPr>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附件4：供应商承诺函</w:t>
      </w:r>
      <w:bookmarkEnd w:id="345"/>
      <w:bookmarkEnd w:id="346"/>
      <w:bookmarkEnd w:id="347"/>
      <w:bookmarkEnd w:id="348"/>
      <w:bookmarkEnd w:id="349"/>
      <w:bookmarkEnd w:id="350"/>
    </w:p>
    <w:p w14:paraId="245F4560">
      <w:pPr>
        <w:spacing w:before="156" w:beforeLines="50" w:line="560" w:lineRule="exact"/>
        <w:jc w:val="center"/>
        <w:rPr>
          <w:rFonts w:ascii="仿宋_GB2312" w:hAnsi="仿宋_GB2312" w:eastAsia="仿宋_GB2312" w:cs="仿宋_GB2312"/>
          <w:b/>
          <w:color w:val="000000"/>
          <w:sz w:val="24"/>
          <w:szCs w:val="24"/>
        </w:rPr>
      </w:pPr>
      <w:bookmarkStart w:id="351" w:name="_Toc17639_WPSOffice_Level2"/>
      <w:bookmarkStart w:id="352" w:name="_Toc27597_WPSOffice_Level3"/>
      <w:bookmarkStart w:id="353" w:name="_Toc2453_WPSOffice_Level2"/>
      <w:r>
        <w:rPr>
          <w:rFonts w:hint="eastAsia" w:ascii="仿宋_GB2312" w:hAnsi="仿宋_GB2312" w:eastAsia="仿宋_GB2312" w:cs="仿宋_GB2312"/>
          <w:b/>
          <w:color w:val="000000"/>
          <w:sz w:val="28"/>
          <w:szCs w:val="28"/>
        </w:rPr>
        <w:t>供应商承诺函</w:t>
      </w:r>
      <w:bookmarkEnd w:id="351"/>
      <w:bookmarkEnd w:id="352"/>
      <w:bookmarkEnd w:id="353"/>
    </w:p>
    <w:p w14:paraId="14031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17619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关于贵方</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年</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月</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日</w:t>
      </w:r>
      <w:r>
        <w:rPr>
          <w:rFonts w:hint="eastAsia" w:ascii="仿宋_GB2312" w:hAnsi="仿宋_GB2312" w:eastAsia="仿宋_GB2312" w:cs="仿宋_GB2312"/>
          <w:color w:val="000000"/>
          <w:sz w:val="24"/>
          <w:szCs w:val="24"/>
        </w:rPr>
        <w:t>（项目名称及编号）采购项目，本签字人愿意参加谈判，提供采购一览表中要求的所有产品，并证实提交的所有资料是准确的和真实的。同时，我代表</w:t>
      </w:r>
      <w:r>
        <w:rPr>
          <w:rFonts w:hint="eastAsia" w:ascii="仿宋_GB2312" w:hAnsi="仿宋_GB2312" w:eastAsia="仿宋_GB2312" w:cs="仿宋_GB2312"/>
          <w:color w:val="000000"/>
          <w:sz w:val="24"/>
          <w:szCs w:val="24"/>
          <w:u w:val="single"/>
        </w:rPr>
        <w:t>（供应商名称）</w:t>
      </w:r>
      <w:r>
        <w:rPr>
          <w:rFonts w:hint="eastAsia" w:ascii="仿宋_GB2312" w:hAnsi="仿宋_GB2312" w:eastAsia="仿宋_GB2312" w:cs="仿宋_GB2312"/>
          <w:color w:val="000000"/>
          <w:sz w:val="24"/>
          <w:szCs w:val="24"/>
        </w:rPr>
        <w:t>，在此作如下承诺：</w:t>
      </w:r>
    </w:p>
    <w:p w14:paraId="422C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1、完全理解和接受谈判文件的一切规定和要求；</w:t>
      </w:r>
    </w:p>
    <w:p w14:paraId="20B60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若成交，我方将按照谈判文件的具体规定与采购人签订采购合同，并且严格履行合同义务，按时提供优质的服务。如果在合同执行过程中，发现质量、数量出现问题，我方一定尽快更换，并承担相应的经济责任；</w:t>
      </w:r>
    </w:p>
    <w:p w14:paraId="68095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3、我方保证甲方在使用该产品或其任何一部分时，不受第三方提出的侵犯专利权、著作权、商标权和工业设计权等知识产权的起诉，若有违反，愿承担相应的一切责任。</w:t>
      </w:r>
    </w:p>
    <w:p w14:paraId="591DD4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4、在整个谈判过程中我方若有违规行为，贵方可按谈判文件之规定给予处罚，我方完全接受。</w:t>
      </w:r>
    </w:p>
    <w:p w14:paraId="213F6C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5、若成交，本承诺将成为合同不可分割的一部分，与合同具有同等的法律效力。</w:t>
      </w:r>
    </w:p>
    <w:p w14:paraId="5DB164F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54" w:name="_Toc11979_WPSOffice_Level3"/>
      <w:bookmarkStart w:id="355" w:name="_Toc29941_WPSOffice_Level3"/>
    </w:p>
    <w:p w14:paraId="4878E23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54"/>
      <w:bookmarkEnd w:id="355"/>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14A89E6">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DD41931">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E4AD7B0">
      <w:pPr>
        <w:keepNext w:val="0"/>
        <w:keepLines w:val="0"/>
        <w:widowControl w:val="0"/>
        <w:suppressLineNumbers w:val="0"/>
        <w:spacing w:before="0" w:beforeAutospacing="0" w:after="0" w:afterAutospacing="0"/>
        <w:ind w:left="0" w:right="0" w:firstLine="5520" w:firstLineChars="230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712B5ED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19B01B8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ascii="宋体"/>
          <w:b/>
          <w:color w:val="000000"/>
          <w:sz w:val="28"/>
          <w:szCs w:val="28"/>
        </w:rPr>
        <w:br w:type="page"/>
      </w:r>
      <w:bookmarkStart w:id="356" w:name="_Toc26773_WPSOffice_Level3"/>
      <w:bookmarkStart w:id="357" w:name="_Toc6416"/>
      <w:bookmarkStart w:id="358" w:name="_Toc2189"/>
      <w:bookmarkStart w:id="359" w:name="_Toc25740"/>
      <w:bookmarkStart w:id="360" w:name="_Toc653_WPSOffice_Level3"/>
      <w:bookmarkStart w:id="361" w:name="_Toc20884"/>
      <w:r>
        <w:rPr>
          <w:rFonts w:hint="eastAsia" w:ascii="楷体_GB2312" w:hAnsi="楷体_GB2312" w:eastAsia="楷体_GB2312" w:cs="楷体_GB2312"/>
          <w:b/>
          <w:color w:val="000000"/>
          <w:sz w:val="32"/>
          <w:szCs w:val="32"/>
        </w:rPr>
        <w:t>附件5：供应商诚信承诺书</w:t>
      </w:r>
      <w:bookmarkEnd w:id="356"/>
      <w:bookmarkEnd w:id="357"/>
      <w:bookmarkEnd w:id="358"/>
      <w:bookmarkEnd w:id="359"/>
      <w:bookmarkEnd w:id="360"/>
      <w:bookmarkEnd w:id="361"/>
    </w:p>
    <w:p w14:paraId="565E8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000000"/>
          <w:sz w:val="24"/>
          <w:szCs w:val="24"/>
        </w:rPr>
      </w:pPr>
      <w:bookmarkStart w:id="362" w:name="_Toc22537_WPSOffice_Level3"/>
      <w:bookmarkStart w:id="363" w:name="_Toc22989_WPSOffice_Level3"/>
      <w:r>
        <w:rPr>
          <w:rFonts w:hint="eastAsia" w:ascii="仿宋_GB2312" w:hAnsi="仿宋_GB2312" w:eastAsia="仿宋_GB2312" w:cs="仿宋_GB2312"/>
          <w:b/>
          <w:color w:val="000000"/>
          <w:sz w:val="28"/>
          <w:szCs w:val="28"/>
        </w:rPr>
        <w:t>供应商诚信承诺书</w:t>
      </w:r>
      <w:bookmarkEnd w:id="362"/>
      <w:bookmarkEnd w:id="363"/>
    </w:p>
    <w:p w14:paraId="30C2AD53">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7796B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为了诚实、客观、有序地参与青海省政府采购活动，愿就以下内容作出承诺：</w:t>
      </w:r>
    </w:p>
    <w:p w14:paraId="104AC2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1、自觉遵守各项法律、法规、规章、制度以及社会公德，维护廉洁环境，与同场竞争的供应商平等参加政府采购活动。</w:t>
      </w:r>
    </w:p>
    <w:p w14:paraId="05C967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2、参加青海省政府采购中心组织的政府采购活动时，严格按照谈判文件的规定和要求提供所需的相关材料，并对所提供的各类资料的真实性负责，不虚假响应，不虚列业绩。</w:t>
      </w:r>
    </w:p>
    <w:p w14:paraId="02B6C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3、尊重参与政府采购活动各相关方的合法行为，接受政府采购活动依法形成的意见、结果。</w:t>
      </w:r>
    </w:p>
    <w:p w14:paraId="734284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4、依法参加政府采购活动，不围标、串标，维护市场秩序，不提供“三无”产品、以次充好。</w:t>
      </w:r>
    </w:p>
    <w:p w14:paraId="472D31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5、积极推动政府采购活动健康开展，对采购活动有疑问、异议时，按法律规定的程序实名（加盖单位公章和法定代表人签名）反映情况，不恶意中伤、无事生非，以和谐、平等的心态参加政府采购活动。</w:t>
      </w:r>
    </w:p>
    <w:p w14:paraId="48C518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6、认真履行成交供应商应承担的责任和义务，全面执行采购合同规定的各项内容，保质保量地按时提供采购物品。</w:t>
      </w:r>
    </w:p>
    <w:p w14:paraId="7217F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若本企业（单位）发生有悖于上述承诺的行为，愿意接受《中华人民共和国政府采购法》和《政府采购法实施条例》中对供应商的相关处理。</w:t>
      </w:r>
    </w:p>
    <w:p w14:paraId="4E3E0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本承诺是采购项目谈判响应文件的组成部分。</w:t>
      </w:r>
    </w:p>
    <w:p w14:paraId="062C45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64" w:name="_Toc2830_WPSOffice_Level3"/>
      <w:bookmarkStart w:id="365" w:name="_Toc23784_WPSOffice_Level3"/>
    </w:p>
    <w:p w14:paraId="2AF87A3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64"/>
      <w:bookmarkEnd w:id="365"/>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4F1DAD9">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2E673FDB">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FE879B6">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w:t>
      </w: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3108B36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366" w:name="_Toc16847"/>
      <w:bookmarkStart w:id="367" w:name="_Toc8368_WPSOffice_Level3"/>
      <w:bookmarkStart w:id="368" w:name="_Toc19930_WPSOffice_Level3"/>
      <w:bookmarkStart w:id="369" w:name="_Toc25242"/>
      <w:bookmarkStart w:id="370" w:name="_Toc6033"/>
      <w:bookmarkStart w:id="371" w:name="_Toc8053"/>
    </w:p>
    <w:p w14:paraId="1AFAB99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附件6：供应商资格证明文件</w:t>
      </w:r>
      <w:bookmarkEnd w:id="366"/>
      <w:bookmarkEnd w:id="367"/>
      <w:bookmarkEnd w:id="368"/>
      <w:bookmarkEnd w:id="369"/>
      <w:bookmarkEnd w:id="370"/>
      <w:bookmarkEnd w:id="371"/>
    </w:p>
    <w:p w14:paraId="25D2DF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olor w:val="000000"/>
          <w:sz w:val="24"/>
          <w:szCs w:val="24"/>
        </w:rPr>
      </w:pPr>
      <w:bookmarkStart w:id="372" w:name="_Toc9360_WPSOffice_Level3"/>
      <w:bookmarkStart w:id="373" w:name="_Toc23997_WPSOffice_Level3"/>
      <w:r>
        <w:rPr>
          <w:rFonts w:hint="eastAsia" w:ascii="仿宋_GB2312" w:hAnsi="仿宋_GB2312" w:eastAsia="仿宋_GB2312" w:cs="仿宋_GB2312"/>
          <w:b/>
          <w:color w:val="000000"/>
          <w:sz w:val="28"/>
          <w:szCs w:val="28"/>
        </w:rPr>
        <w:t>供应商资格证明文件</w:t>
      </w:r>
      <w:bookmarkEnd w:id="372"/>
      <w:bookmarkEnd w:id="373"/>
    </w:p>
    <w:p w14:paraId="4E31AB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资格证明材料包括：提供有效的营业执照、税务登记证、机构代码证或三证（五证）合一统一社会代码证及其他资格证明文件（扫描或复印件）。</w:t>
      </w:r>
    </w:p>
    <w:p w14:paraId="2DB1B6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8F5C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2、根据采购项目内容，提供供应商的相关资质证书、许可证等。</w:t>
      </w:r>
    </w:p>
    <w:p w14:paraId="0DF57439">
      <w:pPr>
        <w:spacing w:line="560" w:lineRule="exact"/>
        <w:ind w:firstLine="640" w:firstLineChars="200"/>
        <w:rPr>
          <w:rFonts w:ascii="仿宋_GB2312" w:hAnsi="仿宋_GB2312" w:eastAsia="仿宋_GB2312" w:cs="仿宋_GB2312"/>
          <w:color w:val="000000"/>
          <w:sz w:val="32"/>
          <w:szCs w:val="32"/>
        </w:rPr>
      </w:pPr>
    </w:p>
    <w:p w14:paraId="7B7AB3C6">
      <w:pPr>
        <w:widowControl/>
        <w:snapToGrid w:val="0"/>
        <w:spacing w:before="156" w:beforeLines="50" w:line="560" w:lineRule="exact"/>
        <w:rPr>
          <w:rFonts w:ascii="宋体"/>
          <w:b/>
          <w:color w:val="000000"/>
          <w:sz w:val="28"/>
          <w:szCs w:val="28"/>
        </w:rPr>
      </w:pPr>
    </w:p>
    <w:p w14:paraId="5A813396">
      <w:pPr>
        <w:widowControl/>
        <w:snapToGrid w:val="0"/>
        <w:spacing w:before="156" w:beforeLines="50" w:line="560" w:lineRule="exact"/>
        <w:rPr>
          <w:rFonts w:ascii="宋体"/>
          <w:b/>
          <w:color w:val="000000"/>
          <w:sz w:val="28"/>
          <w:szCs w:val="28"/>
        </w:rPr>
      </w:pPr>
    </w:p>
    <w:p w14:paraId="28CA695C">
      <w:pPr>
        <w:widowControl/>
        <w:snapToGrid w:val="0"/>
        <w:spacing w:before="156" w:beforeLines="50" w:line="560" w:lineRule="exact"/>
        <w:rPr>
          <w:rFonts w:ascii="宋体"/>
          <w:b/>
          <w:color w:val="000000"/>
          <w:sz w:val="28"/>
          <w:szCs w:val="28"/>
        </w:rPr>
      </w:pPr>
    </w:p>
    <w:p w14:paraId="4D5B9529">
      <w:pPr>
        <w:rPr>
          <w:rFonts w:hint="eastAsia" w:ascii="楷体_GB2312" w:hAnsi="楷体_GB2312" w:eastAsia="楷体_GB2312" w:cs="楷体_GB2312"/>
          <w:b/>
          <w:color w:val="000000"/>
          <w:sz w:val="32"/>
          <w:szCs w:val="32"/>
        </w:rPr>
      </w:pPr>
      <w:bookmarkStart w:id="374" w:name="_Toc29082_WPSOffice_Level3"/>
      <w:bookmarkStart w:id="375" w:name="_Toc12925"/>
      <w:bookmarkStart w:id="376" w:name="_Toc21305"/>
      <w:bookmarkStart w:id="377" w:name="_Toc7499_WPSOffice_Level3"/>
      <w:bookmarkStart w:id="378" w:name="_Toc5898"/>
      <w:bookmarkStart w:id="379" w:name="_Toc6573"/>
      <w:r>
        <w:rPr>
          <w:rFonts w:hint="eastAsia" w:ascii="楷体_GB2312" w:hAnsi="楷体_GB2312" w:eastAsia="楷体_GB2312" w:cs="楷体_GB2312"/>
          <w:b/>
          <w:color w:val="000000"/>
          <w:sz w:val="32"/>
          <w:szCs w:val="32"/>
        </w:rPr>
        <w:br w:type="page"/>
      </w:r>
    </w:p>
    <w:p w14:paraId="00D26CC7">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hAnsi="宋体"/>
          <w:b/>
          <w:color w:val="000000"/>
          <w:sz w:val="36"/>
          <w:szCs w:val="36"/>
        </w:rPr>
      </w:pPr>
      <w:r>
        <w:rPr>
          <w:rFonts w:hint="eastAsia" w:ascii="楷体_GB2312" w:hAnsi="楷体_GB2312" w:eastAsia="楷体_GB2312" w:cs="楷体_GB2312"/>
          <w:b/>
          <w:color w:val="000000"/>
          <w:sz w:val="32"/>
          <w:szCs w:val="32"/>
        </w:rPr>
        <w:t>附件7：财务状况、缴纳税收和社会保障资金证明</w:t>
      </w:r>
      <w:bookmarkEnd w:id="374"/>
      <w:bookmarkEnd w:id="375"/>
      <w:bookmarkEnd w:id="376"/>
      <w:bookmarkEnd w:id="377"/>
      <w:bookmarkEnd w:id="378"/>
      <w:bookmarkEnd w:id="379"/>
    </w:p>
    <w:p w14:paraId="7024D0A6">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b/>
          <w:color w:val="000000"/>
          <w:sz w:val="24"/>
          <w:szCs w:val="24"/>
        </w:rPr>
      </w:pPr>
      <w:bookmarkStart w:id="380" w:name="_Toc2355_WPSOffice_Level3"/>
      <w:bookmarkStart w:id="381" w:name="_Toc22184_WPSOffice_Level3"/>
      <w:r>
        <w:rPr>
          <w:rFonts w:hint="eastAsia" w:ascii="仿宋_GB2312" w:hAnsi="仿宋_GB2312" w:eastAsia="仿宋_GB2312" w:cs="仿宋_GB2312"/>
          <w:b/>
          <w:color w:val="000000"/>
          <w:sz w:val="28"/>
          <w:szCs w:val="28"/>
        </w:rPr>
        <w:t>财务状况、缴纳税收和社会保障资金证明</w:t>
      </w:r>
      <w:bookmarkEnd w:id="380"/>
      <w:bookmarkEnd w:id="381"/>
    </w:p>
    <w:p w14:paraId="5C0B2DB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按照《政府采购法》第22条规定提供以下相关材料：</w:t>
      </w:r>
    </w:p>
    <w:p w14:paraId="6C8B7B0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1、提供202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val="zh-CN"/>
        </w:rPr>
        <w:t>年度经第三方审计的财务</w:t>
      </w:r>
      <w:r>
        <w:rPr>
          <w:rFonts w:hint="eastAsia" w:ascii="仿宋_GB2312" w:hAnsi="仿宋_GB2312" w:eastAsia="仿宋_GB2312" w:cs="仿宋_GB2312"/>
          <w:color w:val="000000"/>
          <w:sz w:val="24"/>
          <w:szCs w:val="24"/>
          <w:lang w:val="en-US" w:eastAsia="zh-CN"/>
        </w:rPr>
        <w:t>审计</w:t>
      </w:r>
      <w:r>
        <w:rPr>
          <w:rFonts w:hint="eastAsia" w:ascii="仿宋_GB2312" w:hAnsi="仿宋_GB2312" w:eastAsia="仿宋_GB2312" w:cs="仿宋_GB2312"/>
          <w:color w:val="000000"/>
          <w:sz w:val="24"/>
          <w:szCs w:val="24"/>
          <w:lang w:val="zh-CN"/>
        </w:rPr>
        <w:t>报告（复印件应全面、完整、清晰）或近三个月银行出具的资信证明文件。</w:t>
      </w:r>
    </w:p>
    <w:p w14:paraId="7A309E3E">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2、近</w:t>
      </w:r>
      <w:r>
        <w:rPr>
          <w:rFonts w:hint="eastAsia" w:ascii="仿宋_GB2312" w:hAnsi="仿宋_GB2312" w:eastAsia="仿宋_GB2312" w:cs="仿宋_GB2312"/>
          <w:color w:val="000000"/>
          <w:sz w:val="24"/>
          <w:szCs w:val="24"/>
        </w:rPr>
        <w:t>半年内任意三个月</w:t>
      </w:r>
      <w:r>
        <w:rPr>
          <w:rFonts w:hint="eastAsia" w:ascii="仿宋_GB2312" w:hAnsi="仿宋_GB2312" w:eastAsia="仿宋_GB2312" w:cs="仿宋_GB2312"/>
          <w:color w:val="000000"/>
          <w:sz w:val="24"/>
          <w:szCs w:val="24"/>
          <w:lang w:val="zh-CN"/>
        </w:rPr>
        <w:t>的依法缴纳税收和社会保障资金记录的证明材料（复印件）；依法免税或不需要缴纳社会保障资金的供应商需提供相应文件证明其依法免税或不需要缴纳社会保障资金。</w:t>
      </w:r>
    </w:p>
    <w:p w14:paraId="4BF122E4">
      <w:pPr>
        <w:widowControl/>
        <w:snapToGrid w:val="0"/>
        <w:spacing w:line="560" w:lineRule="exact"/>
        <w:rPr>
          <w:rFonts w:ascii="仿宋_GB2312" w:hAnsi="仿宋_GB2312" w:eastAsia="仿宋_GB2312" w:cs="仿宋_GB2312"/>
          <w:color w:val="000000"/>
          <w:sz w:val="32"/>
          <w:szCs w:val="32"/>
        </w:rPr>
      </w:pPr>
    </w:p>
    <w:p w14:paraId="6551E4CD">
      <w:pPr>
        <w:widowControl/>
        <w:snapToGrid w:val="0"/>
        <w:spacing w:before="156" w:beforeLines="50" w:line="560" w:lineRule="exact"/>
        <w:rPr>
          <w:rFonts w:ascii="宋体" w:hAnsi="宋体"/>
          <w:color w:val="000000"/>
          <w:szCs w:val="21"/>
        </w:rPr>
      </w:pPr>
    </w:p>
    <w:p w14:paraId="52C05D16">
      <w:pPr>
        <w:tabs>
          <w:tab w:val="left" w:pos="168"/>
        </w:tabs>
        <w:adjustRightInd w:val="0"/>
        <w:spacing w:before="156" w:beforeLines="50" w:line="560" w:lineRule="exact"/>
        <w:ind w:firstLine="480" w:firstLineChars="200"/>
        <w:textAlignment w:val="baseline"/>
        <w:rPr>
          <w:rFonts w:ascii="宋体" w:hAnsi="宋体"/>
          <w:color w:val="000000"/>
          <w:sz w:val="24"/>
        </w:rPr>
      </w:pPr>
    </w:p>
    <w:p w14:paraId="2234B46D">
      <w:pPr>
        <w:widowControl/>
        <w:snapToGrid w:val="0"/>
        <w:spacing w:before="156" w:beforeLines="50" w:line="560" w:lineRule="exact"/>
        <w:outlineLvl w:val="1"/>
        <w:rPr>
          <w:rFonts w:ascii="宋体" w:hAnsi="宋体"/>
          <w:b/>
          <w:color w:val="000000"/>
          <w:sz w:val="24"/>
        </w:rPr>
      </w:pPr>
    </w:p>
    <w:p w14:paraId="68048CCF">
      <w:pPr>
        <w:spacing w:before="156" w:beforeLines="50" w:line="560" w:lineRule="exact"/>
        <w:rPr>
          <w:rFonts w:ascii="宋体" w:hAnsi="宋体"/>
          <w:b/>
          <w:bCs/>
          <w:color w:val="000000"/>
          <w:sz w:val="28"/>
          <w:szCs w:val="28"/>
        </w:rPr>
      </w:pPr>
    </w:p>
    <w:p w14:paraId="22D234A6">
      <w:pPr>
        <w:spacing w:before="156" w:beforeLines="50" w:line="560" w:lineRule="exact"/>
        <w:rPr>
          <w:rFonts w:ascii="宋体" w:hAnsi="宋体"/>
          <w:b/>
          <w:bCs/>
          <w:color w:val="000000"/>
          <w:sz w:val="28"/>
          <w:szCs w:val="28"/>
        </w:rPr>
      </w:pPr>
    </w:p>
    <w:p w14:paraId="566DDE3A">
      <w:pPr>
        <w:spacing w:before="156" w:beforeLines="50" w:line="560" w:lineRule="exact"/>
        <w:rPr>
          <w:rFonts w:ascii="宋体" w:hAnsi="宋体"/>
          <w:b/>
          <w:bCs/>
          <w:color w:val="000000"/>
          <w:sz w:val="28"/>
          <w:szCs w:val="28"/>
        </w:rPr>
      </w:pPr>
    </w:p>
    <w:p w14:paraId="0B9AFFD5">
      <w:pPr>
        <w:spacing w:before="156" w:beforeLines="50" w:line="560" w:lineRule="exact"/>
        <w:rPr>
          <w:rFonts w:ascii="宋体" w:hAnsi="宋体"/>
          <w:b/>
          <w:bCs/>
          <w:color w:val="000000"/>
          <w:sz w:val="28"/>
          <w:szCs w:val="28"/>
        </w:rPr>
      </w:pPr>
    </w:p>
    <w:p w14:paraId="5BEC2C44">
      <w:pPr>
        <w:rPr>
          <w:rFonts w:hint="eastAsia" w:ascii="楷体_GB2312" w:hAnsi="楷体_GB2312" w:eastAsia="楷体_GB2312" w:cs="楷体_GB2312"/>
          <w:b/>
          <w:color w:val="000000"/>
          <w:sz w:val="32"/>
          <w:szCs w:val="32"/>
        </w:rPr>
      </w:pPr>
      <w:bookmarkStart w:id="382" w:name="_Toc21984"/>
      <w:bookmarkStart w:id="383" w:name="_Toc16098"/>
      <w:bookmarkStart w:id="384" w:name="_Toc17387_WPSOffice_Level3"/>
      <w:bookmarkStart w:id="385" w:name="_Toc16678"/>
      <w:bookmarkStart w:id="386" w:name="_Toc22959_WPSOffice_Level3"/>
      <w:bookmarkStart w:id="387" w:name="_Toc13266"/>
      <w:r>
        <w:rPr>
          <w:rFonts w:hint="eastAsia" w:ascii="楷体_GB2312" w:hAnsi="楷体_GB2312" w:eastAsia="楷体_GB2312" w:cs="楷体_GB2312"/>
          <w:b/>
          <w:color w:val="000000"/>
          <w:sz w:val="32"/>
          <w:szCs w:val="32"/>
        </w:rPr>
        <w:br w:type="page"/>
      </w:r>
    </w:p>
    <w:p w14:paraId="6ACBBB82">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附件8：</w:t>
      </w:r>
      <w:bookmarkEnd w:id="382"/>
      <w:r>
        <w:rPr>
          <w:rFonts w:hint="eastAsia" w:ascii="楷体_GB2312" w:hAnsi="楷体_GB2312" w:eastAsia="楷体_GB2312" w:cs="楷体_GB2312"/>
          <w:b/>
          <w:color w:val="000000"/>
          <w:sz w:val="32"/>
          <w:szCs w:val="32"/>
        </w:rPr>
        <w:t>无重大违法记录声明</w:t>
      </w:r>
      <w:bookmarkEnd w:id="383"/>
      <w:bookmarkEnd w:id="384"/>
      <w:bookmarkEnd w:id="385"/>
    </w:p>
    <w:p w14:paraId="6B63D58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宋体" w:hAnsi="宋体" w:cs="宋体"/>
          <w:b/>
          <w:bCs/>
          <w:color w:val="000000"/>
          <w:sz w:val="24"/>
          <w:szCs w:val="24"/>
        </w:rPr>
      </w:pPr>
      <w:bookmarkStart w:id="388" w:name="_Toc25610_WPSOffice_Level3"/>
      <w:r>
        <w:rPr>
          <w:rFonts w:hint="eastAsia" w:ascii="仿宋_GB2312" w:hAnsi="仿宋_GB2312" w:eastAsia="仿宋_GB2312" w:cs="仿宋_GB2312"/>
          <w:b/>
          <w:color w:val="000000"/>
          <w:sz w:val="28"/>
          <w:szCs w:val="28"/>
          <w:lang w:val="zh-CN"/>
        </w:rPr>
        <w:t>无重大违法记录声明</w:t>
      </w:r>
      <w:bookmarkEnd w:id="388"/>
    </w:p>
    <w:p w14:paraId="7A2DFECA">
      <w:pPr>
        <w:keepNext w:val="0"/>
        <w:keepLines w:val="0"/>
        <w:pageBreakBefore w:val="0"/>
        <w:widowControl w:val="0"/>
        <w:kinsoku/>
        <w:wordWrap/>
        <w:overflowPunct/>
        <w:topLinePunct w:val="0"/>
        <w:bidi w:val="0"/>
        <w:adjustRightInd/>
        <w:snapToGrid/>
        <w:spacing w:line="500" w:lineRule="exact"/>
        <w:textAlignment w:val="auto"/>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（采购人名称或代理机构名称）</w:t>
      </w:r>
    </w:p>
    <w:p w14:paraId="2154DB53">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z w:val="24"/>
          <w:szCs w:val="24"/>
          <w:shd w:val="clear" w:color="auto" w:fill="FFFFFF"/>
        </w:rPr>
        <w:t>件。我方对此声明负全部法律责任。</w:t>
      </w:r>
    </w:p>
    <w:p w14:paraId="3DFB9F6D">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特此声明。</w:t>
      </w:r>
    </w:p>
    <w:p w14:paraId="5701BD05">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ascii="仿宋_GB2312" w:hAnsi="仿宋_GB2312" w:eastAsia="仿宋_GB2312" w:cs="仿宋_GB2312"/>
          <w:color w:val="000000"/>
          <w:kern w:val="0"/>
          <w:sz w:val="24"/>
          <w:szCs w:val="24"/>
          <w:lang w:val="zh-CN"/>
        </w:rPr>
      </w:pPr>
    </w:p>
    <w:p w14:paraId="7DE60D7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73B16D51">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ascii="仿宋_GB2312" w:hAnsi="仿宋_GB2312" w:eastAsia="仿宋_GB2312" w:cs="仿宋_GB2312"/>
          <w:bCs/>
          <w:color w:val="000000"/>
          <w:sz w:val="24"/>
          <w:szCs w:val="24"/>
        </w:rPr>
      </w:pPr>
    </w:p>
    <w:p w14:paraId="3DFAE28E">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bookmarkStart w:id="389" w:name="_Toc21607_WPSOffice_Level3"/>
      <w:r>
        <w:rPr>
          <w:rFonts w:hint="eastAsia" w:ascii="仿宋_GB2312" w:hAnsi="仿宋_GB2312" w:eastAsia="仿宋_GB2312" w:cs="仿宋_GB2312"/>
          <w:bCs/>
          <w:color w:val="000000"/>
          <w:sz w:val="24"/>
          <w:szCs w:val="24"/>
          <w:lang w:val="en-US" w:eastAsia="zh-CN"/>
        </w:rPr>
        <w:t xml:space="preserve">          </w:t>
      </w:r>
      <w:bookmarkEnd w:id="389"/>
      <w:r>
        <w:rPr>
          <w:rFonts w:hint="eastAsia" w:ascii="仿宋_GB2312" w:hAnsi="仿宋_GB2312" w:eastAsia="仿宋_GB2312" w:cs="仿宋_GB2312"/>
          <w:bCs/>
          <w:color w:val="000000"/>
          <w:sz w:val="24"/>
          <w:szCs w:val="24"/>
          <w:lang w:val="en-US" w:eastAsia="zh-CN"/>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30739D44">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36F60F70">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7823D9E3">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w:t>
      </w: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年  月  日</w:t>
      </w:r>
    </w:p>
    <w:p w14:paraId="71397F12">
      <w:pPr>
        <w:keepNext w:val="0"/>
        <w:keepLines w:val="0"/>
        <w:pageBreakBefore w:val="0"/>
        <w:widowControl w:val="0"/>
        <w:kinsoku/>
        <w:wordWrap/>
        <w:overflowPunct/>
        <w:topLinePunct w:val="0"/>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6B51BFFD">
      <w:pPr>
        <w:pStyle w:val="16"/>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宋体" w:hAnsi="宋体" w:cs="宋体"/>
          <w:color w:val="000000"/>
          <w:sz w:val="28"/>
          <w:szCs w:val="28"/>
          <w:lang w:val="zh-CN"/>
        </w:rPr>
      </w:pPr>
      <w:r>
        <w:rPr>
          <w:rFonts w:hint="eastAsia" w:ascii="仿宋_GB2312" w:hAnsi="仿宋_GB2312" w:eastAsia="仿宋_GB2312" w:cs="仿宋_GB2312"/>
          <w:color w:val="000000"/>
          <w:sz w:val="30"/>
          <w:szCs w:val="30"/>
        </w:rPr>
        <w:br w:type="page"/>
      </w:r>
      <w:bookmarkStart w:id="390" w:name="_Toc17316"/>
      <w:bookmarkStart w:id="391" w:name="_Toc132_WPSOffice_Level3"/>
      <w:bookmarkStart w:id="392" w:name="_Toc24810"/>
      <w:r>
        <w:rPr>
          <w:rFonts w:hint="eastAsia" w:ascii="楷体_GB2312" w:hAnsi="楷体_GB2312" w:eastAsia="楷体_GB2312" w:cs="楷体_GB2312"/>
          <w:bCs w:val="0"/>
          <w:color w:val="000000"/>
          <w:sz w:val="32"/>
        </w:rPr>
        <w:t>附件9：谈判</w:t>
      </w:r>
      <w:r>
        <w:rPr>
          <w:rFonts w:hint="eastAsia" w:ascii="楷体_GB2312" w:hAnsi="楷体_GB2312" w:eastAsia="楷体_GB2312" w:cs="楷体_GB2312"/>
          <w:bCs w:val="0"/>
          <w:color w:val="000000"/>
          <w:sz w:val="32"/>
          <w:lang w:val="zh-CN"/>
        </w:rPr>
        <w:t>保证金证明</w:t>
      </w:r>
      <w:bookmarkEnd w:id="386"/>
      <w:bookmarkEnd w:id="387"/>
      <w:bookmarkEnd w:id="390"/>
      <w:bookmarkEnd w:id="391"/>
      <w:bookmarkEnd w:id="392"/>
    </w:p>
    <w:p w14:paraId="1A0D2D3E">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393" w:name="_Toc27502_WPSOffice_Level3"/>
      <w:r>
        <w:rPr>
          <w:rFonts w:hint="eastAsia" w:ascii="仿宋_GB2312" w:hAnsi="仿宋_GB2312" w:eastAsia="仿宋_GB2312" w:cs="仿宋_GB2312"/>
          <w:b/>
          <w:color w:val="000000"/>
          <w:sz w:val="28"/>
          <w:szCs w:val="28"/>
          <w:lang w:val="zh-CN"/>
        </w:rPr>
        <w:t>谈判保证金证明</w:t>
      </w:r>
      <w:bookmarkEnd w:id="393"/>
    </w:p>
    <w:p w14:paraId="65E91F15">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仿宋_GB2312" w:hAnsi="仿宋_GB2312" w:eastAsia="仿宋_GB2312" w:cs="仿宋_GB2312"/>
          <w:b w:val="0"/>
          <w:bCs w:val="0"/>
          <w:color w:val="000000"/>
          <w:kern w:val="0"/>
          <w:sz w:val="24"/>
          <w:szCs w:val="24"/>
          <w:lang w:val="zh-CN"/>
        </w:rPr>
      </w:pPr>
      <w:bookmarkStart w:id="394" w:name="_Toc21234_WPSOffice_Level2"/>
      <w:bookmarkStart w:id="395" w:name="_Toc12243_WPSOffice_Level2"/>
      <w:bookmarkStart w:id="396" w:name="_Toc1388_WPSOffice_Level2"/>
      <w:r>
        <w:rPr>
          <w:rFonts w:hint="eastAsia" w:ascii="仿宋_GB2312" w:hAnsi="仿宋_GB2312" w:eastAsia="仿宋_GB2312" w:cs="仿宋_GB2312"/>
          <w:b w:val="0"/>
          <w:bCs w:val="0"/>
          <w:color w:val="000000"/>
          <w:kern w:val="0"/>
          <w:sz w:val="24"/>
          <w:szCs w:val="24"/>
          <w:lang w:val="zh-CN"/>
        </w:rPr>
        <w:t>致：</w:t>
      </w:r>
      <w:bookmarkEnd w:id="394"/>
      <w:bookmarkEnd w:id="395"/>
      <w:bookmarkEnd w:id="396"/>
      <w:r>
        <w:rPr>
          <w:rFonts w:hint="eastAsia" w:ascii="仿宋_GB2312" w:hAnsi="仿宋_GB2312" w:eastAsia="仿宋_GB2312" w:cs="仿宋_GB2312"/>
          <w:b w:val="0"/>
          <w:bCs w:val="0"/>
          <w:color w:val="000000"/>
          <w:kern w:val="0"/>
          <w:sz w:val="24"/>
          <w:szCs w:val="24"/>
          <w:u w:val="single"/>
          <w:lang w:val="zh-CN"/>
        </w:rPr>
        <w:t>（采购人名称或代理机构名称）</w:t>
      </w:r>
    </w:p>
    <w:p w14:paraId="4D520B3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我方为</w:t>
      </w:r>
      <w:r>
        <w:rPr>
          <w:rFonts w:hint="eastAsia" w:ascii="仿宋_GB2312" w:hAnsi="仿宋_GB2312" w:eastAsia="仿宋_GB2312" w:cs="仿宋_GB2312"/>
          <w:color w:val="000000"/>
          <w:kern w:val="0"/>
          <w:sz w:val="24"/>
          <w:szCs w:val="24"/>
          <w:u w:val="single"/>
          <w:lang w:val="zh-CN"/>
        </w:rPr>
        <w:t>（采购项目名称）</w:t>
      </w:r>
      <w:r>
        <w:rPr>
          <w:rFonts w:hint="eastAsia" w:ascii="仿宋_GB2312" w:hAnsi="仿宋_GB2312" w:eastAsia="仿宋_GB2312" w:cs="仿宋_GB2312"/>
          <w:color w:val="000000"/>
          <w:kern w:val="0"/>
          <w:sz w:val="24"/>
          <w:szCs w:val="24"/>
          <w:lang w:val="zh-CN"/>
        </w:rPr>
        <w:t>项目</w:t>
      </w:r>
      <w:r>
        <w:rPr>
          <w:rFonts w:hint="eastAsia" w:ascii="仿宋_GB2312" w:hAnsi="仿宋_GB2312" w:eastAsia="仿宋_GB2312" w:cs="仿宋_GB2312"/>
          <w:color w:val="000000"/>
          <w:kern w:val="0"/>
          <w:sz w:val="24"/>
          <w:szCs w:val="24"/>
          <w:u w:val="single"/>
          <w:lang w:val="zh-CN"/>
        </w:rPr>
        <w:t>（采购项目编号为：）</w:t>
      </w:r>
      <w:r>
        <w:rPr>
          <w:rFonts w:hint="eastAsia" w:ascii="仿宋_GB2312" w:hAnsi="仿宋_GB2312" w:eastAsia="仿宋_GB2312" w:cs="仿宋_GB2312"/>
          <w:color w:val="000000"/>
          <w:kern w:val="0"/>
          <w:sz w:val="24"/>
          <w:szCs w:val="24"/>
          <w:lang w:val="zh-CN"/>
        </w:rPr>
        <w:t>递交保证金人民币</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none"/>
          <w:lang w:val="en-US" w:eastAsia="zh-CN"/>
        </w:rPr>
        <w:t>元</w:t>
      </w:r>
      <w:r>
        <w:rPr>
          <w:rFonts w:hint="eastAsia" w:ascii="仿宋_GB2312" w:hAnsi="仿宋_GB2312" w:eastAsia="仿宋_GB2312" w:cs="仿宋_GB2312"/>
          <w:color w:val="000000"/>
          <w:kern w:val="0"/>
          <w:sz w:val="24"/>
          <w:szCs w:val="24"/>
          <w:lang w:val="zh-CN"/>
        </w:rPr>
        <w:t>已于</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年</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月</w:t>
      </w:r>
      <w:r>
        <w:rPr>
          <w:rFonts w:hint="eastAsia" w:ascii="仿宋_GB2312" w:hAnsi="仿宋_GB2312" w:eastAsia="仿宋_GB2312" w:cs="仿宋_GB2312"/>
          <w:color w:val="000000"/>
          <w:kern w:val="0"/>
          <w:sz w:val="24"/>
          <w:szCs w:val="24"/>
          <w:u w:val="single"/>
          <w:lang w:val="en-US" w:eastAsia="zh-CN"/>
        </w:rPr>
        <w:t xml:space="preserve">    </w:t>
      </w:r>
      <w:r>
        <w:rPr>
          <w:rFonts w:hint="eastAsia" w:ascii="仿宋_GB2312" w:hAnsi="仿宋_GB2312" w:eastAsia="仿宋_GB2312" w:cs="仿宋_GB2312"/>
          <w:color w:val="000000"/>
          <w:kern w:val="0"/>
          <w:sz w:val="24"/>
          <w:szCs w:val="24"/>
          <w:u w:val="single"/>
          <w:lang w:val="zh-CN"/>
        </w:rPr>
        <w:t>日</w:t>
      </w:r>
      <w:r>
        <w:rPr>
          <w:rFonts w:hint="eastAsia" w:ascii="仿宋_GB2312" w:hAnsi="仿宋_GB2312" w:eastAsia="仿宋_GB2312" w:cs="仿宋_GB2312"/>
          <w:color w:val="000000"/>
          <w:kern w:val="0"/>
          <w:sz w:val="24"/>
          <w:szCs w:val="24"/>
          <w:lang w:val="zh-CN"/>
        </w:rPr>
        <w:t>以转账方式汇入你方账户（</w:t>
      </w:r>
      <w:r>
        <w:rPr>
          <w:rFonts w:hint="eastAsia" w:ascii="仿宋_GB2312" w:hAnsi="仿宋_GB2312" w:eastAsia="仿宋_GB2312" w:cs="仿宋_GB2312"/>
          <w:color w:val="000000"/>
          <w:kern w:val="0"/>
          <w:sz w:val="24"/>
          <w:szCs w:val="24"/>
          <w:lang w:val="en-US" w:eastAsia="zh-CN"/>
        </w:rPr>
        <w:t>或以保函保单形式提交</w:t>
      </w:r>
      <w:r>
        <w:rPr>
          <w:rFonts w:hint="eastAsia" w:ascii="仿宋_GB2312" w:hAnsi="仿宋_GB2312" w:eastAsia="仿宋_GB2312" w:cs="仿宋_GB2312"/>
          <w:color w:val="000000"/>
          <w:kern w:val="0"/>
          <w:sz w:val="24"/>
          <w:szCs w:val="24"/>
          <w:lang w:val="zh-CN"/>
        </w:rPr>
        <w:t>）。</w:t>
      </w:r>
    </w:p>
    <w:p w14:paraId="0B4BA34D">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附保证金交款证明复印件（加盖公章）</w:t>
      </w:r>
    </w:p>
    <w:p w14:paraId="1CDD02B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DC7079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户    名：</w:t>
      </w:r>
    </w:p>
    <w:p w14:paraId="03B717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开户银行：</w:t>
      </w:r>
    </w:p>
    <w:p w14:paraId="0B71937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ascii="宋体" w:hAnsi="宋体" w:cs="宋体"/>
          <w:color w:val="000000"/>
          <w:kern w:val="0"/>
          <w:sz w:val="24"/>
          <w:szCs w:val="24"/>
          <w:lang w:val="zh-CN"/>
        </w:rPr>
      </w:pPr>
      <w:r>
        <w:rPr>
          <w:rFonts w:hint="eastAsia" w:ascii="仿宋_GB2312" w:hAnsi="仿宋_GB2312" w:eastAsia="仿宋_GB2312" w:cs="仿宋_GB2312"/>
          <w:color w:val="000000"/>
          <w:kern w:val="0"/>
          <w:sz w:val="24"/>
          <w:szCs w:val="24"/>
          <w:lang w:val="zh-CN"/>
        </w:rPr>
        <w:t>开户帐号：</w:t>
      </w:r>
    </w:p>
    <w:p w14:paraId="4BFC7BB8">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rPr>
      </w:pPr>
      <w:bookmarkStart w:id="397" w:name="_Toc16036_WPSOffice_Level3"/>
    </w:p>
    <w:p w14:paraId="3A1239E7">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397"/>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1E99A63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E95A25C">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DD9BC3B">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6C764D28">
      <w:pPr>
        <w:keepNext w:val="0"/>
        <w:keepLines w:val="0"/>
        <w:pageBreakBefore w:val="0"/>
        <w:widowControl w:val="0"/>
        <w:kinsoku/>
        <w:wordWrap/>
        <w:overflowPunct/>
        <w:topLinePunct w:val="0"/>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3B473346">
      <w:pPr>
        <w:autoSpaceDE w:val="0"/>
        <w:autoSpaceDN w:val="0"/>
        <w:spacing w:before="156" w:beforeLines="50" w:line="560" w:lineRule="exact"/>
        <w:rPr>
          <w:rFonts w:ascii="宋体" w:hAnsi="宋体" w:cs="宋体"/>
          <w:b/>
          <w:bCs/>
          <w:color w:val="000000"/>
          <w:kern w:val="0"/>
          <w:lang w:val="zh-CN"/>
        </w:rPr>
      </w:pPr>
    </w:p>
    <w:p w14:paraId="715E5E62">
      <w:pPr>
        <w:spacing w:before="156" w:beforeLines="50" w:line="560" w:lineRule="exact"/>
        <w:rPr>
          <w:rFonts w:ascii="仿宋_GB2312" w:hAnsi="宋体" w:eastAsia="仿宋_GB2312"/>
          <w:b/>
          <w:color w:val="000000"/>
          <w:sz w:val="52"/>
          <w:szCs w:val="52"/>
        </w:rPr>
      </w:pPr>
      <w:r>
        <w:rPr>
          <w:rFonts w:hint="eastAsia"/>
          <w:kern w:val="0"/>
          <w:lang w:val="zh-CN"/>
        </w:rPr>
        <w:br w:type="page"/>
      </w:r>
    </w:p>
    <w:p w14:paraId="335266CC">
      <w:pPr>
        <w:spacing w:before="156" w:beforeLines="50" w:line="560" w:lineRule="exact"/>
        <w:jc w:val="center"/>
        <w:rPr>
          <w:rFonts w:ascii="仿宋_GB2312" w:hAnsi="仿宋_GB2312" w:eastAsia="仿宋_GB2312" w:cs="仿宋_GB2312"/>
          <w:b/>
          <w:color w:val="000000"/>
          <w:sz w:val="48"/>
          <w:szCs w:val="48"/>
        </w:rPr>
      </w:pPr>
      <w:bookmarkStart w:id="398" w:name="_Toc20688_WPSOffice_Level2"/>
      <w:bookmarkStart w:id="399" w:name="_Toc24560_WPSOffice_Level2"/>
      <w:r>
        <w:rPr>
          <w:rFonts w:hint="eastAsia" w:ascii="仿宋_GB2312" w:hAnsi="仿宋_GB2312" w:eastAsia="仿宋_GB2312" w:cs="仿宋_GB2312"/>
          <w:b/>
          <w:color w:val="000000"/>
          <w:sz w:val="48"/>
          <w:szCs w:val="48"/>
        </w:rPr>
        <w:t>青海省政府采购项目</w:t>
      </w:r>
      <w:bookmarkEnd w:id="398"/>
      <w:bookmarkEnd w:id="399"/>
    </w:p>
    <w:p w14:paraId="77CC512C">
      <w:pPr>
        <w:spacing w:before="156" w:beforeLines="50" w:line="560" w:lineRule="exact"/>
        <w:jc w:val="center"/>
        <w:rPr>
          <w:rFonts w:ascii="仿宋_GB2312" w:hAnsi="仿宋_GB2312" w:eastAsia="仿宋_GB2312" w:cs="仿宋_GB2312"/>
          <w:b/>
          <w:color w:val="000000"/>
          <w:sz w:val="48"/>
          <w:szCs w:val="48"/>
        </w:rPr>
      </w:pPr>
      <w:bookmarkStart w:id="400" w:name="_Toc1190_WPSOffice_Level2"/>
      <w:bookmarkStart w:id="401" w:name="_Toc30784_WPSOffice_Level2"/>
      <w:r>
        <w:rPr>
          <w:rFonts w:hint="eastAsia" w:ascii="仿宋_GB2312" w:hAnsi="仿宋_GB2312" w:eastAsia="仿宋_GB2312" w:cs="仿宋_GB2312"/>
          <w:b/>
          <w:color w:val="000000"/>
          <w:sz w:val="48"/>
          <w:szCs w:val="48"/>
        </w:rPr>
        <w:t>谈判响应文件</w:t>
      </w:r>
      <w:bookmarkEnd w:id="400"/>
      <w:bookmarkEnd w:id="401"/>
    </w:p>
    <w:p w14:paraId="5593BAE1">
      <w:pPr>
        <w:adjustRightInd w:val="0"/>
        <w:spacing w:before="156" w:beforeLines="50" w:line="560" w:lineRule="exact"/>
        <w:jc w:val="center"/>
        <w:textAlignment w:val="baseline"/>
        <w:rPr>
          <w:rFonts w:ascii="仿宋_GB2312" w:hAnsi="仿宋_GB2312" w:eastAsia="仿宋_GB2312" w:cs="仿宋_GB2312"/>
          <w:b/>
          <w:bCs/>
          <w:color w:val="000000"/>
          <w:sz w:val="32"/>
          <w:szCs w:val="32"/>
        </w:rPr>
      </w:pPr>
      <w:bookmarkStart w:id="402" w:name="_Toc5068_WPSOffice_Level2"/>
      <w:bookmarkStart w:id="403" w:name="_Toc24224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有效性、完整性、响应程度审查部分</w:t>
      </w:r>
      <w:r>
        <w:rPr>
          <w:rFonts w:hint="eastAsia" w:ascii="仿宋_GB2312" w:hAnsi="仿宋_GB2312" w:eastAsia="仿宋_GB2312" w:cs="仿宋_GB2312"/>
          <w:b/>
          <w:bCs/>
          <w:color w:val="000000"/>
          <w:sz w:val="32"/>
          <w:szCs w:val="32"/>
        </w:rPr>
        <w:t>）</w:t>
      </w:r>
      <w:bookmarkEnd w:id="402"/>
      <w:bookmarkEnd w:id="403"/>
    </w:p>
    <w:p w14:paraId="05757A6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08D02A74">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E1FF6D0">
      <w:pPr>
        <w:adjustRightInd w:val="0"/>
        <w:spacing w:before="156" w:beforeLines="50" w:line="560" w:lineRule="exact"/>
        <w:textAlignment w:val="baseline"/>
        <w:rPr>
          <w:rFonts w:ascii="仿宋_GB2312" w:hAnsi="仿宋_GB2312" w:eastAsia="仿宋_GB2312" w:cs="仿宋_GB2312"/>
          <w:b/>
          <w:bCs/>
          <w:color w:val="000000"/>
          <w:sz w:val="32"/>
          <w:szCs w:val="32"/>
        </w:rPr>
      </w:pPr>
    </w:p>
    <w:p w14:paraId="31F7296E">
      <w:pPr>
        <w:adjustRightInd w:val="0"/>
        <w:spacing w:before="156" w:beforeLines="50" w:line="560" w:lineRule="exact"/>
        <w:textAlignment w:val="baseline"/>
        <w:rPr>
          <w:rFonts w:ascii="仿宋_GB2312" w:hAnsi="仿宋_GB2312" w:eastAsia="仿宋_GB2312" w:cs="仿宋_GB2312"/>
          <w:b/>
          <w:bCs/>
          <w:color w:val="000000"/>
          <w:sz w:val="32"/>
          <w:szCs w:val="32"/>
        </w:rPr>
      </w:pPr>
      <w:bookmarkStart w:id="404" w:name="_Toc14028_WPSOffice_Level2"/>
      <w:bookmarkStart w:id="405" w:name="_Toc16258_WPSOffice_Level2"/>
      <w:r>
        <w:rPr>
          <w:rFonts w:hint="eastAsia" w:ascii="仿宋_GB2312" w:hAnsi="仿宋_GB2312" w:eastAsia="仿宋_GB2312" w:cs="仿宋_GB2312"/>
          <w:b/>
          <w:bCs/>
          <w:color w:val="000000"/>
          <w:sz w:val="32"/>
          <w:szCs w:val="32"/>
        </w:rPr>
        <w:t>采购项目编号:</w:t>
      </w:r>
      <w:bookmarkEnd w:id="404"/>
      <w:bookmarkEnd w:id="405"/>
    </w:p>
    <w:p w14:paraId="6635849C">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06" w:name="_Toc25982_WPSOffice_Level2"/>
      <w:bookmarkStart w:id="407" w:name="_Toc173_WPSOffice_Level2"/>
      <w:r>
        <w:rPr>
          <w:rFonts w:hint="eastAsia" w:ascii="仿宋_GB2312" w:hAnsi="仿宋_GB2312" w:eastAsia="仿宋_GB2312" w:cs="仿宋_GB2312"/>
          <w:b/>
          <w:bCs/>
          <w:color w:val="000000"/>
          <w:sz w:val="32"/>
          <w:szCs w:val="32"/>
        </w:rPr>
        <w:t>采购项目名称:</w:t>
      </w:r>
      <w:bookmarkEnd w:id="406"/>
      <w:bookmarkEnd w:id="407"/>
    </w:p>
    <w:p w14:paraId="4D7B1168">
      <w:pPr>
        <w:spacing w:before="156" w:beforeLines="50" w:line="560" w:lineRule="exact"/>
        <w:ind w:left="2249" w:hanging="2249" w:hangingChars="700"/>
        <w:jc w:val="left"/>
        <w:rPr>
          <w:rFonts w:ascii="仿宋_GB2312" w:hAnsi="仿宋_GB2312" w:eastAsia="仿宋_GB2312" w:cs="仿宋_GB2312"/>
          <w:b/>
          <w:bCs/>
          <w:color w:val="000000"/>
          <w:sz w:val="32"/>
          <w:szCs w:val="32"/>
        </w:rPr>
      </w:pPr>
      <w:bookmarkStart w:id="408" w:name="_Toc19360_WPSOffice_Level2"/>
      <w:bookmarkStart w:id="409" w:name="_Toc24014_WPSOffice_Level2"/>
      <w:r>
        <w:rPr>
          <w:rFonts w:hint="eastAsia" w:ascii="仿宋_GB2312" w:hAnsi="仿宋_GB2312" w:eastAsia="仿宋_GB2312" w:cs="仿宋_GB2312"/>
          <w:b/>
          <w:bCs/>
          <w:color w:val="000000"/>
          <w:sz w:val="32"/>
          <w:szCs w:val="32"/>
        </w:rPr>
        <w:t>供应商名称：</w:t>
      </w:r>
      <w:bookmarkEnd w:id="408"/>
      <w:bookmarkEnd w:id="409"/>
    </w:p>
    <w:p w14:paraId="44E6A516">
      <w:pPr>
        <w:spacing w:before="156" w:beforeLines="50" w:line="560" w:lineRule="exact"/>
        <w:jc w:val="center"/>
        <w:rPr>
          <w:rFonts w:ascii="仿宋_GB2312" w:hAnsi="仿宋_GB2312" w:eastAsia="仿宋_GB2312" w:cs="仿宋_GB2312"/>
          <w:b/>
          <w:bCs/>
          <w:color w:val="000000"/>
          <w:sz w:val="32"/>
          <w:szCs w:val="32"/>
        </w:rPr>
      </w:pPr>
    </w:p>
    <w:p w14:paraId="4A4E3CA3">
      <w:pPr>
        <w:spacing w:before="156" w:beforeLines="50" w:line="560" w:lineRule="exact"/>
        <w:jc w:val="center"/>
        <w:rPr>
          <w:rFonts w:ascii="仿宋_GB2312" w:hAnsi="仿宋_GB2312" w:eastAsia="仿宋_GB2312" w:cs="仿宋_GB2312"/>
          <w:b/>
          <w:color w:val="000000"/>
          <w:sz w:val="32"/>
          <w:szCs w:val="32"/>
        </w:rPr>
      </w:pPr>
      <w:bookmarkStart w:id="410" w:name="_Toc17697_WPSOffice_Level3"/>
      <w:r>
        <w:rPr>
          <w:rFonts w:hint="eastAsia" w:ascii="仿宋_GB2312" w:hAnsi="仿宋_GB2312" w:eastAsia="仿宋_GB2312" w:cs="仿宋_GB2312"/>
          <w:b/>
          <w:color w:val="000000"/>
          <w:sz w:val="32"/>
          <w:szCs w:val="32"/>
        </w:rPr>
        <w:t>年  月  日</w:t>
      </w:r>
      <w:bookmarkEnd w:id="410"/>
    </w:p>
    <w:p w14:paraId="172DAFBB">
      <w:pPr>
        <w:widowControl/>
        <w:snapToGrid w:val="0"/>
        <w:spacing w:before="156" w:beforeLines="50" w:line="560" w:lineRule="exact"/>
        <w:rPr>
          <w:rFonts w:ascii="宋体"/>
          <w:b/>
          <w:color w:val="000000"/>
          <w:sz w:val="28"/>
          <w:szCs w:val="28"/>
        </w:rPr>
      </w:pPr>
    </w:p>
    <w:p w14:paraId="63685425">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宋体"/>
          <w:b/>
          <w:color w:val="000000"/>
          <w:sz w:val="36"/>
          <w:szCs w:val="36"/>
        </w:rPr>
      </w:pPr>
      <w:r>
        <w:rPr>
          <w:rFonts w:ascii="宋体"/>
          <w:b/>
          <w:color w:val="000000"/>
          <w:sz w:val="28"/>
          <w:szCs w:val="28"/>
        </w:rPr>
        <w:br w:type="page"/>
      </w:r>
      <w:bookmarkStart w:id="411" w:name="_Toc3360"/>
      <w:bookmarkStart w:id="412" w:name="_Toc28116"/>
      <w:bookmarkStart w:id="413" w:name="_Toc24461"/>
      <w:bookmarkStart w:id="414" w:name="_Toc2646_WPSOffice_Level3"/>
      <w:bookmarkStart w:id="415" w:name="_Toc18715"/>
      <w:bookmarkStart w:id="416" w:name="_Toc13416_WPSOffice_Level3"/>
      <w:r>
        <w:rPr>
          <w:rFonts w:hint="eastAsia" w:ascii="楷体_GB2312" w:hAnsi="楷体_GB2312" w:eastAsia="楷体_GB2312" w:cs="楷体_GB2312"/>
          <w:b/>
          <w:color w:val="000000"/>
          <w:sz w:val="32"/>
          <w:szCs w:val="32"/>
        </w:rPr>
        <w:t>附件10：谈判首次报价表</w:t>
      </w:r>
      <w:bookmarkEnd w:id="411"/>
      <w:bookmarkEnd w:id="412"/>
      <w:bookmarkEnd w:id="413"/>
      <w:bookmarkEnd w:id="414"/>
      <w:bookmarkEnd w:id="415"/>
      <w:bookmarkEnd w:id="416"/>
    </w:p>
    <w:p w14:paraId="7B23815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color w:val="000000"/>
          <w:sz w:val="28"/>
          <w:szCs w:val="28"/>
          <w:lang w:val="zh-CN"/>
        </w:rPr>
      </w:pPr>
      <w:bookmarkStart w:id="417" w:name="_Toc8724_WPSOffice_Level1"/>
      <w:bookmarkStart w:id="418" w:name="_Toc17115_WPSOffice_Level3"/>
      <w:bookmarkStart w:id="419" w:name="_Toc17322_WPSOffice_Level1"/>
      <w:r>
        <w:rPr>
          <w:rFonts w:hint="eastAsia" w:ascii="仿宋_GB2312" w:hAnsi="仿宋_GB2312" w:eastAsia="仿宋_GB2312" w:cs="仿宋_GB2312"/>
          <w:b/>
          <w:color w:val="000000"/>
          <w:sz w:val="28"/>
          <w:szCs w:val="28"/>
          <w:lang w:val="zh-CN"/>
        </w:rPr>
        <w:t>谈判首次报价表</w:t>
      </w:r>
      <w:bookmarkEnd w:id="417"/>
      <w:bookmarkEnd w:id="418"/>
      <w:bookmarkEnd w:id="419"/>
    </w:p>
    <w:p w14:paraId="5AFB01C3">
      <w:pPr>
        <w:spacing w:line="560" w:lineRule="exact"/>
        <w:rPr>
          <w:rFonts w:ascii="仿宋_GB2312" w:hAnsi="仿宋_GB2312" w:eastAsia="仿宋_GB2312" w:cs="仿宋_GB2312"/>
          <w:bCs/>
          <w:color w:val="000000"/>
          <w:sz w:val="24"/>
          <w:szCs w:val="24"/>
        </w:rPr>
      </w:pPr>
      <w:bookmarkStart w:id="420" w:name="_Toc14507_WPSOffice_Level2"/>
      <w:r>
        <w:rPr>
          <w:rFonts w:hint="eastAsia" w:ascii="仿宋_GB2312" w:hAnsi="仿宋_GB2312" w:eastAsia="仿宋_GB2312" w:cs="仿宋_GB2312"/>
          <w:bCs/>
          <w:color w:val="000000"/>
          <w:sz w:val="24"/>
          <w:szCs w:val="24"/>
        </w:rPr>
        <w:t>供应商名称：</w:t>
      </w:r>
      <w:bookmarkEnd w:id="420"/>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单位：人民币(元)</w:t>
      </w:r>
    </w:p>
    <w:tbl>
      <w:tblPr>
        <w:tblStyle w:val="1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55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EE5A552">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项目名称</w:t>
            </w:r>
          </w:p>
        </w:tc>
        <w:tc>
          <w:tcPr>
            <w:tcW w:w="2717" w:type="dxa"/>
            <w:vAlign w:val="center"/>
          </w:tcPr>
          <w:p w14:paraId="45640438">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首次报价</w:t>
            </w:r>
          </w:p>
        </w:tc>
        <w:tc>
          <w:tcPr>
            <w:tcW w:w="2670" w:type="dxa"/>
            <w:vAlign w:val="center"/>
          </w:tcPr>
          <w:p w14:paraId="33C1F83C">
            <w:pPr>
              <w:keepNext w:val="0"/>
              <w:keepLines w:val="0"/>
              <w:suppressLineNumbers w:val="0"/>
              <w:adjustRightInd w:val="0"/>
              <w:spacing w:before="0" w:beforeAutospacing="0" w:after="0" w:afterAutospacing="0" w:line="560" w:lineRule="exact"/>
              <w:ind w:left="0" w:right="0" w:firstLine="120" w:firstLineChars="5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合同履约期限</w:t>
            </w:r>
          </w:p>
        </w:tc>
        <w:tc>
          <w:tcPr>
            <w:tcW w:w="1560" w:type="dxa"/>
            <w:vAlign w:val="center"/>
          </w:tcPr>
          <w:p w14:paraId="39F439C3">
            <w:pPr>
              <w:keepNext w:val="0"/>
              <w:keepLines w:val="0"/>
              <w:suppressLineNumbers w:val="0"/>
              <w:adjustRightInd w:val="0"/>
              <w:spacing w:before="0" w:beforeAutospacing="0" w:after="0" w:afterAutospacing="0" w:line="560" w:lineRule="exact"/>
              <w:ind w:left="274" w:leftChars="16" w:right="0" w:hanging="240" w:hangingChars="100"/>
              <w:jc w:val="center"/>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备注</w:t>
            </w:r>
          </w:p>
        </w:tc>
      </w:tr>
      <w:tr w14:paraId="7DD9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3B76EED6">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4BABDE99">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大写：</w:t>
            </w:r>
          </w:p>
        </w:tc>
        <w:tc>
          <w:tcPr>
            <w:tcW w:w="2670" w:type="dxa"/>
            <w:vMerge w:val="restart"/>
          </w:tcPr>
          <w:p w14:paraId="2999E620">
            <w:pPr>
              <w:keepNext w:val="0"/>
              <w:keepLines w:val="0"/>
              <w:suppressLineNumbers w:val="0"/>
              <w:adjustRightInd w:val="0"/>
              <w:spacing w:before="0" w:beforeAutospacing="0" w:after="0" w:afterAutospacing="0" w:line="560" w:lineRule="exact"/>
              <w:ind w:left="0" w:right="0" w:firstLine="196" w:firstLineChars="82"/>
              <w:jc w:val="center"/>
              <w:textAlignment w:val="baseline"/>
              <w:rPr>
                <w:rFonts w:hint="default" w:ascii="仿宋_GB2312" w:hAnsi="仿宋_GB2312" w:eastAsia="仿宋_GB2312" w:cs="仿宋_GB2312"/>
                <w:bCs/>
                <w:color w:val="000000"/>
                <w:sz w:val="24"/>
                <w:szCs w:val="24"/>
              </w:rPr>
            </w:pPr>
          </w:p>
        </w:tc>
        <w:tc>
          <w:tcPr>
            <w:tcW w:w="1560" w:type="dxa"/>
            <w:vMerge w:val="restart"/>
          </w:tcPr>
          <w:p w14:paraId="23C5547D">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54D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74C91A35">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2717" w:type="dxa"/>
          </w:tcPr>
          <w:p w14:paraId="5E361987">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小写：</w:t>
            </w:r>
          </w:p>
        </w:tc>
        <w:tc>
          <w:tcPr>
            <w:tcW w:w="2670" w:type="dxa"/>
            <w:vMerge w:val="continue"/>
          </w:tcPr>
          <w:p w14:paraId="2794CFAB">
            <w:pPr>
              <w:keepNext w:val="0"/>
              <w:keepLines w:val="0"/>
              <w:suppressLineNumbers w:val="0"/>
              <w:adjustRightInd w:val="0"/>
              <w:spacing w:before="0" w:beforeAutospacing="0" w:after="0" w:afterAutospacing="0" w:line="560" w:lineRule="exact"/>
              <w:ind w:left="0" w:right="0" w:firstLine="480" w:firstLineChars="200"/>
              <w:jc w:val="center"/>
              <w:textAlignment w:val="baseline"/>
              <w:rPr>
                <w:rFonts w:hint="default" w:ascii="仿宋_GB2312" w:hAnsi="仿宋_GB2312" w:eastAsia="仿宋_GB2312" w:cs="仿宋_GB2312"/>
                <w:bCs/>
                <w:color w:val="000000"/>
                <w:sz w:val="24"/>
                <w:szCs w:val="24"/>
              </w:rPr>
            </w:pPr>
          </w:p>
        </w:tc>
        <w:tc>
          <w:tcPr>
            <w:tcW w:w="1560" w:type="dxa"/>
            <w:vMerge w:val="continue"/>
          </w:tcPr>
          <w:p w14:paraId="74BD5FE7">
            <w:pPr>
              <w:keepNext w:val="0"/>
              <w:keepLines w:val="0"/>
              <w:suppressLineNumbers w:val="0"/>
              <w:adjustRightInd w:val="0"/>
              <w:spacing w:before="0" w:beforeAutospacing="0" w:after="0" w:afterAutospacing="0" w:line="560" w:lineRule="exact"/>
              <w:ind w:left="0" w:right="0"/>
              <w:jc w:val="center"/>
              <w:textAlignment w:val="baseline"/>
              <w:rPr>
                <w:rFonts w:hint="default" w:ascii="仿宋_GB2312" w:hAnsi="仿宋_GB2312" w:eastAsia="仿宋_GB2312" w:cs="仿宋_GB2312"/>
                <w:bCs/>
                <w:color w:val="000000"/>
                <w:sz w:val="24"/>
                <w:szCs w:val="24"/>
              </w:rPr>
            </w:pPr>
          </w:p>
        </w:tc>
      </w:tr>
      <w:tr w14:paraId="0F73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42117604">
            <w:pPr>
              <w:keepNext w:val="0"/>
              <w:keepLines w:val="0"/>
              <w:suppressLineNumbers w:val="0"/>
              <w:adjustRightInd w:val="0"/>
              <w:spacing w:before="0" w:beforeAutospacing="0" w:after="0" w:afterAutospacing="0" w:line="560" w:lineRule="exact"/>
              <w:ind w:left="0" w:right="0"/>
              <w:jc w:val="both"/>
              <w:textAlignment w:val="baseline"/>
              <w:rPr>
                <w:rFonts w:hint="default"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其他承诺及需要说明的事项：</w:t>
            </w:r>
          </w:p>
        </w:tc>
      </w:tr>
    </w:tbl>
    <w:p w14:paraId="697206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注：1、填写此表时不得改变表格形式。</w:t>
      </w:r>
    </w:p>
    <w:p w14:paraId="563E7F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rPr>
        <w:t>2、响应文件报价为总价。包</w:t>
      </w:r>
      <w:r>
        <w:rPr>
          <w:rFonts w:hint="eastAsia" w:ascii="仿宋_GB2312" w:hAnsi="仿宋_GB2312" w:eastAsia="仿宋_GB2312" w:cs="仿宋_GB2312"/>
          <w:color w:val="000000"/>
          <w:sz w:val="24"/>
          <w:szCs w:val="24"/>
          <w:highlight w:val="none"/>
        </w:rPr>
        <w:t>括</w:t>
      </w:r>
      <w:r>
        <w:rPr>
          <w:rFonts w:hint="eastAsia" w:ascii="仿宋_GB2312" w:hAnsi="仿宋_GB2312" w:eastAsia="仿宋_GB2312" w:cs="仿宋_GB2312"/>
          <w:color w:val="000000"/>
          <w:sz w:val="24"/>
          <w:szCs w:val="24"/>
          <w:highlight w:val="none"/>
          <w:u w:val="none"/>
          <w:lang w:val="en-US" w:eastAsia="zh-CN"/>
        </w:rPr>
        <w:t>货物费</w:t>
      </w:r>
      <w:r>
        <w:rPr>
          <w:rFonts w:hint="eastAsia" w:ascii="仿宋_GB2312" w:hAnsi="仿宋_GB2312" w:eastAsia="仿宋_GB2312" w:cs="仿宋_GB2312"/>
          <w:color w:val="000000"/>
          <w:sz w:val="24"/>
          <w:szCs w:val="24"/>
          <w:highlight w:val="none"/>
          <w:u w:val="none"/>
        </w:rPr>
        <w:t>、</w:t>
      </w:r>
      <w:r>
        <w:rPr>
          <w:rFonts w:hint="eastAsia" w:ascii="仿宋_GB2312" w:hAnsi="仿宋_GB2312" w:eastAsia="仿宋_GB2312" w:cs="仿宋_GB2312"/>
          <w:color w:val="000000"/>
          <w:sz w:val="24"/>
          <w:szCs w:val="24"/>
          <w:highlight w:val="none"/>
          <w:u w:val="none"/>
          <w:lang w:val="en-US" w:eastAsia="zh-CN"/>
        </w:rPr>
        <w:t>运输费</w:t>
      </w:r>
      <w:r>
        <w:rPr>
          <w:rFonts w:hint="eastAsia" w:ascii="仿宋_GB2312" w:hAnsi="仿宋_GB2312" w:eastAsia="仿宋_GB2312" w:cs="仿宋_GB2312"/>
          <w:color w:val="000000"/>
          <w:sz w:val="24"/>
          <w:szCs w:val="24"/>
          <w:highlight w:val="none"/>
          <w:u w:val="none"/>
        </w:rPr>
        <w:t>、车辆购置税、车辆保险、上牌费、税金及其他不可预见费等全部费用。</w:t>
      </w:r>
    </w:p>
    <w:p w14:paraId="3080FA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hAnsi="仿宋_GB2312" w:eastAsia="仿宋_GB2312" w:cs="仿宋_GB2312"/>
          <w:bCs/>
          <w:color w:val="000000"/>
          <w:sz w:val="24"/>
          <w:szCs w:val="24"/>
          <w:lang w:val="en-US" w:eastAsia="zh-CN"/>
        </w:rPr>
      </w:pPr>
      <w:bookmarkStart w:id="421" w:name="_Toc27526_WPSOffice_Level3"/>
      <w:bookmarkStart w:id="422" w:name="_Toc11022_WPSOffice_Level3"/>
      <w:r>
        <w:rPr>
          <w:rFonts w:hint="eastAsia" w:ascii="仿宋_GB2312" w:hAnsi="仿宋_GB2312" w:eastAsia="仿宋_GB2312" w:cs="仿宋_GB2312"/>
          <w:bCs/>
          <w:color w:val="000000"/>
          <w:sz w:val="24"/>
          <w:szCs w:val="24"/>
          <w:lang w:val="en-US" w:eastAsia="zh-CN"/>
        </w:rPr>
        <w:t xml:space="preserve">          </w:t>
      </w:r>
    </w:p>
    <w:p w14:paraId="72AAFDC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仿宋_GB2312" w:eastAsia="仿宋_GB2312" w:cs="仿宋_GB2312"/>
          <w:bCs/>
          <w:color w:val="000000"/>
          <w:sz w:val="24"/>
          <w:szCs w:val="24"/>
          <w:lang w:val="en-US" w:eastAsia="zh-CN"/>
        </w:rPr>
        <w:t xml:space="preserve">                             </w:t>
      </w:r>
      <w:bookmarkEnd w:id="421"/>
      <w:bookmarkEnd w:id="422"/>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00F88F5">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09B8F487">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3FEC5691">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557E65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仿宋_GB2312" w:hAnsi="仿宋_GB2312" w:eastAsia="仿宋_GB2312" w:cs="仿宋_GB2312"/>
          <w:bCs/>
          <w:color w:val="000000"/>
          <w:sz w:val="32"/>
          <w:szCs w:val="32"/>
        </w:rPr>
      </w:pPr>
    </w:p>
    <w:p w14:paraId="10FD37F4">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r>
        <w:rPr>
          <w:rFonts w:ascii="宋体"/>
          <w:b/>
          <w:color w:val="000000"/>
          <w:sz w:val="28"/>
          <w:szCs w:val="28"/>
        </w:rPr>
        <w:br w:type="page"/>
      </w:r>
      <w:bookmarkStart w:id="423" w:name="_Toc3352_WPSOffice_Level3"/>
      <w:bookmarkStart w:id="424" w:name="_Toc13192"/>
      <w:bookmarkStart w:id="425" w:name="_Toc31202"/>
      <w:bookmarkStart w:id="426" w:name="_Toc18712"/>
      <w:bookmarkStart w:id="427" w:name="_Toc18824_WPSOffice_Level3"/>
      <w:bookmarkStart w:id="428" w:name="_Toc7532"/>
      <w:r>
        <w:rPr>
          <w:rFonts w:hint="eastAsia" w:ascii="楷体_GB2312" w:hAnsi="楷体_GB2312" w:eastAsia="楷体_GB2312" w:cs="楷体_GB2312"/>
          <w:b/>
          <w:color w:val="000000"/>
          <w:sz w:val="32"/>
          <w:szCs w:val="32"/>
        </w:rPr>
        <w:t>附件11：</w:t>
      </w:r>
      <w:bookmarkEnd w:id="423"/>
      <w:bookmarkEnd w:id="424"/>
      <w:bookmarkEnd w:id="425"/>
      <w:bookmarkEnd w:id="426"/>
      <w:bookmarkEnd w:id="427"/>
      <w:bookmarkEnd w:id="428"/>
      <w:r>
        <w:rPr>
          <w:rFonts w:hint="eastAsia" w:ascii="楷体_GB2312" w:hAnsi="楷体_GB2312" w:eastAsia="楷体_GB2312" w:cs="楷体_GB2312"/>
          <w:b/>
          <w:color w:val="000000"/>
          <w:sz w:val="32"/>
          <w:szCs w:val="32"/>
          <w:lang w:val="en-US" w:eastAsia="zh-CN"/>
        </w:rPr>
        <w:t>分项报价表</w:t>
      </w:r>
    </w:p>
    <w:p w14:paraId="50EA4C9A">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p>
    <w:p w14:paraId="34442D3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lang w:val="en-US" w:eastAsia="zh-CN"/>
        </w:rPr>
      </w:pPr>
    </w:p>
    <w:p w14:paraId="37928FD4">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 供应商名称：                                       单位：人民币(元)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36"/>
        <w:gridCol w:w="1653"/>
        <w:gridCol w:w="1212"/>
        <w:gridCol w:w="1148"/>
        <w:gridCol w:w="1678"/>
        <w:gridCol w:w="715"/>
        <w:gridCol w:w="841"/>
        <w:gridCol w:w="1230"/>
      </w:tblGrid>
      <w:tr w14:paraId="3152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8" w:space="0"/>
              <w:left w:val="single" w:color="000000" w:sz="8" w:space="0"/>
              <w:bottom w:val="single" w:color="000000" w:sz="6" w:space="0"/>
              <w:right w:val="single" w:color="000000" w:sz="6" w:space="0"/>
            </w:tcBorders>
            <w:shd w:val="clear" w:color="auto" w:fill="auto"/>
            <w:vAlign w:val="center"/>
          </w:tcPr>
          <w:p w14:paraId="5943657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653" w:type="dxa"/>
            <w:tcBorders>
              <w:top w:val="single" w:color="000000" w:sz="8" w:space="0"/>
              <w:left w:val="nil"/>
              <w:bottom w:val="single" w:color="000000" w:sz="6" w:space="0"/>
              <w:right w:val="single" w:color="auto" w:sz="4" w:space="0"/>
            </w:tcBorders>
            <w:shd w:val="clear" w:color="auto" w:fill="auto"/>
            <w:vAlign w:val="center"/>
          </w:tcPr>
          <w:p w14:paraId="23FE8D2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产品名称</w:t>
            </w:r>
          </w:p>
        </w:tc>
        <w:tc>
          <w:tcPr>
            <w:tcW w:w="1212" w:type="dxa"/>
            <w:tcBorders>
              <w:top w:val="single" w:color="000000" w:sz="8" w:space="0"/>
              <w:left w:val="nil"/>
              <w:bottom w:val="single" w:color="000000" w:sz="6" w:space="0"/>
              <w:right w:val="single" w:color="000000" w:sz="6" w:space="0"/>
            </w:tcBorders>
            <w:shd w:val="clear" w:color="auto" w:fill="auto"/>
            <w:vAlign w:val="center"/>
          </w:tcPr>
          <w:p w14:paraId="785B259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规格</w:t>
            </w:r>
          </w:p>
        </w:tc>
        <w:tc>
          <w:tcPr>
            <w:tcW w:w="1148" w:type="dxa"/>
            <w:tcBorders>
              <w:top w:val="single" w:color="000000" w:sz="8" w:space="0"/>
              <w:left w:val="nil"/>
              <w:bottom w:val="single" w:color="000000" w:sz="6" w:space="0"/>
              <w:right w:val="single" w:color="000000" w:sz="6" w:space="0"/>
            </w:tcBorders>
            <w:shd w:val="clear" w:color="auto" w:fill="auto"/>
            <w:vAlign w:val="center"/>
          </w:tcPr>
          <w:p w14:paraId="4F8815C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生产厂家</w:t>
            </w:r>
          </w:p>
        </w:tc>
        <w:tc>
          <w:tcPr>
            <w:tcW w:w="1678" w:type="dxa"/>
            <w:tcBorders>
              <w:top w:val="single" w:color="000000" w:sz="8" w:space="0"/>
              <w:left w:val="nil"/>
              <w:bottom w:val="single" w:color="000000" w:sz="6" w:space="0"/>
              <w:right w:val="single" w:color="000000" w:sz="6" w:space="0"/>
            </w:tcBorders>
            <w:shd w:val="clear" w:color="auto" w:fill="auto"/>
            <w:vAlign w:val="center"/>
          </w:tcPr>
          <w:p w14:paraId="5A12446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数量及单位</w:t>
            </w:r>
          </w:p>
        </w:tc>
        <w:tc>
          <w:tcPr>
            <w:tcW w:w="715" w:type="dxa"/>
            <w:tcBorders>
              <w:top w:val="single" w:color="000000" w:sz="8" w:space="0"/>
              <w:left w:val="nil"/>
              <w:bottom w:val="single" w:color="000000" w:sz="6" w:space="0"/>
              <w:right w:val="single" w:color="000000" w:sz="6" w:space="0"/>
            </w:tcBorders>
            <w:shd w:val="clear" w:color="auto" w:fill="auto"/>
            <w:vAlign w:val="center"/>
          </w:tcPr>
          <w:p w14:paraId="13DBCC8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单价</w:t>
            </w:r>
          </w:p>
        </w:tc>
        <w:tc>
          <w:tcPr>
            <w:tcW w:w="841" w:type="dxa"/>
            <w:tcBorders>
              <w:top w:val="single" w:color="000000" w:sz="8" w:space="0"/>
              <w:left w:val="nil"/>
              <w:bottom w:val="single" w:color="000000" w:sz="6" w:space="0"/>
              <w:right w:val="single" w:color="000000" w:sz="6" w:space="0"/>
            </w:tcBorders>
            <w:shd w:val="clear" w:color="auto" w:fill="auto"/>
            <w:vAlign w:val="center"/>
          </w:tcPr>
          <w:p w14:paraId="34330FF4">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合计</w:t>
            </w:r>
          </w:p>
        </w:tc>
        <w:tc>
          <w:tcPr>
            <w:tcW w:w="1230" w:type="dxa"/>
            <w:tcBorders>
              <w:top w:val="single" w:color="000000" w:sz="8" w:space="0"/>
              <w:left w:val="nil"/>
              <w:bottom w:val="single" w:color="000000" w:sz="6" w:space="0"/>
              <w:right w:val="single" w:color="000000" w:sz="8" w:space="0"/>
            </w:tcBorders>
            <w:shd w:val="clear" w:color="auto" w:fill="auto"/>
            <w:vAlign w:val="center"/>
          </w:tcPr>
          <w:p w14:paraId="11584CA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备注</w:t>
            </w:r>
          </w:p>
        </w:tc>
      </w:tr>
      <w:tr w14:paraId="1C5A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AB7C59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124812F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7B7E3D2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A2949ED">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580768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3E1871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445A531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2C5701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4FDC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0345EB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64DE472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9D3E0D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2BC89DB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6F6AA37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4617D51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938AC0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8D8213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51B1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584C122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3</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24AD87F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76D5A06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1CCFEB6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63D29F4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4A431D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1660A5B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55F949A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597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BB5140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4</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311A935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186B705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3C79B78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112558F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BAD2BD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7965DD74">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69B855E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195F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5124F86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70CA39A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060DECD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7E691D5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1A8DF2D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7D56475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803086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7AA8702D">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889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 w:hRule="atLeast"/>
          <w:jc w:val="center"/>
        </w:trPr>
        <w:tc>
          <w:tcPr>
            <w:tcW w:w="228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2F02C67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总价</w:t>
            </w:r>
          </w:p>
        </w:tc>
        <w:tc>
          <w:tcPr>
            <w:tcW w:w="6824" w:type="dxa"/>
            <w:gridSpan w:val="6"/>
            <w:tcBorders>
              <w:top w:val="single" w:color="000000" w:sz="6" w:space="0"/>
              <w:left w:val="nil"/>
              <w:bottom w:val="single" w:color="000000" w:sz="8" w:space="0"/>
              <w:right w:val="single" w:color="000000" w:sz="8" w:space="0"/>
            </w:tcBorders>
            <w:shd w:val="clear" w:color="auto" w:fill="auto"/>
            <w:vAlign w:val="center"/>
          </w:tcPr>
          <w:p w14:paraId="4925F1A9">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大写：</w:t>
            </w:r>
          </w:p>
          <w:p w14:paraId="5513208F">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小写：</w:t>
            </w:r>
          </w:p>
        </w:tc>
      </w:tr>
    </w:tbl>
    <w:p w14:paraId="197D4A92">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注：1.本表应依照每包采购一览表中的产品序号按顺序逐项填写，不得遗漏。</w:t>
      </w:r>
    </w:p>
    <w:p w14:paraId="151FF78E">
      <w:pPr>
        <w:keepNext w:val="0"/>
        <w:keepLines w:val="0"/>
        <w:widowControl w:val="0"/>
        <w:suppressLineNumbers w:val="0"/>
        <w:suppressAutoHyphens/>
        <w:spacing w:before="0" w:beforeAutospacing="0" w:after="0" w:afterAutospacing="0"/>
        <w:ind w:left="0" w:right="0"/>
        <w:jc w:val="both"/>
        <w:rPr>
          <w:rFonts w:hint="eastAsia" w:ascii="仿宋" w:hAnsi="仿宋" w:eastAsia="仿宋" w:cs="仿宋"/>
        </w:rPr>
      </w:pPr>
      <w:r>
        <w:rPr>
          <w:rFonts w:hint="eastAsia" w:ascii="仿宋" w:hAnsi="仿宋" w:eastAsia="仿宋" w:cs="仿宋"/>
          <w:kern w:val="0"/>
          <w:sz w:val="24"/>
          <w:szCs w:val="24"/>
          <w:lang w:val="en-US" w:eastAsia="zh-CN" w:bidi="ar"/>
        </w:rPr>
        <w:t xml:space="preserve">    2.投标报价不能有两个或两个以上的报价方案。</w:t>
      </w:r>
    </w:p>
    <w:p w14:paraId="25B3FCE8">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default" w:ascii="楷体_GB2312" w:hAnsi="楷体_GB2312" w:eastAsia="楷体_GB2312" w:cs="楷体_GB2312"/>
          <w:b/>
          <w:color w:val="000000"/>
          <w:sz w:val="32"/>
          <w:szCs w:val="32"/>
          <w:lang w:val="en-US" w:eastAsia="zh-CN"/>
        </w:rPr>
      </w:pPr>
    </w:p>
    <w:p w14:paraId="02570E3B">
      <w:pPr>
        <w:spacing w:line="560" w:lineRule="exact"/>
        <w:ind w:firstLine="640" w:firstLineChars="200"/>
        <w:jc w:val="center"/>
        <w:rPr>
          <w:rFonts w:ascii="仿宋_GB2312" w:hAnsi="仿宋_GB2312" w:eastAsia="仿宋_GB2312" w:cs="仿宋_GB2312"/>
          <w:bCs/>
          <w:color w:val="000000"/>
          <w:sz w:val="32"/>
          <w:szCs w:val="32"/>
        </w:rPr>
      </w:pPr>
      <w:bookmarkStart w:id="429" w:name="_Toc698"/>
    </w:p>
    <w:p w14:paraId="55A065DC">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5654A902">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1CE8DE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AD17E80">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3F78BDBC">
      <w:pPr>
        <w:widowControl/>
        <w:snapToGrid w:val="0"/>
        <w:spacing w:before="156" w:beforeLines="50" w:line="560" w:lineRule="exact"/>
        <w:outlineLvl w:val="1"/>
        <w:rPr>
          <w:rFonts w:ascii="宋体" w:hAnsi="宋体"/>
          <w:b/>
          <w:color w:val="000000"/>
          <w:sz w:val="24"/>
        </w:rPr>
      </w:pPr>
    </w:p>
    <w:p w14:paraId="721958FE">
      <w:pPr>
        <w:widowControl/>
        <w:snapToGrid w:val="0"/>
        <w:spacing w:before="156" w:beforeLines="50" w:line="560" w:lineRule="exact"/>
        <w:outlineLvl w:val="1"/>
        <w:rPr>
          <w:rFonts w:ascii="仿宋_GB2312" w:hAnsi="仿宋_GB2312" w:eastAsia="仿宋_GB2312" w:cs="仿宋_GB2312"/>
          <w:b/>
          <w:color w:val="000000"/>
          <w:sz w:val="30"/>
          <w:szCs w:val="30"/>
        </w:rPr>
      </w:pPr>
      <w:bookmarkStart w:id="430" w:name="_Toc13098_WPSOffice_Level3"/>
      <w:bookmarkStart w:id="431" w:name="_Toc20734"/>
    </w:p>
    <w:p w14:paraId="002DEDA2">
      <w:pPr>
        <w:widowControl/>
        <w:snapToGrid w:val="0"/>
        <w:spacing w:before="156" w:beforeLines="50" w:line="560" w:lineRule="exact"/>
        <w:outlineLvl w:val="1"/>
        <w:rPr>
          <w:rFonts w:ascii="仿宋_GB2312" w:hAnsi="仿宋_GB2312" w:eastAsia="仿宋_GB2312" w:cs="仿宋_GB2312"/>
          <w:b/>
          <w:color w:val="000000"/>
          <w:sz w:val="30"/>
          <w:szCs w:val="30"/>
        </w:rPr>
      </w:pPr>
    </w:p>
    <w:p w14:paraId="23861D50">
      <w:pPr>
        <w:widowControl/>
        <w:snapToGrid w:val="0"/>
        <w:spacing w:before="156" w:beforeLines="50" w:line="560" w:lineRule="exact"/>
        <w:outlineLvl w:val="1"/>
        <w:rPr>
          <w:rFonts w:ascii="仿宋_GB2312" w:hAnsi="仿宋_GB2312" w:eastAsia="仿宋_GB2312" w:cs="仿宋_GB2312"/>
          <w:b/>
          <w:color w:val="000000"/>
          <w:sz w:val="30"/>
          <w:szCs w:val="30"/>
        </w:rPr>
      </w:pPr>
    </w:p>
    <w:p w14:paraId="7D494F10">
      <w:pPr>
        <w:widowControl/>
        <w:snapToGrid w:val="0"/>
        <w:spacing w:before="156" w:beforeLines="50" w:line="560" w:lineRule="exact"/>
        <w:outlineLvl w:val="1"/>
        <w:rPr>
          <w:rFonts w:ascii="仿宋_GB2312" w:hAnsi="仿宋_GB2312" w:eastAsia="仿宋_GB2312" w:cs="仿宋_GB2312"/>
          <w:b/>
          <w:color w:val="000000"/>
          <w:sz w:val="30"/>
          <w:szCs w:val="30"/>
        </w:rPr>
      </w:pPr>
    </w:p>
    <w:p w14:paraId="01418CEB">
      <w:pPr>
        <w:keepNext w:val="0"/>
        <w:keepLines w:val="0"/>
        <w:widowControl w:val="0"/>
        <w:suppressLineNumbers w:val="0"/>
        <w:spacing w:before="0" w:beforeAutospacing="0" w:after="0" w:afterAutospacing="0"/>
        <w:ind w:left="0" w:right="0"/>
        <w:jc w:val="both"/>
        <w:rPr>
          <w:rFonts w:hint="eastAsia" w:ascii="楷体_GB2312" w:hAnsi="Times New Roman" w:eastAsia="楷体_GB2312" w:cs="楷体_GB2312"/>
          <w:b/>
          <w:bCs w:val="0"/>
          <w:color w:val="000000"/>
          <w:kern w:val="2"/>
          <w:sz w:val="32"/>
          <w:szCs w:val="32"/>
          <w:lang w:val="en-US" w:eastAsia="zh-CN" w:bidi="ar"/>
        </w:rPr>
      </w:pPr>
      <w:r>
        <w:rPr>
          <w:rFonts w:hint="default" w:ascii="楷体_GB2312" w:hAnsi="Times New Roman" w:eastAsia="楷体_GB2312" w:cs="楷体_GB2312"/>
          <w:b/>
          <w:bCs w:val="0"/>
          <w:color w:val="000000"/>
          <w:kern w:val="2"/>
          <w:sz w:val="32"/>
          <w:szCs w:val="32"/>
          <w:lang w:val="en-US" w:eastAsia="zh-CN" w:bidi="ar"/>
        </w:rPr>
        <w:t>附件1</w:t>
      </w:r>
      <w:r>
        <w:rPr>
          <w:rFonts w:hint="eastAsia" w:ascii="楷体_GB2312" w:hAnsi="Times New Roman" w:eastAsia="楷体_GB2312" w:cs="楷体_GB2312"/>
          <w:b/>
          <w:bCs w:val="0"/>
          <w:color w:val="000000"/>
          <w:kern w:val="2"/>
          <w:sz w:val="32"/>
          <w:szCs w:val="32"/>
          <w:lang w:val="en-US" w:eastAsia="zh-CN" w:bidi="ar"/>
        </w:rPr>
        <w:t>2</w:t>
      </w:r>
      <w:r>
        <w:rPr>
          <w:rFonts w:hint="default" w:ascii="楷体_GB2312" w:hAnsi="Times New Roman" w:eastAsia="楷体_GB2312" w:cs="楷体_GB2312"/>
          <w:b/>
          <w:bCs w:val="0"/>
          <w:color w:val="000000"/>
          <w:kern w:val="2"/>
          <w:sz w:val="32"/>
          <w:szCs w:val="32"/>
          <w:lang w:val="en-US" w:eastAsia="zh-CN" w:bidi="ar"/>
        </w:rPr>
        <w:t>：</w:t>
      </w:r>
      <w:r>
        <w:rPr>
          <w:rFonts w:hint="eastAsia" w:ascii="楷体_GB2312" w:hAnsi="Times New Roman" w:eastAsia="楷体_GB2312" w:cs="楷体_GB2312"/>
          <w:b/>
          <w:bCs w:val="0"/>
          <w:color w:val="000000"/>
          <w:kern w:val="2"/>
          <w:sz w:val="32"/>
          <w:szCs w:val="32"/>
          <w:lang w:val="en-US" w:eastAsia="zh-CN" w:bidi="ar"/>
        </w:rPr>
        <w:t>技术规格响应表</w:t>
      </w:r>
    </w:p>
    <w:p w14:paraId="5F16DC71">
      <w:pPr>
        <w:keepNext w:val="0"/>
        <w:keepLines w:val="0"/>
        <w:widowControl w:val="0"/>
        <w:suppressLineNumbers w:val="0"/>
        <w:spacing w:before="0" w:beforeAutospacing="0" w:after="0" w:afterAutospacing="0"/>
        <w:ind w:left="0" w:right="0"/>
        <w:jc w:val="both"/>
        <w:rPr>
          <w:rFonts w:hint="eastAsia" w:ascii="楷体_GB2312" w:hAnsi="Times New Roman" w:eastAsia="楷体_GB2312" w:cs="楷体_GB2312"/>
          <w:b/>
          <w:bCs w:val="0"/>
          <w:color w:val="000000"/>
          <w:kern w:val="2"/>
          <w:sz w:val="32"/>
          <w:szCs w:val="32"/>
          <w:lang w:val="en-US" w:eastAsia="zh-CN" w:bidi="ar"/>
        </w:rPr>
      </w:pPr>
    </w:p>
    <w:p w14:paraId="4859D8A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p>
    <w:p w14:paraId="6F6B5478">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    供应商名称：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16"/>
        <w:gridCol w:w="1233"/>
        <w:gridCol w:w="2378"/>
        <w:gridCol w:w="1247"/>
        <w:gridCol w:w="2467"/>
        <w:gridCol w:w="691"/>
      </w:tblGrid>
      <w:tr w14:paraId="29ED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6861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3611" w:type="dxa"/>
            <w:gridSpan w:val="2"/>
            <w:tcBorders>
              <w:top w:val="single" w:color="000000" w:sz="6" w:space="0"/>
              <w:left w:val="nil"/>
              <w:bottom w:val="single" w:color="000000" w:sz="6" w:space="0"/>
              <w:right w:val="single" w:color="000000" w:sz="6" w:space="0"/>
            </w:tcBorders>
            <w:shd w:val="clear" w:color="auto" w:fill="auto"/>
            <w:vAlign w:val="center"/>
          </w:tcPr>
          <w:p w14:paraId="4459F832">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采购需求技术规格、指标</w:t>
            </w:r>
          </w:p>
        </w:tc>
        <w:tc>
          <w:tcPr>
            <w:tcW w:w="3714" w:type="dxa"/>
            <w:gridSpan w:val="2"/>
            <w:tcBorders>
              <w:top w:val="single" w:color="000000" w:sz="6" w:space="0"/>
              <w:left w:val="nil"/>
              <w:bottom w:val="single" w:color="000000" w:sz="6" w:space="0"/>
              <w:right w:val="single" w:color="000000" w:sz="6" w:space="0"/>
            </w:tcBorders>
            <w:shd w:val="clear" w:color="auto" w:fill="auto"/>
            <w:vAlign w:val="center"/>
          </w:tcPr>
          <w:p w14:paraId="4BEEAFD9">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投标产品技术规格、指标</w:t>
            </w:r>
          </w:p>
        </w:tc>
        <w:tc>
          <w:tcPr>
            <w:tcW w:w="691" w:type="dxa"/>
            <w:tcBorders>
              <w:top w:val="single" w:color="000000" w:sz="6" w:space="0"/>
              <w:left w:val="nil"/>
              <w:bottom w:val="single" w:color="000000" w:sz="6" w:space="0"/>
              <w:right w:val="single" w:color="000000" w:sz="6" w:space="0"/>
            </w:tcBorders>
            <w:shd w:val="clear" w:color="auto" w:fill="auto"/>
            <w:vAlign w:val="center"/>
          </w:tcPr>
          <w:p w14:paraId="15D1978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偏离</w:t>
            </w:r>
          </w:p>
        </w:tc>
      </w:tr>
      <w:tr w14:paraId="6E61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28B4F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0148D42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名称</w:t>
            </w: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680C299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技术要求</w:t>
            </w: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484F77D7">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名称</w:t>
            </w: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0A64C43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技术要求</w:t>
            </w:r>
          </w:p>
        </w:tc>
        <w:tc>
          <w:tcPr>
            <w:tcW w:w="691" w:type="dxa"/>
            <w:tcBorders>
              <w:top w:val="single" w:color="000000" w:sz="6" w:space="0"/>
              <w:left w:val="nil"/>
              <w:bottom w:val="single" w:color="000000" w:sz="6" w:space="0"/>
              <w:right w:val="single" w:color="000000" w:sz="6" w:space="0"/>
            </w:tcBorders>
            <w:shd w:val="clear" w:color="auto" w:fill="auto"/>
            <w:vAlign w:val="center"/>
          </w:tcPr>
          <w:p w14:paraId="76AFF9C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BA5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01A2C">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72BC462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7075C29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3AD5F88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7F43FB5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14809CA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4A1B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1AFE1">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294FE07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242D7DC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04D998D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6506420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5C7721F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2EFE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23" w:hRule="atLeast"/>
          <w:jc w:val="center"/>
        </w:trPr>
        <w:tc>
          <w:tcPr>
            <w:tcW w:w="6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CA4E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233" w:type="dxa"/>
            <w:tcBorders>
              <w:top w:val="single" w:color="000000" w:sz="6" w:space="0"/>
              <w:left w:val="nil"/>
              <w:bottom w:val="single" w:color="000000" w:sz="6" w:space="0"/>
              <w:right w:val="single" w:color="000000" w:sz="6" w:space="0"/>
            </w:tcBorders>
            <w:shd w:val="clear" w:color="auto" w:fill="auto"/>
            <w:vAlign w:val="center"/>
          </w:tcPr>
          <w:p w14:paraId="3D5EF79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378" w:type="dxa"/>
            <w:tcBorders>
              <w:top w:val="single" w:color="000000" w:sz="6" w:space="0"/>
              <w:left w:val="nil"/>
              <w:bottom w:val="single" w:color="000000" w:sz="6" w:space="0"/>
              <w:right w:val="single" w:color="000000" w:sz="6" w:space="0"/>
            </w:tcBorders>
            <w:shd w:val="clear" w:color="auto" w:fill="auto"/>
            <w:vAlign w:val="center"/>
          </w:tcPr>
          <w:p w14:paraId="33CEE4C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47" w:type="dxa"/>
            <w:tcBorders>
              <w:top w:val="single" w:color="000000" w:sz="6" w:space="0"/>
              <w:left w:val="nil"/>
              <w:bottom w:val="single" w:color="000000" w:sz="6" w:space="0"/>
              <w:right w:val="single" w:color="000000" w:sz="6" w:space="0"/>
            </w:tcBorders>
            <w:shd w:val="clear" w:color="auto" w:fill="auto"/>
            <w:vAlign w:val="center"/>
          </w:tcPr>
          <w:p w14:paraId="3D112F5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2467" w:type="dxa"/>
            <w:tcBorders>
              <w:top w:val="single" w:color="000000" w:sz="6" w:space="0"/>
              <w:left w:val="nil"/>
              <w:bottom w:val="single" w:color="000000" w:sz="6" w:space="0"/>
              <w:right w:val="single" w:color="000000" w:sz="6" w:space="0"/>
            </w:tcBorders>
            <w:shd w:val="clear" w:color="auto" w:fill="auto"/>
            <w:vAlign w:val="center"/>
          </w:tcPr>
          <w:p w14:paraId="2CAD673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691" w:type="dxa"/>
            <w:tcBorders>
              <w:top w:val="single" w:color="000000" w:sz="6" w:space="0"/>
              <w:left w:val="nil"/>
              <w:bottom w:val="single" w:color="000000" w:sz="6" w:space="0"/>
              <w:right w:val="single" w:color="000000" w:sz="6" w:space="0"/>
            </w:tcBorders>
            <w:shd w:val="clear" w:color="auto" w:fill="auto"/>
            <w:vAlign w:val="center"/>
          </w:tcPr>
          <w:p w14:paraId="54638A7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bl>
    <w:p w14:paraId="585F359E">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
        </w:rPr>
        <w:t>注：</w:t>
      </w:r>
      <w:r>
        <w:rPr>
          <w:rFonts w:hint="eastAsia" w:ascii="仿宋" w:hAnsi="仿宋" w:eastAsia="仿宋" w:cs="仿宋"/>
          <w:kern w:val="0"/>
          <w:sz w:val="24"/>
          <w:szCs w:val="24"/>
          <w:lang w:val="en-US" w:eastAsia="zh-CN" w:bidi="ar"/>
        </w:rPr>
        <w:t>1.本表应按照每包“项目概况及技术参数”中序号的指标逐项填写，不得遗漏。</w:t>
      </w:r>
    </w:p>
    <w:p w14:paraId="2BEF1F38">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投标货物技术规格、指标”必须与响应文件中提供检测报告或标有主要参数的彩页或厂家出具的证明文件相一致。若在评标环节发现该项与响应文件中提供材料的实质性响应情况不一致或直接复制招标文件“采购需求技术规格、指标”内容的，按无效投标处理。</w:t>
      </w:r>
    </w:p>
    <w:p w14:paraId="500DCDC1">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填写此表时以招标项目规格要求为基本投标要求，满足招标项目规格要求的指标需列出“0”；超出、不满足招标项目规格要求的指标需列出“+”、“-”偏差，并做出详细说明；如果只注明“+”、“-”或未填写，将视为该项指标不响应。</w:t>
      </w:r>
    </w:p>
    <w:p w14:paraId="41F95AF8">
      <w:pPr>
        <w:keepNext w:val="0"/>
        <w:keepLines w:val="0"/>
        <w:widowControl w:val="0"/>
        <w:suppressLineNumbers w:val="0"/>
        <w:suppressAutoHyphens/>
        <w:spacing w:before="0" w:beforeAutospacing="0" w:after="0" w:afterAutospacing="0" w:line="360" w:lineRule="auto"/>
        <w:ind w:left="0" w:right="0" w:firstLine="48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4.投标人响应采购需求应具体、明确，含糊不清、不确切或伪造、编造证明材料的，按照实质性不响应处理。对伪造、编造证明材料的，将报送采购监管部门查处。</w:t>
      </w:r>
    </w:p>
    <w:p w14:paraId="21103DA0">
      <w:pPr>
        <w:widowControl/>
        <w:snapToGrid w:val="0"/>
        <w:spacing w:before="156" w:beforeLines="50" w:line="560" w:lineRule="exact"/>
        <w:outlineLvl w:val="1"/>
        <w:rPr>
          <w:rFonts w:ascii="仿宋_GB2312" w:hAnsi="仿宋_GB2312" w:eastAsia="仿宋_GB2312" w:cs="仿宋_GB2312"/>
          <w:b/>
          <w:color w:val="000000"/>
          <w:sz w:val="30"/>
          <w:szCs w:val="30"/>
        </w:rPr>
      </w:pPr>
    </w:p>
    <w:p w14:paraId="69F23ED4">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eastAsia" w:ascii="仿宋_GB2312" w:hAnsi="Times New Roman" w:eastAsia="仿宋_GB2312" w:cs="仿宋_GB2312"/>
          <w:bCs/>
          <w:color w:val="000000"/>
          <w:kern w:val="2"/>
          <w:sz w:val="24"/>
          <w:szCs w:val="24"/>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664D337D">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19F5994B">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16D18D96">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934435D">
      <w:pPr>
        <w:widowControl/>
        <w:snapToGrid w:val="0"/>
        <w:spacing w:before="156" w:beforeLines="50" w:line="560" w:lineRule="exact"/>
        <w:outlineLvl w:val="1"/>
        <w:rPr>
          <w:rFonts w:ascii="仿宋_GB2312" w:hAnsi="仿宋_GB2312" w:eastAsia="仿宋_GB2312" w:cs="仿宋_GB2312"/>
          <w:b/>
          <w:color w:val="000000"/>
          <w:sz w:val="30"/>
          <w:szCs w:val="30"/>
        </w:rPr>
      </w:pPr>
    </w:p>
    <w:p w14:paraId="32778112">
      <w:pPr>
        <w:widowControl/>
        <w:snapToGrid w:val="0"/>
        <w:spacing w:before="156" w:beforeLines="50" w:line="560" w:lineRule="exact"/>
        <w:outlineLvl w:val="1"/>
        <w:rPr>
          <w:rFonts w:ascii="仿宋_GB2312" w:hAnsi="仿宋_GB2312" w:eastAsia="仿宋_GB2312" w:cs="仿宋_GB2312"/>
          <w:b/>
          <w:color w:val="000000"/>
          <w:sz w:val="30"/>
          <w:szCs w:val="30"/>
        </w:rPr>
      </w:pPr>
    </w:p>
    <w:p w14:paraId="143D9D2D">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仿宋_GB2312" w:hAnsi="仿宋_GB2312" w:eastAsia="仿宋_GB2312" w:cs="仿宋_GB2312"/>
          <w:b/>
          <w:color w:val="000000"/>
          <w:sz w:val="30"/>
          <w:szCs w:val="30"/>
        </w:rPr>
      </w:pPr>
      <w:bookmarkStart w:id="432" w:name="_Toc7764"/>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3</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具备履行合同所必须的设备和专业技术能力证明</w:t>
      </w:r>
      <w:bookmarkEnd w:id="432"/>
    </w:p>
    <w:p w14:paraId="6D97594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p>
    <w:p w14:paraId="0C551A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为保证本项目合同的顺利履行，供应商必须具备履行合同的设备和专业技术能力，须提供必须具备履行合同的设备和专业技术能力的承诺函（格式自拟），并提供相关人员的身份证、</w:t>
      </w:r>
      <w:r>
        <w:rPr>
          <w:rFonts w:hint="eastAsia" w:ascii="仿宋_GB2312" w:hAnsi="仿宋_GB2312" w:eastAsia="仿宋_GB2312" w:cs="仿宋_GB2312"/>
          <w:color w:val="000000"/>
          <w:sz w:val="24"/>
          <w:szCs w:val="24"/>
          <w:lang w:val="en-US" w:eastAsia="zh-CN"/>
        </w:rPr>
        <w:t>劳动合同</w:t>
      </w:r>
      <w:r>
        <w:rPr>
          <w:rFonts w:hint="eastAsia" w:ascii="仿宋_GB2312" w:hAnsi="仿宋_GB2312" w:eastAsia="仿宋_GB2312" w:cs="仿宋_GB2312"/>
          <w:color w:val="000000"/>
          <w:sz w:val="24"/>
          <w:szCs w:val="24"/>
        </w:rPr>
        <w:t>证明材料。</w:t>
      </w:r>
    </w:p>
    <w:p w14:paraId="452766B9">
      <w:pPr>
        <w:adjustRightInd w:val="0"/>
        <w:snapToGrid w:val="0"/>
        <w:spacing w:line="560" w:lineRule="exact"/>
        <w:jc w:val="left"/>
        <w:rPr>
          <w:rFonts w:ascii="仿宋_GB2312" w:hAnsi="仿宋_GB2312" w:eastAsia="仿宋_GB2312" w:cs="仿宋_GB2312"/>
          <w:color w:val="1F497D" w:themeColor="text2"/>
          <w:sz w:val="32"/>
          <w:szCs w:val="32"/>
          <w14:textFill>
            <w14:solidFill>
              <w14:schemeClr w14:val="tx2"/>
            </w14:solidFill>
          </w14:textFill>
        </w:rPr>
      </w:pPr>
    </w:p>
    <w:p w14:paraId="22DB603C">
      <w:pPr>
        <w:widowControl/>
        <w:snapToGrid w:val="0"/>
        <w:spacing w:before="156" w:beforeLines="50" w:line="560" w:lineRule="exact"/>
        <w:outlineLvl w:val="1"/>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0"/>
          <w:szCs w:val="30"/>
        </w:rPr>
        <w:br w:type="page"/>
      </w:r>
      <w:bookmarkEnd w:id="429"/>
      <w:bookmarkEnd w:id="430"/>
      <w:bookmarkEnd w:id="431"/>
    </w:p>
    <w:p w14:paraId="63D7C480">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bookmarkStart w:id="433" w:name="_Toc19450"/>
      <w:bookmarkStart w:id="434" w:name="_Toc4925"/>
      <w:bookmarkStart w:id="435" w:name="_Toc31301_WPSOffice_Level3"/>
      <w:bookmarkStart w:id="436" w:name="_Toc11887"/>
      <w:bookmarkStart w:id="437" w:name="_Toc3146_WPSOffice_Level3"/>
      <w:bookmarkStart w:id="438" w:name="_Toc10368"/>
      <w:r>
        <w:rPr>
          <w:rFonts w:hint="eastAsia" w:ascii="楷体_GB2312" w:hAnsi="楷体_GB2312" w:eastAsia="楷体_GB2312" w:cs="楷体_GB2312"/>
          <w:b/>
          <w:sz w:val="32"/>
          <w:szCs w:val="32"/>
        </w:rPr>
        <w:t>附件1</w:t>
      </w: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：享受政府</w:t>
      </w:r>
      <w:r>
        <w:rPr>
          <w:rFonts w:hint="eastAsia" w:ascii="楷体_GB2312" w:hAnsi="楷体_GB2312" w:eastAsia="楷体_GB2312" w:cs="楷体_GB2312"/>
          <w:b/>
          <w:color w:val="000000"/>
          <w:sz w:val="32"/>
          <w:szCs w:val="32"/>
        </w:rPr>
        <w:t>采购政策优惠的证明资料</w:t>
      </w:r>
      <w:bookmarkEnd w:id="433"/>
      <w:bookmarkEnd w:id="434"/>
      <w:bookmarkEnd w:id="435"/>
      <w:bookmarkEnd w:id="436"/>
      <w:bookmarkEnd w:id="437"/>
      <w:bookmarkEnd w:id="438"/>
    </w:p>
    <w:p w14:paraId="160D6877">
      <w:pPr>
        <w:rPr>
          <w:rFonts w:ascii="宋体"/>
          <w:b/>
          <w:color w:val="000000"/>
          <w:sz w:val="28"/>
          <w:szCs w:val="28"/>
        </w:rPr>
      </w:pPr>
    </w:p>
    <w:p w14:paraId="755B08FE">
      <w:pPr>
        <w:widowControl/>
        <w:adjustRightInd w:val="0"/>
        <w:snapToGrid w:val="0"/>
        <w:spacing w:line="500" w:lineRule="exact"/>
        <w:jc w:val="center"/>
        <w:rPr>
          <w:rFonts w:ascii="仿宋_GB2312" w:hAnsi="仿宋_GB2312" w:eastAsia="仿宋_GB2312" w:cs="仿宋_GB2312"/>
          <w:b/>
          <w:spacing w:val="6"/>
          <w:kern w:val="0"/>
          <w:sz w:val="28"/>
          <w:szCs w:val="28"/>
        </w:rPr>
      </w:pPr>
      <w:bookmarkStart w:id="439" w:name="_Toc6454"/>
      <w:bookmarkStart w:id="440" w:name="_Toc22784_WPSOffice_Level3"/>
      <w:bookmarkStart w:id="441" w:name="_Toc31539"/>
      <w:r>
        <w:rPr>
          <w:rFonts w:hint="eastAsia" w:ascii="仿宋_GB2312" w:hAnsi="仿宋_GB2312" w:eastAsia="仿宋_GB2312" w:cs="仿宋_GB2312"/>
          <w:b/>
          <w:spacing w:val="6"/>
          <w:kern w:val="0"/>
          <w:sz w:val="28"/>
          <w:szCs w:val="28"/>
        </w:rPr>
        <w:t>1</w:t>
      </w:r>
      <w:r>
        <w:rPr>
          <w:rFonts w:hint="eastAsia" w:ascii="仿宋_GB2312" w:hAnsi="仿宋_GB2312" w:eastAsia="仿宋_GB2312" w:cs="仿宋_GB2312"/>
          <w:b/>
          <w:spacing w:val="6"/>
          <w:kern w:val="0"/>
          <w:sz w:val="28"/>
          <w:szCs w:val="28"/>
          <w:lang w:val="zh-CN"/>
        </w:rPr>
        <w:t>.</w:t>
      </w:r>
      <w:bookmarkEnd w:id="439"/>
      <w:bookmarkEnd w:id="440"/>
      <w:bookmarkEnd w:id="441"/>
      <w:bookmarkStart w:id="442" w:name="_Toc7913"/>
      <w:r>
        <w:rPr>
          <w:rFonts w:hint="eastAsia" w:ascii="仿宋_GB2312" w:hAnsi="仿宋_GB2312" w:eastAsia="仿宋_GB2312" w:cs="仿宋_GB2312"/>
          <w:b/>
          <w:spacing w:val="6"/>
          <w:kern w:val="0"/>
          <w:sz w:val="28"/>
          <w:szCs w:val="28"/>
          <w:lang w:val="zh-CN"/>
        </w:rPr>
        <w:t>中小企业声明函</w:t>
      </w:r>
      <w:bookmarkEnd w:id="442"/>
    </w:p>
    <w:p w14:paraId="56384BA9">
      <w:pPr>
        <w:widowControl/>
        <w:adjustRightInd w:val="0"/>
        <w:snapToGrid w:val="0"/>
        <w:spacing w:line="500" w:lineRule="exact"/>
        <w:jc w:val="center"/>
        <w:rPr>
          <w:rFonts w:ascii="仿宋_GB2312" w:hAnsi="仿宋_GB2312" w:eastAsia="仿宋_GB2312" w:cs="仿宋_GB2312"/>
          <w:b/>
          <w:spacing w:val="6"/>
          <w:kern w:val="0"/>
          <w:sz w:val="24"/>
        </w:rPr>
      </w:pPr>
      <w:bookmarkStart w:id="443" w:name="_Toc3019_WPSOffice_Level3"/>
      <w:bookmarkStart w:id="444" w:name="_Toc1901_WPSOffice_Level3"/>
      <w:r>
        <w:rPr>
          <w:rFonts w:hint="eastAsia" w:ascii="仿宋_GB2312" w:hAnsi="仿宋_GB2312" w:eastAsia="仿宋_GB2312" w:cs="仿宋_GB2312"/>
          <w:b/>
          <w:spacing w:val="6"/>
          <w:kern w:val="0"/>
          <w:sz w:val="24"/>
        </w:rPr>
        <w:t>(不满足以下条件的无需填写)</w:t>
      </w:r>
      <w:bookmarkEnd w:id="443"/>
      <w:bookmarkEnd w:id="444"/>
    </w:p>
    <w:p w14:paraId="527FCAAE">
      <w:pPr>
        <w:autoSpaceDE w:val="0"/>
        <w:autoSpaceDN w:val="0"/>
        <w:spacing w:line="500" w:lineRule="exact"/>
        <w:rPr>
          <w:rFonts w:ascii="仿宋_GB2312" w:hAnsi="仿宋_GB2312" w:eastAsia="仿宋_GB2312" w:cs="仿宋_GB2312"/>
          <w:spacing w:val="6"/>
          <w:kern w:val="0"/>
          <w:sz w:val="24"/>
        </w:rPr>
      </w:pPr>
      <w:r>
        <w:rPr>
          <w:rFonts w:hint="eastAsia" w:ascii="仿宋_GB2312" w:hAnsi="仿宋_GB2312" w:eastAsia="仿宋_GB2312" w:cs="仿宋_GB2312"/>
          <w:b/>
          <w:bCs/>
          <w:color w:val="000000"/>
          <w:kern w:val="0"/>
          <w:sz w:val="24"/>
          <w:lang w:val="zh-CN"/>
        </w:rPr>
        <w:t>致：</w:t>
      </w:r>
      <w:r>
        <w:rPr>
          <w:rFonts w:hint="eastAsia" w:ascii="仿宋_GB2312" w:hAnsi="仿宋_GB2312" w:eastAsia="仿宋_GB2312" w:cs="仿宋_GB2312"/>
          <w:b/>
          <w:bCs/>
          <w:color w:val="000000"/>
          <w:kern w:val="0"/>
          <w:sz w:val="24"/>
          <w:u w:val="single"/>
          <w:lang w:val="zh-CN"/>
        </w:rPr>
        <w:t>（采购人或者采购代理机构）</w:t>
      </w:r>
    </w:p>
    <w:p w14:paraId="650F3B66">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本公司（联合体）郑重声明，根据《政府采购促进中小企业发展管理办法》（财库【2020】46号）的规定，本公司（联合体）参加</w:t>
      </w:r>
      <w:r>
        <w:rPr>
          <w:rFonts w:hint="eastAsia" w:ascii="仿宋_GB2312" w:hAnsi="仿宋_GB2312" w:eastAsia="仿宋_GB2312" w:cs="仿宋_GB2312"/>
          <w:spacing w:val="6"/>
          <w:kern w:val="0"/>
          <w:sz w:val="24"/>
          <w:u w:val="single"/>
        </w:rPr>
        <w:t>（单位名称）</w:t>
      </w:r>
      <w:r>
        <w:rPr>
          <w:rFonts w:hint="eastAsia" w:ascii="仿宋_GB2312" w:hAnsi="仿宋_GB2312" w:eastAsia="仿宋_GB2312" w:cs="仿宋_GB2312"/>
          <w:spacing w:val="6"/>
          <w:kern w:val="0"/>
          <w:sz w:val="24"/>
        </w:rPr>
        <w:t>的</w:t>
      </w:r>
      <w:r>
        <w:rPr>
          <w:rFonts w:hint="eastAsia" w:ascii="仿宋_GB2312" w:hAnsi="仿宋_GB2312" w:eastAsia="仿宋_GB2312" w:cs="仿宋_GB2312"/>
          <w:spacing w:val="6"/>
          <w:kern w:val="0"/>
          <w:sz w:val="24"/>
          <w:u w:val="single"/>
        </w:rPr>
        <w:t>（项目名称）</w:t>
      </w:r>
      <w:r>
        <w:rPr>
          <w:rFonts w:hint="eastAsia" w:ascii="仿宋_GB2312" w:hAnsi="仿宋_GB2312" w:eastAsia="仿宋_GB2312" w:cs="仿宋_GB2312"/>
          <w:spacing w:val="6"/>
          <w:kern w:val="0"/>
          <w:sz w:val="24"/>
        </w:rPr>
        <w:t>采购活动，服务全部由符合政策要求的中小企业承接，相关企业（含联合体中的中小企业、签订分包意向协议的中小企业）具体情况如下：</w:t>
      </w:r>
    </w:p>
    <w:p w14:paraId="4FC145EE">
      <w:pPr>
        <w:widowControl/>
        <w:adjustRightInd w:val="0"/>
        <w:snapToGrid w:val="0"/>
        <w:spacing w:line="500" w:lineRule="exact"/>
        <w:ind w:firstLine="504" w:firstLineChars="200"/>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1.</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制造业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rPr>
        <w:t>，承接</w:t>
      </w:r>
      <w:r>
        <w:rPr>
          <w:rFonts w:hint="eastAsia" w:ascii="仿宋_GB2312" w:hAnsi="仿宋_GB2312" w:eastAsia="仿宋_GB2312" w:cs="仿宋_GB2312"/>
          <w:spacing w:val="6"/>
          <w:kern w:val="0"/>
          <w:sz w:val="24"/>
        </w:rPr>
        <w:t>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07D76CAD">
      <w:pPr>
        <w:widowControl/>
        <w:adjustRightInd w:val="0"/>
        <w:snapToGrid w:val="0"/>
        <w:spacing w:line="500" w:lineRule="exact"/>
        <w:ind w:firstLine="504" w:firstLineChars="200"/>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2.</w:t>
      </w:r>
      <w:r>
        <w:rPr>
          <w:rFonts w:hint="eastAsia" w:ascii="仿宋_GB2312" w:hAnsi="仿宋_GB2312" w:eastAsia="仿宋_GB2312" w:cs="仿宋_GB2312"/>
          <w:spacing w:val="6"/>
          <w:kern w:val="0"/>
          <w:sz w:val="24"/>
          <w:u w:val="single"/>
        </w:rPr>
        <w:t>（标的名称）</w:t>
      </w:r>
      <w:r>
        <w:rPr>
          <w:rFonts w:hint="eastAsia" w:ascii="仿宋_GB2312" w:hAnsi="仿宋_GB2312" w:eastAsia="仿宋_GB2312" w:cs="仿宋_GB2312"/>
          <w:spacing w:val="6"/>
          <w:kern w:val="0"/>
          <w:sz w:val="24"/>
        </w:rPr>
        <w:t>，属于</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highlight w:val="none"/>
          <w:u w:val="single"/>
          <w:lang w:val="en-US" w:eastAsia="zh-CN"/>
        </w:rPr>
        <w:t>制造业</w:t>
      </w:r>
      <w:r>
        <w:rPr>
          <w:rFonts w:hint="eastAsia" w:ascii="仿宋_GB2312" w:hAnsi="仿宋_GB2312" w:eastAsia="仿宋_GB2312" w:cs="仿宋_GB2312"/>
          <w:spacing w:val="6"/>
          <w:kern w:val="0"/>
          <w:sz w:val="24"/>
          <w:highlight w:val="none"/>
          <w:u w:val="single"/>
        </w:rPr>
        <w:t xml:space="preserve">   </w:t>
      </w:r>
      <w:r>
        <w:rPr>
          <w:rFonts w:hint="eastAsia" w:ascii="仿宋_GB2312" w:hAnsi="仿宋_GB2312" w:eastAsia="仿宋_GB2312" w:cs="仿宋_GB2312"/>
          <w:spacing w:val="6"/>
          <w:kern w:val="0"/>
          <w:sz w:val="24"/>
        </w:rPr>
        <w:t>，承接企业为</w:t>
      </w:r>
      <w:r>
        <w:rPr>
          <w:rFonts w:hint="eastAsia" w:ascii="仿宋_GB2312" w:hAnsi="仿宋_GB2312" w:eastAsia="仿宋_GB2312" w:cs="仿宋_GB2312"/>
          <w:spacing w:val="6"/>
          <w:kern w:val="0"/>
          <w:sz w:val="24"/>
          <w:u w:val="single"/>
        </w:rPr>
        <w:t>（企业名称）</w:t>
      </w:r>
      <w:r>
        <w:rPr>
          <w:rFonts w:hint="eastAsia" w:ascii="仿宋_GB2312" w:hAnsi="仿宋_GB2312" w:eastAsia="仿宋_GB2312" w:cs="仿宋_GB2312"/>
          <w:spacing w:val="6"/>
          <w:kern w:val="0"/>
          <w:sz w:val="24"/>
        </w:rPr>
        <w:t>，从业人员</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人，营业收入为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万元，资产总额为</w:t>
      </w:r>
      <w:r>
        <w:rPr>
          <w:rFonts w:hint="eastAsia" w:ascii="仿宋_GB2312" w:hAnsi="仿宋_GB2312" w:eastAsia="仿宋_GB2312" w:cs="仿宋_GB2312"/>
          <w:spacing w:val="6"/>
          <w:kern w:val="0"/>
          <w:sz w:val="24"/>
          <w:u w:val="single"/>
        </w:rPr>
        <w:t xml:space="preserve">  </w:t>
      </w:r>
      <w:r>
        <w:rPr>
          <w:rFonts w:hint="eastAsia" w:ascii="仿宋_GB2312" w:hAnsi="仿宋_GB2312" w:eastAsia="仿宋_GB2312" w:cs="仿宋_GB2312"/>
          <w:spacing w:val="6"/>
          <w:kern w:val="0"/>
          <w:sz w:val="24"/>
        </w:rPr>
        <w:t>万元，属于</w:t>
      </w:r>
      <w:r>
        <w:rPr>
          <w:rFonts w:hint="eastAsia" w:ascii="仿宋_GB2312" w:hAnsi="仿宋_GB2312" w:eastAsia="仿宋_GB2312" w:cs="仿宋_GB2312"/>
          <w:spacing w:val="6"/>
          <w:kern w:val="0"/>
          <w:sz w:val="24"/>
          <w:u w:val="single"/>
        </w:rPr>
        <w:t>（中型企业、小型企业、微型企业）</w:t>
      </w:r>
      <w:r>
        <w:rPr>
          <w:rFonts w:hint="eastAsia" w:ascii="仿宋_GB2312" w:hAnsi="仿宋_GB2312" w:eastAsia="仿宋_GB2312" w:cs="仿宋_GB2312"/>
          <w:spacing w:val="6"/>
          <w:kern w:val="0"/>
          <w:sz w:val="24"/>
        </w:rPr>
        <w:t>。</w:t>
      </w:r>
    </w:p>
    <w:p w14:paraId="456020D8">
      <w:pPr>
        <w:widowControl/>
        <w:adjustRightInd w:val="0"/>
        <w:snapToGrid w:val="0"/>
        <w:spacing w:line="500" w:lineRule="exact"/>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p>
    <w:p w14:paraId="1AB1A103">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以上企业，不属于大企业的分支机构，不存在控股股东为大企业的情形，也不存在与大企业的负责人为同一人的情形。</w:t>
      </w:r>
    </w:p>
    <w:p w14:paraId="67F8975F">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本企业对上述声明的真实性负责。如有虚假，将依法承担相应责任。</w:t>
      </w:r>
    </w:p>
    <w:p w14:paraId="67563A61">
      <w:pPr>
        <w:spacing w:line="500" w:lineRule="exact"/>
        <w:ind w:firstLine="480" w:firstLineChars="200"/>
        <w:jc w:val="center"/>
        <w:rPr>
          <w:rFonts w:ascii="仿宋_GB2312" w:hAnsi="仿宋_GB2312" w:eastAsia="仿宋_GB2312" w:cs="仿宋_GB2312"/>
          <w:bCs/>
          <w:color w:val="000000"/>
          <w:sz w:val="24"/>
        </w:rPr>
      </w:pPr>
      <w:bookmarkStart w:id="445" w:name="_Toc21636_WPSOffice_Level3"/>
    </w:p>
    <w:p w14:paraId="5AE29341">
      <w:pPr>
        <w:widowControl/>
        <w:adjustRightInd w:val="0"/>
        <w:snapToGrid w:val="0"/>
        <w:spacing w:line="500" w:lineRule="exact"/>
        <w:ind w:firstLine="480" w:firstLineChars="200"/>
        <w:jc w:val="left"/>
        <w:rPr>
          <w:rFonts w:ascii="仿宋_GB2312" w:hAnsi="仿宋_GB2312" w:eastAsia="仿宋_GB2312" w:cs="仿宋_GB2312"/>
          <w:spacing w:val="6"/>
          <w:kern w:val="0"/>
          <w:sz w:val="24"/>
          <w:lang w:val="zh-CN"/>
        </w:rPr>
      </w:pPr>
      <w:r>
        <w:rPr>
          <w:rFonts w:hint="eastAsia" w:ascii="仿宋_GB2312" w:hAnsi="仿宋_GB2312" w:eastAsia="仿宋_GB2312" w:cs="仿宋_GB2312"/>
          <w:bCs/>
          <w:color w:val="000000"/>
          <w:sz w:val="24"/>
        </w:rPr>
        <w:t xml:space="preserve">             </w:t>
      </w:r>
      <w:bookmarkEnd w:id="445"/>
      <w:r>
        <w:rPr>
          <w:rFonts w:hint="eastAsia" w:ascii="仿宋_GB2312" w:hAnsi="仿宋_GB2312" w:eastAsia="仿宋_GB2312" w:cs="仿宋_GB2312"/>
          <w:bCs/>
          <w:color w:val="000000"/>
          <w:sz w:val="24"/>
        </w:rPr>
        <w:t xml:space="preserve">                               </w:t>
      </w:r>
      <w:r>
        <w:rPr>
          <w:rFonts w:hint="eastAsia" w:ascii="仿宋_GB2312" w:hAnsi="仿宋_GB2312" w:eastAsia="仿宋_GB2312" w:cs="仿宋_GB2312"/>
          <w:spacing w:val="6"/>
          <w:kern w:val="0"/>
          <w:sz w:val="24"/>
        </w:rPr>
        <w:t>企业名称</w:t>
      </w:r>
      <w:r>
        <w:rPr>
          <w:rFonts w:hint="eastAsia" w:ascii="仿宋_GB2312" w:hAnsi="仿宋_GB2312" w:eastAsia="仿宋_GB2312" w:cs="仿宋_GB2312"/>
          <w:spacing w:val="6"/>
          <w:kern w:val="0"/>
          <w:sz w:val="24"/>
          <w:lang w:val="zh-CN"/>
        </w:rPr>
        <w:t>：</w:t>
      </w:r>
      <w:r>
        <w:rPr>
          <w:rFonts w:hint="eastAsia" w:ascii="仿宋_GB2312" w:hAnsi="仿宋_GB2312" w:eastAsia="仿宋_GB2312" w:cs="仿宋_GB2312"/>
          <w:spacing w:val="6"/>
          <w:kern w:val="0"/>
          <w:sz w:val="24"/>
        </w:rPr>
        <w:t xml:space="preserve">   </w:t>
      </w:r>
      <w:r>
        <w:rPr>
          <w:rFonts w:hint="eastAsia" w:ascii="仿宋_GB2312" w:hAnsi="仿宋_GB2312" w:eastAsia="仿宋_GB2312" w:cs="仿宋_GB2312"/>
          <w:spacing w:val="6"/>
          <w:kern w:val="0"/>
          <w:sz w:val="24"/>
          <w:lang w:val="zh-CN"/>
        </w:rPr>
        <w:t>（公章）</w:t>
      </w:r>
    </w:p>
    <w:p w14:paraId="00A3009E">
      <w:pPr>
        <w:widowControl/>
        <w:adjustRightInd w:val="0"/>
        <w:snapToGrid w:val="0"/>
        <w:spacing w:line="500" w:lineRule="exact"/>
        <w:ind w:firstLine="504"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 xml:space="preserve">                                           </w:t>
      </w:r>
      <w:bookmarkStart w:id="446" w:name="_Toc31141"/>
      <w:r>
        <w:rPr>
          <w:rFonts w:hint="eastAsia" w:ascii="仿宋_GB2312" w:hAnsi="仿宋_GB2312" w:eastAsia="仿宋_GB2312" w:cs="仿宋_GB2312"/>
          <w:spacing w:val="6"/>
          <w:kern w:val="0"/>
          <w:sz w:val="24"/>
        </w:rPr>
        <w:t>日期：</w:t>
      </w:r>
      <w:bookmarkEnd w:id="446"/>
    </w:p>
    <w:p w14:paraId="305B344E">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057C2462">
      <w:pPr>
        <w:widowControl/>
        <w:adjustRightInd w:val="0"/>
        <w:snapToGrid w:val="0"/>
        <w:spacing w:line="560" w:lineRule="exact"/>
        <w:ind w:firstLine="664" w:firstLineChars="200"/>
        <w:jc w:val="left"/>
        <w:rPr>
          <w:rFonts w:ascii="仿宋_GB2312" w:hAnsi="仿宋_GB2312" w:eastAsia="仿宋_GB2312" w:cs="仿宋_GB2312"/>
          <w:spacing w:val="6"/>
          <w:kern w:val="0"/>
          <w:sz w:val="32"/>
          <w:szCs w:val="32"/>
        </w:rPr>
      </w:pPr>
    </w:p>
    <w:p w14:paraId="58305D0A">
      <w:pPr>
        <w:rPr>
          <w:rFonts w:ascii="楷体" w:hAnsi="楷体" w:eastAsia="楷体" w:cs="楷体"/>
          <w:sz w:val="32"/>
          <w:szCs w:val="32"/>
        </w:rPr>
      </w:pPr>
      <w:bookmarkStart w:id="447" w:name="_Toc11740"/>
      <w:bookmarkStart w:id="448" w:name="_Toc12160"/>
      <w:bookmarkStart w:id="449" w:name="_Toc14211_WPSOffice_Level3"/>
      <w:r>
        <w:rPr>
          <w:rFonts w:hint="eastAsia" w:ascii="楷体" w:hAnsi="楷体" w:eastAsia="楷体" w:cs="楷体"/>
          <w:sz w:val="32"/>
          <w:szCs w:val="32"/>
        </w:rPr>
        <w:br w:type="page"/>
      </w:r>
    </w:p>
    <w:p w14:paraId="2D5F3D87">
      <w:pPr>
        <w:adjustRightInd w:val="0"/>
        <w:snapToGrid w:val="0"/>
        <w:spacing w:before="120" w:beforeLines="50" w:line="560" w:lineRule="exact"/>
        <w:jc w:val="center"/>
        <w:rPr>
          <w:rFonts w:ascii="楷体" w:hAnsi="楷体" w:eastAsia="楷体" w:cs="楷体"/>
          <w:sz w:val="24"/>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lang w:val="zh-CN"/>
        </w:rPr>
        <w:t>.残疾人福利性单位声明函</w:t>
      </w:r>
      <w:bookmarkEnd w:id="447"/>
      <w:bookmarkEnd w:id="448"/>
      <w:bookmarkEnd w:id="449"/>
    </w:p>
    <w:p w14:paraId="38FEFA22">
      <w:pPr>
        <w:adjustRightInd w:val="0"/>
        <w:snapToGrid w:val="0"/>
        <w:spacing w:line="500" w:lineRule="exact"/>
        <w:jc w:val="center"/>
        <w:rPr>
          <w:rFonts w:ascii="仿宋_GB2312" w:hAnsi="仿宋_GB2312" w:eastAsia="仿宋_GB2312" w:cs="仿宋_GB2312"/>
          <w:spacing w:val="6"/>
          <w:sz w:val="24"/>
        </w:rPr>
      </w:pPr>
      <w:bookmarkStart w:id="450" w:name="_Toc17469_WPSOffice_Level3"/>
      <w:bookmarkStart w:id="451" w:name="_Toc12079_WPSOffice_Level3"/>
      <w:r>
        <w:rPr>
          <w:rFonts w:hint="eastAsia" w:ascii="仿宋_GB2312" w:hAnsi="仿宋_GB2312" w:eastAsia="仿宋_GB2312" w:cs="仿宋_GB2312"/>
          <w:b/>
          <w:spacing w:val="6"/>
          <w:sz w:val="24"/>
        </w:rPr>
        <w:t>(不属于残疾人福利性单位的无需填写)</w:t>
      </w:r>
      <w:bookmarkEnd w:id="450"/>
      <w:bookmarkEnd w:id="451"/>
    </w:p>
    <w:p w14:paraId="5FAD96FC">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D8BB823">
      <w:pPr>
        <w:spacing w:line="50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sz w:val="24"/>
        </w:rPr>
        <w:t>本单位对上述声明的真实性负责。如有虚假，将依法承担相应责任。</w:t>
      </w:r>
    </w:p>
    <w:p w14:paraId="5D5C8E90">
      <w:pPr>
        <w:spacing w:line="500" w:lineRule="exact"/>
        <w:ind w:firstLine="480" w:firstLineChars="200"/>
        <w:jc w:val="center"/>
        <w:rPr>
          <w:rFonts w:ascii="仿宋_GB2312" w:hAnsi="仿宋_GB2312" w:eastAsia="仿宋_GB2312" w:cs="仿宋_GB2312"/>
          <w:bCs/>
          <w:color w:val="000000"/>
          <w:sz w:val="24"/>
        </w:rPr>
      </w:pPr>
      <w:bookmarkStart w:id="452" w:name="_Toc17628_WPSOffice_Level3"/>
    </w:p>
    <w:p w14:paraId="292246CD">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52"/>
    </w:p>
    <w:p w14:paraId="30A6F0B3">
      <w:pPr>
        <w:spacing w:line="500" w:lineRule="exact"/>
        <w:ind w:firstLine="480" w:firstLineChars="200"/>
        <w:jc w:val="center"/>
        <w:rPr>
          <w:rFonts w:ascii="仿宋_GB2312" w:hAnsi="仿宋_GB2312" w:eastAsia="仿宋_GB2312" w:cs="仿宋_GB2312"/>
          <w:bCs/>
          <w:color w:val="000000"/>
          <w:sz w:val="24"/>
        </w:rPr>
      </w:pPr>
      <w:bookmarkStart w:id="453" w:name="_Toc32124_WPSOffice_Level3"/>
      <w:r>
        <w:rPr>
          <w:rFonts w:hint="eastAsia" w:ascii="仿宋_GB2312" w:hAnsi="仿宋_GB2312" w:eastAsia="仿宋_GB2312" w:cs="仿宋_GB2312"/>
          <w:bCs/>
          <w:color w:val="000000"/>
          <w:sz w:val="24"/>
        </w:rPr>
        <w:t xml:space="preserve">                  法定代表人或委托代理人：   （签字或盖章）</w:t>
      </w:r>
      <w:bookmarkEnd w:id="453"/>
    </w:p>
    <w:p w14:paraId="15296E9D">
      <w:pPr>
        <w:spacing w:line="500" w:lineRule="exact"/>
        <w:ind w:firstLine="480" w:firstLineChars="200"/>
        <w:jc w:val="center"/>
        <w:rPr>
          <w:rFonts w:ascii="宋体" w:hAnsi="宋体"/>
          <w:spacing w:val="6"/>
        </w:rPr>
      </w:pPr>
      <w:bookmarkStart w:id="454" w:name="_Toc1871_WPSOffice_Level3"/>
      <w:r>
        <w:rPr>
          <w:rFonts w:hint="eastAsia" w:ascii="仿宋_GB2312" w:hAnsi="仿宋_GB2312" w:eastAsia="仿宋_GB2312" w:cs="仿宋_GB2312"/>
          <w:bCs/>
          <w:color w:val="000000"/>
          <w:sz w:val="24"/>
        </w:rPr>
        <w:t xml:space="preserve">            年  月  日</w:t>
      </w:r>
      <w:bookmarkEnd w:id="454"/>
    </w:p>
    <w:p w14:paraId="45160F61">
      <w:pPr>
        <w:adjustRightInd w:val="0"/>
        <w:snapToGrid w:val="0"/>
        <w:spacing w:line="560" w:lineRule="exact"/>
        <w:ind w:firstLine="664" w:firstLineChars="200"/>
        <w:rPr>
          <w:rFonts w:ascii="仿宋_GB2312" w:hAnsi="仿宋_GB2312" w:eastAsia="仿宋_GB2312" w:cs="仿宋_GB2312"/>
          <w:spacing w:val="6"/>
          <w:sz w:val="32"/>
          <w:szCs w:val="32"/>
        </w:rPr>
      </w:pPr>
    </w:p>
    <w:p w14:paraId="4E75CF82">
      <w:pPr>
        <w:adjustRightInd w:val="0"/>
        <w:snapToGrid w:val="0"/>
        <w:spacing w:line="560" w:lineRule="exact"/>
        <w:ind w:firstLine="664" w:firstLineChars="200"/>
        <w:rPr>
          <w:rFonts w:ascii="仿宋_GB2312" w:hAnsi="仿宋_GB2312" w:eastAsia="仿宋_GB2312" w:cs="仿宋_GB2312"/>
          <w:spacing w:val="6"/>
          <w:sz w:val="32"/>
          <w:szCs w:val="32"/>
        </w:rPr>
      </w:pPr>
    </w:p>
    <w:p w14:paraId="375307F3">
      <w:pPr>
        <w:adjustRightInd w:val="0"/>
        <w:snapToGrid w:val="0"/>
        <w:spacing w:before="120" w:beforeLines="50" w:line="560" w:lineRule="exact"/>
        <w:ind w:firstLine="444" w:firstLineChars="200"/>
        <w:rPr>
          <w:rFonts w:ascii="宋体" w:hAnsi="宋体"/>
          <w:spacing w:val="6"/>
          <w:szCs w:val="21"/>
        </w:rPr>
      </w:pPr>
    </w:p>
    <w:p w14:paraId="57F41D1C">
      <w:pPr>
        <w:spacing w:before="120" w:beforeLines="50" w:line="560" w:lineRule="exact"/>
        <w:rPr>
          <w:rFonts w:ascii="楷体" w:hAnsi="楷体" w:eastAsia="楷体" w:cs="楷体"/>
          <w:sz w:val="32"/>
          <w:szCs w:val="32"/>
        </w:rPr>
      </w:pPr>
    </w:p>
    <w:p w14:paraId="07A149D7">
      <w:pPr>
        <w:spacing w:before="120" w:beforeLines="50" w:line="560" w:lineRule="exact"/>
        <w:rPr>
          <w:rFonts w:ascii="楷体" w:hAnsi="楷体" w:eastAsia="楷体" w:cs="楷体"/>
          <w:sz w:val="32"/>
          <w:szCs w:val="32"/>
        </w:rPr>
      </w:pPr>
    </w:p>
    <w:p w14:paraId="6DCAB83F">
      <w:pPr>
        <w:rPr>
          <w:rFonts w:ascii="楷体" w:hAnsi="楷体" w:eastAsia="楷体" w:cs="楷体"/>
          <w:sz w:val="32"/>
          <w:szCs w:val="32"/>
        </w:rPr>
      </w:pPr>
      <w:bookmarkStart w:id="455" w:name="_Toc9477"/>
      <w:bookmarkStart w:id="456" w:name="_Toc30801"/>
      <w:r>
        <w:rPr>
          <w:rFonts w:hint="eastAsia" w:ascii="楷体" w:hAnsi="楷体" w:eastAsia="楷体" w:cs="楷体"/>
          <w:sz w:val="32"/>
          <w:szCs w:val="32"/>
        </w:rPr>
        <w:br w:type="page"/>
      </w:r>
    </w:p>
    <w:p w14:paraId="1AA080E6">
      <w:pPr>
        <w:adjustRightInd w:val="0"/>
        <w:snapToGrid w:val="0"/>
        <w:spacing w:before="120" w:beforeLines="50" w:line="560" w:lineRule="exact"/>
        <w:jc w:val="center"/>
        <w:rPr>
          <w:rFonts w:ascii="楷体" w:hAnsi="楷体" w:eastAsia="楷体" w:cs="楷体"/>
          <w:sz w:val="32"/>
          <w:szCs w:val="32"/>
        </w:rPr>
      </w:pPr>
      <w:r>
        <w:rPr>
          <w:rFonts w:hint="eastAsia" w:ascii="仿宋_GB2312" w:hAnsi="仿宋_GB2312" w:eastAsia="仿宋_GB2312" w:cs="仿宋_GB2312"/>
          <w:b/>
          <w:color w:val="000000"/>
          <w:sz w:val="28"/>
          <w:szCs w:val="28"/>
        </w:rPr>
        <w:t>3</w:t>
      </w:r>
      <w:r>
        <w:rPr>
          <w:rFonts w:hint="eastAsia" w:ascii="仿宋_GB2312" w:hAnsi="仿宋_GB2312" w:eastAsia="仿宋_GB2312" w:cs="仿宋_GB2312"/>
          <w:b/>
          <w:color w:val="000000"/>
          <w:sz w:val="28"/>
          <w:szCs w:val="28"/>
          <w:lang w:val="zh-CN"/>
        </w:rPr>
        <w:t>.监狱企业证明资料</w:t>
      </w:r>
      <w:bookmarkEnd w:id="455"/>
      <w:bookmarkEnd w:id="456"/>
    </w:p>
    <w:p w14:paraId="391D3489">
      <w:pPr>
        <w:adjustRightInd w:val="0"/>
        <w:snapToGrid w:val="0"/>
        <w:spacing w:line="500" w:lineRule="exact"/>
        <w:jc w:val="center"/>
        <w:rPr>
          <w:rFonts w:ascii="仿宋_GB2312" w:hAnsi="仿宋_GB2312" w:eastAsia="仿宋_GB2312" w:cs="仿宋_GB2312"/>
          <w:sz w:val="24"/>
        </w:rPr>
      </w:pPr>
      <w:bookmarkStart w:id="457" w:name="_Toc28022_WPSOffice_Level3"/>
      <w:bookmarkStart w:id="458" w:name="_Toc25903_WPSOffice_Level3"/>
      <w:r>
        <w:rPr>
          <w:rFonts w:hint="eastAsia" w:ascii="仿宋_GB2312" w:hAnsi="仿宋_GB2312" w:eastAsia="仿宋_GB2312" w:cs="仿宋_GB2312"/>
          <w:b/>
          <w:spacing w:val="6"/>
          <w:sz w:val="24"/>
        </w:rPr>
        <w:t>(不属于监狱企业的无需提供)</w:t>
      </w:r>
      <w:bookmarkEnd w:id="457"/>
      <w:bookmarkEnd w:id="458"/>
    </w:p>
    <w:p w14:paraId="600E44DF">
      <w:pPr>
        <w:adjustRightInd w:val="0"/>
        <w:snapToGrid w:val="0"/>
        <w:spacing w:line="500" w:lineRule="exact"/>
        <w:ind w:firstLine="504" w:firstLineChars="200"/>
        <w:rPr>
          <w:rFonts w:ascii="仿宋_GB2312" w:hAnsi="仿宋_GB2312" w:eastAsia="仿宋_GB2312" w:cs="仿宋_GB2312"/>
          <w:sz w:val="24"/>
        </w:rPr>
      </w:pPr>
      <w:r>
        <w:rPr>
          <w:rFonts w:hint="eastAsia" w:ascii="仿宋_GB2312" w:hAnsi="仿宋_GB2312" w:eastAsia="仿宋_GB2312" w:cs="仿宋_GB2312"/>
          <w:bCs/>
          <w:spacing w:val="6"/>
          <w:kern w:val="0"/>
          <w:sz w:val="24"/>
        </w:rPr>
        <w:t>备注：</w:t>
      </w:r>
      <w:r>
        <w:rPr>
          <w:rFonts w:hint="eastAsia" w:ascii="仿宋_GB2312" w:hAnsi="仿宋_GB2312" w:eastAsia="仿宋_GB2312" w:cs="仿宋_GB2312"/>
          <w:sz w:val="24"/>
        </w:rPr>
        <w:t>按</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财政部 司法部关于政府采购支持监狱企业发展有关问题的通知</w:t>
      </w:r>
      <w:r>
        <w:rPr>
          <w:rFonts w:hint="eastAsia" w:ascii="仿宋_GB2312" w:hAnsi="仿宋_GB2312" w:eastAsia="仿宋_GB2312" w:cs="仿宋_GB2312"/>
          <w:spacing w:val="6"/>
          <w:sz w:val="24"/>
        </w:rPr>
        <w:t>》</w:t>
      </w:r>
      <w:r>
        <w:rPr>
          <w:rFonts w:hint="eastAsia" w:ascii="仿宋_GB2312" w:hAnsi="仿宋_GB2312" w:eastAsia="仿宋_GB2312" w:cs="仿宋_GB2312"/>
          <w:sz w:val="24"/>
        </w:rPr>
        <w:t>(财库〔2014〕68号)文件规定提供证明文件（复印件）。</w:t>
      </w:r>
    </w:p>
    <w:p w14:paraId="25E5D848">
      <w:pPr>
        <w:spacing w:line="500" w:lineRule="exact"/>
        <w:ind w:firstLine="480" w:firstLineChars="200"/>
        <w:jc w:val="center"/>
        <w:rPr>
          <w:rFonts w:ascii="仿宋_GB2312" w:hAnsi="仿宋_GB2312" w:eastAsia="仿宋_GB2312" w:cs="仿宋_GB2312"/>
          <w:bCs/>
          <w:color w:val="000000"/>
          <w:sz w:val="24"/>
        </w:rPr>
      </w:pPr>
      <w:bookmarkStart w:id="459" w:name="_Toc22071_WPSOffice_Level3"/>
    </w:p>
    <w:p w14:paraId="215B6FEF">
      <w:pPr>
        <w:spacing w:line="500" w:lineRule="exact"/>
        <w:ind w:firstLine="480" w:firstLineChars="200"/>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 xml:space="preserve">               单位名称：   （公章）</w:t>
      </w:r>
      <w:bookmarkEnd w:id="459"/>
    </w:p>
    <w:p w14:paraId="0DE5AB2D">
      <w:pPr>
        <w:spacing w:line="500" w:lineRule="exact"/>
        <w:ind w:firstLine="480" w:firstLineChars="200"/>
        <w:jc w:val="center"/>
        <w:rPr>
          <w:rFonts w:ascii="仿宋_GB2312" w:hAnsi="仿宋_GB2312" w:eastAsia="仿宋_GB2312" w:cs="仿宋_GB2312"/>
          <w:bCs/>
          <w:color w:val="000000"/>
          <w:sz w:val="24"/>
        </w:rPr>
      </w:pPr>
      <w:bookmarkStart w:id="460" w:name="_Toc11539_WPSOffice_Level3"/>
      <w:r>
        <w:rPr>
          <w:rFonts w:hint="eastAsia" w:ascii="仿宋_GB2312" w:hAnsi="仿宋_GB2312" w:eastAsia="仿宋_GB2312" w:cs="仿宋_GB2312"/>
          <w:bCs/>
          <w:color w:val="000000"/>
          <w:sz w:val="24"/>
        </w:rPr>
        <w:t xml:space="preserve">                  法定代表人或委托代理人：  （签字或盖章）</w:t>
      </w:r>
      <w:bookmarkEnd w:id="460"/>
    </w:p>
    <w:p w14:paraId="08E78089">
      <w:pPr>
        <w:pStyle w:val="43"/>
        <w:rPr>
          <w:b/>
        </w:rPr>
      </w:pPr>
      <w:bookmarkStart w:id="461" w:name="_Toc3285_WPSOffice_Level3"/>
      <w:r>
        <w:rPr>
          <w:rFonts w:hint="eastAsia"/>
        </w:rPr>
        <w:t xml:space="preserve">                                              </w:t>
      </w:r>
      <w:bookmarkStart w:id="462" w:name="_Toc3489"/>
      <w:bookmarkStart w:id="463" w:name="_Toc3312"/>
      <w:bookmarkStart w:id="464" w:name="_Toc73107677"/>
      <w:bookmarkStart w:id="465" w:name="_Toc2119"/>
      <w:bookmarkStart w:id="466" w:name="_Toc74228766"/>
      <w:bookmarkStart w:id="467" w:name="_Toc4767"/>
      <w:r>
        <w:rPr>
          <w:rFonts w:hint="eastAsia"/>
        </w:rPr>
        <w:t>年  月  日</w:t>
      </w:r>
      <w:bookmarkEnd w:id="461"/>
      <w:bookmarkEnd w:id="462"/>
      <w:bookmarkEnd w:id="463"/>
      <w:bookmarkEnd w:id="464"/>
      <w:bookmarkEnd w:id="465"/>
      <w:bookmarkEnd w:id="466"/>
      <w:bookmarkEnd w:id="467"/>
    </w:p>
    <w:p w14:paraId="748E7215">
      <w:pPr>
        <w:autoSpaceDE w:val="0"/>
        <w:autoSpaceDN w:val="0"/>
        <w:adjustRightInd w:val="0"/>
        <w:spacing w:line="400" w:lineRule="exact"/>
        <w:rPr>
          <w:rFonts w:ascii="仿宋" w:hAnsi="仿宋" w:eastAsia="仿宋" w:cs="宋体"/>
          <w:kern w:val="0"/>
          <w:sz w:val="24"/>
          <w:lang w:val="zh-CN"/>
        </w:rPr>
      </w:pPr>
    </w:p>
    <w:p w14:paraId="092CBAAB">
      <w:pPr>
        <w:pStyle w:val="43"/>
      </w:pPr>
    </w:p>
    <w:p w14:paraId="30BB36E6">
      <w:pPr>
        <w:pStyle w:val="43"/>
      </w:pPr>
    </w:p>
    <w:p w14:paraId="0E70FA0C">
      <w:pPr>
        <w:rPr>
          <w:lang w:val="zh-CN"/>
        </w:rPr>
      </w:pPr>
    </w:p>
    <w:p w14:paraId="32BD9BAE">
      <w:pPr>
        <w:rPr>
          <w:lang w:val="zh-CN"/>
        </w:rPr>
      </w:pPr>
    </w:p>
    <w:p w14:paraId="245D4947">
      <w:pPr>
        <w:rPr>
          <w:lang w:val="zh-CN"/>
        </w:rPr>
      </w:pPr>
    </w:p>
    <w:p w14:paraId="15195755">
      <w:pPr>
        <w:rPr>
          <w:lang w:val="zh-CN"/>
        </w:rPr>
      </w:pPr>
    </w:p>
    <w:p w14:paraId="7E27E3A6">
      <w:pPr>
        <w:pStyle w:val="16"/>
        <w:jc w:val="left"/>
        <w:rPr>
          <w:rFonts w:ascii="宋体" w:hAnsi="宋体"/>
          <w:spacing w:val="6"/>
        </w:rPr>
      </w:pPr>
      <w:bookmarkStart w:id="468" w:name="_Toc73107678"/>
      <w:bookmarkStart w:id="469" w:name="_Toc19573"/>
      <w:bookmarkStart w:id="470" w:name="_Toc74228767"/>
      <w:bookmarkStart w:id="471" w:name="_Toc10572"/>
      <w:bookmarkStart w:id="472" w:name="_Toc16609"/>
      <w:r>
        <w:rPr>
          <w:rFonts w:hint="eastAsia"/>
          <w:sz w:val="30"/>
          <w:szCs w:val="30"/>
          <w:lang w:val="zh-CN"/>
        </w:rPr>
        <w:t>注：以上情形不得重复享受政府采购政策优惠。</w:t>
      </w:r>
      <w:bookmarkEnd w:id="468"/>
      <w:bookmarkEnd w:id="469"/>
      <w:bookmarkEnd w:id="470"/>
      <w:bookmarkEnd w:id="471"/>
      <w:bookmarkEnd w:id="472"/>
    </w:p>
    <w:p w14:paraId="3FD92635">
      <w:pPr>
        <w:adjustRightInd w:val="0"/>
        <w:snapToGrid w:val="0"/>
        <w:spacing w:line="560" w:lineRule="exact"/>
        <w:ind w:firstLine="640" w:firstLineChars="200"/>
        <w:rPr>
          <w:rFonts w:ascii="仿宋_GB2312" w:hAnsi="仿宋_GB2312" w:eastAsia="仿宋_GB2312" w:cs="仿宋_GB2312"/>
          <w:sz w:val="32"/>
          <w:szCs w:val="32"/>
        </w:rPr>
      </w:pPr>
    </w:p>
    <w:p w14:paraId="55A8D08F">
      <w:pPr>
        <w:adjustRightInd w:val="0"/>
        <w:snapToGrid w:val="0"/>
        <w:spacing w:before="156" w:beforeLines="50" w:line="560" w:lineRule="exact"/>
      </w:pPr>
    </w:p>
    <w:p w14:paraId="4C5D5040">
      <w:pPr>
        <w:adjustRightInd w:val="0"/>
        <w:snapToGrid w:val="0"/>
        <w:spacing w:before="156" w:beforeLines="50" w:line="560" w:lineRule="exact"/>
      </w:pPr>
    </w:p>
    <w:p w14:paraId="4080AB1F">
      <w:pPr>
        <w:adjustRightInd w:val="0"/>
        <w:snapToGrid w:val="0"/>
        <w:spacing w:before="156" w:beforeLines="50" w:line="560" w:lineRule="exact"/>
      </w:pPr>
    </w:p>
    <w:p w14:paraId="3406B7D7">
      <w:pPr>
        <w:adjustRightInd w:val="0"/>
        <w:snapToGrid w:val="0"/>
        <w:spacing w:before="156" w:beforeLines="50" w:line="560" w:lineRule="exact"/>
      </w:pPr>
    </w:p>
    <w:p w14:paraId="60F976BE">
      <w:pPr>
        <w:spacing w:before="156" w:beforeLines="50" w:line="560" w:lineRule="exact"/>
        <w:ind w:firstLine="482" w:firstLineChars="200"/>
        <w:jc w:val="center"/>
        <w:rPr>
          <w:rFonts w:ascii="宋体" w:hAnsi="宋体"/>
          <w:b/>
          <w:color w:val="000000"/>
          <w:sz w:val="24"/>
        </w:rPr>
      </w:pPr>
    </w:p>
    <w:p w14:paraId="15183DB3">
      <w:pPr>
        <w:spacing w:before="156" w:beforeLines="50" w:line="560" w:lineRule="exact"/>
        <w:ind w:firstLine="482" w:firstLineChars="200"/>
        <w:jc w:val="center"/>
        <w:rPr>
          <w:rFonts w:ascii="宋体" w:hAnsi="宋体"/>
          <w:b/>
          <w:color w:val="000000"/>
          <w:sz w:val="24"/>
        </w:rPr>
      </w:pPr>
    </w:p>
    <w:p w14:paraId="2CFA91FD">
      <w:pPr>
        <w:rPr>
          <w:rFonts w:hint="eastAsia" w:ascii="楷体_GB2312" w:hAnsi="楷体_GB2312" w:eastAsia="楷体_GB2312" w:cs="楷体_GB2312"/>
          <w:b/>
          <w:color w:val="000000"/>
          <w:sz w:val="32"/>
          <w:szCs w:val="32"/>
        </w:rPr>
      </w:pPr>
      <w:bookmarkStart w:id="473" w:name="_Toc21028"/>
    </w:p>
    <w:p w14:paraId="2A0BBC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5</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val="zh-CN"/>
        </w:rPr>
        <w:t>供应商认为在其他方面有必要说明的事项（格式自定）</w:t>
      </w:r>
      <w:bookmarkEnd w:id="473"/>
    </w:p>
    <w:p w14:paraId="3B9A16C6">
      <w:pPr>
        <w:spacing w:before="156" w:beforeLines="50" w:line="560" w:lineRule="exact"/>
        <w:ind w:firstLine="482" w:firstLineChars="200"/>
        <w:rPr>
          <w:rFonts w:ascii="宋体" w:hAnsi="宋体"/>
          <w:b/>
          <w:color w:val="000000"/>
          <w:sz w:val="24"/>
        </w:rPr>
      </w:pPr>
    </w:p>
    <w:p w14:paraId="7D74B0BF">
      <w:pPr>
        <w:spacing w:before="156" w:beforeLines="50" w:line="560" w:lineRule="exact"/>
        <w:ind w:firstLine="482" w:firstLineChars="200"/>
        <w:jc w:val="center"/>
        <w:rPr>
          <w:rFonts w:ascii="宋体" w:hAnsi="宋体"/>
          <w:b/>
          <w:color w:val="000000"/>
          <w:sz w:val="24"/>
        </w:rPr>
      </w:pPr>
    </w:p>
    <w:p w14:paraId="796B0961">
      <w:pPr>
        <w:spacing w:before="156" w:beforeLines="50" w:line="560" w:lineRule="exact"/>
        <w:ind w:firstLine="482" w:firstLineChars="200"/>
        <w:jc w:val="center"/>
        <w:rPr>
          <w:rFonts w:ascii="宋体" w:hAnsi="宋体"/>
          <w:b/>
          <w:color w:val="000000"/>
          <w:sz w:val="24"/>
        </w:rPr>
      </w:pPr>
    </w:p>
    <w:p w14:paraId="2C2C89BC">
      <w:pPr>
        <w:spacing w:before="156" w:beforeLines="50" w:line="560" w:lineRule="exact"/>
        <w:ind w:firstLine="482" w:firstLineChars="200"/>
        <w:jc w:val="center"/>
        <w:rPr>
          <w:rFonts w:ascii="宋体" w:hAnsi="宋体"/>
          <w:b/>
          <w:color w:val="000000"/>
          <w:sz w:val="24"/>
        </w:rPr>
      </w:pPr>
    </w:p>
    <w:p w14:paraId="0637AA91">
      <w:pPr>
        <w:spacing w:before="156" w:beforeLines="50" w:line="560" w:lineRule="exact"/>
        <w:ind w:firstLine="482" w:firstLineChars="200"/>
        <w:jc w:val="center"/>
        <w:rPr>
          <w:rFonts w:ascii="宋体" w:hAnsi="宋体"/>
          <w:b/>
          <w:color w:val="000000"/>
          <w:sz w:val="24"/>
        </w:rPr>
      </w:pPr>
    </w:p>
    <w:p w14:paraId="38988F11">
      <w:pPr>
        <w:spacing w:before="156" w:beforeLines="50" w:line="560" w:lineRule="exact"/>
        <w:ind w:firstLine="482" w:firstLineChars="200"/>
        <w:jc w:val="center"/>
        <w:rPr>
          <w:rFonts w:ascii="宋体" w:hAnsi="宋体"/>
          <w:b/>
          <w:color w:val="000000"/>
          <w:sz w:val="24"/>
        </w:rPr>
      </w:pPr>
    </w:p>
    <w:p w14:paraId="17BF4DF5">
      <w:pPr>
        <w:spacing w:before="156" w:beforeLines="50" w:line="560" w:lineRule="exact"/>
        <w:ind w:firstLine="482" w:firstLineChars="200"/>
        <w:jc w:val="center"/>
        <w:rPr>
          <w:rFonts w:ascii="宋体" w:hAnsi="宋体"/>
          <w:b/>
          <w:color w:val="000000"/>
          <w:sz w:val="24"/>
        </w:rPr>
      </w:pPr>
    </w:p>
    <w:p w14:paraId="05585E68">
      <w:pPr>
        <w:spacing w:before="156" w:beforeLines="50" w:line="560" w:lineRule="exact"/>
        <w:ind w:firstLine="482" w:firstLineChars="200"/>
        <w:jc w:val="center"/>
        <w:rPr>
          <w:rFonts w:ascii="宋体" w:hAnsi="宋体"/>
          <w:b/>
          <w:color w:val="000000"/>
          <w:sz w:val="24"/>
        </w:rPr>
      </w:pPr>
    </w:p>
    <w:p w14:paraId="71D51FDE">
      <w:pPr>
        <w:spacing w:before="156" w:beforeLines="50" w:line="560" w:lineRule="exact"/>
        <w:ind w:firstLine="482" w:firstLineChars="200"/>
        <w:jc w:val="center"/>
        <w:rPr>
          <w:rFonts w:ascii="宋体" w:hAnsi="宋体"/>
          <w:b/>
          <w:color w:val="000000"/>
          <w:sz w:val="24"/>
        </w:rPr>
      </w:pPr>
    </w:p>
    <w:p w14:paraId="1E0D3375">
      <w:pPr>
        <w:spacing w:before="156" w:beforeLines="50" w:line="560" w:lineRule="exact"/>
        <w:ind w:firstLine="482" w:firstLineChars="200"/>
        <w:jc w:val="center"/>
        <w:rPr>
          <w:rFonts w:ascii="宋体" w:hAnsi="宋体"/>
          <w:b/>
          <w:color w:val="000000"/>
          <w:sz w:val="24"/>
        </w:rPr>
      </w:pPr>
    </w:p>
    <w:p w14:paraId="05D9F6AD">
      <w:pPr>
        <w:spacing w:before="156" w:beforeLines="50" w:line="560" w:lineRule="exact"/>
        <w:ind w:firstLine="482" w:firstLineChars="200"/>
        <w:jc w:val="center"/>
        <w:rPr>
          <w:rFonts w:ascii="宋体" w:hAnsi="宋体"/>
          <w:b/>
          <w:color w:val="000000"/>
          <w:sz w:val="24"/>
        </w:rPr>
      </w:pPr>
    </w:p>
    <w:p w14:paraId="5DA497EC">
      <w:pPr>
        <w:spacing w:before="156" w:beforeLines="50" w:line="560" w:lineRule="exact"/>
        <w:ind w:firstLine="482" w:firstLineChars="200"/>
        <w:jc w:val="center"/>
        <w:rPr>
          <w:rFonts w:ascii="宋体" w:hAnsi="宋体"/>
          <w:b/>
          <w:color w:val="000000"/>
          <w:sz w:val="24"/>
        </w:rPr>
      </w:pPr>
    </w:p>
    <w:p w14:paraId="7CA24BEB">
      <w:pPr>
        <w:spacing w:before="156" w:beforeLines="50" w:line="560" w:lineRule="exact"/>
        <w:ind w:firstLine="482" w:firstLineChars="200"/>
        <w:jc w:val="center"/>
        <w:rPr>
          <w:rFonts w:ascii="宋体" w:hAnsi="宋体"/>
          <w:b/>
          <w:color w:val="000000"/>
          <w:sz w:val="24"/>
        </w:rPr>
      </w:pPr>
    </w:p>
    <w:p w14:paraId="19097DCB">
      <w:pPr>
        <w:spacing w:before="156" w:beforeLines="50" w:line="560" w:lineRule="exact"/>
        <w:ind w:firstLine="482" w:firstLineChars="200"/>
        <w:jc w:val="center"/>
        <w:rPr>
          <w:rFonts w:ascii="宋体" w:hAnsi="宋体"/>
          <w:b/>
          <w:color w:val="000000"/>
          <w:sz w:val="24"/>
        </w:rPr>
      </w:pPr>
    </w:p>
    <w:p w14:paraId="195F4292">
      <w:pPr>
        <w:spacing w:before="156" w:beforeLines="50" w:line="560" w:lineRule="exact"/>
        <w:ind w:firstLine="482" w:firstLineChars="200"/>
        <w:jc w:val="center"/>
        <w:rPr>
          <w:rFonts w:ascii="宋体" w:hAnsi="宋体"/>
          <w:b/>
          <w:color w:val="000000"/>
          <w:sz w:val="24"/>
        </w:rPr>
      </w:pPr>
    </w:p>
    <w:p w14:paraId="67203F69">
      <w:pPr>
        <w:spacing w:before="156" w:beforeLines="50" w:line="560" w:lineRule="exact"/>
        <w:ind w:firstLine="482" w:firstLineChars="200"/>
        <w:jc w:val="center"/>
        <w:rPr>
          <w:rFonts w:ascii="宋体" w:hAnsi="宋体"/>
          <w:b/>
          <w:color w:val="000000"/>
          <w:sz w:val="24"/>
        </w:rPr>
      </w:pPr>
    </w:p>
    <w:p w14:paraId="20D1C8B8">
      <w:pPr>
        <w:adjustRightInd w:val="0"/>
        <w:snapToGrid w:val="0"/>
        <w:spacing w:before="156" w:beforeLines="50" w:line="560" w:lineRule="exact"/>
        <w:rPr>
          <w:rFonts w:ascii="宋体" w:hAnsi="宋体"/>
          <w:szCs w:val="21"/>
          <w:highlight w:val="yellow"/>
        </w:rPr>
      </w:pPr>
    </w:p>
    <w:p w14:paraId="3866CA4C">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hint="eastAsia" w:ascii="楷体_GB2312" w:hAnsi="楷体_GB2312" w:eastAsia="楷体_GB2312" w:cs="楷体_GB2312"/>
          <w:b/>
          <w:color w:val="000000"/>
          <w:sz w:val="32"/>
          <w:szCs w:val="32"/>
        </w:rPr>
      </w:pPr>
      <w:bookmarkStart w:id="474" w:name="_Toc12068_WPSOffice_Level3"/>
      <w:bookmarkStart w:id="475" w:name="_Toc3267"/>
      <w:bookmarkStart w:id="476" w:name="_Toc21346"/>
      <w:bookmarkStart w:id="477" w:name="_Toc23033_WPSOffice_Level3"/>
    </w:p>
    <w:p w14:paraId="0E6DD206">
      <w:pPr>
        <w:keepNext w:val="0"/>
        <w:keepLines w:val="0"/>
        <w:pageBreakBefore w:val="0"/>
        <w:widowControl/>
        <w:kinsoku/>
        <w:wordWrap/>
        <w:overflowPunct/>
        <w:topLinePunct w:val="0"/>
        <w:autoSpaceDE/>
        <w:autoSpaceDN/>
        <w:bidi w:val="0"/>
        <w:adjustRightInd/>
        <w:snapToGrid w:val="0"/>
        <w:spacing w:line="400" w:lineRule="exact"/>
        <w:textAlignment w:val="auto"/>
        <w:outlineLvl w:val="1"/>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附件1</w:t>
      </w:r>
      <w:r>
        <w:rPr>
          <w:rFonts w:hint="eastAsia" w:ascii="楷体_GB2312" w:hAnsi="楷体_GB2312" w:eastAsia="楷体_GB2312" w:cs="楷体_GB2312"/>
          <w:b/>
          <w:color w:val="000000"/>
          <w:sz w:val="32"/>
          <w:szCs w:val="32"/>
          <w:lang w:val="en-US" w:eastAsia="zh-CN"/>
        </w:rPr>
        <w:t>6</w:t>
      </w:r>
      <w:r>
        <w:rPr>
          <w:rFonts w:hint="eastAsia" w:ascii="楷体_GB2312" w:hAnsi="楷体_GB2312" w:eastAsia="楷体_GB2312" w:cs="楷体_GB2312"/>
          <w:b/>
          <w:color w:val="000000"/>
          <w:sz w:val="32"/>
          <w:szCs w:val="32"/>
        </w:rPr>
        <w:t>：最后报价表</w:t>
      </w:r>
      <w:bookmarkEnd w:id="474"/>
      <w:bookmarkEnd w:id="475"/>
      <w:bookmarkEnd w:id="476"/>
      <w:bookmarkEnd w:id="477"/>
    </w:p>
    <w:p w14:paraId="08B407CA">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zh-CN"/>
        </w:rPr>
      </w:pPr>
      <w:bookmarkStart w:id="478" w:name="_Toc27699_WPSOffice_Level2"/>
      <w:bookmarkStart w:id="479" w:name="_Toc27800_WPSOffice_Level2"/>
    </w:p>
    <w:bookmarkEnd w:id="478"/>
    <w:bookmarkEnd w:id="479"/>
    <w:p w14:paraId="6FD71E65">
      <w:pPr>
        <w:autoSpaceDE w:val="0"/>
        <w:autoSpaceDN w:val="0"/>
        <w:adjustRightInd w:val="0"/>
        <w:spacing w:line="560" w:lineRule="exact"/>
        <w:ind w:left="283" w:leftChars="135"/>
        <w:jc w:val="center"/>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zh-CN"/>
        </w:rPr>
        <w:t>最后报价表</w:t>
      </w:r>
      <w:r>
        <w:rPr>
          <w:rFonts w:hint="eastAsia" w:ascii="仿宋_GB2312" w:hAnsi="仿宋_GB2312" w:eastAsia="仿宋_GB2312" w:cs="仿宋_GB2312"/>
          <w:b/>
          <w:color w:val="000000"/>
          <w:sz w:val="28"/>
          <w:szCs w:val="28"/>
          <w:lang w:val="en-US" w:eastAsia="zh-CN"/>
        </w:rPr>
        <w:t>按政采云系统填写并上传最终分项报价附件</w:t>
      </w:r>
    </w:p>
    <w:p w14:paraId="1316ABC5">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p>
    <w:p w14:paraId="69FDBAB9">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最终分项报价表</w:t>
      </w:r>
    </w:p>
    <w:p w14:paraId="3568F84E">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b w:val="0"/>
          <w:bCs w:val="0"/>
          <w:kern w:val="0"/>
          <w:sz w:val="24"/>
          <w:szCs w:val="24"/>
          <w:lang w:val="en-US" w:eastAsia="zh-CN" w:bidi="ar"/>
        </w:rPr>
      </w:pPr>
    </w:p>
    <w:p w14:paraId="2788FCAD">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b w:val="0"/>
          <w:bCs w:val="0"/>
          <w:kern w:val="0"/>
          <w:sz w:val="24"/>
          <w:szCs w:val="24"/>
          <w:lang w:val="en-US" w:eastAsia="zh-CN" w:bidi="ar"/>
        </w:rPr>
        <w:t xml:space="preserve">供应商名称：                                       单位：人民币(元)     </w:t>
      </w:r>
      <w:r>
        <w:rPr>
          <w:rFonts w:hint="eastAsia" w:ascii="仿宋" w:hAnsi="仿宋" w:eastAsia="仿宋" w:cs="仿宋"/>
          <w:b/>
          <w:bCs/>
          <w:kern w:val="0"/>
          <w:sz w:val="24"/>
          <w:szCs w:val="24"/>
          <w:lang w:val="en-US" w:eastAsia="zh-CN" w:bidi="ar"/>
        </w:rPr>
        <w:t xml:space="preserve">          </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636"/>
        <w:gridCol w:w="1653"/>
        <w:gridCol w:w="1212"/>
        <w:gridCol w:w="1148"/>
        <w:gridCol w:w="1678"/>
        <w:gridCol w:w="715"/>
        <w:gridCol w:w="841"/>
        <w:gridCol w:w="1230"/>
      </w:tblGrid>
      <w:tr w14:paraId="6308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8" w:space="0"/>
              <w:left w:val="single" w:color="000000" w:sz="8" w:space="0"/>
              <w:bottom w:val="single" w:color="000000" w:sz="6" w:space="0"/>
              <w:right w:val="single" w:color="000000" w:sz="6" w:space="0"/>
            </w:tcBorders>
            <w:shd w:val="clear" w:color="auto" w:fill="auto"/>
            <w:vAlign w:val="center"/>
          </w:tcPr>
          <w:p w14:paraId="5E19527A">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序号</w:t>
            </w:r>
          </w:p>
        </w:tc>
        <w:tc>
          <w:tcPr>
            <w:tcW w:w="1653" w:type="dxa"/>
            <w:tcBorders>
              <w:top w:val="single" w:color="000000" w:sz="8" w:space="0"/>
              <w:left w:val="nil"/>
              <w:bottom w:val="single" w:color="000000" w:sz="6" w:space="0"/>
              <w:right w:val="single" w:color="auto" w:sz="4" w:space="0"/>
            </w:tcBorders>
            <w:shd w:val="clear" w:color="auto" w:fill="auto"/>
            <w:vAlign w:val="center"/>
          </w:tcPr>
          <w:p w14:paraId="01B3D1AC">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产品名称</w:t>
            </w:r>
          </w:p>
        </w:tc>
        <w:tc>
          <w:tcPr>
            <w:tcW w:w="1212" w:type="dxa"/>
            <w:tcBorders>
              <w:top w:val="single" w:color="000000" w:sz="8" w:space="0"/>
              <w:left w:val="nil"/>
              <w:bottom w:val="single" w:color="000000" w:sz="6" w:space="0"/>
              <w:right w:val="single" w:color="000000" w:sz="6" w:space="0"/>
            </w:tcBorders>
            <w:shd w:val="clear" w:color="auto" w:fill="auto"/>
            <w:vAlign w:val="center"/>
          </w:tcPr>
          <w:p w14:paraId="17091046">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规格</w:t>
            </w:r>
          </w:p>
        </w:tc>
        <w:tc>
          <w:tcPr>
            <w:tcW w:w="1148" w:type="dxa"/>
            <w:tcBorders>
              <w:top w:val="single" w:color="000000" w:sz="8" w:space="0"/>
              <w:left w:val="nil"/>
              <w:bottom w:val="single" w:color="000000" w:sz="6" w:space="0"/>
              <w:right w:val="single" w:color="000000" w:sz="6" w:space="0"/>
            </w:tcBorders>
            <w:shd w:val="clear" w:color="auto" w:fill="auto"/>
            <w:vAlign w:val="center"/>
          </w:tcPr>
          <w:p w14:paraId="7A724C65">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生产厂家</w:t>
            </w:r>
          </w:p>
        </w:tc>
        <w:tc>
          <w:tcPr>
            <w:tcW w:w="1678" w:type="dxa"/>
            <w:tcBorders>
              <w:top w:val="single" w:color="000000" w:sz="8" w:space="0"/>
              <w:left w:val="nil"/>
              <w:bottom w:val="single" w:color="000000" w:sz="6" w:space="0"/>
              <w:right w:val="single" w:color="000000" w:sz="6" w:space="0"/>
            </w:tcBorders>
            <w:shd w:val="clear" w:color="auto" w:fill="auto"/>
            <w:vAlign w:val="center"/>
          </w:tcPr>
          <w:p w14:paraId="7FE3BC9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数量及单位</w:t>
            </w:r>
          </w:p>
        </w:tc>
        <w:tc>
          <w:tcPr>
            <w:tcW w:w="715" w:type="dxa"/>
            <w:tcBorders>
              <w:top w:val="single" w:color="000000" w:sz="8" w:space="0"/>
              <w:left w:val="nil"/>
              <w:bottom w:val="single" w:color="000000" w:sz="6" w:space="0"/>
              <w:right w:val="single" w:color="000000" w:sz="6" w:space="0"/>
            </w:tcBorders>
            <w:shd w:val="clear" w:color="auto" w:fill="auto"/>
            <w:vAlign w:val="center"/>
          </w:tcPr>
          <w:p w14:paraId="35B35DE8">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单价</w:t>
            </w:r>
          </w:p>
        </w:tc>
        <w:tc>
          <w:tcPr>
            <w:tcW w:w="841" w:type="dxa"/>
            <w:tcBorders>
              <w:top w:val="single" w:color="000000" w:sz="8" w:space="0"/>
              <w:left w:val="nil"/>
              <w:bottom w:val="single" w:color="000000" w:sz="6" w:space="0"/>
              <w:right w:val="single" w:color="000000" w:sz="6" w:space="0"/>
            </w:tcBorders>
            <w:shd w:val="clear" w:color="auto" w:fill="auto"/>
            <w:vAlign w:val="center"/>
          </w:tcPr>
          <w:p w14:paraId="4171060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合计</w:t>
            </w:r>
          </w:p>
        </w:tc>
        <w:tc>
          <w:tcPr>
            <w:tcW w:w="1230" w:type="dxa"/>
            <w:tcBorders>
              <w:top w:val="single" w:color="000000" w:sz="8" w:space="0"/>
              <w:left w:val="nil"/>
              <w:bottom w:val="single" w:color="000000" w:sz="6" w:space="0"/>
              <w:right w:val="single" w:color="000000" w:sz="8" w:space="0"/>
            </w:tcBorders>
            <w:shd w:val="clear" w:color="auto" w:fill="auto"/>
            <w:vAlign w:val="center"/>
          </w:tcPr>
          <w:p w14:paraId="0F97923B">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备注</w:t>
            </w:r>
          </w:p>
        </w:tc>
      </w:tr>
      <w:tr w14:paraId="083A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B6DAE60">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4796E3F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2013573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0ACBAFA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578DC3E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DD9EB6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0C6DEA2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31BF8FF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333D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00EE94AF">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2</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7804517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236C848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2B029C1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AE2AD4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1DC23BE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7792403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044D08C">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16F5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1C34979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3</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50A931B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E14D298">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152C572A">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583B5E37">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49BCB61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22EA96B6">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098C60D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7F87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8B3CB93">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4</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6380FD1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6E225C22">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595278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374FFE9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00A5E783">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16366A0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5FC6DE40">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53E6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636" w:type="dxa"/>
            <w:tcBorders>
              <w:top w:val="single" w:color="000000" w:sz="6" w:space="0"/>
              <w:left w:val="single" w:color="000000" w:sz="8" w:space="0"/>
              <w:bottom w:val="single" w:color="000000" w:sz="6" w:space="0"/>
              <w:right w:val="single" w:color="000000" w:sz="6" w:space="0"/>
            </w:tcBorders>
            <w:shd w:val="clear" w:color="auto" w:fill="auto"/>
            <w:vAlign w:val="center"/>
          </w:tcPr>
          <w:p w14:paraId="73A9D07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w:t>
            </w:r>
          </w:p>
        </w:tc>
        <w:tc>
          <w:tcPr>
            <w:tcW w:w="1653" w:type="dxa"/>
            <w:tcBorders>
              <w:top w:val="single" w:color="000000" w:sz="6" w:space="0"/>
              <w:left w:val="nil"/>
              <w:bottom w:val="single" w:color="000000" w:sz="6" w:space="0"/>
              <w:right w:val="single" w:color="auto" w:sz="4" w:space="0"/>
            </w:tcBorders>
            <w:shd w:val="clear" w:color="auto" w:fill="auto"/>
            <w:vAlign w:val="center"/>
          </w:tcPr>
          <w:p w14:paraId="3BA0D10F">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12" w:type="dxa"/>
            <w:tcBorders>
              <w:top w:val="single" w:color="000000" w:sz="6" w:space="0"/>
              <w:left w:val="nil"/>
              <w:bottom w:val="single" w:color="000000" w:sz="6" w:space="0"/>
              <w:right w:val="single" w:color="000000" w:sz="6" w:space="0"/>
            </w:tcBorders>
            <w:shd w:val="clear" w:color="auto" w:fill="auto"/>
            <w:vAlign w:val="center"/>
          </w:tcPr>
          <w:p w14:paraId="3AC9B74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148" w:type="dxa"/>
            <w:tcBorders>
              <w:top w:val="single" w:color="000000" w:sz="6" w:space="0"/>
              <w:left w:val="nil"/>
              <w:bottom w:val="single" w:color="000000" w:sz="6" w:space="0"/>
              <w:right w:val="single" w:color="000000" w:sz="6" w:space="0"/>
            </w:tcBorders>
            <w:shd w:val="clear" w:color="auto" w:fill="auto"/>
            <w:vAlign w:val="center"/>
          </w:tcPr>
          <w:p w14:paraId="55B5248E">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678" w:type="dxa"/>
            <w:tcBorders>
              <w:top w:val="single" w:color="000000" w:sz="6" w:space="0"/>
              <w:left w:val="nil"/>
              <w:bottom w:val="single" w:color="000000" w:sz="6" w:space="0"/>
              <w:right w:val="single" w:color="000000" w:sz="6" w:space="0"/>
            </w:tcBorders>
            <w:shd w:val="clear" w:color="auto" w:fill="auto"/>
            <w:vAlign w:val="center"/>
          </w:tcPr>
          <w:p w14:paraId="01A8B911">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14:paraId="583DA139">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841" w:type="dxa"/>
            <w:tcBorders>
              <w:top w:val="single" w:color="000000" w:sz="6" w:space="0"/>
              <w:left w:val="nil"/>
              <w:bottom w:val="single" w:color="000000" w:sz="6" w:space="0"/>
              <w:right w:val="single" w:color="000000" w:sz="6" w:space="0"/>
            </w:tcBorders>
            <w:shd w:val="clear" w:color="auto" w:fill="auto"/>
            <w:vAlign w:val="center"/>
          </w:tcPr>
          <w:p w14:paraId="02B772C5">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c>
          <w:tcPr>
            <w:tcW w:w="1230" w:type="dxa"/>
            <w:tcBorders>
              <w:top w:val="single" w:color="000000" w:sz="6" w:space="0"/>
              <w:left w:val="nil"/>
              <w:bottom w:val="single" w:color="000000" w:sz="6" w:space="0"/>
              <w:right w:val="single" w:color="000000" w:sz="8" w:space="0"/>
            </w:tcBorders>
            <w:shd w:val="clear" w:color="auto" w:fill="auto"/>
            <w:vAlign w:val="center"/>
          </w:tcPr>
          <w:p w14:paraId="144E728B">
            <w:pPr>
              <w:keepNext w:val="0"/>
              <w:keepLines w:val="0"/>
              <w:widowControl w:val="0"/>
              <w:suppressLineNumbers w:val="0"/>
              <w:suppressAutoHyphens/>
              <w:snapToGrid w:val="0"/>
              <w:spacing w:before="0" w:beforeAutospacing="0" w:after="0" w:afterAutospacing="0" w:line="360" w:lineRule="auto"/>
              <w:ind w:left="0" w:right="0"/>
              <w:jc w:val="center"/>
              <w:rPr>
                <w:rFonts w:hint="eastAsia" w:ascii="仿宋" w:hAnsi="仿宋" w:eastAsia="仿宋" w:cs="仿宋"/>
                <w:kern w:val="0"/>
                <w:sz w:val="24"/>
                <w:szCs w:val="24"/>
              </w:rPr>
            </w:pPr>
          </w:p>
        </w:tc>
      </w:tr>
      <w:tr w14:paraId="32AD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4" w:hRule="atLeast"/>
          <w:jc w:val="center"/>
        </w:trPr>
        <w:tc>
          <w:tcPr>
            <w:tcW w:w="228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32A394CD">
            <w:pPr>
              <w:keepNext w:val="0"/>
              <w:keepLines w:val="0"/>
              <w:widowControl w:val="0"/>
              <w:suppressLineNumbers w:val="0"/>
              <w:suppressAutoHyphens/>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总价</w:t>
            </w:r>
          </w:p>
        </w:tc>
        <w:tc>
          <w:tcPr>
            <w:tcW w:w="6824" w:type="dxa"/>
            <w:gridSpan w:val="6"/>
            <w:tcBorders>
              <w:top w:val="single" w:color="000000" w:sz="6" w:space="0"/>
              <w:left w:val="nil"/>
              <w:bottom w:val="single" w:color="000000" w:sz="8" w:space="0"/>
              <w:right w:val="single" w:color="000000" w:sz="8" w:space="0"/>
            </w:tcBorders>
            <w:shd w:val="clear" w:color="auto" w:fill="auto"/>
            <w:vAlign w:val="center"/>
          </w:tcPr>
          <w:p w14:paraId="109F12B9">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大写：</w:t>
            </w:r>
          </w:p>
          <w:p w14:paraId="6DBA32F0">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小写：</w:t>
            </w:r>
          </w:p>
        </w:tc>
      </w:tr>
    </w:tbl>
    <w:p w14:paraId="15EE2C71">
      <w:pPr>
        <w:keepNext w:val="0"/>
        <w:keepLines w:val="0"/>
        <w:widowControl w:val="0"/>
        <w:suppressLineNumbers w:val="0"/>
        <w:suppressAutoHyphens/>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注：1.本表应依照每包采购一览表中的产品序号按顺序逐项填写，不得遗漏。</w:t>
      </w:r>
    </w:p>
    <w:p w14:paraId="299AEEF7">
      <w:pPr>
        <w:keepNext w:val="0"/>
        <w:keepLines w:val="0"/>
        <w:widowControl w:val="0"/>
        <w:suppressLineNumbers w:val="0"/>
        <w:suppressAutoHyphens/>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0"/>
          <w:sz w:val="24"/>
          <w:szCs w:val="24"/>
          <w:lang w:val="en-US" w:eastAsia="zh-CN" w:bidi="ar"/>
        </w:rPr>
        <w:t xml:space="preserve">    2.投标报价不能有两个或两个以上的报价方案。</w:t>
      </w:r>
    </w:p>
    <w:p w14:paraId="019493D9">
      <w:pPr>
        <w:keepNext w:val="0"/>
        <w:keepLines w:val="0"/>
        <w:widowControl/>
        <w:suppressLineNumbers w:val="0"/>
        <w:autoSpaceDE w:val="0"/>
        <w:autoSpaceDN/>
        <w:snapToGrid w:val="0"/>
        <w:spacing w:before="0" w:beforeAutospacing="0" w:after="0" w:afterAutospacing="0" w:line="400" w:lineRule="exact"/>
        <w:ind w:left="0" w:right="0"/>
        <w:jc w:val="both"/>
        <w:outlineLvl w:val="1"/>
        <w:rPr>
          <w:rFonts w:hint="default" w:ascii="楷体_GB2312" w:eastAsia="楷体_GB2312" w:cs="楷体_GB2312"/>
          <w:b/>
          <w:bCs w:val="0"/>
          <w:color w:val="000000"/>
          <w:kern w:val="2"/>
          <w:sz w:val="32"/>
          <w:szCs w:val="32"/>
        </w:rPr>
      </w:pPr>
      <w:r>
        <w:rPr>
          <w:rFonts w:hint="default" w:ascii="楷体_GB2312" w:hAnsi="Times New Roman" w:eastAsia="楷体_GB2312" w:cs="楷体_GB2312"/>
          <w:b/>
          <w:bCs w:val="0"/>
          <w:color w:val="000000"/>
          <w:kern w:val="2"/>
          <w:sz w:val="32"/>
          <w:szCs w:val="32"/>
          <w:lang w:val="en-US" w:eastAsia="zh-CN" w:bidi="ar"/>
        </w:rPr>
        <w:t xml:space="preserve"> </w:t>
      </w:r>
    </w:p>
    <w:p w14:paraId="50A2BB35">
      <w:pPr>
        <w:keepNext w:val="0"/>
        <w:keepLines w:val="0"/>
        <w:widowControl w:val="0"/>
        <w:suppressLineNumbers w:val="0"/>
        <w:spacing w:before="0" w:beforeAutospacing="0" w:after="0" w:afterAutospacing="0" w:line="560" w:lineRule="exact"/>
        <w:ind w:left="0" w:right="0" w:firstLine="640" w:firstLineChars="200"/>
        <w:jc w:val="center"/>
        <w:rPr>
          <w:rFonts w:hint="default" w:ascii="仿宋_GB2312" w:eastAsia="仿宋_GB2312" w:cs="仿宋_GB2312"/>
          <w:bCs/>
          <w:color w:val="000000"/>
          <w:kern w:val="2"/>
          <w:sz w:val="32"/>
          <w:szCs w:val="32"/>
        </w:rPr>
      </w:pPr>
      <w:r>
        <w:rPr>
          <w:rFonts w:hint="default" w:ascii="仿宋_GB2312" w:hAnsi="Times New Roman" w:eastAsia="仿宋_GB2312" w:cs="仿宋_GB2312"/>
          <w:bCs/>
          <w:color w:val="000000"/>
          <w:kern w:val="2"/>
          <w:sz w:val="32"/>
          <w:szCs w:val="32"/>
          <w:lang w:val="en-US" w:eastAsia="zh-CN" w:bidi="ar"/>
        </w:rPr>
        <w:t xml:space="preserve"> </w:t>
      </w:r>
    </w:p>
    <w:p w14:paraId="6C264FE2">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单位名称：</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（公章）</w:t>
      </w:r>
    </w:p>
    <w:p w14:paraId="2D8A0FD0">
      <w:pPr>
        <w:keepNext w:val="0"/>
        <w:keepLines w:val="0"/>
        <w:widowControl w:val="0"/>
        <w:suppressLineNumbers w:val="0"/>
        <w:autoSpaceDE w:val="0"/>
        <w:autoSpaceDN/>
        <w:spacing w:before="0" w:beforeAutospacing="0" w:after="0" w:afterAutospacing="0" w:line="500" w:lineRule="exact"/>
        <w:ind w:left="0" w:right="0" w:firstLine="480" w:firstLineChars="200"/>
        <w:jc w:val="center"/>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法定代表人或委托代理人：</w:t>
      </w:r>
      <w:r>
        <w:rPr>
          <w:rFonts w:hint="default" w:ascii="仿宋_GB2312" w:hAnsi="Times New Roman" w:eastAsia="仿宋_GB2312" w:cs="仿宋_GB2312"/>
          <w:bCs/>
          <w:color w:val="000000"/>
          <w:kern w:val="2"/>
          <w:sz w:val="24"/>
          <w:szCs w:val="24"/>
          <w:u w:val="single"/>
          <w:lang w:val="en-US" w:eastAsia="zh-CN" w:bidi="ar"/>
        </w:rPr>
        <w:t xml:space="preserve">         </w:t>
      </w:r>
      <w:r>
        <w:rPr>
          <w:rFonts w:hint="default" w:ascii="仿宋_GB2312" w:hAnsi="Times New Roman" w:eastAsia="仿宋_GB2312" w:cs="仿宋_GB2312"/>
          <w:bCs/>
          <w:color w:val="000000"/>
          <w:kern w:val="2"/>
          <w:sz w:val="24"/>
          <w:szCs w:val="24"/>
          <w:lang w:val="en-US" w:eastAsia="zh-CN" w:bidi="ar"/>
        </w:rPr>
        <w:t>（签字或盖章）</w:t>
      </w:r>
    </w:p>
    <w:p w14:paraId="5B63FEB0">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Cs/>
          <w:color w:val="000000"/>
          <w:kern w:val="2"/>
          <w:sz w:val="24"/>
          <w:szCs w:val="24"/>
        </w:rPr>
      </w:pPr>
      <w:r>
        <w:rPr>
          <w:rFonts w:hint="default" w:ascii="仿宋_GB2312" w:hAnsi="Times New Roman" w:eastAsia="仿宋_GB2312" w:cs="仿宋_GB2312"/>
          <w:bCs/>
          <w:color w:val="000000"/>
          <w:kern w:val="2"/>
          <w:sz w:val="24"/>
          <w:szCs w:val="24"/>
          <w:lang w:val="en-US" w:eastAsia="zh-CN" w:bidi="ar"/>
        </w:rPr>
        <w:t xml:space="preserve">                                                    </w:t>
      </w:r>
    </w:p>
    <w:p w14:paraId="22D7A28F">
      <w:pPr>
        <w:keepNext w:val="0"/>
        <w:keepLines w:val="0"/>
        <w:widowControl w:val="0"/>
        <w:suppressLineNumbers w:val="0"/>
        <w:spacing w:before="0" w:beforeAutospacing="0" w:after="0" w:afterAutospacing="0"/>
        <w:ind w:left="0" w:right="0"/>
        <w:jc w:val="both"/>
      </w:pPr>
      <w:r>
        <w:rPr>
          <w:rFonts w:hint="default" w:ascii="仿宋_GB2312" w:hAnsi="Times New Roman" w:eastAsia="仿宋_GB2312" w:cs="仿宋_GB2312"/>
          <w:bCs/>
          <w:color w:val="000000"/>
          <w:kern w:val="2"/>
          <w:sz w:val="24"/>
          <w:szCs w:val="24"/>
          <w:lang w:val="en-US" w:eastAsia="zh-CN" w:bidi="ar"/>
        </w:rPr>
        <w:t xml:space="preserve">                                             年  月  日</w:t>
      </w:r>
    </w:p>
    <w:p w14:paraId="07D106F6">
      <w:pPr>
        <w:autoSpaceDE w:val="0"/>
        <w:autoSpaceDN w:val="0"/>
        <w:adjustRightInd w:val="0"/>
        <w:spacing w:line="560" w:lineRule="exact"/>
        <w:ind w:left="283" w:leftChars="135"/>
        <w:jc w:val="center"/>
        <w:rPr>
          <w:rFonts w:hint="default" w:ascii="仿宋_GB2312" w:hAnsi="仿宋_GB2312" w:eastAsia="仿宋_GB2312" w:cs="仿宋_GB2312"/>
          <w:b/>
          <w:color w:val="000000"/>
          <w:sz w:val="28"/>
          <w:szCs w:val="28"/>
          <w:lang w:val="en-US" w:eastAsia="zh-CN"/>
        </w:rPr>
      </w:pPr>
    </w:p>
    <w:p w14:paraId="20B4B38F">
      <w:pPr>
        <w:spacing w:line="560" w:lineRule="exact"/>
        <w:ind w:firstLine="640" w:firstLineChars="200"/>
        <w:jc w:val="center"/>
        <w:rPr>
          <w:rFonts w:ascii="仿宋_GB2312" w:hAnsi="仿宋_GB2312" w:eastAsia="仿宋_GB2312" w:cs="仿宋_GB2312"/>
          <w:bCs/>
          <w:color w:val="000000"/>
          <w:sz w:val="32"/>
          <w:szCs w:val="32"/>
        </w:rPr>
      </w:pPr>
    </w:p>
    <w:p w14:paraId="2D744ED2">
      <w:pPr>
        <w:rPr>
          <w:rFonts w:ascii="宋体" w:hAnsi="宋体"/>
          <w:b/>
          <w:color w:val="000000"/>
          <w:sz w:val="24"/>
        </w:rPr>
      </w:pPr>
      <w:r>
        <w:rPr>
          <w:rFonts w:hint="eastAsia" w:ascii="宋体" w:hAnsi="宋体"/>
          <w:b/>
          <w:color w:val="000000"/>
          <w:sz w:val="24"/>
        </w:rPr>
        <w:br w:type="page"/>
      </w:r>
    </w:p>
    <w:p w14:paraId="1F7EB303">
      <w:pPr>
        <w:pStyle w:val="2"/>
        <w:adjustRightInd w:val="0"/>
        <w:snapToGrid w:val="0"/>
        <w:spacing w:before="156" w:beforeLines="50" w:line="560" w:lineRule="exact"/>
        <w:rPr>
          <w:rFonts w:ascii="华文中宋" w:hAnsi="华文中宋" w:eastAsia="华文中宋" w:cs="华文中宋"/>
          <w:b w:val="0"/>
          <w:bCs w:val="0"/>
          <w:sz w:val="44"/>
          <w:szCs w:val="44"/>
        </w:rPr>
      </w:pPr>
      <w:bookmarkStart w:id="480" w:name="_Toc376936766"/>
      <w:bookmarkStart w:id="481" w:name="_Toc7329_WPSOffice_Level1"/>
      <w:bookmarkStart w:id="482" w:name="_Toc17985"/>
      <w:bookmarkStart w:id="483" w:name="_Toc24112_WPSOffice_Level1"/>
      <w:bookmarkStart w:id="484" w:name="_Toc5169"/>
      <w:bookmarkStart w:id="485" w:name="_Toc16779_WPSOffice_Level1"/>
      <w:bookmarkStart w:id="486" w:name="_Toc5233"/>
      <w:bookmarkStart w:id="487" w:name="_Toc16082_WPSOffice_Level1"/>
      <w:bookmarkStart w:id="488" w:name="_Toc27557_WPSOffice_Level1"/>
      <w:bookmarkStart w:id="489" w:name="_Toc12949996"/>
      <w:bookmarkStart w:id="490" w:name="_Toc23722_WPSOffice_Level1"/>
      <w:bookmarkStart w:id="491" w:name="_Toc416183225"/>
      <w:bookmarkStart w:id="492" w:name="_Toc23740"/>
      <w:r>
        <w:rPr>
          <w:rFonts w:hint="eastAsia" w:ascii="华文中宋" w:hAnsi="华文中宋" w:eastAsia="华文中宋" w:cs="华文中宋"/>
          <w:b w:val="0"/>
          <w:bCs w:val="0"/>
          <w:sz w:val="36"/>
          <w:szCs w:val="36"/>
        </w:rPr>
        <w:t>第五部分</w:t>
      </w:r>
      <w:bookmarkEnd w:id="480"/>
      <w:r>
        <w:rPr>
          <w:rFonts w:hint="eastAsia" w:ascii="华文中宋" w:hAnsi="华文中宋" w:eastAsia="华文中宋" w:cs="华文中宋"/>
          <w:b w:val="0"/>
          <w:bCs w:val="0"/>
          <w:sz w:val="36"/>
          <w:szCs w:val="36"/>
          <w:lang w:val="en-US" w:eastAsia="zh-CN"/>
        </w:rPr>
        <w:t xml:space="preserve">  </w:t>
      </w:r>
      <w:r>
        <w:rPr>
          <w:rFonts w:hint="eastAsia" w:ascii="华文中宋" w:hAnsi="华文中宋" w:eastAsia="华文中宋" w:cs="华文中宋"/>
          <w:b w:val="0"/>
          <w:bCs w:val="0"/>
          <w:sz w:val="36"/>
          <w:szCs w:val="36"/>
        </w:rPr>
        <w:t>青海省政府采购项目合同书范本</w:t>
      </w:r>
      <w:bookmarkEnd w:id="481"/>
      <w:bookmarkEnd w:id="482"/>
      <w:bookmarkEnd w:id="483"/>
      <w:bookmarkEnd w:id="484"/>
    </w:p>
    <w:bookmarkEnd w:id="485"/>
    <w:bookmarkEnd w:id="486"/>
    <w:bookmarkEnd w:id="487"/>
    <w:bookmarkEnd w:id="488"/>
    <w:bookmarkEnd w:id="489"/>
    <w:bookmarkEnd w:id="490"/>
    <w:bookmarkEnd w:id="491"/>
    <w:bookmarkEnd w:id="492"/>
    <w:p w14:paraId="54DCC3C5">
      <w:pPr>
        <w:adjustRightInd w:val="0"/>
        <w:snapToGrid w:val="0"/>
        <w:spacing w:before="156" w:beforeLines="50" w:line="560" w:lineRule="exact"/>
        <w:outlineLvl w:val="0"/>
        <w:rPr>
          <w:rFonts w:ascii="宋体" w:hAnsi="宋体"/>
          <w:bCs/>
          <w:szCs w:val="21"/>
        </w:rPr>
      </w:pPr>
      <w:bookmarkStart w:id="493" w:name="_Toc375576842"/>
      <w:bookmarkStart w:id="494" w:name="_Toc373936315"/>
      <w:bookmarkStart w:id="495" w:name="_Toc373954603"/>
    </w:p>
    <w:bookmarkEnd w:id="493"/>
    <w:bookmarkEnd w:id="494"/>
    <w:bookmarkEnd w:id="495"/>
    <w:p w14:paraId="39B5BBB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BF94E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bCs/>
          <w:kern w:val="0"/>
          <w:sz w:val="48"/>
          <w:szCs w:val="48"/>
          <w:lang w:val="en-US" w:eastAsia="zh-CN" w:bidi="ar"/>
        </w:rPr>
      </w:pPr>
    </w:p>
    <w:p w14:paraId="7A99784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Calibri"/>
          <w:b/>
          <w:bCs/>
          <w:kern w:val="0"/>
          <w:sz w:val="48"/>
          <w:szCs w:val="48"/>
        </w:rPr>
      </w:pPr>
      <w:r>
        <w:rPr>
          <w:rFonts w:hint="eastAsia" w:ascii="仿宋" w:hAnsi="仿宋" w:eastAsia="仿宋" w:cs="仿宋"/>
          <w:b/>
          <w:bCs/>
          <w:kern w:val="0"/>
          <w:sz w:val="48"/>
          <w:szCs w:val="48"/>
          <w:lang w:val="en-US" w:eastAsia="zh-CN" w:bidi="ar"/>
        </w:rPr>
        <w:t>青海省政府采购项目合同书</w:t>
      </w:r>
    </w:p>
    <w:p w14:paraId="14C5ADC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BEB175B">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100002F">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37AADB19">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2671B411">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采购项目名称：</w:t>
      </w:r>
      <w:r>
        <w:rPr>
          <w:rFonts w:hint="eastAsia" w:ascii="仿宋" w:hAnsi="仿宋" w:eastAsia="仿宋" w:cs="仿宋"/>
          <w:b/>
          <w:bCs/>
          <w:kern w:val="0"/>
          <w:sz w:val="30"/>
          <w:szCs w:val="30"/>
          <w:u w:val="single"/>
          <w:lang w:val="en-US" w:eastAsia="zh-CN" w:bidi="ar"/>
        </w:rPr>
        <w:t>贵德县新街乡高原夏菜种植基地建设项目（货物采购）</w:t>
      </w:r>
    </w:p>
    <w:p w14:paraId="4A4E4E2A">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30"/>
          <w:szCs w:val="30"/>
          <w:u w:val="single"/>
          <w:lang w:val="en-US" w:eastAsia="zh-CN" w:bidi="ar"/>
        </w:rPr>
      </w:pPr>
      <w:r>
        <w:rPr>
          <w:rFonts w:hint="eastAsia" w:ascii="仿宋" w:hAnsi="仿宋" w:eastAsia="仿宋" w:cs="仿宋"/>
          <w:b/>
          <w:bCs/>
          <w:kern w:val="0"/>
          <w:sz w:val="30"/>
          <w:szCs w:val="30"/>
          <w:lang w:val="en-US" w:eastAsia="zh-CN" w:bidi="ar"/>
        </w:rPr>
        <w:t>采购项目编号：</w:t>
      </w:r>
      <w:r>
        <w:rPr>
          <w:rFonts w:hint="eastAsia" w:ascii="仿宋" w:hAnsi="仿宋" w:eastAsia="仿宋" w:cs="仿宋"/>
          <w:b/>
          <w:bCs/>
          <w:kern w:val="0"/>
          <w:sz w:val="30"/>
          <w:szCs w:val="30"/>
          <w:u w:val="single"/>
          <w:lang w:val="en-US" w:eastAsia="zh-CN" w:bidi="ar"/>
        </w:rPr>
        <w:t xml:space="preserve">青海聚鑫竞谈（货物）2025-017        </w:t>
      </w:r>
    </w:p>
    <w:p w14:paraId="7BD0BBA4">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rPr>
      </w:pPr>
      <w:r>
        <w:rPr>
          <w:rFonts w:hint="eastAsia" w:ascii="仿宋" w:hAnsi="仿宋" w:eastAsia="仿宋" w:cs="仿宋"/>
          <w:b/>
          <w:bCs/>
          <w:kern w:val="0"/>
          <w:sz w:val="30"/>
          <w:szCs w:val="30"/>
          <w:lang w:val="en-US" w:eastAsia="zh-CN" w:bidi="ar"/>
        </w:rPr>
        <w:t>采购包号：</w:t>
      </w:r>
      <w:r>
        <w:rPr>
          <w:rFonts w:hint="eastAsia" w:ascii="仿宋" w:hAnsi="仿宋" w:eastAsia="仿宋" w:cs="宋体"/>
          <w:b/>
          <w:bCs/>
          <w:kern w:val="0"/>
          <w:sz w:val="30"/>
          <w:szCs w:val="30"/>
          <w:u w:val="single"/>
          <w:lang w:val="en-US" w:eastAsia="zh-CN" w:bidi="ar"/>
        </w:rPr>
        <w:t xml:space="preserve">                                        </w:t>
      </w:r>
      <w:r>
        <w:rPr>
          <w:rFonts w:hint="eastAsia" w:ascii="仿宋" w:hAnsi="仿宋" w:eastAsia="仿宋" w:cs="宋体"/>
          <w:b/>
          <w:bCs/>
          <w:kern w:val="0"/>
          <w:sz w:val="30"/>
          <w:szCs w:val="30"/>
          <w:lang w:val="en-US" w:eastAsia="zh-CN" w:bidi="ar"/>
        </w:rPr>
        <w:t xml:space="preserve"> </w:t>
      </w:r>
    </w:p>
    <w:p w14:paraId="4DBBA44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宋体"/>
          <w:b/>
          <w:bCs/>
          <w:kern w:val="0"/>
          <w:sz w:val="30"/>
          <w:szCs w:val="30"/>
          <w:u w:val="single"/>
        </w:rPr>
      </w:pPr>
      <w:r>
        <w:rPr>
          <w:rFonts w:hint="eastAsia" w:ascii="仿宋" w:hAnsi="仿宋" w:eastAsia="仿宋" w:cs="仿宋"/>
          <w:b/>
          <w:bCs/>
          <w:kern w:val="0"/>
          <w:sz w:val="30"/>
          <w:szCs w:val="30"/>
          <w:lang w:val="en-US" w:eastAsia="zh-CN" w:bidi="ar"/>
        </w:rPr>
        <w:t>采购合同编号：</w:t>
      </w:r>
      <w:r>
        <w:rPr>
          <w:rFonts w:hint="eastAsia" w:ascii="仿宋" w:hAnsi="仿宋" w:eastAsia="仿宋" w:cs="仿宋"/>
          <w:b/>
          <w:bCs/>
          <w:kern w:val="0"/>
          <w:sz w:val="30"/>
          <w:szCs w:val="30"/>
          <w:u w:val="single"/>
          <w:lang w:val="en-US" w:eastAsia="zh-CN" w:bidi="ar"/>
        </w:rPr>
        <w:t>QHJX-2025-017</w:t>
      </w:r>
      <w:r>
        <w:rPr>
          <w:rFonts w:hint="eastAsia" w:ascii="仿宋" w:hAnsi="仿宋" w:eastAsia="仿宋" w:cs="宋体"/>
          <w:b/>
          <w:bCs/>
          <w:kern w:val="0"/>
          <w:sz w:val="30"/>
          <w:szCs w:val="30"/>
          <w:u w:val="single"/>
          <w:lang w:val="en-US" w:eastAsia="zh-CN" w:bidi="ar"/>
        </w:rPr>
        <w:t xml:space="preserve">                       </w:t>
      </w:r>
    </w:p>
    <w:p w14:paraId="2EF23C5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合同金额（人民币）：</w:t>
      </w:r>
      <w:r>
        <w:rPr>
          <w:rFonts w:hint="eastAsia" w:ascii="仿宋" w:hAnsi="仿宋" w:eastAsia="仿宋" w:cs="Calibri"/>
          <w:b/>
          <w:bCs/>
          <w:kern w:val="0"/>
          <w:sz w:val="30"/>
          <w:szCs w:val="30"/>
          <w:u w:val="single"/>
          <w:lang w:val="en-US" w:eastAsia="zh-CN" w:bidi="ar"/>
        </w:rPr>
        <w:t xml:space="preserve">                              </w:t>
      </w:r>
    </w:p>
    <w:p w14:paraId="78DA509D">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采购人（甲方）：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466BD43C">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成交人（乙方）：</w:t>
      </w:r>
      <w:r>
        <w:rPr>
          <w:rFonts w:hint="eastAsia" w:ascii="仿宋" w:hAnsi="仿宋" w:eastAsia="仿宋" w:cs="Calibri"/>
          <w:b/>
          <w:bCs/>
          <w:kern w:val="0"/>
          <w:sz w:val="30"/>
          <w:szCs w:val="30"/>
          <w:u w:val="single"/>
          <w:lang w:val="en-US" w:eastAsia="zh-CN" w:bidi="ar"/>
        </w:rPr>
        <w:t xml:space="preserve">                         </w:t>
      </w:r>
      <w:r>
        <w:rPr>
          <w:rFonts w:hint="eastAsia" w:ascii="仿宋" w:hAnsi="仿宋" w:eastAsia="仿宋" w:cs="仿宋"/>
          <w:b/>
          <w:bCs/>
          <w:kern w:val="0"/>
          <w:sz w:val="30"/>
          <w:szCs w:val="30"/>
          <w:u w:val="single"/>
          <w:lang w:val="en-US" w:eastAsia="zh-CN" w:bidi="ar"/>
        </w:rPr>
        <w:t>（盖章）</w:t>
      </w:r>
    </w:p>
    <w:p w14:paraId="668D5A7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b/>
          <w:bCs/>
          <w:kern w:val="0"/>
          <w:sz w:val="30"/>
          <w:szCs w:val="30"/>
        </w:rPr>
      </w:pPr>
      <w:r>
        <w:rPr>
          <w:rFonts w:hint="eastAsia" w:ascii="仿宋" w:hAnsi="仿宋" w:eastAsia="仿宋" w:cs="仿宋"/>
          <w:b/>
          <w:bCs/>
          <w:kern w:val="0"/>
          <w:sz w:val="30"/>
          <w:szCs w:val="30"/>
          <w:lang w:val="en-US" w:eastAsia="zh-CN" w:bidi="ar"/>
        </w:rPr>
        <w:t>采购日期：</w:t>
      </w:r>
      <w:r>
        <w:rPr>
          <w:rFonts w:hint="eastAsia" w:ascii="仿宋" w:hAnsi="仿宋" w:eastAsia="仿宋" w:cs="Calibri"/>
          <w:b/>
          <w:bCs/>
          <w:kern w:val="0"/>
          <w:sz w:val="30"/>
          <w:szCs w:val="30"/>
          <w:u w:val="single"/>
          <w:lang w:val="en-US" w:eastAsia="zh-CN" w:bidi="ar"/>
        </w:rPr>
        <w:t xml:space="preserve">                                       </w:t>
      </w:r>
    </w:p>
    <w:p w14:paraId="396C0D3B">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Calibri"/>
          <w:kern w:val="0"/>
          <w:sz w:val="28"/>
          <w:szCs w:val="28"/>
        </w:rPr>
      </w:pPr>
      <w:r>
        <w:rPr>
          <w:rFonts w:hint="eastAsia" w:ascii="仿宋" w:hAnsi="仿宋" w:eastAsia="仿宋" w:cs="Calibri"/>
          <w:kern w:val="0"/>
          <w:sz w:val="28"/>
          <w:szCs w:val="28"/>
          <w:lang w:val="en-US" w:eastAsia="zh-CN" w:bidi="ar"/>
        </w:rPr>
        <w:t xml:space="preserve"> </w:t>
      </w:r>
    </w:p>
    <w:p w14:paraId="4116E9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hint="eastAsia" w:ascii="仿宋" w:hAnsi="仿宋" w:eastAsia="仿宋" w:cs="Calibri"/>
          <w:b/>
          <w:bCs/>
          <w:kern w:val="0"/>
          <w:sz w:val="28"/>
          <w:szCs w:val="28"/>
        </w:rPr>
      </w:pPr>
      <w:r>
        <w:rPr>
          <w:rFonts w:hint="eastAsia" w:ascii="仿宋" w:hAnsi="仿宋" w:eastAsia="仿宋" w:cs="Calibri"/>
          <w:kern w:val="0"/>
          <w:sz w:val="28"/>
          <w:szCs w:val="28"/>
          <w:lang w:val="en-US" w:eastAsia="zh-CN" w:bidi="ar"/>
        </w:rPr>
        <w:br w:type="page"/>
      </w:r>
      <w:r>
        <w:rPr>
          <w:rFonts w:hint="eastAsia" w:ascii="仿宋" w:hAnsi="仿宋" w:eastAsia="仿宋" w:cs="仿宋"/>
          <w:b/>
          <w:bCs/>
          <w:kern w:val="0"/>
          <w:sz w:val="28"/>
          <w:szCs w:val="28"/>
          <w:lang w:val="en-US" w:eastAsia="zh-CN" w:bidi="ar"/>
        </w:rPr>
        <w:t>采</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购</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人（以下简称甲方）：</w:t>
      </w:r>
    </w:p>
    <w:p w14:paraId="7EA818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both"/>
        <w:textAlignment w:val="auto"/>
        <w:rPr>
          <w:rFonts w:ascii="宋体" w:hAnsi="宋体" w:eastAsia="宋体" w:cs="宋体"/>
          <w:b/>
          <w:sz w:val="24"/>
        </w:rPr>
      </w:pPr>
      <w:r>
        <w:rPr>
          <w:rFonts w:hint="eastAsia" w:ascii="仿宋" w:hAnsi="仿宋" w:eastAsia="仿宋" w:cs="仿宋"/>
          <w:b/>
          <w:bCs/>
          <w:kern w:val="0"/>
          <w:sz w:val="28"/>
          <w:szCs w:val="28"/>
          <w:lang w:val="en-US" w:eastAsia="zh-CN" w:bidi="ar"/>
        </w:rPr>
        <w:t>供</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应</w:t>
      </w:r>
      <w:r>
        <w:rPr>
          <w:rFonts w:hint="eastAsia" w:ascii="仿宋" w:hAnsi="仿宋" w:eastAsia="仿宋" w:cs="Calibri"/>
          <w:b/>
          <w:bCs/>
          <w:kern w:val="0"/>
          <w:sz w:val="28"/>
          <w:szCs w:val="28"/>
          <w:lang w:val="en-US" w:eastAsia="zh-CN" w:bidi="ar"/>
        </w:rPr>
        <w:t xml:space="preserve"> </w:t>
      </w:r>
      <w:r>
        <w:rPr>
          <w:rFonts w:hint="eastAsia" w:ascii="仿宋" w:hAnsi="仿宋" w:eastAsia="仿宋" w:cs="仿宋"/>
          <w:b/>
          <w:bCs/>
          <w:kern w:val="0"/>
          <w:sz w:val="28"/>
          <w:szCs w:val="28"/>
          <w:lang w:val="en-US" w:eastAsia="zh-CN" w:bidi="ar"/>
        </w:rPr>
        <w:t>商（以下简称乙方）：</w:t>
      </w:r>
    </w:p>
    <w:p w14:paraId="2A9A910A">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甲、乙双方</w:t>
      </w:r>
      <w:r>
        <w:rPr>
          <w:rFonts w:hint="eastAsia" w:ascii="宋体" w:hAnsi="宋体" w:eastAsia="宋体" w:cs="宋体"/>
          <w:sz w:val="24"/>
          <w:u w:val="none"/>
        </w:rPr>
        <w:t>根据</w:t>
      </w:r>
      <w:r>
        <w:rPr>
          <w:rFonts w:hint="eastAsia" w:ascii="宋体" w:hAnsi="宋体" w:eastAsia="宋体" w:cs="宋体"/>
          <w:sz w:val="24"/>
          <w:u w:val="single"/>
          <w:lang w:eastAsia="zh-CN"/>
        </w:rPr>
        <w:t>青海聚鑫竞谈（货物）2025-017</w:t>
      </w:r>
      <w:r>
        <w:rPr>
          <w:rFonts w:hint="eastAsia" w:ascii="宋体" w:hAnsi="宋体" w:eastAsia="宋体" w:cs="宋体"/>
          <w:sz w:val="24"/>
        </w:rPr>
        <w:t>（</w:t>
      </w:r>
      <w:r>
        <w:rPr>
          <w:rFonts w:hint="eastAsia" w:ascii="宋体" w:hAnsi="宋体" w:eastAsia="宋体" w:cs="宋体"/>
          <w:color w:val="auto"/>
          <w:sz w:val="24"/>
          <w:u w:val="single"/>
          <w:lang w:eastAsia="zh-CN"/>
        </w:rPr>
        <w:t>青海聚鑫竞谈（货物）202</w:t>
      </w:r>
      <w:r>
        <w:rPr>
          <w:rFonts w:hint="eastAsia" w:ascii="宋体" w:hAnsi="宋体" w:cs="宋体"/>
          <w:color w:val="auto"/>
          <w:sz w:val="24"/>
          <w:u w:val="single"/>
          <w:lang w:val="en-US" w:eastAsia="zh-CN"/>
        </w:rPr>
        <w:t>5-017</w:t>
      </w:r>
      <w:r>
        <w:rPr>
          <w:rFonts w:hint="eastAsia" w:ascii="宋体" w:hAnsi="宋体" w:eastAsia="宋体" w:cs="宋体"/>
          <w:sz w:val="24"/>
        </w:rPr>
        <w:t>）的</w:t>
      </w:r>
      <w:r>
        <w:rPr>
          <w:rFonts w:hint="eastAsia" w:ascii="宋体" w:hAnsi="宋体" w:cs="宋体"/>
          <w:sz w:val="24"/>
          <w:lang w:val="en-US" w:eastAsia="zh-CN"/>
        </w:rPr>
        <w:t>谈判</w:t>
      </w:r>
      <w:r>
        <w:rPr>
          <w:rFonts w:hint="eastAsia" w:ascii="宋体" w:hAnsi="宋体" w:eastAsia="宋体" w:cs="宋体"/>
          <w:sz w:val="24"/>
        </w:rPr>
        <w:t>文件要求和采购机构出具的《</w:t>
      </w:r>
      <w:r>
        <w:rPr>
          <w:rFonts w:hint="eastAsia" w:ascii="宋体" w:hAnsi="宋体" w:cs="宋体"/>
          <w:sz w:val="24"/>
          <w:lang w:val="en-US" w:eastAsia="zh-CN"/>
        </w:rPr>
        <w:t>成交</w:t>
      </w:r>
      <w:r>
        <w:rPr>
          <w:rFonts w:hint="eastAsia" w:ascii="宋体" w:hAnsi="宋体" w:eastAsia="宋体" w:cs="宋体"/>
          <w:sz w:val="24"/>
        </w:rPr>
        <w:t>通知书》，并经双方协商一致，签订本合同书。</w:t>
      </w:r>
    </w:p>
    <w:p w14:paraId="0C553B95">
      <w:pPr>
        <w:keepNext w:val="0"/>
        <w:keepLines w:val="0"/>
        <w:pageBreakBefore w:val="0"/>
        <w:widowControl w:val="0"/>
        <w:kinsoku/>
        <w:wordWrap/>
        <w:overflowPunct/>
        <w:topLinePunct w:val="0"/>
        <w:bidi w:val="0"/>
        <w:snapToGrid/>
        <w:spacing w:line="460" w:lineRule="exact"/>
        <w:textAlignment w:val="auto"/>
        <w:rPr>
          <w:rFonts w:ascii="宋体" w:hAnsi="宋体" w:eastAsia="宋体" w:cs="宋体"/>
          <w:b/>
          <w:sz w:val="24"/>
        </w:rPr>
      </w:pPr>
      <w:r>
        <w:rPr>
          <w:rFonts w:ascii="宋体" w:hAnsi="宋体" w:eastAsia="宋体" w:cs="宋体"/>
          <w:b/>
          <w:sz w:val="24"/>
        </w:rPr>
        <w:t>一</w:t>
      </w:r>
      <w:r>
        <w:rPr>
          <w:rFonts w:hint="eastAsia" w:ascii="宋体" w:hAnsi="宋体" w:eastAsia="宋体" w:cs="宋体"/>
          <w:b/>
          <w:sz w:val="24"/>
        </w:rPr>
        <w:t>、签订本政府采购合同的依据</w:t>
      </w:r>
    </w:p>
    <w:p w14:paraId="715BAF8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本政府采购合同所附下列文件是构成本政府采购合同不可分割的部分：</w:t>
      </w:r>
    </w:p>
    <w:p w14:paraId="332E7020">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谈判</w:t>
      </w:r>
      <w:r>
        <w:rPr>
          <w:rFonts w:hint="eastAsia" w:ascii="宋体" w:hAnsi="宋体" w:eastAsia="宋体" w:cs="宋体"/>
          <w:sz w:val="24"/>
        </w:rPr>
        <w:t>文件；</w:t>
      </w:r>
    </w:p>
    <w:p w14:paraId="4D9B298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谈判</w:t>
      </w:r>
      <w:r>
        <w:rPr>
          <w:rFonts w:hint="eastAsia" w:ascii="宋体" w:hAnsi="宋体" w:eastAsia="宋体" w:cs="宋体"/>
          <w:sz w:val="24"/>
        </w:rPr>
        <w:t>文件的更正、变更公告；</w:t>
      </w:r>
    </w:p>
    <w:p w14:paraId="17419BD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成交</w:t>
      </w:r>
      <w:r>
        <w:rPr>
          <w:rFonts w:hint="eastAsia" w:ascii="宋体" w:hAnsi="宋体" w:eastAsia="宋体" w:cs="宋体"/>
          <w:sz w:val="24"/>
        </w:rPr>
        <w:t>供应商提交的</w:t>
      </w:r>
      <w:r>
        <w:rPr>
          <w:rFonts w:hint="eastAsia" w:ascii="宋体" w:hAnsi="宋体" w:cs="宋体"/>
          <w:sz w:val="24"/>
          <w:lang w:val="en-US" w:eastAsia="zh-CN"/>
        </w:rPr>
        <w:t>谈判</w:t>
      </w:r>
      <w:r>
        <w:rPr>
          <w:rFonts w:hint="eastAsia" w:ascii="宋体" w:hAnsi="宋体" w:eastAsia="宋体" w:cs="宋体"/>
          <w:sz w:val="24"/>
        </w:rPr>
        <w:t>响应文件；</w:t>
      </w:r>
    </w:p>
    <w:p w14:paraId="2427653C">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谈判</w:t>
      </w:r>
      <w:r>
        <w:rPr>
          <w:rFonts w:hint="eastAsia" w:ascii="宋体" w:hAnsi="宋体" w:eastAsia="宋体" w:cs="宋体"/>
          <w:sz w:val="24"/>
        </w:rPr>
        <w:t>文件中规定的政府采购合同通用条款；</w:t>
      </w:r>
    </w:p>
    <w:p w14:paraId="3CED449D">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成交</w:t>
      </w:r>
      <w:r>
        <w:rPr>
          <w:rFonts w:hint="eastAsia" w:ascii="宋体" w:hAnsi="宋体" w:eastAsia="宋体" w:cs="宋体"/>
          <w:sz w:val="24"/>
          <w:lang w:eastAsia="zh-CN"/>
        </w:rPr>
        <w:t>通知书</w:t>
      </w:r>
      <w:r>
        <w:rPr>
          <w:rFonts w:hint="eastAsia" w:ascii="宋体" w:hAnsi="宋体" w:eastAsia="宋体" w:cs="宋体"/>
          <w:sz w:val="24"/>
        </w:rPr>
        <w:t>；</w:t>
      </w:r>
    </w:p>
    <w:p w14:paraId="39BC29C8">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eastAsia="宋体" w:cs="Times New Roman"/>
          <w:sz w:val="24"/>
        </w:rPr>
        <w:t>履约保证金缴纳证明</w:t>
      </w:r>
      <w:r>
        <w:rPr>
          <w:rFonts w:hint="eastAsia" w:ascii="宋体" w:hAnsi="宋体" w:eastAsia="宋体" w:cs="宋体"/>
          <w:sz w:val="24"/>
        </w:rPr>
        <w:t>。</w:t>
      </w:r>
    </w:p>
    <w:p w14:paraId="6C4401DC">
      <w:pPr>
        <w:keepNext w:val="0"/>
        <w:keepLines w:val="0"/>
        <w:pageBreakBefore w:val="0"/>
        <w:widowControl w:val="0"/>
        <w:kinsoku/>
        <w:wordWrap/>
        <w:overflowPunct/>
        <w:topLinePunct w:val="0"/>
        <w:bidi w:val="0"/>
        <w:snapToGrid/>
        <w:spacing w:line="460" w:lineRule="exact"/>
        <w:textAlignment w:val="auto"/>
        <w:rPr>
          <w:rFonts w:ascii="宋体" w:hAnsi="宋体" w:eastAsia="宋体" w:cs="Times New Roman"/>
          <w:b/>
          <w:sz w:val="24"/>
        </w:rPr>
      </w:pPr>
      <w:r>
        <w:rPr>
          <w:rFonts w:hint="eastAsia" w:ascii="宋体" w:hAnsi="宋体" w:eastAsia="宋体" w:cs="Times New Roman"/>
          <w:b/>
          <w:sz w:val="24"/>
        </w:rPr>
        <w:t xml:space="preserve">二、合同标的及金额                                          </w:t>
      </w:r>
      <w:r>
        <w:rPr>
          <w:rFonts w:hint="eastAsia" w:ascii="宋体" w:hAnsi="宋体" w:eastAsia="宋体" w:cs="Times New Roman"/>
          <w:sz w:val="24"/>
        </w:rPr>
        <w:t>单位：    元</w:t>
      </w:r>
    </w:p>
    <w:tbl>
      <w:tblPr>
        <w:tblStyle w:val="17"/>
        <w:tblW w:w="8754" w:type="dxa"/>
        <w:tblInd w:w="103" w:type="dxa"/>
        <w:tblLayout w:type="fixed"/>
        <w:tblCellMar>
          <w:top w:w="0" w:type="dxa"/>
          <w:left w:w="108" w:type="dxa"/>
          <w:bottom w:w="0" w:type="dxa"/>
          <w:right w:w="108" w:type="dxa"/>
        </w:tblCellMar>
      </w:tblPr>
      <w:tblGrid>
        <w:gridCol w:w="517"/>
        <w:gridCol w:w="2539"/>
        <w:gridCol w:w="1349"/>
        <w:gridCol w:w="728"/>
        <w:gridCol w:w="923"/>
        <w:gridCol w:w="763"/>
        <w:gridCol w:w="763"/>
        <w:gridCol w:w="1172"/>
      </w:tblGrid>
      <w:tr w14:paraId="0C700244">
        <w:tblPrEx>
          <w:tblCellMar>
            <w:top w:w="0" w:type="dxa"/>
            <w:left w:w="108" w:type="dxa"/>
            <w:bottom w:w="0" w:type="dxa"/>
            <w:right w:w="108" w:type="dxa"/>
          </w:tblCellMar>
        </w:tblPrEx>
        <w:trPr>
          <w:trHeight w:val="1361"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2245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序号</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1512108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lang w:val="en-US" w:eastAsia="zh-CN"/>
              </w:rPr>
            </w:pPr>
            <w:r>
              <w:rPr>
                <w:rFonts w:hint="eastAsia" w:ascii="宋体" w:hAnsi="宋体" w:cs="Times New Roman"/>
                <w:sz w:val="24"/>
                <w:szCs w:val="21"/>
                <w:lang w:val="en-US" w:eastAsia="zh-CN"/>
              </w:rPr>
              <w:t>货物名称</w:t>
            </w: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136A23D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型号规格</w:t>
            </w: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57FBBBB">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数量</w:t>
            </w: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3B579485">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szCs w:val="21"/>
              </w:rPr>
            </w:pPr>
            <w:r>
              <w:rPr>
                <w:rFonts w:hint="eastAsia" w:ascii="宋体" w:hAnsi="宋体" w:eastAsia="宋体" w:cs="Times New Roman"/>
                <w:sz w:val="24"/>
                <w:szCs w:val="21"/>
              </w:rPr>
              <w:t>单位</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CE820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单价</w:t>
            </w: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7F5F60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总价</w:t>
            </w:r>
          </w:p>
        </w:tc>
        <w:tc>
          <w:tcPr>
            <w:tcW w:w="1172" w:type="dxa"/>
            <w:tcBorders>
              <w:top w:val="single" w:color="auto" w:sz="4" w:space="0"/>
              <w:left w:val="nil"/>
              <w:bottom w:val="single" w:color="auto" w:sz="4" w:space="0"/>
              <w:right w:val="single" w:color="auto" w:sz="4" w:space="0"/>
            </w:tcBorders>
            <w:shd w:val="clear" w:color="auto" w:fill="FFFFFF"/>
            <w:noWrap/>
            <w:vAlign w:val="center"/>
          </w:tcPr>
          <w:p w14:paraId="6EDB09E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备注</w:t>
            </w:r>
          </w:p>
        </w:tc>
      </w:tr>
      <w:tr w14:paraId="5860DEF4">
        <w:tblPrEx>
          <w:tblCellMar>
            <w:top w:w="0" w:type="dxa"/>
            <w:left w:w="108" w:type="dxa"/>
            <w:bottom w:w="0" w:type="dxa"/>
            <w:right w:w="108" w:type="dxa"/>
          </w:tblCellMar>
        </w:tblPrEx>
        <w:trPr>
          <w:trHeight w:val="559"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83D8C9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1</w:t>
            </w:r>
          </w:p>
        </w:tc>
        <w:tc>
          <w:tcPr>
            <w:tcW w:w="2539" w:type="dxa"/>
            <w:tcBorders>
              <w:top w:val="nil"/>
              <w:left w:val="nil"/>
              <w:bottom w:val="single" w:color="auto" w:sz="4" w:space="0"/>
              <w:right w:val="single" w:color="auto" w:sz="4" w:space="0"/>
            </w:tcBorders>
            <w:shd w:val="clear" w:color="auto" w:fill="FFFFFF"/>
            <w:noWrap/>
            <w:vAlign w:val="center"/>
          </w:tcPr>
          <w:p w14:paraId="7EE170D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2D5404E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nil"/>
              <w:left w:val="nil"/>
              <w:bottom w:val="single" w:color="auto" w:sz="4" w:space="0"/>
              <w:right w:val="single" w:color="auto" w:sz="4" w:space="0"/>
            </w:tcBorders>
            <w:shd w:val="clear" w:color="auto" w:fill="FFFFFF"/>
            <w:noWrap/>
            <w:vAlign w:val="center"/>
          </w:tcPr>
          <w:p w14:paraId="78ED55F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457D356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4C1FD7F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63B5D67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2AB82781">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69ED4567">
        <w:tblPrEx>
          <w:tblCellMar>
            <w:top w:w="0" w:type="dxa"/>
            <w:left w:w="108" w:type="dxa"/>
            <w:bottom w:w="0" w:type="dxa"/>
            <w:right w:w="108" w:type="dxa"/>
          </w:tblCellMar>
        </w:tblPrEx>
        <w:trPr>
          <w:trHeight w:val="688" w:hRule="atLeast"/>
        </w:trPr>
        <w:tc>
          <w:tcPr>
            <w:tcW w:w="517" w:type="dxa"/>
            <w:tcBorders>
              <w:top w:val="nil"/>
              <w:left w:val="single" w:color="auto" w:sz="4" w:space="0"/>
              <w:bottom w:val="single" w:color="auto" w:sz="4" w:space="0"/>
              <w:right w:val="single" w:color="auto" w:sz="4" w:space="0"/>
            </w:tcBorders>
            <w:shd w:val="clear" w:color="auto" w:fill="FFFFFF"/>
            <w:noWrap/>
            <w:vAlign w:val="center"/>
          </w:tcPr>
          <w:p w14:paraId="6D283DBC">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2</w:t>
            </w:r>
          </w:p>
        </w:tc>
        <w:tc>
          <w:tcPr>
            <w:tcW w:w="2539" w:type="dxa"/>
            <w:tcBorders>
              <w:top w:val="nil"/>
              <w:left w:val="nil"/>
              <w:bottom w:val="single" w:color="auto" w:sz="4" w:space="0"/>
              <w:right w:val="single" w:color="auto" w:sz="4" w:space="0"/>
            </w:tcBorders>
            <w:shd w:val="clear" w:color="auto" w:fill="FFFFFF"/>
            <w:noWrap/>
            <w:vAlign w:val="center"/>
          </w:tcPr>
          <w:p w14:paraId="5928D6A7">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nil"/>
              <w:left w:val="nil"/>
              <w:bottom w:val="single" w:color="auto" w:sz="4" w:space="0"/>
              <w:right w:val="single" w:color="auto" w:sz="4" w:space="0"/>
            </w:tcBorders>
            <w:shd w:val="clear" w:color="auto" w:fill="FFFFFF"/>
            <w:noWrap/>
            <w:vAlign w:val="center"/>
          </w:tcPr>
          <w:p w14:paraId="5C3B548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5F246D06">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nil"/>
              <w:left w:val="nil"/>
              <w:bottom w:val="single" w:color="auto" w:sz="4" w:space="0"/>
              <w:right w:val="single" w:color="auto" w:sz="4" w:space="0"/>
            </w:tcBorders>
            <w:shd w:val="clear" w:color="auto" w:fill="FFFFFF"/>
            <w:noWrap/>
            <w:vAlign w:val="center"/>
          </w:tcPr>
          <w:p w14:paraId="65856E35">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nil"/>
              <w:bottom w:val="single" w:color="auto" w:sz="4" w:space="0"/>
              <w:right w:val="single" w:color="auto" w:sz="4" w:space="0"/>
            </w:tcBorders>
            <w:shd w:val="clear" w:color="auto" w:fill="FFFFFF"/>
            <w:noWrap/>
            <w:vAlign w:val="center"/>
          </w:tcPr>
          <w:p w14:paraId="58971AC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nil"/>
              <w:left w:val="single" w:color="auto" w:sz="4" w:space="0"/>
              <w:bottom w:val="single" w:color="auto" w:sz="4" w:space="0"/>
              <w:right w:val="nil"/>
            </w:tcBorders>
            <w:shd w:val="clear" w:color="auto" w:fill="FFFFFF"/>
            <w:noWrap/>
            <w:vAlign w:val="center"/>
          </w:tcPr>
          <w:p w14:paraId="1C7B1A0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nil"/>
              <w:left w:val="single" w:color="auto" w:sz="4" w:space="0"/>
              <w:bottom w:val="single" w:color="auto" w:sz="4" w:space="0"/>
              <w:right w:val="single" w:color="auto" w:sz="4" w:space="0"/>
            </w:tcBorders>
            <w:shd w:val="clear" w:color="auto" w:fill="FFFFFF"/>
            <w:noWrap/>
            <w:vAlign w:val="center"/>
          </w:tcPr>
          <w:p w14:paraId="4773E5C3">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40161114">
        <w:tblPrEx>
          <w:tblCellMar>
            <w:top w:w="0" w:type="dxa"/>
            <w:left w:w="108" w:type="dxa"/>
            <w:bottom w:w="0" w:type="dxa"/>
            <w:right w:w="108" w:type="dxa"/>
          </w:tblCellMar>
        </w:tblPrEx>
        <w:trPr>
          <w:trHeight w:val="717" w:hRule="atLeast"/>
        </w:trPr>
        <w:tc>
          <w:tcPr>
            <w:tcW w:w="51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52714F">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r>
              <w:rPr>
                <w:rFonts w:hint="eastAsia" w:ascii="宋体" w:hAnsi="宋体" w:eastAsia="宋体" w:cs="Times New Roman"/>
                <w:sz w:val="24"/>
                <w:szCs w:val="21"/>
              </w:rPr>
              <w:t>…</w:t>
            </w:r>
          </w:p>
        </w:tc>
        <w:tc>
          <w:tcPr>
            <w:tcW w:w="2539" w:type="dxa"/>
            <w:tcBorders>
              <w:top w:val="single" w:color="auto" w:sz="4" w:space="0"/>
              <w:left w:val="nil"/>
              <w:bottom w:val="single" w:color="auto" w:sz="4" w:space="0"/>
              <w:right w:val="single" w:color="auto" w:sz="4" w:space="0"/>
            </w:tcBorders>
            <w:shd w:val="clear" w:color="auto" w:fill="FFFFFF"/>
            <w:noWrap/>
            <w:vAlign w:val="center"/>
          </w:tcPr>
          <w:p w14:paraId="0608E50D">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349" w:type="dxa"/>
            <w:tcBorders>
              <w:top w:val="single" w:color="auto" w:sz="4" w:space="0"/>
              <w:left w:val="nil"/>
              <w:bottom w:val="single" w:color="auto" w:sz="4" w:space="0"/>
              <w:right w:val="single" w:color="auto" w:sz="4" w:space="0"/>
            </w:tcBorders>
            <w:shd w:val="clear" w:color="auto" w:fill="FFFFFF"/>
            <w:noWrap/>
            <w:vAlign w:val="center"/>
          </w:tcPr>
          <w:p w14:paraId="7BB781B4">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28" w:type="dxa"/>
            <w:tcBorders>
              <w:top w:val="single" w:color="auto" w:sz="4" w:space="0"/>
              <w:left w:val="nil"/>
              <w:bottom w:val="single" w:color="auto" w:sz="4" w:space="0"/>
              <w:right w:val="single" w:color="auto" w:sz="4" w:space="0"/>
            </w:tcBorders>
            <w:shd w:val="clear" w:color="auto" w:fill="FFFFFF"/>
            <w:noWrap/>
            <w:vAlign w:val="center"/>
          </w:tcPr>
          <w:p w14:paraId="0717315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923" w:type="dxa"/>
            <w:tcBorders>
              <w:top w:val="single" w:color="auto" w:sz="4" w:space="0"/>
              <w:left w:val="nil"/>
              <w:bottom w:val="single" w:color="auto" w:sz="4" w:space="0"/>
              <w:right w:val="single" w:color="auto" w:sz="4" w:space="0"/>
            </w:tcBorders>
            <w:shd w:val="clear" w:color="auto" w:fill="FFFFFF"/>
            <w:noWrap/>
            <w:vAlign w:val="center"/>
          </w:tcPr>
          <w:p w14:paraId="51FB5512">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single" w:color="auto" w:sz="4" w:space="0"/>
              <w:left w:val="nil"/>
              <w:bottom w:val="single" w:color="auto" w:sz="4" w:space="0"/>
              <w:right w:val="single" w:color="auto" w:sz="4" w:space="0"/>
            </w:tcBorders>
            <w:shd w:val="clear" w:color="auto" w:fill="FFFFFF"/>
            <w:noWrap/>
            <w:vAlign w:val="center"/>
          </w:tcPr>
          <w:p w14:paraId="51CB4C59">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763" w:type="dxa"/>
            <w:tcBorders>
              <w:top w:val="single" w:color="auto" w:sz="4" w:space="0"/>
              <w:left w:val="single" w:color="auto" w:sz="4" w:space="0"/>
              <w:bottom w:val="single" w:color="auto" w:sz="4" w:space="0"/>
              <w:right w:val="nil"/>
            </w:tcBorders>
            <w:shd w:val="clear" w:color="auto" w:fill="FFFFFF"/>
            <w:noWrap/>
            <w:vAlign w:val="center"/>
          </w:tcPr>
          <w:p w14:paraId="0B5E206E">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c>
          <w:tcPr>
            <w:tcW w:w="11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E1EF38">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1"/>
              </w:rPr>
            </w:pPr>
          </w:p>
        </w:tc>
      </w:tr>
      <w:tr w14:paraId="10CD50F7">
        <w:tblPrEx>
          <w:tblCellMar>
            <w:top w:w="0" w:type="dxa"/>
            <w:left w:w="108" w:type="dxa"/>
            <w:bottom w:w="0" w:type="dxa"/>
            <w:right w:w="108" w:type="dxa"/>
          </w:tblCellMar>
        </w:tblPrEx>
        <w:trPr>
          <w:trHeight w:val="717" w:hRule="atLeast"/>
        </w:trPr>
        <w:tc>
          <w:tcPr>
            <w:tcW w:w="3056"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B6C7C6A">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szCs w:val="21"/>
                <w:lang w:val="en-US" w:eastAsia="zh-CN"/>
              </w:rPr>
            </w:pPr>
            <w:r>
              <w:rPr>
                <w:rFonts w:hint="eastAsia" w:ascii="宋体" w:hAnsi="宋体" w:cs="Times New Roman"/>
                <w:sz w:val="24"/>
                <w:szCs w:val="21"/>
                <w:lang w:val="en-US" w:eastAsia="zh-CN"/>
              </w:rPr>
              <w:t>总价</w:t>
            </w:r>
          </w:p>
        </w:tc>
        <w:tc>
          <w:tcPr>
            <w:tcW w:w="5698" w:type="dxa"/>
            <w:gridSpan w:val="6"/>
            <w:tcBorders>
              <w:top w:val="single" w:color="auto" w:sz="4" w:space="0"/>
              <w:left w:val="nil"/>
              <w:bottom w:val="single" w:color="auto" w:sz="4" w:space="0"/>
              <w:right w:val="single" w:color="auto" w:sz="4" w:space="0"/>
            </w:tcBorders>
            <w:shd w:val="clear" w:color="auto" w:fill="FFFFFF"/>
            <w:noWrap/>
            <w:vAlign w:val="center"/>
          </w:tcPr>
          <w:p w14:paraId="7492BF1C">
            <w:pPr>
              <w:keepNext w:val="0"/>
              <w:keepLines w:val="0"/>
              <w:suppressLineNumbers w:val="0"/>
              <w:spacing w:before="0" w:beforeAutospacing="0" w:after="0" w:afterAutospacing="0" w:line="360" w:lineRule="auto"/>
              <w:ind w:left="0" w:right="0"/>
              <w:jc w:val="both"/>
              <w:rPr>
                <w:rFonts w:hint="eastAsia" w:ascii="宋体" w:hAnsi="宋体" w:cs="Times New Roman"/>
                <w:sz w:val="24"/>
                <w:szCs w:val="21"/>
                <w:lang w:val="en-US" w:eastAsia="zh-CN"/>
              </w:rPr>
            </w:pPr>
            <w:r>
              <w:rPr>
                <w:rFonts w:hint="eastAsia" w:ascii="宋体" w:hAnsi="宋体" w:cs="Times New Roman"/>
                <w:sz w:val="24"/>
                <w:szCs w:val="21"/>
                <w:lang w:val="en-US" w:eastAsia="zh-CN"/>
              </w:rPr>
              <w:t>大写：</w:t>
            </w:r>
          </w:p>
          <w:p w14:paraId="725ED38B">
            <w:pPr>
              <w:keepNext w:val="0"/>
              <w:keepLines w:val="0"/>
              <w:suppressLineNumbers w:val="0"/>
              <w:spacing w:before="0" w:beforeAutospacing="0" w:after="0" w:afterAutospacing="0" w:line="360" w:lineRule="auto"/>
              <w:ind w:left="0" w:right="0"/>
              <w:jc w:val="both"/>
              <w:rPr>
                <w:rFonts w:hint="default" w:ascii="宋体" w:hAnsi="宋体" w:cs="Times New Roman"/>
                <w:sz w:val="24"/>
                <w:szCs w:val="21"/>
                <w:lang w:val="en-US" w:eastAsia="zh-CN"/>
              </w:rPr>
            </w:pPr>
            <w:r>
              <w:rPr>
                <w:rFonts w:hint="eastAsia" w:ascii="宋体" w:hAnsi="宋体" w:cs="Times New Roman"/>
                <w:sz w:val="24"/>
                <w:szCs w:val="21"/>
                <w:lang w:val="en-US" w:eastAsia="zh-CN"/>
              </w:rPr>
              <w:t>小写：</w:t>
            </w:r>
          </w:p>
        </w:tc>
      </w:tr>
    </w:tbl>
    <w:p w14:paraId="6B83B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lang w:val="zh-CN"/>
        </w:rPr>
      </w:pPr>
      <w:r>
        <w:rPr>
          <w:rFonts w:hint="eastAsia" w:ascii="宋体" w:hAnsi="宋体" w:eastAsia="宋体" w:cs="Times New Roman"/>
          <w:sz w:val="24"/>
        </w:rPr>
        <w:t>根据上述政府采购合同文件要求，本政府采购合同的总金额为人民币（大写）元。本合同以人民币进行结算，合同总价包括：如（</w:t>
      </w:r>
      <w:r>
        <w:rPr>
          <w:rFonts w:hint="eastAsia" w:ascii="宋体" w:hAnsi="宋体" w:cs="Times New Roman"/>
          <w:sz w:val="24"/>
          <w:lang w:val="en-US" w:eastAsia="zh-CN"/>
        </w:rPr>
        <w:t>包括货物费、运输费、车辆购置税、车辆保险、上牌费、税金及其他不可预见费等全部费用</w:t>
      </w:r>
      <w:r>
        <w:rPr>
          <w:rFonts w:hint="eastAsia" w:ascii="宋体" w:hAnsi="宋体" w:eastAsia="宋体" w:cs="Times New Roman"/>
          <w:sz w:val="24"/>
          <w:lang w:eastAsia="zh-CN"/>
        </w:rPr>
        <w:t>）</w:t>
      </w:r>
    </w:p>
    <w:p w14:paraId="6395A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宋体" w:hAnsi="宋体" w:eastAsia="宋体" w:cs="Times New Roman"/>
          <w:sz w:val="24"/>
          <w:lang w:val="zh-CN"/>
        </w:rPr>
      </w:pPr>
      <w:r>
        <w:rPr>
          <w:rFonts w:hint="eastAsia" w:ascii="宋体" w:hAnsi="宋体" w:eastAsia="宋体" w:cs="Times New Roman"/>
          <w:sz w:val="24"/>
          <w:lang w:val="zh-CN"/>
        </w:rPr>
        <w:t>三、交付时间、地点和要求</w:t>
      </w:r>
    </w:p>
    <w:p w14:paraId="292CA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jc w:val="left"/>
        <w:textAlignment w:val="auto"/>
        <w:rPr>
          <w:rFonts w:ascii="宋体" w:hAnsi="宋体" w:eastAsia="宋体" w:cs="Times New Roman"/>
          <w:color w:val="auto"/>
          <w:sz w:val="24"/>
          <w:szCs w:val="20"/>
          <w:lang w:val="zh-CN"/>
        </w:rPr>
      </w:pPr>
      <w:r>
        <w:rPr>
          <w:rFonts w:hint="eastAsia" w:ascii="宋体" w:hAnsi="宋体" w:eastAsia="宋体" w:cs="Times New Roman"/>
          <w:sz w:val="24"/>
          <w:lang w:val="zh-CN"/>
        </w:rPr>
        <w:t>1.</w:t>
      </w:r>
      <w:r>
        <w:rPr>
          <w:rFonts w:hint="eastAsia" w:ascii="宋体" w:hAnsi="宋体" w:cs="Times New Roman"/>
          <w:sz w:val="24"/>
          <w:lang w:val="en-US" w:eastAsia="zh-CN"/>
        </w:rPr>
        <w:t>交货期</w:t>
      </w:r>
      <w:r>
        <w:rPr>
          <w:rFonts w:hint="eastAsia" w:ascii="宋体" w:hAnsi="Calibri" w:cs="宋体"/>
          <w:color w:val="auto"/>
          <w:kern w:val="0"/>
          <w:sz w:val="24"/>
          <w:u w:val="none"/>
          <w:lang w:val="zh-CN" w:eastAsia="zh-CN"/>
        </w:rPr>
        <w:t>：</w:t>
      </w:r>
      <w:r>
        <w:rPr>
          <w:rFonts w:hint="eastAsia" w:ascii="宋体" w:hAnsi="Calibri" w:cs="宋体"/>
          <w:color w:val="auto"/>
          <w:kern w:val="0"/>
          <w:sz w:val="24"/>
          <w:u w:val="single"/>
          <w:lang w:val="en-US" w:eastAsia="zh-CN"/>
        </w:rPr>
        <w:t xml:space="preserve"> 合同签订之日起360天内完成  </w:t>
      </w:r>
      <w:r>
        <w:rPr>
          <w:rFonts w:hint="eastAsia" w:ascii="宋体" w:hAnsi="Calibri" w:cs="宋体"/>
          <w:color w:val="auto"/>
          <w:kern w:val="0"/>
          <w:sz w:val="24"/>
          <w:u w:val="none"/>
          <w:lang w:val="en-US" w:eastAsia="zh-CN"/>
        </w:rPr>
        <w:t>；</w:t>
      </w:r>
      <w:r>
        <w:rPr>
          <w:rFonts w:hint="eastAsia" w:ascii="宋体" w:hAnsi="Calibri" w:cs="宋体"/>
          <w:color w:val="auto"/>
          <w:kern w:val="0"/>
          <w:sz w:val="24"/>
          <w:lang w:val="en-US" w:eastAsia="zh-CN"/>
        </w:rPr>
        <w:t>交货</w:t>
      </w:r>
      <w:r>
        <w:rPr>
          <w:rFonts w:hint="eastAsia" w:ascii="宋体" w:hAnsi="Calibri" w:eastAsia="宋体" w:cs="宋体"/>
          <w:color w:val="auto"/>
          <w:kern w:val="0"/>
          <w:sz w:val="24"/>
          <w:lang w:val="zh-CN"/>
        </w:rPr>
        <w:t>地点：</w:t>
      </w:r>
      <w:r>
        <w:rPr>
          <w:rFonts w:hint="eastAsia" w:ascii="宋体" w:hAnsi="Calibri" w:cs="宋体"/>
          <w:color w:val="auto"/>
          <w:kern w:val="0"/>
          <w:sz w:val="24"/>
          <w:u w:val="single"/>
          <w:lang w:val="en-US" w:eastAsia="zh-CN"/>
        </w:rPr>
        <w:t xml:space="preserve"> 贵德县新街回族乡鱼山村</w:t>
      </w:r>
      <w:r>
        <w:rPr>
          <w:rFonts w:hint="eastAsia" w:ascii="宋体" w:hAnsi="Calibri" w:eastAsia="宋体" w:cs="宋体"/>
          <w:color w:val="auto"/>
          <w:kern w:val="0"/>
          <w:sz w:val="24"/>
          <w:lang w:val="zh-CN"/>
        </w:rPr>
        <w:t>。</w:t>
      </w:r>
    </w:p>
    <w:p w14:paraId="1D8DBB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2.乙方提供不符合</w:t>
      </w:r>
      <w:r>
        <w:rPr>
          <w:rFonts w:hint="eastAsia" w:ascii="宋体" w:hAnsi="宋体" w:cs="Times New Roman"/>
          <w:sz w:val="24"/>
          <w:lang w:val="en-US" w:eastAsia="zh-CN"/>
        </w:rPr>
        <w:t>谈判</w:t>
      </w:r>
      <w:r>
        <w:rPr>
          <w:rFonts w:hint="eastAsia" w:ascii="宋体" w:hAnsi="宋体" w:eastAsia="宋体" w:cs="Times New Roman"/>
          <w:sz w:val="24"/>
          <w:lang w:val="en-US" w:eastAsia="zh-CN"/>
        </w:rPr>
        <w:t>文件、响应文件和本合同规定的产品，甲方有权拒绝接受。</w:t>
      </w:r>
    </w:p>
    <w:p w14:paraId="436EF6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3.乙方应将提供产品的装箱清单、用户手册、原厂保修卡、随机资料、工具和备品、备件等交付给甲方，如有缺失应及时补齐，否则视为逾期交货。</w:t>
      </w:r>
    </w:p>
    <w:p w14:paraId="24A19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4.甲方应当在到货（安装、调试完）后</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个工作日内进行验收，逾期不验收的，乙方可视为验收合格。验收合格后，由甲乙双方签署产品验收单并加盖采购人公章，甲乙双方各执一份。</w:t>
      </w:r>
    </w:p>
    <w:p w14:paraId="506C62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5.甲方应提供该项目验收报告交同级财政监管部门，由财政部门按规定程序抽验后办理资金拨付。</w:t>
      </w:r>
    </w:p>
    <w:p w14:paraId="258744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6.甲方在验收过程中发现乙方有违约问题，可按</w:t>
      </w:r>
      <w:r>
        <w:rPr>
          <w:rFonts w:hint="eastAsia" w:ascii="宋体" w:hAnsi="宋体" w:cs="Times New Roman"/>
          <w:sz w:val="24"/>
          <w:lang w:val="en-US" w:eastAsia="zh-CN"/>
        </w:rPr>
        <w:t>谈判</w:t>
      </w:r>
      <w:r>
        <w:rPr>
          <w:rFonts w:hint="eastAsia" w:ascii="宋体" w:hAnsi="宋体" w:eastAsia="宋体" w:cs="Times New Roman"/>
          <w:sz w:val="24"/>
          <w:lang w:val="en-US" w:eastAsia="zh-CN"/>
        </w:rPr>
        <w:t>文件、响应文件的规定要求乙方及时予以解决。</w:t>
      </w:r>
    </w:p>
    <w:p w14:paraId="6826C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Times New Roman"/>
          <w:sz w:val="24"/>
        </w:rPr>
      </w:pPr>
      <w:r>
        <w:rPr>
          <w:rFonts w:hint="eastAsia" w:ascii="宋体" w:hAnsi="宋体" w:eastAsia="宋体" w:cs="Times New Roman"/>
          <w:sz w:val="24"/>
          <w:lang w:val="en-US" w:eastAsia="zh-CN"/>
        </w:rPr>
        <w:t>7.乙方向甲方提供产品相关完税销售发票。</w:t>
      </w:r>
    </w:p>
    <w:p w14:paraId="780A1DD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四、付款方式及违约责任</w:t>
      </w:r>
    </w:p>
    <w:p w14:paraId="7E953D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合同签订时约定</w:t>
      </w:r>
    </w:p>
    <w:p w14:paraId="399EC8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五、合同的变更、终止与转让</w:t>
      </w:r>
    </w:p>
    <w:p w14:paraId="3363C1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1．除《中华人民共和国政府采购法》第50条规定的情形外，本合同一经签订，甲乙双方不得擅自变更、中止或终止；</w:t>
      </w:r>
    </w:p>
    <w:p w14:paraId="1E01E0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2．乙方不得擅自转让其应履行的合同义务。</w:t>
      </w:r>
    </w:p>
    <w:p w14:paraId="7AEF8B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六、违约责任</w:t>
      </w:r>
    </w:p>
    <w:p w14:paraId="3A491C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3A942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2.乙方提供的货物如侵犯了第三方权益而引发纠纷或诉讼的，均由乙方负责交涉并承担全部责任。</w:t>
      </w:r>
    </w:p>
    <w:p w14:paraId="0E5A7A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3.因包装、运输引起的货物损坏，按质量不合格处罚。</w:t>
      </w:r>
    </w:p>
    <w:p w14:paraId="46D948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4.甲方无故延期接受货物和乙方逾期交货的，每天应向对方偿付未交货物的货款3‰的违约金，但违约金累计不得超过违约货款的5%，超过</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天对方有权解除合同，违约方承担因此给对方造成的经济损失 。</w:t>
      </w:r>
    </w:p>
    <w:p w14:paraId="5FCA0B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5.乙方未按本合同和响应文件中规定的服务承诺提供售后服务的，乙方应按本合同合计金额的5%向甲方支付违约金。</w:t>
      </w:r>
    </w:p>
    <w:p w14:paraId="152E20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6.乙方提供的货物在质量保证期内，因设计、工艺或材料的缺陷和其它质量原因造成的问题，由乙方负责，费用从履约保证金中扣除，不足另补。</w:t>
      </w:r>
    </w:p>
    <w:p w14:paraId="6BEA06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b/>
          <w:sz w:val="24"/>
          <w:lang w:val="en-US" w:eastAsia="zh-CN"/>
        </w:rPr>
      </w:pPr>
      <w:r>
        <w:rPr>
          <w:rFonts w:hint="eastAsia" w:ascii="宋体" w:hAnsi="宋体" w:eastAsia="宋体" w:cs="Times New Roman"/>
          <w:sz w:val="24"/>
          <w:lang w:val="en-US" w:eastAsia="zh-CN"/>
        </w:rPr>
        <w:t>7.其它违约行为按违约货款额5%收取违约金并赔偿经济损失。</w:t>
      </w:r>
    </w:p>
    <w:p w14:paraId="691AE4A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六、不可抗力</w:t>
      </w:r>
    </w:p>
    <w:p w14:paraId="0A3BB4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1.不可抗力使合同的某些内容有变更必要的，双方应通过协商在</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天内达成进一步履行合同的协议，因不可抗力致使合同不能履行的，合同终止。</w:t>
      </w:r>
    </w:p>
    <w:p w14:paraId="7EC149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2.除法律、法规规定的不可抗力情形外，双方约定出现</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情况亦视为不可抗力。</w:t>
      </w:r>
    </w:p>
    <w:p w14:paraId="0B6831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Times New Roman"/>
          <w:b/>
          <w:sz w:val="24"/>
          <w:lang w:val="en-US" w:eastAsia="zh-CN"/>
        </w:rPr>
      </w:pPr>
      <w:r>
        <w:rPr>
          <w:rFonts w:hint="eastAsia" w:ascii="宋体" w:hAnsi="宋体" w:eastAsia="宋体" w:cs="Times New Roman"/>
          <w:b/>
          <w:sz w:val="24"/>
        </w:rPr>
        <w:t>七、知识产权：</w:t>
      </w:r>
      <w:r>
        <w:rPr>
          <w:rFonts w:hint="eastAsia" w:ascii="宋体" w:hAnsi="宋体" w:cs="Times New Roman"/>
          <w:b/>
          <w:sz w:val="24"/>
          <w:lang w:val="en-US" w:eastAsia="zh-CN"/>
        </w:rPr>
        <w:t>归采购人所有</w:t>
      </w:r>
    </w:p>
    <w:p w14:paraId="56591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Times New Roman"/>
          <w:b/>
          <w:sz w:val="24"/>
          <w:u w:val="single"/>
          <w:lang w:val="en-US" w:eastAsia="zh-CN"/>
        </w:rPr>
      </w:pPr>
      <w:r>
        <w:rPr>
          <w:rFonts w:hint="eastAsia" w:ascii="宋体" w:hAnsi="宋体" w:eastAsia="宋体" w:cs="Times New Roman"/>
          <w:b/>
          <w:sz w:val="24"/>
        </w:rPr>
        <w:t>八、其他约定：</w:t>
      </w:r>
      <w:r>
        <w:rPr>
          <w:rFonts w:hint="eastAsia" w:ascii="宋体" w:hAnsi="宋体" w:cs="Times New Roman"/>
          <w:b/>
          <w:sz w:val="24"/>
          <w:u w:val="single"/>
          <w:lang w:val="en-US" w:eastAsia="zh-CN"/>
        </w:rPr>
        <w:t xml:space="preserve">             。</w:t>
      </w:r>
    </w:p>
    <w:p w14:paraId="45C48E0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九、合同争议解决</w:t>
      </w:r>
    </w:p>
    <w:p w14:paraId="313F86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1.因产品质量问题发生争议的，应邀请国家认可的质量检测机构进行鉴定。产品符合标准的，鉴定费由甲方承担；产品不符合标准的，鉴定费由乙方承担。</w:t>
      </w:r>
    </w:p>
    <w:p w14:paraId="2AF3AC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2.因履行本合同引起的或与本合同有关的争议，甲乙双方应首先通过友好协商解决，如果协商不能解决，可向</w:t>
      </w:r>
      <w:r>
        <w:rPr>
          <w:rFonts w:hint="eastAsia" w:ascii="宋体" w:hAnsi="宋体" w:eastAsia="宋体" w:cs="Times New Roman"/>
          <w:sz w:val="24"/>
          <w:u w:val="single"/>
          <w:lang w:val="en-US" w:eastAsia="zh-CN"/>
        </w:rPr>
        <w:t>甲方</w:t>
      </w:r>
      <w:r>
        <w:rPr>
          <w:rFonts w:hint="eastAsia" w:ascii="宋体" w:hAnsi="宋体" w:eastAsia="宋体" w:cs="Times New Roman"/>
          <w:sz w:val="24"/>
          <w:lang w:val="en-US" w:eastAsia="zh-CN"/>
        </w:rPr>
        <w:t>所在地仲裁委员会申请仲裁或向甲方所在地人民法院提起诉讼。</w:t>
      </w:r>
    </w:p>
    <w:p w14:paraId="22C08E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3.诉讼期间，本合同继续履行。</w:t>
      </w:r>
    </w:p>
    <w:p w14:paraId="43A0C0C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imes New Roman"/>
          <w:b/>
          <w:sz w:val="24"/>
        </w:rPr>
      </w:pPr>
      <w:r>
        <w:rPr>
          <w:rFonts w:hint="eastAsia" w:ascii="宋体" w:hAnsi="宋体" w:eastAsia="宋体" w:cs="Times New Roman"/>
          <w:b/>
          <w:sz w:val="24"/>
        </w:rPr>
        <w:t>十、合同生效及其它：</w:t>
      </w:r>
    </w:p>
    <w:p w14:paraId="463839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1．本合同一式八份，经双方签字，并加盖公章即为生效；</w:t>
      </w:r>
    </w:p>
    <w:p w14:paraId="1FA079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2．本合同未尽事宜，按经济合同法有关规定处理；</w:t>
      </w:r>
    </w:p>
    <w:p w14:paraId="30300E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3．本合同的组成包含《合同通用条款》，可自行在青海政府采购网下载《合同通用条款》</w:t>
      </w:r>
    </w:p>
    <w:p w14:paraId="54EE5416">
      <w:pPr>
        <w:keepNext w:val="0"/>
        <w:keepLines w:val="0"/>
        <w:pageBreakBefore w:val="0"/>
        <w:widowControl w:val="0"/>
        <w:kinsoku/>
        <w:wordWrap/>
        <w:overflowPunct/>
        <w:topLinePunct w:val="0"/>
        <w:autoSpaceDE/>
        <w:autoSpaceDN/>
        <w:bidi w:val="0"/>
        <w:adjustRightInd/>
        <w:snapToGrid/>
        <w:spacing w:line="460" w:lineRule="exact"/>
        <w:ind w:firstLine="420"/>
        <w:jc w:val="both"/>
        <w:textAlignment w:val="auto"/>
        <w:rPr>
          <w:rFonts w:ascii="Times New Roman" w:hAnsi="Times New Roman" w:eastAsia="宋体" w:cs="Times New Roman"/>
          <w:kern w:val="2"/>
          <w:sz w:val="24"/>
          <w:szCs w:val="20"/>
          <w:lang w:val="en-US" w:eastAsia="zh-CN" w:bidi="ar-SA"/>
        </w:rPr>
      </w:pPr>
    </w:p>
    <w:p w14:paraId="72BA8486">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甲方（盖章）：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乙方（盖章）：</w:t>
      </w:r>
    </w:p>
    <w:p w14:paraId="07A0DDB3">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法人或委托人（签字）：    </w:t>
      </w:r>
      <w:r>
        <w:rPr>
          <w:rFonts w:hint="eastAsia" w:ascii="宋体" w:hAnsi="宋体" w:eastAsia="宋体" w:cs="Times New Roman"/>
          <w:sz w:val="24"/>
          <w:lang w:val="en-US" w:eastAsia="zh-CN"/>
        </w:rPr>
        <w:t xml:space="preserve">                </w:t>
      </w:r>
      <w:r>
        <w:rPr>
          <w:rFonts w:hint="eastAsia" w:ascii="宋体" w:hAnsi="宋体" w:eastAsia="宋体" w:cs="Times New Roman"/>
          <w:sz w:val="24"/>
        </w:rPr>
        <w:t>法人或委托人（签字）：</w:t>
      </w:r>
    </w:p>
    <w:p w14:paraId="6551250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 xml:space="preserve">联系电话：   </w:t>
      </w:r>
      <w:r>
        <w:rPr>
          <w:rFonts w:hint="eastAsia" w:ascii="宋体" w:hAnsi="宋体" w:eastAsia="宋体" w:cs="Times New Roman"/>
          <w:sz w:val="24"/>
          <w:lang w:val="en-US" w:eastAsia="zh-CN"/>
        </w:rPr>
        <w:t xml:space="preserve">                             </w:t>
      </w:r>
      <w:r>
        <w:rPr>
          <w:rFonts w:hint="eastAsia" w:ascii="宋体" w:hAnsi="宋体" w:eastAsia="宋体" w:cs="Times New Roman"/>
          <w:sz w:val="24"/>
        </w:rPr>
        <w:t>开户银行：</w:t>
      </w:r>
    </w:p>
    <w:p w14:paraId="6D04F27F">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r>
        <w:rPr>
          <w:rFonts w:hint="eastAsia" w:ascii="宋体" w:hAnsi="宋体" w:eastAsia="宋体" w:cs="Times New Roman"/>
          <w:sz w:val="24"/>
        </w:rPr>
        <w:t>账号：</w:t>
      </w:r>
    </w:p>
    <w:p w14:paraId="3DF1C5B8">
      <w:pPr>
        <w:keepNext w:val="0"/>
        <w:keepLines w:val="0"/>
        <w:pageBreakBefore w:val="0"/>
        <w:widowControl w:val="0"/>
        <w:kinsoku/>
        <w:wordWrap/>
        <w:overflowPunct/>
        <w:topLinePunct w:val="0"/>
        <w:autoSpaceDE/>
        <w:autoSpaceDN/>
        <w:bidi w:val="0"/>
        <w:adjustRightInd/>
        <w:snapToGrid/>
        <w:spacing w:line="460" w:lineRule="exact"/>
        <w:ind w:firstLine="5040" w:firstLineChars="2100"/>
        <w:textAlignment w:val="auto"/>
        <w:rPr>
          <w:rFonts w:ascii="宋体" w:hAnsi="宋体" w:eastAsia="宋体" w:cs="Times New Roman"/>
          <w:sz w:val="24"/>
        </w:rPr>
      </w:pPr>
      <w:r>
        <w:rPr>
          <w:rFonts w:hint="eastAsia" w:ascii="宋体" w:hAnsi="宋体" w:eastAsia="宋体" w:cs="Times New Roman"/>
          <w:sz w:val="24"/>
        </w:rPr>
        <w:t>联系电话：</w:t>
      </w:r>
    </w:p>
    <w:p w14:paraId="09B3013C">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right"/>
        <w:textAlignment w:val="auto"/>
        <w:rPr>
          <w:rFonts w:hint="eastAsia" w:ascii="宋体" w:hAnsi="宋体" w:eastAsia="宋体" w:cs="Times New Roman"/>
          <w:sz w:val="24"/>
        </w:rPr>
      </w:pPr>
    </w:p>
    <w:p w14:paraId="67ED1CCE">
      <w:pPr>
        <w:keepNext w:val="0"/>
        <w:keepLines w:val="0"/>
        <w:pageBreakBefore w:val="0"/>
        <w:widowControl w:val="0"/>
        <w:kinsoku/>
        <w:wordWrap/>
        <w:overflowPunct/>
        <w:topLinePunct w:val="0"/>
        <w:autoSpaceDE/>
        <w:autoSpaceDN/>
        <w:bidi w:val="0"/>
        <w:adjustRightInd/>
        <w:snapToGrid/>
        <w:spacing w:line="460" w:lineRule="exact"/>
        <w:ind w:firstLine="1680" w:firstLineChars="700"/>
        <w:jc w:val="both"/>
        <w:textAlignment w:val="auto"/>
        <w:rPr>
          <w:rFonts w:ascii="宋体" w:hAnsi="宋体" w:eastAsia="宋体" w:cs="宋体"/>
          <w:kern w:val="0"/>
          <w:sz w:val="24"/>
        </w:rPr>
      </w:pPr>
      <w:r>
        <w:rPr>
          <w:rFonts w:hint="eastAsia" w:ascii="宋体" w:hAnsi="宋体" w:eastAsia="宋体" w:cs="Times New Roman"/>
          <w:sz w:val="24"/>
        </w:rPr>
        <w:t>签约时间：         年    月    日</w:t>
      </w:r>
    </w:p>
    <w:p w14:paraId="16423A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24"/>
          <w:lang w:val="zh-CN"/>
        </w:rPr>
      </w:pPr>
    </w:p>
    <w:p w14:paraId="6A76033F">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宋体"/>
          <w:color w:val="000000"/>
          <w:kern w:val="0"/>
          <w:sz w:val="24"/>
          <w:lang w:val="zh-CN"/>
        </w:rPr>
        <w:t>采购代理机构</w:t>
      </w:r>
      <w:r>
        <w:rPr>
          <w:rFonts w:hint="eastAsia" w:ascii="宋体" w:hAnsi="宋体" w:eastAsia="宋体" w:cs="Times New Roman"/>
          <w:sz w:val="24"/>
        </w:rPr>
        <w:t>：</w:t>
      </w:r>
    </w:p>
    <w:p w14:paraId="44D41D9D">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Times New Roman"/>
          <w:sz w:val="24"/>
        </w:rPr>
      </w:pPr>
      <w:r>
        <w:rPr>
          <w:rFonts w:hint="eastAsia" w:ascii="宋体" w:hAnsi="宋体" w:eastAsia="宋体" w:cs="Times New Roman"/>
          <w:sz w:val="24"/>
        </w:rPr>
        <w:t>负责人或经办人：</w:t>
      </w:r>
    </w:p>
    <w:p w14:paraId="55A0028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0"/>
          <w:lang w:val="en-US" w:eastAsia="zh-CN" w:bidi="ar-SA"/>
        </w:rPr>
        <w:t>合同备案日期：   年    月    日</w:t>
      </w:r>
    </w:p>
    <w:p w14:paraId="35DC00C0">
      <w:pPr>
        <w:spacing w:line="360" w:lineRule="auto"/>
        <w:jc w:val="center"/>
        <w:rPr>
          <w:rFonts w:hint="eastAsia" w:ascii="宋体" w:hAnsi="宋体" w:eastAsia="宋体" w:cs="Times New Roman"/>
          <w:b/>
          <w:sz w:val="28"/>
          <w:szCs w:val="28"/>
        </w:rPr>
      </w:pPr>
    </w:p>
    <w:p w14:paraId="116E100E">
      <w:pPr>
        <w:spacing w:line="360" w:lineRule="auto"/>
        <w:jc w:val="center"/>
        <w:rPr>
          <w:rFonts w:hint="eastAsia" w:ascii="宋体" w:hAnsi="宋体" w:eastAsia="宋体" w:cs="Times New Roman"/>
          <w:b/>
          <w:sz w:val="28"/>
          <w:szCs w:val="28"/>
        </w:rPr>
      </w:pPr>
    </w:p>
    <w:p w14:paraId="58708828">
      <w:pPr>
        <w:spacing w:line="360" w:lineRule="auto"/>
        <w:jc w:val="center"/>
        <w:rPr>
          <w:rFonts w:hint="eastAsia" w:ascii="宋体" w:hAnsi="宋体" w:eastAsia="宋体" w:cs="Times New Roman"/>
          <w:b/>
          <w:sz w:val="28"/>
          <w:szCs w:val="28"/>
        </w:rPr>
      </w:pPr>
    </w:p>
    <w:p w14:paraId="02B136FF">
      <w:pPr>
        <w:spacing w:line="360" w:lineRule="auto"/>
        <w:jc w:val="center"/>
        <w:rPr>
          <w:rFonts w:hint="eastAsia" w:ascii="宋体" w:hAnsi="宋体" w:eastAsia="宋体" w:cs="Times New Roman"/>
          <w:b/>
          <w:sz w:val="28"/>
          <w:szCs w:val="28"/>
        </w:rPr>
      </w:pPr>
    </w:p>
    <w:p w14:paraId="762D097A">
      <w:pPr>
        <w:spacing w:line="360" w:lineRule="auto"/>
        <w:jc w:val="center"/>
        <w:rPr>
          <w:rFonts w:hint="eastAsia" w:ascii="宋体" w:hAnsi="宋体" w:eastAsia="宋体" w:cs="Times New Roman"/>
          <w:b/>
          <w:sz w:val="28"/>
          <w:szCs w:val="28"/>
        </w:rPr>
      </w:pPr>
    </w:p>
    <w:p w14:paraId="5D7BD129">
      <w:pPr>
        <w:spacing w:line="360" w:lineRule="auto"/>
        <w:jc w:val="center"/>
        <w:rPr>
          <w:rFonts w:hint="eastAsia" w:ascii="宋体" w:hAnsi="宋体" w:eastAsia="宋体" w:cs="Times New Roman"/>
          <w:b/>
          <w:sz w:val="28"/>
          <w:szCs w:val="28"/>
        </w:rPr>
      </w:pPr>
    </w:p>
    <w:p w14:paraId="33A9C878">
      <w:pPr>
        <w:spacing w:line="360" w:lineRule="auto"/>
        <w:jc w:val="center"/>
        <w:rPr>
          <w:rFonts w:ascii="宋体" w:hAnsi="宋体" w:eastAsia="宋体" w:cs="宋体"/>
          <w:b/>
          <w:bCs/>
          <w:kern w:val="0"/>
          <w:sz w:val="28"/>
          <w:szCs w:val="28"/>
          <w:lang w:val="zh-CN"/>
        </w:rPr>
      </w:pPr>
      <w:r>
        <w:rPr>
          <w:rFonts w:hint="eastAsia" w:ascii="宋体" w:hAnsi="宋体" w:eastAsia="宋体" w:cs="Times New Roman"/>
          <w:b/>
          <w:sz w:val="28"/>
          <w:szCs w:val="28"/>
        </w:rPr>
        <w:t>合同通用条款</w:t>
      </w:r>
    </w:p>
    <w:p w14:paraId="3B65973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根据《中华人民共和国</w:t>
      </w:r>
      <w:r>
        <w:rPr>
          <w:rFonts w:hint="eastAsia" w:ascii="宋体" w:hAnsi="宋体" w:cs="宋体"/>
          <w:kern w:val="0"/>
          <w:sz w:val="24"/>
          <w:lang w:val="en-US" w:eastAsia="zh-CN"/>
        </w:rPr>
        <w:t>民法典</w:t>
      </w:r>
      <w:r>
        <w:rPr>
          <w:rFonts w:hint="eastAsia" w:ascii="宋体" w:hAnsi="宋体" w:eastAsia="宋体" w:cs="宋体"/>
          <w:kern w:val="0"/>
          <w:sz w:val="24"/>
          <w:lang w:val="zh-CN"/>
        </w:rPr>
        <w:t>》、《中华人民共和国政府采购法》的规定，合同双方经协商达成一致，自愿订立本合同，遵循公平原则明确双方的权利、义务，确保双方诚实守信地履行合同。</w:t>
      </w:r>
    </w:p>
    <w:p w14:paraId="779DEB3F">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w:t>
      </w:r>
      <w:r>
        <w:rPr>
          <w:rFonts w:hint="eastAsia" w:ascii="宋体" w:hAnsi="宋体" w:eastAsia="宋体" w:cs="宋体"/>
          <w:b/>
          <w:bCs/>
          <w:kern w:val="0"/>
          <w:sz w:val="24"/>
          <w:lang w:val="zh-CN"/>
        </w:rPr>
        <w:t>定义</w:t>
      </w:r>
    </w:p>
    <w:p w14:paraId="08AEDC2E">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本合同中的下列术语应解释为：</w:t>
      </w:r>
    </w:p>
    <w:p w14:paraId="2D917FA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val="zh-CN"/>
        </w:rPr>
        <w:t>“合同”指甲乙双方签署的、载明的甲乙双方权利义务的协议，包括所有的附件、附录和上述文件所提到的构成合同的所有文件。</w:t>
      </w:r>
    </w:p>
    <w:p w14:paraId="017FC9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lang w:val="zh-CN"/>
        </w:rPr>
        <w:t>“合同金额”指根据合同规定，乙方在正确地完全履行合同义务后甲方应付给乙方的价款。</w:t>
      </w:r>
    </w:p>
    <w:p w14:paraId="03D1EE8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1.3</w:t>
      </w:r>
      <w:r>
        <w:rPr>
          <w:rFonts w:hint="eastAsia" w:ascii="Times New Roman" w:hAnsi="Times New Roman" w:eastAsia="宋体" w:cs="Times New Roman"/>
          <w:sz w:val="24"/>
          <w:lang w:val="zh-CN"/>
        </w:rPr>
        <w:t>“合同条款”指本合同条款。</w:t>
      </w:r>
    </w:p>
    <w:p w14:paraId="653DFAF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1.4</w:t>
      </w:r>
      <w:r>
        <w:rPr>
          <w:rFonts w:hint="eastAsia" w:ascii="Times New Roman" w:hAnsi="Times New Roman" w:eastAsia="宋体" w:cs="Times New Roman"/>
          <w:sz w:val="24"/>
          <w:lang w:val="zh-CN"/>
        </w:rPr>
        <w:t>“货物”指乙方根据合同约定须向甲方提供的一切产品、设备、机械、仪表、备件等，包括辅助工具、使用手册等相关资料。</w:t>
      </w:r>
    </w:p>
    <w:p w14:paraId="40E7A31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lang w:val="zh-CN"/>
        </w:rPr>
        <w:t>“服务”指根据本合同规定乙方承担与供货有关的辅助服务，如运输、保险及安装、调试、提供技术援助、培训和合同中规定乙方应承担的其它义务。</w:t>
      </w:r>
    </w:p>
    <w:p w14:paraId="0A2559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1.6</w:t>
      </w:r>
      <w:r>
        <w:rPr>
          <w:rFonts w:hint="eastAsia" w:ascii="Times New Roman" w:hAnsi="Times New Roman" w:eastAsia="宋体" w:cs="Times New Roman"/>
          <w:sz w:val="24"/>
          <w:lang w:val="zh-CN"/>
        </w:rPr>
        <w:t>“甲方”指购买货物和服务的单位。</w:t>
      </w:r>
    </w:p>
    <w:p w14:paraId="321C16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1.7</w:t>
      </w:r>
      <w:r>
        <w:rPr>
          <w:rFonts w:hint="eastAsia" w:ascii="Times New Roman" w:hAnsi="Times New Roman" w:eastAsia="宋体" w:cs="Times New Roman"/>
          <w:sz w:val="24"/>
          <w:lang w:val="zh-CN"/>
        </w:rPr>
        <w:t>“乙方”指提供本合同条款下货物和服务的公司或其他实体。</w:t>
      </w:r>
    </w:p>
    <w:p w14:paraId="1B8D5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lang w:val="zh-CN"/>
        </w:rPr>
        <w:t>“现场”指合同规定货物将要运至和安装的地点。</w:t>
      </w:r>
    </w:p>
    <w:p w14:paraId="2DDD6A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1.9</w:t>
      </w:r>
      <w:r>
        <w:rPr>
          <w:rFonts w:hint="eastAsia" w:ascii="Times New Roman" w:hAnsi="Times New Roman" w:eastAsia="宋体" w:cs="Times New Roman"/>
          <w:sz w:val="24"/>
          <w:lang w:val="zh-CN"/>
        </w:rPr>
        <w:t>“验收”指合同双方依据强制性的国家技术质量规范和合同约定，确认合同条款下的货物符合合同规定的活动。</w:t>
      </w:r>
    </w:p>
    <w:p w14:paraId="778AF2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1.10</w:t>
      </w:r>
      <w:r>
        <w:rPr>
          <w:rFonts w:hint="eastAsia" w:ascii="Times New Roman" w:hAnsi="Times New Roman" w:eastAsia="宋体" w:cs="Times New Roman"/>
          <w:sz w:val="24"/>
          <w:lang w:val="zh-CN"/>
        </w:rPr>
        <w:t>原厂商：产品制造商或其在中国境内设立的办事或技术服务机构。除另有说明外，本合同文件所述的制造商、产品制造商、制造厂家、产品制造厂家均为原厂商。</w:t>
      </w:r>
    </w:p>
    <w:p w14:paraId="25D22A1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1.11</w:t>
      </w:r>
      <w:r>
        <w:rPr>
          <w:rFonts w:hint="eastAsia" w:ascii="Times New Roman" w:hAnsi="Times New Roman" w:eastAsia="宋体" w:cs="Times New Roman"/>
          <w:sz w:val="24"/>
          <w:lang w:val="zh-CN"/>
        </w:rPr>
        <w:t>原产地：指产品的生产地，或提供服务的来源地。</w:t>
      </w:r>
    </w:p>
    <w:p w14:paraId="23D3223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1.12</w:t>
      </w:r>
      <w:r>
        <w:rPr>
          <w:rFonts w:hint="eastAsia" w:ascii="Times New Roman" w:hAnsi="Times New Roman" w:eastAsia="宋体" w:cs="Times New Roman"/>
          <w:sz w:val="24"/>
          <w:lang w:val="zh-CN"/>
        </w:rPr>
        <w:t>“工作日”指国家法定工作日，“天”指日历天数。</w:t>
      </w:r>
    </w:p>
    <w:p w14:paraId="1038278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2.</w:t>
      </w:r>
      <w:r>
        <w:rPr>
          <w:rFonts w:hint="eastAsia" w:ascii="宋体" w:hAnsi="宋体" w:eastAsia="宋体" w:cs="宋体"/>
          <w:b/>
          <w:bCs/>
          <w:kern w:val="0"/>
          <w:sz w:val="24"/>
          <w:lang w:val="zh-CN"/>
        </w:rPr>
        <w:t>技术规格要求</w:t>
      </w:r>
    </w:p>
    <w:p w14:paraId="64FD090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w:t>
      </w:r>
      <w:r>
        <w:rPr>
          <w:rFonts w:hint="eastAsia" w:ascii="Times New Roman" w:hAnsi="Times New Roman" w:eastAsia="宋体" w:cs="Times New Roman"/>
          <w:sz w:val="24"/>
          <w:lang w:val="zh-CN" w:eastAsia="zh-CN"/>
        </w:rPr>
        <w:t>本合同条款下提服务物的技术规格要求应等于或优于招</w:t>
      </w:r>
      <w:r>
        <w:rPr>
          <w:rFonts w:hint="eastAsia" w:cs="Times New Roman"/>
          <w:sz w:val="24"/>
          <w:lang w:val="en-US" w:eastAsia="zh-CN"/>
        </w:rPr>
        <w:t>谈判</w:t>
      </w:r>
      <w:r>
        <w:rPr>
          <w:rFonts w:hint="eastAsia" w:ascii="Times New Roman" w:hAnsi="Times New Roman" w:eastAsia="宋体" w:cs="Times New Roman"/>
          <w:sz w:val="24"/>
          <w:lang w:val="zh-CN" w:eastAsia="zh-CN"/>
        </w:rPr>
        <w:t>文件技术规格要求。若技术规格要求中无相应规定，则应符合相应的国家有关部门最新颁布的相应正式标准。</w:t>
      </w:r>
    </w:p>
    <w:p w14:paraId="48F4EB2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2.2</w:t>
      </w:r>
      <w:r>
        <w:rPr>
          <w:rFonts w:hint="eastAsia" w:ascii="Times New Roman" w:hAnsi="Times New Roman" w:eastAsia="宋体" w:cs="Times New Roman"/>
          <w:sz w:val="24"/>
          <w:lang w:val="zh-CN" w:eastAsia="zh-CN"/>
        </w:rPr>
        <w:t>乙方应向甲方提供货物及服务有关的标准的中文文本。</w:t>
      </w:r>
    </w:p>
    <w:p w14:paraId="1A1B2B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w:t>
      </w:r>
      <w:r>
        <w:rPr>
          <w:rFonts w:hint="eastAsia" w:ascii="Times New Roman" w:hAnsi="Times New Roman" w:eastAsia="宋体" w:cs="Times New Roman"/>
          <w:sz w:val="24"/>
          <w:lang w:val="zh-CN" w:eastAsia="zh-CN"/>
        </w:rPr>
        <w:t>除非技术规范中另有规定，计量单位均采用中华人民共和国法定计量单位。</w:t>
      </w:r>
    </w:p>
    <w:p w14:paraId="713865E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3.</w:t>
      </w:r>
      <w:r>
        <w:rPr>
          <w:rFonts w:hint="eastAsia" w:ascii="宋体" w:hAnsi="宋体" w:eastAsia="宋体" w:cs="宋体"/>
          <w:b/>
          <w:bCs/>
          <w:kern w:val="0"/>
          <w:sz w:val="24"/>
          <w:lang w:val="zh-CN"/>
        </w:rPr>
        <w:t>合同范围</w:t>
      </w:r>
    </w:p>
    <w:p w14:paraId="7076404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w:t>
      </w:r>
      <w:r>
        <w:rPr>
          <w:rFonts w:hint="eastAsia" w:ascii="Times New Roman" w:hAnsi="Times New Roman" w:eastAsia="宋体" w:cs="Times New Roman"/>
          <w:sz w:val="24"/>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0A9E2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3.2</w:t>
      </w:r>
      <w:r>
        <w:rPr>
          <w:rFonts w:hint="eastAsia" w:ascii="Times New Roman" w:hAnsi="Times New Roman" w:eastAsia="宋体" w:cs="Times New Roman"/>
          <w:sz w:val="24"/>
          <w:lang w:val="zh-CN" w:eastAsia="zh-CN"/>
        </w:rPr>
        <w:t>乙方应负责培训甲方的技术人员。</w:t>
      </w:r>
    </w:p>
    <w:p w14:paraId="7A24B06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3.3</w:t>
      </w:r>
      <w:r>
        <w:rPr>
          <w:rFonts w:hint="eastAsia" w:ascii="Times New Roman" w:hAnsi="Times New Roman" w:eastAsia="宋体" w:cs="Times New Roman"/>
          <w:sz w:val="24"/>
          <w:lang w:val="zh-CN" w:eastAsia="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0D08733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4.</w:t>
      </w:r>
      <w:r>
        <w:rPr>
          <w:rFonts w:hint="eastAsia" w:ascii="宋体" w:hAnsi="宋体" w:eastAsia="宋体" w:cs="宋体"/>
          <w:b/>
          <w:bCs/>
          <w:kern w:val="0"/>
          <w:sz w:val="24"/>
          <w:lang w:val="zh-CN"/>
        </w:rPr>
        <w:t>合同文件和资料</w:t>
      </w:r>
    </w:p>
    <w:p w14:paraId="1119DFE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w:t>
      </w:r>
      <w:r>
        <w:rPr>
          <w:rFonts w:hint="eastAsia" w:ascii="Times New Roman" w:hAnsi="Times New Roman" w:eastAsia="宋体" w:cs="Times New Roman"/>
          <w:sz w:val="24"/>
          <w:lang w:val="zh-CN" w:eastAsia="zh-CN"/>
        </w:rPr>
        <w:t>乙方在提供仪器设备时应同时提供中文版相关的技术资料，如目录索引、图纸、操作手册、使用指南、维修指南、服务手册等。</w:t>
      </w:r>
    </w:p>
    <w:p w14:paraId="51DC436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4.2</w:t>
      </w:r>
      <w:r>
        <w:rPr>
          <w:rFonts w:hint="eastAsia" w:ascii="Times New Roman" w:hAnsi="Times New Roman" w:eastAsia="宋体" w:cs="Times New Roman"/>
          <w:sz w:val="24"/>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40AEA7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5.</w:t>
      </w:r>
      <w:r>
        <w:rPr>
          <w:rFonts w:hint="eastAsia" w:ascii="宋体" w:hAnsi="宋体" w:eastAsia="宋体" w:cs="宋体"/>
          <w:b/>
          <w:bCs/>
          <w:kern w:val="0"/>
          <w:sz w:val="24"/>
          <w:lang w:val="zh-CN"/>
        </w:rPr>
        <w:t>知识产权</w:t>
      </w:r>
    </w:p>
    <w:p w14:paraId="0F13BA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w:t>
      </w:r>
      <w:r>
        <w:rPr>
          <w:rFonts w:hint="eastAsia" w:ascii="Times New Roman" w:hAnsi="Times New Roman" w:eastAsia="宋体" w:cs="Times New Roman"/>
          <w:sz w:val="24"/>
          <w:lang w:val="zh-CN" w:eastAsia="zh-CN"/>
        </w:rPr>
        <w:t>乙方应保证甲方在使用该货物或其任何一部分时不受第三方提出的侵犯专利权、著作权、商标权和工业设计权等的起诉。</w:t>
      </w:r>
    </w:p>
    <w:p w14:paraId="3029EB6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w:t>
      </w:r>
      <w:r>
        <w:rPr>
          <w:rFonts w:hint="eastAsia" w:ascii="Times New Roman" w:hAnsi="Times New Roman" w:eastAsia="宋体" w:cs="Times New Roman"/>
          <w:sz w:val="24"/>
          <w:lang w:val="zh-CN" w:eastAsia="zh-CN"/>
        </w:rPr>
        <w:t>任何第三方提出侵权指控，乙方须与第三方交涉并承担由此产生的一切责任、费用和经济赔偿。</w:t>
      </w:r>
    </w:p>
    <w:p w14:paraId="0C9E0E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w:t>
      </w:r>
      <w:r>
        <w:rPr>
          <w:rFonts w:hint="eastAsia" w:ascii="Times New Roman" w:hAnsi="Times New Roman" w:eastAsia="宋体" w:cs="Times New Roman"/>
          <w:sz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02F8B40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5.4</w:t>
      </w:r>
      <w:r>
        <w:rPr>
          <w:rFonts w:hint="eastAsia" w:ascii="Times New Roman" w:hAnsi="Times New Roman" w:eastAsia="宋体" w:cs="Times New Roman"/>
          <w:sz w:val="24"/>
          <w:lang w:val="zh-CN" w:eastAsia="zh-CN"/>
        </w:rPr>
        <w:t>在本合同生效时已经存在并为各方合法拥有或使用的所有技术、资料和信息的知识产权，仍应属于其各自的原权利人所有或享有，另有约定的除外。</w:t>
      </w:r>
    </w:p>
    <w:p w14:paraId="23D8BBA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5.5</w:t>
      </w:r>
      <w:r>
        <w:rPr>
          <w:rFonts w:hint="eastAsia" w:ascii="Times New Roman" w:hAnsi="Times New Roman" w:eastAsia="宋体" w:cs="Times New Roman"/>
          <w:sz w:val="24"/>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4DD570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6.</w:t>
      </w:r>
      <w:r>
        <w:rPr>
          <w:rFonts w:hint="eastAsia" w:ascii="宋体" w:hAnsi="宋体" w:eastAsia="宋体" w:cs="宋体"/>
          <w:b/>
          <w:bCs/>
          <w:kern w:val="0"/>
          <w:sz w:val="24"/>
          <w:lang w:val="zh-CN"/>
        </w:rPr>
        <w:t>保密</w:t>
      </w:r>
    </w:p>
    <w:p w14:paraId="0F2877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6.1</w:t>
      </w:r>
      <w:r>
        <w:rPr>
          <w:rFonts w:hint="eastAsia" w:ascii="Times New Roman" w:hAnsi="Times New Roman" w:eastAsia="宋体" w:cs="Times New Roman"/>
          <w:sz w:val="24"/>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972055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w:t>
      </w:r>
      <w:r>
        <w:rPr>
          <w:rFonts w:hint="eastAsia" w:ascii="Times New Roman" w:hAnsi="Times New Roman" w:eastAsia="宋体" w:cs="Times New Roman"/>
          <w:sz w:val="24"/>
          <w:lang w:val="zh-CN" w:eastAsia="zh-CN"/>
        </w:rPr>
        <w:t>保密信息指任何一方因履行本合同所知悉的任何以口头、书面、图表或电子形式存在的对方信息，具体包括：</w:t>
      </w:r>
    </w:p>
    <w:p w14:paraId="59D906E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任何涉及对方过去、现在或将来的商业计划、规章制度、操作规程、处理手段、财务信息；</w:t>
      </w:r>
    </w:p>
    <w:p w14:paraId="1B632B5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任何对方的技术措施、技术方案、软件应用及开发，硬件设备的品种、质量、数量、品牌等；</w:t>
      </w:r>
    </w:p>
    <w:p w14:paraId="61A568F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任何对方的技术秘密或专有知识、文件、报告、数据、客户软件、流程图、数据库、发明、知识、贸易秘密。</w:t>
      </w:r>
    </w:p>
    <w:p w14:paraId="251F8C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6.3</w:t>
      </w:r>
      <w:r>
        <w:rPr>
          <w:rFonts w:hint="eastAsia" w:ascii="Times New Roman" w:hAnsi="Times New Roman" w:eastAsia="宋体" w:cs="Times New Roman"/>
          <w:sz w:val="24"/>
          <w:lang w:val="zh-CN" w:eastAsia="zh-CN"/>
        </w:rPr>
        <w:t>乙方应根据甲方的要求签署相应的保密协议，保密协议与本条款存在不一致的，以保密协议为准。</w:t>
      </w:r>
    </w:p>
    <w:p w14:paraId="21DED02B">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kern w:val="0"/>
          <w:sz w:val="24"/>
        </w:rPr>
      </w:pPr>
      <w:r>
        <w:rPr>
          <w:rFonts w:hint="default" w:ascii="宋体" w:hAnsi="宋体" w:eastAsia="宋体" w:cs="宋体"/>
          <w:b/>
          <w:kern w:val="0"/>
          <w:sz w:val="24"/>
          <w:szCs w:val="24"/>
          <w:lang w:val="en-US" w:eastAsia="zh-CN" w:bidi="ar-SA"/>
        </w:rPr>
        <w:t>7.</w:t>
      </w:r>
      <w:r>
        <w:rPr>
          <w:rFonts w:hint="eastAsia" w:ascii="宋体" w:hAnsi="宋体" w:eastAsia="宋体" w:cs="宋体"/>
          <w:b/>
          <w:bCs/>
          <w:kern w:val="0"/>
          <w:sz w:val="24"/>
          <w:lang w:val="zh-CN"/>
        </w:rPr>
        <w:t>质量保证</w:t>
      </w:r>
    </w:p>
    <w:p w14:paraId="3CAB9705">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7.1</w:t>
      </w:r>
      <w:r>
        <w:rPr>
          <w:rFonts w:hint="eastAsia" w:ascii="宋体" w:hAnsi="宋体" w:eastAsia="宋体" w:cs="宋体"/>
          <w:kern w:val="0"/>
          <w:sz w:val="24"/>
          <w:lang w:val="zh-CN"/>
        </w:rPr>
        <w:t>货物质量保证</w:t>
      </w:r>
    </w:p>
    <w:p w14:paraId="4024F4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乙方必须保证货物是全新、未使用过的，并完全符合强制性的国家技术质量规范和合同规定的质量、规格、性能和技术规范等的要求。</w:t>
      </w:r>
    </w:p>
    <w:p w14:paraId="0F7EA5D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0061AAAF">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EDE461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76034">
      <w:pPr>
        <w:keepNext w:val="0"/>
        <w:keepLines w:val="0"/>
        <w:pageBreakBefore w:val="0"/>
        <w:widowControl w:val="0"/>
        <w:kinsoku/>
        <w:wordWrap/>
        <w:overflowPunct/>
        <w:topLinePunct w:val="0"/>
        <w:bidi w:val="0"/>
        <w:adjustRightInd/>
        <w:snapToGrid/>
        <w:spacing w:line="46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合同条款下货物的免费质保期自货物通过最终验收起算，合同另行规定除外。</w:t>
      </w:r>
    </w:p>
    <w:p w14:paraId="3AF87232">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hint="eastAsia" w:ascii="宋体" w:hAnsi="宋体" w:eastAsia="宋体" w:cs="宋体"/>
          <w:kern w:val="0"/>
          <w:sz w:val="24"/>
          <w:lang w:val="zh-CN"/>
        </w:rPr>
      </w:pPr>
      <w:r>
        <w:rPr>
          <w:rFonts w:hint="default" w:ascii="宋体" w:hAnsi="宋体" w:eastAsia="宋体" w:cs="宋体"/>
          <w:b w:val="0"/>
          <w:kern w:val="0"/>
          <w:sz w:val="24"/>
          <w:szCs w:val="24"/>
          <w:lang w:val="zh-CN" w:eastAsia="zh-CN" w:bidi="ar-SA"/>
        </w:rPr>
        <w:t>7.2</w:t>
      </w:r>
      <w:r>
        <w:rPr>
          <w:rFonts w:hint="eastAsia" w:ascii="宋体" w:hAnsi="宋体" w:eastAsia="宋体" w:cs="宋体"/>
          <w:kern w:val="0"/>
          <w:sz w:val="24"/>
          <w:lang w:val="zh-CN"/>
        </w:rPr>
        <w:t>辅助服务质量保证</w:t>
      </w:r>
    </w:p>
    <w:p w14:paraId="2CD531E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D2E341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4920B61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8.</w:t>
      </w:r>
      <w:r>
        <w:rPr>
          <w:rFonts w:hint="eastAsia" w:ascii="宋体" w:hAnsi="宋体" w:eastAsia="宋体" w:cs="宋体"/>
          <w:b/>
          <w:bCs/>
          <w:kern w:val="0"/>
          <w:sz w:val="24"/>
          <w:lang w:val="zh-CN"/>
        </w:rPr>
        <w:t>包装要求</w:t>
      </w:r>
    </w:p>
    <w:p w14:paraId="4F185A6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8.1</w:t>
      </w:r>
      <w:r>
        <w:rPr>
          <w:rFonts w:hint="eastAsia" w:ascii="Times New Roman" w:hAnsi="Times New Roman" w:eastAsia="宋体" w:cs="Times New Roman"/>
          <w:sz w:val="24"/>
          <w:lang w:val="zh-CN" w:eastAsia="zh-CN"/>
        </w:rPr>
        <w:t>除合同另有约定外</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乙方提供的全部货物</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lang w:val="zh-CN" w:eastAsia="zh-CN"/>
        </w:rPr>
        <w:t>均应采用本行业通用的方式进行包装，且该包装应符合国家有关包装的法律、法规的规定。</w:t>
      </w:r>
    </w:p>
    <w:p w14:paraId="44DCAB6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8.2</w:t>
      </w:r>
      <w:r>
        <w:rPr>
          <w:rFonts w:hint="eastAsia" w:ascii="Times New Roman" w:hAnsi="Times New Roman" w:eastAsia="宋体" w:cs="Times New Roman"/>
          <w:sz w:val="24"/>
          <w:lang w:val="zh-CN" w:eastAsia="zh-CN"/>
        </w:rPr>
        <w:t>包装应适应于远距离运输，并有良好的防潮、防震、防锈和防粗暴装卸等保护措施，以确保货物安全运抵现场。由于包装不善所引起的货物锈蚀、损坏和损失均由乙方承担。</w:t>
      </w:r>
    </w:p>
    <w:p w14:paraId="0171DCF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zh-CN" w:eastAsia="zh-CN"/>
        </w:rPr>
        <w:t>乙方应提供货物运至合同规定的最终目的地所需要的包装，以防止货物在转运中损坏或变质。</w:t>
      </w:r>
    </w:p>
    <w:p w14:paraId="263893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8.3</w:t>
      </w:r>
      <w:r>
        <w:rPr>
          <w:rFonts w:hint="eastAsia" w:ascii="Times New Roman" w:hAnsi="Times New Roman" w:eastAsia="宋体" w:cs="Times New Roman"/>
          <w:sz w:val="24"/>
          <w:lang w:val="zh-CN" w:eastAsia="zh-CN"/>
        </w:rPr>
        <w:t>乙方所提供的货物包装均为出厂时原包装。</w:t>
      </w:r>
    </w:p>
    <w:p w14:paraId="4C55B14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8.4</w:t>
      </w:r>
      <w:r>
        <w:rPr>
          <w:rFonts w:hint="eastAsia" w:ascii="Times New Roman" w:hAnsi="Times New Roman" w:eastAsia="宋体" w:cs="Times New Roman"/>
          <w:sz w:val="24"/>
          <w:lang w:val="zh-CN" w:eastAsia="zh-CN"/>
        </w:rPr>
        <w:t>乙方所提供货物必须附有质量合格证，装箱清单，主机、附件、各种零部件和消耗品，有清楚的与装箱单相对应的名称和编号。</w:t>
      </w:r>
    </w:p>
    <w:p w14:paraId="19AEEB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8.5</w:t>
      </w:r>
      <w:r>
        <w:rPr>
          <w:rFonts w:hint="eastAsia" w:ascii="Times New Roman" w:hAnsi="Times New Roman" w:eastAsia="宋体" w:cs="Times New Roman"/>
          <w:sz w:val="24"/>
          <w:lang w:val="zh-CN" w:eastAsia="zh-CN"/>
        </w:rPr>
        <w:t>货物运输中的运输费用和保险费用均由乙方承担。运输过程中的一切损失、损坏均由乙方负责。</w:t>
      </w:r>
    </w:p>
    <w:p w14:paraId="6F4E488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9.</w:t>
      </w:r>
      <w:r>
        <w:rPr>
          <w:rFonts w:hint="eastAsia" w:ascii="宋体" w:hAnsi="宋体" w:eastAsia="宋体" w:cs="宋体"/>
          <w:b/>
          <w:bCs/>
          <w:kern w:val="0"/>
          <w:sz w:val="24"/>
          <w:lang w:val="zh-CN"/>
        </w:rPr>
        <w:t>价格</w:t>
      </w:r>
    </w:p>
    <w:p w14:paraId="7F3EE9A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9.1</w:t>
      </w:r>
      <w:r>
        <w:rPr>
          <w:rFonts w:hint="eastAsia" w:ascii="Times New Roman" w:hAnsi="Times New Roman" w:eastAsia="宋体" w:cs="Times New Roman"/>
          <w:sz w:val="24"/>
          <w:lang w:val="zh-CN" w:eastAsia="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51118F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9.2</w:t>
      </w:r>
      <w:r>
        <w:rPr>
          <w:rFonts w:hint="eastAsia" w:ascii="Times New Roman" w:hAnsi="Times New Roman" w:eastAsia="宋体" w:cs="Times New Roman"/>
          <w:sz w:val="24"/>
          <w:lang w:val="zh-CN" w:eastAsia="zh-CN"/>
        </w:rPr>
        <w:t>本合同价格为固定价格，包括了乙方履行合同全过程产生的所有成本和费用以及乙方应承担的一切税费。</w:t>
      </w:r>
    </w:p>
    <w:p w14:paraId="7AC4385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rPr>
      </w:pPr>
      <w:r>
        <w:rPr>
          <w:rFonts w:hint="eastAsia" w:ascii="宋体" w:hAnsi="宋体" w:eastAsia="宋体" w:cs="宋体"/>
          <w:kern w:val="0"/>
          <w:sz w:val="24"/>
          <w:lang w:val="en-US" w:eastAsia="zh-CN"/>
        </w:rPr>
        <w:t>9.3</w:t>
      </w:r>
      <w:r>
        <w:rPr>
          <w:rFonts w:hint="eastAsia" w:ascii="宋体" w:hAnsi="宋体" w:eastAsia="宋体" w:cs="宋体"/>
          <w:kern w:val="0"/>
          <w:sz w:val="24"/>
          <w:lang w:val="zh-CN"/>
        </w:rPr>
        <w:t>检验费用</w:t>
      </w:r>
    </w:p>
    <w:p w14:paraId="486B7BD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乙方必须负担本条款下属于乙方负责的检验、测试、调试、试运行和验收的所有费用，并负责乙方派往买方组织的检验、测试和验收人员的所有费用。</w:t>
      </w:r>
    </w:p>
    <w:p w14:paraId="1D5331E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甲方按合同计划参加在乙方工厂所在地检验、测试和验收的费用全部由乙方负责并已包含在合同总价中。</w:t>
      </w:r>
    </w:p>
    <w:p w14:paraId="6965DC9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甲方检验人员已到卖方所在地，测试无法依照合同进行，而引起甲方人员延长逗留时间，所有由此产生的包括甲方人员在内的直接费用及成本由乙方承担。</w:t>
      </w:r>
    </w:p>
    <w:p w14:paraId="5A62A8B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10.</w:t>
      </w:r>
      <w:r>
        <w:rPr>
          <w:rFonts w:hint="eastAsia" w:ascii="宋体" w:hAnsi="宋体" w:eastAsia="宋体" w:cs="宋体"/>
          <w:b/>
          <w:bCs/>
          <w:kern w:val="0"/>
          <w:sz w:val="24"/>
          <w:lang w:val="zh-CN"/>
        </w:rPr>
        <w:t>服务方式及服务时间</w:t>
      </w:r>
    </w:p>
    <w:p w14:paraId="4B5338A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服务方式：现场服务，乙方负责办理运输和保险，将货物运抵现场。</w:t>
      </w:r>
    </w:p>
    <w:p w14:paraId="79B7E3B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服务期应根据产品的特点实事求是填写，进口产品90个工作日内，国产产品60个工作日内。特殊产品服务期需说明。</w:t>
      </w:r>
    </w:p>
    <w:p w14:paraId="55A4773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zh-CN" w:eastAsia="zh-CN"/>
        </w:rPr>
        <w:t>服务时间：所有货物运抵现场并经双方开箱验收合格之日。</w:t>
      </w:r>
    </w:p>
    <w:p w14:paraId="35A6EF3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11.</w:t>
      </w:r>
      <w:r>
        <w:rPr>
          <w:rFonts w:hint="eastAsia" w:ascii="宋体" w:hAnsi="宋体" w:eastAsia="宋体" w:cs="宋体"/>
          <w:b/>
          <w:bCs/>
          <w:kern w:val="0"/>
          <w:sz w:val="24"/>
          <w:lang w:val="zh-CN"/>
        </w:rPr>
        <w:t>检验和验收</w:t>
      </w:r>
    </w:p>
    <w:p w14:paraId="5980CA0B">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11.1</w:t>
      </w:r>
      <w:r>
        <w:rPr>
          <w:rFonts w:hint="eastAsia" w:ascii="宋体" w:hAnsi="宋体" w:eastAsia="宋体" w:cs="宋体"/>
          <w:kern w:val="0"/>
          <w:sz w:val="24"/>
          <w:lang w:val="zh-CN"/>
        </w:rPr>
        <w:t>开箱验收</w:t>
      </w:r>
    </w:p>
    <w:p w14:paraId="190A53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货物运抵现场后，双方应及时开箱验收，并制作验收记录，以确认与本合同约定的数量、型号等是否一致。</w:t>
      </w:r>
    </w:p>
    <w:p w14:paraId="3D2CA567">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乙方应在服务前对货物的质量、规格、数量等进行详细而全面的检验，并出具证明货物符合合同规定的文件。该文件将作为申请付款单据的一部分，但有关质量、规格、数量的检验不应视为最终检验。</w:t>
      </w:r>
    </w:p>
    <w:p w14:paraId="58F8EE2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开箱验收中如发现货物的数量、规格与合同约定不符，甲方有权拒收货物，乙方应及时按甲方要求免费对拒收货物采取更换或其他必要的补救措施，直至开箱验收合格，方视为乙方完成服务。</w:t>
      </w:r>
    </w:p>
    <w:p w14:paraId="17F8E628">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11.2</w:t>
      </w:r>
      <w:r>
        <w:rPr>
          <w:rFonts w:hint="eastAsia" w:ascii="宋体" w:hAnsi="宋体" w:eastAsia="宋体" w:cs="宋体"/>
          <w:kern w:val="0"/>
          <w:sz w:val="24"/>
          <w:lang w:val="zh-CN"/>
        </w:rPr>
        <w:t>检验验收</w:t>
      </w:r>
    </w:p>
    <w:p w14:paraId="462FBAD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服务完成后，乙方应及时组装、调试、试运行，按照合同专用条款规定的试运行完成后，双方及时组织对货物检验验收。合同双方均须派人参加合同要求双方参加的试验、检验。</w:t>
      </w:r>
    </w:p>
    <w:p w14:paraId="46519A3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在具体实施合同规定的检验验收之前，乙方需提前提交相应的测试计划（包括测试程序、测试内容和检验标准、试验时间安排等）供甲方确认。</w:t>
      </w:r>
    </w:p>
    <w:p w14:paraId="416EE68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除需甲方确认的试验验收外，乙方还应对所有检验验收测试的结果、步骤、原始数据等作妥善记录。如甲方要求，乙方应提供这些记录给买方。</w:t>
      </w:r>
    </w:p>
    <w:p w14:paraId="3D22550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检验测试出现全部或部分未达到本合同所约定的技术指标，甲方有权选择下列任一处理方式：</w:t>
      </w:r>
    </w:p>
    <w:p w14:paraId="26CA54B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420" w:leftChars="200" w:firstLine="120" w:firstLineChars="50"/>
        <w:textAlignment w:val="auto"/>
        <w:rPr>
          <w:rFonts w:ascii="宋体" w:hAnsi="宋体" w:eastAsia="宋体" w:cs="宋体"/>
          <w:kern w:val="0"/>
          <w:sz w:val="24"/>
        </w:rPr>
      </w:pPr>
      <w:r>
        <w:rPr>
          <w:rFonts w:hint="default" w:ascii="宋体" w:hAnsi="宋体" w:eastAsia="宋体" w:cs="宋体"/>
          <w:kern w:val="0"/>
          <w:sz w:val="24"/>
          <w:szCs w:val="24"/>
          <w:lang w:val="en-US" w:eastAsia="zh-CN" w:bidi="ar-SA"/>
        </w:rPr>
        <w:t>a.</w:t>
      </w:r>
      <w:r>
        <w:rPr>
          <w:rFonts w:hint="eastAsia" w:ascii="宋体" w:hAnsi="宋体" w:eastAsia="宋体" w:cs="宋体"/>
          <w:kern w:val="0"/>
          <w:sz w:val="24"/>
          <w:lang w:val="zh-CN"/>
        </w:rPr>
        <w:t>重新测试直至合格为止；</w:t>
      </w:r>
    </w:p>
    <w:p w14:paraId="419A5F8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b.</w:t>
      </w:r>
      <w:r>
        <w:rPr>
          <w:rFonts w:hint="eastAsia" w:ascii="Times New Roman" w:hAnsi="Times New Roman" w:eastAsia="宋体" w:cs="Times New Roman"/>
          <w:sz w:val="24"/>
          <w:lang w:val="zh-CN" w:eastAsia="zh-CN"/>
        </w:rPr>
        <w:t>要求乙方对货物进行免费更换，然后重新测试直至合格为止；无论选择何种方式，甲方因此而发生的因卖方原因引起的所有费用均由乙方负担。</w:t>
      </w:r>
    </w:p>
    <w:p w14:paraId="4E0F485D">
      <w:pPr>
        <w:keepNext w:val="0"/>
        <w:keepLines w:val="0"/>
        <w:pageBreakBefore w:val="0"/>
        <w:widowControl w:val="0"/>
        <w:numPr>
          <w:ilvl w:val="1"/>
          <w:numId w:val="0"/>
        </w:numPr>
        <w:kinsoku/>
        <w:wordWrap/>
        <w:overflowPunct/>
        <w:topLinePunct w:val="0"/>
        <w:autoSpaceDE w:val="0"/>
        <w:autoSpaceDN w:val="0"/>
        <w:bidi w:val="0"/>
        <w:adjustRightInd/>
        <w:snapToGrid/>
        <w:spacing w:line="460" w:lineRule="exact"/>
        <w:ind w:left="420" w:leftChars="200" w:firstLine="0" w:firstLineChars="0"/>
        <w:textAlignment w:val="auto"/>
        <w:rPr>
          <w:rFonts w:ascii="宋体" w:hAnsi="宋体" w:eastAsia="宋体" w:cs="宋体"/>
          <w:kern w:val="0"/>
          <w:sz w:val="24"/>
        </w:rPr>
      </w:pPr>
      <w:r>
        <w:rPr>
          <w:rFonts w:hint="default" w:ascii="宋体" w:hAnsi="宋体" w:eastAsia="宋体" w:cs="宋体"/>
          <w:b w:val="0"/>
          <w:kern w:val="0"/>
          <w:sz w:val="24"/>
          <w:szCs w:val="24"/>
          <w:lang w:val="en-US" w:eastAsia="zh-CN" w:bidi="ar-SA"/>
        </w:rPr>
        <w:t>11.3</w:t>
      </w:r>
      <w:r>
        <w:rPr>
          <w:rFonts w:hint="eastAsia" w:ascii="宋体" w:hAnsi="宋体" w:eastAsia="宋体" w:cs="宋体"/>
          <w:kern w:val="0"/>
          <w:sz w:val="24"/>
          <w:lang w:val="zh-CN"/>
        </w:rPr>
        <w:t>使用过程检验</w:t>
      </w:r>
    </w:p>
    <w:p w14:paraId="3584EBA2">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29E84A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如果合同双方对乙方提供的上述试验结果报告的解释有分歧，双方须于出现分歧后</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val="zh-CN" w:eastAsia="zh-CN"/>
        </w:rPr>
        <w:t>天内给对方声明，以陈述己方的观点。声明须附有关证据。分歧应通过协商解决。</w:t>
      </w:r>
    </w:p>
    <w:p w14:paraId="37662F5A">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12.</w:t>
      </w:r>
      <w:r>
        <w:rPr>
          <w:rFonts w:hint="eastAsia" w:ascii="宋体" w:hAnsi="宋体" w:eastAsia="宋体" w:cs="宋体"/>
          <w:b/>
          <w:bCs/>
          <w:kern w:val="0"/>
          <w:sz w:val="24"/>
          <w:lang w:val="zh-CN"/>
        </w:rPr>
        <w:t>付款条件</w:t>
      </w:r>
    </w:p>
    <w:p w14:paraId="19BF86DB">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本合同条款下的付款方法和条件在“青海省政府采购合同书”中具体规定。</w:t>
      </w:r>
    </w:p>
    <w:p w14:paraId="7A054364">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13.</w:t>
      </w:r>
      <w:r>
        <w:rPr>
          <w:rFonts w:hint="eastAsia" w:ascii="宋体" w:hAnsi="宋体" w:eastAsia="宋体" w:cs="宋体"/>
          <w:b/>
          <w:bCs/>
          <w:kern w:val="0"/>
          <w:sz w:val="24"/>
          <w:lang w:val="zh-CN"/>
        </w:rPr>
        <w:t>履约保证金</w:t>
      </w:r>
    </w:p>
    <w:p w14:paraId="3048022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乙方应在合同签订前，按要求提交履约保证金。</w:t>
      </w:r>
    </w:p>
    <w:p w14:paraId="4864248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履约保证金用于补偿甲方因乙方不能履行其合同义务而蒙受的损失。</w:t>
      </w:r>
    </w:p>
    <w:p w14:paraId="1C5BB21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履约保证金应使用本合同货币，按下述方式之一提交（</w:t>
      </w:r>
      <w:r>
        <w:rPr>
          <w:rFonts w:hint="eastAsia" w:cs="Times New Roman"/>
          <w:sz w:val="24"/>
          <w:lang w:val="en-US" w:eastAsia="zh-CN"/>
        </w:rPr>
        <w:t>谈判</w:t>
      </w:r>
      <w:r>
        <w:rPr>
          <w:rFonts w:hint="eastAsia" w:ascii="Times New Roman" w:hAnsi="Times New Roman" w:eastAsia="宋体" w:cs="Times New Roman"/>
          <w:sz w:val="24"/>
          <w:lang w:val="zh-CN" w:eastAsia="zh-CN"/>
        </w:rPr>
        <w:t>文件中另有约定的除外）：</w:t>
      </w:r>
    </w:p>
    <w:p w14:paraId="0CF58CE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val="zh-CN" w:eastAsia="zh-CN"/>
        </w:rPr>
        <w:t>甲方可接受的在中华人民共和国注册和营业的银行出具的履约保函；</w:t>
      </w:r>
    </w:p>
    <w:p w14:paraId="5978639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eastAsia="zh-CN"/>
        </w:rPr>
        <w:t>支票或汇票。</w:t>
      </w:r>
    </w:p>
    <w:p w14:paraId="662BF8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val="zh-CN" w:eastAsia="zh-CN"/>
        </w:rPr>
        <w:t>乙方未能按合同规定履行其义务，甲方有权从履约保证金中取得补偿。货物验收合格后，甲方将履约保证金退还乙方或转为质量保证金。</w:t>
      </w:r>
    </w:p>
    <w:p w14:paraId="0166DE6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14.</w:t>
      </w:r>
      <w:r>
        <w:rPr>
          <w:rFonts w:hint="eastAsia" w:ascii="宋体" w:hAnsi="宋体" w:eastAsia="宋体" w:cs="宋体"/>
          <w:b/>
          <w:bCs/>
          <w:kern w:val="0"/>
          <w:sz w:val="24"/>
          <w:lang w:val="zh-CN"/>
        </w:rPr>
        <w:t>索赔</w:t>
      </w:r>
    </w:p>
    <w:p w14:paraId="20CE8DF0">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14.1</w:t>
      </w:r>
      <w:r>
        <w:rPr>
          <w:rFonts w:hint="eastAsia" w:ascii="Times New Roman" w:hAnsi="Times New Roman" w:eastAsia="宋体" w:cs="Times New Roman"/>
          <w:sz w:val="24"/>
          <w:lang w:val="zh-CN" w:eastAsia="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2C05661">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14.2</w:t>
      </w:r>
      <w:r>
        <w:rPr>
          <w:rFonts w:hint="eastAsia" w:ascii="Times New Roman" w:hAnsi="Times New Roman" w:eastAsia="宋体" w:cs="Times New Roman"/>
          <w:sz w:val="24"/>
          <w:lang w:val="zh-CN" w:eastAsia="zh-CN"/>
        </w:rPr>
        <w:t>在履约保证期和检验期内，乙方对甲方提出的索赔负有责任，乙方应按照甲方同意的下列一种或多种方式解决索赔事宜：</w:t>
      </w:r>
    </w:p>
    <w:p w14:paraId="3B7FD1BB">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97A5A0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val="zh-CN" w:eastAsia="zh-CN"/>
        </w:rPr>
        <w:t>根据货物低劣程度、损坏程度以及甲方所遭受损失的数额，经甲乙双方商定降低货物的价格，或由有资质的中介机构评估，以降低后的价格或评估价格为准。</w:t>
      </w:r>
    </w:p>
    <w:p w14:paraId="7D51CFB8">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517C0F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en-US" w:eastAsia="zh-CN"/>
        </w:rPr>
        <w:t>14.3</w:t>
      </w:r>
      <w:r>
        <w:rPr>
          <w:rFonts w:hint="eastAsia" w:ascii="宋体" w:hAnsi="宋体" w:eastAsia="宋体" w:cs="宋体"/>
          <w:kern w:val="0"/>
          <w:sz w:val="24"/>
          <w:lang w:val="zh-CN"/>
        </w:rPr>
        <w:t>乙方收到甲方发出的索赔通知之日起</w:t>
      </w:r>
      <w:r>
        <w:rPr>
          <w:rFonts w:hint="eastAsia" w:ascii="宋体" w:hAnsi="宋体" w:eastAsia="宋体" w:cs="宋体"/>
          <w:kern w:val="0"/>
          <w:sz w:val="24"/>
        </w:rPr>
        <w:t>5</w:t>
      </w:r>
      <w:r>
        <w:rPr>
          <w:rFonts w:hint="eastAsia" w:ascii="宋体" w:hAnsi="宋体" w:eastAsia="宋体" w:cs="宋体"/>
          <w:kern w:val="0"/>
          <w:sz w:val="24"/>
          <w:lang w:val="zh-CN"/>
        </w:rPr>
        <w:t>个工作日内未作答复的，甲方可从合同款或履约保证金中扣回索赔金额，如金额不足以补偿索赔金额，乙方应补足差额部分。</w:t>
      </w:r>
    </w:p>
    <w:p w14:paraId="22ECB049">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15.</w:t>
      </w:r>
      <w:r>
        <w:rPr>
          <w:rFonts w:hint="eastAsia" w:ascii="宋体" w:hAnsi="宋体" w:eastAsia="宋体" w:cs="宋体"/>
          <w:b/>
          <w:bCs/>
          <w:kern w:val="0"/>
          <w:sz w:val="24"/>
          <w:lang w:val="zh-CN"/>
        </w:rPr>
        <w:t>迟延服务</w:t>
      </w:r>
    </w:p>
    <w:p w14:paraId="070B284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15.1</w:t>
      </w:r>
      <w:r>
        <w:rPr>
          <w:rFonts w:hint="eastAsia" w:ascii="宋体" w:hAnsi="宋体" w:eastAsia="宋体" w:cs="宋体"/>
          <w:kern w:val="0"/>
          <w:sz w:val="24"/>
          <w:lang w:val="zh-CN" w:eastAsia="zh-CN"/>
        </w:rPr>
        <w:t>乙方应按照合同约定的时间服务和提供服务。</w:t>
      </w:r>
    </w:p>
    <w:p w14:paraId="54564CE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15.2</w:t>
      </w:r>
      <w:r>
        <w:rPr>
          <w:rFonts w:hint="eastAsia" w:ascii="宋体" w:hAnsi="宋体" w:eastAsia="宋体" w:cs="宋体"/>
          <w:kern w:val="0"/>
          <w:sz w:val="24"/>
          <w:lang w:val="zh-CN" w:eastAsia="zh-CN"/>
        </w:rPr>
        <w:t>除不可抗力因素外，乙方迟延服务，甲方有权提出违约损失赔偿或解除合同。</w:t>
      </w:r>
    </w:p>
    <w:p w14:paraId="33ACCFA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15.3</w:t>
      </w:r>
      <w:r>
        <w:rPr>
          <w:rFonts w:hint="eastAsia" w:ascii="宋体" w:hAnsi="宋体" w:eastAsia="宋体" w:cs="宋体"/>
          <w:kern w:val="0"/>
          <w:sz w:val="24"/>
          <w:lang w:val="zh-CN" w:eastAsia="zh-CN"/>
        </w:rPr>
        <w:t>在履行合同过程中，乙方遇到不能按时服务和提供服务的情况，应及时以书面形式将不能按时服务的理由、预期延误时间通知甲方。甲方收到乙方通知后，认为其理由正当的，可酌情延长服务时间。</w:t>
      </w:r>
    </w:p>
    <w:p w14:paraId="13ACB38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16.</w:t>
      </w:r>
      <w:r>
        <w:rPr>
          <w:rFonts w:hint="eastAsia" w:ascii="宋体" w:hAnsi="宋体" w:eastAsia="宋体" w:cs="宋体"/>
          <w:b/>
          <w:bCs/>
          <w:kern w:val="0"/>
          <w:sz w:val="24"/>
          <w:lang w:val="zh-CN"/>
        </w:rPr>
        <w:t>违约赔偿</w:t>
      </w:r>
    </w:p>
    <w:p w14:paraId="114A783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除不可抗力因素外，乙方没有按照合同规定的时间服务和提供服务，甲方可要求乙方支付违约金。违约金每日按合同总价款的千分之五计收。</w:t>
      </w:r>
    </w:p>
    <w:p w14:paraId="3B013FF7">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17.</w:t>
      </w:r>
      <w:r>
        <w:rPr>
          <w:rFonts w:hint="eastAsia" w:ascii="宋体" w:hAnsi="宋体" w:eastAsia="宋体" w:cs="宋体"/>
          <w:b/>
          <w:bCs/>
          <w:kern w:val="0"/>
          <w:sz w:val="24"/>
          <w:lang w:val="zh-CN"/>
        </w:rPr>
        <w:t>不可抗力</w:t>
      </w:r>
    </w:p>
    <w:p w14:paraId="0977E0A8">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17.1</w:t>
      </w:r>
      <w:r>
        <w:rPr>
          <w:rFonts w:hint="eastAsia" w:ascii="宋体" w:hAnsi="宋体" w:eastAsia="宋体" w:cs="宋体"/>
          <w:kern w:val="0"/>
          <w:sz w:val="24"/>
          <w:lang w:val="zh-CN" w:eastAsia="zh-CN"/>
        </w:rPr>
        <w:t>双方中任何一方遭遇法律规定的不可抗力，致使合同履行受阻时，履行合同的期限应予延长，延长的期限应相当于不可抗力所影响的时间。</w:t>
      </w:r>
    </w:p>
    <w:p w14:paraId="7155A09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17.2</w:t>
      </w:r>
      <w:r>
        <w:rPr>
          <w:rFonts w:hint="eastAsia" w:ascii="宋体" w:hAnsi="宋体" w:eastAsia="宋体" w:cs="宋体"/>
          <w:kern w:val="0"/>
          <w:sz w:val="24"/>
          <w:lang w:val="zh-CN" w:eastAsia="zh-CN"/>
        </w:rPr>
        <w:t>受事故影响的一方应在不可抗力的事故发生后以书面形式通知另一方。</w:t>
      </w:r>
    </w:p>
    <w:p w14:paraId="6B62075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Chars="0" w:firstLine="480" w:firstLineChars="20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17.3</w:t>
      </w:r>
      <w:r>
        <w:rPr>
          <w:rFonts w:hint="eastAsia" w:ascii="宋体" w:hAnsi="宋体" w:eastAsia="宋体" w:cs="宋体"/>
          <w:kern w:val="0"/>
          <w:sz w:val="24"/>
          <w:lang w:val="zh-CN" w:eastAsia="zh-CN"/>
        </w:rPr>
        <w:t>不可抗力使合同的某些内容有变更必要的，双方应通过协商达成进一步履行合同的协议，因不可抗力致使合同不能履行的，合同终止。</w:t>
      </w:r>
    </w:p>
    <w:p w14:paraId="39419312">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18.</w:t>
      </w:r>
      <w:r>
        <w:rPr>
          <w:rFonts w:hint="eastAsia" w:ascii="宋体" w:hAnsi="宋体" w:eastAsia="宋体" w:cs="宋体"/>
          <w:b/>
          <w:bCs/>
          <w:kern w:val="0"/>
          <w:sz w:val="24"/>
          <w:lang w:val="zh-CN"/>
        </w:rPr>
        <w:t>税费</w:t>
      </w:r>
    </w:p>
    <w:p w14:paraId="7D76E756">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与本合同有关的一切税费均由乙方承担。</w:t>
      </w:r>
    </w:p>
    <w:p w14:paraId="1DAE446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19.</w:t>
      </w:r>
      <w:r>
        <w:rPr>
          <w:rFonts w:hint="eastAsia" w:ascii="宋体" w:hAnsi="宋体" w:eastAsia="宋体" w:cs="宋体"/>
          <w:b/>
          <w:bCs/>
          <w:kern w:val="0"/>
          <w:sz w:val="24"/>
          <w:lang w:val="zh-CN"/>
        </w:rPr>
        <w:t>合同争议的解决</w:t>
      </w:r>
    </w:p>
    <w:p w14:paraId="67A7B354">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19.1</w:t>
      </w:r>
      <w:r>
        <w:rPr>
          <w:rFonts w:hint="eastAsia" w:ascii="Times New Roman" w:hAnsi="Times New Roman" w:eastAsia="宋体" w:cs="Times New Roman"/>
          <w:sz w:val="24"/>
          <w:lang w:val="zh-CN" w:eastAsia="zh-CN"/>
        </w:rPr>
        <w:t>甲方和乙方由于本合同的履行而发生任何争议时，双方可先通过协商解决。</w:t>
      </w:r>
    </w:p>
    <w:p w14:paraId="347FC20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ascii="宋体" w:hAnsi="宋体" w:eastAsia="宋体" w:cs="宋体"/>
          <w:kern w:val="0"/>
          <w:sz w:val="24"/>
        </w:rPr>
      </w:pPr>
      <w:r>
        <w:rPr>
          <w:rFonts w:hint="eastAsia" w:ascii="Times New Roman" w:hAnsi="Times New Roman" w:eastAsia="宋体" w:cs="Times New Roman"/>
          <w:sz w:val="24"/>
          <w:lang w:val="en-US" w:eastAsia="zh-CN"/>
        </w:rPr>
        <w:t>19.2</w:t>
      </w:r>
      <w:r>
        <w:rPr>
          <w:rFonts w:hint="eastAsia" w:ascii="Times New Roman" w:hAnsi="Times New Roman" w:eastAsia="宋体" w:cs="Times New Roman"/>
          <w:sz w:val="24"/>
          <w:lang w:val="zh-CN" w:eastAsia="zh-CN"/>
        </w:rPr>
        <w:t>任何一方不愿通过协商或通过协商仍不能解决争议，则双方中任何一方均应向甲方所在地人民法院起诉。</w:t>
      </w:r>
    </w:p>
    <w:p w14:paraId="37B45D6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20.</w:t>
      </w:r>
      <w:r>
        <w:rPr>
          <w:rFonts w:hint="eastAsia" w:ascii="宋体" w:hAnsi="宋体" w:eastAsia="宋体" w:cs="宋体"/>
          <w:b/>
          <w:bCs/>
          <w:kern w:val="0"/>
          <w:sz w:val="24"/>
          <w:lang w:val="zh-CN"/>
        </w:rPr>
        <w:t>违约解除合同</w:t>
      </w:r>
    </w:p>
    <w:p w14:paraId="6086F0D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20.1</w:t>
      </w:r>
      <w:r>
        <w:rPr>
          <w:rFonts w:hint="eastAsia" w:ascii="Times New Roman" w:hAnsi="Times New Roman" w:eastAsia="宋体" w:cs="Times New Roman"/>
          <w:sz w:val="24"/>
          <w:lang w:val="zh-CN" w:eastAsia="zh-CN"/>
        </w:rPr>
        <w:t>出现下列情形之一的，视为乙方违约。甲方可向乙方发出书面通知，部分或全部终止合同，同时保留向乙方索赔的权利。</w:t>
      </w:r>
    </w:p>
    <w:p w14:paraId="3016AFB6">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w:t>
      </w:r>
      <w:r>
        <w:rPr>
          <w:rFonts w:hint="eastAsia" w:ascii="Times New Roman" w:hAnsi="Times New Roman" w:eastAsia="宋体" w:cs="Times New Roman"/>
          <w:sz w:val="24"/>
          <w:lang w:val="zh-CN" w:eastAsia="zh-CN"/>
        </w:rPr>
        <w:t>乙方未能在合同规定的限期或甲方同意延长的限期内，提供全部或部分货物的；</w:t>
      </w:r>
    </w:p>
    <w:p w14:paraId="1DF78949">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20.3</w:t>
      </w:r>
      <w:r>
        <w:rPr>
          <w:rFonts w:hint="eastAsia" w:ascii="Times New Roman" w:hAnsi="Times New Roman" w:eastAsia="宋体" w:cs="Times New Roman"/>
          <w:sz w:val="24"/>
          <w:lang w:val="zh-CN" w:eastAsia="zh-CN"/>
        </w:rPr>
        <w:t>乙方未能履行合同规定的其它主要义务的；</w:t>
      </w:r>
    </w:p>
    <w:p w14:paraId="4155AACA">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20.4</w:t>
      </w:r>
      <w:r>
        <w:rPr>
          <w:rFonts w:hint="eastAsia" w:ascii="Times New Roman" w:hAnsi="Times New Roman" w:eastAsia="宋体" w:cs="Times New Roman"/>
          <w:sz w:val="24"/>
          <w:lang w:val="zh-CN" w:eastAsia="zh-CN"/>
        </w:rPr>
        <w:t>乙方在本合同履行过程中有欺诈行为的。</w:t>
      </w:r>
    </w:p>
    <w:p w14:paraId="59303733">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20.5</w:t>
      </w:r>
      <w:r>
        <w:rPr>
          <w:rFonts w:hint="eastAsia" w:ascii="Times New Roman" w:hAnsi="Times New Roman" w:eastAsia="宋体" w:cs="Times New Roman"/>
          <w:sz w:val="24"/>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B7F0235">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21.</w:t>
      </w:r>
      <w:r>
        <w:rPr>
          <w:rFonts w:hint="eastAsia" w:ascii="宋体" w:hAnsi="宋体" w:eastAsia="宋体" w:cs="宋体"/>
          <w:b/>
          <w:bCs/>
          <w:kern w:val="0"/>
          <w:sz w:val="24"/>
          <w:lang w:val="zh-CN"/>
        </w:rPr>
        <w:t>破产终止合同</w:t>
      </w:r>
    </w:p>
    <w:p w14:paraId="6222728F">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CF6F120">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lang w:val="zh-CN"/>
        </w:rPr>
      </w:pPr>
      <w:r>
        <w:rPr>
          <w:rFonts w:hint="default" w:ascii="宋体" w:hAnsi="宋体" w:eastAsia="宋体" w:cs="宋体"/>
          <w:b/>
          <w:bCs/>
          <w:kern w:val="0"/>
          <w:sz w:val="24"/>
          <w:szCs w:val="24"/>
          <w:lang w:val="zh-CN" w:eastAsia="zh-CN" w:bidi="ar-SA"/>
        </w:rPr>
        <w:t>22.</w:t>
      </w:r>
      <w:r>
        <w:rPr>
          <w:rFonts w:hint="eastAsia" w:ascii="宋体" w:hAnsi="宋体" w:eastAsia="宋体" w:cs="宋体"/>
          <w:b/>
          <w:bCs/>
          <w:kern w:val="0"/>
          <w:sz w:val="24"/>
          <w:lang w:val="zh-CN"/>
        </w:rPr>
        <w:t>转让和分包</w:t>
      </w:r>
    </w:p>
    <w:p w14:paraId="6CE16905">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22.1</w:t>
      </w:r>
      <w:r>
        <w:rPr>
          <w:rFonts w:hint="eastAsia" w:ascii="Times New Roman" w:hAnsi="Times New Roman" w:eastAsia="宋体" w:cs="Times New Roman"/>
          <w:sz w:val="24"/>
          <w:lang w:val="zh-CN" w:eastAsia="zh-CN"/>
        </w:rPr>
        <w:t>政府采购合同不能转让。</w:t>
      </w:r>
    </w:p>
    <w:p w14:paraId="65F4FA3E">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22.2</w:t>
      </w:r>
      <w:r>
        <w:rPr>
          <w:rFonts w:hint="eastAsia" w:ascii="Times New Roman" w:hAnsi="Times New Roman" w:eastAsia="宋体" w:cs="Times New Roman"/>
          <w:sz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F43411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23.</w:t>
      </w:r>
      <w:r>
        <w:rPr>
          <w:rFonts w:hint="eastAsia" w:ascii="宋体" w:hAnsi="宋体" w:eastAsia="宋体" w:cs="宋体"/>
          <w:b/>
          <w:bCs/>
          <w:kern w:val="0"/>
          <w:sz w:val="24"/>
          <w:lang w:val="zh-CN"/>
        </w:rPr>
        <w:t>合同修改</w:t>
      </w:r>
    </w:p>
    <w:p w14:paraId="0BC92A08">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44E768D">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24.</w:t>
      </w:r>
      <w:r>
        <w:rPr>
          <w:rFonts w:hint="eastAsia" w:ascii="宋体" w:hAnsi="宋体" w:eastAsia="宋体" w:cs="宋体"/>
          <w:b/>
          <w:bCs/>
          <w:kern w:val="0"/>
          <w:sz w:val="24"/>
          <w:lang w:val="zh-CN"/>
        </w:rPr>
        <w:t>通知</w:t>
      </w:r>
    </w:p>
    <w:p w14:paraId="254EFD1A">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本合同任何一方给另一方的通知，都应以书面形式发送，而另一方也应以书面形式确认并发送到对方明确的地址。</w:t>
      </w:r>
    </w:p>
    <w:p w14:paraId="379F2CFC">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25.</w:t>
      </w:r>
      <w:r>
        <w:rPr>
          <w:rFonts w:hint="eastAsia" w:ascii="宋体" w:hAnsi="宋体" w:eastAsia="宋体" w:cs="宋体"/>
          <w:b/>
          <w:bCs/>
          <w:kern w:val="0"/>
          <w:sz w:val="24"/>
          <w:lang w:val="zh-CN"/>
        </w:rPr>
        <w:t>计量单位</w:t>
      </w:r>
    </w:p>
    <w:p w14:paraId="67D667F9">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ascii="宋体" w:hAnsi="宋体" w:eastAsia="宋体" w:cs="宋体"/>
          <w:kern w:val="0"/>
          <w:sz w:val="24"/>
        </w:rPr>
      </w:pPr>
      <w:r>
        <w:rPr>
          <w:rFonts w:hint="eastAsia" w:ascii="宋体" w:hAnsi="宋体" w:eastAsia="宋体" w:cs="宋体"/>
          <w:kern w:val="0"/>
          <w:sz w:val="24"/>
          <w:lang w:val="zh-CN"/>
        </w:rPr>
        <w:t>除技术规范中另有规定外</w:t>
      </w:r>
      <w:r>
        <w:rPr>
          <w:rFonts w:hint="eastAsia" w:ascii="宋体" w:hAnsi="宋体" w:eastAsia="宋体" w:cs="宋体"/>
          <w:kern w:val="0"/>
          <w:sz w:val="24"/>
        </w:rPr>
        <w:t>,</w:t>
      </w:r>
      <w:r>
        <w:rPr>
          <w:rFonts w:hint="eastAsia" w:ascii="宋体" w:hAnsi="宋体" w:eastAsia="宋体" w:cs="宋体"/>
          <w:kern w:val="0"/>
          <w:sz w:val="24"/>
          <w:lang w:val="zh-CN"/>
        </w:rPr>
        <w:t>计量单位均使用国家法定计量单位。</w:t>
      </w:r>
    </w:p>
    <w:p w14:paraId="04F7BB71">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360" w:leftChars="0" w:hanging="360" w:firstLineChars="0"/>
        <w:textAlignment w:val="auto"/>
        <w:rPr>
          <w:rFonts w:ascii="宋体" w:hAnsi="宋体" w:eastAsia="宋体" w:cs="宋体"/>
          <w:b/>
          <w:bCs/>
          <w:kern w:val="0"/>
          <w:sz w:val="24"/>
        </w:rPr>
      </w:pPr>
      <w:r>
        <w:rPr>
          <w:rFonts w:hint="default" w:ascii="宋体" w:hAnsi="宋体" w:eastAsia="宋体" w:cs="宋体"/>
          <w:b/>
          <w:bCs/>
          <w:kern w:val="0"/>
          <w:sz w:val="24"/>
          <w:szCs w:val="24"/>
          <w:lang w:val="en-US" w:eastAsia="zh-CN" w:bidi="ar-SA"/>
        </w:rPr>
        <w:t>26.</w:t>
      </w:r>
      <w:r>
        <w:rPr>
          <w:rFonts w:hint="eastAsia" w:ascii="宋体" w:hAnsi="宋体" w:eastAsia="宋体" w:cs="宋体"/>
          <w:b/>
          <w:bCs/>
          <w:kern w:val="0"/>
          <w:sz w:val="24"/>
          <w:lang w:val="zh-CN"/>
        </w:rPr>
        <w:t>适用法律</w:t>
      </w:r>
    </w:p>
    <w:p w14:paraId="23BFE3A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本合同按照中华人民共和国的相关法律进行解释。</w:t>
      </w:r>
    </w:p>
    <w:p w14:paraId="6C599B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942A3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82EE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6E6C95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4CB490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firstLine="480"/>
        <w:jc w:val="both"/>
        <w:textAlignment w:val="auto"/>
        <w:rPr>
          <w:rFonts w:hint="eastAsia" w:ascii="宋体" w:hAnsi="宋体" w:eastAsia="宋体" w:cs="宋体"/>
          <w:kern w:val="0"/>
          <w:sz w:val="24"/>
          <w:lang w:val="zh-CN"/>
        </w:rPr>
      </w:pPr>
    </w:p>
    <w:p w14:paraId="1C2729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right="0"/>
        <w:jc w:val="both"/>
        <w:textAlignment w:val="auto"/>
        <w:rPr>
          <w:rFonts w:hint="eastAsia" w:ascii="宋体" w:hAnsi="宋体" w:eastAsia="宋体" w:cs="宋体"/>
          <w:kern w:val="0"/>
          <w:sz w:val="24"/>
          <w:lang w:val="en-US" w:eastAsia="zh-CN"/>
        </w:rPr>
      </w:pPr>
      <w:r>
        <w:drawing>
          <wp:inline distT="0" distB="0" distL="114300" distR="114300">
            <wp:extent cx="5685790" cy="6929755"/>
            <wp:effectExtent l="0" t="0" r="1016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85790" cy="6929755"/>
                    </a:xfrm>
                    <a:prstGeom prst="rect">
                      <a:avLst/>
                    </a:prstGeom>
                    <a:noFill/>
                    <a:ln>
                      <a:noFill/>
                    </a:ln>
                  </pic:spPr>
                </pic:pic>
              </a:graphicData>
            </a:graphic>
          </wp:inline>
        </w:drawing>
      </w:r>
    </w:p>
    <w:p w14:paraId="5EA69B7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仿宋_GB2312" w:hAnsi="仿宋_GB2312" w:eastAsia="仿宋_GB2312" w:cs="仿宋_GB2312"/>
          <w:b/>
          <w:color w:val="000000"/>
          <w:sz w:val="24"/>
          <w:szCs w:val="24"/>
        </w:rPr>
      </w:pPr>
    </w:p>
    <w:sectPr>
      <w:footerReference r:id="rId6" w:type="default"/>
      <w:pgSz w:w="11906" w:h="16838"/>
      <w:pgMar w:top="1984" w:right="1474" w:bottom="187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54B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FE76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FFE76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814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074A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F074A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1A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C2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0C2F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A6FA">
    <w:pPr>
      <w:pStyle w:val="12"/>
      <w:rPr>
        <w:rFonts w:hint="default" w:ascii="仿宋" w:hAnsi="仿宋" w:eastAsia="仿宋" w:cs="仿宋"/>
        <w:lang w:val="en-US" w:eastAsia="zh-CN"/>
      </w:rPr>
    </w:pPr>
    <w:r>
      <w:rPr>
        <w:rFonts w:hint="eastAsia" w:ascii="仿宋" w:hAnsi="仿宋" w:eastAsia="仿宋" w:cs="仿宋"/>
      </w:rPr>
      <w:t>青海聚鑫竞谈（货物）202</w:t>
    </w:r>
    <w:r>
      <w:rPr>
        <w:rFonts w:hint="eastAsia" w:ascii="仿宋" w:hAnsi="仿宋" w:eastAsia="仿宋" w:cs="仿宋"/>
        <w:lang w:val="en-US" w:eastAsia="zh-CN"/>
      </w:rPr>
      <w:t>5-017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48DD5"/>
    <w:multiLevelType w:val="multilevel"/>
    <w:tmpl w:val="C4E48DD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TVmYjg4ZjU4MDM1NDExMTJhODNiZDIxZDNjZTYifQ=="/>
  </w:docVars>
  <w:rsids>
    <w:rsidRoot w:val="7D9B5E16"/>
    <w:rsid w:val="00006481"/>
    <w:rsid w:val="000166C5"/>
    <w:rsid w:val="00084358"/>
    <w:rsid w:val="00121C90"/>
    <w:rsid w:val="00122324"/>
    <w:rsid w:val="001768DB"/>
    <w:rsid w:val="00183188"/>
    <w:rsid w:val="001C7DCD"/>
    <w:rsid w:val="001E11C2"/>
    <w:rsid w:val="00206DA9"/>
    <w:rsid w:val="00271CB4"/>
    <w:rsid w:val="002A4BE5"/>
    <w:rsid w:val="002C0AA6"/>
    <w:rsid w:val="002E19DB"/>
    <w:rsid w:val="00326443"/>
    <w:rsid w:val="003B643A"/>
    <w:rsid w:val="003B74A3"/>
    <w:rsid w:val="004D7437"/>
    <w:rsid w:val="004F33F8"/>
    <w:rsid w:val="00505383"/>
    <w:rsid w:val="00522F57"/>
    <w:rsid w:val="00557010"/>
    <w:rsid w:val="005A2B4D"/>
    <w:rsid w:val="00666B45"/>
    <w:rsid w:val="00690814"/>
    <w:rsid w:val="00707456"/>
    <w:rsid w:val="00754C86"/>
    <w:rsid w:val="00757426"/>
    <w:rsid w:val="00765CD0"/>
    <w:rsid w:val="00771458"/>
    <w:rsid w:val="00792475"/>
    <w:rsid w:val="007A2806"/>
    <w:rsid w:val="007C7AB3"/>
    <w:rsid w:val="00842B18"/>
    <w:rsid w:val="008800BC"/>
    <w:rsid w:val="009549FE"/>
    <w:rsid w:val="00960F2F"/>
    <w:rsid w:val="009E50DB"/>
    <w:rsid w:val="00AA5FF9"/>
    <w:rsid w:val="00AB0A94"/>
    <w:rsid w:val="00AF0A40"/>
    <w:rsid w:val="00B220CC"/>
    <w:rsid w:val="00B97C5F"/>
    <w:rsid w:val="00BD362E"/>
    <w:rsid w:val="00C11637"/>
    <w:rsid w:val="00C666C1"/>
    <w:rsid w:val="00CC1D59"/>
    <w:rsid w:val="00CD542B"/>
    <w:rsid w:val="00CE550F"/>
    <w:rsid w:val="00D57622"/>
    <w:rsid w:val="00DF14BB"/>
    <w:rsid w:val="00DF227A"/>
    <w:rsid w:val="00E15B73"/>
    <w:rsid w:val="00E42A5D"/>
    <w:rsid w:val="00E455FD"/>
    <w:rsid w:val="00E70C7C"/>
    <w:rsid w:val="00EB030E"/>
    <w:rsid w:val="00ED1D3E"/>
    <w:rsid w:val="00FC506E"/>
    <w:rsid w:val="00FE3567"/>
    <w:rsid w:val="00FF10E5"/>
    <w:rsid w:val="00FF6DB3"/>
    <w:rsid w:val="011A24F4"/>
    <w:rsid w:val="01414F54"/>
    <w:rsid w:val="01BA61B0"/>
    <w:rsid w:val="0229635E"/>
    <w:rsid w:val="02297499"/>
    <w:rsid w:val="022B661C"/>
    <w:rsid w:val="025649A5"/>
    <w:rsid w:val="02637B1D"/>
    <w:rsid w:val="02664A99"/>
    <w:rsid w:val="027C6214"/>
    <w:rsid w:val="02A9297E"/>
    <w:rsid w:val="02CB1CF7"/>
    <w:rsid w:val="02CF7A3A"/>
    <w:rsid w:val="02DA63DE"/>
    <w:rsid w:val="03321D76"/>
    <w:rsid w:val="03442F30"/>
    <w:rsid w:val="036A1510"/>
    <w:rsid w:val="03990047"/>
    <w:rsid w:val="03A34D06"/>
    <w:rsid w:val="03D90444"/>
    <w:rsid w:val="0410030A"/>
    <w:rsid w:val="04351B1E"/>
    <w:rsid w:val="04474517"/>
    <w:rsid w:val="04642403"/>
    <w:rsid w:val="04754611"/>
    <w:rsid w:val="04B54A0D"/>
    <w:rsid w:val="04D56251"/>
    <w:rsid w:val="04DE17B1"/>
    <w:rsid w:val="05210BC9"/>
    <w:rsid w:val="052765C6"/>
    <w:rsid w:val="053973EC"/>
    <w:rsid w:val="055D0822"/>
    <w:rsid w:val="056913B5"/>
    <w:rsid w:val="05726DA2"/>
    <w:rsid w:val="05975A9E"/>
    <w:rsid w:val="05E12013"/>
    <w:rsid w:val="05EF21A1"/>
    <w:rsid w:val="05FD3580"/>
    <w:rsid w:val="06144943"/>
    <w:rsid w:val="0624278B"/>
    <w:rsid w:val="068D58AD"/>
    <w:rsid w:val="06901F55"/>
    <w:rsid w:val="06F2641E"/>
    <w:rsid w:val="07424B72"/>
    <w:rsid w:val="076446E7"/>
    <w:rsid w:val="07736D89"/>
    <w:rsid w:val="07867AF5"/>
    <w:rsid w:val="08420CAE"/>
    <w:rsid w:val="0891104C"/>
    <w:rsid w:val="09045F63"/>
    <w:rsid w:val="090650D7"/>
    <w:rsid w:val="095A3B17"/>
    <w:rsid w:val="09B3411F"/>
    <w:rsid w:val="09BC683E"/>
    <w:rsid w:val="09D14280"/>
    <w:rsid w:val="0A03657C"/>
    <w:rsid w:val="0A067AB9"/>
    <w:rsid w:val="0A232419"/>
    <w:rsid w:val="0A326B00"/>
    <w:rsid w:val="0A536242"/>
    <w:rsid w:val="0A801DDE"/>
    <w:rsid w:val="0A8E7A66"/>
    <w:rsid w:val="0AC27E84"/>
    <w:rsid w:val="0AED28F4"/>
    <w:rsid w:val="0B2B4C7E"/>
    <w:rsid w:val="0B626F71"/>
    <w:rsid w:val="0BB54002"/>
    <w:rsid w:val="0BCD751F"/>
    <w:rsid w:val="0C346B5F"/>
    <w:rsid w:val="0C440AE6"/>
    <w:rsid w:val="0C5E598A"/>
    <w:rsid w:val="0C661388"/>
    <w:rsid w:val="0C9413AC"/>
    <w:rsid w:val="0CA87A52"/>
    <w:rsid w:val="0CCF5917"/>
    <w:rsid w:val="0D093B48"/>
    <w:rsid w:val="0D1D3A97"/>
    <w:rsid w:val="0D224974"/>
    <w:rsid w:val="0D256ADD"/>
    <w:rsid w:val="0D2F7EBB"/>
    <w:rsid w:val="0D58062B"/>
    <w:rsid w:val="0D616E1A"/>
    <w:rsid w:val="0D711167"/>
    <w:rsid w:val="0DB456D2"/>
    <w:rsid w:val="0DC739FA"/>
    <w:rsid w:val="0DCB589E"/>
    <w:rsid w:val="0DCD4B64"/>
    <w:rsid w:val="0DFB4CF0"/>
    <w:rsid w:val="0E126FB7"/>
    <w:rsid w:val="0E1B17A7"/>
    <w:rsid w:val="0E576B35"/>
    <w:rsid w:val="0E6A426E"/>
    <w:rsid w:val="0E772D33"/>
    <w:rsid w:val="0E783BEB"/>
    <w:rsid w:val="0E874D29"/>
    <w:rsid w:val="0E930373"/>
    <w:rsid w:val="0EBE0962"/>
    <w:rsid w:val="0EE04D7C"/>
    <w:rsid w:val="0EEB56E8"/>
    <w:rsid w:val="0EF7102E"/>
    <w:rsid w:val="0F5D017B"/>
    <w:rsid w:val="0F8751F8"/>
    <w:rsid w:val="10066A65"/>
    <w:rsid w:val="10303AE2"/>
    <w:rsid w:val="105A3B37"/>
    <w:rsid w:val="109055EB"/>
    <w:rsid w:val="10BE3571"/>
    <w:rsid w:val="10CD30DE"/>
    <w:rsid w:val="10DE48CA"/>
    <w:rsid w:val="10EA5A3E"/>
    <w:rsid w:val="11082151"/>
    <w:rsid w:val="110C00AB"/>
    <w:rsid w:val="11731ED8"/>
    <w:rsid w:val="11865D2D"/>
    <w:rsid w:val="119D6F55"/>
    <w:rsid w:val="11AA3515"/>
    <w:rsid w:val="11D91F00"/>
    <w:rsid w:val="11F052D6"/>
    <w:rsid w:val="11FB2BE7"/>
    <w:rsid w:val="120C7C36"/>
    <w:rsid w:val="12266FAF"/>
    <w:rsid w:val="12400F8A"/>
    <w:rsid w:val="126857B5"/>
    <w:rsid w:val="126D4662"/>
    <w:rsid w:val="1289645E"/>
    <w:rsid w:val="12D547CA"/>
    <w:rsid w:val="138E3F2A"/>
    <w:rsid w:val="13920BCF"/>
    <w:rsid w:val="13D2255B"/>
    <w:rsid w:val="14290F74"/>
    <w:rsid w:val="14403E41"/>
    <w:rsid w:val="14526E5B"/>
    <w:rsid w:val="14946C34"/>
    <w:rsid w:val="152116FE"/>
    <w:rsid w:val="1532490E"/>
    <w:rsid w:val="15AA1C40"/>
    <w:rsid w:val="15E94352"/>
    <w:rsid w:val="160A7634"/>
    <w:rsid w:val="163C6D3C"/>
    <w:rsid w:val="168227FD"/>
    <w:rsid w:val="16932406"/>
    <w:rsid w:val="16B70AB9"/>
    <w:rsid w:val="16BA1538"/>
    <w:rsid w:val="16E01DBD"/>
    <w:rsid w:val="17602EFE"/>
    <w:rsid w:val="17893D20"/>
    <w:rsid w:val="17B514B3"/>
    <w:rsid w:val="1802614F"/>
    <w:rsid w:val="181531AE"/>
    <w:rsid w:val="181D2B9D"/>
    <w:rsid w:val="185A675A"/>
    <w:rsid w:val="18664544"/>
    <w:rsid w:val="188E5ACF"/>
    <w:rsid w:val="188F6DC7"/>
    <w:rsid w:val="18C211CC"/>
    <w:rsid w:val="18D07C10"/>
    <w:rsid w:val="190C18A0"/>
    <w:rsid w:val="19227628"/>
    <w:rsid w:val="19333C1F"/>
    <w:rsid w:val="1934019F"/>
    <w:rsid w:val="19922AAB"/>
    <w:rsid w:val="19A74E14"/>
    <w:rsid w:val="19C830F7"/>
    <w:rsid w:val="19E10B40"/>
    <w:rsid w:val="19F636A6"/>
    <w:rsid w:val="1A04207E"/>
    <w:rsid w:val="1A3348FA"/>
    <w:rsid w:val="1A3A17E5"/>
    <w:rsid w:val="1A3B28F2"/>
    <w:rsid w:val="1A58610F"/>
    <w:rsid w:val="1A977682"/>
    <w:rsid w:val="1ACC3E1B"/>
    <w:rsid w:val="1AD03EF7"/>
    <w:rsid w:val="1AD11780"/>
    <w:rsid w:val="1AF5395E"/>
    <w:rsid w:val="1B043A7E"/>
    <w:rsid w:val="1B503EAA"/>
    <w:rsid w:val="1B662DBF"/>
    <w:rsid w:val="1C2F5B31"/>
    <w:rsid w:val="1C7134B8"/>
    <w:rsid w:val="1C8A23DA"/>
    <w:rsid w:val="1C9B0535"/>
    <w:rsid w:val="1CAC2742"/>
    <w:rsid w:val="1CF71C0F"/>
    <w:rsid w:val="1D7542D0"/>
    <w:rsid w:val="1D9A4A78"/>
    <w:rsid w:val="1DD65CC8"/>
    <w:rsid w:val="1E0A4D56"/>
    <w:rsid w:val="1E1E766F"/>
    <w:rsid w:val="1E2F4669"/>
    <w:rsid w:val="1E662D79"/>
    <w:rsid w:val="1E7948A6"/>
    <w:rsid w:val="1E8A0861"/>
    <w:rsid w:val="1EA379DB"/>
    <w:rsid w:val="1EE23185"/>
    <w:rsid w:val="1EED3CFC"/>
    <w:rsid w:val="1EF65831"/>
    <w:rsid w:val="1F1D4355"/>
    <w:rsid w:val="1F544598"/>
    <w:rsid w:val="1F745799"/>
    <w:rsid w:val="1F8548EC"/>
    <w:rsid w:val="1F971273"/>
    <w:rsid w:val="1FBC4A4A"/>
    <w:rsid w:val="1FEA0867"/>
    <w:rsid w:val="200F54C2"/>
    <w:rsid w:val="201725C8"/>
    <w:rsid w:val="20525060"/>
    <w:rsid w:val="207A394B"/>
    <w:rsid w:val="207F0C88"/>
    <w:rsid w:val="20817015"/>
    <w:rsid w:val="208337BA"/>
    <w:rsid w:val="20A0611A"/>
    <w:rsid w:val="20C53DD2"/>
    <w:rsid w:val="21052A9A"/>
    <w:rsid w:val="21053057"/>
    <w:rsid w:val="213C22AE"/>
    <w:rsid w:val="21627873"/>
    <w:rsid w:val="21821CC3"/>
    <w:rsid w:val="21C422F5"/>
    <w:rsid w:val="223734E4"/>
    <w:rsid w:val="224F7DF7"/>
    <w:rsid w:val="225E738E"/>
    <w:rsid w:val="2272669E"/>
    <w:rsid w:val="2277275A"/>
    <w:rsid w:val="227F4D71"/>
    <w:rsid w:val="2280389A"/>
    <w:rsid w:val="229346F0"/>
    <w:rsid w:val="22C8070E"/>
    <w:rsid w:val="22D4654E"/>
    <w:rsid w:val="230832B4"/>
    <w:rsid w:val="2322550C"/>
    <w:rsid w:val="23857832"/>
    <w:rsid w:val="238C6E29"/>
    <w:rsid w:val="24080473"/>
    <w:rsid w:val="241E482A"/>
    <w:rsid w:val="24406D37"/>
    <w:rsid w:val="244A6AC8"/>
    <w:rsid w:val="2466767A"/>
    <w:rsid w:val="247C2A7C"/>
    <w:rsid w:val="24FD76C4"/>
    <w:rsid w:val="25074774"/>
    <w:rsid w:val="25331C17"/>
    <w:rsid w:val="259326F1"/>
    <w:rsid w:val="259A582D"/>
    <w:rsid w:val="25A60401"/>
    <w:rsid w:val="25F413E1"/>
    <w:rsid w:val="263317DE"/>
    <w:rsid w:val="26806F3F"/>
    <w:rsid w:val="26B0198D"/>
    <w:rsid w:val="26D76EE3"/>
    <w:rsid w:val="26DB6DDD"/>
    <w:rsid w:val="27094265"/>
    <w:rsid w:val="270D202F"/>
    <w:rsid w:val="271B474C"/>
    <w:rsid w:val="27266515"/>
    <w:rsid w:val="272E26D1"/>
    <w:rsid w:val="27651E6B"/>
    <w:rsid w:val="27790766"/>
    <w:rsid w:val="27846795"/>
    <w:rsid w:val="278F5CF9"/>
    <w:rsid w:val="281C705A"/>
    <w:rsid w:val="28616AD6"/>
    <w:rsid w:val="28773DCD"/>
    <w:rsid w:val="287E31E4"/>
    <w:rsid w:val="28866DB6"/>
    <w:rsid w:val="28ED597C"/>
    <w:rsid w:val="28FC05AD"/>
    <w:rsid w:val="29334909"/>
    <w:rsid w:val="294F4B81"/>
    <w:rsid w:val="29907531"/>
    <w:rsid w:val="299A22A0"/>
    <w:rsid w:val="29E17ECF"/>
    <w:rsid w:val="2A176595"/>
    <w:rsid w:val="2A246B9F"/>
    <w:rsid w:val="2A4A04BE"/>
    <w:rsid w:val="2A4D7312"/>
    <w:rsid w:val="2A6B2122"/>
    <w:rsid w:val="2AA35184"/>
    <w:rsid w:val="2ADE5E46"/>
    <w:rsid w:val="2B193B9D"/>
    <w:rsid w:val="2B41466D"/>
    <w:rsid w:val="2B78699C"/>
    <w:rsid w:val="2BFA3C80"/>
    <w:rsid w:val="2C0E487F"/>
    <w:rsid w:val="2C2E5CBB"/>
    <w:rsid w:val="2C934D84"/>
    <w:rsid w:val="2CC30608"/>
    <w:rsid w:val="2D033E2F"/>
    <w:rsid w:val="2D0A3299"/>
    <w:rsid w:val="2D1E0AF2"/>
    <w:rsid w:val="2D1F5982"/>
    <w:rsid w:val="2D6C5D01"/>
    <w:rsid w:val="2D7921CC"/>
    <w:rsid w:val="2DDD46C4"/>
    <w:rsid w:val="2DED5187"/>
    <w:rsid w:val="2E1D349F"/>
    <w:rsid w:val="2E3A195C"/>
    <w:rsid w:val="2E81758A"/>
    <w:rsid w:val="2E8B21B7"/>
    <w:rsid w:val="2E917B93"/>
    <w:rsid w:val="2ECA5519"/>
    <w:rsid w:val="2F173B14"/>
    <w:rsid w:val="2F3C74E6"/>
    <w:rsid w:val="2F4862FA"/>
    <w:rsid w:val="2F7A1819"/>
    <w:rsid w:val="2F7B1CC0"/>
    <w:rsid w:val="2F9E6343"/>
    <w:rsid w:val="2FD74D0A"/>
    <w:rsid w:val="301F34FF"/>
    <w:rsid w:val="3068799E"/>
    <w:rsid w:val="308415B4"/>
    <w:rsid w:val="30B46ED7"/>
    <w:rsid w:val="30CB71E3"/>
    <w:rsid w:val="30D84A6D"/>
    <w:rsid w:val="30E91417"/>
    <w:rsid w:val="30F70650"/>
    <w:rsid w:val="31122342"/>
    <w:rsid w:val="316941C1"/>
    <w:rsid w:val="31C12394"/>
    <w:rsid w:val="31CD6FAF"/>
    <w:rsid w:val="31CF3F47"/>
    <w:rsid w:val="322C3CB1"/>
    <w:rsid w:val="328346F4"/>
    <w:rsid w:val="32D169E0"/>
    <w:rsid w:val="330B7B68"/>
    <w:rsid w:val="33541711"/>
    <w:rsid w:val="337A3F9C"/>
    <w:rsid w:val="338A56D7"/>
    <w:rsid w:val="33CF6FEA"/>
    <w:rsid w:val="33E671C5"/>
    <w:rsid w:val="340547BA"/>
    <w:rsid w:val="34184F37"/>
    <w:rsid w:val="342873FA"/>
    <w:rsid w:val="342C7F98"/>
    <w:rsid w:val="348875DC"/>
    <w:rsid w:val="348E2A01"/>
    <w:rsid w:val="34AC732B"/>
    <w:rsid w:val="34C74165"/>
    <w:rsid w:val="34FE3EE7"/>
    <w:rsid w:val="35061DD1"/>
    <w:rsid w:val="35610116"/>
    <w:rsid w:val="356B65D3"/>
    <w:rsid w:val="35B5220F"/>
    <w:rsid w:val="35DA09C0"/>
    <w:rsid w:val="35F51E7B"/>
    <w:rsid w:val="37312910"/>
    <w:rsid w:val="374D6BA3"/>
    <w:rsid w:val="378F2466"/>
    <w:rsid w:val="37BD2DB7"/>
    <w:rsid w:val="37EB3CC7"/>
    <w:rsid w:val="381009F4"/>
    <w:rsid w:val="38177AC2"/>
    <w:rsid w:val="381E5E4A"/>
    <w:rsid w:val="38330237"/>
    <w:rsid w:val="385C6972"/>
    <w:rsid w:val="388B0EB7"/>
    <w:rsid w:val="38C22C79"/>
    <w:rsid w:val="38CA4224"/>
    <w:rsid w:val="3974366F"/>
    <w:rsid w:val="397C3770"/>
    <w:rsid w:val="399218BB"/>
    <w:rsid w:val="39A44A75"/>
    <w:rsid w:val="39E61C93"/>
    <w:rsid w:val="39F22CCF"/>
    <w:rsid w:val="3A0D43C8"/>
    <w:rsid w:val="3AD61226"/>
    <w:rsid w:val="3AF96301"/>
    <w:rsid w:val="3AFB5E8D"/>
    <w:rsid w:val="3B0C28D2"/>
    <w:rsid w:val="3B730DDD"/>
    <w:rsid w:val="3B750477"/>
    <w:rsid w:val="3BB12962"/>
    <w:rsid w:val="3BD30B48"/>
    <w:rsid w:val="3C0E6A8C"/>
    <w:rsid w:val="3C1A101E"/>
    <w:rsid w:val="3C4A1903"/>
    <w:rsid w:val="3C72377A"/>
    <w:rsid w:val="3CA76DA6"/>
    <w:rsid w:val="3CAF5C0A"/>
    <w:rsid w:val="3CCE50CD"/>
    <w:rsid w:val="3CD00963"/>
    <w:rsid w:val="3CDA061D"/>
    <w:rsid w:val="3D4C7081"/>
    <w:rsid w:val="3D7D7AB7"/>
    <w:rsid w:val="3D947611"/>
    <w:rsid w:val="3D9F3525"/>
    <w:rsid w:val="3DCC1178"/>
    <w:rsid w:val="3DF02037"/>
    <w:rsid w:val="3E004C98"/>
    <w:rsid w:val="3E2B306F"/>
    <w:rsid w:val="3E3B0987"/>
    <w:rsid w:val="3E6F1C2A"/>
    <w:rsid w:val="3E7416CA"/>
    <w:rsid w:val="3F000963"/>
    <w:rsid w:val="3F147FA7"/>
    <w:rsid w:val="3FCC1BB2"/>
    <w:rsid w:val="3FD339BE"/>
    <w:rsid w:val="3FFA1B0C"/>
    <w:rsid w:val="40067C64"/>
    <w:rsid w:val="40181BF8"/>
    <w:rsid w:val="40774C91"/>
    <w:rsid w:val="407E181D"/>
    <w:rsid w:val="40B76E3C"/>
    <w:rsid w:val="40B97554"/>
    <w:rsid w:val="40C1415E"/>
    <w:rsid w:val="40C25D87"/>
    <w:rsid w:val="40D53766"/>
    <w:rsid w:val="41130DF2"/>
    <w:rsid w:val="413E57AF"/>
    <w:rsid w:val="417E7959"/>
    <w:rsid w:val="41B63597"/>
    <w:rsid w:val="41C47F63"/>
    <w:rsid w:val="41CA16B4"/>
    <w:rsid w:val="42087DCB"/>
    <w:rsid w:val="429C09DF"/>
    <w:rsid w:val="42A1240A"/>
    <w:rsid w:val="42A67168"/>
    <w:rsid w:val="42C83582"/>
    <w:rsid w:val="430C57A3"/>
    <w:rsid w:val="431D4C79"/>
    <w:rsid w:val="437A1A1C"/>
    <w:rsid w:val="43803F8D"/>
    <w:rsid w:val="44107D9B"/>
    <w:rsid w:val="442E5B66"/>
    <w:rsid w:val="446B71A2"/>
    <w:rsid w:val="4484172B"/>
    <w:rsid w:val="44D22496"/>
    <w:rsid w:val="450E390A"/>
    <w:rsid w:val="455D74E7"/>
    <w:rsid w:val="45947D5B"/>
    <w:rsid w:val="45EE208A"/>
    <w:rsid w:val="460515BC"/>
    <w:rsid w:val="46385496"/>
    <w:rsid w:val="463F7FFF"/>
    <w:rsid w:val="46456C98"/>
    <w:rsid w:val="464C7E2F"/>
    <w:rsid w:val="46B80BAA"/>
    <w:rsid w:val="46BF3A76"/>
    <w:rsid w:val="46C40CC3"/>
    <w:rsid w:val="47152B0E"/>
    <w:rsid w:val="47176167"/>
    <w:rsid w:val="475B59B7"/>
    <w:rsid w:val="477A0BC3"/>
    <w:rsid w:val="478F7279"/>
    <w:rsid w:val="47C462E6"/>
    <w:rsid w:val="47CF0B1D"/>
    <w:rsid w:val="47E23378"/>
    <w:rsid w:val="47FE17F4"/>
    <w:rsid w:val="481635C9"/>
    <w:rsid w:val="48190C24"/>
    <w:rsid w:val="48362D3C"/>
    <w:rsid w:val="484C07B1"/>
    <w:rsid w:val="486F26F2"/>
    <w:rsid w:val="487144D7"/>
    <w:rsid w:val="488D7A37"/>
    <w:rsid w:val="48A72C1A"/>
    <w:rsid w:val="48D33C4C"/>
    <w:rsid w:val="498779AB"/>
    <w:rsid w:val="4989333F"/>
    <w:rsid w:val="498B014D"/>
    <w:rsid w:val="49B42429"/>
    <w:rsid w:val="49C6245C"/>
    <w:rsid w:val="49C90BDD"/>
    <w:rsid w:val="49DA74B1"/>
    <w:rsid w:val="49EA0282"/>
    <w:rsid w:val="49ED38CE"/>
    <w:rsid w:val="4A6E2A7E"/>
    <w:rsid w:val="4AD87F7A"/>
    <w:rsid w:val="4AE72A13"/>
    <w:rsid w:val="4AF15640"/>
    <w:rsid w:val="4B3F45FD"/>
    <w:rsid w:val="4B94275C"/>
    <w:rsid w:val="4B9F2679"/>
    <w:rsid w:val="4C7B78B7"/>
    <w:rsid w:val="4C8D39F2"/>
    <w:rsid w:val="4CB10ACF"/>
    <w:rsid w:val="4CC01E86"/>
    <w:rsid w:val="4CEA4B1C"/>
    <w:rsid w:val="4CEE0089"/>
    <w:rsid w:val="4D1E52BF"/>
    <w:rsid w:val="4D280563"/>
    <w:rsid w:val="4D2B7562"/>
    <w:rsid w:val="4D3A6B3E"/>
    <w:rsid w:val="4D560717"/>
    <w:rsid w:val="4D6D5452"/>
    <w:rsid w:val="4D805C06"/>
    <w:rsid w:val="4D875DE8"/>
    <w:rsid w:val="4DDB03B5"/>
    <w:rsid w:val="4DED4A76"/>
    <w:rsid w:val="4E575D78"/>
    <w:rsid w:val="4E6A7BE3"/>
    <w:rsid w:val="4E736BF3"/>
    <w:rsid w:val="4ECF5C98"/>
    <w:rsid w:val="4ED72EBD"/>
    <w:rsid w:val="4EE202E0"/>
    <w:rsid w:val="4F5C1D7A"/>
    <w:rsid w:val="4F846A83"/>
    <w:rsid w:val="4FB530E0"/>
    <w:rsid w:val="50076CCC"/>
    <w:rsid w:val="510734C7"/>
    <w:rsid w:val="51204589"/>
    <w:rsid w:val="51271052"/>
    <w:rsid w:val="51501312"/>
    <w:rsid w:val="5176769E"/>
    <w:rsid w:val="519017FF"/>
    <w:rsid w:val="51B22AB2"/>
    <w:rsid w:val="51FE73D1"/>
    <w:rsid w:val="52673C84"/>
    <w:rsid w:val="53534733"/>
    <w:rsid w:val="535B4140"/>
    <w:rsid w:val="53802C1A"/>
    <w:rsid w:val="538B4884"/>
    <w:rsid w:val="53A5521A"/>
    <w:rsid w:val="53B41740"/>
    <w:rsid w:val="53C51418"/>
    <w:rsid w:val="53E43CE4"/>
    <w:rsid w:val="53E9079A"/>
    <w:rsid w:val="5415414D"/>
    <w:rsid w:val="545339F1"/>
    <w:rsid w:val="54AB36A4"/>
    <w:rsid w:val="54CD67D6"/>
    <w:rsid w:val="54CF254E"/>
    <w:rsid w:val="54DD18DD"/>
    <w:rsid w:val="54EC75A4"/>
    <w:rsid w:val="55256612"/>
    <w:rsid w:val="55456CB4"/>
    <w:rsid w:val="5571016F"/>
    <w:rsid w:val="55757FC6"/>
    <w:rsid w:val="557F61CB"/>
    <w:rsid w:val="55B04C26"/>
    <w:rsid w:val="55F51E57"/>
    <w:rsid w:val="55FB31E3"/>
    <w:rsid w:val="564E5B90"/>
    <w:rsid w:val="566E5D97"/>
    <w:rsid w:val="567A3076"/>
    <w:rsid w:val="567F3F62"/>
    <w:rsid w:val="56BC4D54"/>
    <w:rsid w:val="57201787"/>
    <w:rsid w:val="572B3C88"/>
    <w:rsid w:val="57885CB1"/>
    <w:rsid w:val="57BE68AA"/>
    <w:rsid w:val="57E81314"/>
    <w:rsid w:val="57F27B11"/>
    <w:rsid w:val="5802693E"/>
    <w:rsid w:val="582B7456"/>
    <w:rsid w:val="58603B9A"/>
    <w:rsid w:val="587D00AE"/>
    <w:rsid w:val="58EA02FF"/>
    <w:rsid w:val="591C7D2C"/>
    <w:rsid w:val="59361F1D"/>
    <w:rsid w:val="59435689"/>
    <w:rsid w:val="59777658"/>
    <w:rsid w:val="59B14918"/>
    <w:rsid w:val="59BD5415"/>
    <w:rsid w:val="5A20479B"/>
    <w:rsid w:val="5A755946"/>
    <w:rsid w:val="5AA26202"/>
    <w:rsid w:val="5AA370E9"/>
    <w:rsid w:val="5AB3646E"/>
    <w:rsid w:val="5AC02939"/>
    <w:rsid w:val="5AEF00AC"/>
    <w:rsid w:val="5B2916BE"/>
    <w:rsid w:val="5B857285"/>
    <w:rsid w:val="5B9718EC"/>
    <w:rsid w:val="5BAA7871"/>
    <w:rsid w:val="5BFA2163"/>
    <w:rsid w:val="5C3F26AF"/>
    <w:rsid w:val="5CC84CFD"/>
    <w:rsid w:val="5D2E322A"/>
    <w:rsid w:val="5D3E473A"/>
    <w:rsid w:val="5D4A3A21"/>
    <w:rsid w:val="5D541739"/>
    <w:rsid w:val="5D6408DE"/>
    <w:rsid w:val="5DA84284"/>
    <w:rsid w:val="5DF94AE0"/>
    <w:rsid w:val="5E1C51EC"/>
    <w:rsid w:val="5E4E4E2C"/>
    <w:rsid w:val="5E814705"/>
    <w:rsid w:val="5E84697B"/>
    <w:rsid w:val="5E993BCD"/>
    <w:rsid w:val="5F261904"/>
    <w:rsid w:val="5F8038FF"/>
    <w:rsid w:val="5FC353A5"/>
    <w:rsid w:val="5FFF5CB2"/>
    <w:rsid w:val="603040BD"/>
    <w:rsid w:val="60AE2DC5"/>
    <w:rsid w:val="60F25329"/>
    <w:rsid w:val="60FD48E7"/>
    <w:rsid w:val="619C5EAE"/>
    <w:rsid w:val="61B9080E"/>
    <w:rsid w:val="61C3343B"/>
    <w:rsid w:val="61D44299"/>
    <w:rsid w:val="61F25ACE"/>
    <w:rsid w:val="624A5CB4"/>
    <w:rsid w:val="62685D90"/>
    <w:rsid w:val="62793D75"/>
    <w:rsid w:val="62C87617"/>
    <w:rsid w:val="62DA4137"/>
    <w:rsid w:val="62E657D5"/>
    <w:rsid w:val="62E775FD"/>
    <w:rsid w:val="62F37D50"/>
    <w:rsid w:val="63286B16"/>
    <w:rsid w:val="63B95DD5"/>
    <w:rsid w:val="63CC7DF9"/>
    <w:rsid w:val="6423233B"/>
    <w:rsid w:val="64371EBE"/>
    <w:rsid w:val="644D5127"/>
    <w:rsid w:val="648275DD"/>
    <w:rsid w:val="64CD637E"/>
    <w:rsid w:val="64FD6C64"/>
    <w:rsid w:val="652D44C3"/>
    <w:rsid w:val="652F2B95"/>
    <w:rsid w:val="653C3F28"/>
    <w:rsid w:val="656C5B97"/>
    <w:rsid w:val="658D4E98"/>
    <w:rsid w:val="659A7E37"/>
    <w:rsid w:val="65AE5912"/>
    <w:rsid w:val="65F8567D"/>
    <w:rsid w:val="6601338E"/>
    <w:rsid w:val="661E127D"/>
    <w:rsid w:val="6628294C"/>
    <w:rsid w:val="6658601C"/>
    <w:rsid w:val="666E6D57"/>
    <w:rsid w:val="668C6B1C"/>
    <w:rsid w:val="66CF4630"/>
    <w:rsid w:val="66E139C3"/>
    <w:rsid w:val="670562A3"/>
    <w:rsid w:val="673E3563"/>
    <w:rsid w:val="67466E44"/>
    <w:rsid w:val="67582877"/>
    <w:rsid w:val="67803B7C"/>
    <w:rsid w:val="67B16550"/>
    <w:rsid w:val="68212C69"/>
    <w:rsid w:val="68751207"/>
    <w:rsid w:val="687A05CB"/>
    <w:rsid w:val="687E00BB"/>
    <w:rsid w:val="689A6C6E"/>
    <w:rsid w:val="693764BC"/>
    <w:rsid w:val="699456BD"/>
    <w:rsid w:val="69DD52B6"/>
    <w:rsid w:val="6A2272F7"/>
    <w:rsid w:val="6A4278A8"/>
    <w:rsid w:val="6A484E25"/>
    <w:rsid w:val="6A6D769B"/>
    <w:rsid w:val="6AC11213"/>
    <w:rsid w:val="6AF34358"/>
    <w:rsid w:val="6B1C2C96"/>
    <w:rsid w:val="6B5A7237"/>
    <w:rsid w:val="6B7632CC"/>
    <w:rsid w:val="6B8A6D77"/>
    <w:rsid w:val="6B8F6814"/>
    <w:rsid w:val="6BAE515B"/>
    <w:rsid w:val="6BB6488D"/>
    <w:rsid w:val="6BC0391C"/>
    <w:rsid w:val="6BDB3A77"/>
    <w:rsid w:val="6BE953A9"/>
    <w:rsid w:val="6C375151"/>
    <w:rsid w:val="6C5A2BED"/>
    <w:rsid w:val="6C90660F"/>
    <w:rsid w:val="6C9C3206"/>
    <w:rsid w:val="6CB51DAA"/>
    <w:rsid w:val="6D484EC2"/>
    <w:rsid w:val="6D8223FC"/>
    <w:rsid w:val="6DA57E98"/>
    <w:rsid w:val="6DBB76BC"/>
    <w:rsid w:val="6E397CCC"/>
    <w:rsid w:val="6E59572E"/>
    <w:rsid w:val="6E672B2B"/>
    <w:rsid w:val="6E7D0653"/>
    <w:rsid w:val="6F086C9E"/>
    <w:rsid w:val="6F12155D"/>
    <w:rsid w:val="6F443BEB"/>
    <w:rsid w:val="6F7922B4"/>
    <w:rsid w:val="6F8A1A3C"/>
    <w:rsid w:val="6FB824BF"/>
    <w:rsid w:val="6FB84A4C"/>
    <w:rsid w:val="6FBD3BBF"/>
    <w:rsid w:val="6FF02D2D"/>
    <w:rsid w:val="70626515"/>
    <w:rsid w:val="70956917"/>
    <w:rsid w:val="70BF7472"/>
    <w:rsid w:val="70BF74C3"/>
    <w:rsid w:val="71133219"/>
    <w:rsid w:val="71451D6C"/>
    <w:rsid w:val="71816E6E"/>
    <w:rsid w:val="71B30970"/>
    <w:rsid w:val="71B92164"/>
    <w:rsid w:val="71E64DF1"/>
    <w:rsid w:val="7202096F"/>
    <w:rsid w:val="726E73F3"/>
    <w:rsid w:val="72B93A9B"/>
    <w:rsid w:val="72C60FDD"/>
    <w:rsid w:val="72C708F5"/>
    <w:rsid w:val="72F0558E"/>
    <w:rsid w:val="73972F2B"/>
    <w:rsid w:val="73B057E9"/>
    <w:rsid w:val="74157242"/>
    <w:rsid w:val="7419338E"/>
    <w:rsid w:val="744321B9"/>
    <w:rsid w:val="74DA2B1D"/>
    <w:rsid w:val="75053FA4"/>
    <w:rsid w:val="757F7E3A"/>
    <w:rsid w:val="758F1B5A"/>
    <w:rsid w:val="75BA5E27"/>
    <w:rsid w:val="75BE3D92"/>
    <w:rsid w:val="75DB6ACC"/>
    <w:rsid w:val="75E654F2"/>
    <w:rsid w:val="76275612"/>
    <w:rsid w:val="76295B43"/>
    <w:rsid w:val="76473B85"/>
    <w:rsid w:val="766F2884"/>
    <w:rsid w:val="769E7CED"/>
    <w:rsid w:val="76EB54F6"/>
    <w:rsid w:val="76FE6E62"/>
    <w:rsid w:val="772F04C2"/>
    <w:rsid w:val="77536BB7"/>
    <w:rsid w:val="777C7EBC"/>
    <w:rsid w:val="77864563"/>
    <w:rsid w:val="77B67A61"/>
    <w:rsid w:val="77C558F3"/>
    <w:rsid w:val="78007DC7"/>
    <w:rsid w:val="78571E88"/>
    <w:rsid w:val="785724B6"/>
    <w:rsid w:val="7883779B"/>
    <w:rsid w:val="78934A73"/>
    <w:rsid w:val="789A701B"/>
    <w:rsid w:val="789F6743"/>
    <w:rsid w:val="78C0027C"/>
    <w:rsid w:val="79465555"/>
    <w:rsid w:val="794C7BD9"/>
    <w:rsid w:val="79AE27CB"/>
    <w:rsid w:val="79EE0E19"/>
    <w:rsid w:val="79F006ED"/>
    <w:rsid w:val="7A102B3D"/>
    <w:rsid w:val="7A1F50B8"/>
    <w:rsid w:val="7A386264"/>
    <w:rsid w:val="7A540C7C"/>
    <w:rsid w:val="7A666AFD"/>
    <w:rsid w:val="7A7632E8"/>
    <w:rsid w:val="7A94376E"/>
    <w:rsid w:val="7AA977A4"/>
    <w:rsid w:val="7AAD0720"/>
    <w:rsid w:val="7C355CCF"/>
    <w:rsid w:val="7C4A7545"/>
    <w:rsid w:val="7C564BDE"/>
    <w:rsid w:val="7C7F7EC7"/>
    <w:rsid w:val="7C9A5663"/>
    <w:rsid w:val="7C9B05BC"/>
    <w:rsid w:val="7CB225D2"/>
    <w:rsid w:val="7CB91F44"/>
    <w:rsid w:val="7CCC4084"/>
    <w:rsid w:val="7CE5560B"/>
    <w:rsid w:val="7D21425A"/>
    <w:rsid w:val="7D807742"/>
    <w:rsid w:val="7D821FA4"/>
    <w:rsid w:val="7D8950E1"/>
    <w:rsid w:val="7D9B5E16"/>
    <w:rsid w:val="7DB303AF"/>
    <w:rsid w:val="7DD547CA"/>
    <w:rsid w:val="7DD56578"/>
    <w:rsid w:val="7E143686"/>
    <w:rsid w:val="7E241D44"/>
    <w:rsid w:val="7E5A55AC"/>
    <w:rsid w:val="7E6B2559"/>
    <w:rsid w:val="7E7F7D0E"/>
    <w:rsid w:val="7E8A7362"/>
    <w:rsid w:val="7EDC56E4"/>
    <w:rsid w:val="7EE73E3D"/>
    <w:rsid w:val="7EE949E7"/>
    <w:rsid w:val="7F370B6C"/>
    <w:rsid w:val="7F590AE3"/>
    <w:rsid w:val="7F961D37"/>
    <w:rsid w:val="7FBC7F56"/>
    <w:rsid w:val="7FC00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Balloon Text"/>
    <w:basedOn w:val="1"/>
    <w:link w:val="4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character" w:styleId="24">
    <w:name w:val="annotation reference"/>
    <w:basedOn w:val="19"/>
    <w:qFormat/>
    <w:uiPriority w:val="0"/>
    <w:rPr>
      <w:sz w:val="21"/>
      <w:szCs w:val="21"/>
    </w:rPr>
  </w:style>
  <w:style w:type="paragraph" w:customStyle="1" w:styleId="2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
    <w:name w:val="p0"/>
    <w:basedOn w:val="1"/>
    <w:qFormat/>
    <w:uiPriority w:val="0"/>
    <w:pPr>
      <w:widowControl/>
    </w:pPr>
    <w:rPr>
      <w:kern w:val="0"/>
      <w:szCs w:val="21"/>
    </w:rPr>
  </w:style>
  <w:style w:type="paragraph" w:customStyle="1" w:styleId="29">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gjfg"/>
    <w:basedOn w:val="19"/>
    <w:qFormat/>
    <w:uiPriority w:val="0"/>
  </w:style>
  <w:style w:type="character" w:customStyle="1" w:styleId="33">
    <w:name w:val="displayarti"/>
    <w:basedOn w:val="19"/>
    <w:qFormat/>
    <w:uiPriority w:val="0"/>
    <w:rPr>
      <w:color w:val="FFFFFF"/>
      <w:shd w:val="clear" w:color="010000" w:fill="A00000"/>
    </w:rPr>
  </w:style>
  <w:style w:type="character" w:customStyle="1" w:styleId="34">
    <w:name w:val="redfilefwwh"/>
    <w:basedOn w:val="19"/>
    <w:qFormat/>
    <w:uiPriority w:val="0"/>
    <w:rPr>
      <w:color w:val="BA2636"/>
      <w:sz w:val="14"/>
      <w:szCs w:val="14"/>
    </w:rPr>
  </w:style>
  <w:style w:type="character" w:customStyle="1" w:styleId="35">
    <w:name w:val="redfilenumber"/>
    <w:basedOn w:val="19"/>
    <w:qFormat/>
    <w:uiPriority w:val="0"/>
    <w:rPr>
      <w:color w:val="BA2636"/>
      <w:sz w:val="14"/>
      <w:szCs w:val="14"/>
    </w:rPr>
  </w:style>
  <w:style w:type="character" w:customStyle="1" w:styleId="36">
    <w:name w:val="qxdate"/>
    <w:basedOn w:val="19"/>
    <w:qFormat/>
    <w:uiPriority w:val="0"/>
    <w:rPr>
      <w:color w:val="333333"/>
      <w:sz w:val="14"/>
      <w:szCs w:val="14"/>
    </w:rPr>
  </w:style>
  <w:style w:type="character" w:customStyle="1" w:styleId="37">
    <w:name w:val="cfdate"/>
    <w:basedOn w:val="19"/>
    <w:qFormat/>
    <w:uiPriority w:val="0"/>
    <w:rPr>
      <w:color w:val="333333"/>
      <w:sz w:val="14"/>
      <w:szCs w:val="14"/>
    </w:rPr>
  </w:style>
  <w:style w:type="character" w:customStyle="1" w:styleId="38">
    <w:name w:val="标题 1 Char"/>
    <w:link w:val="2"/>
    <w:qFormat/>
    <w:uiPriority w:val="0"/>
    <w:rPr>
      <w:b/>
      <w:bCs/>
      <w:sz w:val="24"/>
      <w:szCs w:val="20"/>
    </w:rPr>
  </w:style>
  <w:style w:type="character" w:customStyle="1" w:styleId="39">
    <w:name w:val="标题 3 Char"/>
    <w:link w:val="4"/>
    <w:qFormat/>
    <w:uiPriority w:val="0"/>
    <w:rPr>
      <w:b/>
      <w:bCs/>
      <w:sz w:val="32"/>
      <w:szCs w:val="32"/>
    </w:rPr>
  </w:style>
  <w:style w:type="character" w:customStyle="1" w:styleId="40">
    <w:name w:val="批注框文本 Char"/>
    <w:basedOn w:val="19"/>
    <w:link w:val="10"/>
    <w:qFormat/>
    <w:uiPriority w:val="0"/>
    <w:rPr>
      <w:rFonts w:ascii="Times New Roman" w:hAnsi="Times New Roman"/>
      <w:kern w:val="2"/>
      <w:sz w:val="18"/>
      <w:szCs w:val="18"/>
    </w:rPr>
  </w:style>
  <w:style w:type="character" w:customStyle="1" w:styleId="41">
    <w:name w:val="15"/>
    <w:basedOn w:val="19"/>
    <w:qFormat/>
    <w:uiPriority w:val="0"/>
    <w:rPr>
      <w:rFonts w:hint="default" w:ascii="Cambria" w:hAnsi="Cambria" w:eastAsia="Cambria" w:cs="Cambria"/>
    </w:rPr>
  </w:style>
  <w:style w:type="character" w:customStyle="1" w:styleId="42">
    <w:name w:val="10"/>
    <w:basedOn w:val="19"/>
    <w:qFormat/>
    <w:uiPriority w:val="0"/>
    <w:rPr>
      <w:rFonts w:hint="default" w:ascii="Cambria" w:hAnsi="Cambria" w:eastAsia="Cambria" w:cs="Cambria"/>
    </w:rPr>
  </w:style>
  <w:style w:type="paragraph" w:customStyle="1" w:styleId="43">
    <w:name w:val="*正文"/>
    <w:basedOn w:val="1"/>
    <w:autoRedefine/>
    <w:qFormat/>
    <w:uiPriority w:val="0"/>
    <w:pPr>
      <w:spacing w:line="360" w:lineRule="auto"/>
      <w:ind w:firstLine="480" w:firstLineChars="200"/>
    </w:pPr>
    <w:rPr>
      <w:rFonts w:hAnsi="宋体"/>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26551</Words>
  <Characters>28350</Characters>
  <Lines>1</Lines>
  <Paragraphs>1</Paragraphs>
  <TotalTime>20</TotalTime>
  <ScaleCrop>false</ScaleCrop>
  <LinksUpToDate>false</LinksUpToDate>
  <CharactersWithSpaces>31228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ASUS</cp:lastModifiedBy>
  <cp:lastPrinted>2020-12-30T07:36:00Z</cp:lastPrinted>
  <dcterms:modified xsi:type="dcterms:W3CDTF">2025-06-23T05:48:18Z</dcterms:modified>
  <dc:title>政府采购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07367B8902C546EAA5CF9563A325C40A_13</vt:lpwstr>
  </property>
  <property fmtid="{D5CDD505-2E9C-101B-9397-08002B2CF9AE}" pid="4" name="KSOTemplateDocerSaveRecord">
    <vt:lpwstr>eyJoZGlkIjoiMjhiZTVmYjg4ZjU4MDM1NDExMTJhODNiZDIxZDNjZTYiLCJ1c2VySWQiOiI0ODE3MzA3NDIifQ==</vt:lpwstr>
  </property>
</Properties>
</file>