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青海省杓兰属等国家重点保护野生兰科植物监测项目</w:t>
      </w:r>
    </w:p>
    <w:p>
      <w:pPr>
        <w:spacing w:beforeLines="0" w:afterLines="0"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更正公告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青海起达工程项目管理有限公司</w:t>
      </w:r>
      <w:r>
        <w:rPr>
          <w:rFonts w:hint="eastAsia" w:ascii="宋体" w:hAnsi="宋体" w:eastAsia="宋体" w:cs="宋体"/>
          <w:sz w:val="24"/>
        </w:rPr>
        <w:t>受西宁植物园</w:t>
      </w:r>
      <w:r>
        <w:rPr>
          <w:rFonts w:hint="eastAsia" w:ascii="宋体" w:hAnsi="宋体" w:eastAsia="宋体" w:cs="宋体"/>
          <w:sz w:val="24"/>
          <w:lang w:eastAsia="zh-CN"/>
        </w:rPr>
        <w:t>委托，已于202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lang w:eastAsia="zh-CN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04</w:t>
      </w:r>
      <w:r>
        <w:rPr>
          <w:rFonts w:hint="eastAsia" w:ascii="宋体" w:hAnsi="宋体" w:eastAsia="宋体" w:cs="宋体"/>
          <w:sz w:val="24"/>
          <w:lang w:eastAsia="zh-CN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lang w:eastAsia="zh-CN"/>
        </w:rPr>
        <w:t>日发</w:t>
      </w:r>
      <w:r>
        <w:rPr>
          <w:rFonts w:hint="eastAsia" w:ascii="宋体" w:hAnsi="宋体" w:eastAsia="宋体" w:cs="宋体"/>
          <w:sz w:val="24"/>
          <w:lang w:val="zh-CN" w:eastAsia="zh-CN"/>
        </w:rPr>
        <w:t>布了青海省杓兰属等国家重点保护野生兰科植物监测项目</w:t>
      </w:r>
      <w:r>
        <w:rPr>
          <w:rFonts w:hint="eastAsia" w:ascii="宋体" w:hAnsi="宋体" w:eastAsia="宋体" w:cs="宋体"/>
          <w:sz w:val="24"/>
          <w:lang w:val="en-US" w:eastAsia="zh-CN"/>
        </w:rPr>
        <w:t>竞争性磋商</w:t>
      </w:r>
      <w:r>
        <w:rPr>
          <w:rFonts w:hint="eastAsia" w:ascii="宋体" w:hAnsi="宋体" w:eastAsia="宋体" w:cs="宋体"/>
          <w:sz w:val="24"/>
          <w:lang w:eastAsia="zh-CN"/>
        </w:rPr>
        <w:t>公告，现发布</w:t>
      </w:r>
      <w:r>
        <w:rPr>
          <w:rFonts w:hint="eastAsia" w:ascii="宋体" w:hAnsi="宋体" w:eastAsia="宋体" w:cs="宋体"/>
          <w:sz w:val="24"/>
          <w:lang w:val="en-US" w:eastAsia="zh-CN"/>
        </w:rPr>
        <w:t>更正</w:t>
      </w:r>
      <w:r>
        <w:rPr>
          <w:rFonts w:hint="eastAsia" w:ascii="宋体" w:hAnsi="宋体" w:eastAsia="宋体" w:cs="宋体"/>
          <w:sz w:val="24"/>
          <w:lang w:eastAsia="zh-CN"/>
        </w:rPr>
        <w:t>公告</w:t>
      </w:r>
      <w:r>
        <w:rPr>
          <w:rFonts w:hint="eastAsia" w:ascii="宋体" w:hAnsi="宋体" w:eastAsia="宋体" w:cs="宋体"/>
          <w:sz w:val="24"/>
        </w:rPr>
        <w:t>。</w:t>
      </w:r>
    </w:p>
    <w:tbl>
      <w:tblPr>
        <w:tblStyle w:val="12"/>
        <w:tblW w:w="1014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79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采购项目名称</w:t>
            </w:r>
          </w:p>
        </w:tc>
        <w:tc>
          <w:tcPr>
            <w:tcW w:w="7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青海省杓兰属等国家重点保护野生兰科植物监测项目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采购项目编号</w:t>
            </w:r>
          </w:p>
        </w:tc>
        <w:tc>
          <w:tcPr>
            <w:tcW w:w="7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青海起达竞磋（服务）2024-09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采购方式</w:t>
            </w:r>
          </w:p>
        </w:tc>
        <w:tc>
          <w:tcPr>
            <w:tcW w:w="7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竞争性磋商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采购预算控制额度</w:t>
            </w:r>
          </w:p>
        </w:tc>
        <w:tc>
          <w:tcPr>
            <w:tcW w:w="7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80万元 （捌拾万元整）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2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更正事项</w:t>
            </w:r>
          </w:p>
        </w:tc>
        <w:tc>
          <w:tcPr>
            <w:tcW w:w="79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原采购公告、采购文件中：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磋商时间：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上午09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（北京时间）；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服务期限：建设期1年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计划开工日期：2024年5月13日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计划竣工日期：2025年5月12日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现更正为：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磋商时间：2024年05月15日上午09：00（北京时间）；</w:t>
            </w:r>
          </w:p>
          <w:p>
            <w:pPr>
              <w:pStyle w:val="3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服务期限：建设期1年</w:t>
            </w:r>
          </w:p>
          <w:p>
            <w:pPr>
              <w:pStyle w:val="3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计划开工日期：2024年5月20日</w:t>
            </w:r>
          </w:p>
          <w:p>
            <w:pPr>
              <w:pStyle w:val="3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计划竣工日期：2025年5月19日</w:t>
            </w:r>
          </w:p>
          <w:p>
            <w:pPr>
              <w:pStyle w:val="3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其余事项不变！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采购人及联系人电话</w:t>
            </w:r>
          </w:p>
        </w:tc>
        <w:tc>
          <w:tcPr>
            <w:tcW w:w="79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采购人：西宁植物园  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联系人：刘老师    联系电话：15111719790   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联系地址：西宁市城西区西山三巷5号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采购代理机构及联系人电话</w:t>
            </w:r>
          </w:p>
        </w:tc>
        <w:tc>
          <w:tcPr>
            <w:tcW w:w="79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00" w:lineRule="exact"/>
              <w:rPr>
                <w:rFonts w:hint="default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购代理机构：青海起达工程项目管理有限公司</w:t>
            </w:r>
          </w:p>
          <w:p>
            <w:pPr>
              <w:widowControl/>
              <w:spacing w:line="400" w:lineRule="exact"/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联系人：肖女士      联系电话：0971-8227187</w:t>
            </w:r>
          </w:p>
          <w:p>
            <w:pPr>
              <w:widowControl/>
              <w:spacing w:line="400" w:lineRule="exact"/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t>邮箱地址：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instrText xml:space="preserve"> HYPERLINK "mailto:xhzbqhfgs@163.com" </w:instrTex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t>qhqdyxgs@163.com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联系地址：西宁市城西区五四西路53号三榆西城天街2号楼5楼20505室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其他事项</w:t>
            </w:r>
          </w:p>
        </w:tc>
        <w:tc>
          <w:tcPr>
            <w:tcW w:w="7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本公告发布于《青海省政府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网》、《青海项目信息网》、《中国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与招标网》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 w:eastAsia="zh-CN"/>
              </w:rPr>
              <w:t>财政监督部门及电话</w:t>
            </w:r>
          </w:p>
        </w:tc>
        <w:tc>
          <w:tcPr>
            <w:tcW w:w="7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textAlignment w:val="auto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监督单位：西宁市财政局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联系电话：0971-6310705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       </w:t>
      </w:r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lang w:eastAsia="zh-CN"/>
        </w:rPr>
        <w:t>青海起达工程项目管理有限公司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04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</w:rPr>
        <w:t>日</w:t>
      </w:r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DA2NzZjOGIyZmM1MTBkZWVlMjIyMmEwYjA1ZDAifQ=="/>
  </w:docVars>
  <w:rsids>
    <w:rsidRoot w:val="00D31D50"/>
    <w:rsid w:val="001E2489"/>
    <w:rsid w:val="00323B43"/>
    <w:rsid w:val="003D37D8"/>
    <w:rsid w:val="00426133"/>
    <w:rsid w:val="004358AB"/>
    <w:rsid w:val="0050718A"/>
    <w:rsid w:val="0052229A"/>
    <w:rsid w:val="00646EDF"/>
    <w:rsid w:val="00833D2E"/>
    <w:rsid w:val="008B7726"/>
    <w:rsid w:val="00950189"/>
    <w:rsid w:val="00950240"/>
    <w:rsid w:val="00A53EC8"/>
    <w:rsid w:val="00D31D50"/>
    <w:rsid w:val="00D91659"/>
    <w:rsid w:val="020967F0"/>
    <w:rsid w:val="023068C5"/>
    <w:rsid w:val="02E25D32"/>
    <w:rsid w:val="04692935"/>
    <w:rsid w:val="04833D8A"/>
    <w:rsid w:val="048D195A"/>
    <w:rsid w:val="08C15248"/>
    <w:rsid w:val="090B3E49"/>
    <w:rsid w:val="09561145"/>
    <w:rsid w:val="0A953EEF"/>
    <w:rsid w:val="0CC70C69"/>
    <w:rsid w:val="0CF533B1"/>
    <w:rsid w:val="0DD13490"/>
    <w:rsid w:val="0EFF09BE"/>
    <w:rsid w:val="0F4A3BDE"/>
    <w:rsid w:val="118A0FD0"/>
    <w:rsid w:val="13693592"/>
    <w:rsid w:val="13F50DBA"/>
    <w:rsid w:val="142B6A9A"/>
    <w:rsid w:val="142C10B4"/>
    <w:rsid w:val="14463CC3"/>
    <w:rsid w:val="14BF5434"/>
    <w:rsid w:val="16185B2C"/>
    <w:rsid w:val="16677B31"/>
    <w:rsid w:val="18894B45"/>
    <w:rsid w:val="1B140288"/>
    <w:rsid w:val="1B746F78"/>
    <w:rsid w:val="1BE7774A"/>
    <w:rsid w:val="1BF31771"/>
    <w:rsid w:val="1C7F7EE1"/>
    <w:rsid w:val="20286E61"/>
    <w:rsid w:val="224C6559"/>
    <w:rsid w:val="22803E88"/>
    <w:rsid w:val="23906919"/>
    <w:rsid w:val="23AD38F6"/>
    <w:rsid w:val="248903D7"/>
    <w:rsid w:val="268F694B"/>
    <w:rsid w:val="2696250C"/>
    <w:rsid w:val="270F7B55"/>
    <w:rsid w:val="2A336250"/>
    <w:rsid w:val="2A6E1037"/>
    <w:rsid w:val="2A911AAD"/>
    <w:rsid w:val="2AE66E5F"/>
    <w:rsid w:val="2BDD2FF1"/>
    <w:rsid w:val="2BFE39B8"/>
    <w:rsid w:val="2CF30611"/>
    <w:rsid w:val="2DD12008"/>
    <w:rsid w:val="2FCF4C47"/>
    <w:rsid w:val="2FE52B11"/>
    <w:rsid w:val="30E37846"/>
    <w:rsid w:val="3112096E"/>
    <w:rsid w:val="3158648C"/>
    <w:rsid w:val="317539AF"/>
    <w:rsid w:val="31DE2F46"/>
    <w:rsid w:val="32D45AFE"/>
    <w:rsid w:val="32D56480"/>
    <w:rsid w:val="32E220DE"/>
    <w:rsid w:val="3433527E"/>
    <w:rsid w:val="358D2CB9"/>
    <w:rsid w:val="35D3505E"/>
    <w:rsid w:val="3623074C"/>
    <w:rsid w:val="37853A0C"/>
    <w:rsid w:val="39B660C2"/>
    <w:rsid w:val="3A251BD7"/>
    <w:rsid w:val="3B4A74D4"/>
    <w:rsid w:val="3DF26CD0"/>
    <w:rsid w:val="3EC47C24"/>
    <w:rsid w:val="3F460A4F"/>
    <w:rsid w:val="3FD4083B"/>
    <w:rsid w:val="40B170EC"/>
    <w:rsid w:val="40F81DB6"/>
    <w:rsid w:val="42607C51"/>
    <w:rsid w:val="426C7C4C"/>
    <w:rsid w:val="429C350F"/>
    <w:rsid w:val="440A3726"/>
    <w:rsid w:val="44D81773"/>
    <w:rsid w:val="450F7093"/>
    <w:rsid w:val="45B1133D"/>
    <w:rsid w:val="477B0C82"/>
    <w:rsid w:val="47E349BA"/>
    <w:rsid w:val="487E7A11"/>
    <w:rsid w:val="4A147BD4"/>
    <w:rsid w:val="4AA04DE4"/>
    <w:rsid w:val="4BB61222"/>
    <w:rsid w:val="4C647D8F"/>
    <w:rsid w:val="4CB94CA0"/>
    <w:rsid w:val="4F7D7D4B"/>
    <w:rsid w:val="50993A40"/>
    <w:rsid w:val="548A494C"/>
    <w:rsid w:val="559B61EA"/>
    <w:rsid w:val="561D378D"/>
    <w:rsid w:val="56383296"/>
    <w:rsid w:val="56786AE3"/>
    <w:rsid w:val="56EB121F"/>
    <w:rsid w:val="57A32B2B"/>
    <w:rsid w:val="59030A18"/>
    <w:rsid w:val="59CE0523"/>
    <w:rsid w:val="5C1F028C"/>
    <w:rsid w:val="5C507329"/>
    <w:rsid w:val="5D1D6C7A"/>
    <w:rsid w:val="5E157005"/>
    <w:rsid w:val="5EE2702E"/>
    <w:rsid w:val="5F9C2267"/>
    <w:rsid w:val="5FB42E60"/>
    <w:rsid w:val="60C11692"/>
    <w:rsid w:val="61C15914"/>
    <w:rsid w:val="62A36DC8"/>
    <w:rsid w:val="63097573"/>
    <w:rsid w:val="64076422"/>
    <w:rsid w:val="64E01472"/>
    <w:rsid w:val="653300CF"/>
    <w:rsid w:val="65961075"/>
    <w:rsid w:val="65A86E75"/>
    <w:rsid w:val="670E33AA"/>
    <w:rsid w:val="682A61C5"/>
    <w:rsid w:val="68DF0924"/>
    <w:rsid w:val="69576741"/>
    <w:rsid w:val="6AC24631"/>
    <w:rsid w:val="6AC64D71"/>
    <w:rsid w:val="6B414D1C"/>
    <w:rsid w:val="6C1430B7"/>
    <w:rsid w:val="6C7214C7"/>
    <w:rsid w:val="6D997955"/>
    <w:rsid w:val="6EA036FA"/>
    <w:rsid w:val="6F4E3C49"/>
    <w:rsid w:val="70FC417A"/>
    <w:rsid w:val="71320A19"/>
    <w:rsid w:val="71CB2BDD"/>
    <w:rsid w:val="720E0702"/>
    <w:rsid w:val="74D379E1"/>
    <w:rsid w:val="75227D6E"/>
    <w:rsid w:val="76740D50"/>
    <w:rsid w:val="77000835"/>
    <w:rsid w:val="78840882"/>
    <w:rsid w:val="7A1F7753"/>
    <w:rsid w:val="7A5E5147"/>
    <w:rsid w:val="7AA249C5"/>
    <w:rsid w:val="7CC425C7"/>
    <w:rsid w:val="7ED338CB"/>
    <w:rsid w:val="7F102B9A"/>
    <w:rsid w:val="7F794EAC"/>
    <w:rsid w:val="7FC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kern w:val="0"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kern w:val="0"/>
      <w:sz w:val="20"/>
    </w:rPr>
  </w:style>
  <w:style w:type="paragraph" w:customStyle="1" w:styleId="4">
    <w:name w:val="一级条标题"/>
    <w:basedOn w:val="5"/>
    <w:next w:val="6"/>
    <w:autoRedefine/>
    <w:qFormat/>
    <w:uiPriority w:val="0"/>
    <w:pPr>
      <w:tabs>
        <w:tab w:val="left" w:pos="720"/>
      </w:tabs>
      <w:spacing w:beforeLines="0" w:afterLines="0"/>
      <w:ind w:left="567" w:hanging="567"/>
      <w:outlineLvl w:val="2"/>
    </w:pPr>
  </w:style>
  <w:style w:type="paragraph" w:customStyle="1" w:styleId="5">
    <w:name w:val="章标题"/>
    <w:next w:val="1"/>
    <w:qFormat/>
    <w:uiPriority w:val="0"/>
    <w:pPr>
      <w:tabs>
        <w:tab w:val="left" w:pos="720"/>
      </w:tabs>
      <w:spacing w:beforeLines="50" w:afterLines="50"/>
      <w:ind w:left="567" w:hanging="567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7">
    <w:name w:val="Body Text Indent"/>
    <w:basedOn w:val="1"/>
    <w:next w:val="1"/>
    <w:autoRedefine/>
    <w:qFormat/>
    <w:uiPriority w:val="0"/>
    <w:pPr>
      <w:tabs>
        <w:tab w:val="left" w:pos="2160"/>
      </w:tabs>
      <w:ind w:left="2159" w:leftChars="1028" w:firstLine="1"/>
    </w:pPr>
    <w:rPr>
      <w:rFonts w:ascii="宋体" w:hAnsi="宋体"/>
      <w:kern w:val="0"/>
      <w:sz w:val="20"/>
      <w:szCs w:val="21"/>
    </w:rPr>
  </w:style>
  <w:style w:type="paragraph" w:styleId="8">
    <w:name w:val="Plain Text"/>
    <w:basedOn w:val="1"/>
    <w:autoRedefine/>
    <w:qFormat/>
    <w:uiPriority w:val="0"/>
    <w:rPr>
      <w:rFonts w:ascii="宋体" w:hAnsi="Courier New"/>
      <w:kern w:val="0"/>
      <w:sz w:val="20"/>
      <w:szCs w:val="20"/>
    </w:rPr>
  </w:style>
  <w:style w:type="paragraph" w:styleId="9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able of figures"/>
    <w:basedOn w:val="1"/>
    <w:next w:val="1"/>
    <w:autoRedefine/>
    <w:unhideWhenUsed/>
    <w:qFormat/>
    <w:uiPriority w:val="0"/>
    <w:pPr>
      <w:spacing w:beforeLines="0" w:afterLines="0"/>
      <w:ind w:leftChars="200" w:hanging="200" w:hangingChars="200"/>
    </w:pPr>
    <w:rPr>
      <w:rFonts w:hint="eastAsia"/>
      <w:sz w:val="21"/>
    </w:rPr>
  </w:style>
  <w:style w:type="paragraph" w:styleId="11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4">
    <w:name w:val="Strong"/>
    <w:basedOn w:val="13"/>
    <w:autoRedefine/>
    <w:qFormat/>
    <w:uiPriority w:val="22"/>
    <w:rPr>
      <w:b/>
    </w:rPr>
  </w:style>
  <w:style w:type="character" w:styleId="15">
    <w:name w:val="Hyperlink"/>
    <w:autoRedefine/>
    <w:qFormat/>
    <w:uiPriority w:val="0"/>
    <w:rPr>
      <w:color w:val="000099"/>
      <w:u w:val="none"/>
    </w:rPr>
  </w:style>
  <w:style w:type="paragraph" w:customStyle="1" w:styleId="16">
    <w:name w:val="_Style 2"/>
    <w:basedOn w:val="1"/>
    <w:next w:val="1"/>
    <w:autoRedefine/>
    <w:qFormat/>
    <w:uiPriority w:val="0"/>
    <w:pPr>
      <w:widowControl/>
      <w:ind w:firstLine="420" w:firstLineChars="200"/>
      <w:jc w:val="left"/>
    </w:pPr>
    <w:rPr>
      <w:rFonts w:ascii="Calibri" w:hAnsi="Calibri"/>
      <w:sz w:val="24"/>
    </w:rPr>
  </w:style>
  <w:style w:type="character" w:customStyle="1" w:styleId="17">
    <w:name w:val="方案正文 Char"/>
    <w:link w:val="18"/>
    <w:autoRedefine/>
    <w:qFormat/>
    <w:uiPriority w:val="0"/>
    <w:rPr>
      <w:rFonts w:ascii="Calibri" w:hAnsi="Calibri"/>
      <w:kern w:val="2"/>
      <w:sz w:val="24"/>
      <w:szCs w:val="24"/>
    </w:rPr>
  </w:style>
  <w:style w:type="paragraph" w:customStyle="1" w:styleId="18">
    <w:name w:val="方案正文"/>
    <w:basedOn w:val="1"/>
    <w:link w:val="17"/>
    <w:autoRedefine/>
    <w:qFormat/>
    <w:uiPriority w:val="0"/>
    <w:pPr>
      <w:widowControl w:val="0"/>
      <w:spacing w:after="0" w:line="360" w:lineRule="auto"/>
      <w:ind w:firstLine="480" w:firstLineChars="200"/>
    </w:pPr>
    <w:rPr>
      <w:rFonts w:ascii="Calibri" w:hAnsi="Calibri"/>
      <w:kern w:val="2"/>
      <w:sz w:val="24"/>
      <w:szCs w:val="24"/>
    </w:rPr>
  </w:style>
  <w:style w:type="paragraph" w:customStyle="1" w:styleId="19">
    <w:name w:val="_Style 32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584</Characters>
  <Lines>5</Lines>
  <Paragraphs>1</Paragraphs>
  <TotalTime>20</TotalTime>
  <ScaleCrop>false</ScaleCrop>
  <LinksUpToDate>false</LinksUpToDate>
  <CharactersWithSpaces>709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QHQD</cp:lastModifiedBy>
  <dcterms:modified xsi:type="dcterms:W3CDTF">2024-04-26T07:29:37Z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F4EAD8DB7EFF4F4AA55388F247B17E6D_13</vt:lpwstr>
  </property>
</Properties>
</file>