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950" w:lineRule="exact"/>
        <w:ind w:left="325" w:right="45"/>
        <w:jc w:val="center"/>
        <w:rPr>
          <w:rFonts w:hint="eastAsia" w:ascii="Blackoak Std" w:hAnsi="Blackoak Std" w:eastAsia="宋体"/>
          <w:sz w:val="52"/>
          <w:szCs w:val="18"/>
          <w:lang w:eastAsia="zh-CN"/>
        </w:rPr>
      </w:pPr>
      <w:r>
        <w:rPr>
          <w:rFonts w:hint="eastAsia" w:ascii="Microsoft JhengHei" w:hAnsi="Microsoft JhengHei"/>
          <w:b/>
          <w:spacing w:val="1"/>
          <w:sz w:val="52"/>
          <w:szCs w:val="18"/>
          <w:lang w:eastAsia="zh-CN"/>
        </w:rPr>
        <w:t>尖扎县环城北路道路工程服务采购项目（第三次）</w:t>
      </w:r>
    </w:p>
    <w:p>
      <w:pPr>
        <w:kinsoku w:val="0"/>
        <w:overflowPunct w:val="0"/>
        <w:spacing w:before="9" w:line="500" w:lineRule="exact"/>
        <w:rPr>
          <w:sz w:val="50"/>
        </w:rPr>
      </w:pPr>
    </w:p>
    <w:p>
      <w:pPr>
        <w:kinsoku w:val="0"/>
        <w:overflowPunct w:val="0"/>
        <w:spacing w:line="560" w:lineRule="exact"/>
        <w:rPr>
          <w:sz w:val="56"/>
        </w:rPr>
      </w:pPr>
    </w:p>
    <w:p>
      <w:pPr>
        <w:kinsoku w:val="0"/>
        <w:overflowPunct w:val="0"/>
        <w:ind w:left="747" w:right="327"/>
        <w:jc w:val="center"/>
        <w:rPr>
          <w:rFonts w:ascii="Blackoak Std" w:hAnsi="Blackoak Std" w:eastAsia="Blackoak Std"/>
          <w:sz w:val="84"/>
        </w:rPr>
      </w:pPr>
      <w:r>
        <w:rPr>
          <w:rFonts w:hint="eastAsia" w:ascii="Microsoft JhengHei" w:hAnsi="Microsoft JhengHei" w:eastAsia="Microsoft JhengHei"/>
          <w:b/>
          <w:spacing w:val="3"/>
          <w:sz w:val="84"/>
        </w:rPr>
        <w:t>竞争性磋商文件</w:t>
      </w:r>
    </w:p>
    <w:p>
      <w:pPr>
        <w:kinsoku w:val="0"/>
        <w:overflowPunct w:val="0"/>
        <w:spacing w:before="4" w:line="650" w:lineRule="exact"/>
        <w:rPr>
          <w:sz w:val="65"/>
        </w:rPr>
      </w:pPr>
    </w:p>
    <w:p>
      <w:pPr>
        <w:kinsoku w:val="0"/>
        <w:overflowPunct w:val="0"/>
        <w:spacing w:line="840" w:lineRule="exact"/>
        <w:rPr>
          <w:sz w:val="84"/>
        </w:rPr>
      </w:pPr>
    </w:p>
    <w:p>
      <w:pPr>
        <w:kinsoku w:val="0"/>
        <w:overflowPunct w:val="0"/>
        <w:spacing w:line="840" w:lineRule="exact"/>
        <w:rPr>
          <w:sz w:val="84"/>
        </w:rPr>
      </w:pPr>
    </w:p>
    <w:p>
      <w:pPr>
        <w:pStyle w:val="4"/>
        <w:kinsoku w:val="0"/>
        <w:overflowPunct w:val="0"/>
        <w:spacing w:line="272" w:lineRule="auto"/>
        <w:rPr>
          <w:rFonts w:hint="default" w:ascii="Blackoak Std" w:hAnsi="Blackoak Std" w:eastAsia="Blackoak Std"/>
          <w:b w:val="0"/>
        </w:rPr>
      </w:pPr>
      <w:r>
        <w:rPr>
          <w:spacing w:val="1"/>
        </w:rPr>
        <w:t>采购项目名</w:t>
      </w:r>
      <w:r>
        <w:rPr>
          <w:spacing w:val="-23"/>
        </w:rPr>
        <w:t>称：</w:t>
      </w:r>
      <w:r>
        <w:rPr>
          <w:rFonts w:hint="eastAsia" w:eastAsia="宋体"/>
          <w:spacing w:val="1"/>
          <w:lang w:eastAsia="zh-CN"/>
        </w:rPr>
        <w:t>尖扎县环城北路道路工程服务采购项目（第三次）</w:t>
      </w:r>
    </w:p>
    <w:p>
      <w:pPr>
        <w:kinsoku w:val="0"/>
        <w:overflowPunct w:val="0"/>
        <w:spacing w:before="153"/>
        <w:ind w:left="120" w:right="8526"/>
        <w:rPr>
          <w:rFonts w:ascii="Blackoak Std" w:hAnsi="Blackoak Std" w:eastAsia="Blackoak Std"/>
          <w:sz w:val="32"/>
        </w:rPr>
      </w:pPr>
    </w:p>
    <w:p>
      <w:pPr>
        <w:kinsoku w:val="0"/>
        <w:overflowPunct w:val="0"/>
        <w:spacing w:before="58"/>
        <w:ind w:left="120"/>
        <w:rPr>
          <w:rFonts w:ascii="Microsoft JhengHei" w:hAnsi="Microsoft JhengHei"/>
          <w:b/>
          <w:spacing w:val="1"/>
          <w:sz w:val="32"/>
          <w:szCs w:val="22"/>
        </w:rPr>
      </w:pPr>
      <w:r>
        <w:rPr>
          <w:rFonts w:hint="eastAsia" w:ascii="Microsoft JhengHei" w:hAnsi="Microsoft JhengHei" w:eastAsia="Microsoft JhengHei"/>
          <w:b/>
          <w:spacing w:val="1"/>
          <w:sz w:val="32"/>
        </w:rPr>
        <w:t>采购项目编号：</w:t>
      </w:r>
      <w:r>
        <w:rPr>
          <w:rFonts w:hint="eastAsia" w:ascii="Microsoft JhengHei" w:hAnsi="Microsoft JhengHei"/>
          <w:b/>
          <w:spacing w:val="1"/>
          <w:sz w:val="32"/>
          <w:szCs w:val="22"/>
          <w:lang w:eastAsia="zh-CN"/>
        </w:rPr>
        <w:t>青海广维竞磋（服务）2020-011号-3</w:t>
      </w:r>
    </w:p>
    <w:p>
      <w:pPr>
        <w:kinsoku w:val="0"/>
        <w:overflowPunct w:val="0"/>
        <w:spacing w:before="210"/>
        <w:ind w:left="120" w:right="8526"/>
        <w:rPr>
          <w:rFonts w:ascii="Blackoak Std" w:hAnsi="Blackoak Std" w:eastAsia="Blackoak Std"/>
          <w:sz w:val="32"/>
        </w:rPr>
      </w:pPr>
    </w:p>
    <w:p>
      <w:pPr>
        <w:kinsoku w:val="0"/>
        <w:overflowPunct w:val="0"/>
        <w:spacing w:before="58"/>
        <w:ind w:left="120"/>
        <w:rPr>
          <w:rFonts w:ascii="Blackoak Std" w:hAnsi="Blackoak Std" w:eastAsia="Blackoak Std"/>
          <w:sz w:val="32"/>
        </w:rPr>
      </w:pPr>
      <w:r>
        <w:rPr>
          <w:rFonts w:hint="eastAsia" w:ascii="Microsoft JhengHei" w:hAnsi="Microsoft JhengHei" w:eastAsia="Microsoft JhengHei"/>
          <w:b/>
          <w:spacing w:val="1"/>
          <w:sz w:val="32"/>
        </w:rPr>
        <w:t>采购人：</w:t>
      </w:r>
      <w:r>
        <w:rPr>
          <w:rFonts w:hint="eastAsia" w:ascii="Microsoft JhengHei" w:hAnsi="Microsoft JhengHei"/>
          <w:b/>
          <w:spacing w:val="1"/>
          <w:sz w:val="32"/>
        </w:rPr>
        <w:t>尖扎县住房和城乡建设局</w:t>
      </w:r>
    </w:p>
    <w:p>
      <w:pPr>
        <w:kinsoku w:val="0"/>
        <w:overflowPunct w:val="0"/>
        <w:spacing w:before="210"/>
        <w:ind w:left="120" w:right="8526"/>
        <w:rPr>
          <w:rFonts w:ascii="Blackoak Std" w:hAnsi="Blackoak Std" w:eastAsia="Blackoak Std"/>
          <w:sz w:val="32"/>
        </w:rPr>
      </w:pPr>
    </w:p>
    <w:p>
      <w:pPr>
        <w:kinsoku w:val="0"/>
        <w:overflowPunct w:val="0"/>
        <w:spacing w:before="58"/>
        <w:ind w:left="120"/>
        <w:rPr>
          <w:rFonts w:ascii="Blackoak Std" w:hAnsi="Blackoak Std" w:eastAsia="Blackoak Std"/>
          <w:sz w:val="36"/>
        </w:rPr>
      </w:pPr>
      <w:r>
        <w:rPr>
          <w:rFonts w:hint="eastAsia" w:ascii="Microsoft JhengHei" w:hAnsi="Microsoft JhengHei" w:eastAsia="Microsoft JhengHei"/>
          <w:b/>
          <w:spacing w:val="1"/>
          <w:sz w:val="32"/>
        </w:rPr>
        <w:t>代理机构：</w:t>
      </w:r>
      <w:r>
        <w:rPr>
          <w:rFonts w:hint="eastAsia" w:ascii="Microsoft JhengHei" w:hAnsi="Microsoft JhengHei"/>
          <w:b/>
          <w:spacing w:val="1"/>
          <w:sz w:val="32"/>
        </w:rPr>
        <w:t>青海广维工程项目管理有限公司</w:t>
      </w:r>
    </w:p>
    <w:p>
      <w:pPr>
        <w:kinsoku w:val="0"/>
        <w:overflowPunct w:val="0"/>
        <w:spacing w:line="618" w:lineRule="exact"/>
        <w:ind w:left="520" w:right="321"/>
        <w:jc w:val="center"/>
        <w:rPr>
          <w:rFonts w:ascii="Calibri" w:hAnsi="Calibri" w:eastAsiaTheme="minorEastAsia"/>
          <w:b/>
          <w:sz w:val="36"/>
        </w:rPr>
      </w:pPr>
    </w:p>
    <w:p>
      <w:pPr>
        <w:kinsoku w:val="0"/>
        <w:overflowPunct w:val="0"/>
        <w:spacing w:line="618" w:lineRule="exact"/>
        <w:ind w:left="520" w:right="321"/>
        <w:jc w:val="center"/>
        <w:rPr>
          <w:rFonts w:ascii="Blackoak Std" w:hAnsi="Blackoak Std" w:eastAsia="Blackoak Std"/>
          <w:sz w:val="40"/>
        </w:rPr>
      </w:pPr>
      <w:r>
        <w:rPr>
          <w:rFonts w:hint="eastAsia" w:ascii="Calibri" w:hAnsi="Calibri" w:eastAsia="Calibri"/>
          <w:b/>
          <w:sz w:val="36"/>
        </w:rPr>
        <w:t>2020</w:t>
      </w:r>
      <w:r>
        <w:rPr>
          <w:rFonts w:hint="eastAsia" w:ascii="Microsoft JhengHei" w:hAnsi="Microsoft JhengHei" w:eastAsia="Microsoft JhengHei"/>
          <w:b/>
          <w:sz w:val="36"/>
        </w:rPr>
        <w:t>年</w:t>
      </w:r>
      <w:r>
        <w:rPr>
          <w:rFonts w:hint="eastAsia" w:ascii="Calibri" w:hAnsi="Calibri"/>
          <w:b/>
          <w:sz w:val="36"/>
          <w:lang w:val="en-US" w:eastAsia="zh-CN"/>
        </w:rPr>
        <w:t>10</w:t>
      </w:r>
      <w:r>
        <w:rPr>
          <w:rFonts w:hint="eastAsia" w:ascii="Microsoft JhengHei" w:hAnsi="Microsoft JhengHei" w:eastAsia="Microsoft JhengHei"/>
          <w:b/>
          <w:sz w:val="36"/>
        </w:rPr>
        <w:t>月</w:t>
      </w:r>
    </w:p>
    <w:p>
      <w:pPr>
        <w:kinsoku w:val="0"/>
        <w:overflowPunct w:val="0"/>
        <w:spacing w:line="618" w:lineRule="exact"/>
        <w:ind w:left="520" w:right="321"/>
        <w:jc w:val="center"/>
        <w:rPr>
          <w:rFonts w:ascii="Blackoak Std" w:hAnsi="Blackoak Std" w:eastAsia="Blackoak Std"/>
          <w:sz w:val="40"/>
        </w:rPr>
        <w:sectPr>
          <w:footerReference r:id="rId3" w:type="default"/>
          <w:pgSz w:w="11910" w:h="16840"/>
          <w:pgMar w:top="1580" w:right="1680" w:bottom="1060" w:left="1680" w:header="0" w:footer="880" w:gutter="0"/>
          <w:pgNumType w:start="1"/>
          <w:cols w:space="720" w:num="1"/>
        </w:sectPr>
      </w:pPr>
    </w:p>
    <w:p>
      <w:pPr>
        <w:kinsoku w:val="0"/>
        <w:overflowPunct w:val="0"/>
        <w:spacing w:line="523" w:lineRule="exact"/>
        <w:ind w:left="325" w:right="125"/>
        <w:jc w:val="center"/>
        <w:rPr>
          <w:rFonts w:ascii="Blackoak Std" w:hAnsi="Blackoak Std" w:eastAsia="Blackoak Std"/>
          <w:sz w:val="40"/>
        </w:rPr>
      </w:pPr>
      <w:r>
        <w:rPr>
          <w:rFonts w:hint="eastAsia" w:ascii="Microsoft JhengHei" w:hAnsi="Microsoft JhengHei" w:eastAsia="Microsoft JhengHei"/>
          <w:b/>
          <w:spacing w:val="1"/>
          <w:sz w:val="40"/>
        </w:rPr>
        <w:t>目录</w:t>
      </w:r>
    </w:p>
    <w:p>
      <w:pPr>
        <w:tabs>
          <w:tab w:val="left" w:pos="1803"/>
          <w:tab w:val="right" w:leader="dot" w:pos="8415"/>
        </w:tabs>
        <w:kinsoku w:val="0"/>
        <w:overflowPunct w:val="0"/>
        <w:spacing w:before="151"/>
        <w:ind w:left="600"/>
        <w:rPr>
          <w:rFonts w:ascii="Calibri" w:hAnsi="Calibri" w:eastAsia="Calibri"/>
        </w:rPr>
      </w:pPr>
      <w:r>
        <w:fldChar w:fldCharType="begin"/>
      </w:r>
      <w:r>
        <w:instrText xml:space="preserve"> HYPERLINK \l "bookmark0" </w:instrText>
      </w:r>
      <w:r>
        <w:fldChar w:fldCharType="separate"/>
      </w:r>
      <w:r>
        <w:rPr>
          <w:rFonts w:hint="eastAsia" w:ascii="Microsoft JhengHei" w:hAnsi="Microsoft JhengHei" w:eastAsia="Microsoft JhengHei"/>
          <w:b/>
        </w:rPr>
        <w:t>第一部分</w:t>
      </w:r>
      <w:r>
        <w:rPr>
          <w:rFonts w:hint="eastAsia" w:ascii="Microsoft JhengHei" w:hAnsi="Microsoft JhengHei" w:eastAsia="Microsoft JhengHei"/>
          <w:b/>
        </w:rPr>
        <w:tab/>
      </w:r>
      <w:r>
        <w:rPr>
          <w:rFonts w:hint="eastAsia" w:ascii="Microsoft JhengHei" w:hAnsi="Microsoft JhengHei" w:eastAsia="Microsoft JhengHei"/>
          <w:b/>
        </w:rPr>
        <w:t>磋商邀请</w:t>
      </w:r>
      <w:r>
        <w:rPr>
          <w:rFonts w:hint="eastAsia" w:ascii="Calibri" w:hAnsi="Calibri" w:eastAsia="Calibri"/>
          <w:b/>
        </w:rPr>
        <w:tab/>
      </w:r>
      <w:r>
        <w:rPr>
          <w:rFonts w:hint="eastAsia" w:ascii="Calibri" w:hAnsi="Calibri" w:eastAsia="Calibri"/>
          <w:b/>
        </w:rPr>
        <w:t>5</w:t>
      </w:r>
      <w:r>
        <w:rPr>
          <w:rFonts w:hint="eastAsia" w:ascii="Calibri" w:hAnsi="Calibri" w:eastAsia="Calibri"/>
          <w:b/>
        </w:rPr>
        <w:fldChar w:fldCharType="end"/>
      </w:r>
    </w:p>
    <w:p>
      <w:pPr>
        <w:tabs>
          <w:tab w:val="left" w:pos="1803"/>
          <w:tab w:val="right" w:leader="dot" w:pos="8415"/>
        </w:tabs>
        <w:kinsoku w:val="0"/>
        <w:overflowPunct w:val="0"/>
        <w:spacing w:before="104"/>
        <w:ind w:left="600"/>
        <w:rPr>
          <w:rFonts w:ascii="Calibri" w:hAnsi="Calibri" w:eastAsia="Calibri"/>
        </w:rPr>
      </w:pPr>
      <w:r>
        <w:fldChar w:fldCharType="begin"/>
      </w:r>
      <w:r>
        <w:instrText xml:space="preserve"> HYPERLINK \l "bookmark1" </w:instrText>
      </w:r>
      <w:r>
        <w:fldChar w:fldCharType="separate"/>
      </w:r>
      <w:r>
        <w:rPr>
          <w:rFonts w:hint="eastAsia" w:ascii="Microsoft JhengHei" w:hAnsi="Microsoft JhengHei" w:eastAsia="Microsoft JhengHei"/>
          <w:b/>
        </w:rPr>
        <w:t>第二部分</w:t>
      </w:r>
      <w:r>
        <w:rPr>
          <w:rFonts w:hint="eastAsia" w:ascii="Microsoft JhengHei" w:hAnsi="Microsoft JhengHei" w:eastAsia="Microsoft JhengHei"/>
          <w:b/>
        </w:rPr>
        <w:tab/>
      </w:r>
      <w:r>
        <w:rPr>
          <w:rFonts w:hint="eastAsia" w:ascii="Microsoft JhengHei" w:hAnsi="Microsoft JhengHei" w:eastAsia="Microsoft JhengHei"/>
          <w:b/>
        </w:rPr>
        <w:t>供应商须知前附表</w:t>
      </w:r>
      <w:r>
        <w:rPr>
          <w:rFonts w:hint="eastAsia" w:ascii="Calibri" w:hAnsi="Calibri" w:eastAsia="Calibri"/>
          <w:b/>
        </w:rPr>
        <w:tab/>
      </w:r>
      <w:r>
        <w:rPr>
          <w:rFonts w:hint="eastAsia" w:ascii="Calibri" w:hAnsi="Calibri" w:eastAsia="Calibri"/>
          <w:b/>
        </w:rPr>
        <w:t>7</w:t>
      </w:r>
      <w:r>
        <w:rPr>
          <w:rFonts w:hint="eastAsia" w:ascii="Calibri" w:hAnsi="Calibri" w:eastAsia="Calibri"/>
          <w:b/>
        </w:rPr>
        <w:fldChar w:fldCharType="end"/>
      </w:r>
    </w:p>
    <w:p>
      <w:pPr>
        <w:tabs>
          <w:tab w:val="left" w:pos="1803"/>
          <w:tab w:val="right" w:leader="dot" w:pos="8415"/>
        </w:tabs>
        <w:kinsoku w:val="0"/>
        <w:overflowPunct w:val="0"/>
        <w:spacing w:before="104"/>
        <w:ind w:left="600"/>
        <w:rPr>
          <w:rFonts w:ascii="Calibri" w:hAnsi="Calibri" w:eastAsia="Calibri"/>
        </w:rPr>
      </w:pPr>
      <w:r>
        <w:fldChar w:fldCharType="begin"/>
      </w:r>
      <w:r>
        <w:instrText xml:space="preserve"> HYPERLINK \l "bookmark2" </w:instrText>
      </w:r>
      <w:r>
        <w:fldChar w:fldCharType="separate"/>
      </w:r>
      <w:r>
        <w:rPr>
          <w:rFonts w:hint="eastAsia" w:ascii="Microsoft JhengHei" w:hAnsi="Microsoft JhengHei" w:eastAsia="Microsoft JhengHei"/>
          <w:b/>
        </w:rPr>
        <w:t>第三部分</w:t>
      </w:r>
      <w:r>
        <w:rPr>
          <w:rFonts w:hint="eastAsia" w:ascii="Microsoft JhengHei" w:hAnsi="Microsoft JhengHei" w:eastAsia="Microsoft JhengHei"/>
          <w:b/>
        </w:rPr>
        <w:tab/>
      </w:r>
      <w:r>
        <w:rPr>
          <w:rFonts w:hint="eastAsia" w:ascii="Microsoft JhengHei" w:hAnsi="Microsoft JhengHei" w:eastAsia="Microsoft JhengHei"/>
          <w:b/>
        </w:rPr>
        <w:t>供应商须知</w:t>
      </w:r>
      <w:r>
        <w:rPr>
          <w:rFonts w:hint="eastAsia" w:ascii="Calibri" w:hAnsi="Calibri" w:eastAsia="Calibri"/>
          <w:b/>
        </w:rPr>
        <w:tab/>
      </w:r>
      <w:r>
        <w:rPr>
          <w:rFonts w:hint="eastAsia" w:ascii="Calibri" w:hAnsi="Calibri" w:eastAsia="Calibri"/>
          <w:b/>
        </w:rPr>
        <w:t>10</w:t>
      </w:r>
      <w:r>
        <w:rPr>
          <w:rFonts w:hint="eastAsia" w:ascii="Calibri" w:hAnsi="Calibri" w:eastAsia="Calibri"/>
          <w:b/>
        </w:rPr>
        <w:fldChar w:fldCharType="end"/>
      </w:r>
    </w:p>
    <w:p>
      <w:pPr>
        <w:tabs>
          <w:tab w:val="left" w:pos="1562"/>
          <w:tab w:val="right" w:leader="dot" w:pos="8415"/>
        </w:tabs>
        <w:kinsoku w:val="0"/>
        <w:overflowPunct w:val="0"/>
        <w:spacing w:before="104"/>
        <w:ind w:left="600"/>
        <w:rPr>
          <w:rFonts w:ascii="Calibri" w:hAnsi="Calibri" w:eastAsia="Calibri"/>
        </w:rPr>
      </w:pPr>
      <w:r>
        <w:fldChar w:fldCharType="begin"/>
      </w:r>
      <w:r>
        <w:instrText xml:space="preserve"> HYPERLINK \l "bookmark3" </w:instrText>
      </w:r>
      <w:r>
        <w:fldChar w:fldCharType="separate"/>
      </w:r>
      <w:r>
        <w:rPr>
          <w:rFonts w:hint="eastAsia" w:ascii="Microsoft JhengHei" w:hAnsi="Microsoft JhengHei" w:eastAsia="Microsoft JhengHei"/>
          <w:b/>
        </w:rPr>
        <w:t>一、说</w:t>
      </w:r>
      <w:r>
        <w:rPr>
          <w:rFonts w:hint="eastAsia" w:ascii="Microsoft JhengHei" w:hAnsi="Microsoft JhengHei" w:eastAsia="Microsoft JhengHei"/>
          <w:b/>
        </w:rPr>
        <w:tab/>
      </w:r>
      <w:r>
        <w:rPr>
          <w:rFonts w:hint="eastAsia" w:ascii="Microsoft JhengHei" w:hAnsi="Microsoft JhengHei" w:eastAsia="Microsoft JhengHei"/>
          <w:b/>
        </w:rPr>
        <w:t>明</w:t>
      </w:r>
      <w:r>
        <w:rPr>
          <w:rFonts w:hint="eastAsia" w:ascii="Calibri" w:hAnsi="Calibri" w:eastAsia="Calibri"/>
          <w:b/>
        </w:rPr>
        <w:tab/>
      </w:r>
      <w:r>
        <w:rPr>
          <w:rFonts w:hint="eastAsia" w:ascii="Calibri" w:hAnsi="Calibri" w:eastAsia="Calibri"/>
          <w:b/>
        </w:rPr>
        <w:t>10</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"bookmark4" </w:instrText>
      </w:r>
      <w:r>
        <w:fldChar w:fldCharType="separate"/>
      </w:r>
      <w:r>
        <w:rPr>
          <w:rFonts w:ascii="Arial" w:hAnsi="Arial"/>
          <w:b/>
        </w:rPr>
        <w:t>1.</w:t>
      </w:r>
      <w:r>
        <w:rPr>
          <w:rFonts w:hint="eastAsia" w:ascii="Microsoft JhengHei" w:hAnsi="Microsoft JhengHei" w:eastAsia="Microsoft JhengHei"/>
          <w:b/>
        </w:rPr>
        <w:t>适用范围</w:t>
      </w:r>
      <w:r>
        <w:rPr>
          <w:rFonts w:hint="eastAsia" w:ascii="Calibri" w:hAnsi="Calibri" w:eastAsia="Calibri"/>
          <w:b/>
        </w:rPr>
        <w:tab/>
      </w:r>
      <w:r>
        <w:rPr>
          <w:rFonts w:hint="eastAsia" w:ascii="Calibri" w:hAnsi="Calibri" w:eastAsia="Calibri"/>
          <w:b/>
        </w:rPr>
        <w:t>10</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"bookmark5" </w:instrText>
      </w:r>
      <w:r>
        <w:fldChar w:fldCharType="separate"/>
      </w:r>
      <w:r>
        <w:rPr>
          <w:rFonts w:ascii="Arial" w:hAnsi="Arial"/>
          <w:b/>
        </w:rPr>
        <w:t>2.</w:t>
      </w:r>
      <w:r>
        <w:rPr>
          <w:rFonts w:hint="eastAsia" w:ascii="Microsoft JhengHei" w:hAnsi="Microsoft JhengHei" w:eastAsia="Microsoft JhengHei"/>
          <w:b/>
        </w:rPr>
        <w:t>采购方式、合格的供应商</w:t>
      </w:r>
      <w:r>
        <w:rPr>
          <w:rFonts w:hint="eastAsia" w:ascii="Calibri" w:hAnsi="Calibri" w:eastAsia="Calibri"/>
          <w:b/>
        </w:rPr>
        <w:tab/>
      </w:r>
      <w:r>
        <w:rPr>
          <w:rFonts w:hint="eastAsia" w:ascii="Calibri" w:hAnsi="Calibri" w:eastAsia="Calibri"/>
          <w:b/>
        </w:rPr>
        <w:t>10</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"bookmark6" </w:instrText>
      </w:r>
      <w:r>
        <w:fldChar w:fldCharType="separate"/>
      </w:r>
      <w:r>
        <w:rPr>
          <w:rFonts w:ascii="Arial" w:hAnsi="Arial"/>
          <w:b/>
        </w:rPr>
        <w:t>3.</w:t>
      </w:r>
      <w:r>
        <w:rPr>
          <w:rFonts w:hint="eastAsia" w:ascii="Microsoft JhengHei" w:hAnsi="Microsoft JhengHei" w:eastAsia="Microsoft JhengHei"/>
          <w:b/>
        </w:rPr>
        <w:t>磋商费用</w:t>
      </w:r>
      <w:r>
        <w:rPr>
          <w:rFonts w:hint="eastAsia" w:ascii="Calibri" w:hAnsi="Calibri" w:eastAsia="Calibri"/>
          <w:b/>
        </w:rPr>
        <w:tab/>
      </w:r>
      <w:r>
        <w:rPr>
          <w:rFonts w:hint="eastAsia" w:ascii="Calibri" w:hAnsi="Calibri" w:eastAsia="Calibri"/>
          <w:b/>
        </w:rPr>
        <w:t>11</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"bookmark7" </w:instrText>
      </w:r>
      <w:r>
        <w:fldChar w:fldCharType="separate"/>
      </w:r>
      <w:r>
        <w:rPr>
          <w:rFonts w:hint="eastAsia" w:ascii="Microsoft JhengHei" w:hAnsi="Microsoft JhengHei" w:eastAsia="Microsoft JhengHei"/>
          <w:b/>
        </w:rPr>
        <w:t>二、磋商文件说明</w:t>
      </w:r>
      <w:r>
        <w:rPr>
          <w:rFonts w:hint="eastAsia" w:ascii="Calibri" w:hAnsi="Calibri" w:eastAsia="Calibri"/>
          <w:b/>
        </w:rPr>
        <w:tab/>
      </w:r>
      <w:r>
        <w:rPr>
          <w:rFonts w:hint="eastAsia" w:ascii="Calibri" w:hAnsi="Calibri" w:eastAsia="Calibri"/>
          <w:b/>
        </w:rPr>
        <w:t>11</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"bookmark8" </w:instrText>
      </w:r>
      <w:r>
        <w:fldChar w:fldCharType="separate"/>
      </w:r>
      <w:r>
        <w:rPr>
          <w:rFonts w:ascii="Arial" w:hAnsi="Arial"/>
          <w:b/>
        </w:rPr>
        <w:t>4.</w:t>
      </w:r>
      <w:r>
        <w:rPr>
          <w:rFonts w:hint="eastAsia" w:ascii="Microsoft JhengHei" w:hAnsi="Microsoft JhengHei" w:eastAsia="Microsoft JhengHei"/>
          <w:b/>
        </w:rPr>
        <w:t>磋商文件的构成</w:t>
      </w:r>
      <w:r>
        <w:rPr>
          <w:rFonts w:hint="eastAsia" w:ascii="Calibri" w:hAnsi="Calibri" w:eastAsia="Calibri"/>
          <w:b/>
        </w:rPr>
        <w:tab/>
      </w:r>
      <w:r>
        <w:rPr>
          <w:rFonts w:hint="eastAsia" w:ascii="Calibri" w:hAnsi="Calibri" w:eastAsia="Calibri"/>
          <w:b/>
        </w:rPr>
        <w:t>11</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"bookmark9" </w:instrText>
      </w:r>
      <w:r>
        <w:fldChar w:fldCharType="separate"/>
      </w:r>
      <w:r>
        <w:rPr>
          <w:rFonts w:ascii="Arial" w:hAnsi="Arial"/>
          <w:b/>
        </w:rPr>
        <w:t>5.</w:t>
      </w:r>
      <w:r>
        <w:rPr>
          <w:rFonts w:hint="eastAsia" w:ascii="Microsoft JhengHei" w:hAnsi="Microsoft JhengHei" w:eastAsia="Microsoft JhengHei"/>
          <w:b/>
        </w:rPr>
        <w:t>磋商文件、采购活动和成交结果的质疑</w:t>
      </w:r>
      <w:r>
        <w:rPr>
          <w:rFonts w:hint="eastAsia" w:ascii="Calibri" w:hAnsi="Calibri" w:eastAsia="Calibri"/>
          <w:b/>
        </w:rPr>
        <w:tab/>
      </w:r>
      <w:r>
        <w:rPr>
          <w:rFonts w:hint="eastAsia" w:ascii="Calibri" w:hAnsi="Calibri" w:eastAsia="Calibri"/>
          <w:b/>
        </w:rPr>
        <w:t>11</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"bookmark10" </w:instrText>
      </w:r>
      <w:r>
        <w:fldChar w:fldCharType="separate"/>
      </w:r>
      <w:r>
        <w:rPr>
          <w:rFonts w:ascii="Arial" w:hAnsi="Arial"/>
          <w:b/>
        </w:rPr>
        <w:t>6.</w:t>
      </w:r>
      <w:r>
        <w:rPr>
          <w:rFonts w:hint="eastAsia" w:ascii="Microsoft JhengHei" w:hAnsi="Microsoft JhengHei" w:eastAsia="Microsoft JhengHei"/>
          <w:b/>
        </w:rPr>
        <w:t>磋商文件的修改</w:t>
      </w:r>
      <w:r>
        <w:rPr>
          <w:rFonts w:hint="eastAsia" w:ascii="Calibri" w:hAnsi="Calibri" w:eastAsia="Calibri"/>
          <w:b/>
        </w:rPr>
        <w:tab/>
      </w:r>
      <w:r>
        <w:rPr>
          <w:rFonts w:hint="eastAsia" w:ascii="Calibri" w:hAnsi="Calibri" w:eastAsia="Calibri"/>
          <w:b/>
        </w:rPr>
        <w:t>12</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"bookmark11" </w:instrText>
      </w:r>
      <w:r>
        <w:fldChar w:fldCharType="separate"/>
      </w:r>
      <w:r>
        <w:rPr>
          <w:rFonts w:hint="eastAsia" w:ascii="Microsoft JhengHei" w:hAnsi="Microsoft JhengHei" w:eastAsia="Microsoft JhengHei"/>
          <w:b/>
        </w:rPr>
        <w:t>三、磋商响应文件的编制</w:t>
      </w:r>
      <w:r>
        <w:rPr>
          <w:rFonts w:hint="eastAsia" w:ascii="Calibri" w:hAnsi="Calibri" w:eastAsia="Calibri"/>
          <w:b/>
        </w:rPr>
        <w:tab/>
      </w:r>
      <w:r>
        <w:rPr>
          <w:rFonts w:hint="eastAsia" w:ascii="Calibri" w:hAnsi="Calibri" w:eastAsia="Calibri"/>
          <w:b/>
        </w:rPr>
        <w:t>12</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"bookmark12" </w:instrText>
      </w:r>
      <w:r>
        <w:fldChar w:fldCharType="separate"/>
      </w:r>
      <w:r>
        <w:rPr>
          <w:rFonts w:ascii="Arial" w:hAnsi="Arial"/>
          <w:b/>
        </w:rPr>
        <w:t>7.</w:t>
      </w:r>
      <w:r>
        <w:rPr>
          <w:rFonts w:hint="eastAsia" w:ascii="Microsoft JhengHei" w:hAnsi="Microsoft JhengHei" w:eastAsia="Microsoft JhengHei"/>
          <w:b/>
        </w:rPr>
        <w:t>磋商响应文件的语言及度量衡单位</w:t>
      </w:r>
      <w:r>
        <w:rPr>
          <w:rFonts w:hint="eastAsia" w:ascii="Calibri" w:hAnsi="Calibri" w:eastAsia="Calibri"/>
          <w:b/>
        </w:rPr>
        <w:tab/>
      </w:r>
      <w:r>
        <w:rPr>
          <w:rFonts w:hint="eastAsia" w:ascii="Calibri" w:hAnsi="Calibri" w:eastAsia="Calibri"/>
          <w:b/>
        </w:rPr>
        <w:t>12</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"bookmark13" </w:instrText>
      </w:r>
      <w:r>
        <w:fldChar w:fldCharType="separate"/>
      </w:r>
      <w:r>
        <w:rPr>
          <w:rFonts w:ascii="Arial" w:hAnsi="Arial"/>
          <w:b/>
        </w:rPr>
        <w:t>8.</w:t>
      </w:r>
      <w:r>
        <w:rPr>
          <w:rFonts w:hint="eastAsia" w:ascii="Microsoft JhengHei" w:hAnsi="Microsoft JhengHei" w:eastAsia="Microsoft JhengHei"/>
          <w:b/>
        </w:rPr>
        <w:t>磋商报价及币种</w:t>
      </w:r>
      <w:r>
        <w:rPr>
          <w:rFonts w:hint="eastAsia" w:ascii="Calibri" w:hAnsi="Calibri" w:eastAsia="Calibri"/>
          <w:b/>
        </w:rPr>
        <w:tab/>
      </w:r>
      <w:r>
        <w:rPr>
          <w:rFonts w:hint="eastAsia" w:ascii="Calibri" w:hAnsi="Calibri" w:eastAsia="Calibri"/>
          <w:b/>
        </w:rPr>
        <w:t>12</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"bookmark14" </w:instrText>
      </w:r>
      <w:r>
        <w:fldChar w:fldCharType="separate"/>
      </w:r>
      <w:r>
        <w:rPr>
          <w:rFonts w:ascii="Arial" w:hAnsi="Arial"/>
          <w:b/>
        </w:rPr>
        <w:t>9.</w:t>
      </w:r>
      <w:r>
        <w:rPr>
          <w:rFonts w:hint="eastAsia" w:ascii="Microsoft JhengHei" w:hAnsi="Microsoft JhengHei" w:eastAsia="Microsoft JhengHei"/>
          <w:b/>
        </w:rPr>
        <w:t>磋商保证金</w:t>
      </w:r>
      <w:r>
        <w:rPr>
          <w:rFonts w:hint="eastAsia" w:ascii="Calibri" w:hAnsi="Calibri" w:eastAsia="Calibri"/>
          <w:b/>
        </w:rPr>
        <w:tab/>
      </w:r>
      <w:r>
        <w:rPr>
          <w:rFonts w:hint="eastAsia" w:ascii="Calibri" w:hAnsi="Calibri" w:eastAsia="Calibri"/>
          <w:b/>
        </w:rPr>
        <w:t>13</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"bookmark15" </w:instrText>
      </w:r>
      <w:r>
        <w:fldChar w:fldCharType="separate"/>
      </w:r>
      <w:r>
        <w:rPr>
          <w:rFonts w:ascii="Arial" w:hAnsi="Arial"/>
          <w:b/>
        </w:rPr>
        <w:t>10.</w:t>
      </w:r>
      <w:r>
        <w:rPr>
          <w:rFonts w:hint="eastAsia" w:ascii="Microsoft JhengHei" w:hAnsi="Microsoft JhengHei" w:eastAsia="Microsoft JhengHei"/>
          <w:b/>
        </w:rPr>
        <w:t>磋商有效期</w:t>
      </w:r>
      <w:r>
        <w:rPr>
          <w:rFonts w:hint="eastAsia" w:ascii="Calibri" w:hAnsi="Calibri" w:eastAsia="Calibri"/>
          <w:b/>
        </w:rPr>
        <w:tab/>
      </w:r>
      <w:r>
        <w:rPr>
          <w:rFonts w:hint="eastAsia" w:ascii="Calibri" w:hAnsi="Calibri" w:eastAsia="Calibri"/>
          <w:b/>
        </w:rPr>
        <w:t>13</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"bookmark16" </w:instrText>
      </w:r>
      <w:r>
        <w:fldChar w:fldCharType="separate"/>
      </w:r>
      <w:r>
        <w:rPr>
          <w:rFonts w:ascii="Arial" w:hAnsi="Arial"/>
          <w:b/>
        </w:rPr>
        <w:t>11.</w:t>
      </w:r>
      <w:r>
        <w:rPr>
          <w:rFonts w:hint="eastAsia" w:ascii="Microsoft JhengHei" w:hAnsi="Microsoft JhengHei" w:eastAsia="Microsoft JhengHei"/>
          <w:b/>
        </w:rPr>
        <w:t>磋商响应文件构成</w:t>
      </w:r>
      <w:r>
        <w:rPr>
          <w:rFonts w:hint="eastAsia" w:ascii="Calibri" w:hAnsi="Calibri" w:eastAsia="Calibri"/>
          <w:b/>
        </w:rPr>
        <w:tab/>
      </w:r>
      <w:r>
        <w:rPr>
          <w:rFonts w:hint="eastAsia" w:ascii="Calibri" w:hAnsi="Calibri" w:eastAsia="Calibri"/>
          <w:b/>
        </w:rPr>
        <w:t>13</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"bookmark17" </w:instrText>
      </w:r>
      <w:r>
        <w:fldChar w:fldCharType="separate"/>
      </w:r>
      <w:r>
        <w:rPr>
          <w:rFonts w:ascii="Arial" w:hAnsi="Arial"/>
          <w:b/>
        </w:rPr>
        <w:t>12.</w:t>
      </w:r>
      <w:r>
        <w:rPr>
          <w:rFonts w:hint="eastAsia" w:ascii="Microsoft JhengHei" w:hAnsi="Microsoft JhengHei" w:eastAsia="Microsoft JhengHei"/>
          <w:b/>
        </w:rPr>
        <w:t>磋商响应文件的编制要求</w:t>
      </w:r>
      <w:r>
        <w:rPr>
          <w:rFonts w:hint="eastAsia" w:ascii="Calibri" w:hAnsi="Calibri" w:eastAsia="Calibri"/>
          <w:b/>
        </w:rPr>
        <w:tab/>
      </w:r>
      <w:r>
        <w:rPr>
          <w:rFonts w:hint="eastAsia" w:ascii="Calibri" w:hAnsi="Calibri" w:eastAsia="Calibri"/>
          <w:b/>
        </w:rPr>
        <w:t>14</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"bookmark18" </w:instrText>
      </w:r>
      <w:r>
        <w:fldChar w:fldCharType="separate"/>
      </w:r>
      <w:r>
        <w:rPr>
          <w:rFonts w:hint="eastAsia" w:ascii="Microsoft JhengHei" w:hAnsi="Microsoft JhengHei" w:eastAsia="Microsoft JhengHei"/>
          <w:b/>
        </w:rPr>
        <w:t>四、磋商响应文件的递交</w:t>
      </w:r>
      <w:r>
        <w:rPr>
          <w:rFonts w:hint="eastAsia" w:ascii="Calibri" w:hAnsi="Calibri" w:eastAsia="Calibri"/>
          <w:b/>
        </w:rPr>
        <w:tab/>
      </w:r>
      <w:r>
        <w:rPr>
          <w:rFonts w:hint="eastAsia" w:ascii="Calibri" w:hAnsi="Calibri" w:eastAsia="Calibri"/>
          <w:b/>
        </w:rPr>
        <w:t>15</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"bookmark19" </w:instrText>
      </w:r>
      <w:r>
        <w:fldChar w:fldCharType="separate"/>
      </w:r>
      <w:r>
        <w:rPr>
          <w:rFonts w:ascii="Arial" w:hAnsi="Arial"/>
          <w:b/>
        </w:rPr>
        <w:t>13.</w:t>
      </w:r>
      <w:r>
        <w:rPr>
          <w:rFonts w:hint="eastAsia" w:ascii="Microsoft JhengHei" w:hAnsi="Microsoft JhengHei" w:eastAsia="Microsoft JhengHei"/>
          <w:b/>
        </w:rPr>
        <w:t>磋商响应文件的密封和标记</w:t>
      </w:r>
      <w:r>
        <w:rPr>
          <w:rFonts w:hint="eastAsia" w:ascii="Calibri" w:hAnsi="Calibri" w:eastAsia="Calibri"/>
          <w:b/>
        </w:rPr>
        <w:tab/>
      </w:r>
      <w:r>
        <w:rPr>
          <w:rFonts w:hint="eastAsia" w:ascii="Calibri" w:hAnsi="Calibri" w:eastAsia="Calibri"/>
          <w:b/>
        </w:rPr>
        <w:t>15</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"bookmark20" </w:instrText>
      </w:r>
      <w:r>
        <w:fldChar w:fldCharType="separate"/>
      </w:r>
      <w:r>
        <w:rPr>
          <w:rFonts w:ascii="Arial" w:hAnsi="Arial"/>
          <w:b/>
        </w:rPr>
        <w:t>14.</w:t>
      </w:r>
      <w:r>
        <w:rPr>
          <w:rFonts w:hint="eastAsia" w:ascii="Microsoft JhengHei" w:hAnsi="Microsoft JhengHei" w:eastAsia="Microsoft JhengHei"/>
          <w:b/>
        </w:rPr>
        <w:t>递送磋商响应文件的地点、截止日期</w:t>
      </w:r>
      <w:r>
        <w:rPr>
          <w:rFonts w:hint="eastAsia" w:ascii="Calibri" w:hAnsi="Calibri" w:eastAsia="Calibri"/>
          <w:b/>
        </w:rPr>
        <w:tab/>
      </w:r>
      <w:r>
        <w:rPr>
          <w:rFonts w:hint="eastAsia" w:ascii="Calibri" w:hAnsi="Calibri" w:eastAsia="Calibri"/>
          <w:b/>
        </w:rPr>
        <w:t>15</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"bookmark21" </w:instrText>
      </w:r>
      <w:r>
        <w:fldChar w:fldCharType="separate"/>
      </w:r>
      <w:r>
        <w:rPr>
          <w:rFonts w:hint="eastAsia" w:ascii="Microsoft JhengHei" w:hAnsi="Microsoft JhengHei" w:eastAsia="Microsoft JhengHei"/>
          <w:b/>
        </w:rPr>
        <w:t>五、磋商程序及方法</w:t>
      </w:r>
      <w:r>
        <w:rPr>
          <w:rFonts w:hint="eastAsia" w:ascii="Calibri" w:hAnsi="Calibri" w:eastAsia="Calibri"/>
          <w:b/>
        </w:rPr>
        <w:tab/>
      </w:r>
      <w:r>
        <w:rPr>
          <w:rFonts w:hint="eastAsia" w:ascii="Calibri" w:hAnsi="Calibri" w:eastAsia="Calibri"/>
          <w:b/>
        </w:rPr>
        <w:t>16</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"bookmark22" </w:instrText>
      </w:r>
      <w:r>
        <w:fldChar w:fldCharType="separate"/>
      </w:r>
      <w:r>
        <w:rPr>
          <w:rFonts w:ascii="Arial" w:hAnsi="Arial"/>
          <w:b/>
        </w:rPr>
        <w:t>16.</w:t>
      </w:r>
      <w:r>
        <w:rPr>
          <w:rFonts w:hint="eastAsia" w:ascii="Microsoft JhengHei" w:hAnsi="Microsoft JhengHei" w:eastAsia="Microsoft JhengHei"/>
          <w:b/>
        </w:rPr>
        <w:t>磋商小组</w:t>
      </w:r>
      <w:r>
        <w:rPr>
          <w:rFonts w:hint="eastAsia" w:ascii="Calibri" w:hAnsi="Calibri" w:eastAsia="Calibri"/>
          <w:b/>
        </w:rPr>
        <w:tab/>
      </w:r>
      <w:r>
        <w:rPr>
          <w:rFonts w:hint="eastAsia" w:ascii="Calibri" w:hAnsi="Calibri" w:eastAsia="Calibri"/>
          <w:b/>
        </w:rPr>
        <w:t>16</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"bookmark23" </w:instrText>
      </w:r>
      <w:r>
        <w:fldChar w:fldCharType="separate"/>
      </w:r>
      <w:r>
        <w:rPr>
          <w:rFonts w:ascii="Arial" w:hAnsi="Arial"/>
          <w:b/>
        </w:rPr>
        <w:t>17.</w:t>
      </w:r>
      <w:r>
        <w:rPr>
          <w:rFonts w:hint="eastAsia" w:ascii="Microsoft JhengHei" w:hAnsi="Microsoft JhengHei" w:eastAsia="Microsoft JhengHei"/>
          <w:b/>
        </w:rPr>
        <w:t>磋商程序</w:t>
      </w:r>
      <w:r>
        <w:rPr>
          <w:rFonts w:hint="eastAsia" w:ascii="Calibri" w:hAnsi="Calibri" w:eastAsia="Calibri"/>
          <w:b/>
        </w:rPr>
        <w:tab/>
      </w:r>
      <w:r>
        <w:rPr>
          <w:rFonts w:hint="eastAsia" w:ascii="Calibri" w:hAnsi="Calibri" w:eastAsia="Calibri"/>
          <w:b/>
        </w:rPr>
        <w:t>16</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"bookmark24" </w:instrText>
      </w:r>
      <w:r>
        <w:fldChar w:fldCharType="separate"/>
      </w:r>
      <w:r>
        <w:rPr>
          <w:rFonts w:ascii="Arial" w:hAnsi="Arial"/>
          <w:b/>
        </w:rPr>
        <w:t>18.</w:t>
      </w:r>
      <w:r>
        <w:rPr>
          <w:rFonts w:hint="eastAsia" w:ascii="Microsoft JhengHei" w:hAnsi="Microsoft JhengHei" w:eastAsia="Microsoft JhengHei"/>
          <w:b/>
        </w:rPr>
        <w:t>评审办法</w:t>
      </w:r>
      <w:r>
        <w:rPr>
          <w:rFonts w:hint="eastAsia" w:ascii="Calibri" w:hAnsi="Calibri" w:eastAsia="Calibri"/>
          <w:b/>
        </w:rPr>
        <w:tab/>
      </w:r>
      <w:r>
        <w:rPr>
          <w:rFonts w:hint="eastAsia" w:ascii="Calibri" w:hAnsi="Calibri" w:eastAsia="Calibri"/>
          <w:b/>
        </w:rPr>
        <w:t>18</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sectPr>
          <w:pgSz w:w="11910" w:h="16840"/>
          <w:pgMar w:top="1460" w:right="1680" w:bottom="1160" w:left="1680" w:header="0" w:footer="880" w:gutter="0"/>
          <w:cols w:space="720" w:num="1"/>
        </w:sectPr>
      </w:pPr>
    </w:p>
    <w:p>
      <w:pPr>
        <w:tabs>
          <w:tab w:val="right" w:leader="dot" w:pos="8415"/>
        </w:tabs>
        <w:kinsoku w:val="0"/>
        <w:overflowPunct w:val="0"/>
        <w:spacing w:line="346" w:lineRule="exact"/>
        <w:ind w:left="600"/>
        <w:rPr>
          <w:rFonts w:ascii="Calibri" w:hAnsi="Calibri" w:eastAsia="Calibri"/>
        </w:rPr>
      </w:pPr>
      <w:r>
        <w:fldChar w:fldCharType="begin"/>
      </w:r>
      <w:r>
        <w:instrText xml:space="preserve"> HYPERLINK \l "bookmark25" </w:instrText>
      </w:r>
      <w:r>
        <w:fldChar w:fldCharType="separate"/>
      </w:r>
      <w:r>
        <w:rPr>
          <w:rFonts w:hint="eastAsia" w:ascii="Microsoft JhengHei" w:hAnsi="Microsoft JhengHei" w:eastAsia="Microsoft JhengHei"/>
          <w:b/>
        </w:rPr>
        <w:t>六、供应商确定</w:t>
      </w:r>
      <w:r>
        <w:rPr>
          <w:rFonts w:hint="eastAsia" w:ascii="Calibri" w:hAnsi="Calibri" w:eastAsia="Calibri"/>
          <w:b/>
        </w:rPr>
        <w:tab/>
      </w:r>
      <w:r>
        <w:rPr>
          <w:rFonts w:hint="eastAsia" w:ascii="Calibri" w:hAnsi="Calibri" w:eastAsia="Calibri"/>
          <w:b/>
        </w:rPr>
        <w:t>20</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"bookmark26" </w:instrText>
      </w:r>
      <w:r>
        <w:fldChar w:fldCharType="separate"/>
      </w:r>
      <w:r>
        <w:rPr>
          <w:rFonts w:ascii="Arial" w:hAnsi="Arial"/>
          <w:b/>
        </w:rPr>
        <w:t>19.</w:t>
      </w:r>
      <w:r>
        <w:rPr>
          <w:rFonts w:hint="eastAsia" w:ascii="Microsoft JhengHei" w:hAnsi="Microsoft JhengHei" w:eastAsia="Microsoft JhengHei"/>
          <w:b/>
        </w:rPr>
        <w:t>推荐并确定成交供应商</w:t>
      </w:r>
      <w:r>
        <w:rPr>
          <w:rFonts w:hint="eastAsia" w:ascii="Calibri" w:hAnsi="Calibri" w:eastAsia="Calibri"/>
          <w:b/>
        </w:rPr>
        <w:tab/>
      </w:r>
      <w:r>
        <w:rPr>
          <w:rFonts w:hint="eastAsia" w:ascii="Calibri" w:hAnsi="Calibri" w:eastAsia="Calibri"/>
          <w:b/>
        </w:rPr>
        <w:t>20</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"bookmark27" </w:instrText>
      </w:r>
      <w:r>
        <w:fldChar w:fldCharType="separate"/>
      </w:r>
      <w:r>
        <w:rPr>
          <w:rFonts w:ascii="Arial" w:hAnsi="Arial"/>
          <w:b/>
        </w:rPr>
        <w:t>20.</w:t>
      </w:r>
      <w:r>
        <w:rPr>
          <w:rFonts w:hint="eastAsia" w:ascii="Microsoft JhengHei" w:hAnsi="Microsoft JhengHei" w:eastAsia="Microsoft JhengHei"/>
          <w:b/>
        </w:rPr>
        <w:t>成交通知</w:t>
      </w:r>
      <w:r>
        <w:rPr>
          <w:rFonts w:hint="eastAsia" w:ascii="Calibri" w:hAnsi="Calibri" w:eastAsia="Calibri"/>
          <w:b/>
        </w:rPr>
        <w:tab/>
      </w:r>
      <w:r>
        <w:rPr>
          <w:rFonts w:hint="eastAsia" w:ascii="Calibri" w:hAnsi="Calibri" w:eastAsia="Calibri"/>
          <w:b/>
        </w:rPr>
        <w:t>20</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"bookmark28" </w:instrText>
      </w:r>
      <w:r>
        <w:fldChar w:fldCharType="separate"/>
      </w:r>
      <w:r>
        <w:rPr>
          <w:rFonts w:hint="eastAsia" w:ascii="Microsoft JhengHei" w:hAnsi="Microsoft JhengHei" w:eastAsia="Microsoft JhengHei"/>
          <w:b/>
        </w:rPr>
        <w:t>七、授予合同</w:t>
      </w:r>
      <w:r>
        <w:rPr>
          <w:rFonts w:hint="eastAsia" w:ascii="Calibri" w:hAnsi="Calibri" w:eastAsia="Calibri"/>
          <w:b/>
        </w:rPr>
        <w:tab/>
      </w:r>
      <w:r>
        <w:rPr>
          <w:rFonts w:hint="eastAsia" w:ascii="Calibri" w:hAnsi="Calibri" w:eastAsia="Calibri"/>
          <w:b/>
        </w:rPr>
        <w:t>21</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"bookmark29" </w:instrText>
      </w:r>
      <w:r>
        <w:fldChar w:fldCharType="separate"/>
      </w:r>
      <w:r>
        <w:rPr>
          <w:rFonts w:ascii="Arial" w:hAnsi="Arial"/>
          <w:b/>
        </w:rPr>
        <w:t>21.</w:t>
      </w:r>
      <w:r>
        <w:rPr>
          <w:rFonts w:hint="eastAsia" w:ascii="Microsoft JhengHei" w:hAnsi="Microsoft JhengHei" w:eastAsia="Microsoft JhengHei"/>
          <w:b/>
        </w:rPr>
        <w:t>签订合同</w:t>
      </w:r>
      <w:r>
        <w:rPr>
          <w:rFonts w:hint="eastAsia" w:ascii="Calibri" w:hAnsi="Calibri" w:eastAsia="Calibri"/>
          <w:b/>
        </w:rPr>
        <w:tab/>
      </w:r>
      <w:r>
        <w:rPr>
          <w:rFonts w:hint="eastAsia" w:ascii="Calibri" w:hAnsi="Calibri" w:eastAsia="Calibri"/>
          <w:b/>
        </w:rPr>
        <w:t>21</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"bookmark30" </w:instrText>
      </w:r>
      <w:r>
        <w:fldChar w:fldCharType="separate"/>
      </w:r>
      <w:r>
        <w:rPr>
          <w:rFonts w:hint="eastAsia" w:ascii="Microsoft JhengHei" w:hAnsi="Microsoft JhengHei" w:eastAsia="Microsoft JhengHei"/>
          <w:b/>
        </w:rPr>
        <w:t>八、采购活动终止情形</w:t>
      </w:r>
      <w:r>
        <w:rPr>
          <w:rFonts w:hint="eastAsia" w:ascii="Calibri" w:hAnsi="Calibri" w:eastAsia="Calibri"/>
          <w:b/>
        </w:rPr>
        <w:tab/>
      </w:r>
      <w:r>
        <w:rPr>
          <w:rFonts w:hint="eastAsia" w:ascii="Calibri" w:hAnsi="Calibri" w:eastAsia="Calibri"/>
          <w:b/>
        </w:rPr>
        <w:t>21</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"bookmark31" </w:instrText>
      </w:r>
      <w:r>
        <w:fldChar w:fldCharType="separate"/>
      </w:r>
      <w:r>
        <w:rPr>
          <w:rFonts w:ascii="Arial" w:hAnsi="Arial"/>
          <w:b/>
        </w:rPr>
        <w:t>22.</w:t>
      </w:r>
      <w:r>
        <w:rPr>
          <w:rFonts w:hint="eastAsia" w:ascii="Microsoft JhengHei" w:hAnsi="Microsoft JhengHei" w:eastAsia="Microsoft JhengHei"/>
          <w:b/>
        </w:rPr>
        <w:t>采购活动终止情形</w:t>
      </w:r>
      <w:r>
        <w:rPr>
          <w:rFonts w:hint="eastAsia" w:ascii="Calibri" w:hAnsi="Calibri" w:eastAsia="Calibri"/>
          <w:b/>
        </w:rPr>
        <w:tab/>
      </w:r>
      <w:r>
        <w:rPr>
          <w:rFonts w:hint="eastAsia" w:ascii="Calibri" w:hAnsi="Calibri" w:eastAsia="Calibri"/>
          <w:b/>
        </w:rPr>
        <w:t>21</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"bookmark32" </w:instrText>
      </w:r>
      <w:r>
        <w:fldChar w:fldCharType="separate"/>
      </w:r>
      <w:r>
        <w:rPr>
          <w:rFonts w:hint="eastAsia" w:ascii="Microsoft JhengHei" w:hAnsi="Microsoft JhengHei" w:eastAsia="Microsoft JhengHei"/>
          <w:b/>
        </w:rPr>
        <w:t>九、处罚</w:t>
      </w:r>
      <w:r>
        <w:rPr>
          <w:rFonts w:hint="eastAsia" w:ascii="Calibri" w:hAnsi="Calibri" w:eastAsia="Calibri"/>
          <w:b/>
        </w:rPr>
        <w:tab/>
      </w:r>
      <w:r>
        <w:rPr>
          <w:rFonts w:hint="eastAsia" w:ascii="Calibri" w:hAnsi="Calibri" w:eastAsia="Calibri"/>
          <w:b/>
        </w:rPr>
        <w:t>21</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"bookmark33" </w:instrText>
      </w:r>
      <w:r>
        <w:fldChar w:fldCharType="separate"/>
      </w:r>
      <w:r>
        <w:rPr>
          <w:rFonts w:ascii="Arial" w:hAnsi="Arial"/>
          <w:b/>
        </w:rPr>
        <w:t>23.</w:t>
      </w:r>
      <w:r>
        <w:rPr>
          <w:rFonts w:hint="eastAsia" w:ascii="Microsoft JhengHei" w:hAnsi="Microsoft JhengHei" w:eastAsia="Microsoft JhengHei"/>
          <w:b/>
        </w:rPr>
        <w:t>处罚情形</w:t>
      </w:r>
      <w:r>
        <w:rPr>
          <w:rFonts w:hint="eastAsia" w:ascii="Calibri" w:hAnsi="Calibri" w:eastAsia="Calibri"/>
          <w:b/>
        </w:rPr>
        <w:tab/>
      </w:r>
      <w:r>
        <w:rPr>
          <w:rFonts w:hint="eastAsia" w:ascii="Calibri" w:hAnsi="Calibri" w:eastAsia="Calibri"/>
          <w:b/>
        </w:rPr>
        <w:t>21</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"bookmark34" </w:instrText>
      </w:r>
      <w:r>
        <w:fldChar w:fldCharType="separate"/>
      </w:r>
      <w:r>
        <w:rPr>
          <w:rFonts w:hint="eastAsia" w:ascii="Microsoft JhengHei" w:hAnsi="Microsoft JhengHei" w:eastAsia="Microsoft JhengHei"/>
          <w:b/>
        </w:rPr>
        <w:t>十、采购代理服务收费标准</w:t>
      </w:r>
      <w:r>
        <w:rPr>
          <w:rFonts w:hint="eastAsia" w:ascii="Calibri" w:hAnsi="Calibri" w:eastAsia="Calibri"/>
          <w:b/>
        </w:rPr>
        <w:tab/>
      </w:r>
      <w:r>
        <w:rPr>
          <w:rFonts w:hint="eastAsia" w:ascii="Calibri" w:hAnsi="Calibri" w:eastAsia="Calibri"/>
          <w:b/>
        </w:rPr>
        <w:t>22</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"bookmark35" </w:instrText>
      </w:r>
      <w:r>
        <w:fldChar w:fldCharType="separate"/>
      </w:r>
      <w:r>
        <w:rPr>
          <w:rFonts w:hint="eastAsia" w:ascii="Microsoft JhengHei" w:hAnsi="Microsoft JhengHei" w:eastAsia="Microsoft JhengHei"/>
          <w:b/>
        </w:rPr>
        <w:t>十一、其他</w:t>
      </w:r>
      <w:r>
        <w:rPr>
          <w:rFonts w:hint="eastAsia" w:ascii="Calibri" w:hAnsi="Calibri" w:eastAsia="Calibri"/>
          <w:b/>
        </w:rPr>
        <w:tab/>
      </w:r>
      <w:r>
        <w:rPr>
          <w:rFonts w:hint="eastAsia" w:ascii="Calibri" w:hAnsi="Calibri" w:eastAsia="Calibri"/>
          <w:b/>
        </w:rPr>
        <w:t>22</w:t>
      </w:r>
      <w:r>
        <w:rPr>
          <w:rFonts w:hint="eastAsia" w:ascii="Calibri" w:hAnsi="Calibri" w:eastAsia="Calibri"/>
          <w:b/>
        </w:rPr>
        <w:fldChar w:fldCharType="end"/>
      </w:r>
    </w:p>
    <w:p>
      <w:pPr>
        <w:tabs>
          <w:tab w:val="left" w:pos="1803"/>
          <w:tab w:val="right" w:leader="dot" w:pos="8415"/>
        </w:tabs>
        <w:kinsoku w:val="0"/>
        <w:overflowPunct w:val="0"/>
        <w:spacing w:before="104"/>
        <w:ind w:left="600"/>
        <w:rPr>
          <w:rFonts w:ascii="Calibri" w:hAnsi="Calibri" w:eastAsia="Calibri"/>
        </w:rPr>
      </w:pPr>
      <w:r>
        <w:fldChar w:fldCharType="begin"/>
      </w:r>
      <w:r>
        <w:instrText xml:space="preserve"> HYPERLINK \l "bookmark36" </w:instrText>
      </w:r>
      <w:r>
        <w:fldChar w:fldCharType="separate"/>
      </w:r>
      <w:r>
        <w:rPr>
          <w:rFonts w:hint="eastAsia" w:ascii="Microsoft JhengHei" w:hAnsi="Microsoft JhengHei" w:eastAsia="Microsoft JhengHei"/>
          <w:b/>
        </w:rPr>
        <w:t>第四部分</w:t>
      </w:r>
      <w:r>
        <w:rPr>
          <w:rFonts w:hint="eastAsia" w:ascii="Microsoft JhengHei" w:hAnsi="Microsoft JhengHei" w:eastAsia="Microsoft JhengHei"/>
          <w:b/>
        </w:rPr>
        <w:tab/>
      </w:r>
      <w:r>
        <w:rPr>
          <w:rFonts w:hint="eastAsia" w:ascii="Microsoft JhengHei" w:hAnsi="Microsoft JhengHei" w:eastAsia="Microsoft JhengHei"/>
          <w:b/>
        </w:rPr>
        <w:t>合同条款及格式</w:t>
      </w:r>
      <w:r>
        <w:rPr>
          <w:rFonts w:hint="eastAsia" w:ascii="Calibri" w:hAnsi="Calibri" w:eastAsia="Calibri"/>
          <w:b/>
        </w:rPr>
        <w:tab/>
      </w:r>
      <w:r>
        <w:rPr>
          <w:rFonts w:hint="eastAsia" w:ascii="Calibri" w:hAnsi="Calibri" w:eastAsia="Calibri"/>
          <w:b/>
        </w:rPr>
        <w:t>23</w:t>
      </w:r>
      <w:r>
        <w:rPr>
          <w:rFonts w:hint="eastAsia" w:ascii="Calibri" w:hAnsi="Calibri" w:eastAsia="Calibri"/>
          <w:b/>
        </w:rPr>
        <w:fldChar w:fldCharType="end"/>
      </w:r>
    </w:p>
    <w:p>
      <w:pPr>
        <w:tabs>
          <w:tab w:val="left" w:pos="1803"/>
          <w:tab w:val="right" w:leader="dot" w:pos="8415"/>
        </w:tabs>
        <w:kinsoku w:val="0"/>
        <w:overflowPunct w:val="0"/>
        <w:spacing w:before="104"/>
        <w:ind w:left="600"/>
        <w:rPr>
          <w:rFonts w:ascii="Calibri" w:hAnsi="Calibri" w:eastAsia="Calibri"/>
        </w:rPr>
      </w:pPr>
      <w:r>
        <w:fldChar w:fldCharType="begin"/>
      </w:r>
      <w:r>
        <w:instrText xml:space="preserve"> HYPERLINK \l "bookmark37" </w:instrText>
      </w:r>
      <w:r>
        <w:fldChar w:fldCharType="separate"/>
      </w:r>
      <w:r>
        <w:rPr>
          <w:rFonts w:hint="eastAsia" w:ascii="Microsoft JhengHei" w:hAnsi="Microsoft JhengHei" w:eastAsia="Microsoft JhengHei"/>
          <w:b/>
        </w:rPr>
        <w:t>第五部分</w:t>
      </w:r>
      <w:r>
        <w:rPr>
          <w:rFonts w:hint="eastAsia" w:ascii="Microsoft JhengHei" w:hAnsi="Microsoft JhengHei" w:eastAsia="Microsoft JhengHei"/>
          <w:b/>
        </w:rPr>
        <w:tab/>
      </w:r>
      <w:r>
        <w:rPr>
          <w:rFonts w:hint="eastAsia" w:ascii="Microsoft JhengHei" w:hAnsi="Microsoft JhengHei" w:eastAsia="Microsoft JhengHei"/>
          <w:b/>
        </w:rPr>
        <w:t>磋商响应文件格式</w:t>
      </w:r>
      <w:r>
        <w:rPr>
          <w:rFonts w:hint="eastAsia" w:ascii="Calibri" w:hAnsi="Calibri" w:eastAsia="Calibri"/>
          <w:b/>
        </w:rPr>
        <w:tab/>
      </w:r>
      <w:r>
        <w:rPr>
          <w:rFonts w:hint="eastAsia" w:ascii="Calibri" w:hAnsi="Calibri" w:eastAsia="Calibri"/>
          <w:b/>
        </w:rPr>
        <w:t>24</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"bookmark38" </w:instrText>
      </w:r>
      <w:r>
        <w:fldChar w:fldCharType="separate"/>
      </w:r>
      <w:r>
        <w:rPr>
          <w:rFonts w:hint="eastAsia" w:ascii="Microsoft JhengHei" w:hAnsi="Microsoft JhengHei" w:eastAsia="Microsoft JhengHei"/>
          <w:b/>
        </w:rPr>
        <w:t>附件</w:t>
      </w:r>
      <w:r>
        <w:rPr>
          <w:rFonts w:ascii="Arial" w:hAnsi="Arial" w:eastAsia="Microsoft JhengHei"/>
          <w:b/>
        </w:rPr>
        <w:t>1</w:t>
      </w:r>
      <w:r>
        <w:rPr>
          <w:rFonts w:hint="eastAsia" w:ascii="Microsoft JhengHei" w:hAnsi="Microsoft JhengHei" w:eastAsia="Microsoft JhengHei"/>
          <w:b/>
        </w:rPr>
        <w:t>：磋商响应文件封面</w:t>
      </w:r>
      <w:r>
        <w:rPr>
          <w:rFonts w:hint="eastAsia" w:ascii="Calibri" w:hAnsi="Calibri" w:eastAsia="Calibri"/>
          <w:b/>
        </w:rPr>
        <w:tab/>
      </w:r>
      <w:r>
        <w:rPr>
          <w:rFonts w:hint="eastAsia" w:ascii="Calibri" w:hAnsi="Calibri" w:eastAsia="Calibri"/>
          <w:b/>
        </w:rPr>
        <w:t>25</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"bookmark39" </w:instrText>
      </w:r>
      <w:r>
        <w:fldChar w:fldCharType="separate"/>
      </w:r>
      <w:r>
        <w:rPr>
          <w:rFonts w:hint="eastAsia" w:ascii="Microsoft JhengHei" w:hAnsi="Microsoft JhengHei" w:eastAsia="Microsoft JhengHei"/>
          <w:b/>
        </w:rPr>
        <w:t>附件</w:t>
      </w:r>
      <w:r>
        <w:rPr>
          <w:rFonts w:ascii="Arial" w:hAnsi="Arial" w:eastAsia="Microsoft JhengHei"/>
          <w:b/>
        </w:rPr>
        <w:t>3</w:t>
      </w:r>
      <w:r>
        <w:rPr>
          <w:rFonts w:hint="eastAsia" w:ascii="Microsoft JhengHei" w:hAnsi="Microsoft JhengHei" w:eastAsia="Microsoft JhengHei"/>
          <w:b/>
        </w:rPr>
        <w:t>：磋商参与函</w:t>
      </w:r>
      <w:r>
        <w:rPr>
          <w:rFonts w:hint="eastAsia" w:ascii="Calibri" w:hAnsi="Calibri" w:eastAsia="Calibri"/>
          <w:b/>
        </w:rPr>
        <w:tab/>
      </w:r>
      <w:r>
        <w:rPr>
          <w:rFonts w:hint="eastAsia" w:ascii="Calibri" w:hAnsi="Calibri" w:eastAsia="Calibri"/>
          <w:b/>
        </w:rPr>
        <w:t>27</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"bookmark40" </w:instrText>
      </w:r>
      <w:r>
        <w:fldChar w:fldCharType="separate"/>
      </w:r>
      <w:r>
        <w:rPr>
          <w:rFonts w:hint="eastAsia" w:ascii="Microsoft JhengHei" w:hAnsi="Microsoft JhengHei" w:eastAsia="Microsoft JhengHei"/>
          <w:b/>
        </w:rPr>
        <w:t>附件</w:t>
      </w:r>
      <w:r>
        <w:rPr>
          <w:rFonts w:ascii="Arial" w:hAnsi="Arial" w:eastAsia="Microsoft JhengHei"/>
          <w:b/>
        </w:rPr>
        <w:t>4</w:t>
      </w:r>
      <w:r>
        <w:rPr>
          <w:rFonts w:hint="eastAsia" w:ascii="Microsoft JhengHei" w:hAnsi="Microsoft JhengHei" w:eastAsia="Microsoft JhengHei"/>
          <w:b/>
        </w:rPr>
        <w:t>：首次报价一览表</w:t>
      </w:r>
      <w:r>
        <w:rPr>
          <w:rFonts w:hint="eastAsia" w:ascii="Calibri" w:hAnsi="Calibri" w:eastAsia="Calibri"/>
          <w:b/>
        </w:rPr>
        <w:tab/>
      </w:r>
      <w:r>
        <w:rPr>
          <w:rFonts w:hint="eastAsia" w:ascii="Calibri" w:hAnsi="Calibri" w:eastAsia="Calibri"/>
          <w:b/>
        </w:rPr>
        <w:t>28</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"bookmark41" </w:instrText>
      </w:r>
      <w:r>
        <w:fldChar w:fldCharType="separate"/>
      </w:r>
      <w:r>
        <w:rPr>
          <w:rFonts w:hint="eastAsia" w:ascii="Microsoft JhengHei" w:hAnsi="Microsoft JhengHei" w:eastAsia="Microsoft JhengHei"/>
          <w:b/>
        </w:rPr>
        <w:t>附件</w:t>
      </w:r>
      <w:r>
        <w:rPr>
          <w:rFonts w:ascii="Arial" w:hAnsi="Arial" w:eastAsia="Microsoft JhengHei"/>
          <w:b/>
        </w:rPr>
        <w:t>5</w:t>
      </w:r>
      <w:r>
        <w:rPr>
          <w:rFonts w:hint="eastAsia" w:ascii="Microsoft JhengHei" w:hAnsi="Microsoft JhengHei" w:eastAsia="Microsoft JhengHei"/>
          <w:b/>
        </w:rPr>
        <w:t>：最终报价表</w:t>
      </w:r>
      <w:r>
        <w:rPr>
          <w:rFonts w:hint="eastAsia" w:ascii="Calibri" w:hAnsi="Calibri" w:eastAsia="Calibri"/>
          <w:b/>
        </w:rPr>
        <w:tab/>
      </w:r>
      <w:r>
        <w:rPr>
          <w:rFonts w:hint="eastAsia" w:ascii="Calibri" w:hAnsi="Calibri" w:eastAsia="Calibri"/>
          <w:b/>
        </w:rPr>
        <w:t>29</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"bookmark42" </w:instrText>
      </w:r>
      <w:r>
        <w:fldChar w:fldCharType="separate"/>
      </w:r>
      <w:r>
        <w:rPr>
          <w:rFonts w:hint="eastAsia" w:ascii="Microsoft JhengHei" w:hAnsi="Microsoft JhengHei" w:eastAsia="Microsoft JhengHei"/>
          <w:b/>
        </w:rPr>
        <w:t>附件</w:t>
      </w:r>
      <w:r>
        <w:rPr>
          <w:rFonts w:ascii="Arial" w:hAnsi="Arial" w:eastAsia="Microsoft JhengHei"/>
          <w:b/>
        </w:rPr>
        <w:t>6</w:t>
      </w:r>
      <w:r>
        <w:rPr>
          <w:rFonts w:hint="eastAsia" w:ascii="Microsoft JhengHei" w:hAnsi="Microsoft JhengHei" w:eastAsia="Microsoft JhengHei"/>
          <w:b/>
        </w:rPr>
        <w:t>：已标价工程量清单</w:t>
      </w:r>
      <w:r>
        <w:rPr>
          <w:rFonts w:hint="eastAsia" w:ascii="Calibri" w:hAnsi="Calibri" w:eastAsia="Calibri"/>
          <w:b/>
        </w:rPr>
        <w:tab/>
      </w:r>
      <w:r>
        <w:rPr>
          <w:rFonts w:hint="eastAsia" w:ascii="Calibri" w:hAnsi="Calibri" w:eastAsia="Calibri"/>
          <w:b/>
        </w:rPr>
        <w:t>30</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"bookmark43" </w:instrText>
      </w:r>
      <w:r>
        <w:fldChar w:fldCharType="separate"/>
      </w:r>
      <w:r>
        <w:rPr>
          <w:rFonts w:hint="eastAsia" w:ascii="Microsoft JhengHei" w:hAnsi="Microsoft JhengHei" w:eastAsia="Microsoft JhengHei"/>
          <w:b/>
        </w:rPr>
        <w:t>附件</w:t>
      </w:r>
      <w:r>
        <w:rPr>
          <w:rFonts w:ascii="Arial" w:hAnsi="Arial" w:eastAsia="Microsoft JhengHei"/>
          <w:b/>
        </w:rPr>
        <w:t>8</w:t>
      </w:r>
      <w:r>
        <w:rPr>
          <w:rFonts w:hint="eastAsia" w:ascii="Microsoft JhengHei" w:hAnsi="Microsoft JhengHei" w:eastAsia="Microsoft JhengHei"/>
          <w:b/>
        </w:rPr>
        <w:t>：法定代表人授权书</w:t>
      </w:r>
      <w:r>
        <w:rPr>
          <w:rFonts w:hint="eastAsia" w:ascii="Calibri" w:hAnsi="Calibri" w:eastAsia="Calibri"/>
          <w:b/>
        </w:rPr>
        <w:tab/>
      </w:r>
      <w:r>
        <w:rPr>
          <w:rFonts w:hint="eastAsia" w:ascii="Calibri" w:hAnsi="Calibri" w:eastAsia="Calibri"/>
          <w:b/>
        </w:rPr>
        <w:t>32</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"bookmark44" </w:instrText>
      </w:r>
      <w:r>
        <w:fldChar w:fldCharType="separate"/>
      </w:r>
      <w:r>
        <w:rPr>
          <w:rFonts w:hint="eastAsia" w:ascii="Microsoft JhengHei" w:hAnsi="Microsoft JhengHei" w:eastAsia="Microsoft JhengHei"/>
          <w:b/>
        </w:rPr>
        <w:t>附件</w:t>
      </w:r>
      <w:r>
        <w:rPr>
          <w:rFonts w:ascii="Arial" w:hAnsi="Arial" w:eastAsia="Microsoft JhengHei"/>
          <w:b/>
        </w:rPr>
        <w:t>9</w:t>
      </w:r>
      <w:r>
        <w:rPr>
          <w:rFonts w:hint="eastAsia" w:ascii="Microsoft JhengHei" w:hAnsi="Microsoft JhengHei" w:eastAsia="Microsoft JhengHei"/>
          <w:b/>
        </w:rPr>
        <w:t>：供应商承诺函</w:t>
      </w:r>
      <w:r>
        <w:rPr>
          <w:rFonts w:hint="eastAsia" w:ascii="Calibri" w:hAnsi="Calibri" w:eastAsia="Calibri"/>
          <w:b/>
        </w:rPr>
        <w:tab/>
      </w:r>
      <w:r>
        <w:rPr>
          <w:rFonts w:hint="eastAsia" w:ascii="Calibri" w:hAnsi="Calibri" w:eastAsia="Calibri"/>
          <w:b/>
        </w:rPr>
        <w:t>33</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"bookmark45" </w:instrText>
      </w:r>
      <w:r>
        <w:fldChar w:fldCharType="separate"/>
      </w:r>
      <w:r>
        <w:rPr>
          <w:rFonts w:hint="eastAsia" w:ascii="Microsoft JhengHei" w:hAnsi="Microsoft JhengHei" w:eastAsia="Microsoft JhengHei"/>
          <w:b/>
        </w:rPr>
        <w:t>附件</w:t>
      </w:r>
      <w:r>
        <w:rPr>
          <w:rFonts w:ascii="Arial" w:hAnsi="Arial" w:eastAsia="Microsoft JhengHei"/>
          <w:b/>
        </w:rPr>
        <w:t>10</w:t>
      </w:r>
      <w:r>
        <w:rPr>
          <w:rFonts w:hint="eastAsia" w:ascii="Microsoft JhengHei" w:hAnsi="Microsoft JhengHei" w:eastAsia="Microsoft JhengHei"/>
          <w:b/>
        </w:rPr>
        <w:t>：供应商诚信承诺书</w:t>
      </w:r>
      <w:r>
        <w:rPr>
          <w:rFonts w:hint="eastAsia" w:ascii="Calibri" w:hAnsi="Calibri" w:eastAsia="Calibri"/>
          <w:b/>
        </w:rPr>
        <w:tab/>
      </w:r>
      <w:r>
        <w:rPr>
          <w:rFonts w:hint="eastAsia" w:ascii="Calibri" w:hAnsi="Calibri" w:eastAsia="Calibri"/>
          <w:b/>
        </w:rPr>
        <w:t>34</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"bookmark46" </w:instrText>
      </w:r>
      <w:r>
        <w:fldChar w:fldCharType="separate"/>
      </w:r>
      <w:r>
        <w:rPr>
          <w:rFonts w:hint="eastAsia" w:ascii="Microsoft JhengHei" w:hAnsi="Microsoft JhengHei" w:eastAsia="Microsoft JhengHei"/>
          <w:b/>
        </w:rPr>
        <w:t>附件</w:t>
      </w:r>
      <w:r>
        <w:rPr>
          <w:rFonts w:ascii="Arial" w:hAnsi="Arial" w:eastAsia="Microsoft JhengHei"/>
          <w:b/>
        </w:rPr>
        <w:t>11</w:t>
      </w:r>
      <w:r>
        <w:rPr>
          <w:rFonts w:hint="eastAsia" w:ascii="Microsoft JhengHei" w:hAnsi="Microsoft JhengHei" w:eastAsia="Microsoft JhengHei"/>
          <w:b/>
        </w:rPr>
        <w:t>：资格证明材料</w:t>
      </w:r>
      <w:r>
        <w:rPr>
          <w:rFonts w:hint="eastAsia" w:ascii="Calibri" w:hAnsi="Calibri" w:eastAsia="Calibri"/>
          <w:b/>
        </w:rPr>
        <w:tab/>
      </w:r>
      <w:r>
        <w:rPr>
          <w:rFonts w:hint="eastAsia" w:ascii="Calibri" w:hAnsi="Calibri" w:eastAsia="Calibri"/>
          <w:b/>
        </w:rPr>
        <w:t>35</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"bookmark47" </w:instrText>
      </w:r>
      <w:r>
        <w:fldChar w:fldCharType="separate"/>
      </w:r>
      <w:r>
        <w:rPr>
          <w:rFonts w:hint="eastAsia" w:ascii="Microsoft JhengHei" w:hAnsi="Microsoft JhengHei" w:eastAsia="Microsoft JhengHei"/>
          <w:b/>
        </w:rPr>
        <w:t>附件</w:t>
      </w:r>
      <w:r>
        <w:rPr>
          <w:rFonts w:ascii="Arial" w:hAnsi="Arial" w:eastAsia="Microsoft JhengHei"/>
          <w:b/>
        </w:rPr>
        <w:t>12</w:t>
      </w:r>
      <w:r>
        <w:rPr>
          <w:rFonts w:hint="eastAsia" w:ascii="Microsoft JhengHei" w:hAnsi="Microsoft JhengHei" w:eastAsia="Microsoft JhengHei"/>
          <w:b/>
        </w:rPr>
        <w:t>：财务状况证明</w:t>
      </w:r>
      <w:r>
        <w:rPr>
          <w:rFonts w:hint="eastAsia" w:ascii="Calibri" w:hAnsi="Calibri" w:eastAsia="Calibri"/>
          <w:b/>
        </w:rPr>
        <w:tab/>
      </w:r>
      <w:r>
        <w:rPr>
          <w:rFonts w:hint="eastAsia" w:ascii="Calibri" w:hAnsi="Calibri" w:eastAsia="Calibri"/>
          <w:b/>
        </w:rPr>
        <w:t>36</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"bookmark48" </w:instrText>
      </w:r>
      <w:r>
        <w:fldChar w:fldCharType="separate"/>
      </w:r>
      <w:r>
        <w:rPr>
          <w:rFonts w:hint="eastAsia" w:ascii="Microsoft JhengHei" w:hAnsi="Microsoft JhengHei" w:eastAsia="Microsoft JhengHei"/>
          <w:b/>
        </w:rPr>
        <w:t>附件</w:t>
      </w:r>
      <w:r>
        <w:rPr>
          <w:rFonts w:ascii="Arial" w:hAnsi="Arial" w:eastAsia="Microsoft JhengHei"/>
          <w:b/>
        </w:rPr>
        <w:t>13</w:t>
      </w:r>
      <w:r>
        <w:rPr>
          <w:rFonts w:hint="eastAsia" w:ascii="Microsoft JhengHei" w:hAnsi="Microsoft JhengHei" w:eastAsia="Microsoft JhengHei"/>
          <w:b/>
        </w:rPr>
        <w:t>：具备履行合同所必须的设备和专业技术能力证明</w:t>
      </w:r>
      <w:r>
        <w:rPr>
          <w:rFonts w:hint="eastAsia" w:ascii="Calibri" w:hAnsi="Calibri" w:eastAsia="Calibri"/>
          <w:b/>
        </w:rPr>
        <w:tab/>
      </w:r>
      <w:r>
        <w:rPr>
          <w:rFonts w:hint="eastAsia" w:ascii="Calibri" w:hAnsi="Calibri" w:eastAsia="Calibri"/>
          <w:b/>
        </w:rPr>
        <w:t>37</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"bookmark49" </w:instrText>
      </w:r>
      <w:r>
        <w:fldChar w:fldCharType="separate"/>
      </w:r>
      <w:r>
        <w:rPr>
          <w:rFonts w:hint="eastAsia" w:ascii="Microsoft JhengHei" w:hAnsi="Microsoft JhengHei" w:eastAsia="Microsoft JhengHei"/>
          <w:b/>
        </w:rPr>
        <w:t>附件</w:t>
      </w:r>
      <w:r>
        <w:rPr>
          <w:rFonts w:ascii="Arial" w:hAnsi="Arial" w:eastAsia="Microsoft JhengHei"/>
          <w:b/>
        </w:rPr>
        <w:t>14</w:t>
      </w:r>
      <w:r>
        <w:rPr>
          <w:rFonts w:hint="eastAsia" w:ascii="Microsoft JhengHei" w:hAnsi="Microsoft JhengHei" w:eastAsia="Microsoft JhengHei"/>
          <w:b/>
        </w:rPr>
        <w:t>：无重大违法记录声明</w:t>
      </w:r>
      <w:r>
        <w:rPr>
          <w:rFonts w:hint="eastAsia" w:ascii="Calibri" w:hAnsi="Calibri" w:eastAsia="Calibri"/>
          <w:b/>
        </w:rPr>
        <w:tab/>
      </w:r>
      <w:r>
        <w:rPr>
          <w:rFonts w:hint="eastAsia" w:ascii="Calibri" w:hAnsi="Calibri" w:eastAsia="Calibri"/>
          <w:b/>
        </w:rPr>
        <w:t>38</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"bookmark50" </w:instrText>
      </w:r>
      <w:r>
        <w:fldChar w:fldCharType="separate"/>
      </w:r>
      <w:r>
        <w:rPr>
          <w:rFonts w:hint="eastAsia" w:ascii="Microsoft JhengHei" w:hAnsi="Microsoft JhengHei" w:eastAsia="Microsoft JhengHei"/>
          <w:b/>
        </w:rPr>
        <w:t>附件</w:t>
      </w:r>
      <w:r>
        <w:rPr>
          <w:rFonts w:ascii="Arial" w:hAnsi="Arial" w:eastAsia="Microsoft JhengHei"/>
          <w:b/>
        </w:rPr>
        <w:t>15</w:t>
      </w:r>
      <w:r>
        <w:rPr>
          <w:rFonts w:hint="eastAsia" w:ascii="Microsoft JhengHei" w:hAnsi="Microsoft JhengHei" w:eastAsia="Microsoft JhengHei"/>
          <w:b/>
        </w:rPr>
        <w:t>：磋商保证金证明</w:t>
      </w:r>
      <w:r>
        <w:rPr>
          <w:rFonts w:hint="eastAsia" w:ascii="Calibri" w:hAnsi="Calibri" w:eastAsia="Calibri"/>
          <w:b/>
        </w:rPr>
        <w:tab/>
      </w:r>
      <w:r>
        <w:rPr>
          <w:rFonts w:hint="eastAsia" w:ascii="Calibri" w:hAnsi="Calibri" w:eastAsia="Calibri"/>
          <w:b/>
        </w:rPr>
        <w:t>39</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"bookmark51" </w:instrText>
      </w:r>
      <w:r>
        <w:fldChar w:fldCharType="separate"/>
      </w:r>
      <w:r>
        <w:rPr>
          <w:rFonts w:hint="eastAsia" w:ascii="Microsoft JhengHei" w:hAnsi="Microsoft JhengHei" w:eastAsia="Microsoft JhengHei"/>
          <w:b/>
        </w:rPr>
        <w:t>格式</w:t>
      </w:r>
      <w:r>
        <w:rPr>
          <w:rFonts w:ascii="Arial" w:hAnsi="Arial" w:eastAsia="Microsoft JhengHei"/>
          <w:b/>
        </w:rPr>
        <w:t>16</w:t>
      </w:r>
      <w:r>
        <w:rPr>
          <w:rFonts w:hint="eastAsia" w:ascii="Microsoft JhengHei" w:hAnsi="Microsoft JhengHei" w:eastAsia="Microsoft JhengHei"/>
          <w:b/>
        </w:rPr>
        <w:t>：供应商的类似业绩证明材料</w:t>
      </w:r>
      <w:r>
        <w:rPr>
          <w:rFonts w:hint="eastAsia" w:ascii="Calibri" w:hAnsi="Calibri" w:eastAsia="Calibri"/>
          <w:b/>
        </w:rPr>
        <w:tab/>
      </w:r>
      <w:r>
        <w:rPr>
          <w:rFonts w:hint="eastAsia" w:ascii="Calibri" w:hAnsi="Calibri" w:eastAsia="Calibri"/>
          <w:b/>
        </w:rPr>
        <w:t>40</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sectPr>
          <w:pgSz w:w="11910" w:h="16840"/>
          <w:pgMar w:top="1460" w:right="1680" w:bottom="1160" w:left="1680" w:header="0" w:footer="880" w:gutter="0"/>
          <w:cols w:space="720" w:num="1"/>
        </w:sectPr>
      </w:pPr>
    </w:p>
    <w:p>
      <w:pPr>
        <w:tabs>
          <w:tab w:val="right" w:leader="dot" w:pos="8415"/>
        </w:tabs>
        <w:kinsoku w:val="0"/>
        <w:overflowPunct w:val="0"/>
        <w:spacing w:line="346" w:lineRule="exact"/>
        <w:ind w:left="600"/>
        <w:rPr>
          <w:rFonts w:ascii="Calibri" w:hAnsi="Calibri" w:eastAsia="Calibri"/>
        </w:rPr>
      </w:pPr>
      <w:r>
        <w:fldChar w:fldCharType="begin"/>
      </w:r>
      <w:r>
        <w:instrText xml:space="preserve"> HYPERLINK \l "bookmark52" </w:instrText>
      </w:r>
      <w:r>
        <w:fldChar w:fldCharType="separate"/>
      </w:r>
      <w:r>
        <w:rPr>
          <w:rFonts w:hint="eastAsia" w:ascii="Microsoft JhengHei" w:hAnsi="Microsoft JhengHei" w:eastAsia="Microsoft JhengHei"/>
          <w:b/>
        </w:rPr>
        <w:t>附件</w:t>
      </w:r>
      <w:r>
        <w:rPr>
          <w:rFonts w:ascii="Arial" w:hAnsi="Arial" w:eastAsia="Microsoft JhengHei"/>
          <w:b/>
        </w:rPr>
        <w:t>17</w:t>
      </w:r>
      <w:r>
        <w:rPr>
          <w:rFonts w:hint="eastAsia" w:ascii="Microsoft JhengHei" w:hAnsi="Microsoft JhengHei" w:eastAsia="Microsoft JhengHei"/>
          <w:b/>
        </w:rPr>
        <w:t>：制造（生产）企业小型、微型企业声明函</w:t>
      </w:r>
      <w:r>
        <w:rPr>
          <w:rFonts w:hint="eastAsia" w:ascii="Calibri" w:hAnsi="Calibri" w:eastAsia="Calibri"/>
          <w:b/>
        </w:rPr>
        <w:tab/>
      </w:r>
      <w:r>
        <w:rPr>
          <w:rFonts w:hint="eastAsia" w:ascii="Calibri" w:hAnsi="Calibri" w:eastAsia="Calibri"/>
          <w:b/>
        </w:rPr>
        <w:t>41</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"bookmark53" </w:instrText>
      </w:r>
      <w:r>
        <w:fldChar w:fldCharType="separate"/>
      </w:r>
      <w:r>
        <w:rPr>
          <w:rFonts w:hint="eastAsia" w:ascii="Microsoft JhengHei" w:hAnsi="Microsoft JhengHei" w:eastAsia="Microsoft JhengHei"/>
          <w:b/>
        </w:rPr>
        <w:t>附件</w:t>
      </w:r>
      <w:r>
        <w:rPr>
          <w:rFonts w:ascii="Arial" w:hAnsi="Arial" w:eastAsia="Microsoft JhengHei"/>
          <w:b/>
        </w:rPr>
        <w:t>18</w:t>
      </w:r>
      <w:r>
        <w:rPr>
          <w:rFonts w:hint="eastAsia" w:ascii="Microsoft JhengHei" w:hAnsi="Microsoft JhengHei" w:eastAsia="Microsoft JhengHei"/>
          <w:b/>
        </w:rPr>
        <w:t>：供应商施工方案相关文件</w:t>
      </w:r>
      <w:r>
        <w:rPr>
          <w:rFonts w:hint="eastAsia" w:ascii="Calibri" w:hAnsi="Calibri" w:eastAsia="Calibri"/>
          <w:b/>
        </w:rPr>
        <w:tab/>
      </w:r>
      <w:r>
        <w:rPr>
          <w:rFonts w:hint="eastAsia" w:ascii="Calibri" w:hAnsi="Calibri" w:eastAsia="Calibri"/>
          <w:b/>
        </w:rPr>
        <w:t>42</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"bookmark58" </w:instrText>
      </w:r>
      <w:r>
        <w:fldChar w:fldCharType="separate"/>
      </w:r>
      <w:r>
        <w:rPr>
          <w:rFonts w:hint="eastAsia" w:ascii="Microsoft JhengHei" w:hAnsi="Microsoft JhengHei" w:eastAsia="Microsoft JhengHei"/>
          <w:b/>
        </w:rPr>
        <w:t>附件</w:t>
      </w:r>
      <w:r>
        <w:rPr>
          <w:rFonts w:ascii="Arial" w:hAnsi="Arial" w:eastAsia="Microsoft JhengHei"/>
          <w:b/>
        </w:rPr>
        <w:t>19</w:t>
      </w:r>
      <w:r>
        <w:rPr>
          <w:rFonts w:hint="eastAsia" w:ascii="Microsoft JhengHei" w:hAnsi="Microsoft JhengHei" w:eastAsia="Microsoft JhengHei"/>
          <w:b/>
        </w:rPr>
        <w:t>：供应商认为在其他方面有必要说明的事项</w:t>
      </w:r>
      <w:r>
        <w:rPr>
          <w:rFonts w:hint="eastAsia" w:ascii="Calibri" w:hAnsi="Calibri" w:eastAsia="Calibri"/>
          <w:b/>
        </w:rPr>
        <w:tab/>
      </w:r>
      <w:r>
        <w:rPr>
          <w:rFonts w:hint="eastAsia" w:ascii="Calibri" w:hAnsi="Calibri" w:eastAsia="Calibri"/>
          <w:b/>
        </w:rPr>
        <w:t>46</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"bookmark59" </w:instrText>
      </w:r>
      <w:r>
        <w:fldChar w:fldCharType="separate"/>
      </w:r>
      <w:r>
        <w:rPr>
          <w:rFonts w:hint="eastAsia" w:ascii="Microsoft JhengHei" w:hAnsi="Microsoft JhengHei" w:eastAsia="Microsoft JhengHei"/>
          <w:b/>
        </w:rPr>
        <w:t>第六部分  技术标准和要求</w:t>
      </w:r>
      <w:r>
        <w:rPr>
          <w:rFonts w:hint="eastAsia" w:ascii="Calibri" w:hAnsi="Calibri" w:eastAsia="Calibri"/>
          <w:b/>
        </w:rPr>
        <w:tab/>
      </w:r>
      <w:r>
        <w:rPr>
          <w:rFonts w:hint="eastAsia" w:ascii="Calibri" w:hAnsi="Calibri" w:eastAsia="Calibri"/>
          <w:b/>
        </w:rPr>
        <w:t>47</w:t>
      </w:r>
      <w:r>
        <w:rPr>
          <w:rFonts w:hint="eastAsia" w:ascii="Calibri" w:hAnsi="Calibri" w:eastAsia="Calibri"/>
          <w:b/>
        </w:rPr>
        <w:fldChar w:fldCharType="end"/>
      </w:r>
    </w:p>
    <w:p>
      <w:pPr>
        <w:tabs>
          <w:tab w:val="left" w:pos="4552"/>
        </w:tabs>
        <w:kinsoku w:val="0"/>
        <w:overflowPunct w:val="0"/>
        <w:spacing w:line="478" w:lineRule="exact"/>
        <w:ind w:left="2747"/>
        <w:rPr>
          <w:rFonts w:ascii="Microsoft JhengHei" w:hAnsi="Microsoft JhengHei" w:eastAsia="Microsoft JhengHei"/>
          <w:sz w:val="36"/>
        </w:rPr>
      </w:pPr>
      <w:bookmarkStart w:id="0" w:name="bookmark0"/>
      <w:bookmarkEnd w:id="0"/>
      <w:r>
        <w:rPr>
          <w:rFonts w:hint="eastAsia" w:ascii="Microsoft JhengHei" w:hAnsi="Microsoft JhengHei" w:eastAsia="Microsoft JhengHei"/>
          <w:b/>
          <w:sz w:val="36"/>
        </w:rPr>
        <w:br w:type="page"/>
      </w:r>
      <w:r>
        <w:rPr>
          <w:rFonts w:hint="eastAsia" w:ascii="Microsoft JhengHei" w:hAnsi="Microsoft JhengHei" w:eastAsia="Microsoft JhengHei"/>
          <w:b/>
          <w:sz w:val="36"/>
        </w:rPr>
        <w:t>第一部分</w:t>
      </w:r>
      <w:r>
        <w:rPr>
          <w:rFonts w:hint="eastAsia" w:ascii="Microsoft JhengHei" w:hAnsi="Microsoft JhengHei" w:eastAsia="Microsoft JhengHei"/>
          <w:b/>
          <w:sz w:val="36"/>
        </w:rPr>
        <w:tab/>
      </w:r>
      <w:r>
        <w:rPr>
          <w:rFonts w:hint="eastAsia" w:ascii="Microsoft JhengHei" w:hAnsi="Microsoft JhengHei" w:eastAsia="Microsoft JhengHei"/>
          <w:b/>
          <w:sz w:val="36"/>
        </w:rPr>
        <w:t>磋商邀请</w:t>
      </w:r>
    </w:p>
    <w:p>
      <w:pPr>
        <w:pStyle w:val="9"/>
        <w:kinsoku w:val="0"/>
        <w:overflowPunct w:val="0"/>
        <w:spacing w:before="139" w:line="277" w:lineRule="auto"/>
        <w:ind w:left="220" w:right="219" w:firstLine="482"/>
        <w:jc w:val="both"/>
        <w:rPr>
          <w:rFonts w:hint="default"/>
        </w:rPr>
      </w:pPr>
      <w:r>
        <w:rPr>
          <w:u w:val="single"/>
        </w:rPr>
        <w:t>青海广维工程项目管理有限公司</w:t>
      </w:r>
      <w:r>
        <w:t>（以下均简</w:t>
      </w:r>
      <w:r>
        <w:rPr>
          <w:spacing w:val="-32"/>
        </w:rPr>
        <w:t>称</w:t>
      </w:r>
      <w:r>
        <w:t>“采购代理机构”</w:t>
      </w:r>
      <w:r>
        <w:rPr>
          <w:spacing w:val="-32"/>
        </w:rPr>
        <w:t>）</w:t>
      </w:r>
      <w:r>
        <w:t>受</w:t>
      </w:r>
      <w:r>
        <w:rPr>
          <w:b/>
          <w:color w:val="000000"/>
          <w:u w:val="single"/>
        </w:rPr>
        <w:t>尖扎县住房和城乡建设局</w:t>
      </w:r>
      <w:r>
        <w:rPr>
          <w:u w:val="single"/>
        </w:rPr>
        <w:t>（</w:t>
      </w:r>
      <w:r>
        <w:t>以下均简称“采购人”）委托,拟对</w:t>
      </w:r>
      <w:r>
        <w:rPr>
          <w:rFonts w:hint="eastAsia"/>
          <w:u w:val="single"/>
          <w:lang w:eastAsia="zh-CN"/>
        </w:rPr>
        <w:t>尖扎县环城北路道路工程服务采购项目（第三次）</w:t>
      </w:r>
      <w:r>
        <w:t>进行国内竞争性磋商采购</w:t>
      </w:r>
      <w:r>
        <w:rPr>
          <w:spacing w:val="-24"/>
        </w:rPr>
        <w:t>，</w:t>
      </w:r>
      <w:r>
        <w:t>现予以公告</w:t>
      </w:r>
      <w:r>
        <w:rPr>
          <w:spacing w:val="-24"/>
        </w:rPr>
        <w:t>，</w:t>
      </w:r>
      <w:r>
        <w:t xml:space="preserve">欢迎潜 在的供应商参加本次政府采购活动。 </w:t>
      </w:r>
    </w:p>
    <w:tbl>
      <w:tblPr>
        <w:tblStyle w:val="15"/>
        <w:tblW w:w="8523" w:type="dxa"/>
        <w:tblInd w:w="212" w:type="dxa"/>
        <w:tblLayout w:type="fixed"/>
        <w:tblCellMar>
          <w:top w:w="0" w:type="dxa"/>
          <w:left w:w="108" w:type="dxa"/>
          <w:bottom w:w="0" w:type="dxa"/>
          <w:right w:w="108" w:type="dxa"/>
        </w:tblCellMar>
      </w:tblPr>
      <w:tblGrid>
        <w:gridCol w:w="2636"/>
        <w:gridCol w:w="5887"/>
      </w:tblGrid>
      <w:tr>
        <w:tblPrEx>
          <w:tblLayout w:type="fixed"/>
          <w:tblCellMar>
            <w:top w:w="0" w:type="dxa"/>
            <w:left w:w="108" w:type="dxa"/>
            <w:bottom w:w="0" w:type="dxa"/>
            <w:right w:w="108" w:type="dxa"/>
          </w:tblCellMar>
        </w:tblPrEx>
        <w:trPr>
          <w:trHeight w:val="327" w:hRule="exact"/>
        </w:trPr>
        <w:tc>
          <w:tcPr>
            <w:tcW w:w="263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78" w:lineRule="exact"/>
              <w:ind w:left="100"/>
            </w:pPr>
            <w:r>
              <w:rPr>
                <w:rFonts w:hint="eastAsia" w:ascii="宋体" w:hAnsi="宋体"/>
              </w:rPr>
              <w:t xml:space="preserve">采购项目编号 </w:t>
            </w:r>
          </w:p>
        </w:tc>
        <w:tc>
          <w:tcPr>
            <w:tcW w:w="5887"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78" w:lineRule="exact"/>
              <w:ind w:left="100"/>
              <w:rPr>
                <w:rFonts w:hint="eastAsia" w:eastAsia="宋体"/>
                <w:lang w:eastAsia="zh-CN"/>
              </w:rPr>
            </w:pPr>
            <w:r>
              <w:rPr>
                <w:rFonts w:hint="eastAsia" w:ascii="宋体" w:hAnsi="宋体"/>
                <w:lang w:eastAsia="zh-CN"/>
              </w:rPr>
              <w:t>青海广维竞磋（服务）2020-011号-3</w:t>
            </w:r>
          </w:p>
        </w:tc>
      </w:tr>
      <w:tr>
        <w:tblPrEx>
          <w:tblLayout w:type="fixed"/>
          <w:tblCellMar>
            <w:top w:w="0" w:type="dxa"/>
            <w:left w:w="108" w:type="dxa"/>
            <w:bottom w:w="0" w:type="dxa"/>
            <w:right w:w="108" w:type="dxa"/>
          </w:tblCellMar>
        </w:tblPrEx>
        <w:trPr>
          <w:trHeight w:val="357" w:hRule="exact"/>
        </w:trPr>
        <w:tc>
          <w:tcPr>
            <w:tcW w:w="263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78" w:lineRule="exact"/>
              <w:ind w:left="100"/>
            </w:pPr>
            <w:r>
              <w:rPr>
                <w:rFonts w:hint="eastAsia" w:ascii="宋体" w:hAnsi="宋体"/>
              </w:rPr>
              <w:t xml:space="preserve">采购项目名称 </w:t>
            </w:r>
          </w:p>
        </w:tc>
        <w:tc>
          <w:tcPr>
            <w:tcW w:w="5887"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78" w:lineRule="exact"/>
              <w:ind w:left="100" w:right="-20"/>
            </w:pPr>
            <w:r>
              <w:rPr>
                <w:rFonts w:hint="eastAsia" w:ascii="宋体" w:hAnsi="宋体"/>
                <w:lang w:eastAsia="zh-CN"/>
              </w:rPr>
              <w:t>尖扎县环城北路道路工程服务采购项目（第三次）</w:t>
            </w:r>
            <w:r>
              <w:rPr>
                <w:rFonts w:hint="eastAsia" w:ascii="宋体" w:hAnsi="宋体"/>
              </w:rPr>
              <w:t xml:space="preserve"> </w:t>
            </w:r>
          </w:p>
        </w:tc>
      </w:tr>
      <w:tr>
        <w:tblPrEx>
          <w:tblLayout w:type="fixed"/>
          <w:tblCellMar>
            <w:top w:w="0" w:type="dxa"/>
            <w:left w:w="108" w:type="dxa"/>
            <w:bottom w:w="0" w:type="dxa"/>
            <w:right w:w="108" w:type="dxa"/>
          </w:tblCellMar>
        </w:tblPrEx>
        <w:trPr>
          <w:trHeight w:val="345" w:hRule="exact"/>
        </w:trPr>
        <w:tc>
          <w:tcPr>
            <w:tcW w:w="263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87" w:lineRule="exact"/>
              <w:ind w:left="100"/>
            </w:pPr>
            <w:r>
              <w:rPr>
                <w:rFonts w:hint="eastAsia" w:ascii="宋体" w:hAnsi="宋体"/>
              </w:rPr>
              <w:t xml:space="preserve">采购方式 </w:t>
            </w:r>
          </w:p>
        </w:tc>
        <w:tc>
          <w:tcPr>
            <w:tcW w:w="5887"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78" w:lineRule="exact"/>
              <w:ind w:left="100"/>
            </w:pPr>
            <w:r>
              <w:rPr>
                <w:rFonts w:hint="eastAsia" w:ascii="宋体" w:hAnsi="宋体"/>
              </w:rPr>
              <w:t xml:space="preserve">竞争性磋商 </w:t>
            </w:r>
          </w:p>
        </w:tc>
      </w:tr>
      <w:tr>
        <w:tblPrEx>
          <w:tblLayout w:type="fixed"/>
          <w:tblCellMar>
            <w:top w:w="0" w:type="dxa"/>
            <w:left w:w="108" w:type="dxa"/>
            <w:bottom w:w="0" w:type="dxa"/>
            <w:right w:w="108" w:type="dxa"/>
          </w:tblCellMar>
        </w:tblPrEx>
        <w:trPr>
          <w:trHeight w:val="489" w:hRule="exact"/>
        </w:trPr>
        <w:tc>
          <w:tcPr>
            <w:tcW w:w="263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123"/>
              <w:ind w:left="100"/>
            </w:pPr>
            <w:r>
              <w:rPr>
                <w:rFonts w:hint="eastAsia" w:ascii="宋体" w:hAnsi="宋体"/>
              </w:rPr>
              <w:t xml:space="preserve">采购预算控制额度 </w:t>
            </w:r>
          </w:p>
        </w:tc>
        <w:tc>
          <w:tcPr>
            <w:tcW w:w="5887"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6"/>
              <w:kinsoku w:val="0"/>
              <w:overflowPunct w:val="0"/>
              <w:spacing w:before="1"/>
              <w:jc w:val="both"/>
            </w:pPr>
            <w:r>
              <w:rPr>
                <w:rFonts w:hint="eastAsia"/>
              </w:rPr>
              <w:t>75.4万元</w:t>
            </w:r>
          </w:p>
        </w:tc>
      </w:tr>
      <w:tr>
        <w:tblPrEx>
          <w:tblLayout w:type="fixed"/>
          <w:tblCellMar>
            <w:top w:w="0" w:type="dxa"/>
            <w:left w:w="108" w:type="dxa"/>
            <w:bottom w:w="0" w:type="dxa"/>
            <w:right w:w="108" w:type="dxa"/>
          </w:tblCellMar>
        </w:tblPrEx>
        <w:trPr>
          <w:trHeight w:val="327" w:hRule="exact"/>
        </w:trPr>
        <w:tc>
          <w:tcPr>
            <w:tcW w:w="263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78" w:lineRule="exact"/>
              <w:ind w:left="100"/>
            </w:pPr>
            <w:r>
              <w:rPr>
                <w:rFonts w:hint="eastAsia" w:ascii="宋体" w:hAnsi="宋体"/>
              </w:rPr>
              <w:t xml:space="preserve">项目分包个数 </w:t>
            </w:r>
          </w:p>
        </w:tc>
        <w:tc>
          <w:tcPr>
            <w:tcW w:w="5887"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78" w:lineRule="exact"/>
            </w:pPr>
            <w:r>
              <w:t>1</w:t>
            </w:r>
          </w:p>
        </w:tc>
      </w:tr>
      <w:tr>
        <w:tblPrEx>
          <w:tblLayout w:type="fixed"/>
          <w:tblCellMar>
            <w:top w:w="0" w:type="dxa"/>
            <w:left w:w="108" w:type="dxa"/>
            <w:bottom w:w="0" w:type="dxa"/>
            <w:right w:w="108" w:type="dxa"/>
          </w:tblCellMar>
        </w:tblPrEx>
        <w:trPr>
          <w:trHeight w:val="327" w:hRule="exact"/>
        </w:trPr>
        <w:tc>
          <w:tcPr>
            <w:tcW w:w="263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78" w:lineRule="exact"/>
              <w:ind w:left="100"/>
            </w:pPr>
            <w:r>
              <w:rPr>
                <w:rFonts w:hint="eastAsia" w:ascii="宋体" w:hAnsi="宋体"/>
              </w:rPr>
              <w:t xml:space="preserve">磋商要求 </w:t>
            </w:r>
          </w:p>
        </w:tc>
        <w:tc>
          <w:tcPr>
            <w:tcW w:w="5887"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78" w:lineRule="exact"/>
              <w:ind w:left="100"/>
            </w:pPr>
            <w:r>
              <w:rPr>
                <w:rFonts w:hint="eastAsia" w:ascii="宋体" w:hAnsi="宋体"/>
              </w:rPr>
              <w:t xml:space="preserve">（具体内容详见磋商文件） </w:t>
            </w:r>
          </w:p>
        </w:tc>
      </w:tr>
      <w:tr>
        <w:tblPrEx>
          <w:tblLayout w:type="fixed"/>
          <w:tblCellMar>
            <w:top w:w="0" w:type="dxa"/>
            <w:left w:w="108" w:type="dxa"/>
            <w:bottom w:w="0" w:type="dxa"/>
            <w:right w:w="108" w:type="dxa"/>
          </w:tblCellMar>
        </w:tblPrEx>
        <w:trPr>
          <w:trHeight w:val="8682" w:hRule="exact"/>
        </w:trPr>
        <w:tc>
          <w:tcPr>
            <w:tcW w:w="263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before="16" w:line="240" w:lineRule="exact"/>
            </w:pPr>
          </w:p>
          <w:p>
            <w:pPr>
              <w:pStyle w:val="16"/>
              <w:kinsoku w:val="0"/>
              <w:overflowPunct w:val="0"/>
              <w:ind w:left="100"/>
            </w:pPr>
            <w:r>
              <w:rPr>
                <w:rFonts w:hint="eastAsia" w:ascii="宋体" w:hAnsi="宋体"/>
              </w:rPr>
              <w:t xml:space="preserve">供应商资格条件 </w:t>
            </w:r>
          </w:p>
        </w:tc>
        <w:tc>
          <w:tcPr>
            <w:tcW w:w="5887" w:type="dxa"/>
            <w:tcBorders>
              <w:top w:val="single" w:color="000000" w:sz="6" w:space="0"/>
              <w:left w:val="single" w:color="000000" w:sz="6" w:space="0"/>
              <w:bottom w:val="single" w:color="000000" w:sz="6" w:space="0"/>
              <w:right w:val="single" w:color="000000" w:sz="6" w:space="0"/>
              <w:tl2br w:val="nil"/>
              <w:tr2bl w:val="nil"/>
            </w:tcBorders>
          </w:tcPr>
          <w:p>
            <w:pPr>
              <w:pStyle w:val="18"/>
              <w:spacing w:line="360" w:lineRule="auto"/>
              <w:rPr>
                <w:rFonts w:ascii="宋体" w:hAnsi="宋体"/>
                <w:kern w:val="0"/>
                <w:sz w:val="24"/>
                <w:lang w:val="zh-CN"/>
              </w:rPr>
            </w:pPr>
            <w:r>
              <w:rPr>
                <w:rFonts w:hint="eastAsia" w:ascii="宋体" w:hAnsi="宋体"/>
                <w:kern w:val="0"/>
                <w:sz w:val="24"/>
                <w:lang w:val="zh-CN"/>
              </w:rPr>
              <w:t>1、符合《政府采购法》第22条条件，并提供下列材料：</w:t>
            </w:r>
          </w:p>
          <w:p>
            <w:pPr>
              <w:pStyle w:val="18"/>
              <w:spacing w:line="360" w:lineRule="auto"/>
              <w:rPr>
                <w:rFonts w:ascii="宋体" w:hAnsi="宋体"/>
                <w:kern w:val="0"/>
                <w:sz w:val="24"/>
                <w:lang w:val="zh-CN"/>
              </w:rPr>
            </w:pPr>
            <w:r>
              <w:rPr>
                <w:rFonts w:hint="eastAsia" w:ascii="宋体" w:hAnsi="宋体"/>
                <w:kern w:val="0"/>
                <w:sz w:val="24"/>
                <w:lang w:val="zh-CN"/>
              </w:rPr>
              <w:t>&lt;1&gt;具有独立承担民事责任的能力；</w:t>
            </w:r>
            <w:r>
              <w:rPr>
                <w:rFonts w:hint="eastAsia" w:ascii="宋体" w:hAnsi="宋体"/>
                <w:kern w:val="0"/>
                <w:sz w:val="24"/>
                <w:lang w:val="zh-CN"/>
              </w:rPr>
              <w:br w:type="textWrapping"/>
            </w:r>
            <w:r>
              <w:rPr>
                <w:rFonts w:hint="eastAsia" w:ascii="宋体" w:hAnsi="宋体"/>
                <w:kern w:val="0"/>
                <w:sz w:val="24"/>
                <w:lang w:val="zh-CN"/>
              </w:rPr>
              <w:t>&lt;2&gt;具有良好的商业信誉和健全的财务会计制度；</w:t>
            </w:r>
            <w:r>
              <w:rPr>
                <w:rFonts w:hint="eastAsia" w:ascii="宋体" w:hAnsi="宋体"/>
                <w:kern w:val="0"/>
                <w:sz w:val="24"/>
                <w:lang w:val="zh-CN"/>
              </w:rPr>
              <w:br w:type="textWrapping"/>
            </w:r>
            <w:r>
              <w:rPr>
                <w:rFonts w:hint="eastAsia" w:ascii="宋体" w:hAnsi="宋体"/>
                <w:kern w:val="0"/>
                <w:sz w:val="24"/>
                <w:lang w:val="zh-CN"/>
              </w:rPr>
              <w:t>&lt;3&gt;具有履行合同所必需的设备和专业技术能力；</w:t>
            </w:r>
            <w:r>
              <w:rPr>
                <w:rFonts w:hint="eastAsia" w:ascii="宋体" w:hAnsi="宋体"/>
                <w:kern w:val="0"/>
                <w:sz w:val="24"/>
                <w:lang w:val="zh-CN"/>
              </w:rPr>
              <w:br w:type="textWrapping"/>
            </w:r>
            <w:r>
              <w:rPr>
                <w:rFonts w:hint="eastAsia" w:ascii="宋体" w:hAnsi="宋体"/>
                <w:kern w:val="0"/>
                <w:sz w:val="24"/>
                <w:lang w:val="zh-CN"/>
              </w:rPr>
              <w:t>&lt;4&gt;有依法缴纳</w:t>
            </w:r>
            <w:r>
              <w:fldChar w:fldCharType="begin"/>
            </w:r>
            <w:r>
              <w:instrText xml:space="preserve"> HYPERLINK "http://www.so.com/s?q=%E7%A8%8E%E6%94%B6&amp;ie=utf-8&amp;src=internal_wenda_recommend_textn" \t "https://wenda.so.com/q/_blank" </w:instrText>
            </w:r>
            <w:r>
              <w:fldChar w:fldCharType="separate"/>
            </w:r>
            <w:r>
              <w:rPr>
                <w:rFonts w:hint="eastAsia" w:ascii="宋体" w:hAnsi="宋体"/>
                <w:kern w:val="0"/>
                <w:sz w:val="24"/>
                <w:lang w:val="zh-CN"/>
              </w:rPr>
              <w:t>税收</w:t>
            </w:r>
            <w:r>
              <w:rPr>
                <w:rFonts w:hint="eastAsia" w:ascii="宋体" w:hAnsi="宋体"/>
                <w:kern w:val="0"/>
                <w:sz w:val="24"/>
                <w:lang w:val="zh-CN"/>
              </w:rPr>
              <w:fldChar w:fldCharType="end"/>
            </w:r>
            <w:r>
              <w:rPr>
                <w:rFonts w:hint="eastAsia" w:ascii="宋体" w:hAnsi="宋体"/>
                <w:kern w:val="0"/>
                <w:sz w:val="24"/>
                <w:lang w:val="zh-CN"/>
              </w:rPr>
              <w:t>和</w:t>
            </w:r>
            <w:r>
              <w:fldChar w:fldCharType="begin"/>
            </w:r>
            <w:r>
              <w:instrText xml:space="preserve"> HYPERLINK "http://www.so.com/s?q=%E7%A4%BE%E4%BC%9A%E4%BF%9D%E9%9A%9C%E8%B5%84%E9%87%91&amp;ie=utf-8&amp;src=internal_wenda_recommend_textn" \t "https://wenda.so.com/q/_blank" </w:instrText>
            </w:r>
            <w:r>
              <w:fldChar w:fldCharType="separate"/>
            </w:r>
            <w:r>
              <w:rPr>
                <w:rFonts w:hint="eastAsia" w:ascii="宋体" w:hAnsi="宋体"/>
                <w:kern w:val="0"/>
                <w:sz w:val="24"/>
                <w:lang w:val="zh-CN"/>
              </w:rPr>
              <w:t>社会保障资金</w:t>
            </w:r>
            <w:r>
              <w:rPr>
                <w:rFonts w:hint="eastAsia" w:ascii="宋体" w:hAnsi="宋体"/>
                <w:kern w:val="0"/>
                <w:sz w:val="24"/>
                <w:lang w:val="zh-CN"/>
              </w:rPr>
              <w:fldChar w:fldCharType="end"/>
            </w:r>
            <w:r>
              <w:rPr>
                <w:rFonts w:hint="eastAsia" w:ascii="宋体" w:hAnsi="宋体"/>
                <w:kern w:val="0"/>
                <w:sz w:val="24"/>
                <w:lang w:val="zh-CN"/>
              </w:rPr>
              <w:t>的良好记录；</w:t>
            </w:r>
            <w:r>
              <w:rPr>
                <w:rFonts w:hint="eastAsia" w:ascii="宋体" w:hAnsi="宋体"/>
                <w:kern w:val="0"/>
                <w:sz w:val="24"/>
                <w:lang w:val="zh-CN"/>
              </w:rPr>
              <w:br w:type="textWrapping"/>
            </w:r>
            <w:r>
              <w:rPr>
                <w:rFonts w:hint="eastAsia" w:ascii="宋体" w:hAnsi="宋体"/>
                <w:kern w:val="0"/>
                <w:sz w:val="24"/>
                <w:lang w:val="zh-CN"/>
              </w:rPr>
              <w:t>&lt;5&gt;参加政府采购活动前三年内，在</w:t>
            </w:r>
            <w:r>
              <w:fldChar w:fldCharType="begin"/>
            </w:r>
            <w:r>
              <w:instrText xml:space="preserve"> HYPERLINK "http://www.so.com/s?q=%E7%BB%8F%E8%90%A5%E6%B4%BB%E5%8A%A8&amp;ie=utf-8&amp;src=internal_wenda_recommend_textn" \t "https://wenda.so.com/q/_blank" </w:instrText>
            </w:r>
            <w:r>
              <w:fldChar w:fldCharType="separate"/>
            </w:r>
            <w:r>
              <w:rPr>
                <w:rFonts w:hint="eastAsia" w:ascii="宋体" w:hAnsi="宋体"/>
                <w:kern w:val="0"/>
                <w:sz w:val="24"/>
                <w:lang w:val="zh-CN"/>
              </w:rPr>
              <w:t>经营活动</w:t>
            </w:r>
            <w:r>
              <w:rPr>
                <w:rFonts w:hint="eastAsia" w:ascii="宋体" w:hAnsi="宋体"/>
                <w:kern w:val="0"/>
                <w:sz w:val="24"/>
                <w:lang w:val="zh-CN"/>
              </w:rPr>
              <w:fldChar w:fldCharType="end"/>
            </w:r>
            <w:r>
              <w:rPr>
                <w:rFonts w:hint="eastAsia" w:ascii="宋体" w:hAnsi="宋体"/>
                <w:kern w:val="0"/>
                <w:sz w:val="24"/>
                <w:lang w:val="zh-CN"/>
              </w:rPr>
              <w:t>中没有重大违法记录；</w:t>
            </w:r>
            <w:r>
              <w:rPr>
                <w:rFonts w:hint="eastAsia" w:ascii="宋体" w:hAnsi="宋体"/>
                <w:kern w:val="0"/>
                <w:sz w:val="24"/>
                <w:lang w:val="zh-CN"/>
              </w:rPr>
              <w:br w:type="textWrapping"/>
            </w:r>
            <w:r>
              <w:rPr>
                <w:rFonts w:hint="eastAsia" w:ascii="宋体" w:hAnsi="宋体"/>
                <w:kern w:val="0"/>
                <w:sz w:val="24"/>
                <w:lang w:val="zh-CN"/>
              </w:rPr>
              <w:t>&lt;6&gt;法律、行政法规规定的其他条件。</w:t>
            </w:r>
          </w:p>
          <w:p>
            <w:pPr>
              <w:pStyle w:val="18"/>
              <w:spacing w:line="360" w:lineRule="auto"/>
              <w:rPr>
                <w:rFonts w:ascii="宋体" w:hAnsi="宋体"/>
                <w:kern w:val="0"/>
                <w:sz w:val="24"/>
                <w:lang w:val="zh-CN"/>
              </w:rPr>
            </w:pPr>
            <w:r>
              <w:rPr>
                <w:rFonts w:hint="eastAsia" w:ascii="宋体" w:hAnsi="宋体"/>
                <w:kern w:val="0"/>
                <w:sz w:val="24"/>
              </w:rPr>
              <w:t>2、</w:t>
            </w:r>
            <w:r>
              <w:rPr>
                <w:rFonts w:hint="eastAsia" w:ascii="宋体" w:hAnsi="宋体"/>
                <w:kern w:val="0"/>
                <w:sz w:val="24"/>
                <w:lang w:val="zh-CN"/>
              </w:rPr>
              <w:t>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10天内)。</w:t>
            </w:r>
          </w:p>
          <w:p>
            <w:pPr>
              <w:pStyle w:val="18"/>
              <w:spacing w:line="360" w:lineRule="auto"/>
              <w:rPr>
                <w:rFonts w:ascii="宋体" w:hAnsi="宋体"/>
                <w:kern w:val="0"/>
                <w:sz w:val="24"/>
                <w:lang w:val="zh-CN"/>
              </w:rPr>
            </w:pPr>
            <w:r>
              <w:rPr>
                <w:rFonts w:hint="eastAsia" w:ascii="宋体" w:hAnsi="宋体"/>
                <w:kern w:val="0"/>
                <w:sz w:val="24"/>
              </w:rPr>
              <w:t>3、</w:t>
            </w:r>
            <w:r>
              <w:rPr>
                <w:rFonts w:hint="eastAsia" w:ascii="宋体" w:hAnsi="宋体"/>
                <w:kern w:val="0"/>
                <w:sz w:val="24"/>
                <w:lang w:val="zh-CN"/>
              </w:rPr>
              <w:t>本项目不接受磋商人以联合体方式进行投标。</w:t>
            </w:r>
          </w:p>
          <w:p>
            <w:pPr>
              <w:pStyle w:val="16"/>
              <w:kinsoku w:val="0"/>
              <w:overflowPunct w:val="0"/>
              <w:spacing w:line="276" w:lineRule="exact"/>
              <w:rPr>
                <w:color w:val="FF0000"/>
              </w:rPr>
            </w:pPr>
            <w:r>
              <w:rPr>
                <w:rFonts w:hint="eastAsia" w:ascii="宋体" w:hAnsi="宋体"/>
                <w:color w:val="FF0000"/>
                <w:szCs w:val="24"/>
              </w:rPr>
              <w:t>4、</w:t>
            </w:r>
            <w:r>
              <w:rPr>
                <w:rFonts w:hint="eastAsia" w:ascii="宋体" w:hAnsi="宋体"/>
                <w:color w:val="FF0000"/>
                <w:szCs w:val="24"/>
                <w:lang w:val="zh-CN"/>
              </w:rPr>
              <w:t>本项目要求供应商具备市政道路工程设计</w:t>
            </w:r>
            <w:r>
              <w:rPr>
                <w:rFonts w:hint="eastAsia" w:ascii="宋体" w:hAnsi="宋体"/>
                <w:color w:val="FF0000"/>
                <w:szCs w:val="24"/>
              </w:rPr>
              <w:t>专业</w:t>
            </w:r>
            <w:r>
              <w:rPr>
                <w:rFonts w:hint="eastAsia" w:ascii="宋体" w:hAnsi="宋体"/>
                <w:color w:val="FF0000"/>
                <w:szCs w:val="24"/>
                <w:lang w:eastAsia="zh-CN"/>
              </w:rPr>
              <w:t>甲</w:t>
            </w:r>
            <w:r>
              <w:rPr>
                <w:rFonts w:hint="eastAsia" w:ascii="宋体" w:hAnsi="宋体"/>
                <w:color w:val="FF0000"/>
                <w:szCs w:val="24"/>
              </w:rPr>
              <w:t>级及以上资质</w:t>
            </w:r>
            <w:r>
              <w:rPr>
                <w:rFonts w:hint="eastAsia" w:ascii="宋体" w:hAnsi="宋体"/>
                <w:color w:val="FF0000"/>
                <w:szCs w:val="24"/>
                <w:lang w:val="zh-CN"/>
              </w:rPr>
              <w:t>。</w:t>
            </w:r>
            <w:r>
              <w:rPr>
                <w:rFonts w:hint="eastAsia" w:ascii="宋体" w:hAnsi="宋体"/>
                <w:color w:val="FF0000"/>
                <w:szCs w:val="24"/>
              </w:rPr>
              <w:t>拟任项目负责人应提供公司缴纳社保、具有中级及以上技术职称。并在人员、技术力量、设备、资金等方面具备相应的能力。</w:t>
            </w:r>
          </w:p>
        </w:tc>
      </w:tr>
      <w:tr>
        <w:tblPrEx>
          <w:tblLayout w:type="fixed"/>
          <w:tblCellMar>
            <w:top w:w="0" w:type="dxa"/>
            <w:left w:w="108" w:type="dxa"/>
            <w:bottom w:w="0" w:type="dxa"/>
            <w:right w:w="108" w:type="dxa"/>
          </w:tblCellMar>
        </w:tblPrEx>
        <w:trPr>
          <w:trHeight w:val="402" w:hRule="exact"/>
        </w:trPr>
        <w:tc>
          <w:tcPr>
            <w:tcW w:w="263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78" w:lineRule="exact"/>
              <w:ind w:left="100"/>
            </w:pPr>
            <w:r>
              <w:rPr>
                <w:rFonts w:hint="eastAsia" w:ascii="宋体" w:hAnsi="宋体"/>
              </w:rPr>
              <w:t xml:space="preserve">公告发布时间 </w:t>
            </w:r>
          </w:p>
        </w:tc>
        <w:tc>
          <w:tcPr>
            <w:tcW w:w="5887"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78" w:lineRule="exact"/>
              <w:ind w:left="100"/>
            </w:pPr>
            <w:r>
              <w:rPr>
                <w:rFonts w:hint="eastAsia" w:ascii="宋体" w:hAnsi="宋体"/>
              </w:rPr>
              <w:t>2020年</w:t>
            </w:r>
            <w:r>
              <w:rPr>
                <w:rFonts w:hint="eastAsia" w:ascii="宋体" w:hAnsi="宋体"/>
                <w:lang w:val="en-US" w:eastAsia="zh-CN"/>
              </w:rPr>
              <w:t>10</w:t>
            </w:r>
            <w:r>
              <w:rPr>
                <w:rFonts w:hint="eastAsia" w:ascii="宋体" w:hAnsi="宋体"/>
              </w:rPr>
              <w:t>月</w:t>
            </w:r>
            <w:r>
              <w:rPr>
                <w:rFonts w:hint="eastAsia" w:ascii="宋体" w:hAnsi="宋体"/>
                <w:lang w:val="en-US" w:eastAsia="zh-CN"/>
              </w:rPr>
              <w:t>09</w:t>
            </w:r>
            <w:r>
              <w:rPr>
                <w:rFonts w:hint="eastAsia" w:ascii="宋体" w:hAnsi="宋体"/>
              </w:rPr>
              <w:t xml:space="preserve">日 </w:t>
            </w:r>
          </w:p>
        </w:tc>
      </w:tr>
      <w:tr>
        <w:tblPrEx>
          <w:tblLayout w:type="fixed"/>
          <w:tblCellMar>
            <w:top w:w="0" w:type="dxa"/>
            <w:left w:w="108" w:type="dxa"/>
            <w:bottom w:w="0" w:type="dxa"/>
            <w:right w:w="108" w:type="dxa"/>
          </w:tblCellMar>
        </w:tblPrEx>
        <w:trPr>
          <w:trHeight w:val="594" w:hRule="exact"/>
        </w:trPr>
        <w:tc>
          <w:tcPr>
            <w:tcW w:w="263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123"/>
            </w:pPr>
            <w:r>
              <w:rPr>
                <w:rFonts w:hint="eastAsia" w:ascii="宋体" w:hAnsi="宋体"/>
              </w:rPr>
              <w:t xml:space="preserve">磋商文件发售起止时间 </w:t>
            </w:r>
          </w:p>
        </w:tc>
        <w:tc>
          <w:tcPr>
            <w:tcW w:w="5887"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78" w:lineRule="exact"/>
              <w:ind w:left="100" w:right="-20"/>
            </w:pPr>
            <w:r>
              <w:rPr>
                <w:rFonts w:hint="eastAsia" w:ascii="宋体" w:hAnsi="宋体"/>
              </w:rPr>
              <w:t>2020年</w:t>
            </w:r>
            <w:r>
              <w:rPr>
                <w:rFonts w:hint="eastAsia" w:ascii="宋体" w:hAnsi="宋体"/>
                <w:lang w:val="en-US" w:eastAsia="zh-CN"/>
              </w:rPr>
              <w:t>10</w:t>
            </w:r>
            <w:r>
              <w:rPr>
                <w:rFonts w:hint="eastAsia" w:ascii="宋体" w:hAnsi="宋体"/>
              </w:rPr>
              <w:t>月</w:t>
            </w:r>
            <w:r>
              <w:rPr>
                <w:rFonts w:hint="eastAsia" w:ascii="宋体" w:hAnsi="宋体"/>
                <w:lang w:val="en-US" w:eastAsia="zh-CN"/>
              </w:rPr>
              <w:t>10</w:t>
            </w:r>
            <w:r>
              <w:rPr>
                <w:rFonts w:hint="eastAsia" w:ascii="宋体" w:hAnsi="宋体"/>
              </w:rPr>
              <w:t>日至2020年</w:t>
            </w:r>
            <w:r>
              <w:rPr>
                <w:rFonts w:hint="eastAsia" w:ascii="宋体" w:hAnsi="宋体"/>
                <w:lang w:val="en-US" w:eastAsia="zh-CN"/>
              </w:rPr>
              <w:t>10</w:t>
            </w:r>
            <w:r>
              <w:rPr>
                <w:rFonts w:hint="eastAsia" w:ascii="宋体" w:hAnsi="宋体"/>
              </w:rPr>
              <w:t>月</w:t>
            </w:r>
            <w:r>
              <w:rPr>
                <w:rFonts w:hint="eastAsia" w:ascii="宋体" w:hAnsi="宋体"/>
                <w:lang w:val="en-US" w:eastAsia="zh-CN"/>
              </w:rPr>
              <w:t>15</w:t>
            </w:r>
            <w:r>
              <w:rPr>
                <w:rFonts w:hint="eastAsia" w:ascii="宋体" w:hAnsi="宋体"/>
              </w:rPr>
              <w:t xml:space="preserve">日上午09：00-12：00，下午14：30-17：30（节假日除外）  </w:t>
            </w:r>
          </w:p>
        </w:tc>
      </w:tr>
      <w:tr>
        <w:tblPrEx>
          <w:tblLayout w:type="fixed"/>
          <w:tblCellMar>
            <w:top w:w="0" w:type="dxa"/>
            <w:left w:w="108" w:type="dxa"/>
            <w:bottom w:w="0" w:type="dxa"/>
            <w:right w:w="108" w:type="dxa"/>
          </w:tblCellMar>
        </w:tblPrEx>
        <w:trPr>
          <w:trHeight w:val="342" w:hRule="exact"/>
        </w:trPr>
        <w:tc>
          <w:tcPr>
            <w:tcW w:w="263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78" w:lineRule="exact"/>
              <w:ind w:left="100"/>
            </w:pPr>
            <w:r>
              <w:rPr>
                <w:rFonts w:hint="eastAsia" w:ascii="宋体" w:hAnsi="宋体"/>
              </w:rPr>
              <w:t xml:space="preserve">磋商文件发售方式 </w:t>
            </w:r>
          </w:p>
        </w:tc>
        <w:tc>
          <w:tcPr>
            <w:tcW w:w="5887"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78" w:lineRule="exact"/>
              <w:ind w:left="100"/>
            </w:pPr>
            <w:r>
              <w:rPr>
                <w:rFonts w:hint="eastAsia" w:ascii="宋体" w:hAnsi="宋体"/>
              </w:rPr>
              <w:t xml:space="preserve">现场购买。 </w:t>
            </w:r>
          </w:p>
        </w:tc>
      </w:tr>
      <w:tr>
        <w:tblPrEx>
          <w:tblLayout w:type="fixed"/>
          <w:tblCellMar>
            <w:top w:w="0" w:type="dxa"/>
            <w:left w:w="108" w:type="dxa"/>
            <w:bottom w:w="0" w:type="dxa"/>
            <w:right w:w="108" w:type="dxa"/>
          </w:tblCellMar>
        </w:tblPrEx>
        <w:trPr>
          <w:trHeight w:val="327" w:hRule="exact"/>
        </w:trPr>
        <w:tc>
          <w:tcPr>
            <w:tcW w:w="263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78" w:lineRule="exact"/>
              <w:ind w:left="100"/>
            </w:pPr>
            <w:r>
              <w:rPr>
                <w:rFonts w:hint="eastAsia" w:ascii="宋体" w:hAnsi="宋体"/>
              </w:rPr>
              <w:t xml:space="preserve">磋商文件售价 </w:t>
            </w:r>
          </w:p>
        </w:tc>
        <w:tc>
          <w:tcPr>
            <w:tcW w:w="5887"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78" w:lineRule="exact"/>
              <w:ind w:left="100"/>
            </w:pPr>
            <w:r>
              <w:rPr>
                <w:rFonts w:hint="eastAsia" w:ascii="宋体" w:hAnsi="宋体"/>
              </w:rPr>
              <w:t xml:space="preserve">500元/份（磋商文件售后不退,磋商资格不能转让） </w:t>
            </w:r>
          </w:p>
        </w:tc>
      </w:tr>
      <w:tr>
        <w:tblPrEx>
          <w:tblLayout w:type="fixed"/>
          <w:tblCellMar>
            <w:top w:w="0" w:type="dxa"/>
            <w:left w:w="108" w:type="dxa"/>
            <w:bottom w:w="0" w:type="dxa"/>
            <w:right w:w="108" w:type="dxa"/>
          </w:tblCellMar>
        </w:tblPrEx>
        <w:trPr>
          <w:trHeight w:val="1398" w:hRule="exact"/>
        </w:trPr>
        <w:tc>
          <w:tcPr>
            <w:tcW w:w="263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40" w:lineRule="exact"/>
            </w:pPr>
          </w:p>
          <w:p>
            <w:pPr>
              <w:pStyle w:val="16"/>
              <w:kinsoku w:val="0"/>
              <w:overflowPunct w:val="0"/>
              <w:spacing w:before="12" w:line="340" w:lineRule="exact"/>
              <w:rPr>
                <w:sz w:val="34"/>
              </w:rPr>
            </w:pPr>
          </w:p>
          <w:p>
            <w:pPr>
              <w:pStyle w:val="16"/>
              <w:kinsoku w:val="0"/>
              <w:overflowPunct w:val="0"/>
              <w:ind w:left="100"/>
            </w:pPr>
            <w:r>
              <w:rPr>
                <w:rFonts w:hint="eastAsia" w:ascii="宋体" w:hAnsi="宋体"/>
              </w:rPr>
              <w:t xml:space="preserve">磋商文件发售地点 </w:t>
            </w:r>
          </w:p>
        </w:tc>
        <w:tc>
          <w:tcPr>
            <w:tcW w:w="5887"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rPr>
                <w:rFonts w:ascii="宋体" w:hAnsi="宋体"/>
              </w:rPr>
            </w:pPr>
            <w:r>
              <w:rPr>
                <w:rFonts w:hint="eastAsia" w:ascii="宋体" w:hAnsi="宋体"/>
              </w:rPr>
              <w:t>地点:青海广维工程项目管理有限公司(西宁市海湖新区万达广场SOHO4号楼九楼（10928室）)</w:t>
            </w:r>
          </w:p>
          <w:p>
            <w:pPr>
              <w:pStyle w:val="16"/>
              <w:kinsoku w:val="0"/>
              <w:overflowPunct w:val="0"/>
            </w:pPr>
            <w:r>
              <w:rPr>
                <w:rFonts w:hint="eastAsia" w:ascii="宋体" w:hAnsi="宋体" w:cs="宋体"/>
              </w:rPr>
              <w:t>联系人：</w:t>
            </w:r>
            <w:r>
              <w:rPr>
                <w:rFonts w:hint="eastAsia" w:ascii="宋体" w:hAnsi="宋体" w:cs="宋体"/>
                <w:lang w:val="zh-CN"/>
              </w:rPr>
              <w:t>李先生</w:t>
            </w:r>
          </w:p>
          <w:p>
            <w:pPr>
              <w:pStyle w:val="16"/>
              <w:kinsoku w:val="0"/>
              <w:overflowPunct w:val="0"/>
            </w:pPr>
            <w:r>
              <w:rPr>
                <w:rFonts w:hint="eastAsia" w:ascii="宋体" w:hAnsi="宋体"/>
              </w:rPr>
              <w:t>电话：</w:t>
            </w:r>
            <w:r>
              <w:rPr>
                <w:rFonts w:hint="eastAsia" w:ascii="仿宋" w:hAnsi="仿宋" w:eastAsia="仿宋" w:cs="仿宋"/>
                <w:lang w:val="zh-CN"/>
              </w:rPr>
              <w:t>0971-8135133</w:t>
            </w:r>
          </w:p>
        </w:tc>
      </w:tr>
      <w:tr>
        <w:tblPrEx>
          <w:tblLayout w:type="fixed"/>
          <w:tblCellMar>
            <w:top w:w="0" w:type="dxa"/>
            <w:left w:w="108" w:type="dxa"/>
            <w:bottom w:w="0" w:type="dxa"/>
            <w:right w:w="108" w:type="dxa"/>
          </w:tblCellMar>
        </w:tblPrEx>
        <w:trPr>
          <w:trHeight w:val="1398" w:hRule="exact"/>
        </w:trPr>
        <w:tc>
          <w:tcPr>
            <w:tcW w:w="263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6"/>
              <w:kinsoku w:val="0"/>
              <w:overflowPunct w:val="0"/>
              <w:spacing w:line="240" w:lineRule="exact"/>
              <w:jc w:val="both"/>
            </w:pPr>
            <w:r>
              <w:rPr>
                <w:rFonts w:hint="eastAsia"/>
              </w:rPr>
              <w:t>购买磋商文件时应提供 材料</w:t>
            </w:r>
          </w:p>
        </w:tc>
        <w:tc>
          <w:tcPr>
            <w:tcW w:w="5887"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6"/>
              <w:kinsoku w:val="0"/>
              <w:overflowPunct w:val="0"/>
              <w:jc w:val="both"/>
              <w:rPr>
                <w:rFonts w:ascii="宋体" w:hAnsi="宋体"/>
              </w:rPr>
            </w:pPr>
            <w:r>
              <w:rPr>
                <w:rFonts w:hint="eastAsia" w:ascii="宋体" w:hAnsi="宋体"/>
              </w:rPr>
              <w:t>营业执照副本复印件、法定代表人授权书（原件）或公司介绍信（原件）及法人身份证复印件、被授权人身份证复印件。以上资料除原件外均需加盖公章。</w:t>
            </w:r>
          </w:p>
        </w:tc>
      </w:tr>
    </w:tbl>
    <w:p>
      <w:pPr>
        <w:kinsoku w:val="0"/>
        <w:overflowPunct w:val="0"/>
        <w:spacing w:before="2" w:line="80" w:lineRule="exact"/>
        <w:rPr>
          <w:sz w:val="8"/>
        </w:rPr>
      </w:pPr>
    </w:p>
    <w:tbl>
      <w:tblPr>
        <w:tblStyle w:val="15"/>
        <w:tblW w:w="8523" w:type="dxa"/>
        <w:tblInd w:w="212" w:type="dxa"/>
        <w:tblLayout w:type="fixed"/>
        <w:tblCellMar>
          <w:top w:w="0" w:type="dxa"/>
          <w:left w:w="108" w:type="dxa"/>
          <w:bottom w:w="0" w:type="dxa"/>
          <w:right w:w="108" w:type="dxa"/>
        </w:tblCellMar>
      </w:tblPr>
      <w:tblGrid>
        <w:gridCol w:w="2636"/>
        <w:gridCol w:w="5887"/>
      </w:tblGrid>
      <w:tr>
        <w:tblPrEx>
          <w:tblLayout w:type="fixed"/>
          <w:tblCellMar>
            <w:top w:w="0" w:type="dxa"/>
            <w:left w:w="108" w:type="dxa"/>
            <w:bottom w:w="0" w:type="dxa"/>
            <w:right w:w="108" w:type="dxa"/>
          </w:tblCellMar>
        </w:tblPrEx>
        <w:trPr>
          <w:trHeight w:val="327" w:hRule="exact"/>
        </w:trPr>
        <w:tc>
          <w:tcPr>
            <w:tcW w:w="263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78" w:lineRule="exact"/>
              <w:ind w:left="100"/>
            </w:pPr>
            <w:r>
              <w:rPr>
                <w:rFonts w:hint="eastAsia" w:ascii="宋体" w:hAnsi="宋体"/>
              </w:rPr>
              <w:t xml:space="preserve">磋商截止时间 </w:t>
            </w:r>
          </w:p>
        </w:tc>
        <w:tc>
          <w:tcPr>
            <w:tcW w:w="5887"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78" w:lineRule="exact"/>
              <w:ind w:left="100"/>
              <w:rPr>
                <w:color w:val="000000"/>
                <w:highlight w:val="yellow"/>
              </w:rPr>
            </w:pPr>
            <w:r>
              <w:rPr>
                <w:rFonts w:hint="eastAsia" w:ascii="宋体" w:hAnsi="宋体"/>
                <w:color w:val="000000"/>
                <w:highlight w:val="yellow"/>
              </w:rPr>
              <w:t>2020年</w:t>
            </w:r>
            <w:r>
              <w:rPr>
                <w:rFonts w:hint="eastAsia" w:ascii="宋体" w:hAnsi="宋体"/>
                <w:color w:val="000000"/>
                <w:highlight w:val="yellow"/>
                <w:lang w:val="en-US" w:eastAsia="zh-CN"/>
              </w:rPr>
              <w:t>10</w:t>
            </w:r>
            <w:r>
              <w:rPr>
                <w:rFonts w:hint="eastAsia" w:ascii="宋体" w:hAnsi="宋体"/>
                <w:color w:val="000000"/>
                <w:highlight w:val="yellow"/>
              </w:rPr>
              <w:t>月</w:t>
            </w:r>
            <w:r>
              <w:rPr>
                <w:rFonts w:hint="eastAsia" w:ascii="宋体" w:hAnsi="宋体"/>
                <w:color w:val="000000"/>
                <w:highlight w:val="yellow"/>
                <w:lang w:val="en-US" w:eastAsia="zh-CN"/>
              </w:rPr>
              <w:t>20</w:t>
            </w:r>
            <w:r>
              <w:rPr>
                <w:rFonts w:hint="eastAsia" w:ascii="宋体" w:hAnsi="宋体"/>
                <w:color w:val="000000"/>
                <w:highlight w:val="yellow"/>
              </w:rPr>
              <w:t xml:space="preserve">日上午10时00分 （北京时间） </w:t>
            </w:r>
          </w:p>
        </w:tc>
      </w:tr>
      <w:tr>
        <w:tblPrEx>
          <w:tblLayout w:type="fixed"/>
          <w:tblCellMar>
            <w:top w:w="0" w:type="dxa"/>
            <w:left w:w="108" w:type="dxa"/>
            <w:bottom w:w="0" w:type="dxa"/>
            <w:right w:w="108" w:type="dxa"/>
          </w:tblCellMar>
        </w:tblPrEx>
        <w:trPr>
          <w:trHeight w:val="327" w:hRule="exact"/>
        </w:trPr>
        <w:tc>
          <w:tcPr>
            <w:tcW w:w="263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78" w:lineRule="exact"/>
              <w:ind w:left="100"/>
            </w:pPr>
            <w:r>
              <w:rPr>
                <w:rFonts w:hint="eastAsia" w:ascii="宋体" w:hAnsi="宋体"/>
              </w:rPr>
              <w:t xml:space="preserve">磋商时间 </w:t>
            </w:r>
          </w:p>
        </w:tc>
        <w:tc>
          <w:tcPr>
            <w:tcW w:w="5887"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78" w:lineRule="exact"/>
              <w:ind w:left="100"/>
              <w:rPr>
                <w:color w:val="000000"/>
                <w:highlight w:val="yellow"/>
              </w:rPr>
            </w:pPr>
            <w:r>
              <w:rPr>
                <w:rFonts w:hint="eastAsia" w:ascii="宋体" w:hAnsi="宋体"/>
                <w:color w:val="000000"/>
                <w:highlight w:val="yellow"/>
              </w:rPr>
              <w:t>2020年</w:t>
            </w:r>
            <w:r>
              <w:rPr>
                <w:rFonts w:hint="eastAsia" w:ascii="宋体" w:hAnsi="宋体"/>
                <w:color w:val="000000"/>
                <w:highlight w:val="yellow"/>
                <w:lang w:val="en-US" w:eastAsia="zh-CN"/>
              </w:rPr>
              <w:t>10</w:t>
            </w:r>
            <w:r>
              <w:rPr>
                <w:rFonts w:hint="eastAsia" w:ascii="宋体" w:hAnsi="宋体"/>
                <w:color w:val="000000"/>
                <w:highlight w:val="yellow"/>
              </w:rPr>
              <w:t>月</w:t>
            </w:r>
            <w:r>
              <w:rPr>
                <w:rFonts w:hint="eastAsia" w:ascii="宋体" w:hAnsi="宋体"/>
                <w:color w:val="000000"/>
                <w:highlight w:val="yellow"/>
                <w:lang w:val="en-US" w:eastAsia="zh-CN"/>
              </w:rPr>
              <w:t>20</w:t>
            </w:r>
            <w:r>
              <w:rPr>
                <w:rFonts w:hint="eastAsia" w:ascii="宋体" w:hAnsi="宋体"/>
                <w:color w:val="000000"/>
                <w:highlight w:val="yellow"/>
              </w:rPr>
              <w:t xml:space="preserve">日上午10时00分 （北京时间） </w:t>
            </w:r>
          </w:p>
        </w:tc>
      </w:tr>
      <w:tr>
        <w:tblPrEx>
          <w:tblLayout w:type="fixed"/>
          <w:tblCellMar>
            <w:top w:w="0" w:type="dxa"/>
            <w:left w:w="108" w:type="dxa"/>
            <w:bottom w:w="0" w:type="dxa"/>
            <w:right w:w="108" w:type="dxa"/>
          </w:tblCellMar>
        </w:tblPrEx>
        <w:trPr>
          <w:trHeight w:val="639" w:hRule="exact"/>
        </w:trPr>
        <w:tc>
          <w:tcPr>
            <w:tcW w:w="263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123"/>
              <w:ind w:left="100"/>
            </w:pPr>
            <w:r>
              <w:rPr>
                <w:rFonts w:hint="eastAsia" w:ascii="宋体" w:hAnsi="宋体"/>
              </w:rPr>
              <w:t xml:space="preserve">磋商地点 </w:t>
            </w:r>
          </w:p>
        </w:tc>
        <w:tc>
          <w:tcPr>
            <w:tcW w:w="5887"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78" w:lineRule="exact"/>
              <w:ind w:left="100"/>
            </w:pPr>
            <w:r>
              <w:rPr>
                <w:rFonts w:hint="eastAsia" w:ascii="宋体" w:hAnsi="宋体"/>
              </w:rPr>
              <w:t xml:space="preserve">青海广维工程项目管理有限公司(西宁市海湖新区万达广场SOHO4号楼九楼（10928室）) </w:t>
            </w:r>
          </w:p>
        </w:tc>
      </w:tr>
      <w:tr>
        <w:tblPrEx>
          <w:tblLayout w:type="fixed"/>
          <w:tblCellMar>
            <w:top w:w="0" w:type="dxa"/>
            <w:left w:w="108" w:type="dxa"/>
            <w:bottom w:w="0" w:type="dxa"/>
            <w:right w:w="108" w:type="dxa"/>
          </w:tblCellMar>
        </w:tblPrEx>
        <w:trPr>
          <w:trHeight w:val="321" w:hRule="exact"/>
        </w:trPr>
        <w:tc>
          <w:tcPr>
            <w:tcW w:w="2636" w:type="dxa"/>
            <w:vMerge w:val="restart"/>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6" w:line="190" w:lineRule="exact"/>
              <w:rPr>
                <w:sz w:val="19"/>
              </w:rPr>
            </w:pPr>
          </w:p>
          <w:p>
            <w:pPr>
              <w:pStyle w:val="16"/>
              <w:kinsoku w:val="0"/>
              <w:overflowPunct w:val="0"/>
              <w:spacing w:line="240" w:lineRule="exact"/>
            </w:pPr>
          </w:p>
          <w:p>
            <w:pPr>
              <w:pStyle w:val="16"/>
              <w:kinsoku w:val="0"/>
              <w:overflowPunct w:val="0"/>
              <w:ind w:left="100"/>
            </w:pPr>
            <w:r>
              <w:rPr>
                <w:rFonts w:hint="eastAsia" w:ascii="宋体" w:hAnsi="宋体"/>
              </w:rPr>
              <w:t xml:space="preserve">采购人及联系人电话 </w:t>
            </w:r>
          </w:p>
        </w:tc>
        <w:tc>
          <w:tcPr>
            <w:tcW w:w="5887" w:type="dxa"/>
            <w:tcBorders>
              <w:top w:val="single" w:color="000000" w:sz="6" w:space="0"/>
              <w:left w:val="single" w:color="000000" w:sz="6" w:space="0"/>
              <w:bottom w:val="nil"/>
              <w:right w:val="single" w:color="000000" w:sz="6" w:space="0"/>
              <w:tl2br w:val="nil"/>
              <w:tr2bl w:val="nil"/>
            </w:tcBorders>
          </w:tcPr>
          <w:p>
            <w:pPr>
              <w:pStyle w:val="16"/>
              <w:kinsoku w:val="0"/>
              <w:overflowPunct w:val="0"/>
              <w:spacing w:line="278" w:lineRule="exact"/>
              <w:ind w:left="100"/>
              <w:rPr>
                <w:color w:val="000000"/>
              </w:rPr>
            </w:pPr>
            <w:r>
              <w:rPr>
                <w:rFonts w:hint="eastAsia" w:ascii="宋体" w:hAnsi="宋体"/>
                <w:color w:val="000000"/>
              </w:rPr>
              <w:t xml:space="preserve">单位名称：尖扎县住房和城乡建设局 </w:t>
            </w:r>
          </w:p>
        </w:tc>
      </w:tr>
      <w:tr>
        <w:tblPrEx>
          <w:tblLayout w:type="fixed"/>
          <w:tblCellMar>
            <w:top w:w="0" w:type="dxa"/>
            <w:left w:w="108" w:type="dxa"/>
            <w:bottom w:w="0" w:type="dxa"/>
            <w:right w:w="108" w:type="dxa"/>
          </w:tblCellMar>
        </w:tblPrEx>
        <w:trPr>
          <w:trHeight w:val="624" w:hRule="exact"/>
        </w:trPr>
        <w:tc>
          <w:tcPr>
            <w:tcW w:w="2636"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78" w:lineRule="exact"/>
              <w:ind w:left="100"/>
            </w:pPr>
          </w:p>
        </w:tc>
        <w:tc>
          <w:tcPr>
            <w:tcW w:w="5887" w:type="dxa"/>
            <w:tcBorders>
              <w:top w:val="nil"/>
              <w:left w:val="single" w:color="000000" w:sz="6" w:space="0"/>
              <w:bottom w:val="nil"/>
              <w:right w:val="single" w:color="000000" w:sz="6" w:space="0"/>
              <w:tl2br w:val="nil"/>
              <w:tr2bl w:val="nil"/>
            </w:tcBorders>
          </w:tcPr>
          <w:p>
            <w:pPr>
              <w:pStyle w:val="16"/>
              <w:kinsoku w:val="0"/>
              <w:overflowPunct w:val="0"/>
              <w:spacing w:line="276" w:lineRule="exact"/>
              <w:ind w:left="100"/>
              <w:rPr>
                <w:rFonts w:ascii="宋体" w:hAnsi="宋体"/>
                <w:color w:val="000000"/>
              </w:rPr>
            </w:pPr>
            <w:r>
              <w:rPr>
                <w:rFonts w:hint="eastAsia" w:ascii="宋体" w:hAnsi="宋体"/>
                <w:color w:val="000000"/>
              </w:rPr>
              <w:t>联系人： 杨先生</w:t>
            </w:r>
          </w:p>
          <w:p>
            <w:pPr>
              <w:pStyle w:val="16"/>
              <w:kinsoku w:val="0"/>
              <w:overflowPunct w:val="0"/>
              <w:spacing w:before="1"/>
              <w:ind w:left="100"/>
              <w:rPr>
                <w:color w:val="000000"/>
              </w:rPr>
            </w:pPr>
            <w:r>
              <w:rPr>
                <w:rFonts w:hint="eastAsia" w:ascii="宋体" w:hAnsi="宋体"/>
                <w:color w:val="000000"/>
              </w:rPr>
              <w:t>联系电话：</w:t>
            </w:r>
            <w:r>
              <w:rPr>
                <w:rFonts w:ascii="宋体" w:hAnsi="宋体"/>
                <w:color w:val="000000"/>
              </w:rPr>
              <w:t>0973-8732448</w:t>
            </w:r>
          </w:p>
        </w:tc>
      </w:tr>
      <w:tr>
        <w:tblPrEx>
          <w:tblLayout w:type="fixed"/>
          <w:tblCellMar>
            <w:top w:w="0" w:type="dxa"/>
            <w:left w:w="108" w:type="dxa"/>
            <w:bottom w:w="0" w:type="dxa"/>
            <w:right w:w="108" w:type="dxa"/>
          </w:tblCellMar>
        </w:tblPrEx>
        <w:trPr>
          <w:trHeight w:val="543" w:hRule="exact"/>
        </w:trPr>
        <w:tc>
          <w:tcPr>
            <w:tcW w:w="2636"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1"/>
              <w:ind w:left="100"/>
            </w:pPr>
          </w:p>
        </w:tc>
        <w:tc>
          <w:tcPr>
            <w:tcW w:w="5887" w:type="dxa"/>
            <w:tcBorders>
              <w:top w:val="nil"/>
              <w:left w:val="single" w:color="000000" w:sz="6" w:space="0"/>
              <w:bottom w:val="single" w:color="000000" w:sz="6" w:space="0"/>
              <w:right w:val="single" w:color="000000" w:sz="6" w:space="0"/>
              <w:tl2br w:val="nil"/>
              <w:tr2bl w:val="nil"/>
            </w:tcBorders>
          </w:tcPr>
          <w:p>
            <w:pPr>
              <w:pStyle w:val="16"/>
              <w:kinsoku w:val="0"/>
              <w:overflowPunct w:val="0"/>
              <w:spacing w:line="276" w:lineRule="exact"/>
              <w:ind w:left="100"/>
              <w:rPr>
                <w:rFonts w:ascii="宋体" w:hAnsi="宋体"/>
                <w:color w:val="000000"/>
              </w:rPr>
            </w:pPr>
            <w:r>
              <w:rPr>
                <w:rFonts w:hint="eastAsia" w:ascii="宋体" w:hAnsi="宋体"/>
                <w:color w:val="000000"/>
              </w:rPr>
              <w:t>联系地址：尖扎县住房和城乡建设局</w:t>
            </w:r>
          </w:p>
          <w:p>
            <w:pPr>
              <w:pStyle w:val="16"/>
              <w:kinsoku w:val="0"/>
              <w:overflowPunct w:val="0"/>
              <w:spacing w:line="276" w:lineRule="exact"/>
              <w:rPr>
                <w:color w:val="000000"/>
              </w:rPr>
            </w:pPr>
            <w:r>
              <w:rPr>
                <w:rFonts w:hint="eastAsia" w:ascii="宋体" w:hAnsi="宋体"/>
                <w:color w:val="000000"/>
              </w:rPr>
              <w:t xml:space="preserve"> </w:t>
            </w:r>
          </w:p>
        </w:tc>
      </w:tr>
      <w:tr>
        <w:tblPrEx>
          <w:tblLayout w:type="fixed"/>
          <w:tblCellMar>
            <w:top w:w="0" w:type="dxa"/>
            <w:left w:w="108" w:type="dxa"/>
            <w:bottom w:w="0" w:type="dxa"/>
            <w:right w:w="108" w:type="dxa"/>
          </w:tblCellMar>
        </w:tblPrEx>
        <w:trPr>
          <w:trHeight w:val="321" w:hRule="exact"/>
        </w:trPr>
        <w:tc>
          <w:tcPr>
            <w:tcW w:w="2636" w:type="dxa"/>
            <w:vMerge w:val="restart"/>
            <w:tcBorders>
              <w:top w:val="single" w:color="000000" w:sz="6" w:space="0"/>
              <w:left w:val="single" w:color="000000" w:sz="6" w:space="0"/>
              <w:bottom w:val="nil"/>
              <w:right w:val="single" w:color="000000" w:sz="6" w:space="0"/>
              <w:tl2br w:val="nil"/>
              <w:tr2bl w:val="nil"/>
            </w:tcBorders>
          </w:tcPr>
          <w:p>
            <w:pPr>
              <w:pStyle w:val="16"/>
              <w:kinsoku w:val="0"/>
              <w:overflowPunct w:val="0"/>
              <w:spacing w:line="240" w:lineRule="exact"/>
            </w:pPr>
          </w:p>
          <w:p>
            <w:pPr>
              <w:pStyle w:val="16"/>
              <w:kinsoku w:val="0"/>
              <w:overflowPunct w:val="0"/>
              <w:spacing w:before="12" w:line="340" w:lineRule="exact"/>
              <w:rPr>
                <w:sz w:val="34"/>
              </w:rPr>
            </w:pPr>
          </w:p>
          <w:p>
            <w:pPr>
              <w:pStyle w:val="16"/>
              <w:kinsoku w:val="0"/>
              <w:overflowPunct w:val="0"/>
              <w:ind w:left="100"/>
            </w:pPr>
            <w:r>
              <w:rPr>
                <w:rFonts w:hint="eastAsia" w:ascii="宋体" w:hAnsi="宋体"/>
              </w:rPr>
              <w:t>采购代理机构及联系人</w:t>
            </w:r>
          </w:p>
        </w:tc>
        <w:tc>
          <w:tcPr>
            <w:tcW w:w="5887" w:type="dxa"/>
            <w:tcBorders>
              <w:top w:val="single" w:color="000000" w:sz="6" w:space="0"/>
              <w:left w:val="single" w:color="000000" w:sz="6" w:space="0"/>
              <w:bottom w:val="nil"/>
              <w:right w:val="single" w:color="000000" w:sz="6" w:space="0"/>
              <w:tl2br w:val="nil"/>
              <w:tr2bl w:val="nil"/>
            </w:tcBorders>
          </w:tcPr>
          <w:p>
            <w:pPr>
              <w:pStyle w:val="16"/>
              <w:kinsoku w:val="0"/>
              <w:overflowPunct w:val="0"/>
              <w:spacing w:line="278" w:lineRule="exact"/>
            </w:pPr>
            <w:r>
              <w:rPr>
                <w:rFonts w:hint="eastAsia" w:ascii="宋体" w:hAnsi="宋体"/>
              </w:rPr>
              <w:t xml:space="preserve">采购代理机构：青海广维工程项目管理有限公司 </w:t>
            </w:r>
          </w:p>
        </w:tc>
      </w:tr>
      <w:tr>
        <w:tblPrEx>
          <w:tblLayout w:type="fixed"/>
          <w:tblCellMar>
            <w:top w:w="0" w:type="dxa"/>
            <w:left w:w="108" w:type="dxa"/>
            <w:bottom w:w="0" w:type="dxa"/>
            <w:right w:w="108" w:type="dxa"/>
          </w:tblCellMar>
        </w:tblPrEx>
        <w:trPr>
          <w:trHeight w:val="312" w:hRule="exact"/>
        </w:trPr>
        <w:tc>
          <w:tcPr>
            <w:tcW w:w="2636" w:type="dxa"/>
            <w:vMerge w:val="continue"/>
            <w:tcBorders>
              <w:top w:val="single" w:color="000000" w:sz="6" w:space="0"/>
              <w:left w:val="single" w:color="000000" w:sz="6" w:space="0"/>
              <w:bottom w:val="nil"/>
              <w:right w:val="single" w:color="000000" w:sz="6" w:space="0"/>
              <w:tl2br w:val="nil"/>
              <w:tr2bl w:val="nil"/>
            </w:tcBorders>
          </w:tcPr>
          <w:p>
            <w:pPr>
              <w:pStyle w:val="16"/>
              <w:kinsoku w:val="0"/>
              <w:overflowPunct w:val="0"/>
              <w:spacing w:line="278" w:lineRule="exact"/>
              <w:ind w:left="100"/>
            </w:pPr>
          </w:p>
        </w:tc>
        <w:tc>
          <w:tcPr>
            <w:tcW w:w="5887" w:type="dxa"/>
            <w:tcBorders>
              <w:top w:val="nil"/>
              <w:left w:val="single" w:color="000000" w:sz="6" w:space="0"/>
              <w:bottom w:val="nil"/>
              <w:right w:val="single" w:color="000000" w:sz="6" w:space="0"/>
              <w:tl2br w:val="nil"/>
              <w:tr2bl w:val="nil"/>
            </w:tcBorders>
          </w:tcPr>
          <w:p>
            <w:pPr>
              <w:pStyle w:val="16"/>
              <w:kinsoku w:val="0"/>
              <w:overflowPunct w:val="0"/>
              <w:spacing w:line="276" w:lineRule="exact"/>
            </w:pPr>
            <w:r>
              <w:rPr>
                <w:rFonts w:hint="eastAsia" w:ascii="宋体" w:hAnsi="宋体"/>
              </w:rPr>
              <w:t>联系人：</w:t>
            </w:r>
            <w:r>
              <w:rPr>
                <w:rFonts w:hint="eastAsia" w:ascii="宋体" w:hAnsi="宋体" w:cs="宋体"/>
                <w:lang w:val="zh-CN"/>
              </w:rPr>
              <w:t>李先生</w:t>
            </w:r>
          </w:p>
        </w:tc>
      </w:tr>
      <w:tr>
        <w:tblPrEx>
          <w:tblLayout w:type="fixed"/>
          <w:tblCellMar>
            <w:top w:w="0" w:type="dxa"/>
            <w:left w:w="108" w:type="dxa"/>
            <w:bottom w:w="0" w:type="dxa"/>
            <w:right w:w="108" w:type="dxa"/>
          </w:tblCellMar>
        </w:tblPrEx>
        <w:trPr>
          <w:trHeight w:val="312" w:hRule="exact"/>
        </w:trPr>
        <w:tc>
          <w:tcPr>
            <w:tcW w:w="2636" w:type="dxa"/>
            <w:vMerge w:val="continue"/>
            <w:tcBorders>
              <w:top w:val="single" w:color="000000" w:sz="6" w:space="0"/>
              <w:left w:val="single" w:color="000000" w:sz="6" w:space="0"/>
              <w:bottom w:val="nil"/>
              <w:right w:val="single" w:color="000000" w:sz="6" w:space="0"/>
              <w:tl2br w:val="nil"/>
              <w:tr2bl w:val="nil"/>
            </w:tcBorders>
          </w:tcPr>
          <w:p>
            <w:pPr>
              <w:pStyle w:val="16"/>
              <w:kinsoku w:val="0"/>
              <w:overflowPunct w:val="0"/>
              <w:spacing w:line="276" w:lineRule="exact"/>
              <w:ind w:left="100"/>
            </w:pPr>
          </w:p>
        </w:tc>
        <w:tc>
          <w:tcPr>
            <w:tcW w:w="5887" w:type="dxa"/>
            <w:tcBorders>
              <w:top w:val="nil"/>
              <w:left w:val="single" w:color="000000" w:sz="6" w:space="0"/>
              <w:bottom w:val="nil"/>
              <w:right w:val="single" w:color="000000" w:sz="6" w:space="0"/>
              <w:tl2br w:val="nil"/>
              <w:tr2bl w:val="nil"/>
            </w:tcBorders>
          </w:tcPr>
          <w:p>
            <w:pPr>
              <w:pStyle w:val="16"/>
              <w:kinsoku w:val="0"/>
              <w:overflowPunct w:val="0"/>
              <w:spacing w:line="276" w:lineRule="exact"/>
            </w:pPr>
            <w:r>
              <w:rPr>
                <w:rFonts w:hint="eastAsia" w:ascii="宋体" w:hAnsi="宋体"/>
              </w:rPr>
              <w:t>联系电话：</w:t>
            </w:r>
            <w:r>
              <w:rPr>
                <w:rFonts w:hint="eastAsia" w:ascii="仿宋" w:hAnsi="仿宋" w:eastAsia="仿宋" w:cs="仿宋"/>
                <w:lang w:val="zh-CN"/>
              </w:rPr>
              <w:t>0971-8135133</w:t>
            </w:r>
          </w:p>
        </w:tc>
      </w:tr>
      <w:tr>
        <w:tblPrEx>
          <w:tblLayout w:type="fixed"/>
          <w:tblCellMar>
            <w:top w:w="0" w:type="dxa"/>
            <w:left w:w="108" w:type="dxa"/>
            <w:bottom w:w="0" w:type="dxa"/>
            <w:right w:w="108" w:type="dxa"/>
          </w:tblCellMar>
        </w:tblPrEx>
        <w:trPr>
          <w:trHeight w:val="683" w:hRule="exact"/>
        </w:trPr>
        <w:tc>
          <w:tcPr>
            <w:tcW w:w="2636" w:type="dxa"/>
            <w:vMerge w:val="continue"/>
            <w:tcBorders>
              <w:top w:val="nil"/>
              <w:left w:val="single" w:color="000000" w:sz="6" w:space="0"/>
              <w:bottom w:val="single" w:color="000000" w:sz="6" w:space="0"/>
              <w:right w:val="single" w:color="000000" w:sz="6" w:space="0"/>
              <w:tl2br w:val="nil"/>
              <w:tr2bl w:val="nil"/>
            </w:tcBorders>
          </w:tcPr>
          <w:p>
            <w:pPr>
              <w:pStyle w:val="16"/>
              <w:kinsoku w:val="0"/>
              <w:overflowPunct w:val="0"/>
              <w:spacing w:line="288" w:lineRule="exact"/>
              <w:ind w:left="100"/>
            </w:pPr>
          </w:p>
        </w:tc>
        <w:tc>
          <w:tcPr>
            <w:tcW w:w="5887" w:type="dxa"/>
            <w:tcBorders>
              <w:top w:val="nil"/>
              <w:left w:val="single" w:color="000000" w:sz="6" w:space="0"/>
              <w:bottom w:val="nil"/>
              <w:right w:val="single" w:color="000000" w:sz="6" w:space="0"/>
              <w:tl2br w:val="nil"/>
              <w:tr2bl w:val="nil"/>
            </w:tcBorders>
          </w:tcPr>
          <w:p>
            <w:r>
              <w:rPr>
                <w:rFonts w:hint="eastAsia" w:ascii="宋体" w:hAnsi="宋体"/>
              </w:rPr>
              <w:t>联系地址：西宁市海湖新区万达广场SOHO4号楼九楼（10928室）</w:t>
            </w:r>
          </w:p>
          <w:p>
            <w:pPr>
              <w:pStyle w:val="16"/>
              <w:kinsoku w:val="0"/>
              <w:overflowPunct w:val="0"/>
              <w:spacing w:line="272" w:lineRule="exact"/>
              <w:ind w:left="100"/>
            </w:pPr>
          </w:p>
        </w:tc>
      </w:tr>
      <w:tr>
        <w:tblPrEx>
          <w:tblLayout w:type="fixed"/>
          <w:tblCellMar>
            <w:top w:w="0" w:type="dxa"/>
            <w:left w:w="108" w:type="dxa"/>
            <w:bottom w:w="0" w:type="dxa"/>
            <w:right w:w="108" w:type="dxa"/>
          </w:tblCellMar>
        </w:tblPrEx>
        <w:trPr>
          <w:trHeight w:val="483" w:hRule="exact"/>
        </w:trPr>
        <w:tc>
          <w:tcPr>
            <w:tcW w:w="263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45"/>
            </w:pPr>
            <w:r>
              <w:rPr>
                <w:rFonts w:hint="eastAsia" w:ascii="宋体" w:hAnsi="宋体"/>
              </w:rPr>
              <w:t xml:space="preserve">采购代理机构开户银行 </w:t>
            </w:r>
          </w:p>
        </w:tc>
        <w:tc>
          <w:tcPr>
            <w:tcW w:w="5887"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45"/>
              <w:ind w:left="100"/>
            </w:pPr>
            <w:r>
              <w:rPr>
                <w:rFonts w:hint="eastAsia"/>
              </w:rPr>
              <w:t>中国工商银行股份有限公司西宁文汇路支行</w:t>
            </w:r>
          </w:p>
        </w:tc>
      </w:tr>
      <w:tr>
        <w:tblPrEx>
          <w:tblLayout w:type="fixed"/>
          <w:tblCellMar>
            <w:top w:w="0" w:type="dxa"/>
            <w:left w:w="108" w:type="dxa"/>
            <w:bottom w:w="0" w:type="dxa"/>
            <w:right w:w="108" w:type="dxa"/>
          </w:tblCellMar>
        </w:tblPrEx>
        <w:trPr>
          <w:trHeight w:val="483" w:hRule="exact"/>
        </w:trPr>
        <w:tc>
          <w:tcPr>
            <w:tcW w:w="263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45"/>
              <w:ind w:left="100"/>
            </w:pPr>
            <w:r>
              <w:rPr>
                <w:rFonts w:hint="eastAsia" w:ascii="宋体" w:hAnsi="宋体"/>
              </w:rPr>
              <w:t xml:space="preserve">收款人 </w:t>
            </w:r>
          </w:p>
        </w:tc>
        <w:tc>
          <w:tcPr>
            <w:tcW w:w="5887"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45"/>
              <w:ind w:left="100"/>
              <w:rPr>
                <w:color w:val="FF0000"/>
              </w:rPr>
            </w:pPr>
            <w:r>
              <w:rPr>
                <w:color w:val="000000" w:themeColor="text1"/>
              </w:rPr>
              <w:t>青海广维工程项目管理有限公司</w:t>
            </w:r>
          </w:p>
        </w:tc>
      </w:tr>
      <w:tr>
        <w:tblPrEx>
          <w:tblLayout w:type="fixed"/>
          <w:tblCellMar>
            <w:top w:w="0" w:type="dxa"/>
            <w:left w:w="108" w:type="dxa"/>
            <w:bottom w:w="0" w:type="dxa"/>
            <w:right w:w="108" w:type="dxa"/>
          </w:tblCellMar>
        </w:tblPrEx>
        <w:trPr>
          <w:trHeight w:val="392" w:hRule="exact"/>
        </w:trPr>
        <w:tc>
          <w:tcPr>
            <w:tcW w:w="263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45"/>
              <w:ind w:left="100"/>
            </w:pPr>
            <w:r>
              <w:rPr>
                <w:rFonts w:hint="eastAsia" w:ascii="宋体" w:hAnsi="宋体"/>
              </w:rPr>
              <w:t xml:space="preserve">银行账号 </w:t>
            </w:r>
          </w:p>
        </w:tc>
        <w:tc>
          <w:tcPr>
            <w:tcW w:w="5887"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45"/>
              <w:ind w:left="100" w:right="-20"/>
            </w:pPr>
            <w:r>
              <w:t>2806027909100020961</w:t>
            </w:r>
          </w:p>
        </w:tc>
      </w:tr>
      <w:tr>
        <w:tblPrEx>
          <w:tblLayout w:type="fixed"/>
          <w:tblCellMar>
            <w:top w:w="0" w:type="dxa"/>
            <w:left w:w="108" w:type="dxa"/>
            <w:bottom w:w="0" w:type="dxa"/>
            <w:right w:w="108" w:type="dxa"/>
          </w:tblCellMar>
        </w:tblPrEx>
        <w:trPr>
          <w:trHeight w:val="1844" w:hRule="exact"/>
        </w:trPr>
        <w:tc>
          <w:tcPr>
            <w:tcW w:w="263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6"/>
              <w:kinsoku w:val="0"/>
              <w:overflowPunct w:val="0"/>
              <w:ind w:left="100"/>
            </w:pPr>
            <w:r>
              <w:rPr>
                <w:rFonts w:hint="eastAsia" w:ascii="宋体" w:hAnsi="宋体"/>
              </w:rPr>
              <w:t>其他事项</w:t>
            </w:r>
          </w:p>
        </w:tc>
        <w:tc>
          <w:tcPr>
            <w:tcW w:w="5887" w:type="dxa"/>
            <w:tcBorders>
              <w:top w:val="single" w:color="000000" w:sz="6" w:space="0"/>
              <w:left w:val="single" w:color="000000" w:sz="6" w:space="0"/>
              <w:bottom w:val="nil"/>
              <w:right w:val="single" w:color="000000" w:sz="6" w:space="0"/>
              <w:tl2br w:val="nil"/>
              <w:tr2bl w:val="nil"/>
            </w:tcBorders>
          </w:tcPr>
          <w:p>
            <w:pPr>
              <w:pStyle w:val="16"/>
              <w:kinsoku w:val="0"/>
              <w:overflowPunct w:val="0"/>
              <w:spacing w:before="45"/>
              <w:ind w:right="-20"/>
            </w:pPr>
            <w:r>
              <w:rPr>
                <w:rFonts w:hint="eastAsia"/>
              </w:rPr>
              <w:t>本公告期限：自《青海政府采购网》发布之日起5个工作日；</w:t>
            </w:r>
          </w:p>
          <w:p>
            <w:pPr>
              <w:pStyle w:val="16"/>
              <w:kinsoku w:val="0"/>
              <w:overflowPunct w:val="0"/>
              <w:spacing w:before="45"/>
              <w:ind w:right="-20"/>
              <w:rPr>
                <w:rFonts w:ascii="仿宋_GB2312" w:hAnsi="仿宋_GB2312" w:eastAsia="仿宋_GB2312" w:cs="仿宋_GB2312"/>
                <w:color w:val="000000"/>
                <w:lang w:val="zh-CN"/>
              </w:rPr>
            </w:pPr>
            <w:r>
              <w:rPr>
                <w:rFonts w:hint="eastAsia"/>
              </w:rPr>
              <w:t>公告发布：《青海政府采购网》、《青海省电子招标投标公共服务平台》《中国采购与招标网》，公告内容以《青海政府采购网》发布的为准。</w:t>
            </w:r>
          </w:p>
        </w:tc>
      </w:tr>
      <w:tr>
        <w:tblPrEx>
          <w:tblLayout w:type="fixed"/>
          <w:tblCellMar>
            <w:top w:w="0" w:type="dxa"/>
            <w:left w:w="108" w:type="dxa"/>
            <w:bottom w:w="0" w:type="dxa"/>
            <w:right w:w="108" w:type="dxa"/>
          </w:tblCellMar>
        </w:tblPrEx>
        <w:trPr>
          <w:trHeight w:val="684" w:hRule="exact"/>
        </w:trPr>
        <w:tc>
          <w:tcPr>
            <w:tcW w:w="263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123"/>
              <w:ind w:left="100"/>
            </w:pPr>
            <w:r>
              <w:rPr>
                <w:rFonts w:hint="eastAsia" w:ascii="宋体" w:hAnsi="宋体"/>
              </w:rPr>
              <w:t xml:space="preserve">财政监督部门及电话 </w:t>
            </w:r>
          </w:p>
        </w:tc>
        <w:tc>
          <w:tcPr>
            <w:tcW w:w="5887"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1"/>
              <w:rPr>
                <w:rFonts w:ascii="宋体" w:hAnsi="宋体"/>
              </w:rPr>
            </w:pPr>
            <w:r>
              <w:rPr>
                <w:rFonts w:hint="eastAsia" w:ascii="宋体" w:hAnsi="宋体"/>
              </w:rPr>
              <w:t xml:space="preserve">单位名称：尖扎县财政局      </w:t>
            </w:r>
          </w:p>
          <w:p>
            <w:pPr>
              <w:pStyle w:val="16"/>
              <w:kinsoku w:val="0"/>
              <w:overflowPunct w:val="0"/>
              <w:spacing w:before="1"/>
            </w:pPr>
            <w:r>
              <w:rPr>
                <w:rFonts w:hint="eastAsia" w:ascii="宋体" w:hAnsi="宋体"/>
              </w:rPr>
              <w:t>联系电话：0973-8732422</w:t>
            </w:r>
          </w:p>
        </w:tc>
      </w:tr>
    </w:tbl>
    <w:p>
      <w:pPr>
        <w:kinsoku w:val="0"/>
        <w:overflowPunct w:val="0"/>
        <w:spacing w:line="298" w:lineRule="exact"/>
        <w:ind w:left="220" w:right="8726"/>
        <w:rPr>
          <w:rFonts w:ascii="Blackoak Std" w:hAnsi="Blackoak Std" w:eastAsia="Blackoak Std"/>
        </w:rPr>
      </w:pPr>
    </w:p>
    <w:p>
      <w:pPr>
        <w:pStyle w:val="9"/>
        <w:kinsoku w:val="0"/>
        <w:overflowPunct w:val="0"/>
        <w:spacing w:before="0" w:line="292" w:lineRule="exact"/>
        <w:ind w:left="220" w:right="8726"/>
        <w:rPr>
          <w:rFonts w:hint="default"/>
        </w:rPr>
      </w:pPr>
    </w:p>
    <w:p>
      <w:pPr>
        <w:pStyle w:val="9"/>
        <w:kinsoku w:val="0"/>
        <w:overflowPunct w:val="0"/>
        <w:spacing w:before="1"/>
        <w:ind w:left="220" w:right="8726"/>
        <w:rPr>
          <w:rFonts w:hint="default"/>
        </w:rPr>
      </w:pPr>
    </w:p>
    <w:p>
      <w:pPr>
        <w:pStyle w:val="9"/>
        <w:kinsoku w:val="0"/>
        <w:overflowPunct w:val="0"/>
        <w:spacing w:before="1"/>
        <w:ind w:left="4926"/>
        <w:rPr>
          <w:rFonts w:hint="default"/>
        </w:rPr>
      </w:pPr>
      <w:r>
        <w:t>青海广维工程项目管理有限公司</w:t>
      </w:r>
    </w:p>
    <w:p>
      <w:pPr>
        <w:pStyle w:val="9"/>
        <w:kinsoku w:val="0"/>
        <w:overflowPunct w:val="0"/>
        <w:spacing w:before="1"/>
        <w:ind w:left="220"/>
        <w:rPr>
          <w:rFonts w:hint="default"/>
        </w:rPr>
      </w:pPr>
      <w:r>
        <w:t xml:space="preserve">                                              2020年</w:t>
      </w:r>
      <w:r>
        <w:rPr>
          <w:rFonts w:hint="eastAsia"/>
          <w:lang w:val="en-US" w:eastAsia="zh-CN"/>
        </w:rPr>
        <w:t>10</w:t>
      </w:r>
      <w:r>
        <w:t>月</w:t>
      </w:r>
      <w:r>
        <w:rPr>
          <w:rFonts w:hint="eastAsia"/>
          <w:lang w:val="en-US" w:eastAsia="zh-CN"/>
        </w:rPr>
        <w:t>09</w:t>
      </w:r>
      <w:r>
        <w:t xml:space="preserve">日 </w:t>
      </w:r>
    </w:p>
    <w:p>
      <w:pPr>
        <w:pStyle w:val="9"/>
        <w:kinsoku w:val="0"/>
        <w:overflowPunct w:val="0"/>
        <w:spacing w:before="1"/>
        <w:ind w:left="220" w:right="8726"/>
        <w:rPr>
          <w:rFonts w:hint="default"/>
        </w:rPr>
      </w:pPr>
    </w:p>
    <w:p>
      <w:pPr>
        <w:pStyle w:val="9"/>
        <w:kinsoku w:val="0"/>
        <w:overflowPunct w:val="0"/>
        <w:spacing w:before="1"/>
        <w:ind w:left="220" w:right="8726"/>
        <w:rPr>
          <w:rFonts w:hint="default"/>
        </w:rPr>
      </w:pPr>
    </w:p>
    <w:p>
      <w:pPr>
        <w:pStyle w:val="9"/>
        <w:kinsoku w:val="0"/>
        <w:overflowPunct w:val="0"/>
        <w:spacing w:before="1"/>
        <w:ind w:left="220" w:right="8726"/>
        <w:rPr>
          <w:rFonts w:hint="default"/>
        </w:rPr>
      </w:pPr>
    </w:p>
    <w:p>
      <w:pPr>
        <w:pStyle w:val="9"/>
        <w:kinsoku w:val="0"/>
        <w:overflowPunct w:val="0"/>
        <w:spacing w:before="1"/>
        <w:ind w:left="220" w:right="8726"/>
        <w:rPr>
          <w:rFonts w:hint="default"/>
        </w:rPr>
      </w:pPr>
    </w:p>
    <w:p>
      <w:pPr>
        <w:kinsoku w:val="0"/>
        <w:overflowPunct w:val="0"/>
        <w:spacing w:line="200" w:lineRule="exact"/>
        <w:rPr>
          <w:sz w:val="20"/>
        </w:rPr>
      </w:pPr>
    </w:p>
    <w:p>
      <w:pPr>
        <w:pStyle w:val="3"/>
        <w:tabs>
          <w:tab w:val="left" w:pos="4070"/>
        </w:tabs>
        <w:kinsoku w:val="0"/>
        <w:overflowPunct w:val="0"/>
        <w:spacing w:line="501" w:lineRule="exact"/>
        <w:ind w:left="2264"/>
        <w:rPr>
          <w:rFonts w:hint="default"/>
          <w:b w:val="0"/>
        </w:rPr>
      </w:pPr>
      <w:bookmarkStart w:id="1" w:name="bookmark1"/>
      <w:bookmarkEnd w:id="1"/>
      <w:r>
        <w:t>第二部分</w:t>
      </w:r>
      <w:r>
        <w:tab/>
      </w:r>
      <w:r>
        <w:t>供应商须知前附表</w:t>
      </w:r>
    </w:p>
    <w:tbl>
      <w:tblPr>
        <w:tblStyle w:val="15"/>
        <w:tblW w:w="8966" w:type="dxa"/>
        <w:tblInd w:w="216" w:type="dxa"/>
        <w:tblLayout w:type="fixed"/>
        <w:tblCellMar>
          <w:top w:w="0" w:type="dxa"/>
          <w:left w:w="108" w:type="dxa"/>
          <w:bottom w:w="0" w:type="dxa"/>
          <w:right w:w="108" w:type="dxa"/>
        </w:tblCellMar>
      </w:tblPr>
      <w:tblGrid>
        <w:gridCol w:w="906"/>
        <w:gridCol w:w="1925"/>
        <w:gridCol w:w="6135"/>
      </w:tblGrid>
      <w:tr>
        <w:tblPrEx>
          <w:tblLayout w:type="fixed"/>
          <w:tblCellMar>
            <w:top w:w="0" w:type="dxa"/>
            <w:left w:w="108" w:type="dxa"/>
            <w:bottom w:w="0" w:type="dxa"/>
            <w:right w:w="108" w:type="dxa"/>
          </w:tblCellMar>
        </w:tblPrEx>
        <w:trPr>
          <w:trHeight w:val="415" w:hRule="exact"/>
        </w:trPr>
        <w:tc>
          <w:tcPr>
            <w:tcW w:w="90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205"/>
            </w:pPr>
            <w:r>
              <w:rPr>
                <w:rFonts w:hint="eastAsia" w:ascii="宋体" w:hAnsi="宋体"/>
              </w:rPr>
              <w:t xml:space="preserve">序号 </w:t>
            </w:r>
          </w:p>
        </w:tc>
        <w:tc>
          <w:tcPr>
            <w:tcW w:w="8060" w:type="dxa"/>
            <w:gridSpan w:val="2"/>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120"/>
              <w:jc w:val="center"/>
            </w:pPr>
            <w:r>
              <w:rPr>
                <w:rFonts w:hint="eastAsia" w:ascii="宋体" w:hAnsi="宋体"/>
              </w:rPr>
              <w:t xml:space="preserve">内容 </w:t>
            </w:r>
          </w:p>
        </w:tc>
      </w:tr>
      <w:tr>
        <w:tblPrEx>
          <w:tblLayout w:type="fixed"/>
          <w:tblCellMar>
            <w:top w:w="0" w:type="dxa"/>
            <w:left w:w="108" w:type="dxa"/>
            <w:bottom w:w="0" w:type="dxa"/>
            <w:right w:w="108" w:type="dxa"/>
          </w:tblCellMar>
        </w:tblPrEx>
        <w:trPr>
          <w:trHeight w:val="415" w:hRule="exact"/>
        </w:trPr>
        <w:tc>
          <w:tcPr>
            <w:tcW w:w="90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385"/>
            </w:pPr>
            <w:r>
              <w:rPr>
                <w:rFonts w:hint="eastAsia" w:ascii="宋体" w:hAnsi="宋体"/>
              </w:rPr>
              <w:t xml:space="preserve">1 </w:t>
            </w:r>
          </w:p>
        </w:tc>
        <w:tc>
          <w:tcPr>
            <w:tcW w:w="192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100"/>
            </w:pPr>
            <w:r>
              <w:rPr>
                <w:rFonts w:hint="eastAsia" w:ascii="宋体" w:hAnsi="宋体"/>
              </w:rPr>
              <w:t xml:space="preserve">采购项目名称 </w:t>
            </w:r>
          </w:p>
        </w:tc>
        <w:tc>
          <w:tcPr>
            <w:tcW w:w="613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100"/>
            </w:pPr>
            <w:r>
              <w:rPr>
                <w:rFonts w:hint="eastAsia" w:ascii="宋体" w:hAnsi="宋体"/>
                <w:lang w:eastAsia="zh-CN"/>
              </w:rPr>
              <w:t>尖扎县环城北路道路工程服务采购项目（第三次）</w:t>
            </w:r>
            <w:r>
              <w:rPr>
                <w:rFonts w:hint="eastAsia" w:ascii="宋体" w:hAnsi="宋体"/>
              </w:rPr>
              <w:t xml:space="preserve"> </w:t>
            </w:r>
          </w:p>
        </w:tc>
      </w:tr>
      <w:tr>
        <w:tblPrEx>
          <w:tblLayout w:type="fixed"/>
          <w:tblCellMar>
            <w:top w:w="0" w:type="dxa"/>
            <w:left w:w="108" w:type="dxa"/>
            <w:bottom w:w="0" w:type="dxa"/>
            <w:right w:w="108" w:type="dxa"/>
          </w:tblCellMar>
        </w:tblPrEx>
        <w:trPr>
          <w:trHeight w:val="415" w:hRule="exact"/>
        </w:trPr>
        <w:tc>
          <w:tcPr>
            <w:tcW w:w="90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385"/>
            </w:pPr>
            <w:r>
              <w:rPr>
                <w:rFonts w:hint="eastAsia" w:ascii="宋体" w:hAnsi="宋体"/>
              </w:rPr>
              <w:t xml:space="preserve">2 </w:t>
            </w:r>
          </w:p>
        </w:tc>
        <w:tc>
          <w:tcPr>
            <w:tcW w:w="192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100"/>
            </w:pPr>
            <w:r>
              <w:rPr>
                <w:rFonts w:hint="eastAsia" w:ascii="宋体" w:hAnsi="宋体"/>
              </w:rPr>
              <w:t xml:space="preserve">采购项目编号 </w:t>
            </w:r>
          </w:p>
        </w:tc>
        <w:tc>
          <w:tcPr>
            <w:tcW w:w="613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100"/>
              <w:rPr>
                <w:rFonts w:hint="eastAsia" w:eastAsia="宋体"/>
                <w:lang w:eastAsia="zh-CN"/>
              </w:rPr>
            </w:pPr>
            <w:r>
              <w:rPr>
                <w:rFonts w:hint="eastAsia" w:ascii="宋体" w:hAnsi="宋体"/>
                <w:lang w:eastAsia="zh-CN"/>
              </w:rPr>
              <w:t>青海广维竞磋（服务）2020-011号-3</w:t>
            </w:r>
          </w:p>
        </w:tc>
      </w:tr>
      <w:tr>
        <w:tblPrEx>
          <w:tblLayout w:type="fixed"/>
          <w:tblCellMar>
            <w:top w:w="0" w:type="dxa"/>
            <w:left w:w="108" w:type="dxa"/>
            <w:bottom w:w="0" w:type="dxa"/>
            <w:right w:w="108" w:type="dxa"/>
          </w:tblCellMar>
        </w:tblPrEx>
        <w:trPr>
          <w:trHeight w:val="415" w:hRule="exact"/>
        </w:trPr>
        <w:tc>
          <w:tcPr>
            <w:tcW w:w="90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385"/>
            </w:pPr>
            <w:r>
              <w:rPr>
                <w:rFonts w:hint="eastAsia" w:ascii="宋体" w:hAnsi="宋体"/>
              </w:rPr>
              <w:t xml:space="preserve">3 </w:t>
            </w:r>
          </w:p>
        </w:tc>
        <w:tc>
          <w:tcPr>
            <w:tcW w:w="192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100"/>
            </w:pPr>
            <w:r>
              <w:rPr>
                <w:rFonts w:hint="eastAsia" w:ascii="宋体" w:hAnsi="宋体"/>
              </w:rPr>
              <w:t xml:space="preserve">采购人 </w:t>
            </w:r>
          </w:p>
        </w:tc>
        <w:tc>
          <w:tcPr>
            <w:tcW w:w="613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100"/>
            </w:pPr>
            <w:r>
              <w:rPr>
                <w:rFonts w:hint="eastAsia" w:ascii="宋体" w:hAnsi="宋体"/>
              </w:rPr>
              <w:t xml:space="preserve">尖扎县住房和城乡建设局 </w:t>
            </w:r>
          </w:p>
        </w:tc>
      </w:tr>
      <w:tr>
        <w:tblPrEx>
          <w:tblLayout w:type="fixed"/>
          <w:tblCellMar>
            <w:top w:w="0" w:type="dxa"/>
            <w:left w:w="108" w:type="dxa"/>
            <w:bottom w:w="0" w:type="dxa"/>
            <w:right w:w="108" w:type="dxa"/>
          </w:tblCellMar>
        </w:tblPrEx>
        <w:trPr>
          <w:trHeight w:val="415" w:hRule="exact"/>
        </w:trPr>
        <w:tc>
          <w:tcPr>
            <w:tcW w:w="90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385"/>
            </w:pPr>
            <w:r>
              <w:rPr>
                <w:rFonts w:hint="eastAsia" w:ascii="宋体" w:hAnsi="宋体"/>
              </w:rPr>
              <w:t xml:space="preserve">4 </w:t>
            </w:r>
          </w:p>
        </w:tc>
        <w:tc>
          <w:tcPr>
            <w:tcW w:w="192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100"/>
            </w:pPr>
            <w:r>
              <w:rPr>
                <w:rFonts w:hint="eastAsia" w:ascii="宋体" w:hAnsi="宋体"/>
              </w:rPr>
              <w:t xml:space="preserve">采购代理机构 </w:t>
            </w:r>
          </w:p>
        </w:tc>
        <w:tc>
          <w:tcPr>
            <w:tcW w:w="613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100"/>
            </w:pPr>
            <w:r>
              <w:rPr>
                <w:rFonts w:hint="eastAsia" w:ascii="宋体" w:hAnsi="宋体"/>
              </w:rPr>
              <w:t xml:space="preserve">青海广维工程项目管理有限公司 </w:t>
            </w:r>
          </w:p>
        </w:tc>
      </w:tr>
      <w:tr>
        <w:tblPrEx>
          <w:tblLayout w:type="fixed"/>
          <w:tblCellMar>
            <w:top w:w="0" w:type="dxa"/>
            <w:left w:w="108" w:type="dxa"/>
            <w:bottom w:w="0" w:type="dxa"/>
            <w:right w:w="108" w:type="dxa"/>
          </w:tblCellMar>
        </w:tblPrEx>
        <w:trPr>
          <w:trHeight w:val="415" w:hRule="exact"/>
        </w:trPr>
        <w:tc>
          <w:tcPr>
            <w:tcW w:w="90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385"/>
            </w:pPr>
            <w:r>
              <w:rPr>
                <w:rFonts w:hint="eastAsia" w:ascii="宋体" w:hAnsi="宋体"/>
              </w:rPr>
              <w:t xml:space="preserve">5 </w:t>
            </w:r>
          </w:p>
        </w:tc>
        <w:tc>
          <w:tcPr>
            <w:tcW w:w="192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100"/>
            </w:pPr>
            <w:r>
              <w:rPr>
                <w:rFonts w:hint="eastAsia" w:ascii="宋体" w:hAnsi="宋体"/>
              </w:rPr>
              <w:t xml:space="preserve">采购方式 </w:t>
            </w:r>
          </w:p>
        </w:tc>
        <w:tc>
          <w:tcPr>
            <w:tcW w:w="613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100"/>
            </w:pPr>
            <w:r>
              <w:rPr>
                <w:rFonts w:hint="eastAsia" w:ascii="宋体" w:hAnsi="宋体"/>
              </w:rPr>
              <w:t xml:space="preserve">竞争性磋商 </w:t>
            </w:r>
          </w:p>
        </w:tc>
      </w:tr>
      <w:tr>
        <w:tblPrEx>
          <w:tblLayout w:type="fixed"/>
          <w:tblCellMar>
            <w:top w:w="0" w:type="dxa"/>
            <w:left w:w="108" w:type="dxa"/>
            <w:bottom w:w="0" w:type="dxa"/>
            <w:right w:w="108" w:type="dxa"/>
          </w:tblCellMar>
        </w:tblPrEx>
        <w:trPr>
          <w:trHeight w:val="415" w:hRule="exact"/>
        </w:trPr>
        <w:tc>
          <w:tcPr>
            <w:tcW w:w="90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385"/>
            </w:pPr>
            <w:r>
              <w:rPr>
                <w:rFonts w:hint="eastAsia" w:ascii="宋体" w:hAnsi="宋体"/>
              </w:rPr>
              <w:t xml:space="preserve">6 </w:t>
            </w:r>
          </w:p>
        </w:tc>
        <w:tc>
          <w:tcPr>
            <w:tcW w:w="192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100"/>
            </w:pPr>
            <w:r>
              <w:rPr>
                <w:rFonts w:hint="eastAsia" w:ascii="宋体" w:hAnsi="宋体"/>
              </w:rPr>
              <w:t xml:space="preserve">评分办法 </w:t>
            </w:r>
          </w:p>
        </w:tc>
        <w:tc>
          <w:tcPr>
            <w:tcW w:w="613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100"/>
            </w:pPr>
            <w:r>
              <w:rPr>
                <w:rFonts w:hint="eastAsia" w:ascii="宋体" w:hAnsi="宋体"/>
              </w:rPr>
              <w:t xml:space="preserve">综合评分法 </w:t>
            </w:r>
          </w:p>
        </w:tc>
      </w:tr>
      <w:tr>
        <w:tblPrEx>
          <w:tblLayout w:type="fixed"/>
          <w:tblCellMar>
            <w:top w:w="0" w:type="dxa"/>
            <w:left w:w="108" w:type="dxa"/>
            <w:bottom w:w="0" w:type="dxa"/>
            <w:right w:w="108" w:type="dxa"/>
          </w:tblCellMar>
        </w:tblPrEx>
        <w:trPr>
          <w:trHeight w:val="415" w:hRule="exact"/>
        </w:trPr>
        <w:tc>
          <w:tcPr>
            <w:tcW w:w="90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385"/>
            </w:pPr>
            <w:r>
              <w:rPr>
                <w:rFonts w:hint="eastAsia" w:ascii="宋体" w:hAnsi="宋体"/>
              </w:rPr>
              <w:t xml:space="preserve">7 </w:t>
            </w:r>
          </w:p>
        </w:tc>
        <w:tc>
          <w:tcPr>
            <w:tcW w:w="192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firstLine="240" w:firstLineChars="100"/>
            </w:pPr>
            <w:r>
              <w:rPr>
                <w:rFonts w:hint="eastAsia" w:ascii="宋体" w:hAnsi="宋体"/>
              </w:rPr>
              <w:t xml:space="preserve">服务期  </w:t>
            </w:r>
          </w:p>
        </w:tc>
        <w:tc>
          <w:tcPr>
            <w:tcW w:w="613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100"/>
            </w:pPr>
            <w:r>
              <w:rPr>
                <w:rFonts w:hint="eastAsia" w:ascii="宋体" w:hAnsi="宋体"/>
                <w:color w:val="000000"/>
              </w:rPr>
              <w:t>30日历日</w:t>
            </w:r>
          </w:p>
        </w:tc>
      </w:tr>
      <w:tr>
        <w:tblPrEx>
          <w:tblLayout w:type="fixed"/>
          <w:tblCellMar>
            <w:top w:w="0" w:type="dxa"/>
            <w:left w:w="108" w:type="dxa"/>
            <w:bottom w:w="0" w:type="dxa"/>
            <w:right w:w="108" w:type="dxa"/>
          </w:tblCellMar>
        </w:tblPrEx>
        <w:trPr>
          <w:trHeight w:val="605" w:hRule="exact"/>
        </w:trPr>
        <w:tc>
          <w:tcPr>
            <w:tcW w:w="90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2" w:line="230" w:lineRule="exact"/>
              <w:rPr>
                <w:sz w:val="23"/>
              </w:rPr>
            </w:pPr>
          </w:p>
          <w:p>
            <w:pPr>
              <w:pStyle w:val="16"/>
              <w:kinsoku w:val="0"/>
              <w:overflowPunct w:val="0"/>
              <w:ind w:left="385"/>
            </w:pPr>
            <w:r>
              <w:rPr>
                <w:rFonts w:hint="eastAsia" w:ascii="宋体" w:hAnsi="宋体"/>
              </w:rPr>
              <w:t xml:space="preserve">8 </w:t>
            </w:r>
          </w:p>
        </w:tc>
        <w:tc>
          <w:tcPr>
            <w:tcW w:w="192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6"/>
              <w:kinsoku w:val="0"/>
              <w:overflowPunct w:val="0"/>
              <w:ind w:left="100"/>
              <w:jc w:val="both"/>
            </w:pPr>
            <w:r>
              <w:rPr>
                <w:rFonts w:hint="eastAsia" w:ascii="宋体" w:hAnsi="宋体"/>
              </w:rPr>
              <w:t xml:space="preserve">采购预算额度 </w:t>
            </w:r>
          </w:p>
        </w:tc>
        <w:tc>
          <w:tcPr>
            <w:tcW w:w="613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6"/>
              <w:kinsoku w:val="0"/>
              <w:overflowPunct w:val="0"/>
              <w:spacing w:before="89"/>
              <w:ind w:left="100"/>
              <w:jc w:val="both"/>
            </w:pPr>
            <w:r>
              <w:rPr>
                <w:rFonts w:hint="eastAsia" w:ascii="宋体" w:hAnsi="宋体"/>
              </w:rPr>
              <w:t>75.4万元</w:t>
            </w:r>
          </w:p>
        </w:tc>
      </w:tr>
      <w:tr>
        <w:tblPrEx>
          <w:tblLayout w:type="fixed"/>
          <w:tblCellMar>
            <w:top w:w="0" w:type="dxa"/>
            <w:left w:w="108" w:type="dxa"/>
            <w:bottom w:w="0" w:type="dxa"/>
            <w:right w:w="108" w:type="dxa"/>
          </w:tblCellMar>
        </w:tblPrEx>
        <w:trPr>
          <w:trHeight w:val="415" w:hRule="exact"/>
        </w:trPr>
        <w:tc>
          <w:tcPr>
            <w:tcW w:w="90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385"/>
            </w:pPr>
            <w:r>
              <w:rPr>
                <w:rFonts w:hint="eastAsia" w:ascii="宋体" w:hAnsi="宋体"/>
              </w:rPr>
              <w:t xml:space="preserve">9 </w:t>
            </w:r>
          </w:p>
        </w:tc>
        <w:tc>
          <w:tcPr>
            <w:tcW w:w="192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100"/>
            </w:pPr>
            <w:r>
              <w:rPr>
                <w:rFonts w:hint="eastAsia" w:ascii="宋体" w:hAnsi="宋体"/>
              </w:rPr>
              <w:t xml:space="preserve">项目分包个数 </w:t>
            </w:r>
          </w:p>
        </w:tc>
        <w:tc>
          <w:tcPr>
            <w:tcW w:w="613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100"/>
            </w:pPr>
            <w:r>
              <w:rPr>
                <w:rFonts w:hint="eastAsia" w:ascii="宋体" w:hAnsi="宋体"/>
              </w:rPr>
              <w:t>1</w:t>
            </w:r>
          </w:p>
        </w:tc>
      </w:tr>
      <w:tr>
        <w:tblPrEx>
          <w:tblLayout w:type="fixed"/>
          <w:tblCellMar>
            <w:top w:w="0" w:type="dxa"/>
            <w:left w:w="108" w:type="dxa"/>
            <w:bottom w:w="0" w:type="dxa"/>
            <w:right w:w="108" w:type="dxa"/>
          </w:tblCellMar>
        </w:tblPrEx>
        <w:trPr>
          <w:trHeight w:val="415" w:hRule="exact"/>
        </w:trPr>
        <w:tc>
          <w:tcPr>
            <w:tcW w:w="90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100"/>
            </w:pPr>
            <w:r>
              <w:rPr>
                <w:rFonts w:hint="eastAsia" w:ascii="宋体" w:hAnsi="宋体"/>
              </w:rPr>
              <w:t xml:space="preserve">10 </w:t>
            </w:r>
          </w:p>
        </w:tc>
        <w:tc>
          <w:tcPr>
            <w:tcW w:w="192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100"/>
            </w:pPr>
            <w:r>
              <w:rPr>
                <w:rFonts w:hint="eastAsia" w:ascii="宋体" w:hAnsi="宋体"/>
              </w:rPr>
              <w:t xml:space="preserve">采购要求 </w:t>
            </w:r>
          </w:p>
        </w:tc>
        <w:tc>
          <w:tcPr>
            <w:tcW w:w="613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100"/>
            </w:pPr>
            <w:r>
              <w:rPr>
                <w:rFonts w:hint="eastAsia" w:ascii="宋体" w:hAnsi="宋体"/>
              </w:rPr>
              <w:t xml:space="preserve">详见磋商文件第六部分 </w:t>
            </w:r>
          </w:p>
        </w:tc>
      </w:tr>
      <w:tr>
        <w:tblPrEx>
          <w:tblLayout w:type="fixed"/>
          <w:tblCellMar>
            <w:top w:w="0" w:type="dxa"/>
            <w:left w:w="108" w:type="dxa"/>
            <w:bottom w:w="0" w:type="dxa"/>
            <w:right w:w="108" w:type="dxa"/>
          </w:tblCellMar>
        </w:tblPrEx>
        <w:trPr>
          <w:trHeight w:val="7321" w:hRule="exact"/>
        </w:trPr>
        <w:tc>
          <w:tcPr>
            <w:tcW w:w="90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before="10" w:line="260" w:lineRule="exact"/>
              <w:rPr>
                <w:sz w:val="26"/>
              </w:rPr>
            </w:pPr>
          </w:p>
          <w:p>
            <w:pPr>
              <w:pStyle w:val="16"/>
              <w:kinsoku w:val="0"/>
              <w:overflowPunct w:val="0"/>
              <w:ind w:left="325"/>
            </w:pPr>
            <w:r>
              <w:rPr>
                <w:rFonts w:hint="eastAsia" w:ascii="宋体" w:hAnsi="宋体"/>
              </w:rPr>
              <w:t xml:space="preserve">11 </w:t>
            </w:r>
          </w:p>
        </w:tc>
        <w:tc>
          <w:tcPr>
            <w:tcW w:w="192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before="10" w:line="260" w:lineRule="exact"/>
              <w:rPr>
                <w:sz w:val="26"/>
              </w:rPr>
            </w:pPr>
          </w:p>
          <w:p>
            <w:pPr>
              <w:pStyle w:val="16"/>
              <w:kinsoku w:val="0"/>
              <w:overflowPunct w:val="0"/>
              <w:ind w:left="100"/>
            </w:pPr>
            <w:r>
              <w:rPr>
                <w:rFonts w:hint="eastAsia" w:ascii="宋体" w:hAnsi="宋体"/>
              </w:rPr>
              <w:t xml:space="preserve">供应商资格条件 </w:t>
            </w:r>
          </w:p>
        </w:tc>
        <w:tc>
          <w:tcPr>
            <w:tcW w:w="6135" w:type="dxa"/>
            <w:tcBorders>
              <w:top w:val="single" w:color="000000" w:sz="6" w:space="0"/>
              <w:left w:val="single" w:color="000000" w:sz="6" w:space="0"/>
              <w:bottom w:val="single" w:color="000000" w:sz="6" w:space="0"/>
              <w:right w:val="single" w:color="000000" w:sz="6" w:space="0"/>
              <w:tl2br w:val="nil"/>
              <w:tr2bl w:val="nil"/>
            </w:tcBorders>
          </w:tcPr>
          <w:p>
            <w:pPr>
              <w:pStyle w:val="18"/>
              <w:spacing w:line="360" w:lineRule="auto"/>
              <w:rPr>
                <w:rFonts w:ascii="宋体" w:hAnsi="宋体"/>
                <w:kern w:val="0"/>
                <w:sz w:val="22"/>
                <w:szCs w:val="22"/>
                <w:lang w:val="zh-CN"/>
              </w:rPr>
            </w:pPr>
            <w:r>
              <w:rPr>
                <w:rFonts w:hint="eastAsia" w:ascii="宋体" w:hAnsi="宋体"/>
                <w:kern w:val="0"/>
                <w:sz w:val="22"/>
                <w:szCs w:val="22"/>
                <w:lang w:val="zh-CN"/>
              </w:rPr>
              <w:t>1、符合《政府采购法》第22条条件，并提供下列材料：</w:t>
            </w:r>
          </w:p>
          <w:p>
            <w:pPr>
              <w:pStyle w:val="18"/>
              <w:spacing w:line="360" w:lineRule="auto"/>
              <w:rPr>
                <w:rFonts w:ascii="宋体" w:hAnsi="宋体"/>
                <w:kern w:val="0"/>
                <w:sz w:val="22"/>
                <w:szCs w:val="22"/>
                <w:lang w:val="zh-CN"/>
              </w:rPr>
            </w:pPr>
            <w:r>
              <w:rPr>
                <w:rFonts w:hint="eastAsia" w:ascii="宋体" w:hAnsi="宋体"/>
                <w:kern w:val="0"/>
                <w:sz w:val="22"/>
                <w:szCs w:val="22"/>
                <w:lang w:val="zh-CN"/>
              </w:rPr>
              <w:t>&lt;1&gt;具有独立承担民事责任的能力；</w:t>
            </w:r>
            <w:r>
              <w:rPr>
                <w:rFonts w:hint="eastAsia" w:ascii="宋体" w:hAnsi="宋体"/>
                <w:kern w:val="0"/>
                <w:sz w:val="22"/>
                <w:szCs w:val="22"/>
                <w:lang w:val="zh-CN"/>
              </w:rPr>
              <w:br w:type="textWrapping"/>
            </w:r>
            <w:r>
              <w:rPr>
                <w:rFonts w:hint="eastAsia" w:ascii="宋体" w:hAnsi="宋体"/>
                <w:kern w:val="0"/>
                <w:sz w:val="22"/>
                <w:szCs w:val="22"/>
                <w:lang w:val="zh-CN"/>
              </w:rPr>
              <w:t>&lt;2&gt;具有良好的商业信誉和健全的财务会计制度；</w:t>
            </w:r>
            <w:r>
              <w:rPr>
                <w:rFonts w:hint="eastAsia" w:ascii="宋体" w:hAnsi="宋体"/>
                <w:kern w:val="0"/>
                <w:sz w:val="22"/>
                <w:szCs w:val="22"/>
                <w:lang w:val="zh-CN"/>
              </w:rPr>
              <w:br w:type="textWrapping"/>
            </w:r>
            <w:r>
              <w:rPr>
                <w:rFonts w:hint="eastAsia" w:ascii="宋体" w:hAnsi="宋体"/>
                <w:kern w:val="0"/>
                <w:sz w:val="22"/>
                <w:szCs w:val="22"/>
                <w:lang w:val="zh-CN"/>
              </w:rPr>
              <w:t>&lt;3&gt;具有履行合同所必需的设备和专业技术能力；</w:t>
            </w:r>
            <w:r>
              <w:rPr>
                <w:rFonts w:hint="eastAsia" w:ascii="宋体" w:hAnsi="宋体"/>
                <w:kern w:val="0"/>
                <w:sz w:val="22"/>
                <w:szCs w:val="22"/>
                <w:lang w:val="zh-CN"/>
              </w:rPr>
              <w:br w:type="textWrapping"/>
            </w:r>
            <w:r>
              <w:rPr>
                <w:rFonts w:hint="eastAsia" w:ascii="宋体" w:hAnsi="宋体"/>
                <w:kern w:val="0"/>
                <w:sz w:val="22"/>
                <w:szCs w:val="22"/>
                <w:lang w:val="zh-CN"/>
              </w:rPr>
              <w:t>&lt;4&gt;有依法缴纳</w:t>
            </w:r>
            <w:r>
              <w:fldChar w:fldCharType="begin"/>
            </w:r>
            <w:r>
              <w:instrText xml:space="preserve"> HYPERLINK "http://www.so.com/s?q=%E7%A8%8E%E6%94%B6&amp;ie=utf-8&amp;src=internal_wenda_recommend_textn" \t "https://wenda.so.com/q/_blank" </w:instrText>
            </w:r>
            <w:r>
              <w:fldChar w:fldCharType="separate"/>
            </w:r>
            <w:r>
              <w:rPr>
                <w:rFonts w:hint="eastAsia" w:ascii="宋体" w:hAnsi="宋体"/>
                <w:kern w:val="0"/>
                <w:sz w:val="22"/>
                <w:szCs w:val="22"/>
                <w:lang w:val="zh-CN"/>
              </w:rPr>
              <w:t>税收</w:t>
            </w:r>
            <w:r>
              <w:rPr>
                <w:rFonts w:hint="eastAsia" w:ascii="宋体" w:hAnsi="宋体"/>
                <w:kern w:val="0"/>
                <w:sz w:val="22"/>
                <w:szCs w:val="22"/>
                <w:lang w:val="zh-CN"/>
              </w:rPr>
              <w:fldChar w:fldCharType="end"/>
            </w:r>
            <w:r>
              <w:rPr>
                <w:rFonts w:hint="eastAsia" w:ascii="宋体" w:hAnsi="宋体"/>
                <w:kern w:val="0"/>
                <w:sz w:val="22"/>
                <w:szCs w:val="22"/>
                <w:lang w:val="zh-CN"/>
              </w:rPr>
              <w:t>和</w:t>
            </w:r>
            <w:r>
              <w:fldChar w:fldCharType="begin"/>
            </w:r>
            <w:r>
              <w:instrText xml:space="preserve"> HYPERLINK "http://www.so.com/s?q=%E7%A4%BE%E4%BC%9A%E4%BF%9D%E9%9A%9C%E8%B5%84%E9%87%91&amp;ie=utf-8&amp;src=internal_wenda_recommend_textn" \t "https://wenda.so.com/q/_blank" </w:instrText>
            </w:r>
            <w:r>
              <w:fldChar w:fldCharType="separate"/>
            </w:r>
            <w:r>
              <w:rPr>
                <w:rFonts w:hint="eastAsia" w:ascii="宋体" w:hAnsi="宋体"/>
                <w:kern w:val="0"/>
                <w:sz w:val="22"/>
                <w:szCs w:val="22"/>
                <w:lang w:val="zh-CN"/>
              </w:rPr>
              <w:t>社会保障资金</w:t>
            </w:r>
            <w:r>
              <w:rPr>
                <w:rFonts w:hint="eastAsia" w:ascii="宋体" w:hAnsi="宋体"/>
                <w:kern w:val="0"/>
                <w:sz w:val="22"/>
                <w:szCs w:val="22"/>
                <w:lang w:val="zh-CN"/>
              </w:rPr>
              <w:fldChar w:fldCharType="end"/>
            </w:r>
            <w:r>
              <w:rPr>
                <w:rFonts w:hint="eastAsia" w:ascii="宋体" w:hAnsi="宋体"/>
                <w:kern w:val="0"/>
                <w:sz w:val="22"/>
                <w:szCs w:val="22"/>
                <w:lang w:val="zh-CN"/>
              </w:rPr>
              <w:t>的良好记录；</w:t>
            </w:r>
            <w:r>
              <w:rPr>
                <w:rFonts w:hint="eastAsia" w:ascii="宋体" w:hAnsi="宋体"/>
                <w:kern w:val="0"/>
                <w:sz w:val="22"/>
                <w:szCs w:val="22"/>
                <w:lang w:val="zh-CN"/>
              </w:rPr>
              <w:br w:type="textWrapping"/>
            </w:r>
            <w:r>
              <w:rPr>
                <w:rFonts w:hint="eastAsia" w:ascii="宋体" w:hAnsi="宋体"/>
                <w:kern w:val="0"/>
                <w:sz w:val="22"/>
                <w:szCs w:val="22"/>
                <w:lang w:val="zh-CN"/>
              </w:rPr>
              <w:t>&lt;5&gt;参加政府采购活动前三年内，在</w:t>
            </w:r>
            <w:r>
              <w:fldChar w:fldCharType="begin"/>
            </w:r>
            <w:r>
              <w:instrText xml:space="preserve"> HYPERLINK "http://www.so.com/s?q=%E7%BB%8F%E8%90%A5%E6%B4%BB%E5%8A%A8&amp;ie=utf-8&amp;src=internal_wenda_recommend_textn" \t "https://wenda.so.com/q/_blank" </w:instrText>
            </w:r>
            <w:r>
              <w:fldChar w:fldCharType="separate"/>
            </w:r>
            <w:r>
              <w:rPr>
                <w:rFonts w:hint="eastAsia" w:ascii="宋体" w:hAnsi="宋体"/>
                <w:kern w:val="0"/>
                <w:sz w:val="22"/>
                <w:szCs w:val="22"/>
                <w:lang w:val="zh-CN"/>
              </w:rPr>
              <w:t>经营活动</w:t>
            </w:r>
            <w:r>
              <w:rPr>
                <w:rFonts w:hint="eastAsia" w:ascii="宋体" w:hAnsi="宋体"/>
                <w:kern w:val="0"/>
                <w:sz w:val="22"/>
                <w:szCs w:val="22"/>
                <w:lang w:val="zh-CN"/>
              </w:rPr>
              <w:fldChar w:fldCharType="end"/>
            </w:r>
            <w:r>
              <w:rPr>
                <w:rFonts w:hint="eastAsia" w:ascii="宋体" w:hAnsi="宋体"/>
                <w:kern w:val="0"/>
                <w:sz w:val="22"/>
                <w:szCs w:val="22"/>
                <w:lang w:val="zh-CN"/>
              </w:rPr>
              <w:t>中没有重大违法记录；</w:t>
            </w:r>
            <w:r>
              <w:rPr>
                <w:rFonts w:hint="eastAsia" w:ascii="宋体" w:hAnsi="宋体"/>
                <w:kern w:val="0"/>
                <w:sz w:val="22"/>
                <w:szCs w:val="22"/>
                <w:lang w:val="zh-CN"/>
              </w:rPr>
              <w:br w:type="textWrapping"/>
            </w:r>
            <w:r>
              <w:rPr>
                <w:rFonts w:hint="eastAsia" w:ascii="宋体" w:hAnsi="宋体"/>
                <w:kern w:val="0"/>
                <w:sz w:val="22"/>
                <w:szCs w:val="22"/>
                <w:lang w:val="zh-CN"/>
              </w:rPr>
              <w:t>&lt;6&gt;法律、行政法规规定的其他条件。</w:t>
            </w:r>
          </w:p>
          <w:p>
            <w:pPr>
              <w:pStyle w:val="18"/>
              <w:spacing w:line="360" w:lineRule="auto"/>
              <w:rPr>
                <w:rFonts w:ascii="宋体" w:hAnsi="宋体"/>
                <w:kern w:val="0"/>
                <w:sz w:val="22"/>
                <w:szCs w:val="22"/>
                <w:lang w:val="zh-CN"/>
              </w:rPr>
            </w:pPr>
            <w:r>
              <w:rPr>
                <w:rFonts w:hint="eastAsia" w:ascii="宋体" w:hAnsi="宋体"/>
                <w:kern w:val="0"/>
                <w:sz w:val="22"/>
                <w:szCs w:val="22"/>
              </w:rPr>
              <w:t>2、</w:t>
            </w:r>
            <w:r>
              <w:rPr>
                <w:rFonts w:hint="eastAsia" w:ascii="宋体" w:hAnsi="宋体"/>
                <w:kern w:val="0"/>
                <w:sz w:val="22"/>
                <w:szCs w:val="22"/>
                <w:lang w:val="zh-CN"/>
              </w:rPr>
              <w:t>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10天内)。</w:t>
            </w:r>
          </w:p>
          <w:p>
            <w:pPr>
              <w:pStyle w:val="18"/>
              <w:spacing w:line="360" w:lineRule="auto"/>
              <w:rPr>
                <w:rFonts w:ascii="宋体" w:hAnsi="宋体"/>
                <w:kern w:val="0"/>
                <w:sz w:val="22"/>
                <w:szCs w:val="22"/>
                <w:lang w:val="zh-CN"/>
              </w:rPr>
            </w:pPr>
            <w:r>
              <w:rPr>
                <w:rFonts w:hint="eastAsia" w:ascii="宋体" w:hAnsi="宋体"/>
                <w:kern w:val="0"/>
                <w:sz w:val="22"/>
                <w:szCs w:val="22"/>
              </w:rPr>
              <w:t>3、</w:t>
            </w:r>
            <w:r>
              <w:rPr>
                <w:rFonts w:hint="eastAsia" w:ascii="宋体" w:hAnsi="宋体"/>
                <w:kern w:val="0"/>
                <w:sz w:val="22"/>
                <w:szCs w:val="22"/>
                <w:lang w:val="zh-CN"/>
              </w:rPr>
              <w:t>本项目不接受磋商人以联合体方式进行投标。</w:t>
            </w:r>
          </w:p>
          <w:p>
            <w:pPr>
              <w:pStyle w:val="16"/>
              <w:kinsoku w:val="0"/>
              <w:overflowPunct w:val="0"/>
              <w:spacing w:line="239" w:lineRule="auto"/>
              <w:ind w:right="19"/>
              <w:rPr>
                <w:sz w:val="22"/>
                <w:szCs w:val="18"/>
              </w:rPr>
            </w:pPr>
            <w:r>
              <w:rPr>
                <w:rFonts w:hint="eastAsia" w:ascii="宋体" w:hAnsi="宋体"/>
                <w:color w:val="FF0000"/>
                <w:szCs w:val="24"/>
              </w:rPr>
              <w:t>4、</w:t>
            </w:r>
            <w:r>
              <w:rPr>
                <w:rFonts w:hint="eastAsia" w:ascii="宋体" w:hAnsi="宋体"/>
                <w:color w:val="FF0000"/>
                <w:szCs w:val="24"/>
                <w:lang w:val="zh-CN"/>
              </w:rPr>
              <w:t>本项目要求供应商具备市政道路工程设计</w:t>
            </w:r>
            <w:r>
              <w:rPr>
                <w:rFonts w:hint="eastAsia" w:ascii="宋体" w:hAnsi="宋体"/>
                <w:color w:val="FF0000"/>
                <w:szCs w:val="24"/>
              </w:rPr>
              <w:t>专业</w:t>
            </w:r>
            <w:r>
              <w:rPr>
                <w:rFonts w:hint="eastAsia" w:ascii="宋体" w:hAnsi="宋体"/>
                <w:color w:val="FF0000"/>
                <w:szCs w:val="24"/>
                <w:lang w:eastAsia="zh-CN"/>
              </w:rPr>
              <w:t>甲</w:t>
            </w:r>
            <w:r>
              <w:rPr>
                <w:rFonts w:hint="eastAsia" w:ascii="宋体" w:hAnsi="宋体"/>
                <w:color w:val="FF0000"/>
                <w:szCs w:val="24"/>
              </w:rPr>
              <w:t>级及以上资质</w:t>
            </w:r>
            <w:r>
              <w:rPr>
                <w:rFonts w:hint="eastAsia" w:ascii="宋体" w:hAnsi="宋体"/>
                <w:color w:val="FF0000"/>
                <w:szCs w:val="24"/>
                <w:lang w:val="zh-CN"/>
              </w:rPr>
              <w:t>。</w:t>
            </w:r>
            <w:r>
              <w:rPr>
                <w:rFonts w:hint="eastAsia" w:ascii="宋体" w:hAnsi="宋体"/>
                <w:color w:val="FF0000"/>
                <w:szCs w:val="24"/>
              </w:rPr>
              <w:t>拟任项目负责人应提供公司缴纳社保、具有中级及以上技术职称。并在人员、技术力量、设备、资金等方面具备相应的能力。</w:t>
            </w:r>
          </w:p>
        </w:tc>
      </w:tr>
      <w:tr>
        <w:tblPrEx>
          <w:tblLayout w:type="fixed"/>
          <w:tblCellMar>
            <w:top w:w="0" w:type="dxa"/>
            <w:left w:w="108" w:type="dxa"/>
            <w:bottom w:w="0" w:type="dxa"/>
            <w:right w:w="108" w:type="dxa"/>
          </w:tblCellMar>
        </w:tblPrEx>
        <w:trPr>
          <w:trHeight w:val="2711" w:hRule="exact"/>
        </w:trPr>
        <w:tc>
          <w:tcPr>
            <w:tcW w:w="90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before="8" w:line="320" w:lineRule="exact"/>
              <w:rPr>
                <w:sz w:val="32"/>
              </w:rPr>
            </w:pPr>
          </w:p>
          <w:p>
            <w:pPr>
              <w:pStyle w:val="16"/>
              <w:kinsoku w:val="0"/>
              <w:overflowPunct w:val="0"/>
              <w:ind w:left="325"/>
            </w:pPr>
            <w:r>
              <w:rPr>
                <w:rFonts w:hint="eastAsia" w:ascii="宋体" w:hAnsi="宋体"/>
              </w:rPr>
              <w:t xml:space="preserve">12 </w:t>
            </w:r>
          </w:p>
        </w:tc>
        <w:tc>
          <w:tcPr>
            <w:tcW w:w="192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before="8" w:line="320" w:lineRule="exact"/>
              <w:rPr>
                <w:sz w:val="32"/>
              </w:rPr>
            </w:pPr>
          </w:p>
          <w:p>
            <w:pPr>
              <w:pStyle w:val="16"/>
              <w:kinsoku w:val="0"/>
              <w:overflowPunct w:val="0"/>
              <w:ind w:left="100"/>
            </w:pPr>
            <w:r>
              <w:rPr>
                <w:rFonts w:hint="eastAsia" w:ascii="宋体" w:hAnsi="宋体"/>
              </w:rPr>
              <w:t xml:space="preserve">磋商保证金 </w:t>
            </w:r>
          </w:p>
        </w:tc>
        <w:tc>
          <w:tcPr>
            <w:tcW w:w="613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right="3159"/>
              <w:rPr>
                <w:rFonts w:ascii="宋体" w:hAnsi="宋体"/>
              </w:rPr>
            </w:pPr>
            <w:r>
              <w:rPr>
                <w:rFonts w:hint="eastAsia" w:ascii="宋体" w:hAnsi="宋体"/>
              </w:rPr>
              <w:t xml:space="preserve">磋商保证金：15000元   </w:t>
            </w:r>
          </w:p>
          <w:p>
            <w:pPr>
              <w:pStyle w:val="16"/>
              <w:kinsoku w:val="0"/>
              <w:overflowPunct w:val="0"/>
              <w:spacing w:before="32"/>
              <w:ind w:right="3159"/>
              <w:rPr>
                <w:rFonts w:ascii="宋体" w:hAnsi="宋体"/>
              </w:rPr>
            </w:pPr>
            <w:r>
              <w:rPr>
                <w:rFonts w:hint="eastAsia" w:ascii="宋体" w:hAnsi="宋体"/>
              </w:rPr>
              <w:t>大写： 壹万伍仟元整</w:t>
            </w:r>
          </w:p>
          <w:p>
            <w:pPr>
              <w:rPr>
                <w:rFonts w:ascii="宋体" w:hAnsi="宋体" w:cs="宋体"/>
              </w:rPr>
            </w:pPr>
            <w:r>
              <w:rPr>
                <w:rFonts w:hint="eastAsia" w:ascii="宋体" w:hAnsi="宋体"/>
              </w:rPr>
              <w:t>收款单位：青海广维工程项目管理有限公司</w:t>
            </w:r>
          </w:p>
          <w:p>
            <w:pPr>
              <w:pStyle w:val="16"/>
              <w:kinsoku w:val="0"/>
              <w:overflowPunct w:val="0"/>
              <w:rPr>
                <w:rFonts w:ascii="宋体" w:hAnsi="宋体" w:cs="宋体"/>
                <w:color w:val="000000"/>
              </w:rPr>
            </w:pPr>
            <w:r>
              <w:rPr>
                <w:rFonts w:hint="eastAsia" w:ascii="宋体" w:hAnsi="宋体" w:cs="宋体"/>
                <w:color w:val="000000"/>
              </w:rPr>
              <w:t>开 户 行：</w:t>
            </w:r>
            <w:r>
              <w:rPr>
                <w:rFonts w:hint="eastAsia" w:ascii="宋体" w:hAnsi="宋体" w:cs="宋体"/>
                <w:lang w:val="zh-CN"/>
              </w:rPr>
              <w:t>中国工商银行股份有限公司西宁文汇路支行</w:t>
            </w:r>
          </w:p>
          <w:p>
            <w:pPr>
              <w:pStyle w:val="16"/>
              <w:kinsoku w:val="0"/>
              <w:overflowPunct w:val="0"/>
              <w:spacing w:before="37"/>
              <w:ind w:right="19"/>
              <w:rPr>
                <w:rFonts w:ascii="宋体" w:hAnsi="宋体" w:cs="宋体"/>
              </w:rPr>
            </w:pPr>
            <w:r>
              <w:rPr>
                <w:rFonts w:hint="eastAsia" w:ascii="宋体" w:hAnsi="宋体" w:cs="宋体"/>
                <w:color w:val="000000"/>
              </w:rPr>
              <w:t>银行账号：</w:t>
            </w:r>
            <w:r>
              <w:rPr>
                <w:rFonts w:ascii="宋体" w:hAnsi="宋体" w:cs="宋体"/>
              </w:rPr>
              <w:t>2806027909100020961</w:t>
            </w:r>
          </w:p>
          <w:p>
            <w:pPr>
              <w:pStyle w:val="16"/>
              <w:kinsoku w:val="0"/>
              <w:overflowPunct w:val="0"/>
              <w:spacing w:before="37"/>
              <w:ind w:right="19"/>
              <w:rPr>
                <w:rFonts w:ascii="宋体" w:hAnsi="宋体"/>
              </w:rPr>
            </w:pPr>
            <w:r>
              <w:rPr>
                <w:rFonts w:hint="eastAsia" w:ascii="宋体" w:hAnsi="宋体" w:cs="宋体"/>
              </w:rPr>
              <w:t>缴费时</w:t>
            </w:r>
            <w:r>
              <w:rPr>
                <w:rFonts w:hint="eastAsia" w:ascii="宋体" w:hAnsi="宋体" w:cs="宋体"/>
                <w:spacing w:val="-41"/>
              </w:rPr>
              <w:t>间：</w:t>
            </w:r>
            <w:r>
              <w:rPr>
                <w:rFonts w:hint="eastAsia" w:ascii="宋体" w:hAnsi="宋体" w:cs="宋体"/>
                <w:spacing w:val="-41"/>
                <w:lang w:eastAsia="zh-CN"/>
              </w:rPr>
              <w:t>在</w:t>
            </w:r>
            <w:r>
              <w:rPr>
                <w:rFonts w:hint="eastAsia" w:ascii="宋体" w:hAnsi="宋体" w:cs="宋体"/>
              </w:rPr>
              <w:t>投标截止时间前，以银行到账时间为准。</w:t>
            </w:r>
            <w:r>
              <w:rPr>
                <w:rFonts w:hint="eastAsia" w:ascii="宋体" w:hAnsi="宋体" w:cs="宋体"/>
                <w:spacing w:val="-48"/>
              </w:rPr>
              <w:t>，</w:t>
            </w:r>
            <w:r>
              <w:rPr>
                <w:rFonts w:hint="eastAsia" w:ascii="宋体" w:hAnsi="宋体" w:cs="宋体"/>
                <w:b/>
              </w:rPr>
              <w:t>票据附言栏内须注明项</w:t>
            </w:r>
            <w:r>
              <w:rPr>
                <w:rFonts w:hint="eastAsia" w:ascii="宋体" w:hAnsi="宋体" w:cs="宋体"/>
                <w:b/>
                <w:spacing w:val="-47"/>
              </w:rPr>
              <w:t>目</w:t>
            </w:r>
            <w:r>
              <w:rPr>
                <w:rFonts w:hint="eastAsia" w:ascii="宋体" w:hAnsi="宋体" w:cs="宋体"/>
                <w:b/>
              </w:rPr>
              <w:t>（包括标段）名称及用途</w:t>
            </w:r>
            <w:r>
              <w:rPr>
                <w:rFonts w:hint="eastAsia" w:ascii="宋体" w:hAnsi="宋体"/>
              </w:rPr>
              <w:t>。</w:t>
            </w:r>
          </w:p>
        </w:tc>
      </w:tr>
    </w:tbl>
    <w:p>
      <w:pPr>
        <w:kinsoku w:val="0"/>
        <w:overflowPunct w:val="0"/>
        <w:spacing w:before="2" w:line="80" w:lineRule="exact"/>
        <w:rPr>
          <w:sz w:val="8"/>
        </w:rPr>
      </w:pPr>
    </w:p>
    <w:tbl>
      <w:tblPr>
        <w:tblStyle w:val="15"/>
        <w:tblW w:w="8966" w:type="dxa"/>
        <w:tblInd w:w="216" w:type="dxa"/>
        <w:tblLayout w:type="fixed"/>
        <w:tblCellMar>
          <w:top w:w="0" w:type="dxa"/>
          <w:left w:w="108" w:type="dxa"/>
          <w:bottom w:w="0" w:type="dxa"/>
          <w:right w:w="108" w:type="dxa"/>
        </w:tblCellMar>
      </w:tblPr>
      <w:tblGrid>
        <w:gridCol w:w="906"/>
        <w:gridCol w:w="1925"/>
        <w:gridCol w:w="6135"/>
      </w:tblGrid>
      <w:tr>
        <w:tblPrEx>
          <w:tblLayout w:type="fixed"/>
          <w:tblCellMar>
            <w:top w:w="0" w:type="dxa"/>
            <w:left w:w="108" w:type="dxa"/>
            <w:bottom w:w="0" w:type="dxa"/>
            <w:right w:w="108" w:type="dxa"/>
          </w:tblCellMar>
        </w:tblPrEx>
        <w:trPr>
          <w:trHeight w:val="1580" w:hRule="exact"/>
        </w:trPr>
        <w:tc>
          <w:tcPr>
            <w:tcW w:w="90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 w:line="120" w:lineRule="exact"/>
              <w:rPr>
                <w:sz w:val="12"/>
              </w:rPr>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ind w:left="325"/>
            </w:pPr>
            <w:r>
              <w:rPr>
                <w:rFonts w:hint="eastAsia" w:ascii="宋体" w:hAnsi="宋体"/>
              </w:rPr>
              <w:t xml:space="preserve">13 </w:t>
            </w:r>
          </w:p>
        </w:tc>
        <w:tc>
          <w:tcPr>
            <w:tcW w:w="192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 w:line="120" w:lineRule="exact"/>
              <w:rPr>
                <w:sz w:val="12"/>
              </w:rPr>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ind w:left="100"/>
            </w:pPr>
            <w:r>
              <w:rPr>
                <w:rFonts w:hint="eastAsia" w:ascii="宋体" w:hAnsi="宋体"/>
              </w:rPr>
              <w:t xml:space="preserve">缴费方式 </w:t>
            </w:r>
          </w:p>
        </w:tc>
        <w:tc>
          <w:tcPr>
            <w:tcW w:w="613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43"/>
            </w:pPr>
            <w:r>
              <w:rPr>
                <w:rFonts w:hint="eastAsia" w:ascii="宋体" w:hAnsi="宋体"/>
              </w:rPr>
              <w:t>缴费方式：磋商保证金应当通过银行转账、电汇的形式，必须由参与供应商从其基本账户(需提供开户许可证)汇（转）入青海广维工程项目管理有限公司指定账户。参与供应商未按照磋商文件要求提交磋商保证金的</w:t>
            </w:r>
            <w:r>
              <w:rPr>
                <w:rFonts w:hint="eastAsia" w:ascii="宋体" w:hAnsi="宋体"/>
                <w:spacing w:val="-81"/>
              </w:rPr>
              <w:t>，</w:t>
            </w:r>
            <w:r>
              <w:rPr>
                <w:rFonts w:hint="eastAsia" w:ascii="宋体" w:hAnsi="宋体"/>
              </w:rPr>
              <w:t xml:space="preserve">磋商无效。 </w:t>
            </w:r>
          </w:p>
        </w:tc>
      </w:tr>
      <w:tr>
        <w:tblPrEx>
          <w:tblLayout w:type="fixed"/>
          <w:tblCellMar>
            <w:top w:w="0" w:type="dxa"/>
            <w:left w:w="108" w:type="dxa"/>
            <w:bottom w:w="0" w:type="dxa"/>
            <w:right w:w="108" w:type="dxa"/>
          </w:tblCellMar>
        </w:tblPrEx>
        <w:trPr>
          <w:trHeight w:val="1615" w:hRule="exact"/>
        </w:trPr>
        <w:tc>
          <w:tcPr>
            <w:tcW w:w="90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 w:line="160" w:lineRule="exact"/>
              <w:rPr>
                <w:sz w:val="16"/>
              </w:rPr>
            </w:pPr>
          </w:p>
          <w:p>
            <w:pPr>
              <w:pStyle w:val="16"/>
              <w:kinsoku w:val="0"/>
              <w:overflowPunct w:val="0"/>
              <w:spacing w:line="240" w:lineRule="exact"/>
            </w:pPr>
          </w:p>
          <w:p>
            <w:pPr>
              <w:pStyle w:val="16"/>
              <w:kinsoku w:val="0"/>
              <w:overflowPunct w:val="0"/>
              <w:spacing w:line="240" w:lineRule="exact"/>
            </w:pPr>
          </w:p>
          <w:p>
            <w:pPr>
              <w:pStyle w:val="16"/>
              <w:kinsoku w:val="0"/>
              <w:overflowPunct w:val="0"/>
              <w:ind w:left="325"/>
            </w:pPr>
            <w:r>
              <w:rPr>
                <w:rFonts w:hint="eastAsia" w:ascii="宋体" w:hAnsi="宋体"/>
              </w:rPr>
              <w:t xml:space="preserve">14 </w:t>
            </w:r>
          </w:p>
        </w:tc>
        <w:tc>
          <w:tcPr>
            <w:tcW w:w="192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 w:line="160" w:lineRule="exact"/>
              <w:rPr>
                <w:sz w:val="16"/>
              </w:rPr>
            </w:pPr>
          </w:p>
          <w:p>
            <w:pPr>
              <w:pStyle w:val="16"/>
              <w:kinsoku w:val="0"/>
              <w:overflowPunct w:val="0"/>
              <w:spacing w:line="240" w:lineRule="exact"/>
            </w:pPr>
          </w:p>
          <w:p>
            <w:pPr>
              <w:pStyle w:val="16"/>
              <w:kinsoku w:val="0"/>
              <w:overflowPunct w:val="0"/>
              <w:spacing w:line="240" w:lineRule="exact"/>
            </w:pPr>
          </w:p>
          <w:p>
            <w:pPr>
              <w:pStyle w:val="16"/>
              <w:kinsoku w:val="0"/>
              <w:overflowPunct w:val="0"/>
              <w:ind w:left="100"/>
            </w:pPr>
            <w:r>
              <w:rPr>
                <w:rFonts w:hint="eastAsia" w:ascii="宋体" w:hAnsi="宋体"/>
              </w:rPr>
              <w:t xml:space="preserve">磋商保证金退还 </w:t>
            </w:r>
          </w:p>
        </w:tc>
        <w:tc>
          <w:tcPr>
            <w:tcW w:w="613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400" w:lineRule="exact"/>
              <w:ind w:left="100" w:right="-20"/>
            </w:pPr>
            <w:r>
              <w:rPr>
                <w:rFonts w:hint="eastAsia" w:ascii="宋体" w:hAnsi="宋体"/>
                <w:spacing w:val="5"/>
              </w:rPr>
              <w:t>未成交供应商的磋商保证金自成交通知书发出之日起</w:t>
            </w:r>
            <w:r>
              <w:rPr>
                <w:rFonts w:hint="eastAsia" w:ascii="宋体" w:hAnsi="宋体"/>
              </w:rPr>
              <w:t>5个工作日内退</w:t>
            </w:r>
            <w:r>
              <w:rPr>
                <w:rFonts w:hint="eastAsia" w:ascii="宋体" w:hAnsi="宋体"/>
                <w:spacing w:val="-81"/>
              </w:rPr>
              <w:t>还</w:t>
            </w:r>
            <w:r>
              <w:rPr>
                <w:rFonts w:hint="eastAsia" w:ascii="宋体" w:hAnsi="宋体"/>
              </w:rPr>
              <w:t>（不退现金</w:t>
            </w:r>
            <w:r>
              <w:rPr>
                <w:rFonts w:hint="eastAsia" w:ascii="宋体" w:hAnsi="宋体"/>
                <w:spacing w:val="-60"/>
              </w:rPr>
              <w:t>）；</w:t>
            </w:r>
            <w:r>
              <w:rPr>
                <w:rFonts w:hint="eastAsia" w:ascii="宋体" w:hAnsi="宋体"/>
              </w:rPr>
              <w:t>成交供应商的磋商保证金，</w:t>
            </w:r>
            <w:r>
              <w:rPr>
                <w:rFonts w:hint="eastAsia" w:ascii="宋体" w:hAnsi="宋体"/>
                <w:spacing w:val="5"/>
              </w:rPr>
              <w:t>自政府采购合同签订之日起</w:t>
            </w:r>
            <w:r>
              <w:rPr>
                <w:rFonts w:hint="eastAsia" w:ascii="宋体" w:hAnsi="宋体"/>
              </w:rPr>
              <w:t>5</w:t>
            </w:r>
            <w:r>
              <w:rPr>
                <w:rFonts w:hint="eastAsia" w:ascii="宋体" w:hAnsi="宋体"/>
                <w:spacing w:val="5"/>
              </w:rPr>
              <w:t>个工作日内退还（不退现</w:t>
            </w:r>
            <w:r>
              <w:rPr>
                <w:rFonts w:hint="eastAsia" w:ascii="宋体" w:hAnsi="宋体"/>
              </w:rPr>
              <w:t xml:space="preserve">金）。 </w:t>
            </w:r>
          </w:p>
        </w:tc>
      </w:tr>
      <w:tr>
        <w:tblPrEx>
          <w:tblLayout w:type="fixed"/>
          <w:tblCellMar>
            <w:top w:w="0" w:type="dxa"/>
            <w:left w:w="108" w:type="dxa"/>
            <w:bottom w:w="0" w:type="dxa"/>
            <w:right w:w="108" w:type="dxa"/>
          </w:tblCellMar>
        </w:tblPrEx>
        <w:trPr>
          <w:trHeight w:val="441" w:hRule="exact"/>
        </w:trPr>
        <w:tc>
          <w:tcPr>
            <w:tcW w:w="906" w:type="dxa"/>
            <w:vMerge w:val="restart"/>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before="3" w:line="320" w:lineRule="exact"/>
              <w:rPr>
                <w:sz w:val="32"/>
              </w:rPr>
            </w:pPr>
          </w:p>
          <w:p>
            <w:pPr>
              <w:pStyle w:val="16"/>
              <w:kinsoku w:val="0"/>
              <w:overflowPunct w:val="0"/>
              <w:ind w:left="325"/>
            </w:pPr>
            <w:r>
              <w:rPr>
                <w:rFonts w:hint="eastAsia" w:ascii="宋体" w:hAnsi="宋体"/>
              </w:rPr>
              <w:t xml:space="preserve">15 </w:t>
            </w:r>
          </w:p>
        </w:tc>
        <w:tc>
          <w:tcPr>
            <w:tcW w:w="1925" w:type="dxa"/>
            <w:vMerge w:val="restart"/>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 w:line="120" w:lineRule="exact"/>
              <w:rPr>
                <w:sz w:val="12"/>
              </w:rPr>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309" w:lineRule="auto"/>
              <w:ind w:left="100"/>
            </w:pPr>
            <w:r>
              <w:rPr>
                <w:rFonts w:hint="eastAsia" w:ascii="宋体" w:hAnsi="宋体"/>
              </w:rPr>
              <w:t xml:space="preserve">磋商响应文件编制要求 </w:t>
            </w:r>
          </w:p>
        </w:tc>
        <w:tc>
          <w:tcPr>
            <w:tcW w:w="6135" w:type="dxa"/>
            <w:tcBorders>
              <w:top w:val="single" w:color="000000" w:sz="6" w:space="0"/>
              <w:left w:val="single" w:color="000000" w:sz="6" w:space="0"/>
              <w:bottom w:val="nil"/>
              <w:right w:val="single" w:color="000000" w:sz="6" w:space="0"/>
              <w:tl2br w:val="nil"/>
              <w:tr2bl w:val="nil"/>
            </w:tcBorders>
          </w:tcPr>
          <w:p>
            <w:pPr>
              <w:pStyle w:val="16"/>
              <w:kinsoku w:val="0"/>
              <w:overflowPunct w:val="0"/>
              <w:spacing w:before="43"/>
            </w:pPr>
            <w:r>
              <w:rPr>
                <w:rFonts w:hint="eastAsia" w:ascii="宋体" w:hAnsi="宋体"/>
              </w:rPr>
              <w:t>1.参与供应商应按照磋商文件所提供的磋商响应文件格</w:t>
            </w:r>
          </w:p>
        </w:tc>
      </w:tr>
      <w:tr>
        <w:tblPrEx>
          <w:tblLayout w:type="fixed"/>
          <w:tblCellMar>
            <w:top w:w="0" w:type="dxa"/>
            <w:left w:w="108" w:type="dxa"/>
            <w:bottom w:w="0" w:type="dxa"/>
            <w:right w:w="108" w:type="dxa"/>
          </w:tblCellMar>
        </w:tblPrEx>
        <w:trPr>
          <w:trHeight w:val="400" w:hRule="exact"/>
        </w:trPr>
        <w:tc>
          <w:tcPr>
            <w:tcW w:w="906"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43"/>
              <w:ind w:left="100"/>
            </w:pPr>
          </w:p>
        </w:tc>
        <w:tc>
          <w:tcPr>
            <w:tcW w:w="1925"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43"/>
              <w:ind w:left="100"/>
            </w:pPr>
          </w:p>
        </w:tc>
        <w:tc>
          <w:tcPr>
            <w:tcW w:w="6135" w:type="dxa"/>
            <w:tcBorders>
              <w:top w:val="nil"/>
              <w:left w:val="single" w:color="000000" w:sz="6" w:space="0"/>
              <w:bottom w:val="nil"/>
              <w:right w:val="single" w:color="000000" w:sz="6" w:space="0"/>
              <w:tl2br w:val="nil"/>
              <w:tr2bl w:val="nil"/>
            </w:tcBorders>
          </w:tcPr>
          <w:p>
            <w:pPr>
              <w:pStyle w:val="16"/>
              <w:kinsoku w:val="0"/>
              <w:overflowPunct w:val="0"/>
              <w:spacing w:before="9"/>
            </w:pPr>
            <w:r>
              <w:rPr>
                <w:rFonts w:hint="eastAsia" w:ascii="宋体" w:hAnsi="宋体"/>
              </w:rPr>
              <w:t>式</w:t>
            </w:r>
            <w:r>
              <w:rPr>
                <w:rFonts w:hint="eastAsia" w:ascii="宋体" w:hAnsi="宋体"/>
                <w:spacing w:val="-41"/>
              </w:rPr>
              <w:t>，</w:t>
            </w:r>
            <w:r>
              <w:rPr>
                <w:rFonts w:hint="eastAsia" w:ascii="宋体" w:hAnsi="宋体"/>
              </w:rPr>
              <w:t>分别填写磋商文件第五部分的内容</w:t>
            </w:r>
            <w:r>
              <w:rPr>
                <w:rFonts w:hint="eastAsia" w:ascii="宋体" w:hAnsi="宋体"/>
                <w:spacing w:val="-41"/>
              </w:rPr>
              <w:t>，</w:t>
            </w:r>
            <w:r>
              <w:rPr>
                <w:rFonts w:hint="eastAsia" w:ascii="宋体" w:hAnsi="宋体"/>
              </w:rPr>
              <w:t>应分别注明所提</w:t>
            </w:r>
          </w:p>
        </w:tc>
      </w:tr>
      <w:tr>
        <w:tblPrEx>
          <w:tblLayout w:type="fixed"/>
          <w:tblCellMar>
            <w:top w:w="0" w:type="dxa"/>
            <w:left w:w="108" w:type="dxa"/>
            <w:bottom w:w="0" w:type="dxa"/>
            <w:right w:w="108" w:type="dxa"/>
          </w:tblCellMar>
        </w:tblPrEx>
        <w:trPr>
          <w:trHeight w:val="400" w:hRule="exact"/>
        </w:trPr>
        <w:tc>
          <w:tcPr>
            <w:tcW w:w="906"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1925"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6135" w:type="dxa"/>
            <w:tcBorders>
              <w:top w:val="nil"/>
              <w:left w:val="single" w:color="000000" w:sz="6" w:space="0"/>
              <w:bottom w:val="nil"/>
              <w:right w:val="single" w:color="000000" w:sz="6" w:space="0"/>
              <w:tl2br w:val="nil"/>
              <w:tr2bl w:val="nil"/>
            </w:tcBorders>
          </w:tcPr>
          <w:p>
            <w:pPr>
              <w:pStyle w:val="16"/>
              <w:kinsoku w:val="0"/>
              <w:overflowPunct w:val="0"/>
              <w:spacing w:before="9"/>
            </w:pPr>
            <w:r>
              <w:rPr>
                <w:rFonts w:hint="eastAsia" w:ascii="宋体" w:hAnsi="宋体"/>
              </w:rPr>
              <w:t>供货物的名称</w:t>
            </w:r>
            <w:r>
              <w:rPr>
                <w:rFonts w:hint="eastAsia" w:ascii="宋体" w:hAnsi="宋体"/>
                <w:spacing w:val="-27"/>
              </w:rPr>
              <w:t>、</w:t>
            </w:r>
            <w:r>
              <w:rPr>
                <w:rFonts w:hint="eastAsia" w:ascii="宋体" w:hAnsi="宋体"/>
              </w:rPr>
              <w:t>技术配置及参数</w:t>
            </w:r>
            <w:r>
              <w:rPr>
                <w:rFonts w:hint="eastAsia" w:ascii="宋体" w:hAnsi="宋体"/>
                <w:spacing w:val="-27"/>
              </w:rPr>
              <w:t>、</w:t>
            </w:r>
            <w:r>
              <w:rPr>
                <w:rFonts w:hint="eastAsia" w:ascii="宋体" w:hAnsi="宋体"/>
              </w:rPr>
              <w:t>数量和价格等内容</w:t>
            </w:r>
            <w:r>
              <w:rPr>
                <w:rFonts w:hint="eastAsia" w:ascii="宋体" w:hAnsi="宋体"/>
                <w:spacing w:val="-27"/>
              </w:rPr>
              <w:t>，</w:t>
            </w:r>
            <w:r>
              <w:rPr>
                <w:rFonts w:hint="eastAsia" w:ascii="宋体" w:hAnsi="宋体"/>
              </w:rPr>
              <w:t>并</w:t>
            </w:r>
          </w:p>
        </w:tc>
      </w:tr>
      <w:tr>
        <w:tblPrEx>
          <w:tblLayout w:type="fixed"/>
          <w:tblCellMar>
            <w:top w:w="0" w:type="dxa"/>
            <w:left w:w="108" w:type="dxa"/>
            <w:bottom w:w="0" w:type="dxa"/>
            <w:right w:w="108" w:type="dxa"/>
          </w:tblCellMar>
        </w:tblPrEx>
        <w:trPr>
          <w:trHeight w:val="400" w:hRule="exact"/>
        </w:trPr>
        <w:tc>
          <w:tcPr>
            <w:tcW w:w="906"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1925"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6135" w:type="dxa"/>
            <w:tcBorders>
              <w:top w:val="nil"/>
              <w:left w:val="single" w:color="000000" w:sz="6" w:space="0"/>
              <w:bottom w:val="nil"/>
              <w:right w:val="single" w:color="000000" w:sz="6" w:space="0"/>
              <w:tl2br w:val="nil"/>
              <w:tr2bl w:val="nil"/>
            </w:tcBorders>
          </w:tcPr>
          <w:p>
            <w:pPr>
              <w:pStyle w:val="16"/>
              <w:kinsoku w:val="0"/>
              <w:overflowPunct w:val="0"/>
              <w:spacing w:before="9"/>
              <w:ind w:right="19"/>
            </w:pPr>
            <w:r>
              <w:rPr>
                <w:rFonts w:hint="eastAsia" w:ascii="宋体" w:hAnsi="宋体"/>
              </w:rPr>
              <w:t>由法定代表人或委托代理人本人按要求签字、加盖公章</w:t>
            </w:r>
            <w:r>
              <w:rPr>
                <w:rFonts w:hint="eastAsia" w:ascii="宋体" w:hAnsi="宋体"/>
                <w:spacing w:val="-81"/>
              </w:rPr>
              <w:t>。</w:t>
            </w:r>
          </w:p>
        </w:tc>
      </w:tr>
      <w:tr>
        <w:tblPrEx>
          <w:tblLayout w:type="fixed"/>
          <w:tblCellMar>
            <w:top w:w="0" w:type="dxa"/>
            <w:left w:w="108" w:type="dxa"/>
            <w:bottom w:w="0" w:type="dxa"/>
            <w:right w:w="108" w:type="dxa"/>
          </w:tblCellMar>
        </w:tblPrEx>
        <w:trPr>
          <w:trHeight w:val="400" w:hRule="exact"/>
        </w:trPr>
        <w:tc>
          <w:tcPr>
            <w:tcW w:w="906"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right="19"/>
            </w:pPr>
          </w:p>
        </w:tc>
        <w:tc>
          <w:tcPr>
            <w:tcW w:w="1925"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right="19"/>
            </w:pPr>
          </w:p>
        </w:tc>
        <w:tc>
          <w:tcPr>
            <w:tcW w:w="6135" w:type="dxa"/>
            <w:tcBorders>
              <w:top w:val="nil"/>
              <w:left w:val="single" w:color="000000" w:sz="6" w:space="0"/>
              <w:bottom w:val="nil"/>
              <w:right w:val="single" w:color="000000" w:sz="6" w:space="0"/>
              <w:tl2br w:val="nil"/>
              <w:tr2bl w:val="nil"/>
            </w:tcBorders>
          </w:tcPr>
          <w:p>
            <w:pPr>
              <w:pStyle w:val="16"/>
              <w:kinsoku w:val="0"/>
              <w:overflowPunct w:val="0"/>
              <w:spacing w:before="9"/>
            </w:pPr>
            <w:r>
              <w:rPr>
                <w:rFonts w:hint="eastAsia" w:ascii="宋体" w:hAnsi="宋体"/>
              </w:rPr>
              <w:t>2.参与供应商应按磋商文件要求准备磋商响应文件（1份</w:t>
            </w:r>
          </w:p>
        </w:tc>
      </w:tr>
      <w:tr>
        <w:tblPrEx>
          <w:tblLayout w:type="fixed"/>
          <w:tblCellMar>
            <w:top w:w="0" w:type="dxa"/>
            <w:left w:w="108" w:type="dxa"/>
            <w:bottom w:w="0" w:type="dxa"/>
            <w:right w:w="108" w:type="dxa"/>
          </w:tblCellMar>
        </w:tblPrEx>
        <w:trPr>
          <w:trHeight w:val="400" w:hRule="exact"/>
        </w:trPr>
        <w:tc>
          <w:tcPr>
            <w:tcW w:w="906"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1925"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6135" w:type="dxa"/>
            <w:tcBorders>
              <w:top w:val="nil"/>
              <w:left w:val="single" w:color="000000" w:sz="6" w:space="0"/>
              <w:bottom w:val="nil"/>
              <w:right w:val="single" w:color="000000" w:sz="6" w:space="0"/>
              <w:tl2br w:val="nil"/>
              <w:tr2bl w:val="nil"/>
            </w:tcBorders>
          </w:tcPr>
          <w:p>
            <w:pPr>
              <w:pStyle w:val="16"/>
              <w:kinsoku w:val="0"/>
              <w:overflowPunct w:val="0"/>
              <w:spacing w:before="9"/>
            </w:pPr>
            <w:r>
              <w:rPr>
                <w:rFonts w:hint="eastAsia" w:ascii="宋体" w:hAnsi="宋体"/>
              </w:rPr>
              <w:t>正本</w:t>
            </w:r>
            <w:r>
              <w:rPr>
                <w:rFonts w:hint="eastAsia" w:ascii="宋体" w:hAnsi="宋体"/>
                <w:spacing w:val="-41"/>
              </w:rPr>
              <w:t>、</w:t>
            </w:r>
            <w:r>
              <w:rPr>
                <w:rFonts w:hint="eastAsia" w:ascii="宋体" w:hAnsi="宋体"/>
              </w:rPr>
              <w:t>2份副本和相应的电子文档1份</w:t>
            </w:r>
            <w:r>
              <w:rPr>
                <w:rFonts w:hint="eastAsia" w:ascii="宋体" w:hAnsi="宋体"/>
                <w:spacing w:val="-41"/>
              </w:rPr>
              <w:t>。</w:t>
            </w:r>
            <w:r>
              <w:rPr>
                <w:rFonts w:hint="eastAsia" w:ascii="宋体" w:hAnsi="宋体"/>
              </w:rPr>
              <w:t>每份磋商响应文件</w:t>
            </w:r>
          </w:p>
        </w:tc>
      </w:tr>
      <w:tr>
        <w:tblPrEx>
          <w:tblLayout w:type="fixed"/>
          <w:tblCellMar>
            <w:top w:w="0" w:type="dxa"/>
            <w:left w:w="108" w:type="dxa"/>
            <w:bottom w:w="0" w:type="dxa"/>
            <w:right w:w="108" w:type="dxa"/>
          </w:tblCellMar>
        </w:tblPrEx>
        <w:trPr>
          <w:trHeight w:val="400" w:hRule="exact"/>
        </w:trPr>
        <w:tc>
          <w:tcPr>
            <w:tcW w:w="906"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1925"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6135" w:type="dxa"/>
            <w:tcBorders>
              <w:top w:val="nil"/>
              <w:left w:val="single" w:color="000000" w:sz="6" w:space="0"/>
              <w:bottom w:val="nil"/>
              <w:right w:val="single" w:color="000000" w:sz="6" w:space="0"/>
              <w:tl2br w:val="nil"/>
              <w:tr2bl w:val="nil"/>
            </w:tcBorders>
          </w:tcPr>
          <w:p>
            <w:pPr>
              <w:pStyle w:val="16"/>
              <w:kinsoku w:val="0"/>
              <w:overflowPunct w:val="0"/>
              <w:spacing w:before="9"/>
            </w:pPr>
            <w:r>
              <w:rPr>
                <w:rFonts w:hint="eastAsia" w:ascii="宋体" w:hAnsi="宋体"/>
                <w:spacing w:val="-4"/>
              </w:rPr>
              <w:t>都必须清楚地标明“正本”或“副本”字样。磋商响应文</w:t>
            </w:r>
          </w:p>
        </w:tc>
      </w:tr>
      <w:tr>
        <w:tblPrEx>
          <w:tblLayout w:type="fixed"/>
          <w:tblCellMar>
            <w:top w:w="0" w:type="dxa"/>
            <w:left w:w="108" w:type="dxa"/>
            <w:bottom w:w="0" w:type="dxa"/>
            <w:right w:w="108" w:type="dxa"/>
          </w:tblCellMar>
        </w:tblPrEx>
        <w:trPr>
          <w:trHeight w:val="400" w:hRule="exact"/>
        </w:trPr>
        <w:tc>
          <w:tcPr>
            <w:tcW w:w="906"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1925"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6135" w:type="dxa"/>
            <w:tcBorders>
              <w:top w:val="nil"/>
              <w:left w:val="single" w:color="000000" w:sz="6" w:space="0"/>
              <w:bottom w:val="nil"/>
              <w:right w:val="single" w:color="000000" w:sz="6" w:space="0"/>
              <w:tl2br w:val="nil"/>
              <w:tr2bl w:val="nil"/>
            </w:tcBorders>
          </w:tcPr>
          <w:p>
            <w:pPr>
              <w:pStyle w:val="16"/>
              <w:kinsoku w:val="0"/>
              <w:overflowPunct w:val="0"/>
              <w:spacing w:before="9"/>
            </w:pPr>
            <w:r>
              <w:rPr>
                <w:rFonts w:hint="eastAsia" w:ascii="宋体" w:hAnsi="宋体"/>
              </w:rPr>
              <w:t>件统一使用A4幅面的纸张印制</w:t>
            </w:r>
            <w:r>
              <w:rPr>
                <w:rFonts w:hint="eastAsia" w:ascii="宋体" w:hAnsi="宋体"/>
                <w:spacing w:val="-41"/>
              </w:rPr>
              <w:t>，</w:t>
            </w:r>
            <w:r>
              <w:rPr>
                <w:rFonts w:hint="eastAsia" w:ascii="宋体" w:hAnsi="宋体"/>
              </w:rPr>
              <w:t>必须胶装成册并编码</w:t>
            </w:r>
            <w:r>
              <w:rPr>
                <w:rFonts w:hint="eastAsia" w:ascii="宋体" w:hAnsi="宋体"/>
                <w:spacing w:val="-41"/>
              </w:rPr>
              <w:t>，</w:t>
            </w:r>
            <w:r>
              <w:rPr>
                <w:rFonts w:hint="eastAsia" w:ascii="宋体" w:hAnsi="宋体"/>
              </w:rPr>
              <w:t>书</w:t>
            </w:r>
          </w:p>
        </w:tc>
      </w:tr>
      <w:tr>
        <w:tblPrEx>
          <w:tblLayout w:type="fixed"/>
          <w:tblCellMar>
            <w:top w:w="0" w:type="dxa"/>
            <w:left w:w="108" w:type="dxa"/>
            <w:bottom w:w="0" w:type="dxa"/>
            <w:right w:w="108" w:type="dxa"/>
          </w:tblCellMar>
        </w:tblPrEx>
        <w:trPr>
          <w:trHeight w:val="800" w:hRule="exact"/>
        </w:trPr>
        <w:tc>
          <w:tcPr>
            <w:tcW w:w="906"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1925"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6135" w:type="dxa"/>
            <w:tcBorders>
              <w:top w:val="nil"/>
              <w:left w:val="single" w:color="000000" w:sz="6" w:space="0"/>
              <w:bottom w:val="nil"/>
              <w:right w:val="single" w:color="000000" w:sz="6" w:space="0"/>
              <w:tl2br w:val="nil"/>
              <w:tr2bl w:val="nil"/>
            </w:tcBorders>
          </w:tcPr>
          <w:p>
            <w:pPr>
              <w:pStyle w:val="16"/>
              <w:kinsoku w:val="0"/>
              <w:overflowPunct w:val="0"/>
              <w:spacing w:before="9"/>
              <w:ind w:right="19"/>
            </w:pPr>
            <w:r>
              <w:rPr>
                <w:rFonts w:hint="eastAsia" w:ascii="宋体" w:hAnsi="宋体"/>
              </w:rPr>
              <w:t>脊部应注明响应单位名称及项目名称</w:t>
            </w:r>
            <w:r>
              <w:rPr>
                <w:rFonts w:hint="eastAsia" w:ascii="宋体" w:hAnsi="宋体"/>
                <w:spacing w:val="-81"/>
              </w:rPr>
              <w:t>，</w:t>
            </w:r>
            <w:r>
              <w:rPr>
                <w:rFonts w:hint="eastAsia" w:ascii="宋体" w:hAnsi="宋体"/>
              </w:rPr>
              <w:t xml:space="preserve">其他方式装订的磋商响应文件一概不予接受。 </w:t>
            </w:r>
          </w:p>
        </w:tc>
      </w:tr>
      <w:tr>
        <w:tblPrEx>
          <w:tblLayout w:type="fixed"/>
          <w:tblCellMar>
            <w:top w:w="0" w:type="dxa"/>
            <w:left w:w="108" w:type="dxa"/>
            <w:bottom w:w="0" w:type="dxa"/>
            <w:right w:w="108" w:type="dxa"/>
          </w:tblCellMar>
        </w:tblPrEx>
        <w:trPr>
          <w:trHeight w:val="400" w:hRule="exact"/>
        </w:trPr>
        <w:tc>
          <w:tcPr>
            <w:tcW w:w="906"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line="309" w:lineRule="auto"/>
              <w:ind w:left="100" w:right="19"/>
            </w:pPr>
          </w:p>
        </w:tc>
        <w:tc>
          <w:tcPr>
            <w:tcW w:w="1925"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line="309" w:lineRule="auto"/>
              <w:ind w:left="100" w:right="19"/>
            </w:pPr>
          </w:p>
        </w:tc>
        <w:tc>
          <w:tcPr>
            <w:tcW w:w="6135" w:type="dxa"/>
            <w:tcBorders>
              <w:top w:val="nil"/>
              <w:left w:val="single" w:color="000000" w:sz="6" w:space="0"/>
              <w:bottom w:val="nil"/>
              <w:right w:val="single" w:color="000000" w:sz="6" w:space="0"/>
              <w:tl2br w:val="nil"/>
              <w:tr2bl w:val="nil"/>
            </w:tcBorders>
          </w:tcPr>
          <w:p>
            <w:pPr>
              <w:pStyle w:val="16"/>
              <w:kinsoku w:val="0"/>
              <w:overflowPunct w:val="0"/>
              <w:spacing w:before="9"/>
            </w:pPr>
            <w:r>
              <w:rPr>
                <w:rFonts w:hint="eastAsia" w:ascii="宋体" w:hAnsi="宋体"/>
              </w:rPr>
              <w:t>3、磋商响应文件的正本和副本均需打印或用不褪色、不</w:t>
            </w:r>
          </w:p>
        </w:tc>
      </w:tr>
      <w:tr>
        <w:tblPrEx>
          <w:tblLayout w:type="fixed"/>
          <w:tblCellMar>
            <w:top w:w="0" w:type="dxa"/>
            <w:left w:w="108" w:type="dxa"/>
            <w:bottom w:w="0" w:type="dxa"/>
            <w:right w:w="108" w:type="dxa"/>
          </w:tblCellMar>
        </w:tblPrEx>
        <w:trPr>
          <w:trHeight w:val="400" w:hRule="exact"/>
        </w:trPr>
        <w:tc>
          <w:tcPr>
            <w:tcW w:w="906"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1925"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6135" w:type="dxa"/>
            <w:tcBorders>
              <w:top w:val="nil"/>
              <w:left w:val="single" w:color="000000" w:sz="6" w:space="0"/>
              <w:bottom w:val="nil"/>
              <w:right w:val="single" w:color="000000" w:sz="6" w:space="0"/>
              <w:tl2br w:val="nil"/>
              <w:tr2bl w:val="nil"/>
            </w:tcBorders>
          </w:tcPr>
          <w:p>
            <w:pPr>
              <w:pStyle w:val="16"/>
              <w:kinsoku w:val="0"/>
              <w:overflowPunct w:val="0"/>
              <w:spacing w:before="9"/>
            </w:pPr>
            <w:r>
              <w:rPr>
                <w:rFonts w:hint="eastAsia" w:ascii="宋体" w:hAnsi="宋体"/>
              </w:rPr>
              <w:t>变质的墨水书写</w:t>
            </w:r>
            <w:r>
              <w:rPr>
                <w:rFonts w:hint="eastAsia" w:ascii="宋体" w:hAnsi="宋体"/>
                <w:spacing w:val="-81"/>
              </w:rPr>
              <w:t>，</w:t>
            </w:r>
            <w:r>
              <w:rPr>
                <w:rFonts w:hint="eastAsia" w:ascii="宋体" w:hAnsi="宋体"/>
              </w:rPr>
              <w:t>并由参与供应商的法定代表人本人或其</w:t>
            </w:r>
          </w:p>
        </w:tc>
      </w:tr>
      <w:tr>
        <w:tblPrEx>
          <w:tblLayout w:type="fixed"/>
          <w:tblCellMar>
            <w:top w:w="0" w:type="dxa"/>
            <w:left w:w="108" w:type="dxa"/>
            <w:bottom w:w="0" w:type="dxa"/>
            <w:right w:w="108" w:type="dxa"/>
          </w:tblCellMar>
        </w:tblPrEx>
        <w:trPr>
          <w:trHeight w:val="400" w:hRule="exact"/>
        </w:trPr>
        <w:tc>
          <w:tcPr>
            <w:tcW w:w="906"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1925"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6135" w:type="dxa"/>
            <w:tcBorders>
              <w:top w:val="nil"/>
              <w:left w:val="single" w:color="000000" w:sz="6" w:space="0"/>
              <w:bottom w:val="nil"/>
              <w:right w:val="single" w:color="000000" w:sz="6" w:space="0"/>
              <w:tl2br w:val="nil"/>
              <w:tr2bl w:val="nil"/>
            </w:tcBorders>
          </w:tcPr>
          <w:p>
            <w:pPr>
              <w:pStyle w:val="16"/>
              <w:kinsoku w:val="0"/>
              <w:overflowPunct w:val="0"/>
              <w:spacing w:before="9"/>
            </w:pPr>
            <w:r>
              <w:rPr>
                <w:rFonts w:hint="eastAsia" w:ascii="宋体" w:hAnsi="宋体"/>
              </w:rPr>
              <w:t>委托代理人本人在规定签章处签字</w:t>
            </w:r>
            <w:r>
              <w:rPr>
                <w:rFonts w:hint="eastAsia" w:ascii="宋体" w:hAnsi="宋体"/>
                <w:spacing w:val="-41"/>
              </w:rPr>
              <w:t>、</w:t>
            </w:r>
            <w:r>
              <w:rPr>
                <w:rFonts w:hint="eastAsia" w:ascii="宋体" w:hAnsi="宋体"/>
              </w:rPr>
              <w:t>盖章</w:t>
            </w:r>
            <w:r>
              <w:rPr>
                <w:rFonts w:hint="eastAsia" w:ascii="宋体" w:hAnsi="宋体"/>
                <w:spacing w:val="-41"/>
              </w:rPr>
              <w:t>。</w:t>
            </w:r>
            <w:r>
              <w:rPr>
                <w:rFonts w:hint="eastAsia" w:ascii="宋体" w:hAnsi="宋体"/>
              </w:rPr>
              <w:t>磋商响应文件</w:t>
            </w:r>
          </w:p>
        </w:tc>
      </w:tr>
      <w:tr>
        <w:tblPrEx>
          <w:tblLayout w:type="fixed"/>
          <w:tblCellMar>
            <w:top w:w="0" w:type="dxa"/>
            <w:left w:w="108" w:type="dxa"/>
            <w:bottom w:w="0" w:type="dxa"/>
            <w:right w:w="108" w:type="dxa"/>
          </w:tblCellMar>
        </w:tblPrEx>
        <w:trPr>
          <w:trHeight w:val="400" w:hRule="exact"/>
        </w:trPr>
        <w:tc>
          <w:tcPr>
            <w:tcW w:w="906"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1925"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6135" w:type="dxa"/>
            <w:tcBorders>
              <w:top w:val="nil"/>
              <w:left w:val="single" w:color="000000" w:sz="6" w:space="0"/>
              <w:bottom w:val="nil"/>
              <w:right w:val="single" w:color="000000" w:sz="6" w:space="0"/>
              <w:tl2br w:val="nil"/>
              <w:tr2bl w:val="nil"/>
            </w:tcBorders>
          </w:tcPr>
          <w:p>
            <w:pPr>
              <w:pStyle w:val="16"/>
              <w:kinsoku w:val="0"/>
              <w:overflowPunct w:val="0"/>
              <w:spacing w:before="9"/>
            </w:pPr>
            <w:r>
              <w:rPr>
                <w:rFonts w:hint="eastAsia" w:ascii="宋体" w:hAnsi="宋体"/>
              </w:rPr>
              <w:t>副本可采用正本的复印件加盖骑缝章，电子文档采用U盘</w:t>
            </w:r>
          </w:p>
        </w:tc>
      </w:tr>
      <w:tr>
        <w:tblPrEx>
          <w:tblLayout w:type="fixed"/>
          <w:tblCellMar>
            <w:top w:w="0" w:type="dxa"/>
            <w:left w:w="108" w:type="dxa"/>
            <w:bottom w:w="0" w:type="dxa"/>
            <w:right w:w="108" w:type="dxa"/>
          </w:tblCellMar>
        </w:tblPrEx>
        <w:trPr>
          <w:trHeight w:val="400" w:hRule="exact"/>
        </w:trPr>
        <w:tc>
          <w:tcPr>
            <w:tcW w:w="906"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1925"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6135" w:type="dxa"/>
            <w:tcBorders>
              <w:top w:val="nil"/>
              <w:left w:val="single" w:color="000000" w:sz="6" w:space="0"/>
              <w:bottom w:val="nil"/>
              <w:right w:val="single" w:color="000000" w:sz="6" w:space="0"/>
              <w:tl2br w:val="nil"/>
              <w:tr2bl w:val="nil"/>
            </w:tcBorders>
          </w:tcPr>
          <w:p>
            <w:pPr>
              <w:pStyle w:val="16"/>
              <w:kinsoku w:val="0"/>
              <w:overflowPunct w:val="0"/>
              <w:spacing w:before="9"/>
            </w:pPr>
            <w:r>
              <w:rPr>
                <w:rFonts w:hint="eastAsia" w:ascii="宋体" w:hAnsi="宋体"/>
                <w:spacing w:val="5"/>
              </w:rPr>
              <w:t>制作（U盘制作的电子文档为不可修改文档，如：PDF格</w:t>
            </w:r>
          </w:p>
        </w:tc>
      </w:tr>
      <w:tr>
        <w:tblPrEx>
          <w:tblLayout w:type="fixed"/>
          <w:tblCellMar>
            <w:top w:w="0" w:type="dxa"/>
            <w:left w:w="108" w:type="dxa"/>
            <w:bottom w:w="0" w:type="dxa"/>
            <w:right w:w="108" w:type="dxa"/>
          </w:tblCellMar>
        </w:tblPrEx>
        <w:trPr>
          <w:trHeight w:val="400" w:hRule="exact"/>
        </w:trPr>
        <w:tc>
          <w:tcPr>
            <w:tcW w:w="906"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1925"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6135" w:type="dxa"/>
            <w:tcBorders>
              <w:top w:val="nil"/>
              <w:left w:val="single" w:color="000000" w:sz="6" w:space="0"/>
              <w:bottom w:val="nil"/>
              <w:right w:val="single" w:color="000000" w:sz="6" w:space="0"/>
              <w:tl2br w:val="nil"/>
              <w:tr2bl w:val="nil"/>
            </w:tcBorders>
          </w:tcPr>
          <w:p>
            <w:pPr>
              <w:pStyle w:val="16"/>
              <w:kinsoku w:val="0"/>
              <w:overflowPunct w:val="0"/>
              <w:spacing w:before="9"/>
            </w:pPr>
            <w:r>
              <w:rPr>
                <w:rFonts w:hint="eastAsia" w:ascii="宋体" w:hAnsi="宋体"/>
              </w:rPr>
              <w:t xml:space="preserve">式）。 </w:t>
            </w:r>
          </w:p>
        </w:tc>
      </w:tr>
      <w:tr>
        <w:tblPrEx>
          <w:tblLayout w:type="fixed"/>
          <w:tblCellMar>
            <w:top w:w="0" w:type="dxa"/>
            <w:left w:w="108" w:type="dxa"/>
            <w:bottom w:w="0" w:type="dxa"/>
            <w:right w:w="108" w:type="dxa"/>
          </w:tblCellMar>
        </w:tblPrEx>
        <w:trPr>
          <w:trHeight w:val="400" w:hRule="exact"/>
        </w:trPr>
        <w:tc>
          <w:tcPr>
            <w:tcW w:w="906"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1925"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6135" w:type="dxa"/>
            <w:tcBorders>
              <w:top w:val="nil"/>
              <w:left w:val="single" w:color="000000" w:sz="6" w:space="0"/>
              <w:bottom w:val="nil"/>
              <w:right w:val="single" w:color="000000" w:sz="6" w:space="0"/>
              <w:tl2br w:val="nil"/>
              <w:tr2bl w:val="nil"/>
            </w:tcBorders>
          </w:tcPr>
          <w:p>
            <w:pPr>
              <w:pStyle w:val="16"/>
              <w:kinsoku w:val="0"/>
              <w:overflowPunct w:val="0"/>
              <w:spacing w:before="9"/>
            </w:pPr>
            <w:r>
              <w:rPr>
                <w:rFonts w:hint="eastAsia" w:ascii="宋体" w:hAnsi="宋体"/>
              </w:rPr>
              <w:t>4、磋商响应文件中不得行间插字、涂改或增删，如有修</w:t>
            </w:r>
          </w:p>
        </w:tc>
      </w:tr>
      <w:tr>
        <w:tblPrEx>
          <w:tblLayout w:type="fixed"/>
          <w:tblCellMar>
            <w:top w:w="0" w:type="dxa"/>
            <w:left w:w="108" w:type="dxa"/>
            <w:bottom w:w="0" w:type="dxa"/>
            <w:right w:w="108" w:type="dxa"/>
          </w:tblCellMar>
        </w:tblPrEx>
        <w:trPr>
          <w:trHeight w:val="795" w:hRule="exact"/>
        </w:trPr>
        <w:tc>
          <w:tcPr>
            <w:tcW w:w="906"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1925"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6135" w:type="dxa"/>
            <w:tcBorders>
              <w:top w:val="nil"/>
              <w:left w:val="single" w:color="000000" w:sz="6" w:space="0"/>
              <w:bottom w:val="single" w:color="000000" w:sz="6" w:space="0"/>
              <w:right w:val="single" w:color="000000" w:sz="6" w:space="0"/>
              <w:tl2br w:val="nil"/>
              <w:tr2bl w:val="nil"/>
            </w:tcBorders>
          </w:tcPr>
          <w:p>
            <w:pPr>
              <w:pStyle w:val="16"/>
              <w:kinsoku w:val="0"/>
              <w:overflowPunct w:val="0"/>
              <w:spacing w:before="9"/>
            </w:pPr>
            <w:r>
              <w:rPr>
                <w:rFonts w:hint="eastAsia" w:ascii="宋体" w:hAnsi="宋体"/>
              </w:rPr>
              <w:t>改错漏处</w:t>
            </w:r>
            <w:r>
              <w:rPr>
                <w:rFonts w:hint="eastAsia" w:ascii="宋体" w:hAnsi="宋体"/>
                <w:spacing w:val="-81"/>
              </w:rPr>
              <w:t>，</w:t>
            </w:r>
            <w:r>
              <w:rPr>
                <w:rFonts w:hint="eastAsia" w:ascii="宋体" w:hAnsi="宋体"/>
              </w:rPr>
              <w:t>须由参与磋商企业法人本人或其委托代理人本人签字或盖个人印鉴。</w:t>
            </w:r>
          </w:p>
        </w:tc>
      </w:tr>
    </w:tbl>
    <w:p>
      <w:pPr>
        <w:kinsoku w:val="0"/>
        <w:overflowPunct w:val="0"/>
        <w:spacing w:before="2" w:line="80" w:lineRule="exact"/>
        <w:rPr>
          <w:sz w:val="8"/>
        </w:rPr>
      </w:pPr>
    </w:p>
    <w:tbl>
      <w:tblPr>
        <w:tblStyle w:val="15"/>
        <w:tblW w:w="8966" w:type="dxa"/>
        <w:tblInd w:w="216" w:type="dxa"/>
        <w:tblLayout w:type="fixed"/>
        <w:tblCellMar>
          <w:top w:w="0" w:type="dxa"/>
          <w:left w:w="108" w:type="dxa"/>
          <w:bottom w:w="0" w:type="dxa"/>
          <w:right w:w="108" w:type="dxa"/>
        </w:tblCellMar>
      </w:tblPr>
      <w:tblGrid>
        <w:gridCol w:w="906"/>
        <w:gridCol w:w="1925"/>
        <w:gridCol w:w="6135"/>
      </w:tblGrid>
      <w:tr>
        <w:tblPrEx>
          <w:tblLayout w:type="fixed"/>
          <w:tblCellMar>
            <w:top w:w="0" w:type="dxa"/>
            <w:left w:w="108" w:type="dxa"/>
            <w:bottom w:w="0" w:type="dxa"/>
            <w:right w:w="108" w:type="dxa"/>
          </w:tblCellMar>
        </w:tblPrEx>
        <w:trPr>
          <w:trHeight w:val="1215" w:hRule="exact"/>
        </w:trPr>
        <w:tc>
          <w:tcPr>
            <w:tcW w:w="90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 w:line="200" w:lineRule="exact"/>
              <w:rPr>
                <w:sz w:val="20"/>
              </w:rPr>
            </w:pPr>
          </w:p>
          <w:p>
            <w:pPr>
              <w:pStyle w:val="16"/>
              <w:kinsoku w:val="0"/>
              <w:overflowPunct w:val="0"/>
              <w:spacing w:line="240" w:lineRule="exact"/>
            </w:pPr>
          </w:p>
          <w:p>
            <w:pPr>
              <w:pStyle w:val="16"/>
              <w:kinsoku w:val="0"/>
              <w:overflowPunct w:val="0"/>
              <w:ind w:left="325"/>
            </w:pPr>
            <w:r>
              <w:rPr>
                <w:rFonts w:hint="eastAsia" w:ascii="宋体" w:hAnsi="宋体"/>
              </w:rPr>
              <w:t xml:space="preserve">16 </w:t>
            </w:r>
          </w:p>
        </w:tc>
        <w:tc>
          <w:tcPr>
            <w:tcW w:w="192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 w:line="240" w:lineRule="exact"/>
            </w:pPr>
          </w:p>
          <w:p>
            <w:pPr>
              <w:pStyle w:val="16"/>
              <w:kinsoku w:val="0"/>
              <w:overflowPunct w:val="0"/>
              <w:spacing w:line="309" w:lineRule="auto"/>
              <w:ind w:left="100"/>
            </w:pPr>
            <w:r>
              <w:rPr>
                <w:rFonts w:hint="eastAsia" w:ascii="宋体" w:hAnsi="宋体"/>
              </w:rPr>
              <w:t xml:space="preserve">磋商响应文件的密封 </w:t>
            </w:r>
          </w:p>
        </w:tc>
        <w:tc>
          <w:tcPr>
            <w:tcW w:w="613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400" w:lineRule="exact"/>
              <w:ind w:left="100" w:right="100"/>
              <w:jc w:val="both"/>
            </w:pPr>
            <w:r>
              <w:rPr>
                <w:rFonts w:hint="eastAsia" w:ascii="宋体" w:hAnsi="宋体"/>
              </w:rPr>
              <w:t>磋商响应文件外层密封袋的标</w:t>
            </w:r>
            <w:r>
              <w:rPr>
                <w:rFonts w:hint="eastAsia" w:ascii="宋体" w:hAnsi="宋体"/>
                <w:spacing w:val="-41"/>
              </w:rPr>
              <w:t>注：</w:t>
            </w:r>
            <w:r>
              <w:rPr>
                <w:rFonts w:hint="eastAsia" w:ascii="宋体" w:hAnsi="宋体"/>
              </w:rPr>
              <w:t>采购项目名称、采购项目编号</w:t>
            </w:r>
            <w:r>
              <w:rPr>
                <w:rFonts w:hint="eastAsia" w:ascii="宋体" w:hAnsi="宋体"/>
                <w:spacing w:val="-27"/>
              </w:rPr>
              <w:t>、</w:t>
            </w:r>
            <w:r>
              <w:rPr>
                <w:rFonts w:hint="eastAsia" w:ascii="宋体" w:hAnsi="宋体"/>
              </w:rPr>
              <w:t>参与供应商名称</w:t>
            </w:r>
            <w:r>
              <w:rPr>
                <w:rFonts w:hint="eastAsia" w:ascii="宋体" w:hAnsi="宋体"/>
                <w:spacing w:val="-27"/>
              </w:rPr>
              <w:t>、</w:t>
            </w:r>
            <w:r>
              <w:rPr>
                <w:rFonts w:hint="eastAsia" w:ascii="宋体" w:hAnsi="宋体"/>
              </w:rPr>
              <w:t>年月日以</w:t>
            </w:r>
            <w:r>
              <w:rPr>
                <w:rFonts w:hint="eastAsia" w:ascii="宋体" w:hAnsi="宋体"/>
                <w:spacing w:val="-27"/>
              </w:rPr>
              <w:t>及</w:t>
            </w:r>
            <w:r>
              <w:rPr>
                <w:rFonts w:hint="eastAsia" w:ascii="宋体" w:hAnsi="宋体"/>
              </w:rPr>
              <w:t xml:space="preserve">“于****年**月** 日*时**分之前不准启封”字样。 </w:t>
            </w:r>
          </w:p>
        </w:tc>
      </w:tr>
      <w:tr>
        <w:tblPrEx>
          <w:tblLayout w:type="fixed"/>
          <w:tblCellMar>
            <w:top w:w="0" w:type="dxa"/>
            <w:left w:w="108" w:type="dxa"/>
            <w:bottom w:w="0" w:type="dxa"/>
            <w:right w:w="108" w:type="dxa"/>
          </w:tblCellMar>
        </w:tblPrEx>
        <w:trPr>
          <w:trHeight w:val="815" w:hRule="exact"/>
        </w:trPr>
        <w:tc>
          <w:tcPr>
            <w:tcW w:w="90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 w:line="240" w:lineRule="exact"/>
            </w:pPr>
          </w:p>
          <w:p>
            <w:pPr>
              <w:pStyle w:val="16"/>
              <w:kinsoku w:val="0"/>
              <w:overflowPunct w:val="0"/>
              <w:ind w:left="325"/>
            </w:pPr>
            <w:r>
              <w:rPr>
                <w:rFonts w:hint="eastAsia" w:ascii="宋体" w:hAnsi="宋体"/>
              </w:rPr>
              <w:t xml:space="preserve">17 </w:t>
            </w:r>
          </w:p>
        </w:tc>
        <w:tc>
          <w:tcPr>
            <w:tcW w:w="192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400" w:lineRule="exact"/>
              <w:ind w:left="100"/>
            </w:pPr>
            <w:r>
              <w:rPr>
                <w:rFonts w:hint="eastAsia" w:ascii="宋体" w:hAnsi="宋体"/>
              </w:rPr>
              <w:t xml:space="preserve">递交磋商响应文件方式 </w:t>
            </w:r>
          </w:p>
        </w:tc>
        <w:tc>
          <w:tcPr>
            <w:tcW w:w="613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 w:line="240" w:lineRule="exact"/>
            </w:pPr>
          </w:p>
          <w:p>
            <w:pPr>
              <w:pStyle w:val="16"/>
              <w:kinsoku w:val="0"/>
              <w:overflowPunct w:val="0"/>
              <w:ind w:left="100"/>
            </w:pPr>
            <w:r>
              <w:rPr>
                <w:rFonts w:hint="eastAsia" w:ascii="宋体" w:hAnsi="宋体"/>
              </w:rPr>
              <w:t xml:space="preserve">现场递交，不接受邮寄响应文件 </w:t>
            </w:r>
          </w:p>
        </w:tc>
      </w:tr>
      <w:tr>
        <w:tblPrEx>
          <w:tblLayout w:type="fixed"/>
          <w:tblCellMar>
            <w:top w:w="0" w:type="dxa"/>
            <w:left w:w="108" w:type="dxa"/>
            <w:bottom w:w="0" w:type="dxa"/>
            <w:right w:w="108" w:type="dxa"/>
          </w:tblCellMar>
        </w:tblPrEx>
        <w:trPr>
          <w:trHeight w:val="415" w:hRule="exact"/>
        </w:trPr>
        <w:tc>
          <w:tcPr>
            <w:tcW w:w="90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43"/>
              <w:ind w:left="325"/>
            </w:pPr>
            <w:r>
              <w:rPr>
                <w:rFonts w:hint="eastAsia" w:ascii="宋体" w:hAnsi="宋体"/>
              </w:rPr>
              <w:t xml:space="preserve">18 </w:t>
            </w:r>
          </w:p>
        </w:tc>
        <w:tc>
          <w:tcPr>
            <w:tcW w:w="192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43"/>
              <w:ind w:left="100"/>
            </w:pPr>
            <w:r>
              <w:rPr>
                <w:rFonts w:hint="eastAsia" w:ascii="宋体" w:hAnsi="宋体"/>
              </w:rPr>
              <w:t xml:space="preserve">磋商截止时间 </w:t>
            </w:r>
          </w:p>
        </w:tc>
        <w:tc>
          <w:tcPr>
            <w:tcW w:w="613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78" w:lineRule="exact"/>
              <w:ind w:left="100"/>
              <w:rPr>
                <w:color w:val="FF0000"/>
                <w:highlight w:val="yellow"/>
              </w:rPr>
            </w:pPr>
            <w:r>
              <w:rPr>
                <w:rFonts w:hint="eastAsia" w:ascii="宋体" w:hAnsi="宋体"/>
                <w:color w:val="000000"/>
                <w:highlight w:val="yellow"/>
              </w:rPr>
              <w:t>2020年</w:t>
            </w:r>
            <w:r>
              <w:rPr>
                <w:rFonts w:hint="eastAsia" w:ascii="宋体" w:hAnsi="宋体"/>
                <w:color w:val="000000"/>
                <w:highlight w:val="yellow"/>
                <w:lang w:val="en-US" w:eastAsia="zh-CN"/>
              </w:rPr>
              <w:t>10</w:t>
            </w:r>
            <w:r>
              <w:rPr>
                <w:rFonts w:hint="eastAsia" w:ascii="宋体" w:hAnsi="宋体"/>
                <w:color w:val="000000"/>
                <w:highlight w:val="yellow"/>
              </w:rPr>
              <w:t>月</w:t>
            </w:r>
            <w:r>
              <w:rPr>
                <w:rFonts w:hint="eastAsia" w:ascii="宋体" w:hAnsi="宋体"/>
                <w:color w:val="000000"/>
                <w:highlight w:val="yellow"/>
                <w:lang w:val="en-US" w:eastAsia="zh-CN"/>
              </w:rPr>
              <w:t>20</w:t>
            </w:r>
            <w:r>
              <w:rPr>
                <w:rFonts w:hint="eastAsia" w:ascii="宋体" w:hAnsi="宋体"/>
                <w:color w:val="000000"/>
                <w:highlight w:val="yellow"/>
              </w:rPr>
              <w:t xml:space="preserve">日上午10时00分 （北京时间）  </w:t>
            </w:r>
          </w:p>
        </w:tc>
      </w:tr>
      <w:tr>
        <w:tblPrEx>
          <w:tblLayout w:type="fixed"/>
          <w:tblCellMar>
            <w:top w:w="0" w:type="dxa"/>
            <w:left w:w="108" w:type="dxa"/>
            <w:bottom w:w="0" w:type="dxa"/>
            <w:right w:w="108" w:type="dxa"/>
          </w:tblCellMar>
        </w:tblPrEx>
        <w:trPr>
          <w:trHeight w:val="415" w:hRule="exact"/>
        </w:trPr>
        <w:tc>
          <w:tcPr>
            <w:tcW w:w="90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43"/>
              <w:ind w:left="325"/>
            </w:pPr>
            <w:r>
              <w:rPr>
                <w:rFonts w:hint="eastAsia" w:ascii="宋体" w:hAnsi="宋体"/>
              </w:rPr>
              <w:t xml:space="preserve">19 </w:t>
            </w:r>
          </w:p>
        </w:tc>
        <w:tc>
          <w:tcPr>
            <w:tcW w:w="192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43"/>
              <w:ind w:left="100"/>
            </w:pPr>
            <w:r>
              <w:rPr>
                <w:rFonts w:hint="eastAsia" w:ascii="宋体" w:hAnsi="宋体"/>
              </w:rPr>
              <w:t xml:space="preserve">磋商时间 </w:t>
            </w:r>
          </w:p>
        </w:tc>
        <w:tc>
          <w:tcPr>
            <w:tcW w:w="613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78" w:lineRule="exact"/>
              <w:ind w:left="100"/>
              <w:rPr>
                <w:color w:val="FF0000"/>
                <w:highlight w:val="yellow"/>
              </w:rPr>
            </w:pPr>
            <w:r>
              <w:rPr>
                <w:rFonts w:hint="eastAsia" w:ascii="宋体" w:hAnsi="宋体"/>
                <w:color w:val="000000"/>
                <w:highlight w:val="yellow"/>
              </w:rPr>
              <w:t>2020年</w:t>
            </w:r>
            <w:r>
              <w:rPr>
                <w:rFonts w:hint="eastAsia" w:ascii="宋体" w:hAnsi="宋体"/>
                <w:color w:val="000000"/>
                <w:highlight w:val="yellow"/>
                <w:lang w:val="en-US" w:eastAsia="zh-CN"/>
              </w:rPr>
              <w:t>10</w:t>
            </w:r>
            <w:r>
              <w:rPr>
                <w:rFonts w:hint="eastAsia" w:ascii="宋体" w:hAnsi="宋体"/>
                <w:color w:val="000000"/>
                <w:highlight w:val="yellow"/>
              </w:rPr>
              <w:t>月</w:t>
            </w:r>
            <w:r>
              <w:rPr>
                <w:rFonts w:hint="eastAsia" w:ascii="宋体" w:hAnsi="宋体"/>
                <w:color w:val="000000"/>
                <w:highlight w:val="yellow"/>
                <w:lang w:val="en-US" w:eastAsia="zh-CN"/>
              </w:rPr>
              <w:t>20</w:t>
            </w:r>
            <w:r>
              <w:rPr>
                <w:rFonts w:hint="eastAsia" w:ascii="宋体" w:hAnsi="宋体"/>
                <w:color w:val="000000"/>
                <w:highlight w:val="yellow"/>
              </w:rPr>
              <w:t xml:space="preserve">上午10时00分 （北京时间）  </w:t>
            </w:r>
          </w:p>
        </w:tc>
      </w:tr>
      <w:tr>
        <w:tblPrEx>
          <w:tblLayout w:type="fixed"/>
          <w:tblCellMar>
            <w:top w:w="0" w:type="dxa"/>
            <w:left w:w="108" w:type="dxa"/>
            <w:bottom w:w="0" w:type="dxa"/>
            <w:right w:w="108" w:type="dxa"/>
          </w:tblCellMar>
        </w:tblPrEx>
        <w:trPr>
          <w:trHeight w:val="695" w:hRule="exact"/>
        </w:trPr>
        <w:tc>
          <w:tcPr>
            <w:tcW w:w="90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 w:line="240" w:lineRule="exact"/>
            </w:pPr>
          </w:p>
          <w:p>
            <w:pPr>
              <w:pStyle w:val="16"/>
              <w:kinsoku w:val="0"/>
              <w:overflowPunct w:val="0"/>
              <w:ind w:left="325"/>
            </w:pPr>
            <w:r>
              <w:rPr>
                <w:rFonts w:hint="eastAsia" w:ascii="宋体" w:hAnsi="宋体"/>
              </w:rPr>
              <w:t xml:space="preserve">20 </w:t>
            </w:r>
          </w:p>
        </w:tc>
        <w:tc>
          <w:tcPr>
            <w:tcW w:w="192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 w:line="240" w:lineRule="exact"/>
            </w:pPr>
          </w:p>
          <w:p>
            <w:pPr>
              <w:pStyle w:val="16"/>
              <w:kinsoku w:val="0"/>
              <w:overflowPunct w:val="0"/>
              <w:ind w:left="100"/>
            </w:pPr>
            <w:r>
              <w:rPr>
                <w:rFonts w:hint="eastAsia" w:ascii="宋体" w:hAnsi="宋体"/>
              </w:rPr>
              <w:t xml:space="preserve">磋商地点 </w:t>
            </w:r>
          </w:p>
        </w:tc>
        <w:tc>
          <w:tcPr>
            <w:tcW w:w="6135" w:type="dxa"/>
            <w:tcBorders>
              <w:top w:val="single" w:color="000000" w:sz="6" w:space="0"/>
              <w:left w:val="single" w:color="000000" w:sz="6" w:space="0"/>
              <w:bottom w:val="single" w:color="000000" w:sz="6" w:space="0"/>
              <w:right w:val="single" w:color="000000" w:sz="6" w:space="0"/>
              <w:tl2br w:val="nil"/>
              <w:tr2bl w:val="nil"/>
            </w:tcBorders>
          </w:tcPr>
          <w:p>
            <w:r>
              <w:rPr>
                <w:rFonts w:hint="eastAsia" w:ascii="宋体" w:hAnsi="宋体"/>
              </w:rPr>
              <w:t xml:space="preserve">青海广维工程项目管理有限公司(西宁市海湖新区万达广场SOHO4号楼九楼（10928室）) </w:t>
            </w:r>
          </w:p>
        </w:tc>
      </w:tr>
      <w:tr>
        <w:tblPrEx>
          <w:tblLayout w:type="fixed"/>
          <w:tblCellMar>
            <w:top w:w="0" w:type="dxa"/>
            <w:left w:w="108" w:type="dxa"/>
            <w:bottom w:w="0" w:type="dxa"/>
            <w:right w:w="108" w:type="dxa"/>
          </w:tblCellMar>
        </w:tblPrEx>
        <w:trPr>
          <w:trHeight w:val="1615" w:hRule="exact"/>
        </w:trPr>
        <w:tc>
          <w:tcPr>
            <w:tcW w:w="90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 w:line="160" w:lineRule="exact"/>
              <w:rPr>
                <w:sz w:val="16"/>
              </w:rPr>
            </w:pPr>
          </w:p>
          <w:p>
            <w:pPr>
              <w:pStyle w:val="16"/>
              <w:kinsoku w:val="0"/>
              <w:overflowPunct w:val="0"/>
              <w:spacing w:line="240" w:lineRule="exact"/>
            </w:pPr>
          </w:p>
          <w:p>
            <w:pPr>
              <w:pStyle w:val="16"/>
              <w:kinsoku w:val="0"/>
              <w:overflowPunct w:val="0"/>
              <w:spacing w:line="240" w:lineRule="exact"/>
            </w:pPr>
          </w:p>
          <w:p>
            <w:pPr>
              <w:pStyle w:val="16"/>
              <w:kinsoku w:val="0"/>
              <w:overflowPunct w:val="0"/>
              <w:ind w:left="325"/>
            </w:pPr>
            <w:r>
              <w:rPr>
                <w:rFonts w:hint="eastAsia" w:ascii="宋体" w:hAnsi="宋体"/>
              </w:rPr>
              <w:t xml:space="preserve">21 </w:t>
            </w:r>
          </w:p>
        </w:tc>
        <w:tc>
          <w:tcPr>
            <w:tcW w:w="192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 w:line="160" w:lineRule="exact"/>
              <w:rPr>
                <w:sz w:val="16"/>
              </w:rPr>
            </w:pPr>
          </w:p>
          <w:p>
            <w:pPr>
              <w:pStyle w:val="16"/>
              <w:kinsoku w:val="0"/>
              <w:overflowPunct w:val="0"/>
              <w:spacing w:line="240" w:lineRule="exact"/>
            </w:pPr>
          </w:p>
          <w:p>
            <w:pPr>
              <w:pStyle w:val="16"/>
              <w:kinsoku w:val="0"/>
              <w:overflowPunct w:val="0"/>
              <w:spacing w:line="240" w:lineRule="exact"/>
            </w:pPr>
          </w:p>
          <w:p>
            <w:pPr>
              <w:pStyle w:val="16"/>
              <w:kinsoku w:val="0"/>
              <w:overflowPunct w:val="0"/>
              <w:ind w:left="100"/>
            </w:pPr>
            <w:r>
              <w:rPr>
                <w:rFonts w:hint="eastAsia" w:ascii="宋体" w:hAnsi="宋体"/>
              </w:rPr>
              <w:t xml:space="preserve">答疑澄清方式 </w:t>
            </w:r>
          </w:p>
        </w:tc>
        <w:tc>
          <w:tcPr>
            <w:tcW w:w="613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400" w:lineRule="exact"/>
              <w:ind w:left="100" w:right="100"/>
              <w:jc w:val="both"/>
            </w:pPr>
            <w:r>
              <w:rPr>
                <w:rFonts w:hint="eastAsia" w:ascii="宋体" w:hAnsi="宋体"/>
              </w:rPr>
              <w:t>采用现场答疑</w:t>
            </w:r>
            <w:r>
              <w:rPr>
                <w:rFonts w:hint="eastAsia" w:ascii="宋体" w:hAnsi="宋体"/>
                <w:spacing w:val="-41"/>
              </w:rPr>
              <w:t>。</w:t>
            </w:r>
            <w:r>
              <w:rPr>
                <w:rFonts w:hint="eastAsia" w:ascii="宋体" w:hAnsi="宋体"/>
              </w:rPr>
              <w:t>参与供应商须提供准确的联系方</w:t>
            </w:r>
            <w:r>
              <w:rPr>
                <w:rFonts w:hint="eastAsia" w:ascii="宋体" w:hAnsi="宋体"/>
                <w:spacing w:val="-41"/>
              </w:rPr>
              <w:t>式</w:t>
            </w:r>
            <w:r>
              <w:rPr>
                <w:rFonts w:hint="eastAsia" w:ascii="宋体" w:hAnsi="宋体"/>
              </w:rPr>
              <w:t>（手机和固定电话</w:t>
            </w:r>
            <w:r>
              <w:rPr>
                <w:rFonts w:hint="eastAsia" w:ascii="宋体" w:hAnsi="宋体"/>
                <w:spacing w:val="-60"/>
              </w:rPr>
              <w:t>）</w:t>
            </w:r>
            <w:r>
              <w:rPr>
                <w:rFonts w:hint="eastAsia" w:ascii="宋体" w:hAnsi="宋体"/>
                <w:spacing w:val="-21"/>
              </w:rPr>
              <w:t>，</w:t>
            </w:r>
            <w:r>
              <w:rPr>
                <w:rFonts w:hint="eastAsia" w:ascii="宋体" w:hAnsi="宋体"/>
              </w:rPr>
              <w:t>应在规定的时间内到达评审现场进行答疑 澄清</w:t>
            </w:r>
            <w:r>
              <w:rPr>
                <w:rFonts w:hint="eastAsia" w:ascii="宋体" w:hAnsi="宋体"/>
                <w:spacing w:val="-41"/>
              </w:rPr>
              <w:t>，</w:t>
            </w:r>
            <w:r>
              <w:rPr>
                <w:rFonts w:hint="eastAsia" w:ascii="宋体" w:hAnsi="宋体"/>
              </w:rPr>
              <w:t>如在规定的时间内联系无果或未按时到达的</w:t>
            </w:r>
            <w:r>
              <w:rPr>
                <w:rFonts w:hint="eastAsia" w:ascii="宋体" w:hAnsi="宋体"/>
                <w:spacing w:val="-41"/>
              </w:rPr>
              <w:t>，</w:t>
            </w:r>
            <w:r>
              <w:rPr>
                <w:rFonts w:hint="eastAsia" w:ascii="宋体" w:hAnsi="宋体"/>
              </w:rPr>
              <w:t xml:space="preserve">视同放弃答疑。 </w:t>
            </w:r>
          </w:p>
        </w:tc>
      </w:tr>
      <w:tr>
        <w:tblPrEx>
          <w:tblLayout w:type="fixed"/>
          <w:tblCellMar>
            <w:top w:w="0" w:type="dxa"/>
            <w:left w:w="108" w:type="dxa"/>
            <w:bottom w:w="0" w:type="dxa"/>
            <w:right w:w="108" w:type="dxa"/>
          </w:tblCellMar>
        </w:tblPrEx>
        <w:trPr>
          <w:trHeight w:val="2060" w:hRule="exact"/>
        </w:trPr>
        <w:tc>
          <w:tcPr>
            <w:tcW w:w="90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 w:line="210" w:lineRule="exact"/>
              <w:rPr>
                <w:sz w:val="21"/>
              </w:rPr>
            </w:pPr>
          </w:p>
          <w:p>
            <w:pPr>
              <w:pStyle w:val="16"/>
              <w:kinsoku w:val="0"/>
              <w:overflowPunct w:val="0"/>
              <w:spacing w:line="240" w:lineRule="exact"/>
            </w:pPr>
          </w:p>
          <w:p>
            <w:pPr>
              <w:pStyle w:val="16"/>
              <w:kinsoku w:val="0"/>
              <w:overflowPunct w:val="0"/>
              <w:spacing w:line="240" w:lineRule="exact"/>
            </w:pPr>
          </w:p>
          <w:p>
            <w:pPr>
              <w:pStyle w:val="16"/>
              <w:kinsoku w:val="0"/>
              <w:overflowPunct w:val="0"/>
              <w:ind w:left="325"/>
            </w:pPr>
            <w:r>
              <w:rPr>
                <w:rFonts w:hint="eastAsia" w:ascii="宋体" w:hAnsi="宋体"/>
              </w:rPr>
              <w:t xml:space="preserve">22 </w:t>
            </w:r>
          </w:p>
        </w:tc>
        <w:tc>
          <w:tcPr>
            <w:tcW w:w="192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40" w:lineRule="exact"/>
            </w:pPr>
          </w:p>
          <w:p>
            <w:pPr>
              <w:pStyle w:val="16"/>
              <w:kinsoku w:val="0"/>
              <w:overflowPunct w:val="0"/>
              <w:ind w:left="100"/>
            </w:pPr>
            <w:r>
              <w:rPr>
                <w:rFonts w:hint="eastAsia" w:ascii="宋体" w:hAnsi="宋体"/>
              </w:rPr>
              <w:t xml:space="preserve">代理服务费 </w:t>
            </w:r>
          </w:p>
        </w:tc>
        <w:tc>
          <w:tcPr>
            <w:tcW w:w="613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45"/>
              <w:rPr>
                <w:rFonts w:ascii="宋体" w:hAnsi="宋体"/>
              </w:rPr>
            </w:pPr>
          </w:p>
          <w:p>
            <w:pPr>
              <w:pStyle w:val="16"/>
              <w:kinsoku w:val="0"/>
              <w:overflowPunct w:val="0"/>
              <w:spacing w:before="45"/>
              <w:ind w:left="100"/>
              <w:rPr>
                <w:rFonts w:ascii="宋体" w:hAnsi="宋体"/>
              </w:rPr>
            </w:pPr>
            <w:r>
              <w:rPr>
                <w:rFonts w:hint="eastAsia" w:ascii="宋体" w:hAnsi="宋体"/>
              </w:rPr>
              <w:t>收取对象</w:t>
            </w:r>
            <w:r>
              <w:rPr>
                <w:rFonts w:hint="eastAsia" w:ascii="宋体" w:hAnsi="宋体"/>
                <w:color w:val="000000"/>
              </w:rPr>
              <w:t>：成交供应商</w:t>
            </w:r>
          </w:p>
          <w:p>
            <w:pPr>
              <w:pStyle w:val="16"/>
              <w:kinsoku w:val="0"/>
              <w:overflowPunct w:val="0"/>
              <w:ind w:left="100"/>
            </w:pPr>
            <w:r>
              <w:rPr>
                <w:rFonts w:hint="eastAsia" w:ascii="宋体" w:hAnsi="宋体"/>
              </w:rPr>
              <w:t>收费标准：根据《关于进一</w:t>
            </w:r>
            <w:bookmarkStart w:id="132" w:name="_GoBack"/>
            <w:bookmarkEnd w:id="132"/>
            <w:r>
              <w:rPr>
                <w:rFonts w:hint="eastAsia" w:ascii="宋体" w:hAnsi="宋体"/>
              </w:rPr>
              <w:t>步放开建设项目专项业务服务价格的通知》（发改价格[2015]299 号）规定，实行市场调节价，应严格遵守《价格法》、《关于商品和服务实行明码标价的规定》等法律法规的规定收取。</w:t>
            </w:r>
          </w:p>
        </w:tc>
      </w:tr>
      <w:tr>
        <w:tblPrEx>
          <w:tblLayout w:type="fixed"/>
          <w:tblCellMar>
            <w:top w:w="0" w:type="dxa"/>
            <w:left w:w="108" w:type="dxa"/>
            <w:bottom w:w="0" w:type="dxa"/>
            <w:right w:w="108" w:type="dxa"/>
          </w:tblCellMar>
        </w:tblPrEx>
        <w:trPr>
          <w:trHeight w:val="415" w:hRule="exact"/>
        </w:trPr>
        <w:tc>
          <w:tcPr>
            <w:tcW w:w="90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43"/>
              <w:ind w:left="325"/>
            </w:pPr>
            <w:r>
              <w:rPr>
                <w:rFonts w:hint="eastAsia" w:ascii="宋体" w:hAnsi="宋体"/>
              </w:rPr>
              <w:t xml:space="preserve">23 </w:t>
            </w:r>
          </w:p>
        </w:tc>
        <w:tc>
          <w:tcPr>
            <w:tcW w:w="192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43"/>
              <w:ind w:left="100"/>
            </w:pPr>
            <w:r>
              <w:rPr>
                <w:rFonts w:hint="eastAsia" w:ascii="宋体" w:hAnsi="宋体"/>
              </w:rPr>
              <w:t>合同签订有效期</w:t>
            </w:r>
          </w:p>
        </w:tc>
        <w:tc>
          <w:tcPr>
            <w:tcW w:w="613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43"/>
              <w:ind w:left="100" w:right="-20"/>
            </w:pPr>
            <w:r>
              <w:rPr>
                <w:rFonts w:hint="eastAsia" w:ascii="宋体" w:hAnsi="宋体"/>
                <w:spacing w:val="-1"/>
              </w:rPr>
              <w:t>自成交通知书发出之日起</w:t>
            </w:r>
            <w:r>
              <w:rPr>
                <w:rFonts w:ascii="Arial" w:hAnsi="Arial"/>
                <w:spacing w:val="-1"/>
              </w:rPr>
              <w:t>30</w:t>
            </w:r>
            <w:r>
              <w:rPr>
                <w:rFonts w:hint="eastAsia" w:ascii="宋体" w:hAnsi="宋体"/>
                <w:spacing w:val="-1"/>
              </w:rPr>
              <w:t>日内与采购人签订供货合同。</w:t>
            </w:r>
          </w:p>
        </w:tc>
      </w:tr>
      <w:tr>
        <w:tblPrEx>
          <w:tblLayout w:type="fixed"/>
          <w:tblCellMar>
            <w:top w:w="0" w:type="dxa"/>
            <w:left w:w="108" w:type="dxa"/>
            <w:bottom w:w="0" w:type="dxa"/>
            <w:right w:w="108" w:type="dxa"/>
          </w:tblCellMar>
        </w:tblPrEx>
        <w:trPr>
          <w:trHeight w:val="815" w:hRule="exact"/>
        </w:trPr>
        <w:tc>
          <w:tcPr>
            <w:tcW w:w="90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 w:line="240" w:lineRule="exact"/>
            </w:pPr>
          </w:p>
          <w:p>
            <w:pPr>
              <w:pStyle w:val="16"/>
              <w:kinsoku w:val="0"/>
              <w:overflowPunct w:val="0"/>
              <w:ind w:left="325"/>
            </w:pPr>
            <w:r>
              <w:rPr>
                <w:rFonts w:hint="eastAsia" w:ascii="宋体" w:hAnsi="宋体"/>
              </w:rPr>
              <w:t xml:space="preserve">24 </w:t>
            </w:r>
          </w:p>
        </w:tc>
        <w:tc>
          <w:tcPr>
            <w:tcW w:w="192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400" w:lineRule="exact"/>
              <w:ind w:left="100"/>
            </w:pPr>
            <w:r>
              <w:rPr>
                <w:rFonts w:hint="eastAsia" w:ascii="宋体" w:hAnsi="宋体"/>
              </w:rPr>
              <w:t xml:space="preserve">政府采购合同备 案 </w:t>
            </w:r>
          </w:p>
        </w:tc>
        <w:tc>
          <w:tcPr>
            <w:tcW w:w="613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400" w:lineRule="exact"/>
              <w:ind w:left="100" w:right="19"/>
            </w:pPr>
            <w:r>
              <w:rPr>
                <w:rFonts w:hint="eastAsia" w:ascii="宋体" w:hAnsi="宋体"/>
              </w:rPr>
              <w:t xml:space="preserve">采购合同全数返回采购代理机构鉴证，盖章。 采购代理机构留存两份原件和一份电子版备案。 </w:t>
            </w:r>
          </w:p>
        </w:tc>
      </w:tr>
      <w:tr>
        <w:tblPrEx>
          <w:tblLayout w:type="fixed"/>
          <w:tblCellMar>
            <w:top w:w="0" w:type="dxa"/>
            <w:left w:w="108" w:type="dxa"/>
            <w:bottom w:w="0" w:type="dxa"/>
            <w:right w:w="108" w:type="dxa"/>
          </w:tblCellMar>
        </w:tblPrEx>
        <w:trPr>
          <w:trHeight w:val="415" w:hRule="exact"/>
        </w:trPr>
        <w:tc>
          <w:tcPr>
            <w:tcW w:w="90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43"/>
              <w:ind w:left="325"/>
            </w:pPr>
            <w:r>
              <w:rPr>
                <w:rFonts w:hint="eastAsia" w:ascii="宋体" w:hAnsi="宋体"/>
              </w:rPr>
              <w:t xml:space="preserve">25 </w:t>
            </w:r>
          </w:p>
        </w:tc>
        <w:tc>
          <w:tcPr>
            <w:tcW w:w="192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43"/>
              <w:ind w:left="100"/>
            </w:pPr>
            <w:r>
              <w:rPr>
                <w:rFonts w:hint="eastAsia" w:ascii="宋体" w:hAnsi="宋体"/>
              </w:rPr>
              <w:t xml:space="preserve">磋商有效期 </w:t>
            </w:r>
          </w:p>
        </w:tc>
        <w:tc>
          <w:tcPr>
            <w:tcW w:w="613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43"/>
              <w:ind w:left="100"/>
            </w:pPr>
            <w:r>
              <w:rPr>
                <w:rFonts w:hint="eastAsia" w:ascii="宋体" w:hAnsi="宋体"/>
              </w:rPr>
              <w:t xml:space="preserve">本次磋商有效期为提交响应文件之日起60个日历日。 </w:t>
            </w:r>
          </w:p>
        </w:tc>
      </w:tr>
    </w:tbl>
    <w:p>
      <w:pPr>
        <w:sectPr>
          <w:pgSz w:w="11910" w:h="16840"/>
          <w:pgMar w:top="1340" w:right="1380" w:bottom="1140" w:left="1340" w:header="0" w:footer="880" w:gutter="0"/>
          <w:cols w:space="720" w:num="1"/>
        </w:sectPr>
      </w:pPr>
    </w:p>
    <w:p>
      <w:pPr>
        <w:kinsoku w:val="0"/>
        <w:overflowPunct w:val="0"/>
        <w:spacing w:before="1" w:line="140" w:lineRule="exact"/>
        <w:rPr>
          <w:sz w:val="14"/>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tabs>
          <w:tab w:val="left" w:pos="1805"/>
        </w:tabs>
        <w:kinsoku w:val="0"/>
        <w:overflowPunct w:val="0"/>
        <w:spacing w:line="501" w:lineRule="exact"/>
        <w:ind w:right="141"/>
        <w:jc w:val="center"/>
        <w:rPr>
          <w:rFonts w:ascii="Microsoft JhengHei" w:hAnsi="Microsoft JhengHei" w:eastAsia="Microsoft JhengHei"/>
          <w:sz w:val="36"/>
        </w:rPr>
      </w:pPr>
      <w:r>
        <w:rPr>
          <w:rFonts w:hint="eastAsia" w:ascii="Microsoft JhengHei" w:hAnsi="Microsoft JhengHei" w:eastAsia="Microsoft JhengHei"/>
          <w:b/>
          <w:sz w:val="36"/>
        </w:rPr>
        <w:t>第三部分</w:t>
      </w:r>
      <w:r>
        <w:rPr>
          <w:rFonts w:hint="eastAsia" w:ascii="Microsoft JhengHei" w:hAnsi="Microsoft JhengHei" w:eastAsia="Microsoft JhengHei"/>
          <w:b/>
          <w:sz w:val="36"/>
        </w:rPr>
        <w:tab/>
      </w:r>
      <w:bookmarkStart w:id="2" w:name="bookmark2"/>
      <w:bookmarkEnd w:id="2"/>
      <w:r>
        <w:rPr>
          <w:rFonts w:hint="eastAsia" w:ascii="Microsoft JhengHei" w:hAnsi="Microsoft JhengHei" w:eastAsia="Microsoft JhengHei"/>
          <w:b/>
          <w:sz w:val="36"/>
        </w:rPr>
        <w:t>供应商须知</w:t>
      </w:r>
    </w:p>
    <w:p>
      <w:pPr>
        <w:tabs>
          <w:tab w:val="left" w:pos="1444"/>
        </w:tabs>
        <w:kinsoku w:val="0"/>
        <w:overflowPunct w:val="0"/>
        <w:spacing w:before="245"/>
        <w:ind w:right="141"/>
        <w:jc w:val="center"/>
        <w:rPr>
          <w:rFonts w:ascii="Microsoft JhengHei" w:hAnsi="Microsoft JhengHei" w:eastAsia="Microsoft JhengHei"/>
          <w:sz w:val="36"/>
        </w:rPr>
      </w:pPr>
      <w:bookmarkStart w:id="3" w:name="bookmark3"/>
      <w:bookmarkEnd w:id="3"/>
      <w:r>
        <w:rPr>
          <w:rFonts w:hint="eastAsia" w:ascii="Microsoft JhengHei" w:hAnsi="Microsoft JhengHei" w:eastAsia="Microsoft JhengHei"/>
          <w:b/>
          <w:sz w:val="36"/>
        </w:rPr>
        <w:t>一、说</w:t>
      </w:r>
      <w:r>
        <w:rPr>
          <w:rFonts w:hint="eastAsia" w:ascii="Microsoft JhengHei" w:hAnsi="Microsoft JhengHei" w:eastAsia="Microsoft JhengHei"/>
          <w:b/>
          <w:sz w:val="36"/>
        </w:rPr>
        <w:tab/>
      </w:r>
      <w:r>
        <w:rPr>
          <w:rFonts w:hint="eastAsia" w:ascii="Microsoft JhengHei" w:hAnsi="Microsoft JhengHei" w:eastAsia="Microsoft JhengHei"/>
          <w:b/>
          <w:sz w:val="36"/>
        </w:rPr>
        <w:t>明</w:t>
      </w:r>
    </w:p>
    <w:p>
      <w:pPr>
        <w:kinsoku w:val="0"/>
        <w:overflowPunct w:val="0"/>
        <w:spacing w:before="3" w:line="180" w:lineRule="exact"/>
        <w:rPr>
          <w:sz w:val="18"/>
        </w:rPr>
      </w:pPr>
    </w:p>
    <w:p>
      <w:pPr>
        <w:kinsoku w:val="0"/>
        <w:overflowPunct w:val="0"/>
        <w:spacing w:line="200" w:lineRule="exact"/>
        <w:rPr>
          <w:sz w:val="20"/>
        </w:rPr>
      </w:pPr>
    </w:p>
    <w:p>
      <w:pPr>
        <w:pStyle w:val="4"/>
        <w:kinsoku w:val="0"/>
        <w:overflowPunct w:val="0"/>
        <w:spacing w:line="456" w:lineRule="exact"/>
        <w:jc w:val="both"/>
        <w:rPr>
          <w:rFonts w:hint="default" w:ascii="Blackoak Std" w:hAnsi="Blackoak Std" w:eastAsia="Blackoak Std"/>
          <w:b w:val="0"/>
        </w:rPr>
      </w:pPr>
      <w:bookmarkStart w:id="4" w:name="bookmark4"/>
      <w:bookmarkEnd w:id="4"/>
      <w:r>
        <w:rPr>
          <w:rFonts w:hint="default" w:ascii="Arial" w:hAnsi="Arial"/>
          <w:spacing w:val="1"/>
          <w:w w:val="105"/>
        </w:rPr>
        <w:t>1</w:t>
      </w:r>
      <w:r>
        <w:rPr>
          <w:rFonts w:hint="default" w:ascii="Arial" w:hAnsi="Arial"/>
          <w:w w:val="105"/>
        </w:rPr>
        <w:t>.</w:t>
      </w:r>
      <w:r>
        <w:rPr>
          <w:spacing w:val="1"/>
          <w:w w:val="105"/>
        </w:rPr>
        <w:t>适用范围</w:t>
      </w:r>
    </w:p>
    <w:p>
      <w:pPr>
        <w:pStyle w:val="9"/>
        <w:kinsoku w:val="0"/>
        <w:overflowPunct w:val="0"/>
        <w:spacing w:before="216" w:line="309" w:lineRule="auto"/>
        <w:ind w:right="259" w:firstLine="360"/>
        <w:rPr>
          <w:rFonts w:hint="default"/>
        </w:rPr>
      </w:pPr>
      <w:r>
        <w:t>1.1本次磋商依据尖扎县住房和城乡建设局的采购计划</w:t>
      </w:r>
      <w:r>
        <w:rPr>
          <w:spacing w:val="-94"/>
        </w:rPr>
        <w:t>，</w:t>
      </w:r>
      <w:r>
        <w:t xml:space="preserve">仅适用于本磋商文件中 所叙述的项目。 </w:t>
      </w:r>
    </w:p>
    <w:p>
      <w:pPr>
        <w:pStyle w:val="4"/>
        <w:kinsoku w:val="0"/>
        <w:overflowPunct w:val="0"/>
        <w:spacing w:before="177"/>
        <w:jc w:val="both"/>
        <w:rPr>
          <w:rFonts w:hint="default" w:ascii="Blackoak Std" w:hAnsi="Blackoak Std" w:eastAsia="Blackoak Std"/>
          <w:b w:val="0"/>
        </w:rPr>
      </w:pPr>
      <w:bookmarkStart w:id="5" w:name="bookmark5"/>
      <w:bookmarkEnd w:id="5"/>
      <w:r>
        <w:rPr>
          <w:rFonts w:hint="default" w:ascii="Arial" w:hAnsi="Arial"/>
          <w:spacing w:val="1"/>
        </w:rPr>
        <w:t>2</w:t>
      </w:r>
      <w:r>
        <w:rPr>
          <w:rFonts w:hint="default" w:ascii="Arial" w:hAnsi="Arial"/>
        </w:rPr>
        <w:t>.</w:t>
      </w:r>
      <w:r>
        <w:rPr>
          <w:spacing w:val="1"/>
        </w:rPr>
        <w:t>采购方式、合格的供应商</w:t>
      </w:r>
    </w:p>
    <w:p>
      <w:pPr>
        <w:pStyle w:val="9"/>
        <w:kinsoku w:val="0"/>
        <w:overflowPunct w:val="0"/>
        <w:spacing w:before="216"/>
        <w:ind w:left="480"/>
        <w:rPr>
          <w:rFonts w:hint="default" w:ascii="Blackoak Std" w:hAnsi="Blackoak Std" w:eastAsia="Blackoak Std"/>
          <w:sz w:val="28"/>
        </w:rPr>
      </w:pPr>
      <w:r>
        <w:t>2.1本次采购采取竞争性磋商方式。</w:t>
      </w:r>
    </w:p>
    <w:p>
      <w:pPr>
        <w:pStyle w:val="9"/>
        <w:kinsoku w:val="0"/>
        <w:overflowPunct w:val="0"/>
        <w:ind w:left="480"/>
        <w:rPr>
          <w:rFonts w:hint="default"/>
        </w:rPr>
      </w:pPr>
      <w:r>
        <w:t xml:space="preserve">2.2合格的供应商： </w:t>
      </w:r>
    </w:p>
    <w:p>
      <w:pPr>
        <w:pStyle w:val="18"/>
        <w:spacing w:line="360" w:lineRule="auto"/>
        <w:rPr>
          <w:rFonts w:ascii="宋体" w:hAnsi="宋体"/>
          <w:kern w:val="0"/>
          <w:sz w:val="24"/>
          <w:lang w:val="zh-CN"/>
        </w:rPr>
      </w:pPr>
      <w:r>
        <w:rPr>
          <w:rFonts w:hint="eastAsia" w:ascii="宋体" w:hAnsi="宋体"/>
          <w:kern w:val="0"/>
          <w:sz w:val="24"/>
          <w:lang w:val="zh-CN"/>
        </w:rPr>
        <w:t>1、符合《政府采购法》第22条条件，并提供下列材料：</w:t>
      </w:r>
    </w:p>
    <w:p>
      <w:pPr>
        <w:pStyle w:val="18"/>
        <w:spacing w:line="360" w:lineRule="auto"/>
        <w:rPr>
          <w:rFonts w:ascii="宋体" w:hAnsi="宋体"/>
          <w:kern w:val="0"/>
          <w:sz w:val="24"/>
          <w:lang w:val="zh-CN"/>
        </w:rPr>
      </w:pPr>
      <w:r>
        <w:rPr>
          <w:rFonts w:hint="eastAsia" w:ascii="宋体" w:hAnsi="宋体"/>
          <w:kern w:val="0"/>
          <w:sz w:val="24"/>
          <w:lang w:val="zh-CN"/>
        </w:rPr>
        <w:t>&lt;1&gt;具有独立承担民事责任的能力；</w:t>
      </w:r>
      <w:r>
        <w:rPr>
          <w:rFonts w:hint="eastAsia" w:ascii="宋体" w:hAnsi="宋体"/>
          <w:kern w:val="0"/>
          <w:sz w:val="24"/>
          <w:lang w:val="zh-CN"/>
        </w:rPr>
        <w:br w:type="textWrapping"/>
      </w:r>
      <w:r>
        <w:rPr>
          <w:rFonts w:hint="eastAsia" w:ascii="宋体" w:hAnsi="宋体"/>
          <w:kern w:val="0"/>
          <w:sz w:val="24"/>
          <w:lang w:val="zh-CN"/>
        </w:rPr>
        <w:t>&lt;2&gt;具有良好的商业信誉和健全的财务会计制度；</w:t>
      </w:r>
      <w:r>
        <w:rPr>
          <w:rFonts w:hint="eastAsia" w:ascii="宋体" w:hAnsi="宋体"/>
          <w:kern w:val="0"/>
          <w:sz w:val="24"/>
          <w:lang w:val="zh-CN"/>
        </w:rPr>
        <w:br w:type="textWrapping"/>
      </w:r>
      <w:r>
        <w:rPr>
          <w:rFonts w:hint="eastAsia" w:ascii="宋体" w:hAnsi="宋体"/>
          <w:kern w:val="0"/>
          <w:sz w:val="24"/>
          <w:lang w:val="zh-CN"/>
        </w:rPr>
        <w:t>&lt;3&gt;具有履行合同所必需的设备和专业技术能力；</w:t>
      </w:r>
      <w:r>
        <w:rPr>
          <w:rFonts w:hint="eastAsia" w:ascii="宋体" w:hAnsi="宋体"/>
          <w:kern w:val="0"/>
          <w:sz w:val="24"/>
          <w:lang w:val="zh-CN"/>
        </w:rPr>
        <w:br w:type="textWrapping"/>
      </w:r>
      <w:r>
        <w:rPr>
          <w:rFonts w:hint="eastAsia" w:ascii="宋体" w:hAnsi="宋体"/>
          <w:kern w:val="0"/>
          <w:sz w:val="24"/>
          <w:lang w:val="zh-CN"/>
        </w:rPr>
        <w:t>&lt;4&gt;有依法缴纳</w:t>
      </w:r>
      <w:r>
        <w:fldChar w:fldCharType="begin"/>
      </w:r>
      <w:r>
        <w:instrText xml:space="preserve"> HYPERLINK "http://www.so.com/s?q=%E7%A8%8E%E6%94%B6&amp;ie=utf-8&amp;src=internal_wenda_recommend_textn" \t "https://wenda.so.com/q/_blank" </w:instrText>
      </w:r>
      <w:r>
        <w:fldChar w:fldCharType="separate"/>
      </w:r>
      <w:r>
        <w:rPr>
          <w:rFonts w:hint="eastAsia" w:ascii="宋体" w:hAnsi="宋体"/>
          <w:kern w:val="0"/>
          <w:sz w:val="24"/>
          <w:lang w:val="zh-CN"/>
        </w:rPr>
        <w:t>税收</w:t>
      </w:r>
      <w:r>
        <w:rPr>
          <w:rFonts w:hint="eastAsia" w:ascii="宋体" w:hAnsi="宋体"/>
          <w:kern w:val="0"/>
          <w:sz w:val="24"/>
          <w:lang w:val="zh-CN"/>
        </w:rPr>
        <w:fldChar w:fldCharType="end"/>
      </w:r>
      <w:r>
        <w:rPr>
          <w:rFonts w:hint="eastAsia" w:ascii="宋体" w:hAnsi="宋体"/>
          <w:kern w:val="0"/>
          <w:sz w:val="24"/>
          <w:lang w:val="zh-CN"/>
        </w:rPr>
        <w:t>和</w:t>
      </w:r>
      <w:r>
        <w:fldChar w:fldCharType="begin"/>
      </w:r>
      <w:r>
        <w:instrText xml:space="preserve"> HYPERLINK "http://www.so.com/s?q=%E7%A4%BE%E4%BC%9A%E4%BF%9D%E9%9A%9C%E8%B5%84%E9%87%91&amp;ie=utf-8&amp;src=internal_wenda_recommend_textn" \t "https://wenda.so.com/q/_blank" </w:instrText>
      </w:r>
      <w:r>
        <w:fldChar w:fldCharType="separate"/>
      </w:r>
      <w:r>
        <w:rPr>
          <w:rFonts w:hint="eastAsia" w:ascii="宋体" w:hAnsi="宋体"/>
          <w:kern w:val="0"/>
          <w:sz w:val="24"/>
          <w:lang w:val="zh-CN"/>
        </w:rPr>
        <w:t>社会保障资金</w:t>
      </w:r>
      <w:r>
        <w:rPr>
          <w:rFonts w:hint="eastAsia" w:ascii="宋体" w:hAnsi="宋体"/>
          <w:kern w:val="0"/>
          <w:sz w:val="24"/>
          <w:lang w:val="zh-CN"/>
        </w:rPr>
        <w:fldChar w:fldCharType="end"/>
      </w:r>
      <w:r>
        <w:rPr>
          <w:rFonts w:hint="eastAsia" w:ascii="宋体" w:hAnsi="宋体"/>
          <w:kern w:val="0"/>
          <w:sz w:val="24"/>
          <w:lang w:val="zh-CN"/>
        </w:rPr>
        <w:t>的良好记录；</w:t>
      </w:r>
      <w:r>
        <w:rPr>
          <w:rFonts w:hint="eastAsia" w:ascii="宋体" w:hAnsi="宋体"/>
          <w:kern w:val="0"/>
          <w:sz w:val="24"/>
          <w:lang w:val="zh-CN"/>
        </w:rPr>
        <w:br w:type="textWrapping"/>
      </w:r>
      <w:r>
        <w:rPr>
          <w:rFonts w:hint="eastAsia" w:ascii="宋体" w:hAnsi="宋体"/>
          <w:kern w:val="0"/>
          <w:sz w:val="24"/>
          <w:lang w:val="zh-CN"/>
        </w:rPr>
        <w:t>&lt;5&gt;参加政府采购活动前三年内，在</w:t>
      </w:r>
      <w:r>
        <w:fldChar w:fldCharType="begin"/>
      </w:r>
      <w:r>
        <w:instrText xml:space="preserve"> HYPERLINK "http://www.so.com/s?q=%E7%BB%8F%E8%90%A5%E6%B4%BB%E5%8A%A8&amp;ie=utf-8&amp;src=internal_wenda_recommend_textn" \t "https://wenda.so.com/q/_blank" </w:instrText>
      </w:r>
      <w:r>
        <w:fldChar w:fldCharType="separate"/>
      </w:r>
      <w:r>
        <w:rPr>
          <w:rFonts w:hint="eastAsia" w:ascii="宋体" w:hAnsi="宋体"/>
          <w:kern w:val="0"/>
          <w:sz w:val="24"/>
          <w:lang w:val="zh-CN"/>
        </w:rPr>
        <w:t>经营活动</w:t>
      </w:r>
      <w:r>
        <w:rPr>
          <w:rFonts w:hint="eastAsia" w:ascii="宋体" w:hAnsi="宋体"/>
          <w:kern w:val="0"/>
          <w:sz w:val="24"/>
          <w:lang w:val="zh-CN"/>
        </w:rPr>
        <w:fldChar w:fldCharType="end"/>
      </w:r>
      <w:r>
        <w:rPr>
          <w:rFonts w:hint="eastAsia" w:ascii="宋体" w:hAnsi="宋体"/>
          <w:kern w:val="0"/>
          <w:sz w:val="24"/>
          <w:lang w:val="zh-CN"/>
        </w:rPr>
        <w:t>中没有重大违法记录；</w:t>
      </w:r>
      <w:r>
        <w:rPr>
          <w:rFonts w:hint="eastAsia" w:ascii="宋体" w:hAnsi="宋体"/>
          <w:kern w:val="0"/>
          <w:sz w:val="24"/>
          <w:lang w:val="zh-CN"/>
        </w:rPr>
        <w:br w:type="textWrapping"/>
      </w:r>
      <w:r>
        <w:rPr>
          <w:rFonts w:hint="eastAsia" w:ascii="宋体" w:hAnsi="宋体"/>
          <w:kern w:val="0"/>
          <w:sz w:val="24"/>
          <w:lang w:val="zh-CN"/>
        </w:rPr>
        <w:t>&lt;6&gt;法律、行政法规规定的其他条件。</w:t>
      </w:r>
    </w:p>
    <w:p>
      <w:pPr>
        <w:pStyle w:val="18"/>
        <w:spacing w:line="360" w:lineRule="auto"/>
        <w:rPr>
          <w:rFonts w:ascii="宋体" w:hAnsi="宋体"/>
          <w:kern w:val="0"/>
          <w:sz w:val="24"/>
          <w:lang w:val="zh-CN"/>
        </w:rPr>
      </w:pPr>
      <w:r>
        <w:rPr>
          <w:rFonts w:hint="eastAsia" w:ascii="宋体" w:hAnsi="宋体"/>
          <w:kern w:val="0"/>
          <w:sz w:val="24"/>
        </w:rPr>
        <w:t>2、</w:t>
      </w:r>
      <w:r>
        <w:rPr>
          <w:rFonts w:hint="eastAsia" w:ascii="宋体" w:hAnsi="宋体"/>
          <w:kern w:val="0"/>
          <w:sz w:val="24"/>
          <w:lang w:val="zh-CN"/>
        </w:rPr>
        <w:t>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10天内)。</w:t>
      </w:r>
    </w:p>
    <w:p>
      <w:pPr>
        <w:pStyle w:val="18"/>
        <w:spacing w:line="360" w:lineRule="auto"/>
        <w:rPr>
          <w:rFonts w:ascii="宋体" w:hAnsi="宋体"/>
          <w:kern w:val="0"/>
          <w:sz w:val="24"/>
          <w:lang w:val="zh-CN"/>
        </w:rPr>
      </w:pPr>
      <w:r>
        <w:rPr>
          <w:rFonts w:hint="eastAsia" w:ascii="宋体" w:hAnsi="宋体"/>
          <w:kern w:val="0"/>
          <w:sz w:val="24"/>
        </w:rPr>
        <w:t>3、</w:t>
      </w:r>
      <w:r>
        <w:rPr>
          <w:rFonts w:hint="eastAsia" w:ascii="宋体" w:hAnsi="宋体"/>
          <w:kern w:val="0"/>
          <w:sz w:val="24"/>
          <w:lang w:val="zh-CN"/>
        </w:rPr>
        <w:t>本项目不接受磋商人以联合体方式进行投标。</w:t>
      </w:r>
    </w:p>
    <w:p>
      <w:pPr>
        <w:pStyle w:val="9"/>
        <w:kinsoku w:val="0"/>
        <w:overflowPunct w:val="0"/>
        <w:spacing w:before="55" w:line="338" w:lineRule="auto"/>
        <w:ind w:left="0" w:right="259"/>
        <w:jc w:val="both"/>
        <w:rPr>
          <w:rFonts w:hint="default"/>
          <w:color w:val="FF0000"/>
        </w:rPr>
      </w:pPr>
      <w:r>
        <w:rPr>
          <w:color w:val="FF0000"/>
          <w:szCs w:val="24"/>
        </w:rPr>
        <w:t>4、本项目要求供应商具备市政道路工程设计专业</w:t>
      </w:r>
      <w:r>
        <w:rPr>
          <w:rFonts w:hint="eastAsia"/>
          <w:color w:val="FF0000"/>
          <w:szCs w:val="24"/>
          <w:lang w:eastAsia="zh-CN"/>
        </w:rPr>
        <w:t>甲</w:t>
      </w:r>
      <w:r>
        <w:rPr>
          <w:color w:val="FF0000"/>
          <w:szCs w:val="24"/>
        </w:rPr>
        <w:t>级及以上资质。拟任项目负责人应提供公司缴纳社保、具有中级及以上技术职称。并在人员、技术力量、设备、资金等方面具备相应的能力。</w:t>
      </w:r>
    </w:p>
    <w:p>
      <w:pPr>
        <w:pStyle w:val="9"/>
        <w:kinsoku w:val="0"/>
        <w:overflowPunct w:val="0"/>
        <w:spacing w:before="55" w:line="338" w:lineRule="auto"/>
        <w:ind w:right="259"/>
        <w:jc w:val="both"/>
        <w:rPr>
          <w:rFonts w:hint="default"/>
        </w:rPr>
        <w:sectPr>
          <w:pgSz w:w="11910" w:h="16840"/>
          <w:pgMar w:top="1580" w:right="1540" w:bottom="1140" w:left="1680" w:header="0" w:footer="880" w:gutter="0"/>
          <w:cols w:space="720" w:num="1"/>
        </w:sectPr>
      </w:pPr>
    </w:p>
    <w:p>
      <w:pPr>
        <w:kinsoku w:val="0"/>
        <w:overflowPunct w:val="0"/>
        <w:spacing w:before="7" w:line="240" w:lineRule="exact"/>
      </w:pPr>
    </w:p>
    <w:p>
      <w:pPr>
        <w:pStyle w:val="4"/>
        <w:kinsoku w:val="0"/>
        <w:overflowPunct w:val="0"/>
        <w:jc w:val="both"/>
        <w:rPr>
          <w:rFonts w:hint="default" w:ascii="Blackoak Std" w:hAnsi="Blackoak Std" w:eastAsia="Blackoak Std"/>
          <w:b w:val="0"/>
        </w:rPr>
      </w:pPr>
      <w:bookmarkStart w:id="6" w:name="bookmark6"/>
      <w:bookmarkEnd w:id="6"/>
      <w:r>
        <w:rPr>
          <w:rFonts w:hint="default" w:ascii="Arial" w:hAnsi="Arial"/>
          <w:spacing w:val="1"/>
          <w:w w:val="105"/>
        </w:rPr>
        <w:t>3</w:t>
      </w:r>
      <w:r>
        <w:rPr>
          <w:rFonts w:hint="default" w:ascii="Arial" w:hAnsi="Arial"/>
          <w:w w:val="105"/>
        </w:rPr>
        <w:t>.</w:t>
      </w:r>
      <w:r>
        <w:rPr>
          <w:spacing w:val="1"/>
          <w:w w:val="105"/>
        </w:rPr>
        <w:t>磋商费用</w:t>
      </w:r>
    </w:p>
    <w:p>
      <w:pPr>
        <w:pStyle w:val="9"/>
        <w:kinsoku w:val="0"/>
        <w:overflowPunct w:val="0"/>
        <w:spacing w:before="216" w:line="309" w:lineRule="auto"/>
        <w:ind w:right="119" w:firstLine="480"/>
        <w:rPr>
          <w:rFonts w:hint="default"/>
        </w:rPr>
      </w:pPr>
      <w:r>
        <w:t>参与供应商应自愿承担与参加本次磋商有关的费用</w:t>
      </w:r>
      <w:r>
        <w:rPr>
          <w:spacing w:val="-94"/>
        </w:rPr>
        <w:t>。</w:t>
      </w:r>
      <w:r>
        <w:t xml:space="preserve">采购代理机构对参与供 应商发生的费用不承担任何责任。 </w:t>
      </w:r>
    </w:p>
    <w:p>
      <w:pPr>
        <w:pStyle w:val="9"/>
        <w:kinsoku w:val="0"/>
        <w:overflowPunct w:val="0"/>
        <w:spacing w:before="20"/>
        <w:ind w:left="600" w:right="8526"/>
        <w:rPr>
          <w:rFonts w:hint="default"/>
        </w:rPr>
      </w:pPr>
    </w:p>
    <w:p>
      <w:pPr>
        <w:pStyle w:val="3"/>
        <w:kinsoku w:val="0"/>
        <w:overflowPunct w:val="0"/>
        <w:spacing w:before="203"/>
        <w:ind w:left="2827"/>
        <w:rPr>
          <w:rFonts w:hint="default"/>
          <w:b w:val="0"/>
        </w:rPr>
      </w:pPr>
      <w:bookmarkStart w:id="7" w:name="bookmark7"/>
      <w:bookmarkEnd w:id="7"/>
      <w:r>
        <w:t>二、磋商文件说明</w:t>
      </w:r>
    </w:p>
    <w:p>
      <w:pPr>
        <w:pStyle w:val="4"/>
        <w:kinsoku w:val="0"/>
        <w:overflowPunct w:val="0"/>
        <w:spacing w:before="289"/>
        <w:jc w:val="both"/>
        <w:rPr>
          <w:rFonts w:hint="default" w:ascii="Blackoak Std" w:hAnsi="Blackoak Std" w:eastAsia="Blackoak Std"/>
          <w:b w:val="0"/>
        </w:rPr>
      </w:pPr>
      <w:bookmarkStart w:id="8" w:name="bookmark8"/>
      <w:bookmarkEnd w:id="8"/>
      <w:r>
        <w:rPr>
          <w:rFonts w:hint="default" w:ascii="Arial" w:hAnsi="Arial"/>
          <w:spacing w:val="1"/>
        </w:rPr>
        <w:t>4</w:t>
      </w:r>
      <w:r>
        <w:rPr>
          <w:rFonts w:hint="default" w:ascii="Arial" w:hAnsi="Arial"/>
        </w:rPr>
        <w:t>.</w:t>
      </w:r>
      <w:r>
        <w:rPr>
          <w:spacing w:val="1"/>
        </w:rPr>
        <w:t>磋商文件的构成</w:t>
      </w:r>
    </w:p>
    <w:p>
      <w:pPr>
        <w:pStyle w:val="9"/>
        <w:kinsoku w:val="0"/>
        <w:overflowPunct w:val="0"/>
        <w:spacing w:before="216"/>
        <w:ind w:left="520" w:right="5945"/>
        <w:jc w:val="center"/>
        <w:rPr>
          <w:rFonts w:hint="default"/>
        </w:rPr>
      </w:pPr>
      <w:r>
        <w:t xml:space="preserve">4.1磋商文件包括： </w:t>
      </w:r>
    </w:p>
    <w:p>
      <w:pPr>
        <w:pStyle w:val="9"/>
        <w:kinsoku w:val="0"/>
        <w:overflowPunct w:val="0"/>
        <w:ind w:left="600"/>
        <w:rPr>
          <w:rFonts w:hint="default"/>
        </w:rPr>
      </w:pPr>
      <w:r>
        <w:t xml:space="preserve">（1）磋商邀请 </w:t>
      </w:r>
    </w:p>
    <w:p>
      <w:pPr>
        <w:pStyle w:val="9"/>
        <w:kinsoku w:val="0"/>
        <w:overflowPunct w:val="0"/>
        <w:ind w:left="600"/>
        <w:rPr>
          <w:rFonts w:hint="default"/>
        </w:rPr>
      </w:pPr>
      <w:r>
        <w:t xml:space="preserve">（2）供应商须知前附表 </w:t>
      </w:r>
    </w:p>
    <w:p>
      <w:pPr>
        <w:pStyle w:val="9"/>
        <w:kinsoku w:val="0"/>
        <w:overflowPunct w:val="0"/>
        <w:ind w:left="600"/>
        <w:rPr>
          <w:rFonts w:hint="default"/>
        </w:rPr>
      </w:pPr>
      <w:r>
        <w:t xml:space="preserve">（3）供应商须知 </w:t>
      </w:r>
    </w:p>
    <w:p>
      <w:pPr>
        <w:pStyle w:val="9"/>
        <w:kinsoku w:val="0"/>
        <w:overflowPunct w:val="0"/>
        <w:ind w:left="600"/>
        <w:rPr>
          <w:rFonts w:hint="default"/>
        </w:rPr>
      </w:pPr>
      <w:r>
        <w:t xml:space="preserve">（4）青海省政府采购项目合同书范本 </w:t>
      </w:r>
    </w:p>
    <w:p>
      <w:pPr>
        <w:pStyle w:val="9"/>
        <w:kinsoku w:val="0"/>
        <w:overflowPunct w:val="0"/>
        <w:ind w:left="600"/>
        <w:rPr>
          <w:rFonts w:hint="default"/>
        </w:rPr>
      </w:pPr>
      <w:r>
        <w:t xml:space="preserve">（5）磋商响应文件格式 </w:t>
      </w:r>
    </w:p>
    <w:p>
      <w:pPr>
        <w:pStyle w:val="9"/>
        <w:kinsoku w:val="0"/>
        <w:overflowPunct w:val="0"/>
        <w:ind w:left="600"/>
        <w:rPr>
          <w:rFonts w:hint="default"/>
        </w:rPr>
      </w:pPr>
      <w:r>
        <w:t xml:space="preserve">（6）采购项目要求及技术参数 </w:t>
      </w:r>
    </w:p>
    <w:p>
      <w:pPr>
        <w:pStyle w:val="9"/>
        <w:kinsoku w:val="0"/>
        <w:overflowPunct w:val="0"/>
        <w:ind w:left="600"/>
        <w:rPr>
          <w:rFonts w:hint="default"/>
        </w:rPr>
      </w:pPr>
      <w:r>
        <w:t xml:space="preserve">（7）采购过程中发生的澄清、变更和补充文件 </w:t>
      </w:r>
    </w:p>
    <w:p>
      <w:pPr>
        <w:pStyle w:val="9"/>
        <w:kinsoku w:val="0"/>
        <w:overflowPunct w:val="0"/>
        <w:spacing w:line="309" w:lineRule="auto"/>
        <w:ind w:right="119" w:firstLine="480"/>
        <w:jc w:val="both"/>
        <w:rPr>
          <w:rFonts w:hint="default"/>
          <w:sz w:val="32"/>
        </w:rPr>
      </w:pPr>
      <w:r>
        <w:t>4.2 参与供应商应认真阅读磋商文件中列示的事项</w:t>
      </w:r>
      <w:r>
        <w:rPr>
          <w:spacing w:val="-47"/>
        </w:rPr>
        <w:t>、</w:t>
      </w:r>
      <w:r>
        <w:t>格式</w:t>
      </w:r>
      <w:r>
        <w:rPr>
          <w:spacing w:val="-47"/>
        </w:rPr>
        <w:t>、</w:t>
      </w:r>
      <w:r>
        <w:t>条款和要求等内 容</w:t>
      </w:r>
      <w:r>
        <w:rPr>
          <w:spacing w:val="-47"/>
        </w:rPr>
        <w:t>。</w:t>
      </w:r>
      <w:r>
        <w:t>如果参与供应商未按磋商文件要求提交全部资料</w:t>
      </w:r>
      <w:r>
        <w:rPr>
          <w:spacing w:val="-47"/>
        </w:rPr>
        <w:t>，</w:t>
      </w:r>
      <w:r>
        <w:t>或者对磋商文件未作出实 质性响应的，根据相关法规要求，此类响应将被拒绝（视为无效响应）。</w:t>
      </w:r>
    </w:p>
    <w:p>
      <w:pPr>
        <w:pStyle w:val="4"/>
        <w:kinsoku w:val="0"/>
        <w:overflowPunct w:val="0"/>
        <w:spacing w:before="177"/>
        <w:jc w:val="both"/>
        <w:rPr>
          <w:rFonts w:hint="default" w:ascii="Blackoak Std" w:hAnsi="Blackoak Std" w:eastAsia="Blackoak Std"/>
          <w:b w:val="0"/>
        </w:rPr>
      </w:pPr>
      <w:bookmarkStart w:id="9" w:name="bookmark9"/>
      <w:bookmarkEnd w:id="9"/>
      <w:r>
        <w:rPr>
          <w:rFonts w:hint="default" w:ascii="Arial" w:hAnsi="Arial"/>
          <w:spacing w:val="1"/>
        </w:rPr>
        <w:t>5</w:t>
      </w:r>
      <w:r>
        <w:rPr>
          <w:rFonts w:hint="default" w:ascii="Arial" w:hAnsi="Arial"/>
        </w:rPr>
        <w:t>.</w:t>
      </w:r>
      <w:r>
        <w:rPr>
          <w:spacing w:val="1"/>
        </w:rPr>
        <w:t>磋商文件、采购活动和成交结果的质疑</w:t>
      </w:r>
    </w:p>
    <w:p>
      <w:pPr>
        <w:pStyle w:val="9"/>
        <w:kinsoku w:val="0"/>
        <w:overflowPunct w:val="0"/>
        <w:spacing w:before="216" w:line="309" w:lineRule="auto"/>
        <w:ind w:right="119" w:firstLine="480"/>
        <w:rPr>
          <w:rFonts w:hint="default"/>
        </w:rPr>
      </w:pPr>
      <w:r>
        <w:t>参加本次磋商的供应商认为磋商文件</w:t>
      </w:r>
      <w:r>
        <w:rPr>
          <w:spacing w:val="-94"/>
        </w:rPr>
        <w:t>、</w:t>
      </w:r>
      <w:r>
        <w:t>采购活动和成交结果使自己的权益受 到损害的，可以在知道或者应知其权益受到损害之日起7个工作日内以书面形式</w:t>
      </w:r>
    </w:p>
    <w:p>
      <w:pPr>
        <w:pStyle w:val="9"/>
        <w:kinsoku w:val="0"/>
        <w:overflowPunct w:val="0"/>
        <w:spacing w:before="20" w:line="309" w:lineRule="auto"/>
        <w:ind w:right="119"/>
        <w:jc w:val="both"/>
        <w:rPr>
          <w:rFonts w:hint="default"/>
        </w:rPr>
      </w:pPr>
      <w:r>
        <w:t>（如信件</w:t>
      </w:r>
      <w:r>
        <w:rPr>
          <w:spacing w:val="-24"/>
        </w:rPr>
        <w:t>、</w:t>
      </w:r>
      <w:r>
        <w:t>传真等</w:t>
      </w:r>
      <w:r>
        <w:rPr>
          <w:spacing w:val="-24"/>
        </w:rPr>
        <w:t>）</w:t>
      </w:r>
      <w:r>
        <w:t>向采购代理机构提出质疑</w:t>
      </w:r>
      <w:r>
        <w:rPr>
          <w:spacing w:val="-24"/>
        </w:rPr>
        <w:t>，</w:t>
      </w:r>
      <w:r>
        <w:t>不接受匿名质疑</w:t>
      </w:r>
      <w:r>
        <w:rPr>
          <w:spacing w:val="-24"/>
        </w:rPr>
        <w:t>。</w:t>
      </w:r>
      <w:r>
        <w:t xml:space="preserve">采购代理机构 在收到参与供应商的书面质疑后7个工作日内予以答复，并将答复事宜在青海政 府采购信息网上发布公告，告知本项目的所有潜在供应商。 </w:t>
      </w:r>
    </w:p>
    <w:p>
      <w:pPr>
        <w:pStyle w:val="9"/>
        <w:kinsoku w:val="0"/>
        <w:overflowPunct w:val="0"/>
        <w:spacing w:before="20"/>
        <w:ind w:left="600"/>
        <w:rPr>
          <w:rFonts w:hint="default"/>
        </w:rPr>
      </w:pPr>
      <w:r>
        <w:t xml:space="preserve">质疑时效期间的计算： </w:t>
      </w:r>
    </w:p>
    <w:p>
      <w:pPr>
        <w:pStyle w:val="9"/>
        <w:kinsoku w:val="0"/>
        <w:overflowPunct w:val="0"/>
        <w:spacing w:line="309" w:lineRule="auto"/>
        <w:ind w:firstLine="480"/>
        <w:rPr>
          <w:rFonts w:hint="default"/>
        </w:rPr>
      </w:pPr>
      <w:r>
        <w:t xml:space="preserve">（1）对可以质疑的磋商文件提出质疑的，为收到磋商文件之日或磋商文件 公告期限届满之日； </w:t>
      </w:r>
    </w:p>
    <w:p>
      <w:pPr>
        <w:pStyle w:val="9"/>
        <w:kinsoku w:val="0"/>
        <w:overflowPunct w:val="0"/>
        <w:spacing w:line="309" w:lineRule="auto"/>
        <w:ind w:firstLine="480"/>
        <w:rPr>
          <w:rFonts w:hint="default"/>
        </w:rPr>
        <w:sectPr>
          <w:pgSz w:w="11910" w:h="16840"/>
          <w:pgMar w:top="1460" w:right="1680" w:bottom="1140" w:left="1680" w:header="0" w:footer="880" w:gutter="0"/>
          <w:cols w:space="720" w:num="1"/>
        </w:sectPr>
      </w:pPr>
    </w:p>
    <w:p>
      <w:pPr>
        <w:pStyle w:val="9"/>
        <w:kinsoku w:val="0"/>
        <w:overflowPunct w:val="0"/>
        <w:spacing w:before="5"/>
        <w:ind w:left="600"/>
        <w:rPr>
          <w:rFonts w:hint="default"/>
        </w:rPr>
      </w:pPr>
      <w:r>
        <w:t xml:space="preserve">（2）对采购过程提出质疑的，为采购程序各环节结束之日； </w:t>
      </w:r>
    </w:p>
    <w:p>
      <w:pPr>
        <w:pStyle w:val="9"/>
        <w:kinsoku w:val="0"/>
        <w:overflowPunct w:val="0"/>
        <w:ind w:left="600"/>
        <w:rPr>
          <w:rFonts w:hint="default"/>
        </w:rPr>
      </w:pPr>
      <w:r>
        <w:t xml:space="preserve">（3）对成交结果提出质疑的，为成交公告期限届满之日。 </w:t>
      </w:r>
    </w:p>
    <w:p>
      <w:pPr>
        <w:kinsoku w:val="0"/>
        <w:overflowPunct w:val="0"/>
        <w:spacing w:before="7" w:line="240" w:lineRule="exact"/>
      </w:pPr>
    </w:p>
    <w:p>
      <w:pPr>
        <w:pStyle w:val="4"/>
        <w:kinsoku w:val="0"/>
        <w:overflowPunct w:val="0"/>
        <w:rPr>
          <w:rFonts w:hint="default" w:ascii="Blackoak Std" w:hAnsi="Blackoak Std" w:eastAsia="Blackoak Std"/>
          <w:b w:val="0"/>
        </w:rPr>
      </w:pPr>
      <w:bookmarkStart w:id="10" w:name="bookmark10"/>
      <w:bookmarkEnd w:id="10"/>
      <w:r>
        <w:rPr>
          <w:rFonts w:hint="default" w:ascii="Arial" w:hAnsi="Arial"/>
          <w:spacing w:val="1"/>
        </w:rPr>
        <w:t>6</w:t>
      </w:r>
      <w:r>
        <w:rPr>
          <w:rFonts w:hint="default" w:ascii="Arial" w:hAnsi="Arial"/>
        </w:rPr>
        <w:t>.</w:t>
      </w:r>
      <w:r>
        <w:rPr>
          <w:spacing w:val="1"/>
        </w:rPr>
        <w:t>磋商文件的修改</w:t>
      </w:r>
    </w:p>
    <w:p>
      <w:pPr>
        <w:pStyle w:val="9"/>
        <w:kinsoku w:val="0"/>
        <w:overflowPunct w:val="0"/>
        <w:spacing w:before="216"/>
        <w:ind w:left="600"/>
        <w:rPr>
          <w:rFonts w:hint="default"/>
        </w:rPr>
      </w:pPr>
      <w:r>
        <w:t>6.1 在磋商截止期前</w:t>
      </w:r>
      <w:r>
        <w:rPr>
          <w:spacing w:val="-120"/>
        </w:rPr>
        <w:t>，</w:t>
      </w:r>
      <w:r>
        <w:t>采购代理机构可对磋商文件进行必要的修改或者澄清</w:t>
      </w:r>
      <w:r>
        <w:rPr>
          <w:spacing w:val="-120"/>
        </w:rPr>
        <w:t>。</w:t>
      </w:r>
    </w:p>
    <w:p>
      <w:pPr>
        <w:pStyle w:val="9"/>
        <w:kinsoku w:val="0"/>
        <w:overflowPunct w:val="0"/>
        <w:spacing w:line="309" w:lineRule="auto"/>
        <w:ind w:right="319" w:firstLine="480"/>
        <w:jc w:val="both"/>
        <w:rPr>
          <w:rFonts w:hint="default"/>
        </w:rPr>
      </w:pPr>
      <w:r>
        <w:t>6.2 提交首次响应文件截止之日前</w:t>
      </w:r>
      <w:r>
        <w:rPr>
          <w:spacing w:val="-47"/>
        </w:rPr>
        <w:t>，</w:t>
      </w:r>
      <w:r>
        <w:t>采购人</w:t>
      </w:r>
      <w:r>
        <w:rPr>
          <w:spacing w:val="-47"/>
        </w:rPr>
        <w:t>、</w:t>
      </w:r>
      <w:r>
        <w:t>采购代理机构或者磋商小组可 以对已发出的磋商文件进行必要的澄清或者修改</w:t>
      </w:r>
      <w:r>
        <w:rPr>
          <w:spacing w:val="-94"/>
        </w:rPr>
        <w:t>，</w:t>
      </w:r>
      <w:r>
        <w:t>澄清或者修改的内容作为磋商 文件的组成部分</w:t>
      </w:r>
      <w:r>
        <w:rPr>
          <w:spacing w:val="-32"/>
        </w:rPr>
        <w:t>。</w:t>
      </w:r>
      <w:r>
        <w:t>澄清或者修改的内容可能影响响应文件编制的</w:t>
      </w:r>
      <w:r>
        <w:rPr>
          <w:spacing w:val="-32"/>
        </w:rPr>
        <w:t>，</w:t>
      </w:r>
      <w:r>
        <w:t>采购人</w:t>
      </w:r>
      <w:r>
        <w:rPr>
          <w:spacing w:val="-32"/>
        </w:rPr>
        <w:t>、</w:t>
      </w:r>
      <w:r>
        <w:t xml:space="preserve">采购 代理机构应当在提交首次响应文件截止时间至少5日前，以书面形式通知所有获 取磋商文件的供应商；不足5日的，采购人、采购代理机构应当顺延提交首次响 应文件截止时间。 </w:t>
      </w:r>
    </w:p>
    <w:p>
      <w:pPr>
        <w:pStyle w:val="9"/>
        <w:kinsoku w:val="0"/>
        <w:overflowPunct w:val="0"/>
        <w:spacing w:before="20" w:line="309" w:lineRule="auto"/>
        <w:ind w:right="319" w:firstLine="480"/>
        <w:jc w:val="both"/>
        <w:rPr>
          <w:rFonts w:hint="default"/>
        </w:rPr>
      </w:pPr>
      <w:r>
        <w:t>6.3 在磋商截止时间前</w:t>
      </w:r>
      <w:r>
        <w:rPr>
          <w:spacing w:val="-47"/>
        </w:rPr>
        <w:t>，</w:t>
      </w:r>
      <w:r>
        <w:t>采购代理机构可以视采购具体情况</w:t>
      </w:r>
      <w:r>
        <w:rPr>
          <w:spacing w:val="-47"/>
        </w:rPr>
        <w:t>，</w:t>
      </w:r>
      <w:r>
        <w:t>延长磋商截止 时间和开标时间</w:t>
      </w:r>
      <w:r>
        <w:rPr>
          <w:spacing w:val="-47"/>
        </w:rPr>
        <w:t>，</w:t>
      </w:r>
      <w:r>
        <w:t>并在采购文件要求提交磋商响应文件的截止时间三日前</w:t>
      </w:r>
      <w:r>
        <w:rPr>
          <w:spacing w:val="-47"/>
        </w:rPr>
        <w:t>，</w:t>
      </w:r>
      <w:r>
        <w:t>将变 更时间以书面形式通知所有购买了采购文件的供应商</w:t>
      </w:r>
      <w:r>
        <w:rPr>
          <w:spacing w:val="-94"/>
        </w:rPr>
        <w:t>，</w:t>
      </w:r>
      <w:r>
        <w:t xml:space="preserve">同时在发布本次采购公告 的网站发布变更公告。 </w:t>
      </w:r>
    </w:p>
    <w:p>
      <w:pPr>
        <w:pStyle w:val="3"/>
        <w:kinsoku w:val="0"/>
        <w:overflowPunct w:val="0"/>
        <w:spacing w:before="133"/>
        <w:ind w:left="2285"/>
        <w:rPr>
          <w:rFonts w:hint="default"/>
          <w:b w:val="0"/>
        </w:rPr>
      </w:pPr>
      <w:bookmarkStart w:id="11" w:name="bookmark11"/>
      <w:bookmarkEnd w:id="11"/>
      <w:r>
        <w:t>三、磋商响应文件的编制</w:t>
      </w:r>
    </w:p>
    <w:p>
      <w:pPr>
        <w:pStyle w:val="4"/>
        <w:kinsoku w:val="0"/>
        <w:overflowPunct w:val="0"/>
        <w:spacing w:before="289"/>
        <w:rPr>
          <w:rFonts w:hint="default" w:ascii="Blackoak Std" w:hAnsi="Blackoak Std" w:eastAsia="Blackoak Std"/>
          <w:b w:val="0"/>
        </w:rPr>
      </w:pPr>
      <w:bookmarkStart w:id="12" w:name="bookmark12"/>
      <w:bookmarkEnd w:id="12"/>
      <w:r>
        <w:rPr>
          <w:rFonts w:hint="default" w:ascii="Arial" w:hAnsi="Arial"/>
          <w:spacing w:val="1"/>
        </w:rPr>
        <w:t>7</w:t>
      </w:r>
      <w:r>
        <w:rPr>
          <w:rFonts w:hint="default" w:ascii="Arial" w:hAnsi="Arial"/>
        </w:rPr>
        <w:t>.</w:t>
      </w:r>
      <w:r>
        <w:rPr>
          <w:spacing w:val="1"/>
        </w:rPr>
        <w:t>磋商响应文件的语言及度量衡单位</w:t>
      </w:r>
    </w:p>
    <w:p>
      <w:pPr>
        <w:pStyle w:val="9"/>
        <w:kinsoku w:val="0"/>
        <w:overflowPunct w:val="0"/>
        <w:spacing w:before="216" w:line="309" w:lineRule="auto"/>
        <w:ind w:firstLine="480"/>
        <w:rPr>
          <w:rFonts w:hint="default"/>
        </w:rPr>
      </w:pPr>
      <w:r>
        <w:t xml:space="preserve">7.1供应商提交的磋商响应文件以及供应商与采购代理机构就此磋商发生的 所有来往函电均应使用简体中文。 </w:t>
      </w:r>
    </w:p>
    <w:p>
      <w:pPr>
        <w:pStyle w:val="9"/>
        <w:kinsoku w:val="0"/>
        <w:overflowPunct w:val="0"/>
        <w:spacing w:before="20" w:line="309" w:lineRule="auto"/>
        <w:ind w:firstLine="480"/>
        <w:rPr>
          <w:rFonts w:hint="default"/>
        </w:rPr>
      </w:pPr>
      <w:r>
        <w:t>7.2 除磋商文件中另有规定外</w:t>
      </w:r>
      <w:r>
        <w:rPr>
          <w:spacing w:val="-47"/>
        </w:rPr>
        <w:t>，</w:t>
      </w:r>
      <w:r>
        <w:t>磋商响应文件所使用的度量衡单位</w:t>
      </w:r>
      <w:r>
        <w:rPr>
          <w:spacing w:val="-47"/>
        </w:rPr>
        <w:t>，</w:t>
      </w:r>
      <w:r>
        <w:t xml:space="preserve">均须采 用国家法定计量单位。 </w:t>
      </w:r>
    </w:p>
    <w:p>
      <w:pPr>
        <w:pStyle w:val="9"/>
        <w:kinsoku w:val="0"/>
        <w:overflowPunct w:val="0"/>
        <w:spacing w:before="20" w:line="309" w:lineRule="auto"/>
        <w:ind w:firstLine="480"/>
        <w:rPr>
          <w:rFonts w:hint="default"/>
        </w:rPr>
      </w:pPr>
      <w:r>
        <w:t>7.3 附有外文资料的须翻译成中文</w:t>
      </w:r>
      <w:r>
        <w:rPr>
          <w:spacing w:val="-47"/>
        </w:rPr>
        <w:t>，</w:t>
      </w:r>
      <w:r>
        <w:t>并加盖供应商公章</w:t>
      </w:r>
      <w:r>
        <w:rPr>
          <w:spacing w:val="-47"/>
        </w:rPr>
        <w:t>，</w:t>
      </w:r>
      <w:r>
        <w:t xml:space="preserve">如果翻译的中文资 料与外文资料出现差异与矛盾时，以中文为准，其准确性由供应商负责。 </w:t>
      </w:r>
    </w:p>
    <w:p>
      <w:pPr>
        <w:pStyle w:val="4"/>
        <w:kinsoku w:val="0"/>
        <w:overflowPunct w:val="0"/>
        <w:spacing w:before="177"/>
        <w:rPr>
          <w:rFonts w:hint="default" w:ascii="Blackoak Std" w:hAnsi="Blackoak Std" w:eastAsia="Blackoak Std"/>
          <w:b w:val="0"/>
        </w:rPr>
      </w:pPr>
      <w:bookmarkStart w:id="13" w:name="bookmark13"/>
      <w:bookmarkEnd w:id="13"/>
      <w:r>
        <w:rPr>
          <w:rFonts w:hint="default" w:ascii="Arial" w:hAnsi="Arial"/>
          <w:spacing w:val="1"/>
        </w:rPr>
        <w:t>8</w:t>
      </w:r>
      <w:r>
        <w:rPr>
          <w:rFonts w:hint="default" w:ascii="Arial" w:hAnsi="Arial"/>
        </w:rPr>
        <w:t>.</w:t>
      </w:r>
      <w:r>
        <w:rPr>
          <w:spacing w:val="1"/>
        </w:rPr>
        <w:t>磋商报价及币种</w:t>
      </w:r>
    </w:p>
    <w:p>
      <w:pPr>
        <w:pStyle w:val="9"/>
        <w:kinsoku w:val="0"/>
        <w:overflowPunct w:val="0"/>
        <w:spacing w:before="216" w:line="309" w:lineRule="auto"/>
        <w:ind w:firstLine="480"/>
        <w:rPr>
          <w:rFonts w:hint="default"/>
          <w:color w:val="FF0000"/>
        </w:rPr>
      </w:pPr>
      <w:r>
        <w:rPr>
          <w:color w:val="000000"/>
        </w:rPr>
        <w:t>8.1磋商报价为磋商总价</w:t>
      </w:r>
      <w:r>
        <w:rPr>
          <w:color w:val="000000"/>
          <w:spacing w:val="-24"/>
        </w:rPr>
        <w:t>。</w:t>
      </w:r>
      <w:r>
        <w:rPr>
          <w:color w:val="000000"/>
        </w:rPr>
        <w:t>磋商报价进行两轮</w:t>
      </w:r>
      <w:r>
        <w:rPr>
          <w:color w:val="000000"/>
          <w:spacing w:val="-24"/>
        </w:rPr>
        <w:t>，</w:t>
      </w:r>
      <w:r>
        <w:rPr>
          <w:color w:val="000000"/>
        </w:rPr>
        <w:t>包括劳务</w:t>
      </w:r>
      <w:r>
        <w:rPr>
          <w:color w:val="000000"/>
          <w:spacing w:val="-24"/>
        </w:rPr>
        <w:t>、</w:t>
      </w:r>
      <w:r>
        <w:rPr>
          <w:color w:val="000000"/>
        </w:rPr>
        <w:t>运输</w:t>
      </w:r>
      <w:r>
        <w:rPr>
          <w:color w:val="000000"/>
          <w:spacing w:val="-24"/>
        </w:rPr>
        <w:t>、</w:t>
      </w:r>
      <w:r>
        <w:rPr>
          <w:color w:val="000000"/>
        </w:rPr>
        <w:t xml:space="preserve">仓储、 </w:t>
      </w:r>
      <w:r>
        <w:rPr>
          <w:color w:val="000000"/>
          <w:spacing w:val="-3"/>
        </w:rPr>
        <w:t>管理、维护、保险、利润、税金、政策性文件规定及合同包含的所有风险、责任</w:t>
      </w:r>
      <w:r>
        <w:rPr>
          <w:color w:val="000000"/>
        </w:rPr>
        <w:t>等各项应有费用</w:t>
      </w:r>
      <w:r>
        <w:rPr>
          <w:color w:val="FF0000"/>
        </w:rPr>
        <w:t xml:space="preserve">。 </w:t>
      </w:r>
    </w:p>
    <w:p>
      <w:pPr>
        <w:pStyle w:val="9"/>
        <w:kinsoku w:val="0"/>
        <w:overflowPunct w:val="0"/>
        <w:spacing w:before="20"/>
        <w:ind w:left="600"/>
        <w:rPr>
          <w:rFonts w:hint="default"/>
        </w:rPr>
      </w:pPr>
      <w:r>
        <w:t xml:space="preserve">8.2磋商报价应注明有效期，有效期应与磋商有效期一致。 </w:t>
      </w:r>
    </w:p>
    <w:p>
      <w:pPr>
        <w:pStyle w:val="9"/>
        <w:kinsoku w:val="0"/>
        <w:overflowPunct w:val="0"/>
        <w:spacing w:line="309" w:lineRule="auto"/>
        <w:ind w:firstLine="480"/>
        <w:rPr>
          <w:rFonts w:hint="default"/>
        </w:rPr>
      </w:pPr>
      <w:r>
        <w:t xml:space="preserve">8.3供应商应根据磋商文件规定的格式完整填写所有内容，并保证所提供的 全部资料真实可信，自愿承担相应责任。 </w:t>
      </w:r>
    </w:p>
    <w:p>
      <w:pPr>
        <w:pStyle w:val="9"/>
        <w:kinsoku w:val="0"/>
        <w:overflowPunct w:val="0"/>
        <w:spacing w:line="309" w:lineRule="auto"/>
        <w:ind w:firstLine="480"/>
        <w:rPr>
          <w:rFonts w:hint="default"/>
        </w:rPr>
        <w:sectPr>
          <w:pgSz w:w="11910" w:h="16840"/>
          <w:pgMar w:top="1460" w:right="1480" w:bottom="1140" w:left="1680" w:header="0" w:footer="880" w:gutter="0"/>
          <w:cols w:space="720" w:num="1"/>
        </w:sectPr>
      </w:pPr>
    </w:p>
    <w:p>
      <w:pPr>
        <w:pStyle w:val="9"/>
        <w:kinsoku w:val="0"/>
        <w:overflowPunct w:val="0"/>
        <w:spacing w:before="5"/>
        <w:ind w:left="600"/>
        <w:rPr>
          <w:rFonts w:hint="default"/>
        </w:rPr>
      </w:pPr>
      <w:r>
        <w:t xml:space="preserve">8.4磋商报价为闭口价，即成交后在合同有效期内价格不变。 </w:t>
      </w:r>
    </w:p>
    <w:p>
      <w:pPr>
        <w:pStyle w:val="9"/>
        <w:kinsoku w:val="0"/>
        <w:overflowPunct w:val="0"/>
        <w:ind w:left="600"/>
        <w:rPr>
          <w:rFonts w:hint="default"/>
        </w:rPr>
      </w:pPr>
      <w:r>
        <w:t xml:space="preserve">8.5磋商币种是人民币。 </w:t>
      </w:r>
    </w:p>
    <w:p>
      <w:pPr>
        <w:kinsoku w:val="0"/>
        <w:overflowPunct w:val="0"/>
        <w:spacing w:before="7" w:line="240" w:lineRule="exact"/>
      </w:pPr>
    </w:p>
    <w:p>
      <w:pPr>
        <w:pStyle w:val="4"/>
        <w:kinsoku w:val="0"/>
        <w:overflowPunct w:val="0"/>
        <w:rPr>
          <w:rFonts w:hint="default" w:ascii="Blackoak Std" w:hAnsi="Blackoak Std" w:eastAsia="Blackoak Std"/>
          <w:b w:val="0"/>
        </w:rPr>
      </w:pPr>
      <w:bookmarkStart w:id="14" w:name="bookmark14"/>
      <w:bookmarkEnd w:id="14"/>
      <w:r>
        <w:rPr>
          <w:rFonts w:hint="default" w:ascii="Arial" w:hAnsi="Arial"/>
          <w:spacing w:val="1"/>
          <w:w w:val="105"/>
        </w:rPr>
        <w:t>9</w:t>
      </w:r>
      <w:r>
        <w:rPr>
          <w:rFonts w:hint="default" w:ascii="Arial" w:hAnsi="Arial"/>
          <w:w w:val="105"/>
        </w:rPr>
        <w:t>.</w:t>
      </w:r>
      <w:r>
        <w:rPr>
          <w:spacing w:val="1"/>
          <w:w w:val="105"/>
        </w:rPr>
        <w:t>磋商保证金</w:t>
      </w:r>
    </w:p>
    <w:p>
      <w:pPr>
        <w:pStyle w:val="9"/>
        <w:kinsoku w:val="0"/>
        <w:overflowPunct w:val="0"/>
        <w:spacing w:before="216" w:line="309" w:lineRule="auto"/>
        <w:ind w:right="119" w:firstLine="480"/>
        <w:jc w:val="both"/>
        <w:rPr>
          <w:rFonts w:hint="default"/>
        </w:rPr>
      </w:pPr>
      <w:r>
        <w:t>9.1供应商应将磋商保证金缴款证明做为磋商响应文件的内容一并提供。交 纳的磋商保证金用于因供应商的行为使本次采购活动受到损失的抵项</w:t>
      </w:r>
      <w:r>
        <w:rPr>
          <w:spacing w:val="-94"/>
        </w:rPr>
        <w:t>。</w:t>
      </w:r>
      <w:r>
        <w:t>在本次采 购活动中未成交且供应商未发生过失行为的</w:t>
      </w:r>
      <w:r>
        <w:rPr>
          <w:spacing w:val="-94"/>
        </w:rPr>
        <w:t>，</w:t>
      </w:r>
      <w:r>
        <w:t xml:space="preserve">采购代理机构将在成交通知书发出 五个工作日内退还。 </w:t>
      </w:r>
    </w:p>
    <w:p>
      <w:pPr>
        <w:pStyle w:val="9"/>
        <w:kinsoku w:val="0"/>
        <w:overflowPunct w:val="0"/>
        <w:spacing w:before="20" w:line="309" w:lineRule="auto"/>
        <w:ind w:firstLine="480"/>
        <w:rPr>
          <w:rFonts w:hint="default"/>
        </w:rPr>
      </w:pPr>
      <w:r>
        <w:t xml:space="preserve">9.2供应商应在磋商截止期前将磋商保证金缴纳到采购代理机构账户，以采购代理机构账户到账时间为准。 </w:t>
      </w:r>
    </w:p>
    <w:p>
      <w:pPr>
        <w:pStyle w:val="9"/>
        <w:kinsoku w:val="0"/>
        <w:overflowPunct w:val="0"/>
        <w:spacing w:before="20" w:line="309" w:lineRule="auto"/>
        <w:ind w:firstLine="480"/>
        <w:rPr>
          <w:rFonts w:hint="default"/>
        </w:rPr>
      </w:pPr>
      <w:r>
        <w:t xml:space="preserve">9.3磋商保证金应当通过银行转账、电汇的形式必须从供应商基本账户直接 汇（转）入采购代理机构指定账户。 </w:t>
      </w:r>
    </w:p>
    <w:p>
      <w:pPr>
        <w:pStyle w:val="9"/>
        <w:kinsoku w:val="0"/>
        <w:overflowPunct w:val="0"/>
        <w:spacing w:before="20" w:line="309" w:lineRule="auto"/>
        <w:ind w:firstLine="480"/>
        <w:rPr>
          <w:rFonts w:hint="default"/>
        </w:rPr>
      </w:pPr>
      <w:r>
        <w:t xml:space="preserve">9.4未按磋商文件要求在规定时间前交纳规定数额磋商保证金的响应文件将 被拒绝。 </w:t>
      </w:r>
    </w:p>
    <w:p>
      <w:pPr>
        <w:pStyle w:val="9"/>
        <w:kinsoku w:val="0"/>
        <w:overflowPunct w:val="0"/>
        <w:spacing w:before="20" w:line="309" w:lineRule="auto"/>
        <w:ind w:right="119" w:firstLine="480"/>
        <w:jc w:val="both"/>
        <w:rPr>
          <w:rFonts w:hint="default"/>
        </w:rPr>
      </w:pPr>
      <w:r>
        <w:rPr>
          <w:spacing w:val="3"/>
        </w:rPr>
        <w:t>9.5未成交供应商的磋商保证金自成交通知书发出之日起5个工作日内全额</w:t>
      </w:r>
      <w:r>
        <w:t>无息退还（不退现金</w:t>
      </w:r>
      <w:r>
        <w:rPr>
          <w:spacing w:val="-47"/>
        </w:rPr>
        <w:t>）；</w:t>
      </w:r>
      <w:r>
        <w:t xml:space="preserve">成交供应商的磋商保证金，自政府采购合同签订之日起 5个工作日内全额无息退还（不退现金）。 </w:t>
      </w:r>
    </w:p>
    <w:p>
      <w:pPr>
        <w:pStyle w:val="9"/>
        <w:kinsoku w:val="0"/>
        <w:overflowPunct w:val="0"/>
        <w:spacing w:before="20"/>
        <w:rPr>
          <w:rFonts w:hint="default"/>
        </w:rPr>
      </w:pPr>
      <w:r>
        <w:t xml:space="preserve">   9.6下列任何情况发生时，磋商保证金将不予退还： </w:t>
      </w:r>
    </w:p>
    <w:p>
      <w:pPr>
        <w:pStyle w:val="9"/>
        <w:kinsoku w:val="0"/>
        <w:overflowPunct w:val="0"/>
        <w:ind w:left="600"/>
        <w:rPr>
          <w:rFonts w:hint="default"/>
        </w:rPr>
      </w:pPr>
      <w:r>
        <w:t xml:space="preserve">（一）供应商在提交响应文件截止时间后撤回响应文件的； </w:t>
      </w:r>
    </w:p>
    <w:p>
      <w:pPr>
        <w:pStyle w:val="9"/>
        <w:kinsoku w:val="0"/>
        <w:overflowPunct w:val="0"/>
        <w:ind w:left="600"/>
        <w:rPr>
          <w:rFonts w:hint="default"/>
        </w:rPr>
      </w:pPr>
      <w:r>
        <w:t xml:space="preserve">（二）供应商在响应文件中提供虚假材料的； </w:t>
      </w:r>
    </w:p>
    <w:p>
      <w:pPr>
        <w:pStyle w:val="9"/>
        <w:kinsoku w:val="0"/>
        <w:overflowPunct w:val="0"/>
        <w:spacing w:line="309" w:lineRule="auto"/>
        <w:ind w:right="119" w:firstLine="480"/>
        <w:rPr>
          <w:rFonts w:hint="default"/>
        </w:rPr>
      </w:pPr>
      <w:r>
        <w:t>（三</w:t>
      </w:r>
      <w:r>
        <w:rPr>
          <w:spacing w:val="-47"/>
        </w:rPr>
        <w:t>）</w:t>
      </w:r>
      <w:r>
        <w:t>除因不可抗力或磋商文件认可的情形以外</w:t>
      </w:r>
      <w:r>
        <w:rPr>
          <w:spacing w:val="-47"/>
        </w:rPr>
        <w:t>，</w:t>
      </w:r>
      <w:r>
        <w:t xml:space="preserve">成交供应商不与采购人签 订合同的； </w:t>
      </w:r>
    </w:p>
    <w:p>
      <w:pPr>
        <w:pStyle w:val="9"/>
        <w:kinsoku w:val="0"/>
        <w:overflowPunct w:val="0"/>
        <w:spacing w:before="20"/>
        <w:ind w:left="600"/>
        <w:rPr>
          <w:rFonts w:hint="default"/>
        </w:rPr>
      </w:pPr>
      <w:r>
        <w:t xml:space="preserve">（四）供应商与采购人、其他供应商或者采购代理机构恶意串通的； </w:t>
      </w:r>
    </w:p>
    <w:p>
      <w:pPr>
        <w:pStyle w:val="9"/>
        <w:kinsoku w:val="0"/>
        <w:overflowPunct w:val="0"/>
        <w:ind w:left="600"/>
        <w:rPr>
          <w:rFonts w:hint="default"/>
        </w:rPr>
      </w:pPr>
      <w:r>
        <w:t xml:space="preserve">（五）磋商文件规定的其他情形。 </w:t>
      </w:r>
    </w:p>
    <w:p>
      <w:pPr>
        <w:pStyle w:val="9"/>
        <w:kinsoku w:val="0"/>
        <w:overflowPunct w:val="0"/>
        <w:ind w:left="600"/>
        <w:rPr>
          <w:rFonts w:hint="default"/>
        </w:rPr>
      </w:pPr>
      <w:r>
        <w:t xml:space="preserve">（六）法律、法规规定的其他情形。 </w:t>
      </w:r>
    </w:p>
    <w:p>
      <w:pPr>
        <w:kinsoku w:val="0"/>
        <w:overflowPunct w:val="0"/>
        <w:spacing w:before="7" w:line="240" w:lineRule="exact"/>
      </w:pPr>
    </w:p>
    <w:p>
      <w:pPr>
        <w:pStyle w:val="4"/>
        <w:kinsoku w:val="0"/>
        <w:overflowPunct w:val="0"/>
        <w:rPr>
          <w:rFonts w:hint="default" w:ascii="Blackoak Std" w:hAnsi="Blackoak Std" w:eastAsia="Blackoak Std"/>
          <w:b w:val="0"/>
        </w:rPr>
      </w:pPr>
      <w:bookmarkStart w:id="15" w:name="bookmark15"/>
      <w:bookmarkEnd w:id="15"/>
      <w:r>
        <w:rPr>
          <w:rFonts w:hint="default" w:ascii="Arial" w:hAnsi="Arial"/>
          <w:spacing w:val="1"/>
        </w:rPr>
        <w:t>10</w:t>
      </w:r>
      <w:r>
        <w:rPr>
          <w:rFonts w:hint="default" w:ascii="Arial" w:hAnsi="Arial"/>
        </w:rPr>
        <w:t>.</w:t>
      </w:r>
      <w:r>
        <w:rPr>
          <w:spacing w:val="1"/>
        </w:rPr>
        <w:t>磋商有效期</w:t>
      </w:r>
    </w:p>
    <w:p>
      <w:pPr>
        <w:pStyle w:val="9"/>
        <w:kinsoku w:val="0"/>
        <w:overflowPunct w:val="0"/>
        <w:spacing w:before="216"/>
        <w:ind w:left="600"/>
        <w:rPr>
          <w:rFonts w:hint="default"/>
        </w:rPr>
      </w:pPr>
      <w:r>
        <w:t xml:space="preserve">磋商有效期为自递交响应文件之日起不少于60个日历日。 </w:t>
      </w:r>
    </w:p>
    <w:p>
      <w:pPr>
        <w:kinsoku w:val="0"/>
        <w:overflowPunct w:val="0"/>
        <w:spacing w:before="7" w:line="240" w:lineRule="exact"/>
      </w:pPr>
    </w:p>
    <w:p>
      <w:pPr>
        <w:pStyle w:val="4"/>
        <w:kinsoku w:val="0"/>
        <w:overflowPunct w:val="0"/>
        <w:rPr>
          <w:rFonts w:hint="default" w:ascii="Blackoak Std" w:hAnsi="Blackoak Std" w:eastAsia="Blackoak Std"/>
          <w:b w:val="0"/>
        </w:rPr>
      </w:pPr>
      <w:bookmarkStart w:id="16" w:name="bookmark16"/>
      <w:bookmarkEnd w:id="16"/>
      <w:r>
        <w:rPr>
          <w:rFonts w:hint="default" w:ascii="Arial" w:hAnsi="Arial"/>
          <w:spacing w:val="1"/>
        </w:rPr>
        <w:t>11</w:t>
      </w:r>
      <w:r>
        <w:rPr>
          <w:rFonts w:hint="default" w:ascii="Arial" w:hAnsi="Arial"/>
        </w:rPr>
        <w:t>.</w:t>
      </w:r>
      <w:r>
        <w:rPr>
          <w:spacing w:val="1"/>
        </w:rPr>
        <w:t>磋商响应文件构成</w:t>
      </w:r>
    </w:p>
    <w:p>
      <w:pPr>
        <w:pStyle w:val="9"/>
        <w:kinsoku w:val="0"/>
        <w:overflowPunct w:val="0"/>
        <w:spacing w:before="216" w:line="309" w:lineRule="auto"/>
        <w:ind w:right="119" w:firstLine="480"/>
        <w:rPr>
          <w:rFonts w:hint="default"/>
        </w:rPr>
      </w:pPr>
      <w:r>
        <w:t>11.1供应商应提交相关证明材料</w:t>
      </w:r>
      <w:r>
        <w:rPr>
          <w:spacing w:val="-94"/>
        </w:rPr>
        <w:t>，</w:t>
      </w:r>
      <w:r>
        <w:t xml:space="preserve">作为其参加磋商和成交后有能力履行合同 的证明。编写的磋商响应文件须包括以下内容（格式见磋商文件第五部分）： </w:t>
      </w:r>
    </w:p>
    <w:p>
      <w:pPr>
        <w:pStyle w:val="9"/>
        <w:kinsoku w:val="0"/>
        <w:overflowPunct w:val="0"/>
        <w:spacing w:before="20"/>
        <w:ind w:left="600"/>
        <w:rPr>
          <w:rFonts w:hint="default"/>
        </w:rPr>
        <w:sectPr>
          <w:pgSz w:w="11910" w:h="16840"/>
          <w:pgMar w:top="1460" w:right="1680" w:bottom="1140" w:left="1680" w:header="0" w:footer="880" w:gutter="0"/>
          <w:cols w:space="720" w:num="1"/>
        </w:sectPr>
      </w:pPr>
    </w:p>
    <w:p>
      <w:pPr>
        <w:pStyle w:val="10"/>
        <w:numPr>
          <w:ilvl w:val="0"/>
          <w:numId w:val="3"/>
        </w:numPr>
        <w:spacing w:line="360" w:lineRule="auto"/>
        <w:rPr>
          <w:rFonts w:hAnsi="宋体" w:cs="Arial"/>
          <w:sz w:val="24"/>
          <w:szCs w:val="24"/>
        </w:rPr>
      </w:pPr>
      <w:bookmarkStart w:id="17" w:name="bookmark17"/>
      <w:bookmarkEnd w:id="17"/>
      <w:r>
        <w:rPr>
          <w:rFonts w:hint="eastAsia" w:hAnsi="宋体" w:cs="Arial"/>
          <w:sz w:val="24"/>
          <w:szCs w:val="24"/>
        </w:rPr>
        <w:t>磋商函；</w:t>
      </w:r>
    </w:p>
    <w:p>
      <w:pPr>
        <w:pStyle w:val="10"/>
        <w:numPr>
          <w:ilvl w:val="0"/>
          <w:numId w:val="3"/>
        </w:numPr>
        <w:spacing w:line="360" w:lineRule="auto"/>
        <w:rPr>
          <w:rFonts w:hAnsi="宋体" w:cs="Arial"/>
          <w:sz w:val="24"/>
          <w:szCs w:val="24"/>
        </w:rPr>
      </w:pPr>
      <w:r>
        <w:rPr>
          <w:rFonts w:hint="eastAsia" w:hAnsi="宋体" w:cs="Arial"/>
          <w:sz w:val="24"/>
          <w:szCs w:val="24"/>
        </w:rPr>
        <w:t>法定代表人证明书；</w:t>
      </w:r>
    </w:p>
    <w:p>
      <w:pPr>
        <w:pStyle w:val="10"/>
        <w:numPr>
          <w:ilvl w:val="0"/>
          <w:numId w:val="3"/>
        </w:numPr>
        <w:spacing w:line="360" w:lineRule="auto"/>
        <w:rPr>
          <w:rFonts w:hAnsi="宋体" w:cs="Arial"/>
          <w:sz w:val="24"/>
          <w:szCs w:val="24"/>
        </w:rPr>
      </w:pPr>
      <w:r>
        <w:rPr>
          <w:rFonts w:hint="eastAsia" w:hAnsi="宋体" w:cs="Arial"/>
          <w:sz w:val="24"/>
          <w:szCs w:val="24"/>
        </w:rPr>
        <w:t>法定代表人授权书；</w:t>
      </w:r>
    </w:p>
    <w:p>
      <w:pPr>
        <w:pStyle w:val="10"/>
        <w:numPr>
          <w:ilvl w:val="0"/>
          <w:numId w:val="3"/>
        </w:numPr>
        <w:spacing w:line="360" w:lineRule="auto"/>
        <w:rPr>
          <w:rFonts w:hAnsi="宋体" w:cs="Arial"/>
          <w:sz w:val="24"/>
          <w:szCs w:val="24"/>
        </w:rPr>
      </w:pPr>
      <w:r>
        <w:rPr>
          <w:rFonts w:hint="eastAsia" w:hAnsi="宋体" w:cs="Arial"/>
          <w:sz w:val="24"/>
          <w:szCs w:val="24"/>
        </w:rPr>
        <w:t>磋商供应商承诺书；</w:t>
      </w:r>
    </w:p>
    <w:p>
      <w:pPr>
        <w:pStyle w:val="10"/>
        <w:numPr>
          <w:ilvl w:val="0"/>
          <w:numId w:val="3"/>
        </w:numPr>
        <w:spacing w:line="360" w:lineRule="auto"/>
        <w:rPr>
          <w:rFonts w:hAnsi="宋体" w:cs="Arial"/>
          <w:sz w:val="24"/>
          <w:szCs w:val="24"/>
        </w:rPr>
      </w:pPr>
      <w:r>
        <w:rPr>
          <w:rFonts w:hint="eastAsia" w:hAnsi="宋体" w:cs="Arial"/>
          <w:sz w:val="24"/>
          <w:szCs w:val="24"/>
        </w:rPr>
        <w:t>供应商诚信承诺书；</w:t>
      </w:r>
    </w:p>
    <w:p>
      <w:pPr>
        <w:pStyle w:val="10"/>
        <w:numPr>
          <w:ilvl w:val="0"/>
          <w:numId w:val="3"/>
        </w:numPr>
        <w:spacing w:line="360" w:lineRule="auto"/>
        <w:rPr>
          <w:rFonts w:hAnsi="宋体" w:cs="Arial"/>
          <w:sz w:val="24"/>
          <w:szCs w:val="24"/>
        </w:rPr>
      </w:pPr>
      <w:r>
        <w:rPr>
          <w:rFonts w:hint="eastAsia" w:hAnsi="宋体" w:cs="Arial"/>
          <w:sz w:val="24"/>
          <w:szCs w:val="24"/>
        </w:rPr>
        <w:t>资格证明材料；</w:t>
      </w:r>
    </w:p>
    <w:p>
      <w:pPr>
        <w:pStyle w:val="10"/>
        <w:numPr>
          <w:ilvl w:val="0"/>
          <w:numId w:val="3"/>
        </w:numPr>
        <w:spacing w:line="360" w:lineRule="auto"/>
        <w:rPr>
          <w:rFonts w:hAnsi="宋体" w:cs="Arial"/>
          <w:sz w:val="24"/>
          <w:szCs w:val="24"/>
        </w:rPr>
      </w:pPr>
      <w:r>
        <w:rPr>
          <w:rFonts w:hint="eastAsia" w:hAnsi="宋体" w:cs="Arial"/>
          <w:sz w:val="24"/>
          <w:szCs w:val="24"/>
        </w:rPr>
        <w:t>财务状况、缴纳税收和社会保障资金证明；</w:t>
      </w:r>
    </w:p>
    <w:p>
      <w:pPr>
        <w:pStyle w:val="10"/>
        <w:numPr>
          <w:ilvl w:val="0"/>
          <w:numId w:val="3"/>
        </w:numPr>
        <w:spacing w:line="360" w:lineRule="auto"/>
        <w:rPr>
          <w:rFonts w:hAnsi="宋体" w:cs="Arial"/>
          <w:sz w:val="24"/>
          <w:szCs w:val="24"/>
        </w:rPr>
      </w:pPr>
      <w:r>
        <w:rPr>
          <w:rFonts w:hint="eastAsia" w:hAnsi="宋体" w:cs="Arial"/>
          <w:sz w:val="24"/>
          <w:szCs w:val="24"/>
        </w:rPr>
        <w:t>具备履行合同所必须的设备和专业技术能力证明；</w:t>
      </w:r>
    </w:p>
    <w:p>
      <w:pPr>
        <w:pStyle w:val="10"/>
        <w:numPr>
          <w:ilvl w:val="0"/>
          <w:numId w:val="3"/>
        </w:numPr>
        <w:spacing w:line="360" w:lineRule="auto"/>
        <w:rPr>
          <w:rFonts w:hAnsi="宋体" w:cs="Arial"/>
          <w:sz w:val="24"/>
          <w:szCs w:val="24"/>
        </w:rPr>
      </w:pPr>
      <w:r>
        <w:rPr>
          <w:rFonts w:hint="eastAsia" w:hAnsi="宋体" w:cs="Arial"/>
          <w:sz w:val="24"/>
          <w:szCs w:val="24"/>
        </w:rPr>
        <w:t>无重大违法记录声明；</w:t>
      </w:r>
    </w:p>
    <w:p>
      <w:pPr>
        <w:pStyle w:val="10"/>
        <w:numPr>
          <w:ilvl w:val="0"/>
          <w:numId w:val="3"/>
        </w:numPr>
        <w:spacing w:line="360" w:lineRule="auto"/>
        <w:rPr>
          <w:rFonts w:hAnsi="宋体" w:cs="Arial"/>
          <w:sz w:val="24"/>
          <w:szCs w:val="24"/>
        </w:rPr>
      </w:pPr>
      <w:r>
        <w:rPr>
          <w:rFonts w:hint="eastAsia" w:hAnsi="宋体" w:cs="Arial"/>
          <w:sz w:val="24"/>
          <w:szCs w:val="24"/>
        </w:rPr>
        <w:t>磋商保证金证明；</w:t>
      </w:r>
    </w:p>
    <w:p>
      <w:pPr>
        <w:pStyle w:val="10"/>
        <w:numPr>
          <w:ilvl w:val="0"/>
          <w:numId w:val="3"/>
        </w:numPr>
        <w:spacing w:line="360" w:lineRule="auto"/>
        <w:rPr>
          <w:rFonts w:hAnsi="宋体" w:cs="Arial"/>
          <w:sz w:val="24"/>
          <w:szCs w:val="24"/>
        </w:rPr>
      </w:pPr>
      <w:r>
        <w:rPr>
          <w:rFonts w:hint="eastAsia" w:hAnsi="宋体" w:cs="Arial"/>
          <w:sz w:val="24"/>
          <w:szCs w:val="24"/>
        </w:rPr>
        <w:t>评分对照表；</w:t>
      </w:r>
    </w:p>
    <w:p>
      <w:pPr>
        <w:pStyle w:val="10"/>
        <w:numPr>
          <w:ilvl w:val="0"/>
          <w:numId w:val="3"/>
        </w:numPr>
        <w:spacing w:line="360" w:lineRule="auto"/>
        <w:rPr>
          <w:rFonts w:hAnsi="宋体" w:cs="Arial"/>
          <w:sz w:val="24"/>
          <w:szCs w:val="24"/>
        </w:rPr>
      </w:pPr>
      <w:r>
        <w:rPr>
          <w:rFonts w:hint="eastAsia" w:hAnsi="宋体" w:cs="Arial"/>
          <w:sz w:val="24"/>
          <w:szCs w:val="24"/>
        </w:rPr>
        <w:t>竞争性磋商首次报价表；</w:t>
      </w:r>
    </w:p>
    <w:p>
      <w:pPr>
        <w:pStyle w:val="10"/>
        <w:numPr>
          <w:ilvl w:val="0"/>
          <w:numId w:val="3"/>
        </w:numPr>
        <w:spacing w:line="360" w:lineRule="auto"/>
        <w:rPr>
          <w:rFonts w:hAnsi="宋体" w:cs="Arial"/>
          <w:sz w:val="24"/>
          <w:szCs w:val="24"/>
        </w:rPr>
      </w:pPr>
      <w:r>
        <w:rPr>
          <w:rFonts w:hAnsi="宋体" w:cs="Arial"/>
          <w:sz w:val="24"/>
          <w:szCs w:val="24"/>
        </w:rPr>
        <w:t>分项报价表</w:t>
      </w:r>
      <w:r>
        <w:rPr>
          <w:rFonts w:hint="eastAsia" w:hAnsi="宋体" w:cs="Arial"/>
          <w:sz w:val="24"/>
          <w:szCs w:val="24"/>
        </w:rPr>
        <w:t>；</w:t>
      </w:r>
    </w:p>
    <w:p>
      <w:pPr>
        <w:pStyle w:val="10"/>
        <w:numPr>
          <w:ilvl w:val="0"/>
          <w:numId w:val="3"/>
        </w:numPr>
        <w:spacing w:line="360" w:lineRule="auto"/>
        <w:rPr>
          <w:rFonts w:hAnsi="宋体" w:cs="Arial"/>
          <w:sz w:val="24"/>
          <w:szCs w:val="24"/>
        </w:rPr>
      </w:pPr>
      <w:r>
        <w:rPr>
          <w:rFonts w:hint="eastAsia" w:hAnsi="宋体" w:cs="Arial"/>
          <w:sz w:val="24"/>
          <w:szCs w:val="24"/>
        </w:rPr>
        <w:t>磋商服务相关资料；</w:t>
      </w:r>
    </w:p>
    <w:p>
      <w:pPr>
        <w:pStyle w:val="10"/>
        <w:numPr>
          <w:ilvl w:val="0"/>
          <w:numId w:val="3"/>
        </w:numPr>
        <w:spacing w:line="360" w:lineRule="auto"/>
        <w:rPr>
          <w:rFonts w:hAnsi="宋体" w:cs="Arial"/>
          <w:sz w:val="24"/>
          <w:szCs w:val="24"/>
        </w:rPr>
      </w:pPr>
      <w:r>
        <w:rPr>
          <w:rFonts w:hint="eastAsia" w:hAnsi="宋体" w:cs="Arial"/>
          <w:sz w:val="24"/>
          <w:szCs w:val="24"/>
        </w:rPr>
        <w:t>磋商供应商的类似业绩证明材料；</w:t>
      </w:r>
    </w:p>
    <w:p>
      <w:pPr>
        <w:pStyle w:val="10"/>
        <w:numPr>
          <w:ilvl w:val="0"/>
          <w:numId w:val="3"/>
        </w:numPr>
        <w:spacing w:line="360" w:lineRule="auto"/>
        <w:rPr>
          <w:rFonts w:hAnsi="宋体" w:cs="Arial"/>
          <w:sz w:val="24"/>
          <w:szCs w:val="24"/>
        </w:rPr>
      </w:pPr>
      <w:r>
        <w:rPr>
          <w:rFonts w:hint="eastAsia" w:hAnsi="宋体" w:cs="Arial"/>
          <w:sz w:val="24"/>
          <w:szCs w:val="24"/>
        </w:rPr>
        <w:t>中小微型企业声明函；</w:t>
      </w:r>
    </w:p>
    <w:p>
      <w:pPr>
        <w:pStyle w:val="10"/>
        <w:numPr>
          <w:ilvl w:val="0"/>
          <w:numId w:val="3"/>
        </w:numPr>
        <w:spacing w:line="360" w:lineRule="auto"/>
        <w:rPr>
          <w:rFonts w:hAnsi="宋体" w:cs="Arial"/>
          <w:sz w:val="24"/>
          <w:szCs w:val="24"/>
        </w:rPr>
      </w:pPr>
      <w:r>
        <w:rPr>
          <w:rFonts w:hint="eastAsia" w:hAnsi="宋体" w:cs="Arial"/>
          <w:sz w:val="24"/>
          <w:szCs w:val="24"/>
        </w:rPr>
        <w:t>残疾人福利性单位声明函；</w:t>
      </w:r>
    </w:p>
    <w:p>
      <w:pPr>
        <w:pStyle w:val="10"/>
        <w:numPr>
          <w:ilvl w:val="0"/>
          <w:numId w:val="3"/>
        </w:numPr>
        <w:spacing w:line="360" w:lineRule="auto"/>
        <w:rPr>
          <w:rFonts w:hAnsi="宋体" w:cs="Arial"/>
          <w:sz w:val="24"/>
          <w:szCs w:val="24"/>
        </w:rPr>
      </w:pPr>
      <w:r>
        <w:rPr>
          <w:rFonts w:hint="eastAsia" w:hAnsi="宋体" w:cs="Arial"/>
          <w:sz w:val="24"/>
          <w:szCs w:val="24"/>
        </w:rPr>
        <w:t>磋商供应商认为在其他方面有必要说明的事项；</w:t>
      </w:r>
    </w:p>
    <w:p>
      <w:pPr>
        <w:pStyle w:val="10"/>
        <w:numPr>
          <w:ilvl w:val="0"/>
          <w:numId w:val="3"/>
        </w:numPr>
        <w:spacing w:line="360" w:lineRule="auto"/>
        <w:rPr>
          <w:rFonts w:hAnsi="宋体" w:cs="Arial"/>
          <w:sz w:val="24"/>
          <w:szCs w:val="24"/>
        </w:rPr>
      </w:pPr>
      <w:r>
        <w:rPr>
          <w:rFonts w:hAnsi="宋体" w:cs="Arial"/>
          <w:sz w:val="24"/>
          <w:szCs w:val="24"/>
        </w:rPr>
        <w:t>磋商最终报价表</w:t>
      </w:r>
      <w:r>
        <w:rPr>
          <w:rFonts w:hint="eastAsia" w:hAnsi="宋体" w:cs="Arial"/>
          <w:sz w:val="24"/>
          <w:szCs w:val="24"/>
        </w:rPr>
        <w:t>。</w:t>
      </w:r>
    </w:p>
    <w:p>
      <w:pPr>
        <w:pStyle w:val="10"/>
        <w:spacing w:line="360" w:lineRule="auto"/>
        <w:ind w:left="845"/>
        <w:rPr>
          <w:rFonts w:hAnsi="宋体" w:cs="Arial"/>
          <w:sz w:val="24"/>
          <w:szCs w:val="24"/>
        </w:rPr>
      </w:pPr>
      <w:r>
        <w:rPr>
          <w:rFonts w:hint="eastAsia" w:hAnsi="宋体" w:cs="Arial"/>
          <w:sz w:val="24"/>
          <w:szCs w:val="24"/>
        </w:rPr>
        <w:t>注：磋商人须按上述内容、顺序和格式编制磋商响应文件，并按要求编制目录、页码，并保证所提供的全部资料真实可信，自愿承担相应责任。</w:t>
      </w:r>
    </w:p>
    <w:p>
      <w:pPr>
        <w:pStyle w:val="4"/>
        <w:kinsoku w:val="0"/>
        <w:overflowPunct w:val="0"/>
        <w:spacing w:before="177"/>
        <w:rPr>
          <w:rFonts w:hint="default" w:ascii="Blackoak Std" w:hAnsi="Blackoak Std" w:eastAsia="Blackoak Std"/>
          <w:b w:val="0"/>
        </w:rPr>
      </w:pPr>
      <w:r>
        <w:rPr>
          <w:rFonts w:hint="default" w:ascii="Arial" w:hAnsi="Arial"/>
          <w:spacing w:val="1"/>
        </w:rPr>
        <w:t>12</w:t>
      </w:r>
      <w:r>
        <w:rPr>
          <w:rFonts w:hint="default" w:ascii="Arial" w:hAnsi="Arial"/>
        </w:rPr>
        <w:t xml:space="preserve">. </w:t>
      </w:r>
      <w:r>
        <w:rPr>
          <w:spacing w:val="1"/>
        </w:rPr>
        <w:t>磋商响应文件的编制要求</w:t>
      </w:r>
    </w:p>
    <w:p>
      <w:pPr>
        <w:pStyle w:val="9"/>
        <w:kinsoku w:val="0"/>
        <w:overflowPunct w:val="0"/>
        <w:spacing w:before="216" w:line="309" w:lineRule="auto"/>
        <w:ind w:right="239" w:firstLine="480"/>
        <w:jc w:val="both"/>
        <w:rPr>
          <w:rFonts w:hint="default"/>
        </w:rPr>
      </w:pPr>
      <w:r>
        <w:t>12.1供应商应按照磋商文件所提供的磋商响应文件格式</w:t>
      </w:r>
      <w:r>
        <w:rPr>
          <w:spacing w:val="-94"/>
        </w:rPr>
        <w:t>，</w:t>
      </w:r>
      <w:r>
        <w:t>分别填写磋商文件 第五部分的内容</w:t>
      </w:r>
      <w:r>
        <w:rPr>
          <w:spacing w:val="-32"/>
        </w:rPr>
        <w:t>，</w:t>
      </w:r>
      <w:r>
        <w:t>应分别注明所提供货物的名称</w:t>
      </w:r>
      <w:r>
        <w:rPr>
          <w:spacing w:val="-32"/>
        </w:rPr>
        <w:t>、</w:t>
      </w:r>
      <w:r>
        <w:t>技术配置及参数</w:t>
      </w:r>
      <w:r>
        <w:rPr>
          <w:spacing w:val="-32"/>
        </w:rPr>
        <w:t>、</w:t>
      </w:r>
      <w:r>
        <w:t xml:space="preserve">数量和价格 等内容，并由法定代表人本人或委托代理人本人按要求签字、加盖公章。 </w:t>
      </w:r>
    </w:p>
    <w:p>
      <w:pPr>
        <w:pStyle w:val="9"/>
        <w:kinsoku w:val="0"/>
        <w:overflowPunct w:val="0"/>
        <w:spacing w:before="20" w:line="304" w:lineRule="auto"/>
        <w:ind w:right="239" w:firstLine="480"/>
        <w:jc w:val="both"/>
        <w:rPr>
          <w:rFonts w:hint="default"/>
        </w:rPr>
      </w:pPr>
      <w:r>
        <w:t>12.2供应商应按磋商文件要求准备磋商响应文</w:t>
      </w:r>
      <w:r>
        <w:rPr>
          <w:spacing w:val="-47"/>
        </w:rPr>
        <w:t>件</w:t>
      </w:r>
      <w:r>
        <w:t>（1份正本</w:t>
      </w:r>
      <w:r>
        <w:rPr>
          <w:spacing w:val="-47"/>
        </w:rPr>
        <w:t>、</w:t>
      </w:r>
      <w:r>
        <w:t>2份副本和相应的电子文档1份）</w:t>
      </w:r>
      <w:r>
        <w:rPr>
          <w:spacing w:val="-24"/>
        </w:rPr>
        <w:t>。</w:t>
      </w:r>
      <w:r>
        <w:t>每份磋商响应文件都必须清楚地标</w:t>
      </w:r>
      <w:r>
        <w:rPr>
          <w:spacing w:val="-24"/>
        </w:rPr>
        <w:t>明</w:t>
      </w:r>
      <w:r>
        <w:rPr>
          <w:rFonts w:hint="default" w:ascii="Cambria" w:hAnsi="Cambria" w:eastAsia="Cambria"/>
        </w:rPr>
        <w:t>“</w:t>
      </w:r>
      <w:r>
        <w:t>正本</w:t>
      </w:r>
      <w:r>
        <w:rPr>
          <w:rFonts w:hint="default" w:ascii="Cambria" w:hAnsi="Cambria" w:eastAsia="Cambria"/>
        </w:rPr>
        <w:t>”</w:t>
      </w:r>
      <w:r>
        <w:rPr>
          <w:spacing w:val="-24"/>
        </w:rPr>
        <w:t>或</w:t>
      </w:r>
      <w:r>
        <w:rPr>
          <w:rFonts w:hint="default" w:ascii="Cambria" w:hAnsi="Cambria" w:eastAsia="Cambria"/>
        </w:rPr>
        <w:t>“</w:t>
      </w:r>
      <w:r>
        <w:t>副本</w:t>
      </w:r>
      <w:r>
        <w:rPr>
          <w:rFonts w:hint="default" w:ascii="Cambria" w:hAnsi="Cambria" w:eastAsia="Cambria"/>
        </w:rPr>
        <w:t>”</w:t>
      </w:r>
      <w:r>
        <w:t>字样</w:t>
      </w:r>
      <w:r>
        <w:rPr>
          <w:spacing w:val="-24"/>
        </w:rPr>
        <w:t>。</w:t>
      </w:r>
      <w:r>
        <w:t>若 发生正本和副本不符</w:t>
      </w:r>
      <w:r>
        <w:rPr>
          <w:spacing w:val="-47"/>
        </w:rPr>
        <w:t>，</w:t>
      </w:r>
      <w:r>
        <w:t>以正本磋商响应文件为准</w:t>
      </w:r>
      <w:r>
        <w:rPr>
          <w:spacing w:val="-47"/>
        </w:rPr>
        <w:t>。</w:t>
      </w:r>
      <w:r>
        <w:t>磋商响应文件统一使用A4幅面 的纸张印制</w:t>
      </w:r>
      <w:r>
        <w:rPr>
          <w:spacing w:val="-32"/>
        </w:rPr>
        <w:t>，</w:t>
      </w:r>
      <w:r>
        <w:t>必须胶装成册并编码</w:t>
      </w:r>
      <w:r>
        <w:rPr>
          <w:spacing w:val="-32"/>
        </w:rPr>
        <w:t>，</w:t>
      </w:r>
      <w:r>
        <w:t>书脊部应注明响应单位名称及项目名称</w:t>
      </w:r>
      <w:r>
        <w:rPr>
          <w:spacing w:val="-32"/>
        </w:rPr>
        <w:t>，</w:t>
      </w:r>
      <w:r>
        <w:t xml:space="preserve">其 他方式装订的磋商响应文件一概不予接受。 </w:t>
      </w:r>
    </w:p>
    <w:p>
      <w:pPr>
        <w:pStyle w:val="9"/>
        <w:kinsoku w:val="0"/>
        <w:overflowPunct w:val="0"/>
        <w:spacing w:before="25"/>
        <w:ind w:left="600"/>
        <w:rPr>
          <w:rFonts w:hint="default"/>
        </w:rPr>
      </w:pPr>
      <w:r>
        <w:t>12.3磋商响应文件的正本和副本均需打印或用不褪色、不变质的墨水书写，并由供应商的法定代表人本人或其委托代理人本人在规定签章处签字</w:t>
      </w:r>
      <w:r>
        <w:rPr>
          <w:spacing w:val="-47"/>
        </w:rPr>
        <w:t>、</w:t>
      </w:r>
      <w:r>
        <w:t>盖章</w:t>
      </w:r>
      <w:r>
        <w:rPr>
          <w:spacing w:val="-47"/>
        </w:rPr>
        <w:t>。</w:t>
      </w:r>
      <w:r>
        <w:t>磋 商响应文件副本可采用正本的复印件加盖骑缝章</w:t>
      </w:r>
      <w:r>
        <w:rPr>
          <w:spacing w:val="-47"/>
        </w:rPr>
        <w:t>，</w:t>
      </w:r>
      <w:r>
        <w:t>电子文档采用U盘制</w:t>
      </w:r>
      <w:r>
        <w:rPr>
          <w:spacing w:val="-47"/>
        </w:rPr>
        <w:t>作</w:t>
      </w:r>
      <w:r>
        <w:t xml:space="preserve">（U盘制 作的电子文档为不可修改文档，如：PDF格式）。 </w:t>
      </w:r>
    </w:p>
    <w:p>
      <w:pPr>
        <w:pStyle w:val="9"/>
        <w:kinsoku w:val="0"/>
        <w:overflowPunct w:val="0"/>
        <w:spacing w:before="20" w:line="309" w:lineRule="auto"/>
        <w:ind w:right="119" w:firstLine="480"/>
        <w:jc w:val="both"/>
        <w:rPr>
          <w:rFonts w:hint="default"/>
        </w:rPr>
      </w:pPr>
      <w:r>
        <w:t>12.4磋商响应文件中不得行间插字</w:t>
      </w:r>
      <w:r>
        <w:rPr>
          <w:spacing w:val="-32"/>
        </w:rPr>
        <w:t>、</w:t>
      </w:r>
      <w:r>
        <w:t>涂改或增删</w:t>
      </w:r>
      <w:r>
        <w:rPr>
          <w:spacing w:val="-32"/>
        </w:rPr>
        <w:t>，</w:t>
      </w:r>
      <w:r>
        <w:t>如有修改错漏处</w:t>
      </w:r>
      <w:r>
        <w:rPr>
          <w:spacing w:val="-32"/>
        </w:rPr>
        <w:t>，</w:t>
      </w:r>
      <w:r>
        <w:t xml:space="preserve">须由磋 商企业法人本人或其委托代理人本人签字或盖个人印鉴。 </w:t>
      </w:r>
    </w:p>
    <w:p>
      <w:pPr>
        <w:pStyle w:val="3"/>
        <w:kinsoku w:val="0"/>
        <w:overflowPunct w:val="0"/>
        <w:spacing w:before="133"/>
        <w:ind w:left="325" w:right="326"/>
        <w:jc w:val="center"/>
        <w:rPr>
          <w:rFonts w:hint="default"/>
          <w:b w:val="0"/>
        </w:rPr>
      </w:pPr>
      <w:bookmarkStart w:id="18" w:name="bookmark18"/>
      <w:bookmarkEnd w:id="18"/>
      <w:r>
        <w:t>四、磋商响应文件的递交</w:t>
      </w:r>
    </w:p>
    <w:p>
      <w:pPr>
        <w:pStyle w:val="4"/>
        <w:kinsoku w:val="0"/>
        <w:overflowPunct w:val="0"/>
        <w:spacing w:before="289"/>
        <w:jc w:val="both"/>
        <w:rPr>
          <w:rFonts w:hint="default" w:ascii="Blackoak Std" w:hAnsi="Blackoak Std" w:eastAsia="Blackoak Std"/>
          <w:b w:val="0"/>
        </w:rPr>
      </w:pPr>
      <w:bookmarkStart w:id="19" w:name="bookmark19"/>
      <w:bookmarkEnd w:id="19"/>
      <w:r>
        <w:rPr>
          <w:rFonts w:hint="default" w:ascii="Arial" w:hAnsi="Arial"/>
          <w:spacing w:val="1"/>
        </w:rPr>
        <w:t>13</w:t>
      </w:r>
      <w:r>
        <w:rPr>
          <w:rFonts w:hint="default" w:ascii="Arial" w:hAnsi="Arial"/>
        </w:rPr>
        <w:t xml:space="preserve">. </w:t>
      </w:r>
      <w:r>
        <w:rPr>
          <w:spacing w:val="1"/>
        </w:rPr>
        <w:t>磋商响应文件的密封和标记</w:t>
      </w:r>
    </w:p>
    <w:p>
      <w:pPr>
        <w:pStyle w:val="9"/>
        <w:kinsoku w:val="0"/>
        <w:overflowPunct w:val="0"/>
        <w:spacing w:before="216" w:line="309" w:lineRule="auto"/>
        <w:ind w:right="119" w:firstLine="480"/>
        <w:jc w:val="both"/>
        <w:rPr>
          <w:rFonts w:hint="default"/>
        </w:rPr>
      </w:pPr>
      <w:r>
        <w:t>13.1磋商响应文件正本</w:t>
      </w:r>
      <w:r>
        <w:rPr>
          <w:spacing w:val="-47"/>
        </w:rPr>
        <w:t>、</w:t>
      </w:r>
      <w:r>
        <w:t>所有副本和磋商文件要求单独提交的电子文档</w:t>
      </w:r>
      <w:r>
        <w:rPr>
          <w:spacing w:val="-47"/>
        </w:rPr>
        <w:t>，</w:t>
      </w:r>
      <w:r>
        <w:t>应 分别封装于不同的密封袋内，密封袋上应分别标上“正本</w:t>
      </w:r>
      <w:r>
        <w:rPr>
          <w:spacing w:val="-47"/>
        </w:rPr>
        <w:t>”</w:t>
      </w:r>
      <w:r>
        <w:t>、“副本</w:t>
      </w:r>
      <w:r>
        <w:rPr>
          <w:spacing w:val="-47"/>
        </w:rPr>
        <w:t>”</w:t>
      </w:r>
      <w:r>
        <w:t xml:space="preserve">、“电子 文档”字样，并注明供应商名称、采购项目编号、采购项目名称及分包号。 </w:t>
      </w:r>
    </w:p>
    <w:p>
      <w:pPr>
        <w:pStyle w:val="9"/>
        <w:kinsoku w:val="0"/>
        <w:overflowPunct w:val="0"/>
        <w:spacing w:before="20" w:line="309" w:lineRule="auto"/>
        <w:ind w:left="600"/>
        <w:rPr>
          <w:rFonts w:hint="default"/>
        </w:rPr>
      </w:pPr>
      <w:r>
        <w:t xml:space="preserve">13.2密封后的磋商响应文件均应： </w:t>
      </w:r>
    </w:p>
    <w:p>
      <w:pPr>
        <w:pStyle w:val="9"/>
        <w:numPr>
          <w:ilvl w:val="0"/>
          <w:numId w:val="4"/>
        </w:numPr>
        <w:kinsoku w:val="0"/>
        <w:overflowPunct w:val="0"/>
        <w:spacing w:before="20" w:line="309" w:lineRule="auto"/>
        <w:ind w:left="600"/>
        <w:rPr>
          <w:rFonts w:hint="default"/>
        </w:rPr>
      </w:pPr>
      <w:r>
        <w:t xml:space="preserve">按“供应商磋商前须知”注明的时间、地址送达； </w:t>
      </w:r>
    </w:p>
    <w:p>
      <w:pPr>
        <w:pStyle w:val="9"/>
        <w:numPr>
          <w:ilvl w:val="0"/>
          <w:numId w:val="4"/>
        </w:numPr>
        <w:kinsoku w:val="0"/>
        <w:overflowPunct w:val="0"/>
        <w:spacing w:before="20" w:line="309" w:lineRule="auto"/>
        <w:ind w:left="600"/>
        <w:rPr>
          <w:rFonts w:hint="default"/>
        </w:rPr>
      </w:pPr>
      <w:r>
        <w:t xml:space="preserve">磋商响应文件密封袋用“于****年**月**日**时**分（北京时间）之前不准启封”的标签密封。 </w:t>
      </w:r>
    </w:p>
    <w:p>
      <w:pPr>
        <w:pStyle w:val="9"/>
        <w:kinsoku w:val="0"/>
        <w:overflowPunct w:val="0"/>
        <w:spacing w:line="309" w:lineRule="auto"/>
        <w:ind w:right="119" w:firstLine="480"/>
        <w:jc w:val="both"/>
        <w:rPr>
          <w:rFonts w:hint="default"/>
        </w:rPr>
      </w:pPr>
      <w:r>
        <w:rPr>
          <w:spacing w:val="2"/>
        </w:rPr>
        <w:t>13.4如果供应商未按第13.1-</w:t>
      </w:r>
      <w:r>
        <w:rPr>
          <w:spacing w:val="4"/>
        </w:rPr>
        <w:t>15.1条要求将磋商响应文件密封或在密封袋</w:t>
      </w:r>
      <w:r>
        <w:t>上加写标记</w:t>
      </w:r>
      <w:r>
        <w:rPr>
          <w:spacing w:val="-47"/>
        </w:rPr>
        <w:t>，</w:t>
      </w:r>
      <w:r>
        <w:t>采购代理机构对误投或过早启封概不负责</w:t>
      </w:r>
      <w:r>
        <w:rPr>
          <w:spacing w:val="-47"/>
        </w:rPr>
        <w:t>。</w:t>
      </w:r>
      <w:r>
        <w:t xml:space="preserve">由此造成提前启封的磋 商响应文件，采购代理机构予以拒绝，并退回供应商。 </w:t>
      </w:r>
    </w:p>
    <w:p>
      <w:pPr>
        <w:pStyle w:val="9"/>
        <w:kinsoku w:val="0"/>
        <w:overflowPunct w:val="0"/>
        <w:spacing w:before="20"/>
        <w:ind w:left="600"/>
        <w:rPr>
          <w:rFonts w:hint="default"/>
        </w:rPr>
      </w:pPr>
      <w:r>
        <w:t xml:space="preserve">13.5供应商以电报、电话、传真形式磋商的，采购代理机构概不接受。 </w:t>
      </w:r>
    </w:p>
    <w:p>
      <w:pPr>
        <w:pStyle w:val="9"/>
        <w:kinsoku w:val="0"/>
        <w:overflowPunct w:val="0"/>
        <w:ind w:left="600"/>
        <w:rPr>
          <w:rFonts w:hint="default"/>
        </w:rPr>
      </w:pPr>
      <w:r>
        <w:t xml:space="preserve">13.6参与磋商供应商签到时需提供： </w:t>
      </w:r>
    </w:p>
    <w:p>
      <w:pPr>
        <w:pStyle w:val="9"/>
        <w:kinsoku w:val="0"/>
        <w:overflowPunct w:val="0"/>
        <w:ind w:left="600"/>
        <w:rPr>
          <w:rFonts w:hint="default"/>
        </w:rPr>
      </w:pPr>
      <w:r>
        <w:t xml:space="preserve">（1）磋商响应文件正本（1本）和副本（2本）； </w:t>
      </w:r>
    </w:p>
    <w:p>
      <w:pPr>
        <w:pStyle w:val="9"/>
        <w:kinsoku w:val="0"/>
        <w:overflowPunct w:val="0"/>
        <w:ind w:left="600"/>
        <w:rPr>
          <w:rFonts w:hint="default"/>
        </w:rPr>
      </w:pPr>
      <w:r>
        <w:t xml:space="preserve">（2）电子标书（U盘）1份； </w:t>
      </w:r>
    </w:p>
    <w:p>
      <w:pPr>
        <w:pStyle w:val="9"/>
        <w:kinsoku w:val="0"/>
        <w:overflowPunct w:val="0"/>
        <w:ind w:left="600"/>
        <w:rPr>
          <w:rFonts w:hint="default"/>
        </w:rPr>
      </w:pPr>
      <w:r>
        <w:t xml:space="preserve">（3）退还保证金须提供的资料1份单独密封，详见供应商须知前附表 </w:t>
      </w:r>
    </w:p>
    <w:p>
      <w:pPr>
        <w:kinsoku w:val="0"/>
        <w:overflowPunct w:val="0"/>
        <w:spacing w:before="14"/>
        <w:ind w:left="600"/>
        <w:rPr>
          <w:rFonts w:ascii="Blackoak Std" w:hAnsi="Blackoak Std" w:eastAsia="Blackoak Std"/>
        </w:rPr>
      </w:pPr>
      <w:r>
        <w:rPr>
          <w:rFonts w:hint="eastAsia" w:ascii="Microsoft JhengHei" w:hAnsi="Microsoft JhengHei" w:eastAsia="Microsoft JhengHei"/>
          <w:b/>
        </w:rPr>
        <w:t>★以上（</w:t>
      </w:r>
      <w:r>
        <w:rPr>
          <w:rFonts w:ascii="Arial" w:hAnsi="Arial" w:eastAsia="Microsoft JhengHei"/>
          <w:b/>
        </w:rPr>
        <w:t>1</w:t>
      </w:r>
      <w:r>
        <w:rPr>
          <w:rFonts w:hint="eastAsia" w:ascii="Microsoft JhengHei" w:hAnsi="Microsoft JhengHei" w:eastAsia="Microsoft JhengHei"/>
          <w:b/>
        </w:rPr>
        <w:t>）（</w:t>
      </w:r>
      <w:r>
        <w:rPr>
          <w:rFonts w:ascii="Arial" w:hAnsi="Arial" w:eastAsia="Microsoft JhengHei"/>
          <w:b/>
        </w:rPr>
        <w:t>2</w:t>
      </w:r>
      <w:r>
        <w:rPr>
          <w:rFonts w:hint="eastAsia" w:ascii="Microsoft JhengHei" w:hAnsi="Microsoft JhengHei" w:eastAsia="Microsoft JhengHei"/>
          <w:b/>
        </w:rPr>
        <w:t>）两项均需单独密封，缺任何一项将视为无效磋商。</w:t>
      </w:r>
    </w:p>
    <w:p>
      <w:pPr>
        <w:kinsoku w:val="0"/>
        <w:overflowPunct w:val="0"/>
        <w:spacing w:before="10" w:line="210" w:lineRule="exact"/>
        <w:rPr>
          <w:sz w:val="21"/>
        </w:rPr>
      </w:pPr>
    </w:p>
    <w:p>
      <w:pPr>
        <w:kinsoku w:val="0"/>
        <w:overflowPunct w:val="0"/>
        <w:ind w:left="120"/>
        <w:jc w:val="both"/>
        <w:rPr>
          <w:rFonts w:ascii="Blackoak Std" w:hAnsi="Blackoak Std" w:eastAsia="Blackoak Std"/>
          <w:sz w:val="32"/>
        </w:rPr>
      </w:pPr>
      <w:bookmarkStart w:id="20" w:name="bookmark20"/>
      <w:bookmarkEnd w:id="20"/>
      <w:r>
        <w:rPr>
          <w:rFonts w:ascii="Arial" w:hAnsi="Arial"/>
          <w:b/>
          <w:spacing w:val="1"/>
          <w:sz w:val="32"/>
        </w:rPr>
        <w:t>14</w:t>
      </w:r>
      <w:r>
        <w:rPr>
          <w:rFonts w:ascii="Arial" w:hAnsi="Arial"/>
          <w:b/>
          <w:sz w:val="32"/>
        </w:rPr>
        <w:t xml:space="preserve">. </w:t>
      </w:r>
      <w:r>
        <w:rPr>
          <w:rFonts w:hint="eastAsia" w:ascii="Microsoft JhengHei" w:hAnsi="Microsoft JhengHei" w:eastAsia="Microsoft JhengHei"/>
          <w:b/>
          <w:spacing w:val="1"/>
          <w:sz w:val="32"/>
        </w:rPr>
        <w:t>递送磋商响应文件的地点、截止日期</w:t>
      </w:r>
    </w:p>
    <w:p>
      <w:pPr>
        <w:pStyle w:val="9"/>
        <w:kinsoku w:val="0"/>
        <w:overflowPunct w:val="0"/>
        <w:spacing w:before="216" w:line="309" w:lineRule="auto"/>
        <w:ind w:right="120" w:firstLine="480"/>
        <w:jc w:val="both"/>
        <w:rPr>
          <w:rFonts w:hint="default"/>
        </w:rPr>
      </w:pPr>
      <w:r>
        <w:rPr>
          <w:spacing w:val="3"/>
        </w:rPr>
        <w:t>14.1所有磋商响应文件都必须按磋商文件规定的磋商截止时间之前送达磋</w:t>
      </w:r>
      <w:r>
        <w:t xml:space="preserve">商地点。 </w:t>
      </w:r>
    </w:p>
    <w:p>
      <w:pPr>
        <w:pStyle w:val="9"/>
        <w:kinsoku w:val="0"/>
        <w:overflowPunct w:val="0"/>
        <w:spacing w:before="20"/>
        <w:ind w:left="600"/>
        <w:rPr>
          <w:rFonts w:hint="default"/>
        </w:rPr>
      </w:pPr>
      <w:r>
        <w:t xml:space="preserve">14.2采购代理机构将拒绝接受在磋商截止时间之后送达的磋商响应文件。 </w:t>
      </w:r>
    </w:p>
    <w:p>
      <w:pPr>
        <w:pStyle w:val="9"/>
        <w:kinsoku w:val="0"/>
        <w:overflowPunct w:val="0"/>
        <w:spacing w:line="309" w:lineRule="auto"/>
        <w:ind w:right="119" w:firstLine="480"/>
        <w:jc w:val="both"/>
        <w:rPr>
          <w:rFonts w:hint="default"/>
        </w:rPr>
      </w:pPr>
      <w:r>
        <w:t>14.3采购代理机构可以按照第6条规定，通过修改磋商文件自行决定酌情延 长磋商截止期</w:t>
      </w:r>
      <w:r>
        <w:rPr>
          <w:spacing w:val="-47"/>
        </w:rPr>
        <w:t>，</w:t>
      </w:r>
      <w:r>
        <w:t>在此情况下</w:t>
      </w:r>
      <w:r>
        <w:rPr>
          <w:spacing w:val="-47"/>
        </w:rPr>
        <w:t>，</w:t>
      </w:r>
      <w:r>
        <w:t xml:space="preserve">采购代理机构和供应商受磋商截止时间制约的所有 权利和义务均延长至新的截止日期。 </w:t>
      </w:r>
    </w:p>
    <w:p>
      <w:pPr>
        <w:pStyle w:val="9"/>
        <w:kinsoku w:val="0"/>
        <w:overflowPunct w:val="0"/>
        <w:spacing w:line="309" w:lineRule="auto"/>
        <w:ind w:right="119" w:firstLine="480"/>
        <w:jc w:val="both"/>
        <w:rPr>
          <w:rFonts w:hint="default"/>
        </w:rPr>
      </w:pPr>
    </w:p>
    <w:p>
      <w:pPr>
        <w:pStyle w:val="4"/>
        <w:kinsoku w:val="0"/>
        <w:overflowPunct w:val="0"/>
        <w:spacing w:line="378" w:lineRule="exact"/>
        <w:jc w:val="both"/>
        <w:rPr>
          <w:rFonts w:hint="default" w:ascii="Blackoak Std" w:hAnsi="Blackoak Std" w:eastAsia="Blackoak Std"/>
          <w:b w:val="0"/>
        </w:rPr>
      </w:pPr>
      <w:r>
        <w:rPr>
          <w:rFonts w:hint="default" w:ascii="Arial" w:hAnsi="Arial"/>
          <w:spacing w:val="1"/>
        </w:rPr>
        <w:t>15</w:t>
      </w:r>
      <w:r>
        <w:rPr>
          <w:rFonts w:hint="default" w:ascii="Arial" w:hAnsi="Arial"/>
        </w:rPr>
        <w:t xml:space="preserve">. </w:t>
      </w:r>
      <w:r>
        <w:rPr>
          <w:spacing w:val="1"/>
        </w:rPr>
        <w:t>磋商响应文件的撤回和修改</w:t>
      </w:r>
    </w:p>
    <w:p>
      <w:pPr>
        <w:pStyle w:val="9"/>
        <w:kinsoku w:val="0"/>
        <w:overflowPunct w:val="0"/>
        <w:spacing w:before="8" w:line="348" w:lineRule="auto"/>
        <w:ind w:right="239" w:firstLine="480"/>
        <w:jc w:val="both"/>
        <w:rPr>
          <w:rFonts w:hint="default"/>
        </w:rPr>
      </w:pPr>
      <w:r>
        <w:t>15.1</w:t>
      </w:r>
      <w:r>
        <w:rPr>
          <w:spacing w:val="1"/>
        </w:rPr>
        <w:t>允许供应商在磋商截止时间前撤回其磋商（须以书面形式通知采购代</w:t>
      </w:r>
      <w:r>
        <w:t>理机构）相应文件，其磋商保证金将予以退</w:t>
      </w:r>
      <w:r>
        <w:rPr>
          <w:spacing w:val="-47"/>
        </w:rPr>
        <w:t>还；</w:t>
      </w:r>
      <w:r>
        <w:t xml:space="preserve">已提交响应文件的供应商，在提 </w:t>
      </w:r>
      <w:r>
        <w:rPr>
          <w:spacing w:val="3"/>
        </w:rPr>
        <w:t>交最后报价之前，可以根据磋商情况退出磋商（须以书面形式通知采购代理机</w:t>
      </w:r>
      <w:r>
        <w:t>构</w:t>
      </w:r>
      <w:r>
        <w:rPr>
          <w:spacing w:val="-60"/>
        </w:rPr>
        <w:t>）</w:t>
      </w:r>
      <w:r>
        <w:rPr>
          <w:spacing w:val="-17"/>
        </w:rPr>
        <w:t>，</w:t>
      </w:r>
      <w:r>
        <w:t>采购代理机构应当退还退出磋商的供应商的磋商保证金</w:t>
      </w:r>
      <w:r>
        <w:rPr>
          <w:spacing w:val="-17"/>
        </w:rPr>
        <w:t>，</w:t>
      </w:r>
      <w:r>
        <w:t xml:space="preserve">否则磋商保证金 将被没收上缴同级财政部门。 </w:t>
      </w:r>
    </w:p>
    <w:p>
      <w:pPr>
        <w:pStyle w:val="3"/>
        <w:kinsoku w:val="0"/>
        <w:overflowPunct w:val="0"/>
        <w:spacing w:before="82"/>
        <w:ind w:left="2646"/>
        <w:rPr>
          <w:rFonts w:hint="default"/>
          <w:b w:val="0"/>
        </w:rPr>
      </w:pPr>
      <w:bookmarkStart w:id="21" w:name="bookmark21"/>
      <w:bookmarkEnd w:id="21"/>
      <w:r>
        <w:t>五、磋商程序及方法</w:t>
      </w:r>
    </w:p>
    <w:p>
      <w:pPr>
        <w:pStyle w:val="4"/>
        <w:kinsoku w:val="0"/>
        <w:overflowPunct w:val="0"/>
        <w:spacing w:before="289"/>
        <w:jc w:val="both"/>
        <w:rPr>
          <w:rFonts w:hint="default" w:ascii="Blackoak Std" w:hAnsi="Blackoak Std" w:eastAsia="Blackoak Std"/>
          <w:b w:val="0"/>
        </w:rPr>
      </w:pPr>
      <w:bookmarkStart w:id="22" w:name="bookmark22"/>
      <w:bookmarkEnd w:id="22"/>
      <w:r>
        <w:rPr>
          <w:rFonts w:hint="default" w:ascii="Arial" w:hAnsi="Arial"/>
          <w:spacing w:val="1"/>
        </w:rPr>
        <w:t>16</w:t>
      </w:r>
      <w:r>
        <w:rPr>
          <w:rFonts w:hint="default" w:ascii="Arial" w:hAnsi="Arial"/>
        </w:rPr>
        <w:t>.</w:t>
      </w:r>
      <w:r>
        <w:rPr>
          <w:spacing w:val="1"/>
        </w:rPr>
        <w:t>磋商小组</w:t>
      </w:r>
    </w:p>
    <w:p>
      <w:pPr>
        <w:pStyle w:val="9"/>
        <w:kinsoku w:val="0"/>
        <w:overflowPunct w:val="0"/>
        <w:spacing w:before="216" w:line="309" w:lineRule="auto"/>
        <w:ind w:right="239"/>
        <w:jc w:val="both"/>
        <w:rPr>
          <w:rFonts w:hint="default"/>
        </w:rPr>
      </w:pPr>
      <w:r>
        <w:t>16.1 采购代理机构将根据采购项目的特点依法组建磋商小组，其成员由具有一 定专业水平的技术</w:t>
      </w:r>
      <w:r>
        <w:rPr>
          <w:spacing w:val="-47"/>
        </w:rPr>
        <w:t>、</w:t>
      </w:r>
      <w:r>
        <w:t>经济等方面的专家和采购人代表等三人以上单数组成</w:t>
      </w:r>
      <w:r>
        <w:rPr>
          <w:spacing w:val="-47"/>
        </w:rPr>
        <w:t>。</w:t>
      </w:r>
      <w:r>
        <w:t xml:space="preserve">其中 技术、经济等方面的专家不少于成员总数的三分之二。 </w:t>
      </w:r>
    </w:p>
    <w:p>
      <w:pPr>
        <w:pStyle w:val="9"/>
        <w:kinsoku w:val="0"/>
        <w:overflowPunct w:val="0"/>
        <w:spacing w:before="20" w:line="309" w:lineRule="auto"/>
        <w:ind w:right="119"/>
        <w:rPr>
          <w:rFonts w:hint="default"/>
        </w:rPr>
      </w:pPr>
      <w:r>
        <w:t>16.2磋商由采购代理机构负责组织</w:t>
      </w:r>
      <w:r>
        <w:rPr>
          <w:spacing w:val="-34"/>
        </w:rPr>
        <w:t>，</w:t>
      </w:r>
      <w:r>
        <w:t xml:space="preserve">具体磋商事务由依法组建的磋商小组负责， 并独立履行下列职责： </w:t>
      </w:r>
    </w:p>
    <w:p>
      <w:pPr>
        <w:pStyle w:val="9"/>
        <w:kinsoku w:val="0"/>
        <w:overflowPunct w:val="0"/>
        <w:spacing w:before="20"/>
        <w:jc w:val="both"/>
        <w:rPr>
          <w:rFonts w:hint="default"/>
        </w:rPr>
      </w:pPr>
      <w:r>
        <w:t xml:space="preserve">（1）审查磋商响应文件是否符合磋商文件要求，并作出评价； </w:t>
      </w:r>
    </w:p>
    <w:p>
      <w:pPr>
        <w:pStyle w:val="9"/>
        <w:kinsoku w:val="0"/>
        <w:overflowPunct w:val="0"/>
        <w:jc w:val="both"/>
        <w:rPr>
          <w:rFonts w:hint="default"/>
        </w:rPr>
      </w:pPr>
      <w:r>
        <w:t xml:space="preserve">（2）要求响应供应商对磋商响应文件有关事项作出解释或澄清； </w:t>
      </w:r>
    </w:p>
    <w:p>
      <w:pPr>
        <w:pStyle w:val="9"/>
        <w:kinsoku w:val="0"/>
        <w:overflowPunct w:val="0"/>
        <w:jc w:val="both"/>
        <w:rPr>
          <w:rFonts w:hint="default"/>
        </w:rPr>
      </w:pPr>
      <w:r>
        <w:t xml:space="preserve">（3）推荐预成交候选供应商； </w:t>
      </w:r>
    </w:p>
    <w:p>
      <w:pPr>
        <w:pStyle w:val="9"/>
        <w:kinsoku w:val="0"/>
        <w:overflowPunct w:val="0"/>
        <w:spacing w:line="309" w:lineRule="auto"/>
        <w:ind w:right="2205"/>
        <w:rPr>
          <w:rFonts w:hint="default"/>
        </w:rPr>
      </w:pPr>
      <w:r>
        <w:t xml:space="preserve">（4）对非法干预评审工作的人员和机构进行举报或投诉。 16.3磋商小组应遵守并履行下列义务： </w:t>
      </w:r>
    </w:p>
    <w:p>
      <w:pPr>
        <w:pStyle w:val="9"/>
        <w:kinsoku w:val="0"/>
        <w:overflowPunct w:val="0"/>
        <w:spacing w:before="20"/>
        <w:jc w:val="both"/>
        <w:rPr>
          <w:rFonts w:hint="default"/>
        </w:rPr>
      </w:pPr>
      <w:r>
        <w:t xml:space="preserve">（1）遵纪守法，客观、公正、廉洁地履行职责； </w:t>
      </w:r>
    </w:p>
    <w:p>
      <w:pPr>
        <w:pStyle w:val="9"/>
        <w:kinsoku w:val="0"/>
        <w:overflowPunct w:val="0"/>
        <w:spacing w:line="309" w:lineRule="auto"/>
        <w:ind w:right="119"/>
        <w:rPr>
          <w:rFonts w:hint="default"/>
        </w:rPr>
      </w:pPr>
      <w:r>
        <w:t xml:space="preserve">（2）按照磋商文件规定的评审方法和评审标准进行评审，对评审意见承担磋商 小组成员责任； </w:t>
      </w:r>
    </w:p>
    <w:p>
      <w:pPr>
        <w:pStyle w:val="9"/>
        <w:kinsoku w:val="0"/>
        <w:overflowPunct w:val="0"/>
        <w:spacing w:before="20"/>
        <w:jc w:val="both"/>
        <w:rPr>
          <w:rFonts w:hint="default"/>
        </w:rPr>
      </w:pPr>
      <w:r>
        <w:t xml:space="preserve">（3）对磋商响应文件、磋商情况和磋商中获悉的商业秘密保密； </w:t>
      </w:r>
    </w:p>
    <w:p>
      <w:pPr>
        <w:pStyle w:val="9"/>
        <w:kinsoku w:val="0"/>
        <w:overflowPunct w:val="0"/>
        <w:jc w:val="both"/>
        <w:rPr>
          <w:rFonts w:hint="default"/>
        </w:rPr>
      </w:pPr>
      <w:r>
        <w:t xml:space="preserve">（4）参与磋商报告的起草； </w:t>
      </w:r>
    </w:p>
    <w:p>
      <w:pPr>
        <w:pStyle w:val="9"/>
        <w:kinsoku w:val="0"/>
        <w:overflowPunct w:val="0"/>
        <w:jc w:val="both"/>
        <w:rPr>
          <w:rFonts w:hint="default"/>
        </w:rPr>
      </w:pPr>
      <w:r>
        <w:t xml:space="preserve">（5）解答响应供应商及有关方面的质疑； </w:t>
      </w:r>
    </w:p>
    <w:p>
      <w:pPr>
        <w:pStyle w:val="9"/>
        <w:kinsoku w:val="0"/>
        <w:overflowPunct w:val="0"/>
        <w:jc w:val="both"/>
        <w:rPr>
          <w:rFonts w:hint="default"/>
        </w:rPr>
      </w:pPr>
      <w:r>
        <w:t xml:space="preserve">（6）配合纪检部门进行投诉处理工作。 </w:t>
      </w:r>
    </w:p>
    <w:p>
      <w:pPr>
        <w:pStyle w:val="9"/>
        <w:kinsoku w:val="0"/>
        <w:overflowPunct w:val="0"/>
        <w:spacing w:line="309" w:lineRule="auto"/>
        <w:ind w:right="119"/>
        <w:rPr>
          <w:rFonts w:hint="default"/>
        </w:rPr>
      </w:pPr>
      <w:r>
        <w:t xml:space="preserve">16.4磋商小组所有成员应当集中与单一供应商分别进行磋商，并给予所有参加 磋商的供应商平等的磋商机会。 </w:t>
      </w:r>
    </w:p>
    <w:p>
      <w:pPr>
        <w:pStyle w:val="9"/>
        <w:kinsoku w:val="0"/>
        <w:overflowPunct w:val="0"/>
        <w:spacing w:before="20" w:line="309" w:lineRule="auto"/>
        <w:ind w:right="119"/>
        <w:rPr>
          <w:rFonts w:hint="default"/>
        </w:rPr>
      </w:pPr>
      <w:r>
        <w:t>16.5磋商工作在有关部门的监督和严格保密的情况下依法开展，任何单位和个 人不得非法干预、影响磋商工作和磋商结果。</w:t>
      </w:r>
    </w:p>
    <w:p>
      <w:pPr>
        <w:pStyle w:val="4"/>
        <w:kinsoku w:val="0"/>
        <w:overflowPunct w:val="0"/>
        <w:spacing w:before="177"/>
        <w:jc w:val="both"/>
        <w:rPr>
          <w:rFonts w:hint="default" w:ascii="Blackoak Std" w:hAnsi="Blackoak Std" w:eastAsia="Blackoak Std"/>
          <w:b w:val="0"/>
        </w:rPr>
      </w:pPr>
      <w:bookmarkStart w:id="23" w:name="bookmark23"/>
      <w:bookmarkEnd w:id="23"/>
      <w:r>
        <w:rPr>
          <w:rFonts w:hint="default" w:ascii="Arial" w:hAnsi="Arial"/>
          <w:spacing w:val="1"/>
        </w:rPr>
        <w:t>17</w:t>
      </w:r>
      <w:r>
        <w:rPr>
          <w:rFonts w:hint="default" w:ascii="Arial" w:hAnsi="Arial"/>
        </w:rPr>
        <w:t>.</w:t>
      </w:r>
      <w:r>
        <w:rPr>
          <w:spacing w:val="1"/>
        </w:rPr>
        <w:t>磋商程序</w:t>
      </w:r>
    </w:p>
    <w:p>
      <w:pPr>
        <w:pStyle w:val="9"/>
        <w:kinsoku w:val="0"/>
        <w:overflowPunct w:val="0"/>
        <w:spacing w:before="216"/>
        <w:ind w:left="600"/>
        <w:rPr>
          <w:rFonts w:hint="default"/>
        </w:rPr>
      </w:pPr>
      <w:r>
        <w:t>17.1进入评审阶段后</w:t>
      </w:r>
      <w:r>
        <w:rPr>
          <w:spacing w:val="-47"/>
        </w:rPr>
        <w:t>，</w:t>
      </w:r>
      <w:r>
        <w:t>由评审委员会独立开展评审工作</w:t>
      </w:r>
      <w:r>
        <w:rPr>
          <w:spacing w:val="-47"/>
        </w:rPr>
        <w:t>，</w:t>
      </w:r>
      <w:r>
        <w:t>负责审议所有响应</w:t>
      </w:r>
    </w:p>
    <w:p>
      <w:pPr>
        <w:pStyle w:val="9"/>
        <w:kinsoku w:val="0"/>
        <w:overflowPunct w:val="0"/>
        <w:spacing w:before="5"/>
        <w:rPr>
          <w:rFonts w:hint="default"/>
        </w:rPr>
      </w:pPr>
      <w:r>
        <w:t xml:space="preserve">文件，并按先初审、后详细评审的程序对响应文件进行评审、评分。 </w:t>
      </w:r>
    </w:p>
    <w:p>
      <w:pPr>
        <w:pStyle w:val="9"/>
        <w:kinsoku w:val="0"/>
        <w:overflowPunct w:val="0"/>
        <w:spacing w:line="309" w:lineRule="auto"/>
        <w:ind w:right="119" w:firstLine="480"/>
        <w:jc w:val="both"/>
        <w:rPr>
          <w:rFonts w:hint="default"/>
          <w:spacing w:val="3"/>
        </w:rPr>
      </w:pPr>
      <w:r>
        <w:t>17.1.1 本次综合评分的主要因素是：响应报价、商务评价、技术质量、销 售及服务情况</w:t>
      </w:r>
      <w:r>
        <w:rPr>
          <w:spacing w:val="-9"/>
        </w:rPr>
        <w:t>。</w:t>
      </w:r>
      <w:r>
        <w:t>根</w:t>
      </w:r>
      <w:r>
        <w:rPr>
          <w:spacing w:val="-9"/>
        </w:rPr>
        <w:t>据</w:t>
      </w:r>
      <w:r>
        <w:t>《政府采购促进中小企业发展暂行办法</w:t>
      </w:r>
      <w:r>
        <w:rPr>
          <w:spacing w:val="-60"/>
        </w:rPr>
        <w:t>》</w:t>
      </w:r>
      <w:r>
        <w:rPr>
          <w:spacing w:val="-9"/>
        </w:rPr>
        <w:t>，</w:t>
      </w:r>
      <w:r>
        <w:t>属小型</w:t>
      </w:r>
      <w:r>
        <w:rPr>
          <w:spacing w:val="-9"/>
        </w:rPr>
        <w:t>、</w:t>
      </w:r>
      <w:r>
        <w:t>微型企 业制造的货</w:t>
      </w:r>
      <w:r>
        <w:rPr>
          <w:spacing w:val="-6"/>
        </w:rPr>
        <w:t>物</w:t>
      </w:r>
      <w:r>
        <w:t>（产品</w:t>
      </w:r>
      <w:r>
        <w:rPr>
          <w:spacing w:val="-60"/>
        </w:rPr>
        <w:t>）</w:t>
      </w:r>
      <w:r>
        <w:rPr>
          <w:spacing w:val="-6"/>
        </w:rPr>
        <w:t>，</w:t>
      </w:r>
      <w:r>
        <w:t>供应商须提供该制</w:t>
      </w:r>
      <w:r>
        <w:rPr>
          <w:spacing w:val="-6"/>
        </w:rPr>
        <w:t>造</w:t>
      </w:r>
      <w:r>
        <w:t>（生产</w:t>
      </w:r>
      <w:r>
        <w:rPr>
          <w:spacing w:val="-6"/>
        </w:rPr>
        <w:t>）</w:t>
      </w:r>
      <w:r>
        <w:t>企业出具</w:t>
      </w:r>
      <w:r>
        <w:rPr>
          <w:spacing w:val="-6"/>
        </w:rPr>
        <w:t>的</w:t>
      </w:r>
      <w:r>
        <w:t>《小型</w:t>
      </w:r>
      <w:r>
        <w:rPr>
          <w:spacing w:val="-6"/>
        </w:rPr>
        <w:t>、</w:t>
      </w:r>
      <w:r>
        <w:t>微型 企业声明函</w:t>
      </w:r>
      <w:r>
        <w:rPr>
          <w:spacing w:val="-12"/>
        </w:rPr>
        <w:t>》</w:t>
      </w:r>
      <w:r>
        <w:t>（详见附件14</w:t>
      </w:r>
      <w:r>
        <w:rPr>
          <w:spacing w:val="-60"/>
        </w:rPr>
        <w:t>）</w:t>
      </w:r>
      <w:r>
        <w:rPr>
          <w:spacing w:val="-12"/>
        </w:rPr>
        <w:t>，</w:t>
      </w:r>
      <w:r>
        <w:t>并由供应商加盖公章</w:t>
      </w:r>
      <w:r>
        <w:rPr>
          <w:spacing w:val="-12"/>
        </w:rPr>
        <w:t>，</w:t>
      </w:r>
      <w:r>
        <w:t xml:space="preserve">其划型标准严格按照国家 </w:t>
      </w:r>
      <w:r>
        <w:rPr>
          <w:spacing w:val="3"/>
        </w:rPr>
        <w:t>工信部、国家统计局、国家发改委、财政部出台的《中小企业划型标准规定》</w:t>
      </w:r>
    </w:p>
    <w:p>
      <w:pPr>
        <w:pStyle w:val="9"/>
        <w:kinsoku w:val="0"/>
        <w:overflowPunct w:val="0"/>
        <w:spacing w:before="20" w:line="309" w:lineRule="auto"/>
        <w:rPr>
          <w:rFonts w:hint="default"/>
        </w:rPr>
      </w:pPr>
      <w:r>
        <w:t xml:space="preserve">（工信部联企业[2011]300号）执行。供应商提供的《小型、微型企业声明函》 资料必须真实，否则，按照有关规定予以处理。 </w:t>
      </w:r>
    </w:p>
    <w:p>
      <w:pPr>
        <w:pStyle w:val="9"/>
        <w:kinsoku w:val="0"/>
        <w:overflowPunct w:val="0"/>
        <w:spacing w:before="20" w:line="309" w:lineRule="auto"/>
        <w:ind w:firstLine="480"/>
        <w:rPr>
          <w:rFonts w:hint="default"/>
        </w:rPr>
      </w:pPr>
      <w:r>
        <w:t xml:space="preserve">17.1.2 除响应价格因素外，评审委员会应依据磋商文件规定的评审方法和 评审标准对其他因素进行客观评审。 </w:t>
      </w:r>
    </w:p>
    <w:p>
      <w:pPr>
        <w:pStyle w:val="9"/>
        <w:kinsoku w:val="0"/>
        <w:overflowPunct w:val="0"/>
        <w:spacing w:before="20" w:line="309" w:lineRule="auto"/>
        <w:ind w:right="119" w:firstLine="480"/>
        <w:rPr>
          <w:rFonts w:hint="default"/>
        </w:rPr>
      </w:pPr>
      <w:r>
        <w:t>17.2初审阶段为资格性审查和符合性审查</w:t>
      </w:r>
      <w:r>
        <w:rPr>
          <w:spacing w:val="-94"/>
        </w:rPr>
        <w:t>。</w:t>
      </w:r>
      <w:r>
        <w:t xml:space="preserve">响应文件在响应磋商文件要求方 面出现的偏离，分为实质性偏离和非实质性偏离。 </w:t>
      </w:r>
    </w:p>
    <w:p>
      <w:pPr>
        <w:pStyle w:val="9"/>
        <w:kinsoku w:val="0"/>
        <w:overflowPunct w:val="0"/>
        <w:spacing w:before="20" w:line="309" w:lineRule="auto"/>
        <w:ind w:right="119" w:firstLine="480"/>
        <w:rPr>
          <w:rFonts w:hint="default"/>
        </w:rPr>
      </w:pPr>
      <w:r>
        <w:t>17.2.1实质性偏离是指响应文件未能实质性响应磋商文件的要求</w:t>
      </w:r>
      <w:r>
        <w:rPr>
          <w:spacing w:val="-94"/>
        </w:rPr>
        <w:t>。</w:t>
      </w:r>
      <w:r>
        <w:t xml:space="preserve">以下情况 属于实质性偏离，响应文件有下列情况之一的，按无效响应处理。 </w:t>
      </w:r>
    </w:p>
    <w:p>
      <w:pPr>
        <w:pStyle w:val="9"/>
        <w:kinsoku w:val="0"/>
        <w:overflowPunct w:val="0"/>
        <w:spacing w:before="20"/>
        <w:ind w:left="600"/>
        <w:rPr>
          <w:rFonts w:hint="default"/>
        </w:rPr>
      </w:pPr>
      <w:r>
        <w:t>（1）不符合第2.2款</w:t>
      </w:r>
      <w:r>
        <w:rPr>
          <w:rFonts w:hint="default" w:ascii="Cambria" w:hAnsi="Cambria" w:eastAsia="Cambria"/>
        </w:rPr>
        <w:t>“</w:t>
      </w:r>
      <w:r>
        <w:t>合格的供应商</w:t>
      </w:r>
      <w:r>
        <w:rPr>
          <w:rFonts w:hint="default" w:ascii="Cambria" w:hAnsi="Cambria" w:eastAsia="Cambria"/>
        </w:rPr>
        <w:t>”</w:t>
      </w:r>
      <w:r>
        <w:t xml:space="preserve">之规定的； </w:t>
      </w:r>
    </w:p>
    <w:p>
      <w:pPr>
        <w:pStyle w:val="9"/>
        <w:kinsoku w:val="0"/>
        <w:overflowPunct w:val="0"/>
        <w:spacing w:before="70"/>
        <w:ind w:left="600"/>
        <w:rPr>
          <w:rFonts w:hint="default"/>
        </w:rPr>
      </w:pPr>
      <w:r>
        <w:t xml:space="preserve">（2）未按磋商文件要求缴纳或未足额缴纳响应保证金的； </w:t>
      </w:r>
    </w:p>
    <w:p>
      <w:pPr>
        <w:pStyle w:val="9"/>
        <w:kinsoku w:val="0"/>
        <w:overflowPunct w:val="0"/>
        <w:ind w:left="600"/>
        <w:rPr>
          <w:rFonts w:hint="default"/>
        </w:rPr>
      </w:pPr>
      <w:r>
        <w:t xml:space="preserve">（3）未按第11.1款（1）-（19）要求提供相关资料的； </w:t>
      </w:r>
    </w:p>
    <w:p>
      <w:pPr>
        <w:pStyle w:val="9"/>
        <w:kinsoku w:val="0"/>
        <w:overflowPunct w:val="0"/>
        <w:ind w:left="600"/>
        <w:rPr>
          <w:rFonts w:hint="default"/>
        </w:rPr>
      </w:pPr>
      <w:r>
        <w:t xml:space="preserve">（4）响应文件内容没有按磋商文件规定和要求签字、盖章的； </w:t>
      </w:r>
    </w:p>
    <w:p>
      <w:pPr>
        <w:pStyle w:val="9"/>
        <w:kinsoku w:val="0"/>
        <w:overflowPunct w:val="0"/>
        <w:ind w:left="600"/>
        <w:rPr>
          <w:rFonts w:hint="default"/>
        </w:rPr>
      </w:pPr>
      <w:r>
        <w:t xml:space="preserve">（5）响应文件编排混乱，导致评审工作难以正常进行的； </w:t>
      </w:r>
    </w:p>
    <w:p>
      <w:pPr>
        <w:pStyle w:val="9"/>
        <w:kinsoku w:val="0"/>
        <w:overflowPunct w:val="0"/>
        <w:ind w:left="600"/>
        <w:rPr>
          <w:rFonts w:hint="default"/>
        </w:rPr>
      </w:pPr>
      <w:r>
        <w:t xml:space="preserve">（6）产品交货期、磋商有效期不能满足磋商文件要求的； </w:t>
      </w:r>
    </w:p>
    <w:p>
      <w:pPr>
        <w:pStyle w:val="9"/>
        <w:kinsoku w:val="0"/>
        <w:overflowPunct w:val="0"/>
        <w:ind w:left="600"/>
        <w:rPr>
          <w:rFonts w:hint="default"/>
        </w:rPr>
      </w:pPr>
      <w:r>
        <w:t xml:space="preserve">（7）参与响应产品的技术规格、技术标准明显不符合采购项目要求的； </w:t>
      </w:r>
    </w:p>
    <w:p>
      <w:pPr>
        <w:pStyle w:val="9"/>
        <w:kinsoku w:val="0"/>
        <w:overflowPunct w:val="0"/>
        <w:ind w:left="600"/>
        <w:rPr>
          <w:rFonts w:hint="default"/>
        </w:rPr>
      </w:pPr>
      <w:r>
        <w:t xml:space="preserve">（8）参与响应产品未完全满足磋商文件确定的重要技术指标、参数的； </w:t>
      </w:r>
    </w:p>
    <w:p>
      <w:pPr>
        <w:pStyle w:val="9"/>
        <w:kinsoku w:val="0"/>
        <w:overflowPunct w:val="0"/>
        <w:ind w:left="600"/>
        <w:rPr>
          <w:rFonts w:hint="default"/>
        </w:rPr>
      </w:pPr>
      <w:r>
        <w:t xml:space="preserve">（9）响应文件中附有采购人不能接受的条件的； </w:t>
      </w:r>
    </w:p>
    <w:p>
      <w:pPr>
        <w:pStyle w:val="9"/>
        <w:kinsoku w:val="0"/>
        <w:overflowPunct w:val="0"/>
        <w:ind w:left="600"/>
        <w:rPr>
          <w:rFonts w:hint="default"/>
        </w:rPr>
      </w:pPr>
      <w:r>
        <w:t xml:space="preserve">（10）响应报价超过采购预算额度的； </w:t>
      </w:r>
    </w:p>
    <w:p>
      <w:pPr>
        <w:pStyle w:val="9"/>
        <w:kinsoku w:val="0"/>
        <w:overflowPunct w:val="0"/>
        <w:ind w:left="600"/>
        <w:rPr>
          <w:rFonts w:hint="default"/>
        </w:rPr>
      </w:pPr>
      <w:r>
        <w:t xml:space="preserve">（11）未提供电子文档的； </w:t>
      </w:r>
    </w:p>
    <w:p>
      <w:pPr>
        <w:pStyle w:val="9"/>
        <w:kinsoku w:val="0"/>
        <w:overflowPunct w:val="0"/>
        <w:ind w:left="600"/>
        <w:rPr>
          <w:rFonts w:hint="default"/>
        </w:rPr>
      </w:pPr>
      <w:r>
        <w:t xml:space="preserve">（12）响应文件纸质与电子文档不一致的； </w:t>
      </w:r>
    </w:p>
    <w:p>
      <w:pPr>
        <w:pStyle w:val="9"/>
        <w:kinsoku w:val="0"/>
        <w:overflowPunct w:val="0"/>
        <w:ind w:left="600"/>
        <w:rPr>
          <w:rFonts w:hint="default"/>
        </w:rPr>
      </w:pPr>
      <w:r>
        <w:t xml:space="preserve">（13）评审委员会认为应按无效响应处理的其他情况； </w:t>
      </w:r>
    </w:p>
    <w:p>
      <w:pPr>
        <w:pStyle w:val="9"/>
        <w:kinsoku w:val="0"/>
        <w:overflowPunct w:val="0"/>
        <w:spacing w:line="309" w:lineRule="auto"/>
        <w:ind w:left="600" w:right="119"/>
        <w:rPr>
          <w:rFonts w:hint="default"/>
        </w:rPr>
      </w:pPr>
      <w:r>
        <w:t>（14）法律、法规规定的其他情形。 17.2.2非实质性偏离是指响应文件实质性响应磋商文件</w:t>
      </w:r>
      <w:r>
        <w:rPr>
          <w:spacing w:val="-94"/>
        </w:rPr>
        <w:t>，</w:t>
      </w:r>
      <w:r>
        <w:t>但在部分可允许范</w:t>
      </w:r>
    </w:p>
    <w:p>
      <w:pPr>
        <w:pStyle w:val="9"/>
        <w:kinsoku w:val="0"/>
        <w:overflowPunct w:val="0"/>
        <w:spacing w:before="20" w:line="309" w:lineRule="auto"/>
        <w:ind w:right="119"/>
        <w:rPr>
          <w:rFonts w:hint="default"/>
        </w:rPr>
      </w:pPr>
      <w:r>
        <w:t>围内存在一些不规则</w:t>
      </w:r>
      <w:r>
        <w:rPr>
          <w:spacing w:val="-24"/>
        </w:rPr>
        <w:t>、</w:t>
      </w:r>
      <w:r>
        <w:t>不一致</w:t>
      </w:r>
      <w:r>
        <w:rPr>
          <w:spacing w:val="-24"/>
        </w:rPr>
        <w:t>、</w:t>
      </w:r>
      <w:r>
        <w:t>不完整的内容</w:t>
      </w:r>
      <w:r>
        <w:rPr>
          <w:spacing w:val="-24"/>
        </w:rPr>
        <w:t>，</w:t>
      </w:r>
      <w:r>
        <w:t>通过澄清</w:t>
      </w:r>
      <w:r>
        <w:rPr>
          <w:spacing w:val="-24"/>
        </w:rPr>
        <w:t>、</w:t>
      </w:r>
      <w:r>
        <w:t xml:space="preserve">说明或者补正后这些 内容不会改变响应文件的实质性。以下情况属于非实质性偏离： </w:t>
      </w:r>
    </w:p>
    <w:p>
      <w:pPr>
        <w:pStyle w:val="9"/>
        <w:kinsoku w:val="0"/>
        <w:overflowPunct w:val="0"/>
        <w:spacing w:before="20"/>
        <w:ind w:left="600"/>
        <w:rPr>
          <w:rFonts w:hint="default"/>
        </w:rPr>
      </w:pPr>
      <w:r>
        <w:t xml:space="preserve">（1）响应文件文字表述的内容含义不明确； </w:t>
      </w:r>
    </w:p>
    <w:p>
      <w:pPr>
        <w:pStyle w:val="9"/>
        <w:kinsoku w:val="0"/>
        <w:overflowPunct w:val="0"/>
        <w:ind w:left="600"/>
        <w:rPr>
          <w:rFonts w:hint="default"/>
        </w:rPr>
      </w:pPr>
      <w:r>
        <w:t xml:space="preserve">（2）同类问题表述不一致； </w:t>
      </w:r>
    </w:p>
    <w:p>
      <w:pPr>
        <w:pStyle w:val="9"/>
        <w:kinsoku w:val="0"/>
        <w:overflowPunct w:val="0"/>
        <w:ind w:left="600"/>
        <w:rPr>
          <w:rFonts w:hint="default"/>
        </w:rPr>
      </w:pPr>
      <w:r>
        <w:t xml:space="preserve">（3）有明显文字和计算错误； </w:t>
      </w:r>
    </w:p>
    <w:p>
      <w:pPr>
        <w:pStyle w:val="9"/>
        <w:kinsoku w:val="0"/>
        <w:overflowPunct w:val="0"/>
        <w:ind w:left="600"/>
        <w:rPr>
          <w:rFonts w:hint="default"/>
        </w:rPr>
        <w:sectPr>
          <w:pgSz w:w="11910" w:h="16840"/>
          <w:pgMar w:top="1460" w:right="1680" w:bottom="1140" w:left="1680" w:header="0" w:footer="880" w:gutter="0"/>
          <w:cols w:space="720" w:num="1"/>
        </w:sectPr>
      </w:pPr>
    </w:p>
    <w:p>
      <w:pPr>
        <w:pStyle w:val="9"/>
        <w:kinsoku w:val="0"/>
        <w:overflowPunct w:val="0"/>
        <w:spacing w:before="5"/>
        <w:ind w:left="600"/>
        <w:rPr>
          <w:rFonts w:hint="default"/>
        </w:rPr>
      </w:pPr>
      <w:r>
        <w:t xml:space="preserve">（4）提供的技术信息和数据资料不完整； </w:t>
      </w:r>
    </w:p>
    <w:p>
      <w:pPr>
        <w:pStyle w:val="9"/>
        <w:kinsoku w:val="0"/>
        <w:overflowPunct w:val="0"/>
        <w:spacing w:line="309" w:lineRule="auto"/>
        <w:ind w:firstLine="480"/>
        <w:rPr>
          <w:rFonts w:hint="default"/>
        </w:rPr>
      </w:pPr>
      <w:r>
        <w:t>（5）评审委员会认定的其他非实质性偏离情况。 磋商响应文件有上述情形之一的</w:t>
      </w:r>
      <w:r>
        <w:rPr>
          <w:spacing w:val="-94"/>
        </w:rPr>
        <w:t>，</w:t>
      </w:r>
      <w:r>
        <w:t>磋商小组应当要求响应供应商在规定的时间内 予以澄清</w:t>
      </w:r>
      <w:r>
        <w:rPr>
          <w:spacing w:val="-47"/>
        </w:rPr>
        <w:t>、</w:t>
      </w:r>
      <w:r>
        <w:t>说明</w:t>
      </w:r>
      <w:r>
        <w:rPr>
          <w:spacing w:val="-47"/>
        </w:rPr>
        <w:t>。</w:t>
      </w:r>
      <w:r>
        <w:t>澄清说明材料由响应供应商法定代表人或委托代理人在规定的 时间到达指定地点等候答疑</w:t>
      </w:r>
      <w:r>
        <w:rPr>
          <w:spacing w:val="-47"/>
        </w:rPr>
        <w:t>，</w:t>
      </w:r>
      <w:r>
        <w:t>并对评委提出的质疑做出应</w:t>
      </w:r>
      <w:r>
        <w:rPr>
          <w:spacing w:val="-47"/>
        </w:rPr>
        <w:t>答</w:t>
      </w:r>
      <w:r>
        <w:t>（如不在场则视为自 动放弃）</w:t>
      </w:r>
      <w:r>
        <w:rPr>
          <w:spacing w:val="-94"/>
        </w:rPr>
        <w:t>。</w:t>
      </w:r>
      <w:r>
        <w:t>该内容不得超出磋商响应文件的范围或者改变磋商响应文件的实质性 内容</w:t>
      </w:r>
      <w:r>
        <w:rPr>
          <w:spacing w:val="-32"/>
        </w:rPr>
        <w:t>，</w:t>
      </w:r>
      <w:r>
        <w:t>并作为磋商响应文件的组成部分</w:t>
      </w:r>
      <w:r>
        <w:rPr>
          <w:spacing w:val="-32"/>
        </w:rPr>
        <w:t>。</w:t>
      </w:r>
      <w:r>
        <w:t>答疑期间</w:t>
      </w:r>
      <w:r>
        <w:rPr>
          <w:spacing w:val="-32"/>
        </w:rPr>
        <w:t>，</w:t>
      </w:r>
      <w:r>
        <w:t>响应供应商拒绝或在规定的 时间内未做出澄清</w:t>
      </w:r>
      <w:r>
        <w:rPr>
          <w:spacing w:val="-24"/>
        </w:rPr>
        <w:t>、</w:t>
      </w:r>
      <w:r>
        <w:t>说明</w:t>
      </w:r>
      <w:r>
        <w:rPr>
          <w:spacing w:val="-24"/>
        </w:rPr>
        <w:t>，</w:t>
      </w:r>
      <w:r>
        <w:t>或澄清</w:t>
      </w:r>
      <w:r>
        <w:rPr>
          <w:spacing w:val="-24"/>
        </w:rPr>
        <w:t>、</w:t>
      </w:r>
      <w:r>
        <w:t>说明的内容仍不能说明问题的</w:t>
      </w:r>
      <w:r>
        <w:rPr>
          <w:spacing w:val="-24"/>
        </w:rPr>
        <w:t>，</w:t>
      </w:r>
      <w:r>
        <w:t>磋商小组将 按照磋商文件的要求对现有的磋商资料做出评审意见</w:t>
      </w:r>
      <w:r>
        <w:rPr>
          <w:spacing w:val="-94"/>
        </w:rPr>
        <w:t>。</w:t>
      </w:r>
      <w:r>
        <w:t xml:space="preserve">磋商小组对响应供应商主 动提出的澄清、说明的内容将不予接受。 </w:t>
      </w:r>
    </w:p>
    <w:p>
      <w:pPr>
        <w:pStyle w:val="9"/>
        <w:kinsoku w:val="0"/>
        <w:overflowPunct w:val="0"/>
        <w:spacing w:before="20" w:line="309" w:lineRule="auto"/>
        <w:ind w:right="319"/>
        <w:jc w:val="both"/>
        <w:rPr>
          <w:rFonts w:hint="default"/>
        </w:rPr>
      </w:pPr>
      <w:r>
        <w:t>17.2.3 在磋商响应文件初审、复审过程中，如果磋商小组成员出现对评审结果 有不同意见的</w:t>
      </w:r>
      <w:r>
        <w:rPr>
          <w:spacing w:val="-32"/>
        </w:rPr>
        <w:t>，</w:t>
      </w:r>
      <w:r>
        <w:t>应当以书面形式反映</w:t>
      </w:r>
      <w:r>
        <w:rPr>
          <w:spacing w:val="-32"/>
        </w:rPr>
        <w:t>，</w:t>
      </w:r>
      <w:r>
        <w:t>磋商报告中应注明该不同意见</w:t>
      </w:r>
      <w:r>
        <w:rPr>
          <w:spacing w:val="-32"/>
        </w:rPr>
        <w:t>。</w:t>
      </w:r>
      <w:r>
        <w:t>磋商小组 成员拒绝在磋商报告中签字又不书面说明其不同意见和理由的</w:t>
      </w:r>
      <w:r>
        <w:rPr>
          <w:spacing w:val="-94"/>
        </w:rPr>
        <w:t>，</w:t>
      </w:r>
      <w:r>
        <w:t xml:space="preserve">视为同意磋商结 果。 </w:t>
      </w:r>
    </w:p>
    <w:p>
      <w:pPr>
        <w:pStyle w:val="9"/>
        <w:kinsoku w:val="0"/>
        <w:overflowPunct w:val="0"/>
        <w:spacing w:before="20" w:line="309" w:lineRule="auto"/>
        <w:rPr>
          <w:rFonts w:hint="default"/>
        </w:rPr>
      </w:pPr>
      <w:r>
        <w:t>17.3 在磋商过程中，磋商小组可以根据磋商文件和磋商情况实质性变动采购需 求中的技术、服务要求以及合同草案条款，但不得变动磋商文件中的其他内容。 实质性变动的内容</w:t>
      </w:r>
      <w:r>
        <w:rPr>
          <w:spacing w:val="-47"/>
        </w:rPr>
        <w:t>，</w:t>
      </w:r>
      <w:r>
        <w:t>须经采购人代表确认</w:t>
      </w:r>
      <w:r>
        <w:rPr>
          <w:spacing w:val="-47"/>
        </w:rPr>
        <w:t>。</w:t>
      </w:r>
      <w:r>
        <w:t>对磋商文件作出的实质性变动是磋商 文件的有效组成部分</w:t>
      </w:r>
      <w:r>
        <w:rPr>
          <w:spacing w:val="-94"/>
        </w:rPr>
        <w:t>，</w:t>
      </w:r>
      <w:r>
        <w:t xml:space="preserve">磋商小组应及时以书面形式同时通知所有参加磋商的供应 商。供应商应当按照磋商文件的变动情况和磋商小组的要求重新提交响应文件， 并由其法定代表人或委托代理人签字或者加盖公章。 </w:t>
      </w:r>
    </w:p>
    <w:p>
      <w:pPr>
        <w:pStyle w:val="9"/>
        <w:kinsoku w:val="0"/>
        <w:overflowPunct w:val="0"/>
        <w:spacing w:before="20" w:line="309" w:lineRule="auto"/>
        <w:ind w:right="319"/>
        <w:rPr>
          <w:rFonts w:hint="default"/>
        </w:rPr>
      </w:pPr>
      <w:r>
        <w:t>17.4磋商文件不能详细列明采购标的的技术、服务要求，需经磋商由供应商提 供最终设计方案或解决方案的</w:t>
      </w:r>
      <w:r>
        <w:rPr>
          <w:spacing w:val="-47"/>
        </w:rPr>
        <w:t>，</w:t>
      </w:r>
      <w:r>
        <w:t>磋商结束后</w:t>
      </w:r>
      <w:r>
        <w:rPr>
          <w:spacing w:val="-47"/>
        </w:rPr>
        <w:t>，</w:t>
      </w:r>
      <w:r>
        <w:t>磋商小组应当按照少数服从多数的 原则投票推荐供应商的设计方案或者解决方案</w:t>
      </w:r>
      <w:r>
        <w:rPr>
          <w:spacing w:val="-94"/>
        </w:rPr>
        <w:t>，</w:t>
      </w:r>
      <w:r>
        <w:t xml:space="preserve">并要求其在规定时间内提供最终 报价，最终报价是供应商响应文件的有效组成部分。 </w:t>
      </w:r>
    </w:p>
    <w:p>
      <w:pPr>
        <w:pStyle w:val="9"/>
        <w:kinsoku w:val="0"/>
        <w:overflowPunct w:val="0"/>
        <w:spacing w:before="20" w:line="309" w:lineRule="auto"/>
        <w:rPr>
          <w:rFonts w:hint="default"/>
        </w:rPr>
      </w:pPr>
      <w:r>
        <w:t>17.5比较与评价：磋商小组将按磋商文件中规定的评审办法和标准，对初审阶 段合格并按要求提交最终报价的磋商响应文件进行商务和服务评估方面的综合 比较与评价</w:t>
      </w:r>
      <w:r>
        <w:rPr>
          <w:spacing w:val="-47"/>
        </w:rPr>
        <w:t>。</w:t>
      </w:r>
      <w:r>
        <w:t>即在最大限度地满足磋商文件实质性要求的前提下</w:t>
      </w:r>
      <w:r>
        <w:rPr>
          <w:spacing w:val="-47"/>
        </w:rPr>
        <w:t>，</w:t>
      </w:r>
      <w:r>
        <w:t>按照磋商文件 中规定的各项因素进行综合评审</w:t>
      </w:r>
      <w:r>
        <w:rPr>
          <w:spacing w:val="-120"/>
        </w:rPr>
        <w:t>，</w:t>
      </w:r>
      <w:r>
        <w:t>以评审总得分由高到低排序推荐预成交候选人。 若得分相同时，按最终报价由低到高顺序排</w:t>
      </w:r>
      <w:r>
        <w:rPr>
          <w:spacing w:val="-47"/>
        </w:rPr>
        <w:t>列；</w:t>
      </w:r>
      <w:r>
        <w:t>得分相同且最终报价相同的，按服务能力与方案得分由高到低顺序排列。</w:t>
      </w:r>
    </w:p>
    <w:p>
      <w:pPr>
        <w:pStyle w:val="4"/>
        <w:kinsoku w:val="0"/>
        <w:overflowPunct w:val="0"/>
        <w:spacing w:before="177"/>
        <w:rPr>
          <w:rFonts w:hint="default" w:ascii="Arial" w:hAnsi="Arial"/>
          <w:spacing w:val="1"/>
        </w:rPr>
      </w:pPr>
      <w:bookmarkStart w:id="24" w:name="bookmark24"/>
      <w:bookmarkEnd w:id="24"/>
    </w:p>
    <w:p>
      <w:pPr>
        <w:pStyle w:val="4"/>
        <w:kinsoku w:val="0"/>
        <w:overflowPunct w:val="0"/>
        <w:spacing w:before="177"/>
        <w:rPr>
          <w:rFonts w:hint="default" w:ascii="Arial" w:hAnsi="Arial"/>
          <w:spacing w:val="1"/>
        </w:rPr>
      </w:pPr>
    </w:p>
    <w:p>
      <w:pPr>
        <w:pStyle w:val="4"/>
        <w:kinsoku w:val="0"/>
        <w:overflowPunct w:val="0"/>
        <w:spacing w:before="177"/>
        <w:rPr>
          <w:rFonts w:hint="default" w:ascii="Arial" w:hAnsi="Arial"/>
          <w:spacing w:val="1"/>
        </w:rPr>
      </w:pPr>
    </w:p>
    <w:p>
      <w:pPr>
        <w:pStyle w:val="4"/>
        <w:kinsoku w:val="0"/>
        <w:overflowPunct w:val="0"/>
        <w:spacing w:before="177"/>
        <w:rPr>
          <w:rFonts w:hint="default" w:ascii="Blackoak Std" w:hAnsi="Blackoak Std" w:eastAsia="Blackoak Std"/>
          <w:b w:val="0"/>
        </w:rPr>
      </w:pPr>
      <w:r>
        <w:rPr>
          <w:rFonts w:hint="default" w:ascii="Arial" w:hAnsi="Arial"/>
          <w:spacing w:val="1"/>
        </w:rPr>
        <w:t>18</w:t>
      </w:r>
      <w:r>
        <w:rPr>
          <w:rFonts w:hint="default" w:ascii="Arial" w:hAnsi="Arial"/>
        </w:rPr>
        <w:t>.</w:t>
      </w:r>
      <w:r>
        <w:rPr>
          <w:color w:val="000000"/>
          <w:spacing w:val="1"/>
        </w:rPr>
        <w:t>评审办法</w:t>
      </w:r>
    </w:p>
    <w:p>
      <w:pPr>
        <w:pStyle w:val="10"/>
        <w:spacing w:line="360" w:lineRule="auto"/>
        <w:ind w:left="141" w:firstLine="600" w:firstLineChars="300"/>
        <w:rPr>
          <w:rFonts w:ascii="宋体" w:hAnsi="宋体" w:eastAsia="宋体" w:cs="宋体"/>
          <w:sz w:val="24"/>
          <w:szCs w:val="24"/>
        </w:rPr>
      </w:pPr>
      <w:r>
        <w:t>18.1</w:t>
      </w:r>
      <w:r>
        <w:rPr>
          <w:rFonts w:ascii="宋体" w:hAnsi="宋体" w:eastAsia="宋体" w:cs="宋体"/>
          <w:sz w:val="24"/>
          <w:szCs w:val="24"/>
        </w:rPr>
        <w:t>依照《中华人民共和国政府采购法》、《中华人民共和国政府采购法实施条例》、《政府采购货物和服务招投标管理办法》等法律法规的规定，结合该项目的特点制定本评审办法。</w:t>
      </w:r>
    </w:p>
    <w:p>
      <w:pPr>
        <w:pStyle w:val="10"/>
        <w:spacing w:line="360" w:lineRule="auto"/>
        <w:rPr>
          <w:rFonts w:hint="eastAsia" w:hAnsi="宋体"/>
          <w:b/>
          <w:sz w:val="24"/>
        </w:rPr>
      </w:pPr>
    </w:p>
    <w:p>
      <w:pPr>
        <w:pStyle w:val="10"/>
        <w:spacing w:line="360" w:lineRule="auto"/>
        <w:ind w:left="141" w:firstLine="723" w:firstLineChars="300"/>
        <w:rPr>
          <w:rFonts w:hint="eastAsia" w:hAnsi="宋体"/>
          <w:b/>
          <w:sz w:val="24"/>
        </w:rPr>
      </w:pPr>
    </w:p>
    <w:p>
      <w:pPr>
        <w:pStyle w:val="10"/>
        <w:spacing w:line="360" w:lineRule="auto"/>
        <w:ind w:left="141" w:firstLine="723" w:firstLineChars="300"/>
        <w:rPr>
          <w:rFonts w:hint="eastAsia" w:hAnsi="宋体"/>
          <w:b/>
          <w:sz w:val="24"/>
        </w:rPr>
      </w:pPr>
    </w:p>
    <w:p>
      <w:pPr>
        <w:pStyle w:val="10"/>
        <w:spacing w:line="360" w:lineRule="auto"/>
        <w:ind w:left="141" w:firstLine="723" w:firstLineChars="300"/>
      </w:pPr>
      <w:r>
        <w:rPr>
          <w:rFonts w:hint="eastAsia" w:hAnsi="宋体"/>
          <w:b/>
          <w:sz w:val="24"/>
        </w:rPr>
        <w:t>具体项目及评分细则：</w:t>
      </w:r>
    </w:p>
    <w:tbl>
      <w:tblPr>
        <w:tblStyle w:val="15"/>
        <w:tblW w:w="98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1784"/>
        <w:gridCol w:w="708"/>
        <w:gridCol w:w="6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1" w:hRule="atLeast"/>
          <w:jc w:val="center"/>
        </w:trPr>
        <w:tc>
          <w:tcPr>
            <w:tcW w:w="1318" w:type="dxa"/>
            <w:vAlign w:val="center"/>
          </w:tcPr>
          <w:p>
            <w:pPr>
              <w:spacing w:line="500" w:lineRule="exact"/>
              <w:rPr>
                <w:rFonts w:ascii="宋体" w:hAnsi="宋体" w:cs="宋体"/>
                <w:szCs w:val="24"/>
              </w:rPr>
            </w:pPr>
            <w:r>
              <w:rPr>
                <w:rFonts w:hint="eastAsia" w:ascii="宋体" w:hAnsi="宋体" w:cs="宋体"/>
                <w:szCs w:val="24"/>
              </w:rPr>
              <w:t>磋商报价</w:t>
            </w:r>
          </w:p>
          <w:p>
            <w:pPr>
              <w:spacing w:line="500" w:lineRule="exact"/>
              <w:rPr>
                <w:rFonts w:ascii="宋体" w:hAnsi="宋体" w:cs="宋体"/>
                <w:szCs w:val="24"/>
              </w:rPr>
            </w:pPr>
            <w:r>
              <w:rPr>
                <w:rFonts w:hint="eastAsia" w:ascii="宋体" w:hAnsi="宋体" w:cs="宋体"/>
                <w:szCs w:val="24"/>
              </w:rPr>
              <w:t>（20分）</w:t>
            </w:r>
          </w:p>
        </w:tc>
        <w:tc>
          <w:tcPr>
            <w:tcW w:w="8570" w:type="dxa"/>
            <w:gridSpan w:val="3"/>
            <w:vAlign w:val="center"/>
          </w:tcPr>
          <w:p>
            <w:pPr>
              <w:spacing w:line="500" w:lineRule="exact"/>
              <w:rPr>
                <w:rFonts w:ascii="宋体" w:hAnsi="宋体" w:cs="宋体"/>
                <w:szCs w:val="24"/>
              </w:rPr>
            </w:pPr>
            <w:r>
              <w:rPr>
                <w:rFonts w:hint="eastAsia" w:ascii="宋体" w:hAnsi="宋体" w:cs="宋体"/>
                <w:szCs w:val="24"/>
              </w:rPr>
              <w:t>综合评分法中的价格分统一采用低价优先法计算，即满足磋商文件要求且最后报价最低的供应商的价格为磋商基准价，其价格分为满分。其他供应商的价格分统一按照下列公式计算：</w:t>
            </w:r>
          </w:p>
          <w:p>
            <w:pPr>
              <w:spacing w:line="500" w:lineRule="exact"/>
              <w:rPr>
                <w:rFonts w:ascii="宋体" w:hAnsi="宋体" w:cs="宋体"/>
                <w:szCs w:val="24"/>
              </w:rPr>
            </w:pPr>
            <w:r>
              <w:rPr>
                <w:rFonts w:hint="eastAsia" w:ascii="宋体" w:hAnsi="宋体" w:cs="宋体"/>
                <w:szCs w:val="24"/>
              </w:rPr>
              <w:t>磋商报价得分=（磋商基准价/最后磋商报价）×20%×100（四舍五入后保留小数点后两位）。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2" w:hRule="atLeast"/>
          <w:jc w:val="center"/>
        </w:trPr>
        <w:tc>
          <w:tcPr>
            <w:tcW w:w="1318" w:type="dxa"/>
            <w:vMerge w:val="restart"/>
            <w:vAlign w:val="center"/>
          </w:tcPr>
          <w:p>
            <w:pPr>
              <w:spacing w:line="500" w:lineRule="exact"/>
              <w:ind w:firstLine="120" w:firstLineChars="50"/>
              <w:rPr>
                <w:rFonts w:ascii="宋体" w:hAnsi="宋体" w:cs="宋体"/>
                <w:szCs w:val="24"/>
              </w:rPr>
            </w:pPr>
            <w:r>
              <w:rPr>
                <w:rFonts w:hint="eastAsia" w:ascii="宋体" w:hAnsi="宋体" w:cs="宋体"/>
                <w:szCs w:val="24"/>
              </w:rPr>
              <w:t>技术部分</w:t>
            </w:r>
          </w:p>
          <w:p>
            <w:pPr>
              <w:spacing w:line="500" w:lineRule="exact"/>
              <w:rPr>
                <w:rFonts w:ascii="宋体" w:hAnsi="宋体" w:cs="宋体"/>
                <w:szCs w:val="24"/>
              </w:rPr>
            </w:pPr>
            <w:r>
              <w:rPr>
                <w:rFonts w:hint="eastAsia" w:ascii="宋体" w:hAnsi="宋体" w:cs="宋体"/>
                <w:szCs w:val="24"/>
              </w:rPr>
              <w:t>(设计方案)</w:t>
            </w:r>
          </w:p>
          <w:p>
            <w:pPr>
              <w:spacing w:line="500" w:lineRule="exact"/>
              <w:ind w:firstLine="120" w:firstLineChars="50"/>
              <w:rPr>
                <w:rFonts w:ascii="宋体" w:hAnsi="宋体" w:cs="宋体"/>
                <w:szCs w:val="24"/>
              </w:rPr>
            </w:pPr>
            <w:r>
              <w:rPr>
                <w:rFonts w:hint="eastAsia" w:ascii="宋体" w:hAnsi="宋体" w:cs="宋体"/>
                <w:szCs w:val="24"/>
              </w:rPr>
              <w:t>（60分）</w:t>
            </w:r>
          </w:p>
          <w:p>
            <w:pPr>
              <w:spacing w:line="500" w:lineRule="exact"/>
              <w:ind w:firstLine="480"/>
              <w:rPr>
                <w:rFonts w:ascii="宋体" w:hAnsi="宋体" w:cs="宋体"/>
                <w:szCs w:val="24"/>
              </w:rPr>
            </w:pPr>
          </w:p>
        </w:tc>
        <w:tc>
          <w:tcPr>
            <w:tcW w:w="1784" w:type="dxa"/>
            <w:vAlign w:val="center"/>
          </w:tcPr>
          <w:p>
            <w:pPr>
              <w:autoSpaceDE/>
              <w:autoSpaceDN/>
              <w:spacing w:line="360" w:lineRule="auto"/>
              <w:jc w:val="center"/>
              <w:textAlignment w:val="baseline"/>
              <w:rPr>
                <w:rFonts w:ascii="宋体" w:hAnsi="宋体" w:cs="宋体"/>
                <w:szCs w:val="24"/>
              </w:rPr>
            </w:pPr>
            <w:r>
              <w:rPr>
                <w:rFonts w:hint="eastAsia" w:ascii="宋体" w:hAnsi="宋体" w:cs="宋体"/>
                <w:bCs/>
                <w:szCs w:val="24"/>
              </w:rPr>
              <w:t>服务承诺</w:t>
            </w:r>
          </w:p>
        </w:tc>
        <w:tc>
          <w:tcPr>
            <w:tcW w:w="708" w:type="dxa"/>
            <w:vAlign w:val="center"/>
          </w:tcPr>
          <w:p>
            <w:pPr>
              <w:autoSpaceDE/>
              <w:autoSpaceDN/>
              <w:spacing w:line="360" w:lineRule="auto"/>
              <w:jc w:val="center"/>
              <w:textAlignment w:val="baseline"/>
              <w:rPr>
                <w:rFonts w:ascii="宋体" w:hAnsi="宋体" w:cs="宋体"/>
                <w:szCs w:val="24"/>
              </w:rPr>
            </w:pPr>
            <w:r>
              <w:rPr>
                <w:rFonts w:hint="eastAsia" w:ascii="宋体" w:hAnsi="宋体" w:cs="宋体"/>
                <w:bCs/>
                <w:szCs w:val="24"/>
              </w:rPr>
              <w:t>5</w:t>
            </w:r>
          </w:p>
        </w:tc>
        <w:tc>
          <w:tcPr>
            <w:tcW w:w="6078" w:type="dxa"/>
            <w:vAlign w:val="center"/>
          </w:tcPr>
          <w:p>
            <w:pPr>
              <w:autoSpaceDE/>
              <w:autoSpaceDN/>
              <w:spacing w:line="360" w:lineRule="auto"/>
              <w:rPr>
                <w:rFonts w:ascii="宋体" w:hAnsi="宋体" w:cs="宋体"/>
                <w:szCs w:val="24"/>
              </w:rPr>
            </w:pPr>
            <w:r>
              <w:rPr>
                <w:rFonts w:hint="eastAsia" w:ascii="宋体" w:hAnsi="宋体" w:cs="宋体"/>
                <w:szCs w:val="24"/>
              </w:rPr>
              <w:t>为建设好本工程，供应商向采购人提供的各项服务承诺。服务内容详实具体、可操作性强的得5分，服务内容比较详实具体、具有较强可操作性的得3分，服务内容不详实、可操作性一般的得1分，不提供或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7" w:hRule="atLeast"/>
          <w:jc w:val="center"/>
        </w:trPr>
        <w:tc>
          <w:tcPr>
            <w:tcW w:w="1318" w:type="dxa"/>
            <w:vMerge w:val="continue"/>
            <w:vAlign w:val="center"/>
          </w:tcPr>
          <w:p>
            <w:pPr>
              <w:spacing w:line="500" w:lineRule="exact"/>
              <w:ind w:firstLine="480"/>
              <w:rPr>
                <w:rFonts w:ascii="宋体" w:hAnsi="宋体" w:cs="宋体"/>
                <w:szCs w:val="24"/>
              </w:rPr>
            </w:pPr>
          </w:p>
        </w:tc>
        <w:tc>
          <w:tcPr>
            <w:tcW w:w="1784" w:type="dxa"/>
            <w:vMerge w:val="restart"/>
            <w:vAlign w:val="center"/>
          </w:tcPr>
          <w:p>
            <w:pPr>
              <w:autoSpaceDE/>
              <w:autoSpaceDN/>
              <w:spacing w:line="360" w:lineRule="auto"/>
              <w:jc w:val="center"/>
              <w:textAlignment w:val="baseline"/>
              <w:rPr>
                <w:rFonts w:ascii="宋体" w:hAnsi="宋体" w:cs="宋体"/>
                <w:szCs w:val="24"/>
              </w:rPr>
            </w:pPr>
            <w:r>
              <w:rPr>
                <w:rFonts w:hint="eastAsia" w:ascii="宋体" w:hAnsi="宋体" w:cs="宋体"/>
                <w:bCs/>
                <w:szCs w:val="24"/>
              </w:rPr>
              <w:t>设计方案</w:t>
            </w:r>
          </w:p>
        </w:tc>
        <w:tc>
          <w:tcPr>
            <w:tcW w:w="708" w:type="dxa"/>
            <w:vAlign w:val="center"/>
          </w:tcPr>
          <w:p>
            <w:pPr>
              <w:autoSpaceDE/>
              <w:autoSpaceDN/>
              <w:spacing w:line="360" w:lineRule="auto"/>
              <w:jc w:val="center"/>
              <w:textAlignment w:val="baseline"/>
              <w:rPr>
                <w:rFonts w:ascii="宋体" w:hAnsi="宋体" w:cs="宋体"/>
                <w:szCs w:val="24"/>
              </w:rPr>
            </w:pPr>
            <w:r>
              <w:rPr>
                <w:rFonts w:hint="eastAsia" w:ascii="宋体" w:hAnsi="宋体" w:cs="宋体"/>
                <w:bCs/>
                <w:szCs w:val="24"/>
              </w:rPr>
              <w:t>9</w:t>
            </w:r>
          </w:p>
        </w:tc>
        <w:tc>
          <w:tcPr>
            <w:tcW w:w="6078" w:type="dxa"/>
          </w:tcPr>
          <w:p>
            <w:pPr>
              <w:autoSpaceDE/>
              <w:autoSpaceDN/>
              <w:spacing w:line="360" w:lineRule="auto"/>
              <w:textAlignment w:val="baseline"/>
              <w:rPr>
                <w:rFonts w:ascii="宋体" w:hAnsi="宋体" w:cs="宋体"/>
                <w:szCs w:val="24"/>
              </w:rPr>
            </w:pPr>
            <w:r>
              <w:rPr>
                <w:rFonts w:hint="eastAsia" w:ascii="宋体" w:hAnsi="宋体" w:cs="宋体"/>
                <w:bCs/>
                <w:szCs w:val="24"/>
              </w:rPr>
              <w:t>根据设计周期、自然条件等结合项目特点，从技术、经济、能耗及主要材料等方面衡量，在保证功能合理和环境协调的基础上，有创新、有新意。优者9分，良者5分，一般者 1 分，不提供或差的不得分。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1" w:hRule="atLeast"/>
          <w:jc w:val="center"/>
        </w:trPr>
        <w:tc>
          <w:tcPr>
            <w:tcW w:w="1318" w:type="dxa"/>
            <w:vMerge w:val="continue"/>
            <w:vAlign w:val="center"/>
          </w:tcPr>
          <w:p>
            <w:pPr>
              <w:spacing w:line="500" w:lineRule="exact"/>
              <w:ind w:firstLine="480"/>
              <w:rPr>
                <w:rFonts w:ascii="宋体" w:hAnsi="宋体" w:cs="宋体"/>
                <w:szCs w:val="24"/>
              </w:rPr>
            </w:pPr>
          </w:p>
        </w:tc>
        <w:tc>
          <w:tcPr>
            <w:tcW w:w="1784" w:type="dxa"/>
            <w:vMerge w:val="continue"/>
            <w:vAlign w:val="center"/>
          </w:tcPr>
          <w:p>
            <w:pPr>
              <w:autoSpaceDE/>
              <w:autoSpaceDN/>
              <w:spacing w:line="360" w:lineRule="auto"/>
              <w:jc w:val="center"/>
              <w:textAlignment w:val="baseline"/>
              <w:rPr>
                <w:rFonts w:ascii="宋体" w:hAnsi="宋体" w:cs="宋体"/>
                <w:szCs w:val="24"/>
              </w:rPr>
            </w:pPr>
          </w:p>
        </w:tc>
        <w:tc>
          <w:tcPr>
            <w:tcW w:w="708" w:type="dxa"/>
            <w:vAlign w:val="center"/>
          </w:tcPr>
          <w:p>
            <w:pPr>
              <w:autoSpaceDE/>
              <w:autoSpaceDN/>
              <w:spacing w:line="360" w:lineRule="auto"/>
              <w:jc w:val="center"/>
              <w:textAlignment w:val="baseline"/>
              <w:rPr>
                <w:rFonts w:ascii="宋体" w:hAnsi="宋体" w:cs="宋体"/>
                <w:szCs w:val="24"/>
              </w:rPr>
            </w:pPr>
            <w:r>
              <w:rPr>
                <w:rFonts w:hint="eastAsia" w:ascii="宋体" w:hAnsi="宋体" w:cs="宋体"/>
                <w:bCs/>
                <w:szCs w:val="24"/>
              </w:rPr>
              <w:t>8</w:t>
            </w:r>
          </w:p>
        </w:tc>
        <w:tc>
          <w:tcPr>
            <w:tcW w:w="6078" w:type="dxa"/>
          </w:tcPr>
          <w:p>
            <w:pPr>
              <w:autoSpaceDE/>
              <w:autoSpaceDN/>
              <w:spacing w:line="360" w:lineRule="auto"/>
              <w:textAlignment w:val="baseline"/>
              <w:rPr>
                <w:rFonts w:ascii="宋体" w:hAnsi="宋体" w:cs="宋体"/>
                <w:szCs w:val="24"/>
              </w:rPr>
            </w:pPr>
            <w:r>
              <w:rPr>
                <w:rFonts w:hint="eastAsia" w:ascii="宋体" w:hAnsi="宋体" w:cs="宋体"/>
                <w:bCs/>
                <w:szCs w:val="24"/>
              </w:rPr>
              <w:t>设计方案具有先进性、可行性、合理性，经济效益分析切合实际，内容全面，积极采用新技术、新材料、新设备及节能产品等。优者 8分，良者 5分，一般者 1 分，不提供或差的不得分。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jc w:val="center"/>
        </w:trPr>
        <w:tc>
          <w:tcPr>
            <w:tcW w:w="1318" w:type="dxa"/>
            <w:vMerge w:val="continue"/>
            <w:vAlign w:val="center"/>
          </w:tcPr>
          <w:p>
            <w:pPr>
              <w:spacing w:line="500" w:lineRule="exact"/>
              <w:ind w:firstLine="480"/>
              <w:rPr>
                <w:rFonts w:ascii="宋体" w:hAnsi="宋体" w:cs="宋体"/>
                <w:szCs w:val="24"/>
              </w:rPr>
            </w:pPr>
          </w:p>
        </w:tc>
        <w:tc>
          <w:tcPr>
            <w:tcW w:w="1784" w:type="dxa"/>
            <w:vMerge w:val="continue"/>
            <w:vAlign w:val="center"/>
          </w:tcPr>
          <w:p>
            <w:pPr>
              <w:autoSpaceDE/>
              <w:autoSpaceDN/>
              <w:spacing w:line="360" w:lineRule="auto"/>
              <w:jc w:val="center"/>
              <w:textAlignment w:val="baseline"/>
              <w:rPr>
                <w:rFonts w:ascii="宋体" w:hAnsi="宋体" w:cs="宋体"/>
                <w:szCs w:val="24"/>
              </w:rPr>
            </w:pPr>
          </w:p>
        </w:tc>
        <w:tc>
          <w:tcPr>
            <w:tcW w:w="708" w:type="dxa"/>
            <w:vAlign w:val="center"/>
          </w:tcPr>
          <w:p>
            <w:pPr>
              <w:autoSpaceDE/>
              <w:autoSpaceDN/>
              <w:spacing w:line="360" w:lineRule="auto"/>
              <w:jc w:val="center"/>
              <w:textAlignment w:val="baseline"/>
              <w:rPr>
                <w:rFonts w:ascii="宋体" w:hAnsi="宋体" w:cs="宋体"/>
                <w:szCs w:val="24"/>
              </w:rPr>
            </w:pPr>
            <w:r>
              <w:rPr>
                <w:rFonts w:hint="eastAsia" w:ascii="宋体" w:hAnsi="宋体" w:cs="宋体"/>
                <w:bCs/>
                <w:szCs w:val="24"/>
              </w:rPr>
              <w:t>8</w:t>
            </w:r>
          </w:p>
        </w:tc>
        <w:tc>
          <w:tcPr>
            <w:tcW w:w="6078" w:type="dxa"/>
          </w:tcPr>
          <w:p>
            <w:pPr>
              <w:autoSpaceDE/>
              <w:autoSpaceDN/>
              <w:spacing w:line="360" w:lineRule="auto"/>
              <w:textAlignment w:val="baseline"/>
              <w:rPr>
                <w:rFonts w:ascii="宋体" w:hAnsi="宋体" w:cs="宋体"/>
                <w:szCs w:val="24"/>
              </w:rPr>
            </w:pPr>
            <w:r>
              <w:rPr>
                <w:rFonts w:hint="eastAsia" w:ascii="宋体" w:hAnsi="宋体" w:cs="宋体"/>
                <w:szCs w:val="24"/>
              </w:rPr>
              <w:t>设计布局合理、使用功能完善，设计方案优于磋商文件要求得8分，满足磋商文件要求得5分，一般得 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7" w:hRule="atLeast"/>
          <w:jc w:val="center"/>
        </w:trPr>
        <w:tc>
          <w:tcPr>
            <w:tcW w:w="1318" w:type="dxa"/>
            <w:vMerge w:val="continue"/>
            <w:vAlign w:val="center"/>
          </w:tcPr>
          <w:p>
            <w:pPr>
              <w:spacing w:line="500" w:lineRule="exact"/>
              <w:ind w:firstLine="480"/>
              <w:rPr>
                <w:rFonts w:ascii="宋体" w:hAnsi="宋体" w:cs="宋体"/>
                <w:szCs w:val="24"/>
              </w:rPr>
            </w:pPr>
          </w:p>
        </w:tc>
        <w:tc>
          <w:tcPr>
            <w:tcW w:w="1784" w:type="dxa"/>
            <w:vAlign w:val="center"/>
          </w:tcPr>
          <w:p>
            <w:pPr>
              <w:autoSpaceDE/>
              <w:autoSpaceDN/>
              <w:spacing w:line="360" w:lineRule="auto"/>
              <w:jc w:val="center"/>
              <w:textAlignment w:val="baseline"/>
              <w:rPr>
                <w:rFonts w:ascii="宋体" w:hAnsi="宋体" w:cs="宋体"/>
                <w:bCs/>
                <w:kern w:val="2"/>
                <w:szCs w:val="24"/>
              </w:rPr>
            </w:pPr>
            <w:r>
              <w:rPr>
                <w:rFonts w:hint="eastAsia" w:ascii="宋体" w:hAnsi="宋体" w:cs="宋体"/>
                <w:bCs/>
                <w:szCs w:val="24"/>
              </w:rPr>
              <w:t>对本项目的理解及重点难点分析</w:t>
            </w:r>
          </w:p>
        </w:tc>
        <w:tc>
          <w:tcPr>
            <w:tcW w:w="708" w:type="dxa"/>
            <w:vAlign w:val="center"/>
          </w:tcPr>
          <w:p>
            <w:pPr>
              <w:autoSpaceDE/>
              <w:autoSpaceDN/>
              <w:spacing w:line="360" w:lineRule="auto"/>
              <w:jc w:val="center"/>
              <w:textAlignment w:val="baseline"/>
              <w:rPr>
                <w:rFonts w:ascii="宋体" w:hAnsi="宋体" w:cs="宋体"/>
                <w:bCs/>
                <w:kern w:val="2"/>
                <w:szCs w:val="24"/>
              </w:rPr>
            </w:pPr>
            <w:r>
              <w:rPr>
                <w:rFonts w:hint="eastAsia" w:ascii="宋体" w:hAnsi="宋体" w:cs="宋体"/>
                <w:bCs/>
                <w:szCs w:val="24"/>
              </w:rPr>
              <w:t>10</w:t>
            </w:r>
          </w:p>
        </w:tc>
        <w:tc>
          <w:tcPr>
            <w:tcW w:w="6078" w:type="dxa"/>
          </w:tcPr>
          <w:p>
            <w:pPr>
              <w:autoSpaceDE/>
              <w:autoSpaceDN/>
              <w:spacing w:line="360" w:lineRule="auto"/>
              <w:textAlignment w:val="baseline"/>
              <w:rPr>
                <w:rFonts w:ascii="宋体" w:hAnsi="宋体" w:cs="宋体"/>
                <w:szCs w:val="24"/>
              </w:rPr>
            </w:pPr>
            <w:r>
              <w:rPr>
                <w:rFonts w:hint="eastAsia" w:ascii="宋体" w:hAnsi="宋体" w:cs="宋体"/>
                <w:bCs/>
                <w:szCs w:val="24"/>
              </w:rPr>
              <w:t>投标人对本项目的理解程度、对项目做出的重点难点分析及下阶段工作应注意的事项。理解是否清晰，重点难点把握是否准确，分析是否透彻、合理。优秀的得10 分，良好的得6分，一般的得 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1318" w:type="dxa"/>
            <w:vMerge w:val="continue"/>
            <w:vAlign w:val="center"/>
          </w:tcPr>
          <w:p>
            <w:pPr>
              <w:spacing w:line="500" w:lineRule="exact"/>
              <w:ind w:firstLine="480"/>
              <w:rPr>
                <w:rFonts w:ascii="宋体" w:hAnsi="宋体" w:cs="宋体"/>
                <w:szCs w:val="24"/>
              </w:rPr>
            </w:pPr>
          </w:p>
        </w:tc>
        <w:tc>
          <w:tcPr>
            <w:tcW w:w="1784" w:type="dxa"/>
            <w:vAlign w:val="center"/>
          </w:tcPr>
          <w:p>
            <w:pPr>
              <w:autoSpaceDE/>
              <w:autoSpaceDN/>
              <w:spacing w:line="360" w:lineRule="auto"/>
              <w:jc w:val="center"/>
              <w:rPr>
                <w:rFonts w:ascii="宋体" w:hAnsi="宋体" w:cs="宋体"/>
                <w:kern w:val="2"/>
                <w:szCs w:val="24"/>
              </w:rPr>
            </w:pPr>
            <w:r>
              <w:rPr>
                <w:rFonts w:hint="eastAsia" w:ascii="宋体" w:hAnsi="宋体" w:cs="宋体"/>
                <w:szCs w:val="24"/>
              </w:rPr>
              <w:t>设计进度</w:t>
            </w:r>
          </w:p>
        </w:tc>
        <w:tc>
          <w:tcPr>
            <w:tcW w:w="708" w:type="dxa"/>
            <w:vAlign w:val="center"/>
          </w:tcPr>
          <w:p>
            <w:pPr>
              <w:autoSpaceDE/>
              <w:autoSpaceDN/>
              <w:spacing w:line="360" w:lineRule="auto"/>
              <w:jc w:val="center"/>
              <w:rPr>
                <w:rFonts w:ascii="宋体" w:hAnsi="宋体" w:cs="宋体"/>
                <w:kern w:val="2"/>
                <w:szCs w:val="24"/>
              </w:rPr>
            </w:pPr>
            <w:r>
              <w:rPr>
                <w:rFonts w:hint="eastAsia" w:ascii="宋体" w:hAnsi="宋体" w:cs="宋体"/>
                <w:spacing w:val="-4"/>
                <w:szCs w:val="24"/>
              </w:rPr>
              <w:t>5</w:t>
            </w:r>
          </w:p>
        </w:tc>
        <w:tc>
          <w:tcPr>
            <w:tcW w:w="6078" w:type="dxa"/>
            <w:vAlign w:val="center"/>
          </w:tcPr>
          <w:p>
            <w:pPr>
              <w:autoSpaceDE/>
              <w:autoSpaceDN/>
              <w:spacing w:line="360" w:lineRule="auto"/>
              <w:rPr>
                <w:rFonts w:ascii="宋体" w:hAnsi="宋体" w:cs="宋体"/>
                <w:szCs w:val="24"/>
              </w:rPr>
            </w:pPr>
            <w:r>
              <w:rPr>
                <w:rFonts w:hint="eastAsia" w:ascii="宋体" w:hAnsi="宋体" w:cs="宋体"/>
                <w:szCs w:val="24"/>
              </w:rPr>
              <w:t>设计进度安排好的得5分，较好的得3分，一般的得1分，未提供不得分，不提供或差的不得分。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jc w:val="center"/>
        </w:trPr>
        <w:tc>
          <w:tcPr>
            <w:tcW w:w="1318" w:type="dxa"/>
            <w:vMerge w:val="continue"/>
            <w:vAlign w:val="center"/>
          </w:tcPr>
          <w:p>
            <w:pPr>
              <w:spacing w:line="500" w:lineRule="exact"/>
              <w:rPr>
                <w:rFonts w:ascii="宋体" w:hAnsi="宋体" w:cs="宋体"/>
                <w:szCs w:val="24"/>
              </w:rPr>
            </w:pPr>
          </w:p>
        </w:tc>
        <w:tc>
          <w:tcPr>
            <w:tcW w:w="1784" w:type="dxa"/>
            <w:vAlign w:val="center"/>
          </w:tcPr>
          <w:p>
            <w:pPr>
              <w:autoSpaceDE/>
              <w:autoSpaceDN/>
              <w:spacing w:line="360" w:lineRule="auto"/>
              <w:jc w:val="center"/>
              <w:rPr>
                <w:rFonts w:ascii="宋体" w:hAnsi="宋体" w:cs="宋体"/>
                <w:kern w:val="2"/>
                <w:szCs w:val="24"/>
              </w:rPr>
            </w:pPr>
            <w:r>
              <w:rPr>
                <w:rFonts w:hint="eastAsia" w:ascii="宋体" w:hAnsi="宋体" w:cs="宋体"/>
                <w:szCs w:val="24"/>
              </w:rPr>
              <w:t>合理化建议</w:t>
            </w:r>
          </w:p>
        </w:tc>
        <w:tc>
          <w:tcPr>
            <w:tcW w:w="708" w:type="dxa"/>
            <w:vAlign w:val="center"/>
          </w:tcPr>
          <w:p>
            <w:pPr>
              <w:autoSpaceDE/>
              <w:autoSpaceDN/>
              <w:spacing w:line="360" w:lineRule="auto"/>
              <w:jc w:val="center"/>
              <w:rPr>
                <w:rFonts w:ascii="宋体" w:hAnsi="宋体" w:cs="宋体"/>
                <w:spacing w:val="-4"/>
                <w:kern w:val="2"/>
                <w:szCs w:val="24"/>
              </w:rPr>
            </w:pPr>
            <w:r>
              <w:rPr>
                <w:rFonts w:hint="eastAsia" w:ascii="宋体" w:hAnsi="宋体" w:cs="宋体"/>
                <w:spacing w:val="-4"/>
                <w:szCs w:val="24"/>
              </w:rPr>
              <w:t>5</w:t>
            </w:r>
          </w:p>
        </w:tc>
        <w:tc>
          <w:tcPr>
            <w:tcW w:w="6078" w:type="dxa"/>
            <w:vAlign w:val="center"/>
          </w:tcPr>
          <w:p>
            <w:pPr>
              <w:autoSpaceDE/>
              <w:autoSpaceDN/>
              <w:spacing w:line="360" w:lineRule="auto"/>
              <w:rPr>
                <w:rFonts w:ascii="宋体" w:hAnsi="宋体" w:cs="宋体"/>
                <w:szCs w:val="24"/>
              </w:rPr>
            </w:pPr>
            <w:r>
              <w:rPr>
                <w:rFonts w:hint="eastAsia" w:ascii="宋体" w:hAnsi="宋体" w:cs="宋体"/>
                <w:szCs w:val="24"/>
              </w:rPr>
              <w:t>科学合理、针对性强，施工及附属工程阶段配合措施到位。优秀的得5分，良好的得3分，一般的得1分。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jc w:val="center"/>
        </w:trPr>
        <w:tc>
          <w:tcPr>
            <w:tcW w:w="1318" w:type="dxa"/>
            <w:vMerge w:val="continue"/>
            <w:vAlign w:val="center"/>
          </w:tcPr>
          <w:p>
            <w:pPr>
              <w:spacing w:line="500" w:lineRule="exact"/>
              <w:rPr>
                <w:rFonts w:ascii="宋体" w:hAnsi="宋体" w:cs="宋体"/>
                <w:szCs w:val="24"/>
              </w:rPr>
            </w:pPr>
          </w:p>
        </w:tc>
        <w:tc>
          <w:tcPr>
            <w:tcW w:w="1784" w:type="dxa"/>
            <w:vAlign w:val="center"/>
          </w:tcPr>
          <w:p>
            <w:pPr>
              <w:autoSpaceDE/>
              <w:autoSpaceDN/>
              <w:spacing w:line="360" w:lineRule="auto"/>
              <w:jc w:val="center"/>
              <w:rPr>
                <w:rFonts w:ascii="宋体" w:hAnsi="宋体" w:cs="宋体"/>
                <w:kern w:val="2"/>
                <w:szCs w:val="24"/>
              </w:rPr>
            </w:pPr>
            <w:r>
              <w:rPr>
                <w:rFonts w:hint="eastAsia" w:ascii="宋体" w:hAnsi="宋体" w:cs="宋体"/>
                <w:szCs w:val="24"/>
              </w:rPr>
              <w:t>设计安全保证措施</w:t>
            </w:r>
          </w:p>
        </w:tc>
        <w:tc>
          <w:tcPr>
            <w:tcW w:w="708" w:type="dxa"/>
            <w:vAlign w:val="center"/>
          </w:tcPr>
          <w:p>
            <w:pPr>
              <w:autoSpaceDE/>
              <w:autoSpaceDN/>
              <w:spacing w:line="360" w:lineRule="auto"/>
              <w:jc w:val="center"/>
              <w:rPr>
                <w:rFonts w:ascii="宋体" w:hAnsi="宋体" w:cs="宋体"/>
                <w:spacing w:val="-4"/>
                <w:kern w:val="2"/>
                <w:szCs w:val="24"/>
              </w:rPr>
            </w:pPr>
            <w:r>
              <w:rPr>
                <w:rFonts w:hint="eastAsia" w:ascii="宋体" w:hAnsi="宋体" w:cs="宋体"/>
                <w:spacing w:val="-4"/>
                <w:szCs w:val="24"/>
              </w:rPr>
              <w:t>5</w:t>
            </w:r>
          </w:p>
        </w:tc>
        <w:tc>
          <w:tcPr>
            <w:tcW w:w="6078" w:type="dxa"/>
            <w:vAlign w:val="center"/>
          </w:tcPr>
          <w:p>
            <w:pPr>
              <w:autoSpaceDE/>
              <w:autoSpaceDN/>
              <w:spacing w:line="360" w:lineRule="auto"/>
              <w:rPr>
                <w:rFonts w:ascii="宋体" w:hAnsi="宋体" w:cs="宋体"/>
                <w:szCs w:val="24"/>
              </w:rPr>
            </w:pPr>
            <w:r>
              <w:rPr>
                <w:rFonts w:hint="eastAsia" w:ascii="宋体" w:hAnsi="宋体" w:cs="宋体"/>
                <w:szCs w:val="24"/>
              </w:rPr>
              <w:t>体系完整、制度健全、措施有力。优秀的得5分，良好的得3分，一般的得1分。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1318" w:type="dxa"/>
            <w:vMerge w:val="continue"/>
            <w:vAlign w:val="center"/>
          </w:tcPr>
          <w:p>
            <w:pPr>
              <w:spacing w:line="500" w:lineRule="exact"/>
              <w:ind w:firstLine="120" w:firstLineChars="50"/>
              <w:rPr>
                <w:rFonts w:ascii="宋体" w:hAnsi="宋体" w:cs="宋体"/>
                <w:szCs w:val="24"/>
              </w:rPr>
            </w:pPr>
          </w:p>
        </w:tc>
        <w:tc>
          <w:tcPr>
            <w:tcW w:w="1784" w:type="dxa"/>
            <w:vAlign w:val="center"/>
          </w:tcPr>
          <w:p>
            <w:pPr>
              <w:autoSpaceDE/>
              <w:autoSpaceDN/>
              <w:spacing w:line="360" w:lineRule="auto"/>
              <w:jc w:val="center"/>
              <w:rPr>
                <w:rFonts w:ascii="宋体" w:hAnsi="宋体" w:cs="宋体"/>
                <w:kern w:val="2"/>
                <w:szCs w:val="24"/>
              </w:rPr>
            </w:pPr>
            <w:r>
              <w:rPr>
                <w:rFonts w:hint="eastAsia" w:ascii="宋体" w:hAnsi="宋体" w:cs="宋体"/>
                <w:szCs w:val="24"/>
              </w:rPr>
              <w:t>设计人员配备</w:t>
            </w:r>
          </w:p>
        </w:tc>
        <w:tc>
          <w:tcPr>
            <w:tcW w:w="708" w:type="dxa"/>
            <w:vAlign w:val="center"/>
          </w:tcPr>
          <w:p>
            <w:pPr>
              <w:autoSpaceDE/>
              <w:autoSpaceDN/>
              <w:spacing w:line="360" w:lineRule="auto"/>
              <w:jc w:val="center"/>
              <w:rPr>
                <w:rFonts w:ascii="宋体" w:hAnsi="宋体" w:cs="宋体"/>
                <w:spacing w:val="-4"/>
                <w:kern w:val="2"/>
                <w:szCs w:val="24"/>
              </w:rPr>
            </w:pPr>
            <w:r>
              <w:rPr>
                <w:rFonts w:hint="eastAsia" w:ascii="宋体" w:hAnsi="宋体" w:cs="宋体"/>
                <w:spacing w:val="-4"/>
                <w:szCs w:val="24"/>
              </w:rPr>
              <w:t>5</w:t>
            </w:r>
          </w:p>
        </w:tc>
        <w:tc>
          <w:tcPr>
            <w:tcW w:w="6078" w:type="dxa"/>
            <w:vAlign w:val="center"/>
          </w:tcPr>
          <w:p>
            <w:pPr>
              <w:autoSpaceDE/>
              <w:autoSpaceDN/>
              <w:spacing w:line="360" w:lineRule="auto"/>
              <w:rPr>
                <w:rFonts w:ascii="宋体" w:hAnsi="宋体" w:cs="宋体"/>
                <w:szCs w:val="24"/>
              </w:rPr>
            </w:pPr>
            <w:r>
              <w:rPr>
                <w:rFonts w:hint="eastAsia" w:ascii="宋体" w:hAnsi="宋体" w:cs="宋体"/>
                <w:szCs w:val="24"/>
              </w:rPr>
              <w:t>针对本项目的实际情况，结合建设工程的项目特点，专业设计工程师配置齐全，其中主要专业人员至少有一位相关专业国家注册工程师资格或国家规定的相应资格的人员，较好者得5分，一般者得3分，差或不提供的不得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18" w:type="dxa"/>
            <w:vMerge w:val="restart"/>
            <w:vAlign w:val="center"/>
          </w:tcPr>
          <w:p>
            <w:pPr>
              <w:spacing w:line="500" w:lineRule="exact"/>
              <w:ind w:firstLine="120" w:firstLineChars="50"/>
              <w:rPr>
                <w:rFonts w:ascii="宋体" w:hAnsi="宋体" w:cs="宋体"/>
                <w:szCs w:val="24"/>
              </w:rPr>
            </w:pPr>
            <w:r>
              <w:rPr>
                <w:rFonts w:hint="eastAsia" w:ascii="宋体" w:hAnsi="宋体" w:cs="宋体"/>
                <w:szCs w:val="24"/>
              </w:rPr>
              <w:t>商务部分</w:t>
            </w:r>
          </w:p>
          <w:p>
            <w:pPr>
              <w:spacing w:line="500" w:lineRule="exact"/>
              <w:rPr>
                <w:rFonts w:ascii="宋体" w:hAnsi="宋体" w:cs="宋体"/>
                <w:szCs w:val="24"/>
              </w:rPr>
            </w:pPr>
            <w:r>
              <w:rPr>
                <w:rFonts w:hint="eastAsia" w:ascii="宋体" w:hAnsi="宋体" w:cs="宋体"/>
                <w:szCs w:val="24"/>
              </w:rPr>
              <w:t>(</w:t>
            </w:r>
            <w:r>
              <w:rPr>
                <w:rFonts w:ascii="宋体" w:hAnsi="宋体" w:cs="宋体"/>
                <w:szCs w:val="24"/>
              </w:rPr>
              <w:t>资信</w:t>
            </w:r>
            <w:r>
              <w:rPr>
                <w:rFonts w:hint="eastAsia" w:ascii="宋体" w:hAnsi="宋体" w:cs="宋体"/>
                <w:szCs w:val="24"/>
              </w:rPr>
              <w:t>业</w:t>
            </w:r>
            <w:r>
              <w:rPr>
                <w:rFonts w:ascii="宋体" w:hAnsi="宋体" w:cs="宋体"/>
                <w:szCs w:val="24"/>
              </w:rPr>
              <w:t>绩</w:t>
            </w:r>
            <w:r>
              <w:rPr>
                <w:rFonts w:hint="eastAsia" w:ascii="宋体" w:hAnsi="宋体" w:cs="宋体"/>
                <w:szCs w:val="24"/>
              </w:rPr>
              <w:t>)</w:t>
            </w:r>
          </w:p>
          <w:p>
            <w:pPr>
              <w:spacing w:line="500" w:lineRule="exact"/>
              <w:ind w:firstLine="120" w:firstLineChars="50"/>
              <w:rPr>
                <w:rFonts w:ascii="宋体" w:hAnsi="宋体" w:cs="宋体"/>
                <w:kern w:val="2"/>
                <w:szCs w:val="24"/>
              </w:rPr>
            </w:pPr>
            <w:r>
              <w:rPr>
                <w:rFonts w:hint="eastAsia" w:ascii="宋体" w:hAnsi="宋体" w:cs="宋体"/>
                <w:szCs w:val="24"/>
              </w:rPr>
              <w:t>（20分）</w:t>
            </w:r>
          </w:p>
        </w:tc>
        <w:tc>
          <w:tcPr>
            <w:tcW w:w="1784" w:type="dxa"/>
            <w:vAlign w:val="center"/>
          </w:tcPr>
          <w:p>
            <w:pPr>
              <w:pStyle w:val="8"/>
              <w:spacing w:line="500" w:lineRule="exact"/>
              <w:rPr>
                <w:rFonts w:hAnsi="宋体" w:eastAsia="宋体" w:cs="宋体"/>
                <w:kern w:val="0"/>
                <w:szCs w:val="24"/>
              </w:rPr>
            </w:pPr>
            <w:r>
              <w:rPr>
                <w:rFonts w:hint="eastAsia" w:hAnsi="宋体" w:eastAsia="宋体" w:cs="宋体"/>
                <w:kern w:val="0"/>
                <w:szCs w:val="24"/>
              </w:rPr>
              <w:t>企业业绩</w:t>
            </w:r>
          </w:p>
        </w:tc>
        <w:tc>
          <w:tcPr>
            <w:tcW w:w="708" w:type="dxa"/>
            <w:vAlign w:val="center"/>
          </w:tcPr>
          <w:p>
            <w:pPr>
              <w:spacing w:line="500" w:lineRule="exact"/>
              <w:jc w:val="center"/>
              <w:rPr>
                <w:rFonts w:ascii="宋体" w:hAnsi="宋体" w:cs="宋体"/>
                <w:kern w:val="2"/>
                <w:szCs w:val="24"/>
              </w:rPr>
            </w:pPr>
            <w:r>
              <w:rPr>
                <w:rFonts w:hint="eastAsia" w:ascii="宋体" w:hAnsi="宋体" w:cs="宋体"/>
                <w:szCs w:val="24"/>
              </w:rPr>
              <w:t>12</w:t>
            </w:r>
          </w:p>
        </w:tc>
        <w:tc>
          <w:tcPr>
            <w:tcW w:w="6078" w:type="dxa"/>
            <w:vAlign w:val="center"/>
          </w:tcPr>
          <w:p>
            <w:pPr>
              <w:spacing w:line="500" w:lineRule="exact"/>
              <w:rPr>
                <w:rFonts w:ascii="宋体" w:hAnsi="宋体" w:cs="宋体"/>
                <w:kern w:val="2"/>
                <w:szCs w:val="24"/>
                <w:lang w:val="zh-CN"/>
              </w:rPr>
            </w:pPr>
            <w:r>
              <w:rPr>
                <w:rFonts w:hint="eastAsia" w:ascii="宋体" w:hAnsi="宋体" w:cs="宋体"/>
                <w:szCs w:val="24"/>
              </w:rPr>
              <w:t>2017-投标截止日前完成的类似项目</w:t>
            </w:r>
            <w:r>
              <w:rPr>
                <w:rFonts w:ascii="宋体" w:hAnsi="宋体" w:cs="宋体"/>
                <w:szCs w:val="24"/>
              </w:rPr>
              <w:t>设计业绩</w:t>
            </w:r>
            <w:r>
              <w:rPr>
                <w:rFonts w:hint="eastAsia" w:ascii="宋体" w:hAnsi="宋体" w:cs="宋体"/>
                <w:szCs w:val="24"/>
              </w:rPr>
              <w:t>（类似业绩指施工图设计；以中标通知书或合同协议书为准），每项3分，满分12分。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18" w:type="dxa"/>
            <w:vMerge w:val="continue"/>
            <w:vAlign w:val="center"/>
          </w:tcPr>
          <w:p>
            <w:pPr>
              <w:spacing w:line="500" w:lineRule="exact"/>
              <w:rPr>
                <w:rFonts w:ascii="宋体" w:hAnsi="宋体" w:cs="宋体"/>
                <w:szCs w:val="24"/>
              </w:rPr>
            </w:pPr>
          </w:p>
        </w:tc>
        <w:tc>
          <w:tcPr>
            <w:tcW w:w="1784" w:type="dxa"/>
            <w:vAlign w:val="center"/>
          </w:tcPr>
          <w:p>
            <w:pPr>
              <w:pStyle w:val="8"/>
              <w:spacing w:line="500" w:lineRule="exact"/>
              <w:rPr>
                <w:rFonts w:hAnsi="宋体" w:eastAsia="宋体" w:cs="宋体"/>
                <w:kern w:val="0"/>
                <w:szCs w:val="24"/>
              </w:rPr>
            </w:pPr>
            <w:r>
              <w:rPr>
                <w:rFonts w:hint="eastAsia" w:hAnsi="宋体" w:eastAsia="宋体" w:cs="宋体"/>
                <w:kern w:val="0"/>
                <w:szCs w:val="24"/>
              </w:rPr>
              <w:t>服务保障承诺</w:t>
            </w:r>
          </w:p>
        </w:tc>
        <w:tc>
          <w:tcPr>
            <w:tcW w:w="708" w:type="dxa"/>
            <w:vAlign w:val="center"/>
          </w:tcPr>
          <w:p>
            <w:pPr>
              <w:spacing w:line="500" w:lineRule="exact"/>
              <w:jc w:val="center"/>
              <w:rPr>
                <w:rFonts w:ascii="宋体" w:hAnsi="宋体" w:cs="宋体"/>
                <w:kern w:val="2"/>
                <w:szCs w:val="24"/>
              </w:rPr>
            </w:pPr>
            <w:r>
              <w:rPr>
                <w:rFonts w:hint="eastAsia" w:ascii="宋体" w:hAnsi="宋体" w:cs="宋体"/>
                <w:szCs w:val="24"/>
              </w:rPr>
              <w:t>8</w:t>
            </w:r>
          </w:p>
        </w:tc>
        <w:tc>
          <w:tcPr>
            <w:tcW w:w="6078" w:type="dxa"/>
            <w:vAlign w:val="center"/>
          </w:tcPr>
          <w:p>
            <w:pPr>
              <w:spacing w:line="500" w:lineRule="exact"/>
              <w:rPr>
                <w:rFonts w:ascii="宋体" w:hAnsi="宋体" w:cs="宋体"/>
                <w:kern w:val="2"/>
                <w:szCs w:val="24"/>
                <w:lang w:val="zh-CN"/>
              </w:rPr>
            </w:pPr>
            <w:r>
              <w:rPr>
                <w:rFonts w:hint="eastAsia" w:ascii="宋体" w:hAnsi="宋体" w:cs="宋体"/>
                <w:szCs w:val="24"/>
                <w:lang w:val="zh-CN" w:bidi="zh-CN"/>
              </w:rPr>
              <w:t xml:space="preserve">为编制好该项目报告和方案，编制单位提供的各项服务承诺。服务内容详实具体、可操作性强的得 </w:t>
            </w:r>
            <w:r>
              <w:rPr>
                <w:rFonts w:hint="eastAsia" w:ascii="宋体" w:hAnsi="宋体" w:cs="宋体"/>
                <w:szCs w:val="24"/>
                <w:lang w:bidi="zh-CN"/>
              </w:rPr>
              <w:t>8</w:t>
            </w:r>
            <w:r>
              <w:rPr>
                <w:rFonts w:hint="eastAsia" w:ascii="宋体" w:hAnsi="宋体" w:cs="宋体"/>
                <w:szCs w:val="24"/>
                <w:lang w:val="zh-CN" w:bidi="zh-CN"/>
              </w:rPr>
              <w:t xml:space="preserve"> 分，服务内容比较详实具体、具有较强可操作性的得</w:t>
            </w:r>
            <w:r>
              <w:rPr>
                <w:rFonts w:hint="eastAsia" w:ascii="宋体" w:hAnsi="宋体" w:cs="宋体"/>
                <w:szCs w:val="24"/>
                <w:lang w:bidi="zh-CN"/>
              </w:rPr>
              <w:t>5</w:t>
            </w:r>
            <w:r>
              <w:rPr>
                <w:rFonts w:hint="eastAsia" w:ascii="宋体" w:hAnsi="宋体" w:cs="宋体"/>
                <w:szCs w:val="24"/>
                <w:lang w:val="zh-CN" w:bidi="zh-CN"/>
              </w:rPr>
              <w:t xml:space="preserve">分，服务内容不详实、可操作性一般的得 </w:t>
            </w:r>
            <w:r>
              <w:rPr>
                <w:rFonts w:hint="eastAsia" w:ascii="宋体" w:hAnsi="宋体" w:cs="宋体"/>
                <w:szCs w:val="24"/>
                <w:lang w:bidi="zh-CN"/>
              </w:rPr>
              <w:t>1</w:t>
            </w:r>
            <w:r>
              <w:rPr>
                <w:rFonts w:hint="eastAsia" w:ascii="宋体" w:hAnsi="宋体" w:cs="宋体"/>
                <w:szCs w:val="24"/>
                <w:lang w:val="zh-CN" w:bidi="zh-CN"/>
              </w:rPr>
              <w:t>分，不提供或差的不得分。</w:t>
            </w:r>
          </w:p>
        </w:tc>
      </w:tr>
    </w:tbl>
    <w:p>
      <w:pPr>
        <w:pStyle w:val="10"/>
        <w:spacing w:line="360" w:lineRule="auto"/>
        <w:rPr>
          <w:rFonts w:hAnsi="宋体"/>
          <w:sz w:val="24"/>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before="38"/>
        <w:ind w:right="117"/>
        <w:jc w:val="both"/>
        <w:rPr>
          <w:rFonts w:ascii="宋体" w:hAnsi="宋体"/>
          <w:sz w:val="21"/>
        </w:rPr>
        <w:sectPr>
          <w:headerReference r:id="rId4" w:type="default"/>
          <w:pgSz w:w="11910" w:h="16840"/>
          <w:pgMar w:top="1460" w:right="220" w:bottom="1140" w:left="280" w:header="0" w:footer="880" w:gutter="0"/>
          <w:cols w:space="720" w:num="1"/>
        </w:sectPr>
      </w:pPr>
    </w:p>
    <w:p>
      <w:pPr>
        <w:kinsoku w:val="0"/>
        <w:overflowPunct w:val="0"/>
        <w:spacing w:before="14" w:line="200" w:lineRule="exact"/>
        <w:rPr>
          <w:sz w:val="20"/>
        </w:rPr>
      </w:pPr>
    </w:p>
    <w:p>
      <w:pPr>
        <w:pStyle w:val="3"/>
        <w:kinsoku w:val="0"/>
        <w:overflowPunct w:val="0"/>
        <w:spacing w:line="501" w:lineRule="exact"/>
        <w:jc w:val="center"/>
        <w:rPr>
          <w:rFonts w:hint="default"/>
          <w:b w:val="0"/>
        </w:rPr>
      </w:pPr>
      <w:bookmarkStart w:id="25" w:name="bookmark25"/>
      <w:bookmarkEnd w:id="25"/>
      <w:r>
        <w:t>六、供应商确定</w:t>
      </w:r>
    </w:p>
    <w:p>
      <w:pPr>
        <w:pStyle w:val="4"/>
        <w:kinsoku w:val="0"/>
        <w:overflowPunct w:val="0"/>
        <w:ind w:left="0" w:firstLine="644" w:firstLineChars="200"/>
        <w:rPr>
          <w:rFonts w:hint="default" w:ascii="Blackoak Std" w:hAnsi="Blackoak Std" w:eastAsia="Blackoak Std"/>
          <w:b w:val="0"/>
        </w:rPr>
      </w:pPr>
      <w:bookmarkStart w:id="26" w:name="bookmark26"/>
      <w:bookmarkEnd w:id="26"/>
      <w:r>
        <w:rPr>
          <w:rFonts w:hint="default" w:ascii="Arial" w:hAnsi="Arial"/>
          <w:spacing w:val="1"/>
        </w:rPr>
        <w:t>19</w:t>
      </w:r>
      <w:r>
        <w:rPr>
          <w:rFonts w:hint="default" w:ascii="Arial" w:hAnsi="Arial"/>
        </w:rPr>
        <w:t>.</w:t>
      </w:r>
      <w:r>
        <w:rPr>
          <w:spacing w:val="1"/>
        </w:rPr>
        <w:t>推荐并确定成交供应商</w:t>
      </w:r>
    </w:p>
    <w:p>
      <w:pPr>
        <w:pStyle w:val="9"/>
        <w:kinsoku w:val="0"/>
        <w:overflowPunct w:val="0"/>
        <w:spacing w:before="0"/>
        <w:ind w:left="0" w:firstLine="480" w:firstLineChars="200"/>
        <w:jc w:val="both"/>
        <w:rPr>
          <w:rFonts w:hint="default"/>
        </w:rPr>
      </w:pPr>
      <w:r>
        <w:t>19.1评审委员会根据评审总得分由高到低排序推荐预成交候选人</w:t>
      </w:r>
      <w:r>
        <w:rPr>
          <w:spacing w:val="-94"/>
        </w:rPr>
        <w:t>，</w:t>
      </w:r>
      <w:r>
        <w:t xml:space="preserve">并由采购 人按顺序确定成交供应商。 </w:t>
      </w:r>
    </w:p>
    <w:p>
      <w:pPr>
        <w:pStyle w:val="9"/>
        <w:kinsoku w:val="0"/>
        <w:overflowPunct w:val="0"/>
        <w:spacing w:before="0"/>
        <w:ind w:left="0" w:firstLine="480" w:firstLineChars="200"/>
        <w:jc w:val="both"/>
        <w:rPr>
          <w:rFonts w:hint="default"/>
          <w:sz w:val="32"/>
        </w:rPr>
      </w:pPr>
      <w:r>
        <w:t>19.2成交供应商因不可抗力或自身原因不能履行合同时</w:t>
      </w:r>
      <w:r>
        <w:rPr>
          <w:spacing w:val="-94"/>
        </w:rPr>
        <w:t>，</w:t>
      </w:r>
      <w:r>
        <w:t>采购人可以按照评 审报告推荐的预成交候选人名单排序</w:t>
      </w:r>
      <w:r>
        <w:rPr>
          <w:spacing w:val="-47"/>
        </w:rPr>
        <w:t>，</w:t>
      </w:r>
      <w:r>
        <w:t>确定下一候选人为成交供应商</w:t>
      </w:r>
      <w:r>
        <w:rPr>
          <w:spacing w:val="-47"/>
        </w:rPr>
        <w:t>，</w:t>
      </w:r>
      <w:r>
        <w:t>也可重新 开展政府采购活动。</w:t>
      </w:r>
    </w:p>
    <w:p>
      <w:pPr>
        <w:pStyle w:val="4"/>
        <w:kinsoku w:val="0"/>
        <w:overflowPunct w:val="0"/>
        <w:ind w:left="0" w:firstLine="644" w:firstLineChars="200"/>
        <w:rPr>
          <w:rFonts w:hint="default" w:ascii="Blackoak Std" w:hAnsi="Blackoak Std" w:eastAsia="Blackoak Std"/>
          <w:b w:val="0"/>
          <w:sz w:val="24"/>
        </w:rPr>
      </w:pPr>
      <w:bookmarkStart w:id="27" w:name="bookmark27"/>
      <w:bookmarkEnd w:id="27"/>
      <w:r>
        <w:rPr>
          <w:rFonts w:hint="default" w:ascii="Arial" w:hAnsi="Arial"/>
          <w:spacing w:val="1"/>
        </w:rPr>
        <w:t>20</w:t>
      </w:r>
      <w:r>
        <w:rPr>
          <w:rFonts w:hint="default" w:ascii="Arial" w:hAnsi="Arial"/>
        </w:rPr>
        <w:t>.</w:t>
      </w:r>
      <w:r>
        <w:rPr>
          <w:spacing w:val="1"/>
        </w:rPr>
        <w:t>成交通知</w:t>
      </w:r>
    </w:p>
    <w:p>
      <w:pPr>
        <w:pStyle w:val="9"/>
        <w:kinsoku w:val="0"/>
        <w:overflowPunct w:val="0"/>
        <w:spacing w:before="0"/>
        <w:ind w:left="0" w:firstLine="508" w:firstLineChars="200"/>
        <w:jc w:val="both"/>
        <w:rPr>
          <w:rFonts w:hint="default"/>
        </w:rPr>
      </w:pPr>
      <w:r>
        <w:rPr>
          <w:spacing w:val="7"/>
        </w:rPr>
        <w:t>20.1采购代理机构自成交供应商确定之日起2个工作日内发出《成交通知</w:t>
      </w:r>
      <w:r>
        <w:t xml:space="preserve">书》，并在青海政府采购信息网上公告成交结果。 </w:t>
      </w:r>
    </w:p>
    <w:p>
      <w:pPr>
        <w:pStyle w:val="9"/>
        <w:kinsoku w:val="0"/>
        <w:overflowPunct w:val="0"/>
        <w:spacing w:before="0"/>
        <w:ind w:left="0" w:firstLine="480" w:firstLineChars="200"/>
        <w:rPr>
          <w:rFonts w:hint="default"/>
        </w:rPr>
      </w:pPr>
      <w:r>
        <w:t>20.2《成交通知书》对采购人和成交供应商具有同等效力，《成交通知书》</w:t>
      </w:r>
    </w:p>
    <w:p>
      <w:pPr>
        <w:pStyle w:val="9"/>
        <w:kinsoku w:val="0"/>
        <w:overflowPunct w:val="0"/>
        <w:spacing w:before="0"/>
        <w:ind w:left="0" w:firstLine="480" w:firstLineChars="200"/>
        <w:rPr>
          <w:rFonts w:hint="default"/>
        </w:rPr>
      </w:pPr>
      <w:r>
        <w:t xml:space="preserve">发出后，采购人改变成交结果的，或者成交供应商无正当理由放弃成交项目的， 依法承担法律责任。 </w:t>
      </w:r>
    </w:p>
    <w:p>
      <w:pPr>
        <w:pStyle w:val="3"/>
        <w:kinsoku w:val="0"/>
        <w:overflowPunct w:val="0"/>
        <w:spacing w:before="133"/>
        <w:ind w:left="40" w:right="121"/>
        <w:jc w:val="center"/>
        <w:rPr>
          <w:rFonts w:hint="default"/>
          <w:b w:val="0"/>
        </w:rPr>
      </w:pPr>
      <w:bookmarkStart w:id="28" w:name="bookmark28"/>
      <w:bookmarkEnd w:id="28"/>
      <w:r>
        <w:t>七、授予合同</w:t>
      </w:r>
    </w:p>
    <w:p>
      <w:pPr>
        <w:pStyle w:val="4"/>
        <w:kinsoku w:val="0"/>
        <w:overflowPunct w:val="0"/>
        <w:spacing w:before="289"/>
        <w:rPr>
          <w:rFonts w:hint="default" w:ascii="Blackoak Std" w:hAnsi="Blackoak Std" w:eastAsia="Blackoak Std"/>
          <w:b w:val="0"/>
        </w:rPr>
      </w:pPr>
      <w:bookmarkStart w:id="29" w:name="bookmark29"/>
      <w:bookmarkEnd w:id="29"/>
      <w:r>
        <w:rPr>
          <w:rFonts w:hint="default" w:ascii="Arial" w:hAnsi="Arial"/>
          <w:spacing w:val="1"/>
        </w:rPr>
        <w:t>21</w:t>
      </w:r>
      <w:r>
        <w:rPr>
          <w:rFonts w:hint="default" w:ascii="Arial" w:hAnsi="Arial"/>
        </w:rPr>
        <w:t>.</w:t>
      </w:r>
      <w:r>
        <w:rPr>
          <w:spacing w:val="1"/>
        </w:rPr>
        <w:t>签订合同</w:t>
      </w:r>
    </w:p>
    <w:p>
      <w:pPr>
        <w:pStyle w:val="9"/>
        <w:kinsoku w:val="0"/>
        <w:overflowPunct w:val="0"/>
        <w:spacing w:before="216" w:line="293" w:lineRule="auto"/>
        <w:ind w:right="199" w:firstLine="480"/>
        <w:jc w:val="both"/>
        <w:rPr>
          <w:rFonts w:hint="default"/>
        </w:rPr>
      </w:pPr>
      <w:r>
        <w:rPr>
          <w:rFonts w:hint="default" w:ascii="Arial" w:hAnsi="Arial"/>
        </w:rPr>
        <w:t>21.</w:t>
      </w:r>
      <w:r>
        <w:rPr>
          <w:rFonts w:hint="default" w:ascii="Arial" w:hAnsi="Arial"/>
          <w:spacing w:val="-1"/>
        </w:rPr>
        <w:t>1</w:t>
      </w:r>
      <w:r>
        <w:t>采购人与成交人双方应当</w:t>
      </w:r>
      <w:r>
        <w:rPr>
          <w:spacing w:val="-37"/>
        </w:rPr>
        <w:t>自</w:t>
      </w:r>
      <w:r>
        <w:t>《成交通知书</w:t>
      </w:r>
      <w:r>
        <w:rPr>
          <w:spacing w:val="-36"/>
        </w:rPr>
        <w:t>》</w:t>
      </w:r>
      <w:r>
        <w:t>发出之日起</w:t>
      </w:r>
      <w:r>
        <w:rPr>
          <w:rFonts w:hint="default" w:ascii="Arial" w:hAnsi="Arial"/>
          <w:spacing w:val="-1"/>
        </w:rPr>
        <w:t>3</w:t>
      </w:r>
      <w:r>
        <w:rPr>
          <w:rFonts w:hint="default" w:ascii="Arial" w:hAnsi="Arial"/>
        </w:rPr>
        <w:t>0</w:t>
      </w:r>
      <w:r>
        <w:t>日内</w:t>
      </w:r>
      <w:r>
        <w:rPr>
          <w:spacing w:val="-36"/>
        </w:rPr>
        <w:t>，</w:t>
      </w:r>
      <w:r>
        <w:t>签订采购合同，送采购代理机构审核并备案。</w:t>
      </w:r>
    </w:p>
    <w:p>
      <w:pPr>
        <w:pStyle w:val="9"/>
        <w:kinsoku w:val="0"/>
        <w:overflowPunct w:val="0"/>
        <w:spacing w:before="36" w:line="301" w:lineRule="auto"/>
        <w:ind w:right="199" w:firstLine="480"/>
        <w:jc w:val="both"/>
        <w:rPr>
          <w:rFonts w:hint="default"/>
        </w:rPr>
      </w:pPr>
      <w:r>
        <w:rPr>
          <w:rFonts w:hint="default" w:ascii="Arial" w:hAnsi="Arial"/>
          <w:spacing w:val="-1"/>
        </w:rPr>
        <w:t>21.</w:t>
      </w:r>
      <w:r>
        <w:rPr>
          <w:rFonts w:hint="default" w:ascii="Arial" w:hAnsi="Arial"/>
        </w:rPr>
        <w:t>2</w:t>
      </w:r>
      <w:r>
        <w:t>成交人在法定期限内无正当理由拒签合同的</w:t>
      </w:r>
      <w:r>
        <w:rPr>
          <w:spacing w:val="-28"/>
        </w:rPr>
        <w:t>，</w:t>
      </w:r>
      <w:r>
        <w:t>按违约处理</w:t>
      </w:r>
      <w:r>
        <w:rPr>
          <w:spacing w:val="-28"/>
        </w:rPr>
        <w:t>。</w:t>
      </w:r>
      <w:r>
        <w:t>同时</w:t>
      </w:r>
      <w:r>
        <w:rPr>
          <w:spacing w:val="-28"/>
        </w:rPr>
        <w:t>，</w:t>
      </w:r>
      <w:r>
        <w:t>采购 代理机构和采购人可依评审排序重新确定成交人</w:t>
      </w:r>
      <w:r>
        <w:rPr>
          <w:spacing w:val="-47"/>
        </w:rPr>
        <w:t>，</w:t>
      </w:r>
      <w:r>
        <w:t>并协调双方签订采购合同</w:t>
      </w:r>
      <w:r>
        <w:rPr>
          <w:spacing w:val="-47"/>
        </w:rPr>
        <w:t>，</w:t>
      </w:r>
      <w:r>
        <w:t>或 重新组织采购活动。</w:t>
      </w:r>
    </w:p>
    <w:p>
      <w:pPr>
        <w:pStyle w:val="9"/>
        <w:kinsoku w:val="0"/>
        <w:overflowPunct w:val="0"/>
        <w:spacing w:before="28" w:line="293" w:lineRule="auto"/>
        <w:ind w:right="200" w:firstLine="480"/>
        <w:jc w:val="both"/>
        <w:rPr>
          <w:rFonts w:hint="default"/>
        </w:rPr>
      </w:pPr>
      <w:r>
        <w:rPr>
          <w:rFonts w:hint="default" w:ascii="Arial" w:hAnsi="Arial"/>
          <w:spacing w:val="-1"/>
        </w:rPr>
        <w:t>21.</w:t>
      </w:r>
      <w:r>
        <w:rPr>
          <w:rFonts w:hint="default" w:ascii="Arial" w:hAnsi="Arial"/>
        </w:rPr>
        <w:t>3</w:t>
      </w:r>
      <w:r>
        <w:t>采购人不得向成交人提出任何不合理的要求作为订立合同的条件</w:t>
      </w:r>
      <w:r>
        <w:rPr>
          <w:spacing w:val="-82"/>
        </w:rPr>
        <w:t>，</w:t>
      </w:r>
      <w:r>
        <w:t>采购 人和成交人不得私下订立背离合同实质性内容的协议。</w:t>
      </w:r>
    </w:p>
    <w:p>
      <w:pPr>
        <w:pStyle w:val="9"/>
        <w:kinsoku w:val="0"/>
        <w:overflowPunct w:val="0"/>
        <w:spacing w:before="36" w:line="293" w:lineRule="auto"/>
        <w:ind w:right="118" w:firstLine="480"/>
        <w:jc w:val="both"/>
        <w:rPr>
          <w:rFonts w:hint="default"/>
        </w:rPr>
      </w:pPr>
      <w:r>
        <w:rPr>
          <w:rFonts w:hint="default" w:ascii="Arial" w:hAnsi="Arial"/>
          <w:spacing w:val="-1"/>
        </w:rPr>
        <w:t>21.4</w:t>
      </w:r>
      <w:r>
        <w:rPr>
          <w:spacing w:val="-1"/>
        </w:rPr>
        <w:t>磋商文件、成交人的响应文件、《成交通知书》及其澄清、说明文件、</w:t>
      </w:r>
      <w:r>
        <w:t>承诺等，均为签订采购合同的依据，作为采购合同的组成部分。</w:t>
      </w:r>
    </w:p>
    <w:p>
      <w:pPr>
        <w:pStyle w:val="9"/>
        <w:kinsoku w:val="0"/>
        <w:overflowPunct w:val="0"/>
        <w:spacing w:before="36" w:line="293" w:lineRule="auto"/>
        <w:ind w:right="200" w:firstLine="480"/>
        <w:jc w:val="both"/>
        <w:rPr>
          <w:rFonts w:hint="default"/>
        </w:rPr>
      </w:pPr>
      <w:r>
        <w:rPr>
          <w:rFonts w:hint="default" w:ascii="Arial" w:hAnsi="Arial"/>
          <w:spacing w:val="-1"/>
        </w:rPr>
        <w:t>21.5</w:t>
      </w:r>
      <w:r>
        <w:rPr>
          <w:spacing w:val="-1"/>
        </w:rPr>
        <w:t>采购合同签订之日起</w:t>
      </w:r>
      <w:r>
        <w:rPr>
          <w:rFonts w:hint="default" w:ascii="Arial" w:hAnsi="Arial"/>
          <w:spacing w:val="-1"/>
        </w:rPr>
        <w:t>2</w:t>
      </w:r>
      <w:r>
        <w:rPr>
          <w:spacing w:val="-1"/>
        </w:rPr>
        <w:t>个工作日内，由采购代理机构将采购合同在青海</w:t>
      </w:r>
      <w:r>
        <w:t>政府采购网上公告，但采购合同中涉及国家秘密、商业秘密的内容除外。</w:t>
      </w:r>
    </w:p>
    <w:p>
      <w:pPr>
        <w:pStyle w:val="3"/>
        <w:kinsoku w:val="0"/>
        <w:overflowPunct w:val="0"/>
        <w:spacing w:before="149"/>
        <w:ind w:left="40" w:right="121"/>
        <w:jc w:val="center"/>
        <w:rPr>
          <w:rFonts w:hint="default"/>
          <w:b w:val="0"/>
        </w:rPr>
      </w:pPr>
      <w:bookmarkStart w:id="30" w:name="bookmark30"/>
      <w:bookmarkEnd w:id="30"/>
      <w:r>
        <w:t>八、采购活动终止情形</w:t>
      </w:r>
    </w:p>
    <w:p>
      <w:pPr>
        <w:pStyle w:val="4"/>
        <w:kinsoku w:val="0"/>
        <w:overflowPunct w:val="0"/>
        <w:spacing w:before="289"/>
        <w:rPr>
          <w:rFonts w:hint="default" w:ascii="Blackoak Std" w:hAnsi="Blackoak Std" w:eastAsia="Blackoak Std"/>
          <w:b w:val="0"/>
        </w:rPr>
      </w:pPr>
      <w:bookmarkStart w:id="31" w:name="bookmark31"/>
      <w:bookmarkEnd w:id="31"/>
      <w:r>
        <w:rPr>
          <w:rFonts w:hint="default" w:ascii="Arial" w:hAnsi="Arial"/>
          <w:spacing w:val="1"/>
        </w:rPr>
        <w:t>22</w:t>
      </w:r>
      <w:r>
        <w:rPr>
          <w:rFonts w:hint="default" w:ascii="Arial" w:hAnsi="Arial"/>
        </w:rPr>
        <w:t>.</w:t>
      </w:r>
      <w:r>
        <w:rPr>
          <w:spacing w:val="1"/>
        </w:rPr>
        <w:t>采购活动终止情形</w:t>
      </w:r>
    </w:p>
    <w:p>
      <w:pPr>
        <w:pStyle w:val="9"/>
        <w:kinsoku w:val="0"/>
        <w:overflowPunct w:val="0"/>
        <w:spacing w:before="279" w:line="348" w:lineRule="auto"/>
        <w:rPr>
          <w:rFonts w:hint="default"/>
        </w:rPr>
      </w:pPr>
      <w:r>
        <w:t>22.1</w:t>
      </w:r>
      <w:r>
        <w:rPr>
          <w:spacing w:val="1"/>
        </w:rPr>
        <w:t>出现下列情形之一的，采购代理机构应当终止竞争性磋商采购活动，发布</w:t>
      </w:r>
      <w:r>
        <w:t xml:space="preserve">项目终止公告并说明原因，重新开展采购活动或取消采购任务： </w:t>
      </w:r>
    </w:p>
    <w:p>
      <w:pPr>
        <w:pStyle w:val="9"/>
        <w:kinsoku w:val="0"/>
        <w:overflowPunct w:val="0"/>
        <w:spacing w:before="31"/>
        <w:ind w:left="820"/>
        <w:rPr>
          <w:rFonts w:hint="default"/>
        </w:rPr>
      </w:pPr>
      <w:r>
        <w:t xml:space="preserve">（1）因情况变化，不再符合规定的竞争性磋商采购方式适用情形的； </w:t>
      </w:r>
    </w:p>
    <w:p>
      <w:pPr>
        <w:pStyle w:val="9"/>
        <w:kinsoku w:val="0"/>
        <w:overflowPunct w:val="0"/>
        <w:spacing w:before="139"/>
        <w:ind w:left="600"/>
        <w:rPr>
          <w:rFonts w:hint="default"/>
        </w:rPr>
      </w:pPr>
      <w:r>
        <w:t xml:space="preserve"> （2）出现影响采购公正的违法、违规行为的； </w:t>
      </w:r>
    </w:p>
    <w:p>
      <w:pPr>
        <w:pStyle w:val="9"/>
        <w:kinsoku w:val="0"/>
        <w:overflowPunct w:val="0"/>
        <w:spacing w:before="139" w:line="348" w:lineRule="auto"/>
        <w:ind w:right="199" w:firstLine="480"/>
        <w:jc w:val="both"/>
        <w:rPr>
          <w:rFonts w:hint="default"/>
        </w:rPr>
      </w:pPr>
      <w:r>
        <w:t xml:space="preserve"> （3</w:t>
      </w:r>
      <w:r>
        <w:rPr>
          <w:spacing w:val="-94"/>
        </w:rPr>
        <w:t>）</w:t>
      </w:r>
      <w:r>
        <w:t xml:space="preserve">在采购过程中符合要求的供应商或者报价未超过采购预算的供应商不 足3家的。 </w:t>
      </w:r>
    </w:p>
    <w:p>
      <w:pPr>
        <w:pStyle w:val="9"/>
        <w:kinsoku w:val="0"/>
        <w:overflowPunct w:val="0"/>
        <w:spacing w:before="0" w:line="279" w:lineRule="exact"/>
        <w:ind w:left="600" w:right="8606"/>
        <w:rPr>
          <w:rFonts w:hint="default"/>
        </w:rPr>
      </w:pPr>
    </w:p>
    <w:p>
      <w:pPr>
        <w:pStyle w:val="9"/>
        <w:kinsoku w:val="0"/>
        <w:overflowPunct w:val="0"/>
        <w:spacing w:line="309" w:lineRule="auto"/>
        <w:ind w:left="600"/>
        <w:rPr>
          <w:rFonts w:hint="default"/>
        </w:rPr>
      </w:pPr>
      <w:r>
        <w:t xml:space="preserve">（4）因重大变故，采购任务取消的。 22.2采购活动终止后，由采购代理机构发布终止公告。 </w:t>
      </w:r>
    </w:p>
    <w:p>
      <w:pPr>
        <w:pStyle w:val="3"/>
        <w:kinsoku w:val="0"/>
        <w:overflowPunct w:val="0"/>
        <w:spacing w:before="9"/>
        <w:ind w:left="40" w:right="121"/>
        <w:jc w:val="center"/>
        <w:rPr>
          <w:rFonts w:hint="default" w:eastAsia="宋体"/>
          <w:b w:val="0"/>
        </w:rPr>
      </w:pPr>
      <w:bookmarkStart w:id="32" w:name="bookmark32"/>
      <w:bookmarkEnd w:id="32"/>
      <w:r>
        <w:t>九、</w:t>
      </w:r>
      <w:r>
        <w:rPr>
          <w:rFonts w:eastAsia="宋体"/>
        </w:rPr>
        <w:t>处罚</w:t>
      </w:r>
    </w:p>
    <w:p>
      <w:pPr>
        <w:kinsoku w:val="0"/>
        <w:overflowPunct w:val="0"/>
        <w:spacing w:before="13" w:line="160" w:lineRule="exact"/>
        <w:rPr>
          <w:sz w:val="16"/>
        </w:rPr>
      </w:pPr>
    </w:p>
    <w:p>
      <w:pPr>
        <w:pStyle w:val="4"/>
        <w:kinsoku w:val="0"/>
        <w:overflowPunct w:val="0"/>
        <w:spacing w:line="456" w:lineRule="exact"/>
        <w:rPr>
          <w:rFonts w:hint="default" w:ascii="Blackoak Std" w:hAnsi="Blackoak Std" w:eastAsia="Blackoak Std"/>
          <w:b w:val="0"/>
        </w:rPr>
      </w:pPr>
      <w:bookmarkStart w:id="33" w:name="bookmark33"/>
      <w:bookmarkEnd w:id="33"/>
      <w:r>
        <w:rPr>
          <w:rFonts w:hint="default" w:ascii="Arial" w:hAnsi="Arial"/>
          <w:spacing w:val="1"/>
        </w:rPr>
        <w:t>23</w:t>
      </w:r>
      <w:r>
        <w:rPr>
          <w:rFonts w:hint="default" w:ascii="Arial" w:hAnsi="Arial"/>
        </w:rPr>
        <w:t>.</w:t>
      </w:r>
      <w:r>
        <w:rPr>
          <w:spacing w:val="1"/>
        </w:rPr>
        <w:t>处罚情形</w:t>
      </w:r>
    </w:p>
    <w:p>
      <w:pPr>
        <w:pStyle w:val="9"/>
        <w:kinsoku w:val="0"/>
        <w:overflowPunct w:val="0"/>
        <w:spacing w:before="5" w:line="309" w:lineRule="auto"/>
        <w:ind w:left="200" w:firstLine="480"/>
        <w:rPr>
          <w:rFonts w:hint="default"/>
        </w:rPr>
      </w:pPr>
      <w:r>
        <w:t>成交供应商有下列情形之一的</w:t>
      </w:r>
      <w:r>
        <w:rPr>
          <w:spacing w:val="-24"/>
        </w:rPr>
        <w:t>，</w:t>
      </w:r>
      <w:r>
        <w:t>成交无效</w:t>
      </w:r>
      <w:r>
        <w:rPr>
          <w:spacing w:val="-24"/>
        </w:rPr>
        <w:t>，</w:t>
      </w:r>
      <w:r>
        <w:t>磋商保证金</w:t>
      </w:r>
      <w:r>
        <w:rPr>
          <w:spacing w:val="-24"/>
        </w:rPr>
        <w:t>、</w:t>
      </w:r>
      <w:r>
        <w:t>不予退还</w:t>
      </w:r>
      <w:r>
        <w:rPr>
          <w:spacing w:val="-24"/>
        </w:rPr>
        <w:t>。</w:t>
      </w:r>
      <w:r>
        <w:t xml:space="preserve">情节严 重的，报同级财政部门依法进行处理： </w:t>
      </w:r>
    </w:p>
    <w:p>
      <w:pPr>
        <w:pStyle w:val="9"/>
        <w:kinsoku w:val="0"/>
        <w:overflowPunct w:val="0"/>
        <w:spacing w:before="20"/>
        <w:ind w:left="680" w:right="895"/>
        <w:rPr>
          <w:rFonts w:hint="default"/>
        </w:rPr>
      </w:pPr>
      <w:r>
        <w:t xml:space="preserve">23.1供应商在磋商截止期后撤回其磋商的。 </w:t>
      </w:r>
    </w:p>
    <w:p>
      <w:pPr>
        <w:pStyle w:val="9"/>
        <w:kinsoku w:val="0"/>
        <w:overflowPunct w:val="0"/>
        <w:ind w:left="680" w:right="895"/>
        <w:rPr>
          <w:rFonts w:hint="default"/>
        </w:rPr>
      </w:pPr>
      <w:r>
        <w:t xml:space="preserve">23.2提供虚假材料谋取成交的。 </w:t>
      </w:r>
    </w:p>
    <w:p>
      <w:pPr>
        <w:pStyle w:val="9"/>
        <w:kinsoku w:val="0"/>
        <w:overflowPunct w:val="0"/>
        <w:ind w:left="680" w:right="895"/>
        <w:rPr>
          <w:rFonts w:hint="default"/>
        </w:rPr>
      </w:pPr>
      <w:r>
        <w:t xml:space="preserve">23.3采取不正当手段诋毁、排挤其他供应商的。 </w:t>
      </w:r>
    </w:p>
    <w:p>
      <w:pPr>
        <w:pStyle w:val="9"/>
        <w:kinsoku w:val="0"/>
        <w:overflowPunct w:val="0"/>
        <w:ind w:left="680" w:right="895"/>
        <w:rPr>
          <w:rFonts w:hint="default"/>
        </w:rPr>
      </w:pPr>
      <w:r>
        <w:t xml:space="preserve">23.4有恶意串通等不正当竞争行为的。 </w:t>
      </w:r>
    </w:p>
    <w:p>
      <w:pPr>
        <w:pStyle w:val="9"/>
        <w:kinsoku w:val="0"/>
        <w:overflowPunct w:val="0"/>
        <w:ind w:left="680" w:right="895"/>
        <w:rPr>
          <w:rFonts w:hint="default"/>
        </w:rPr>
      </w:pPr>
      <w:r>
        <w:t xml:space="preserve">23.5成交后无正当理由拒不与采购人签订采购合同的。 </w:t>
      </w:r>
    </w:p>
    <w:p>
      <w:pPr>
        <w:pStyle w:val="9"/>
        <w:kinsoku w:val="0"/>
        <w:overflowPunct w:val="0"/>
        <w:ind w:left="680" w:right="895"/>
        <w:rPr>
          <w:rFonts w:hint="default"/>
        </w:rPr>
      </w:pPr>
      <w:r>
        <w:t xml:space="preserve">23.6未按照采购、磋商响应文件确定的事项签订采购合同的。 </w:t>
      </w:r>
    </w:p>
    <w:p>
      <w:pPr>
        <w:pStyle w:val="9"/>
        <w:kinsoku w:val="0"/>
        <w:overflowPunct w:val="0"/>
        <w:ind w:left="680" w:right="895"/>
        <w:rPr>
          <w:rFonts w:hint="default"/>
        </w:rPr>
      </w:pPr>
      <w:r>
        <w:t xml:space="preserve">23.7将采购合同转包的。 </w:t>
      </w:r>
    </w:p>
    <w:p>
      <w:pPr>
        <w:pStyle w:val="9"/>
        <w:kinsoku w:val="0"/>
        <w:overflowPunct w:val="0"/>
        <w:ind w:left="680" w:right="895"/>
        <w:rPr>
          <w:rFonts w:hint="default"/>
        </w:rPr>
      </w:pPr>
      <w:r>
        <w:t xml:space="preserve">23.8提供假冒伪劣产品的。 </w:t>
      </w:r>
    </w:p>
    <w:p>
      <w:pPr>
        <w:pStyle w:val="9"/>
        <w:kinsoku w:val="0"/>
        <w:overflowPunct w:val="0"/>
        <w:ind w:left="680" w:right="895"/>
        <w:rPr>
          <w:rFonts w:hint="default"/>
        </w:rPr>
      </w:pPr>
      <w:r>
        <w:t xml:space="preserve">23.9擅自变更、中止或者终止政府采购合同的。 </w:t>
      </w:r>
    </w:p>
    <w:p>
      <w:pPr>
        <w:pStyle w:val="9"/>
        <w:kinsoku w:val="0"/>
        <w:overflowPunct w:val="0"/>
        <w:ind w:left="680" w:right="895"/>
        <w:rPr>
          <w:rFonts w:hint="default"/>
        </w:rPr>
      </w:pPr>
      <w:r>
        <w:t xml:space="preserve">23.10成交供应商签订合同后，不能履约或无故拖延履约期的。 </w:t>
      </w:r>
    </w:p>
    <w:p>
      <w:pPr>
        <w:pStyle w:val="9"/>
        <w:kinsoku w:val="0"/>
        <w:overflowPunct w:val="0"/>
        <w:ind w:left="680" w:right="895"/>
        <w:rPr>
          <w:rFonts w:hint="default"/>
        </w:rPr>
      </w:pPr>
      <w:r>
        <w:t>23.11法律、法规规定的其他情形。</w:t>
      </w:r>
    </w:p>
    <w:p>
      <w:pPr>
        <w:pStyle w:val="3"/>
        <w:kinsoku w:val="0"/>
        <w:overflowPunct w:val="0"/>
        <w:spacing w:before="2"/>
        <w:ind w:right="441"/>
        <w:jc w:val="center"/>
        <w:rPr>
          <w:rFonts w:hint="default"/>
          <w:b w:val="0"/>
        </w:rPr>
      </w:pPr>
      <w:bookmarkStart w:id="34" w:name="bookmark35"/>
      <w:bookmarkEnd w:id="34"/>
      <w:bookmarkStart w:id="35" w:name="bookmark34"/>
      <w:bookmarkEnd w:id="35"/>
      <w:r>
        <w:t>十、其他</w:t>
      </w:r>
    </w:p>
    <w:p>
      <w:pPr>
        <w:pStyle w:val="9"/>
        <w:kinsoku w:val="0"/>
        <w:overflowPunct w:val="0"/>
        <w:spacing w:before="92" w:line="309" w:lineRule="auto"/>
        <w:ind w:left="200" w:right="639" w:firstLine="480"/>
        <w:jc w:val="both"/>
        <w:rPr>
          <w:rFonts w:hint="default"/>
        </w:rPr>
      </w:pPr>
      <w:r>
        <w:t>其他未尽事宜</w:t>
      </w:r>
      <w:r>
        <w:rPr>
          <w:spacing w:val="-12"/>
        </w:rPr>
        <w:t>，</w:t>
      </w:r>
      <w:r>
        <w:t>按</w:t>
      </w:r>
      <w:r>
        <w:rPr>
          <w:spacing w:val="-12"/>
        </w:rPr>
        <w:t>照</w:t>
      </w:r>
      <w:r>
        <w:t>《中华人民共和国政府采购法</w:t>
      </w:r>
      <w:r>
        <w:rPr>
          <w:spacing w:val="-60"/>
        </w:rPr>
        <w:t>》</w:t>
      </w:r>
      <w:r>
        <w:rPr>
          <w:spacing w:val="-12"/>
        </w:rPr>
        <w:t>、</w:t>
      </w:r>
      <w:r>
        <w:t>《中华人民共和国政 府采购法实施条例</w:t>
      </w:r>
      <w:r>
        <w:rPr>
          <w:spacing w:val="-47"/>
        </w:rPr>
        <w:t>》</w:t>
      </w:r>
      <w:r>
        <w:t>、财政部《政府采购货物和服务招响应管理办法</w:t>
      </w:r>
      <w:r>
        <w:rPr>
          <w:spacing w:val="-47"/>
        </w:rPr>
        <w:t>》</w:t>
      </w:r>
      <w:r>
        <w:t>、《关于 加强政府采购货物和服务项目价格评审管理的通知</w:t>
      </w:r>
      <w:r>
        <w:rPr>
          <w:spacing w:val="-60"/>
        </w:rPr>
        <w:t>》</w:t>
      </w:r>
      <w:r>
        <w:rPr>
          <w:spacing w:val="-34"/>
        </w:rPr>
        <w:t>、</w:t>
      </w:r>
      <w:r>
        <w:t xml:space="preserve">《政府采购竞争性磋商采购方式管理暂行办法》等法律法规的有关条款执行。 </w:t>
      </w:r>
    </w:p>
    <w:p>
      <w:pPr>
        <w:kinsoku w:val="0"/>
        <w:overflowPunct w:val="0"/>
        <w:spacing w:before="3" w:line="200" w:lineRule="exact"/>
        <w:rPr>
          <w:sz w:val="20"/>
        </w:rPr>
      </w:pPr>
    </w:p>
    <w:p>
      <w:pPr>
        <w:kinsoku w:val="0"/>
        <w:overflowPunct w:val="0"/>
        <w:spacing w:line="240" w:lineRule="exact"/>
      </w:pPr>
    </w:p>
    <w:p>
      <w:pPr>
        <w:kinsoku w:val="0"/>
        <w:overflowPunct w:val="0"/>
        <w:spacing w:line="240" w:lineRule="exact"/>
      </w:pPr>
    </w:p>
    <w:p>
      <w:pPr>
        <w:kinsoku w:val="0"/>
        <w:overflowPunct w:val="0"/>
        <w:spacing w:line="240" w:lineRule="exact"/>
      </w:pPr>
    </w:p>
    <w:p>
      <w:pPr>
        <w:kinsoku w:val="0"/>
        <w:overflowPunct w:val="0"/>
        <w:spacing w:line="240" w:lineRule="exact"/>
      </w:pPr>
    </w:p>
    <w:p>
      <w:pPr>
        <w:kinsoku w:val="0"/>
        <w:overflowPunct w:val="0"/>
        <w:spacing w:line="240" w:lineRule="exact"/>
      </w:pPr>
    </w:p>
    <w:p>
      <w:pPr>
        <w:kinsoku w:val="0"/>
        <w:overflowPunct w:val="0"/>
        <w:spacing w:line="240" w:lineRule="exact"/>
      </w:pPr>
    </w:p>
    <w:p>
      <w:pPr>
        <w:kinsoku w:val="0"/>
        <w:overflowPunct w:val="0"/>
        <w:spacing w:line="240" w:lineRule="exact"/>
      </w:pPr>
    </w:p>
    <w:p>
      <w:pPr>
        <w:kinsoku w:val="0"/>
        <w:overflowPunct w:val="0"/>
        <w:spacing w:line="240" w:lineRule="exact"/>
      </w:pPr>
    </w:p>
    <w:p>
      <w:pPr>
        <w:pStyle w:val="3"/>
        <w:tabs>
          <w:tab w:val="left" w:pos="3910"/>
        </w:tabs>
        <w:kinsoku w:val="0"/>
        <w:overflowPunct w:val="0"/>
        <w:ind w:left="2105"/>
        <w:rPr>
          <w:rFonts w:hint="default"/>
        </w:rPr>
      </w:pPr>
      <w:bookmarkStart w:id="36" w:name="bookmark36"/>
      <w:bookmarkEnd w:id="36"/>
      <w:r>
        <w:t>第四部分</w:t>
      </w:r>
      <w:r>
        <w:tab/>
      </w:r>
      <w:r>
        <w:t>合同条款及格式</w:t>
      </w:r>
    </w:p>
    <w:p/>
    <w:p>
      <w:pPr>
        <w:kinsoku w:val="0"/>
        <w:overflowPunct w:val="0"/>
        <w:jc w:val="center"/>
        <w:rPr>
          <w:b/>
          <w:bCs/>
          <w:sz w:val="48"/>
          <w:szCs w:val="24"/>
        </w:rPr>
      </w:pPr>
      <w:r>
        <w:rPr>
          <w:rFonts w:hint="eastAsia"/>
          <w:b/>
          <w:bCs/>
          <w:sz w:val="48"/>
          <w:szCs w:val="24"/>
        </w:rPr>
        <w:t>文本样式</w:t>
      </w:r>
    </w:p>
    <w:p>
      <w:pPr>
        <w:kinsoku w:val="0"/>
        <w:overflowPunct w:val="0"/>
        <w:spacing w:line="360" w:lineRule="exact"/>
        <w:rPr>
          <w:sz w:val="36"/>
        </w:rPr>
      </w:pPr>
    </w:p>
    <w:p>
      <w:pPr>
        <w:kinsoku w:val="0"/>
        <w:overflowPunct w:val="0"/>
        <w:spacing w:line="360" w:lineRule="exact"/>
        <w:rPr>
          <w:sz w:val="36"/>
        </w:rPr>
      </w:pPr>
    </w:p>
    <w:p>
      <w:pPr>
        <w:spacing w:line="360" w:lineRule="auto"/>
        <w:jc w:val="center"/>
        <w:rPr>
          <w:rFonts w:ascii="宋体" w:hAnsi="宋体"/>
          <w:b/>
          <w:bCs/>
          <w:sz w:val="72"/>
          <w:szCs w:val="50"/>
          <w:lang w:val="zh-CN"/>
        </w:rPr>
      </w:pPr>
      <w:r>
        <w:rPr>
          <w:rFonts w:hint="eastAsia" w:ascii="宋体" w:hAnsi="宋体"/>
          <w:b/>
          <w:bCs/>
          <w:sz w:val="72"/>
          <w:szCs w:val="50"/>
          <w:lang w:val="zh-CN"/>
        </w:rPr>
        <w:t>青海省政府采购合同书</w:t>
      </w:r>
    </w:p>
    <w:p>
      <w:pPr>
        <w:spacing w:line="360" w:lineRule="auto"/>
        <w:rPr>
          <w:rFonts w:ascii="宋体" w:hAnsi="宋体"/>
          <w:b/>
          <w:sz w:val="56"/>
          <w:szCs w:val="72"/>
        </w:rPr>
      </w:pPr>
    </w:p>
    <w:p>
      <w:pPr>
        <w:pStyle w:val="19"/>
        <w:numPr>
          <w:ilvl w:val="0"/>
          <w:numId w:val="0"/>
        </w:numPr>
        <w:ind w:left="1134"/>
      </w:pPr>
    </w:p>
    <w:p>
      <w:pPr>
        <w:pStyle w:val="21"/>
        <w:ind w:firstLine="420"/>
      </w:pPr>
    </w:p>
    <w:p/>
    <w:p>
      <w:pPr>
        <w:spacing w:line="360" w:lineRule="auto"/>
        <w:rPr>
          <w:rFonts w:ascii="宋体" w:hAnsi="宋体"/>
          <w:b/>
          <w:szCs w:val="28"/>
        </w:rPr>
      </w:pPr>
    </w:p>
    <w:p>
      <w:pPr>
        <w:spacing w:line="480" w:lineRule="auto"/>
        <w:ind w:firstLine="482" w:firstLineChars="200"/>
        <w:rPr>
          <w:rFonts w:ascii="宋体" w:hAnsi="宋体" w:cs="Arial"/>
          <w:b/>
          <w:sz w:val="32"/>
          <w:szCs w:val="32"/>
          <w:u w:val="single"/>
        </w:rPr>
      </w:pPr>
      <w:r>
        <w:rPr>
          <w:rFonts w:hint="eastAsia" w:ascii="宋体" w:hAnsi="宋体"/>
          <w:b/>
          <w:szCs w:val="28"/>
        </w:rPr>
        <w:t xml:space="preserve">采购项目名称：   </w:t>
      </w:r>
    </w:p>
    <w:p>
      <w:pPr>
        <w:spacing w:line="480" w:lineRule="auto"/>
        <w:ind w:firstLine="482" w:firstLineChars="200"/>
        <w:rPr>
          <w:rFonts w:ascii="宋体" w:hAnsi="宋体"/>
          <w:b/>
          <w:szCs w:val="28"/>
          <w:u w:val="single"/>
        </w:rPr>
      </w:pPr>
      <w:r>
        <w:rPr>
          <w:rFonts w:ascii="宋体" w:hAnsi="宋体"/>
          <w:b/>
          <w:szCs w:val="28"/>
        </w:rPr>
        <w:t>采购项目编号</w:t>
      </w:r>
      <w:r>
        <w:rPr>
          <w:rFonts w:hint="eastAsia" w:ascii="宋体" w:hAnsi="宋体"/>
          <w:b/>
          <w:szCs w:val="28"/>
        </w:rPr>
        <w:t>：</w:t>
      </w:r>
    </w:p>
    <w:p>
      <w:pPr>
        <w:spacing w:line="480" w:lineRule="auto"/>
        <w:ind w:firstLine="482" w:firstLineChars="200"/>
        <w:rPr>
          <w:rFonts w:ascii="宋体" w:hAnsi="宋体"/>
          <w:b/>
          <w:szCs w:val="28"/>
          <w:u w:val="single"/>
        </w:rPr>
      </w:pPr>
      <w:r>
        <w:rPr>
          <w:rFonts w:ascii="宋体" w:hAnsi="宋体"/>
          <w:b/>
          <w:szCs w:val="28"/>
        </w:rPr>
        <w:t>采购合同编号</w:t>
      </w:r>
      <w:r>
        <w:rPr>
          <w:rFonts w:hint="eastAsia" w:ascii="宋体" w:hAnsi="宋体"/>
          <w:b/>
          <w:szCs w:val="28"/>
        </w:rPr>
        <w:t>：</w:t>
      </w:r>
    </w:p>
    <w:p>
      <w:pPr>
        <w:spacing w:line="480" w:lineRule="auto"/>
        <w:ind w:firstLine="482" w:firstLineChars="200"/>
        <w:rPr>
          <w:rFonts w:ascii="宋体" w:hAnsi="宋体"/>
          <w:b/>
          <w:szCs w:val="28"/>
          <w:u w:val="single"/>
        </w:rPr>
      </w:pPr>
      <w:r>
        <w:rPr>
          <w:rFonts w:ascii="宋体" w:hAnsi="宋体"/>
          <w:b/>
          <w:szCs w:val="28"/>
        </w:rPr>
        <w:t>合同金额</w:t>
      </w:r>
      <w:r>
        <w:rPr>
          <w:rFonts w:hint="eastAsia" w:ascii="宋体" w:hAnsi="宋体"/>
          <w:b/>
          <w:szCs w:val="28"/>
        </w:rPr>
        <w:t>（</w:t>
      </w:r>
      <w:r>
        <w:rPr>
          <w:rFonts w:ascii="宋体" w:hAnsi="宋体"/>
          <w:b/>
          <w:szCs w:val="28"/>
        </w:rPr>
        <w:t>人民币</w:t>
      </w:r>
      <w:r>
        <w:rPr>
          <w:rFonts w:hint="eastAsia" w:ascii="宋体" w:hAnsi="宋体"/>
          <w:b/>
          <w:szCs w:val="28"/>
        </w:rPr>
        <w:t>）：</w:t>
      </w:r>
    </w:p>
    <w:p>
      <w:pPr>
        <w:spacing w:line="480" w:lineRule="auto"/>
        <w:ind w:firstLine="482" w:firstLineChars="200"/>
        <w:rPr>
          <w:rFonts w:ascii="宋体" w:hAnsi="宋体"/>
          <w:b/>
          <w:szCs w:val="28"/>
          <w:u w:val="single"/>
        </w:rPr>
      </w:pPr>
      <w:r>
        <w:rPr>
          <w:rFonts w:hint="eastAsia" w:ascii="宋体" w:hAnsi="宋体"/>
          <w:b/>
          <w:szCs w:val="28"/>
        </w:rPr>
        <w:t>采购单位（</w:t>
      </w:r>
      <w:r>
        <w:rPr>
          <w:rFonts w:ascii="宋体" w:hAnsi="宋体"/>
          <w:b/>
          <w:szCs w:val="28"/>
        </w:rPr>
        <w:t>甲方</w:t>
      </w:r>
      <w:r>
        <w:rPr>
          <w:rFonts w:hint="eastAsia" w:ascii="宋体" w:hAnsi="宋体"/>
          <w:b/>
          <w:szCs w:val="28"/>
        </w:rPr>
        <w:t>）：</w:t>
      </w:r>
      <w:r>
        <w:rPr>
          <w:rFonts w:hint="eastAsia" w:ascii="宋体" w:hAnsi="宋体"/>
          <w:b/>
          <w:szCs w:val="28"/>
          <w:u w:val="single"/>
        </w:rPr>
        <w:t xml:space="preserve">                （盖章）        </w:t>
      </w:r>
    </w:p>
    <w:p>
      <w:pPr>
        <w:spacing w:line="480" w:lineRule="auto"/>
        <w:ind w:firstLine="482" w:firstLineChars="200"/>
        <w:rPr>
          <w:rFonts w:ascii="宋体" w:hAnsi="宋体"/>
          <w:b/>
          <w:szCs w:val="28"/>
          <w:u w:val="single"/>
        </w:rPr>
      </w:pPr>
      <w:r>
        <w:rPr>
          <w:rFonts w:ascii="宋体" w:hAnsi="宋体"/>
          <w:b/>
          <w:szCs w:val="28"/>
        </w:rPr>
        <w:t>中标磋商供应商</w:t>
      </w:r>
      <w:r>
        <w:rPr>
          <w:rFonts w:hint="eastAsia" w:ascii="宋体" w:hAnsi="宋体"/>
          <w:b/>
          <w:szCs w:val="28"/>
        </w:rPr>
        <w:t>（</w:t>
      </w:r>
      <w:r>
        <w:rPr>
          <w:rFonts w:ascii="宋体" w:hAnsi="宋体"/>
          <w:b/>
          <w:szCs w:val="28"/>
        </w:rPr>
        <w:t>乙方</w:t>
      </w:r>
      <w:r>
        <w:rPr>
          <w:rFonts w:hint="eastAsia" w:ascii="宋体" w:hAnsi="宋体"/>
          <w:b/>
          <w:szCs w:val="28"/>
        </w:rPr>
        <w:t>）：</w:t>
      </w:r>
      <w:r>
        <w:rPr>
          <w:rFonts w:hint="eastAsia" w:ascii="宋体" w:hAnsi="宋体"/>
          <w:b/>
          <w:szCs w:val="28"/>
          <w:u w:val="single"/>
        </w:rPr>
        <w:t xml:space="preserve">   （盖章）      </w:t>
      </w:r>
    </w:p>
    <w:p>
      <w:pPr>
        <w:spacing w:line="480" w:lineRule="auto"/>
        <w:ind w:firstLine="482" w:firstLineChars="200"/>
        <w:rPr>
          <w:rFonts w:ascii="宋体" w:hAnsi="宋体"/>
          <w:b/>
          <w:szCs w:val="28"/>
          <w:u w:val="single"/>
        </w:rPr>
      </w:pPr>
      <w:r>
        <w:rPr>
          <w:rFonts w:ascii="宋体" w:hAnsi="宋体"/>
          <w:b/>
          <w:szCs w:val="28"/>
        </w:rPr>
        <w:t>采购日期</w:t>
      </w:r>
      <w:r>
        <w:rPr>
          <w:rFonts w:hint="eastAsia" w:ascii="宋体" w:hAnsi="宋体"/>
          <w:b/>
          <w:szCs w:val="28"/>
        </w:rPr>
        <w:t>：</w:t>
      </w:r>
    </w:p>
    <w:p>
      <w:pPr>
        <w:spacing w:line="360" w:lineRule="auto"/>
        <w:rPr>
          <w:rFonts w:ascii="宋体" w:hAnsi="宋体" w:cs="宋体"/>
          <w:b/>
        </w:rPr>
      </w:pPr>
      <w:r>
        <w:rPr>
          <w:rFonts w:ascii="宋体" w:hAnsi="宋体"/>
          <w:sz w:val="28"/>
          <w:szCs w:val="28"/>
          <w:u w:val="single"/>
        </w:rPr>
        <w:br w:type="page"/>
      </w:r>
      <w:r>
        <w:rPr>
          <w:rFonts w:hint="eastAsia" w:ascii="宋体" w:hAnsi="宋体" w:cs="宋体"/>
          <w:b/>
        </w:rPr>
        <w:t>采购单位（以下简称甲方）：</w:t>
      </w:r>
    </w:p>
    <w:p>
      <w:pPr>
        <w:spacing w:line="360" w:lineRule="auto"/>
        <w:rPr>
          <w:rFonts w:ascii="宋体" w:hAnsi="宋体" w:cs="宋体"/>
          <w:b/>
        </w:rPr>
      </w:pPr>
      <w:r>
        <w:rPr>
          <w:rFonts w:hint="eastAsia" w:ascii="宋体" w:hAnsi="宋体" w:cs="宋体"/>
          <w:b/>
        </w:rPr>
        <w:t>中标</w:t>
      </w:r>
      <w:r>
        <w:rPr>
          <w:rFonts w:ascii="宋体" w:hAnsi="宋体" w:cs="宋体"/>
          <w:b/>
        </w:rPr>
        <w:t>供应商</w:t>
      </w:r>
      <w:r>
        <w:rPr>
          <w:rFonts w:hint="eastAsia" w:ascii="宋体" w:hAnsi="宋体" w:cs="宋体"/>
          <w:b/>
        </w:rPr>
        <w:t>（</w:t>
      </w:r>
      <w:r>
        <w:rPr>
          <w:rFonts w:ascii="宋体" w:hAnsi="宋体" w:cs="宋体"/>
          <w:b/>
        </w:rPr>
        <w:t>以下简称乙方</w:t>
      </w:r>
      <w:r>
        <w:rPr>
          <w:rFonts w:hint="eastAsia" w:ascii="宋体" w:hAnsi="宋体" w:cs="宋体"/>
          <w:b/>
        </w:rPr>
        <w:t>）：</w:t>
      </w:r>
    </w:p>
    <w:p>
      <w:pPr>
        <w:spacing w:line="360" w:lineRule="auto"/>
        <w:ind w:firstLine="480" w:firstLineChars="200"/>
        <w:rPr>
          <w:rFonts w:ascii="宋体" w:hAnsi="宋体" w:cs="宋体"/>
        </w:rPr>
      </w:pPr>
      <w:r>
        <w:rPr>
          <w:rFonts w:hint="eastAsia" w:ascii="宋体" w:hAnsi="宋体" w:cs="宋体"/>
        </w:rPr>
        <w:t>甲、乙双方根据2020年  月日 设计招标（采购项目编号）的磋商文件要求和采购代理机构出具的《中标通知书》，并经双方协商一致，签订本合同协议书。</w:t>
      </w:r>
    </w:p>
    <w:p>
      <w:pPr>
        <w:spacing w:line="360" w:lineRule="auto"/>
        <w:rPr>
          <w:rFonts w:ascii="宋体" w:hAnsi="宋体" w:cs="宋体"/>
          <w:b/>
        </w:rPr>
      </w:pPr>
      <w:r>
        <w:rPr>
          <w:rFonts w:ascii="宋体" w:hAnsi="宋体" w:cs="宋体"/>
          <w:b/>
        </w:rPr>
        <w:t>一</w:t>
      </w:r>
      <w:r>
        <w:rPr>
          <w:rFonts w:hint="eastAsia" w:ascii="宋体" w:hAnsi="宋体" w:cs="宋体"/>
          <w:b/>
        </w:rPr>
        <w:t>、签订本政府采购合同的依据</w:t>
      </w:r>
    </w:p>
    <w:p>
      <w:pPr>
        <w:spacing w:line="360" w:lineRule="auto"/>
        <w:ind w:firstLine="480" w:firstLineChars="200"/>
        <w:rPr>
          <w:rFonts w:ascii="宋体" w:hAnsi="宋体" w:cs="宋体"/>
        </w:rPr>
      </w:pPr>
      <w:r>
        <w:rPr>
          <w:rFonts w:hint="eastAsia" w:ascii="宋体" w:hAnsi="宋体" w:cs="宋体"/>
        </w:rPr>
        <w:t>本政府采购合同所附下列文件是构成本政府采购合同不可分割的部分：</w:t>
      </w:r>
    </w:p>
    <w:p>
      <w:pPr>
        <w:spacing w:line="360" w:lineRule="auto"/>
        <w:rPr>
          <w:rFonts w:ascii="宋体" w:hAnsi="宋体" w:cs="宋体"/>
        </w:rPr>
      </w:pPr>
      <w:r>
        <w:rPr>
          <w:rFonts w:hint="eastAsia" w:ascii="宋体" w:hAnsi="宋体" w:cs="宋体"/>
        </w:rPr>
        <w:t>1．磋商文件；</w:t>
      </w:r>
    </w:p>
    <w:p>
      <w:pPr>
        <w:spacing w:line="360" w:lineRule="auto"/>
        <w:rPr>
          <w:rFonts w:ascii="宋体" w:hAnsi="宋体" w:cs="宋体"/>
        </w:rPr>
      </w:pPr>
      <w:r>
        <w:rPr>
          <w:rFonts w:hint="eastAsia" w:ascii="宋体" w:hAnsi="宋体" w:cs="宋体"/>
        </w:rPr>
        <w:t>2．磋商文件的更正、变更公告；</w:t>
      </w:r>
    </w:p>
    <w:p>
      <w:pPr>
        <w:spacing w:line="360" w:lineRule="auto"/>
        <w:rPr>
          <w:rFonts w:ascii="宋体" w:hAnsi="宋体" w:cs="宋体"/>
        </w:rPr>
      </w:pPr>
      <w:r>
        <w:rPr>
          <w:rFonts w:hint="eastAsia" w:ascii="宋体" w:hAnsi="宋体" w:cs="宋体"/>
        </w:rPr>
        <w:t>3．中标磋商供应商提交的磋商响应文件；</w:t>
      </w:r>
    </w:p>
    <w:p>
      <w:pPr>
        <w:spacing w:line="360" w:lineRule="auto"/>
        <w:rPr>
          <w:rFonts w:ascii="宋体" w:hAnsi="宋体" w:cs="宋体"/>
        </w:rPr>
      </w:pPr>
      <w:r>
        <w:rPr>
          <w:rFonts w:hint="eastAsia" w:ascii="宋体" w:hAnsi="宋体" w:cs="宋体"/>
        </w:rPr>
        <w:t>4．磋商文件中规定的政府采购合同通用条款；</w:t>
      </w:r>
    </w:p>
    <w:p>
      <w:pPr>
        <w:spacing w:line="360" w:lineRule="auto"/>
        <w:rPr>
          <w:rFonts w:ascii="宋体" w:hAnsi="宋体" w:cs="宋体"/>
        </w:rPr>
      </w:pPr>
      <w:r>
        <w:rPr>
          <w:rFonts w:hint="eastAsia" w:ascii="宋体" w:hAnsi="宋体" w:cs="宋体"/>
        </w:rPr>
        <w:t>5．成交通知书；</w:t>
      </w:r>
    </w:p>
    <w:p>
      <w:pPr>
        <w:spacing w:line="360" w:lineRule="auto"/>
        <w:rPr>
          <w:rFonts w:ascii="宋体" w:hAnsi="宋体"/>
          <w:b/>
        </w:rPr>
      </w:pPr>
      <w:r>
        <w:rPr>
          <w:rFonts w:hint="eastAsia" w:ascii="宋体" w:hAnsi="宋体"/>
          <w:b/>
        </w:rPr>
        <w:t xml:space="preserve">二、合同标的及金额                                          </w:t>
      </w:r>
      <w:r>
        <w:rPr>
          <w:rFonts w:hint="eastAsia" w:ascii="宋体" w:hAnsi="宋体"/>
        </w:rPr>
        <w:t>单位：    元</w:t>
      </w:r>
    </w:p>
    <w:tbl>
      <w:tblPr>
        <w:tblStyle w:val="15"/>
        <w:tblW w:w="9644" w:type="dxa"/>
        <w:jc w:val="center"/>
        <w:tblInd w:w="0" w:type="dxa"/>
        <w:tblLayout w:type="fixed"/>
        <w:tblCellMar>
          <w:top w:w="0" w:type="dxa"/>
          <w:left w:w="108" w:type="dxa"/>
          <w:bottom w:w="0" w:type="dxa"/>
          <w:right w:w="108" w:type="dxa"/>
        </w:tblCellMar>
      </w:tblPr>
      <w:tblGrid>
        <w:gridCol w:w="1265"/>
        <w:gridCol w:w="1260"/>
        <w:gridCol w:w="1308"/>
        <w:gridCol w:w="708"/>
        <w:gridCol w:w="1560"/>
        <w:gridCol w:w="1417"/>
        <w:gridCol w:w="2126"/>
      </w:tblGrid>
      <w:tr>
        <w:tblPrEx>
          <w:tblLayout w:type="fixed"/>
          <w:tblCellMar>
            <w:top w:w="0" w:type="dxa"/>
            <w:left w:w="108" w:type="dxa"/>
            <w:bottom w:w="0" w:type="dxa"/>
            <w:right w:w="108" w:type="dxa"/>
          </w:tblCellMar>
        </w:tblPrEx>
        <w:trPr>
          <w:trHeight w:val="757" w:hRule="atLeast"/>
          <w:jc w:val="center"/>
        </w:trPr>
        <w:tc>
          <w:tcPr>
            <w:tcW w:w="126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szCs w:val="22"/>
              </w:rPr>
            </w:pPr>
            <w:r>
              <w:rPr>
                <w:rFonts w:hint="eastAsia" w:ascii="宋体" w:hAnsi="宋体"/>
              </w:rPr>
              <w:t>序号</w:t>
            </w:r>
          </w:p>
        </w:tc>
        <w:tc>
          <w:tcPr>
            <w:tcW w:w="1260"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rPr>
            </w:pPr>
            <w:r>
              <w:rPr>
                <w:rFonts w:hint="eastAsia" w:ascii="宋体" w:hAnsi="宋体"/>
              </w:rPr>
              <w:t>标的名称</w:t>
            </w:r>
          </w:p>
        </w:tc>
        <w:tc>
          <w:tcPr>
            <w:tcW w:w="1308"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rPr>
            </w:pPr>
            <w:r>
              <w:rPr>
                <w:rFonts w:hint="eastAsia" w:ascii="宋体" w:hAnsi="宋体"/>
              </w:rPr>
              <w:t>服务内容</w:t>
            </w:r>
          </w:p>
        </w:tc>
        <w:tc>
          <w:tcPr>
            <w:tcW w:w="708"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rPr>
            </w:pPr>
            <w:r>
              <w:rPr>
                <w:rFonts w:hint="eastAsia" w:ascii="宋体" w:hAnsi="宋体"/>
              </w:rPr>
              <w:t>数量</w:t>
            </w:r>
          </w:p>
        </w:tc>
        <w:tc>
          <w:tcPr>
            <w:tcW w:w="1560"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rPr>
            </w:pPr>
            <w:r>
              <w:rPr>
                <w:rFonts w:hint="eastAsia" w:ascii="宋体" w:hAnsi="宋体"/>
              </w:rPr>
              <w:t>单价</w:t>
            </w:r>
          </w:p>
        </w:tc>
        <w:tc>
          <w:tcPr>
            <w:tcW w:w="1417"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rPr>
            </w:pPr>
            <w:r>
              <w:rPr>
                <w:rFonts w:hint="eastAsia" w:ascii="宋体" w:hAnsi="宋体"/>
              </w:rPr>
              <w:t>总价</w:t>
            </w:r>
          </w:p>
        </w:tc>
        <w:tc>
          <w:tcPr>
            <w:tcW w:w="2126"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rPr>
            </w:pPr>
            <w:r>
              <w:rPr>
                <w:rFonts w:hint="eastAsia" w:ascii="宋体" w:hAnsi="宋体"/>
              </w:rPr>
              <w:t>备注</w:t>
            </w:r>
          </w:p>
        </w:tc>
      </w:tr>
      <w:tr>
        <w:tblPrEx>
          <w:tblLayout w:type="fixed"/>
          <w:tblCellMar>
            <w:top w:w="0" w:type="dxa"/>
            <w:left w:w="108" w:type="dxa"/>
            <w:bottom w:w="0" w:type="dxa"/>
            <w:right w:w="108" w:type="dxa"/>
          </w:tblCellMar>
        </w:tblPrEx>
        <w:trPr>
          <w:trHeight w:val="564" w:hRule="atLeast"/>
          <w:jc w:val="center"/>
        </w:trPr>
        <w:tc>
          <w:tcPr>
            <w:tcW w:w="1265" w:type="dxa"/>
            <w:tcBorders>
              <w:top w:val="nil"/>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rPr>
            </w:pPr>
            <w:r>
              <w:rPr>
                <w:rFonts w:hint="eastAsia" w:ascii="宋体" w:hAnsi="宋体"/>
              </w:rPr>
              <w:t>1</w:t>
            </w:r>
          </w:p>
        </w:tc>
        <w:tc>
          <w:tcPr>
            <w:tcW w:w="126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rPr>
            </w:pPr>
          </w:p>
        </w:tc>
        <w:tc>
          <w:tcPr>
            <w:tcW w:w="130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rPr>
            </w:pPr>
          </w:p>
        </w:tc>
        <w:tc>
          <w:tcPr>
            <w:tcW w:w="70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rPr>
            </w:pPr>
          </w:p>
        </w:tc>
        <w:tc>
          <w:tcPr>
            <w:tcW w:w="156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rPr>
            </w:pPr>
          </w:p>
        </w:tc>
        <w:tc>
          <w:tcPr>
            <w:tcW w:w="1417" w:type="dxa"/>
            <w:tcBorders>
              <w:top w:val="nil"/>
              <w:left w:val="nil"/>
              <w:bottom w:val="single" w:color="auto" w:sz="4" w:space="0"/>
              <w:right w:val="nil"/>
            </w:tcBorders>
            <w:shd w:val="clear" w:color="auto" w:fill="FFFFFF"/>
            <w:vAlign w:val="center"/>
          </w:tcPr>
          <w:p>
            <w:pPr>
              <w:spacing w:line="360" w:lineRule="auto"/>
              <w:jc w:val="center"/>
              <w:rPr>
                <w:rFonts w:ascii="宋体" w:hAnsi="宋体"/>
              </w:rPr>
            </w:pPr>
          </w:p>
        </w:tc>
        <w:tc>
          <w:tcPr>
            <w:tcW w:w="2126" w:type="dxa"/>
            <w:tcBorders>
              <w:top w:val="nil"/>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rPr>
            </w:pPr>
          </w:p>
        </w:tc>
      </w:tr>
      <w:tr>
        <w:tblPrEx>
          <w:tblLayout w:type="fixed"/>
          <w:tblCellMar>
            <w:top w:w="0" w:type="dxa"/>
            <w:left w:w="108" w:type="dxa"/>
            <w:bottom w:w="0" w:type="dxa"/>
            <w:right w:w="108" w:type="dxa"/>
          </w:tblCellMar>
        </w:tblPrEx>
        <w:trPr>
          <w:trHeight w:val="702" w:hRule="atLeast"/>
          <w:jc w:val="center"/>
        </w:trPr>
        <w:tc>
          <w:tcPr>
            <w:tcW w:w="1265" w:type="dxa"/>
            <w:tcBorders>
              <w:top w:val="nil"/>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rPr>
            </w:pPr>
            <w:r>
              <w:rPr>
                <w:rFonts w:hint="eastAsia" w:ascii="宋体" w:hAnsi="宋体"/>
              </w:rPr>
              <w:t>2</w:t>
            </w:r>
          </w:p>
        </w:tc>
        <w:tc>
          <w:tcPr>
            <w:tcW w:w="126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rPr>
            </w:pPr>
          </w:p>
        </w:tc>
        <w:tc>
          <w:tcPr>
            <w:tcW w:w="130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rPr>
            </w:pPr>
          </w:p>
        </w:tc>
        <w:tc>
          <w:tcPr>
            <w:tcW w:w="708"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rPr>
            </w:pPr>
          </w:p>
        </w:tc>
        <w:tc>
          <w:tcPr>
            <w:tcW w:w="156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rPr>
            </w:pPr>
          </w:p>
        </w:tc>
        <w:tc>
          <w:tcPr>
            <w:tcW w:w="1417" w:type="dxa"/>
            <w:tcBorders>
              <w:top w:val="nil"/>
              <w:left w:val="nil"/>
              <w:bottom w:val="single" w:color="auto" w:sz="4" w:space="0"/>
              <w:right w:val="nil"/>
            </w:tcBorders>
            <w:shd w:val="clear" w:color="auto" w:fill="FFFFFF"/>
            <w:vAlign w:val="center"/>
          </w:tcPr>
          <w:p>
            <w:pPr>
              <w:spacing w:line="360" w:lineRule="auto"/>
              <w:jc w:val="center"/>
              <w:rPr>
                <w:rFonts w:ascii="宋体" w:hAnsi="宋体"/>
              </w:rPr>
            </w:pPr>
          </w:p>
        </w:tc>
        <w:tc>
          <w:tcPr>
            <w:tcW w:w="2126" w:type="dxa"/>
            <w:tcBorders>
              <w:top w:val="nil"/>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rPr>
            </w:pPr>
          </w:p>
        </w:tc>
      </w:tr>
      <w:tr>
        <w:tblPrEx>
          <w:tblLayout w:type="fixed"/>
          <w:tblCellMar>
            <w:top w:w="0" w:type="dxa"/>
            <w:left w:w="108" w:type="dxa"/>
            <w:bottom w:w="0" w:type="dxa"/>
            <w:right w:w="108" w:type="dxa"/>
          </w:tblCellMar>
        </w:tblPrEx>
        <w:trPr>
          <w:trHeight w:val="702" w:hRule="atLeast"/>
          <w:jc w:val="center"/>
        </w:trPr>
        <w:tc>
          <w:tcPr>
            <w:tcW w:w="126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rPr>
            </w:pPr>
            <w:r>
              <w:rPr>
                <w:rFonts w:hint="eastAsia" w:ascii="宋体" w:hAnsi="宋体"/>
              </w:rPr>
              <w:t>…</w:t>
            </w:r>
          </w:p>
        </w:tc>
        <w:tc>
          <w:tcPr>
            <w:tcW w:w="1260"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rPr>
            </w:pPr>
          </w:p>
        </w:tc>
        <w:tc>
          <w:tcPr>
            <w:tcW w:w="1308"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rPr>
            </w:pPr>
          </w:p>
        </w:tc>
        <w:tc>
          <w:tcPr>
            <w:tcW w:w="708"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rPr>
            </w:pPr>
          </w:p>
        </w:tc>
        <w:tc>
          <w:tcPr>
            <w:tcW w:w="1560"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rPr>
            </w:pPr>
          </w:p>
        </w:tc>
        <w:tc>
          <w:tcPr>
            <w:tcW w:w="1417" w:type="dxa"/>
            <w:tcBorders>
              <w:top w:val="single" w:color="auto" w:sz="4" w:space="0"/>
              <w:left w:val="nil"/>
              <w:bottom w:val="single" w:color="auto" w:sz="4" w:space="0"/>
              <w:right w:val="nil"/>
            </w:tcBorders>
            <w:shd w:val="clear" w:color="auto" w:fill="FFFFFF"/>
            <w:vAlign w:val="center"/>
          </w:tcPr>
          <w:p>
            <w:pPr>
              <w:spacing w:line="360" w:lineRule="auto"/>
              <w:jc w:val="center"/>
              <w:rPr>
                <w:rFonts w:ascii="宋体" w:hAnsi="宋体"/>
              </w:rPr>
            </w:pPr>
          </w:p>
        </w:tc>
        <w:tc>
          <w:tcPr>
            <w:tcW w:w="212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rPr>
            </w:pPr>
          </w:p>
        </w:tc>
      </w:tr>
    </w:tbl>
    <w:p>
      <w:pPr>
        <w:spacing w:line="360" w:lineRule="auto"/>
        <w:ind w:firstLine="480" w:firstLineChars="200"/>
        <w:rPr>
          <w:rFonts w:ascii="宋体" w:hAnsi="宋体"/>
        </w:rPr>
      </w:pPr>
      <w:r>
        <w:rPr>
          <w:rFonts w:hint="eastAsia" w:ascii="宋体" w:hAnsi="宋体"/>
        </w:rPr>
        <w:t>根据上述政府采购合同文件要求，本政府采购合同的总金额为人民币（大写）元。</w:t>
      </w:r>
    </w:p>
    <w:p>
      <w:pPr>
        <w:spacing w:line="360" w:lineRule="auto"/>
        <w:ind w:firstLine="480" w:firstLineChars="200"/>
        <w:rPr>
          <w:rFonts w:ascii="宋体" w:hAnsi="宋体"/>
        </w:rPr>
      </w:pPr>
      <w:r>
        <w:rPr>
          <w:rFonts w:hint="eastAsia" w:ascii="宋体" w:hAnsi="宋体"/>
        </w:rPr>
        <w:t>本合同以人民币进行结算，合同总价包括：</w:t>
      </w:r>
      <w:r>
        <w:rPr>
          <w:rFonts w:hint="eastAsia" w:ascii="宋体" w:hAnsi="宋体"/>
          <w:szCs w:val="28"/>
        </w:rPr>
        <w:t>完成本服务内容可能发生的各项费用，如人员工资、交通、利润、税金、</w:t>
      </w:r>
      <w:r>
        <w:rPr>
          <w:rFonts w:hint="eastAsia" w:hAnsi="宋体"/>
          <w:szCs w:val="28"/>
        </w:rPr>
        <w:t>招标代理费</w:t>
      </w:r>
      <w:r>
        <w:rPr>
          <w:rFonts w:hint="eastAsia" w:ascii="宋体" w:hAnsi="宋体"/>
          <w:szCs w:val="28"/>
        </w:rPr>
        <w:t>以及所有有关的管理成本和</w:t>
      </w:r>
      <w:r>
        <w:rPr>
          <w:rFonts w:ascii="宋体" w:hAnsi="宋体"/>
          <w:szCs w:val="28"/>
        </w:rPr>
        <w:t>其他不可预见费等全部费用</w:t>
      </w:r>
      <w:r>
        <w:rPr>
          <w:rFonts w:hint="eastAsia" w:ascii="宋体" w:hAnsi="宋体"/>
        </w:rPr>
        <w:t>；</w:t>
      </w:r>
    </w:p>
    <w:p>
      <w:pPr>
        <w:spacing w:line="360" w:lineRule="auto"/>
        <w:rPr>
          <w:rFonts w:ascii="宋体" w:hAnsi="宋体"/>
          <w:b/>
        </w:rPr>
      </w:pPr>
      <w:r>
        <w:rPr>
          <w:rFonts w:hint="eastAsia" w:ascii="宋体" w:hAnsi="宋体"/>
          <w:b/>
        </w:rPr>
        <w:t>三、交付时间、地点和要求</w:t>
      </w:r>
    </w:p>
    <w:p>
      <w:pPr>
        <w:spacing w:line="360" w:lineRule="auto"/>
        <w:rPr>
          <w:rFonts w:ascii="宋体" w:hAnsi="宋体"/>
        </w:rPr>
      </w:pPr>
      <w:r>
        <w:rPr>
          <w:rFonts w:hint="eastAsia" w:ascii="宋体" w:hAnsi="宋体"/>
        </w:rPr>
        <w:t>1.服务期：合同签订后</w:t>
      </w:r>
      <w:r>
        <w:rPr>
          <w:rFonts w:hint="eastAsia" w:ascii="宋体" w:hAnsi="宋体"/>
          <w:u w:val="single"/>
        </w:rPr>
        <w:t>30日历天</w:t>
      </w:r>
      <w:r>
        <w:rPr>
          <w:rFonts w:hint="eastAsia" w:ascii="宋体" w:hAnsi="宋体"/>
        </w:rPr>
        <w:t>编制完成并交付采购人。</w:t>
      </w:r>
    </w:p>
    <w:p>
      <w:pPr>
        <w:spacing w:line="360" w:lineRule="auto"/>
        <w:rPr>
          <w:rFonts w:ascii="宋体" w:hAnsi="宋体"/>
          <w:u w:val="single"/>
        </w:rPr>
      </w:pPr>
      <w:r>
        <w:rPr>
          <w:rFonts w:hint="eastAsia" w:ascii="宋体" w:hAnsi="宋体"/>
        </w:rPr>
        <w:t>2.服务成果：</w:t>
      </w:r>
      <w:r>
        <w:rPr>
          <w:rFonts w:hint="eastAsia" w:ascii="宋体" w:hAnsi="宋体"/>
          <w:lang w:eastAsia="zh-CN"/>
        </w:rPr>
        <w:t>尖扎县环城北路道路工程服务采购项目（第三次）</w:t>
      </w:r>
      <w:r>
        <w:rPr>
          <w:rFonts w:hint="eastAsia" w:ascii="宋体" w:hAnsi="宋体"/>
        </w:rPr>
        <w:t>；</w:t>
      </w:r>
    </w:p>
    <w:p>
      <w:pPr>
        <w:spacing w:line="360" w:lineRule="auto"/>
        <w:rPr>
          <w:rFonts w:ascii="宋体" w:hAnsi="宋体"/>
        </w:rPr>
      </w:pPr>
      <w:r>
        <w:rPr>
          <w:rFonts w:hint="eastAsia" w:ascii="宋体" w:hAnsi="宋体"/>
        </w:rPr>
        <w:t>3.乙方提供不符合磋商响应文件和本合同规定的服务，甲方有权拒绝接受；</w:t>
      </w:r>
    </w:p>
    <w:p>
      <w:pPr>
        <w:spacing w:line="360" w:lineRule="auto"/>
        <w:rPr>
          <w:rFonts w:ascii="宋体" w:hAnsi="宋体"/>
        </w:rPr>
      </w:pPr>
      <w:r>
        <w:rPr>
          <w:rFonts w:hint="eastAsia" w:ascii="宋体" w:hAnsi="宋体"/>
        </w:rPr>
        <w:t>4.甲方应当在服务完成后个工作日内进行评审验收，逾期不评审验收的，乙方可视为验收合格。乙方交稿并通过评审验收后，由甲乙双方签署服务验收单并加盖采购人公章，甲乙双方各执一份；</w:t>
      </w:r>
    </w:p>
    <w:p>
      <w:pPr>
        <w:spacing w:line="360" w:lineRule="auto"/>
        <w:rPr>
          <w:rFonts w:ascii="宋体" w:hAnsi="宋体"/>
        </w:rPr>
      </w:pPr>
      <w:r>
        <w:rPr>
          <w:rFonts w:hint="eastAsia" w:ascii="宋体" w:hAnsi="宋体"/>
        </w:rPr>
        <w:t>5.甲方应提供该项目验收报告交同级财政监管部门，由财政部门按规定程序抽验后办理资金拨付；</w:t>
      </w:r>
    </w:p>
    <w:p>
      <w:pPr>
        <w:spacing w:line="360" w:lineRule="auto"/>
        <w:rPr>
          <w:rFonts w:ascii="宋体" w:hAnsi="宋体"/>
        </w:rPr>
      </w:pPr>
      <w:r>
        <w:rPr>
          <w:rFonts w:hint="eastAsia" w:ascii="宋体" w:hAnsi="宋体"/>
        </w:rPr>
        <w:t>6.甲方在验收过程中发现乙方有违约问题，可按磋商、磋商响应文件的规定要求乙方及时予以解决；</w:t>
      </w:r>
    </w:p>
    <w:p>
      <w:pPr>
        <w:spacing w:line="360" w:lineRule="auto"/>
        <w:rPr>
          <w:rFonts w:ascii="宋体" w:hAnsi="宋体"/>
        </w:rPr>
      </w:pPr>
      <w:r>
        <w:rPr>
          <w:rFonts w:hint="eastAsia" w:ascii="宋体" w:hAnsi="宋体"/>
        </w:rPr>
        <w:t>7.付款前乙方应向甲方提供服务相关完税发票（按甲方需求提供）；</w:t>
      </w:r>
    </w:p>
    <w:p>
      <w:pPr>
        <w:spacing w:line="360" w:lineRule="auto"/>
        <w:rPr>
          <w:rFonts w:ascii="宋体" w:hAnsi="宋体"/>
          <w:b/>
        </w:rPr>
      </w:pPr>
      <w:r>
        <w:rPr>
          <w:rFonts w:hint="eastAsia" w:ascii="宋体" w:hAnsi="宋体"/>
          <w:b/>
        </w:rPr>
        <w:t>四、付款方式</w:t>
      </w:r>
    </w:p>
    <w:p>
      <w:pPr>
        <w:spacing w:line="360" w:lineRule="auto"/>
        <w:rPr>
          <w:rFonts w:ascii="宋体" w:hAnsi="宋体" w:cs="宋体"/>
        </w:rPr>
      </w:pPr>
      <w:r>
        <w:rPr>
          <w:rFonts w:ascii="宋体" w:cs="宋体"/>
          <w:lang w:val="zh-CN"/>
        </w:rPr>
        <w:t>1.</w:t>
      </w:r>
      <w:r>
        <w:rPr>
          <w:rFonts w:ascii="宋体" w:hAnsi="宋体" w:cs="宋体"/>
        </w:rPr>
        <w:t>项目经费确保专款专用，根据目标任务完成情况和绩效评价结果，由本级财政拨付服务经费。支付方式：</w:t>
      </w:r>
      <w:r>
        <w:rPr>
          <w:rFonts w:ascii="宋体" w:hAnsi="宋体" w:cs="宋体"/>
        </w:rPr>
        <w:br w:type="textWrapping"/>
      </w:r>
      <w:r>
        <w:rPr>
          <w:rFonts w:ascii="宋体" w:hAnsi="宋体" w:cs="宋体"/>
        </w:rPr>
        <w:t>A. 分段支付（   ）           B. 按月支付（   ）</w:t>
      </w:r>
      <w:r>
        <w:rPr>
          <w:rFonts w:ascii="宋体" w:hAnsi="宋体" w:cs="宋体"/>
        </w:rPr>
        <w:br w:type="textWrapping"/>
      </w:r>
      <w:r>
        <w:rPr>
          <w:rFonts w:ascii="宋体" w:hAnsi="宋体" w:cs="宋体"/>
        </w:rPr>
        <w:t>C. 按季支付（ ）           D. 项目完成结算 （   ）</w:t>
      </w:r>
    </w:p>
    <w:p>
      <w:pPr>
        <w:spacing w:line="360" w:lineRule="auto"/>
        <w:rPr>
          <w:rFonts w:ascii="宋体" w:hAnsi="宋体" w:cs="宋体"/>
        </w:rPr>
      </w:pPr>
      <w:r>
        <w:rPr>
          <w:rFonts w:hint="eastAsia" w:ascii="宋体" w:hAnsi="宋体" w:cs="宋体"/>
        </w:rPr>
        <w:t>E.  一次性支付（     ）</w:t>
      </w:r>
      <w:r>
        <w:rPr>
          <w:rFonts w:ascii="宋体" w:hAnsi="宋体" w:cs="宋体"/>
        </w:rPr>
        <w:br w:type="textWrapping"/>
      </w:r>
      <w:r>
        <w:rPr>
          <w:rFonts w:ascii="宋体" w:hAnsi="宋体" w:cs="宋体"/>
        </w:rPr>
        <w:t>购买服务价款总额：（大写）</w:t>
      </w:r>
      <w:r>
        <w:rPr>
          <w:rFonts w:ascii="宋体" w:hAnsi="宋体" w:cs="宋体"/>
        </w:rPr>
        <w:br w:type="textWrapping"/>
      </w:r>
      <w:r>
        <w:rPr>
          <w:rFonts w:ascii="宋体" w:hAnsi="宋体" w:cs="宋体"/>
        </w:rPr>
        <w:t>第一次支付时间：</w:t>
      </w:r>
      <w:r>
        <w:rPr>
          <w:rFonts w:ascii="宋体" w:hAnsi="宋体" w:cs="宋体"/>
        </w:rPr>
        <w:br w:type="textWrapping"/>
      </w:r>
      <w:r>
        <w:rPr>
          <w:rFonts w:ascii="宋体" w:hAnsi="宋体" w:cs="宋体"/>
        </w:rPr>
        <w:t>金额〔大写，为价款总额%)：</w:t>
      </w:r>
      <w:r>
        <w:rPr>
          <w:rFonts w:ascii="宋体" w:hAnsi="宋体" w:cs="宋体"/>
        </w:rPr>
        <w:br w:type="textWrapping"/>
      </w:r>
      <w:r>
        <w:rPr>
          <w:rFonts w:hint="eastAsia" w:ascii="宋体" w:hAnsi="宋体" w:cs="宋体"/>
        </w:rPr>
        <w:t>第</w:t>
      </w:r>
      <w:r>
        <w:rPr>
          <w:rFonts w:ascii="宋体" w:hAnsi="宋体" w:cs="宋体"/>
        </w:rPr>
        <w:t>二次支付时间：</w:t>
      </w:r>
      <w:r>
        <w:rPr>
          <w:rFonts w:ascii="宋体" w:hAnsi="宋体" w:cs="宋体"/>
        </w:rPr>
        <w:br w:type="textWrapping"/>
      </w:r>
      <w:r>
        <w:rPr>
          <w:rFonts w:ascii="宋体" w:hAnsi="宋体" w:cs="宋体"/>
        </w:rPr>
        <w:t>金额（大写，为价款总额%)：</w:t>
      </w:r>
      <w:r>
        <w:rPr>
          <w:rFonts w:ascii="宋体" w:hAnsi="宋体" w:cs="宋体"/>
        </w:rPr>
        <w:br w:type="textWrapping"/>
      </w:r>
      <w:r>
        <w:rPr>
          <w:rFonts w:ascii="宋体" w:hAnsi="宋体" w:cs="宋体"/>
        </w:rPr>
        <w:t>第三次支付时间：</w:t>
      </w:r>
      <w:r>
        <w:rPr>
          <w:rFonts w:ascii="宋体" w:hAnsi="宋体" w:cs="宋体"/>
        </w:rPr>
        <w:br w:type="textWrapping"/>
      </w:r>
      <w:r>
        <w:rPr>
          <w:rFonts w:ascii="宋体" w:hAnsi="宋体" w:cs="宋体"/>
        </w:rPr>
        <w:t>金额（大写，为价款总额%)：</w:t>
      </w:r>
      <w:r>
        <w:rPr>
          <w:rFonts w:ascii="宋体" w:hAnsi="宋体" w:cs="宋体"/>
        </w:rPr>
        <w:br w:type="textWrapping"/>
      </w:r>
      <w:r>
        <w:rPr>
          <w:rFonts w:ascii="宋体" w:hAnsi="宋体" w:cs="宋体"/>
        </w:rPr>
        <w:t>第四次支付时间：</w:t>
      </w:r>
      <w:r>
        <w:rPr>
          <w:rFonts w:ascii="宋体" w:hAnsi="宋体" w:cs="宋体"/>
        </w:rPr>
        <w:br w:type="textWrapping"/>
      </w:r>
      <w:r>
        <w:rPr>
          <w:rFonts w:ascii="宋体" w:hAnsi="宋体" w:cs="宋体"/>
        </w:rPr>
        <w:t>金额（大写，为价款总额%)：</w:t>
      </w:r>
      <w:r>
        <w:rPr>
          <w:rFonts w:ascii="宋体" w:hAnsi="宋体" w:cs="宋体"/>
        </w:rPr>
        <w:br w:type="textWrapping"/>
      </w:r>
      <w:r>
        <w:rPr>
          <w:rFonts w:ascii="宋体" w:hAnsi="宋体" w:cs="宋体"/>
        </w:rPr>
        <w:t>本合同预留价款金额：（大写）</w:t>
      </w:r>
      <w:r>
        <w:rPr>
          <w:rFonts w:ascii="宋体" w:hAnsi="宋体" w:cs="宋体"/>
        </w:rPr>
        <w:br w:type="textWrapping"/>
      </w:r>
      <w:r>
        <w:rPr>
          <w:rFonts w:ascii="宋体" w:hAnsi="宋体" w:cs="宋体"/>
        </w:rPr>
        <w:t xml:space="preserve">合同终止后根据绩效评价及合同履行中的过错或过失责任造成经济损失的在清算后支付。 </w:t>
      </w:r>
    </w:p>
    <w:p>
      <w:pPr>
        <w:spacing w:line="360" w:lineRule="auto"/>
        <w:rPr>
          <w:rFonts w:ascii="宋体" w:hAnsi="宋体"/>
          <w:b/>
        </w:rPr>
      </w:pPr>
      <w:r>
        <w:rPr>
          <w:rFonts w:hint="eastAsia" w:ascii="宋体" w:hAnsi="宋体"/>
          <w:b/>
        </w:rPr>
        <w:t>五、合同的变更、终止与转让</w:t>
      </w:r>
    </w:p>
    <w:p>
      <w:pPr>
        <w:spacing w:line="360" w:lineRule="auto"/>
        <w:rPr>
          <w:rFonts w:ascii="宋体" w:hAnsi="宋体"/>
        </w:rPr>
      </w:pPr>
      <w:r>
        <w:rPr>
          <w:rFonts w:hint="eastAsia" w:ascii="宋体" w:hAnsi="宋体"/>
        </w:rPr>
        <w:t>1．除《中华人民共和国政府采购法》第50条规定的情形外，本合同一经签订，甲乙双方不得擅自变更、中止或终止；</w:t>
      </w:r>
    </w:p>
    <w:p>
      <w:pPr>
        <w:spacing w:line="360" w:lineRule="auto"/>
        <w:rPr>
          <w:rFonts w:ascii="宋体" w:hAnsi="宋体"/>
        </w:rPr>
      </w:pPr>
      <w:r>
        <w:rPr>
          <w:rFonts w:hint="eastAsia" w:ascii="宋体" w:hAnsi="宋体"/>
        </w:rPr>
        <w:t>2．乙方不得擅自转让其应履行的合同义务。</w:t>
      </w:r>
    </w:p>
    <w:p>
      <w:pPr>
        <w:spacing w:line="360" w:lineRule="auto"/>
        <w:rPr>
          <w:rFonts w:ascii="宋体" w:hAnsi="宋体"/>
          <w:b/>
        </w:rPr>
      </w:pPr>
      <w:r>
        <w:rPr>
          <w:rFonts w:hint="eastAsia" w:ascii="宋体" w:hAnsi="宋体"/>
          <w:b/>
        </w:rPr>
        <w:t>六、违约责任</w:t>
      </w:r>
    </w:p>
    <w:p>
      <w:pPr>
        <w:spacing w:line="360" w:lineRule="auto"/>
        <w:rPr>
          <w:rFonts w:ascii="宋体" w:hAnsi="宋体"/>
        </w:rPr>
      </w:pPr>
      <w:r>
        <w:rPr>
          <w:rFonts w:hint="eastAsia" w:ascii="宋体" w:hAnsi="宋体"/>
        </w:rPr>
        <w:t>1．除不可抗力外，甲方无故终止合同、不按约定付款、行为视为违约；</w:t>
      </w:r>
    </w:p>
    <w:p>
      <w:pPr>
        <w:spacing w:line="360" w:lineRule="auto"/>
        <w:rPr>
          <w:rFonts w:ascii="宋体" w:hAnsi="宋体"/>
        </w:rPr>
      </w:pPr>
      <w:r>
        <w:rPr>
          <w:rFonts w:hint="eastAsia" w:ascii="宋体" w:hAnsi="宋体"/>
        </w:rPr>
        <w:t>除不可抗力外，乙方未按约定完成目标任务、未达到约定标准的行为视为违约；</w:t>
      </w:r>
    </w:p>
    <w:p>
      <w:pPr>
        <w:spacing w:line="360" w:lineRule="auto"/>
        <w:rPr>
          <w:rFonts w:ascii="宋体" w:hAnsi="宋体"/>
        </w:rPr>
      </w:pPr>
      <w:r>
        <w:rPr>
          <w:rFonts w:hint="eastAsia" w:ascii="宋体" w:hAnsi="宋体"/>
        </w:rPr>
        <w:t>2．甲方无故延期验收或乙方逾期完成服务的，每天应向对方支付合同总价款3‰的违约金，但违约金累计不得超过合同总款的5%，超过10天守约方有权解除合同，违约方承担因此给对方造成的经济损失；</w:t>
      </w:r>
    </w:p>
    <w:p>
      <w:pPr>
        <w:spacing w:line="360" w:lineRule="auto"/>
        <w:rPr>
          <w:rFonts w:ascii="宋体" w:hAnsi="宋体"/>
        </w:rPr>
      </w:pPr>
      <w:r>
        <w:rPr>
          <w:rFonts w:hint="eastAsia" w:ascii="宋体" w:hAnsi="宋体"/>
        </w:rPr>
        <w:t>3．乙方未按本合同和投标文件中规定的服务履行义务的，乙方应按本合同总金额的5%向甲方支付违约金；</w:t>
      </w:r>
    </w:p>
    <w:p>
      <w:pPr>
        <w:spacing w:line="360" w:lineRule="auto"/>
        <w:rPr>
          <w:rFonts w:ascii="宋体" w:hAnsi="宋体"/>
        </w:rPr>
      </w:pPr>
      <w:r>
        <w:rPr>
          <w:rFonts w:hint="eastAsia" w:ascii="宋体" w:hAnsi="宋体"/>
        </w:rPr>
        <w:t>4．乙方其它违约行为按合同总价款5%向甲方承担违约金并赔偿经济损失。</w:t>
      </w:r>
    </w:p>
    <w:p>
      <w:pPr>
        <w:spacing w:line="360" w:lineRule="auto"/>
        <w:rPr>
          <w:rFonts w:ascii="宋体" w:hAnsi="宋体"/>
          <w:b/>
        </w:rPr>
      </w:pPr>
      <w:r>
        <w:rPr>
          <w:rFonts w:hint="eastAsia" w:ascii="宋体" w:hAnsi="宋体"/>
          <w:b/>
        </w:rPr>
        <w:t>七、不可抗力</w:t>
      </w:r>
    </w:p>
    <w:p>
      <w:pPr>
        <w:spacing w:line="360" w:lineRule="auto"/>
        <w:rPr>
          <w:rFonts w:ascii="宋体" w:hAnsi="宋体"/>
        </w:rPr>
      </w:pPr>
      <w:r>
        <w:rPr>
          <w:rFonts w:hint="eastAsia" w:ascii="宋体" w:hAnsi="宋体"/>
        </w:rPr>
        <w:t>1．不可抗力使合同的某些内容有变更必要的，双方应通过协商在</w:t>
      </w:r>
      <w:r>
        <w:rPr>
          <w:rFonts w:ascii="宋体" w:hAnsi="宋体"/>
          <w:u w:val="single"/>
        </w:rPr>
        <w:t>3</w:t>
      </w:r>
      <w:r>
        <w:rPr>
          <w:rFonts w:hint="eastAsia" w:ascii="宋体" w:hAnsi="宋体"/>
        </w:rPr>
        <w:t>天内达成进一步履行合同的协议，因不可抗力致使合同不能履行的，合同终止；</w:t>
      </w:r>
    </w:p>
    <w:p>
      <w:pPr>
        <w:spacing w:line="360" w:lineRule="auto"/>
        <w:rPr>
          <w:rFonts w:ascii="宋体" w:hAnsi="宋体"/>
        </w:rPr>
      </w:pPr>
      <w:r>
        <w:rPr>
          <w:rFonts w:hint="eastAsia" w:ascii="宋体" w:hAnsi="宋体"/>
        </w:rPr>
        <w:t>2．除法律、法规规定的不可抗力情形外，双方约定出现</w:t>
      </w:r>
      <w:r>
        <w:rPr>
          <w:rFonts w:hint="eastAsia" w:ascii="宋体" w:hAnsi="宋体"/>
          <w:u w:val="single"/>
        </w:rPr>
        <w:t xml:space="preserve"> / </w:t>
      </w:r>
      <w:r>
        <w:rPr>
          <w:rFonts w:hint="eastAsia" w:ascii="宋体" w:hAnsi="宋体"/>
        </w:rPr>
        <w:t>情况亦视为不可抗力。</w:t>
      </w:r>
    </w:p>
    <w:p>
      <w:pPr>
        <w:spacing w:line="360" w:lineRule="auto"/>
        <w:rPr>
          <w:rFonts w:ascii="宋体" w:hAnsi="宋体"/>
          <w:b/>
        </w:rPr>
      </w:pPr>
      <w:r>
        <w:rPr>
          <w:rFonts w:hint="eastAsia" w:ascii="宋体" w:hAnsi="宋体"/>
          <w:b/>
        </w:rPr>
        <w:t>八、知识产权：</w:t>
      </w:r>
    </w:p>
    <w:p>
      <w:pPr>
        <w:spacing w:line="360" w:lineRule="auto"/>
        <w:rPr>
          <w:rFonts w:ascii="宋体" w:hAnsi="宋体"/>
          <w:bCs/>
        </w:rPr>
      </w:pPr>
      <w:r>
        <w:rPr>
          <w:rFonts w:hint="eastAsia" w:ascii="宋体" w:hAnsi="宋体"/>
          <w:bCs/>
        </w:rPr>
        <w:t>1.乙方保证在履行本合同中不侵犯任何第三人的知识产权，如侵权，由乙方承担全部法律责任。</w:t>
      </w:r>
    </w:p>
    <w:p>
      <w:pPr>
        <w:spacing w:line="360" w:lineRule="auto"/>
        <w:rPr>
          <w:rFonts w:ascii="宋体" w:hAnsi="宋体"/>
          <w:b/>
        </w:rPr>
      </w:pPr>
      <w:r>
        <w:rPr>
          <w:rFonts w:hint="eastAsia" w:ascii="宋体" w:hAnsi="宋体"/>
          <w:bCs/>
        </w:rPr>
        <w:t>2.乙方完成的规划编制方案的知识产权归甲方所有，未经甲方书面许可，乙方不得用于除履行本合同之外的其他用途。</w:t>
      </w:r>
    </w:p>
    <w:p>
      <w:pPr>
        <w:spacing w:line="360" w:lineRule="auto"/>
        <w:rPr>
          <w:rFonts w:ascii="宋体" w:hAnsi="宋体"/>
          <w:b/>
        </w:rPr>
      </w:pPr>
      <w:r>
        <w:rPr>
          <w:rFonts w:hint="eastAsia" w:ascii="宋体" w:hAnsi="宋体"/>
          <w:b/>
        </w:rPr>
        <w:t>九、其他约定：</w:t>
      </w:r>
    </w:p>
    <w:p>
      <w:pPr>
        <w:spacing w:line="360" w:lineRule="auto"/>
        <w:rPr>
          <w:rFonts w:ascii="宋体" w:hAnsi="宋体" w:cs="宋体"/>
        </w:rPr>
      </w:pPr>
      <w:r>
        <w:rPr>
          <w:rFonts w:hint="eastAsia" w:ascii="宋体" w:hAnsi="宋体" w:cs="宋体"/>
        </w:rPr>
        <w:t>1、乙方应当对本协议的内容、因履行本协议或在本协议期间获得的或收到的甲方的商务、财务、技术、产品的信息、用户资料或其他标明保密的文件或信息的内容(简称“保密资料”)保守秘密，未经信息披露方书面事先同意，不得向本协议以外的任何第三方披露。乙方可仅为本协议目的向其确有知悉必要的雇员披露对方提供的保密资料，但同时须指示其雇员遵守本条规定的保密及不披露义务。乙方应仅为本协议目的而复制和使用保密资料。</w:t>
      </w:r>
    </w:p>
    <w:p>
      <w:pPr>
        <w:spacing w:line="360" w:lineRule="auto"/>
        <w:rPr>
          <w:rFonts w:ascii="宋体" w:hAnsi="宋体"/>
          <w:b/>
        </w:rPr>
      </w:pPr>
      <w:r>
        <w:rPr>
          <w:rFonts w:hint="eastAsia" w:ascii="宋体" w:hAnsi="宋体" w:cs="宋体"/>
        </w:rPr>
        <w:t xml:space="preserve"> 2、除非得到甲方的书面许可，乙方不得将本合同中的内容及在本合同执行过程中获得的甲方的信息向任何第三方泄露。</w:t>
      </w:r>
      <w:r>
        <w:rPr>
          <w:rFonts w:hint="eastAsia" w:ascii="宋体" w:hAnsi="宋体" w:cs="宋体"/>
        </w:rPr>
        <w:cr/>
      </w:r>
      <w:r>
        <w:rPr>
          <w:rFonts w:hint="eastAsia" w:ascii="宋体" w:hAnsi="宋体" w:cs="宋体"/>
        </w:rPr>
        <w:t>3、本保密义务应在本协议期满、解除或终止后仍然有效。</w:t>
      </w:r>
    </w:p>
    <w:p>
      <w:pPr>
        <w:spacing w:line="360" w:lineRule="auto"/>
        <w:rPr>
          <w:rFonts w:ascii="宋体" w:hAnsi="宋体"/>
          <w:b/>
        </w:rPr>
      </w:pPr>
      <w:r>
        <w:rPr>
          <w:rFonts w:hint="eastAsia" w:ascii="宋体" w:hAnsi="宋体"/>
          <w:b/>
        </w:rPr>
        <w:t>十、合同争议解决</w:t>
      </w:r>
    </w:p>
    <w:p>
      <w:pPr>
        <w:spacing w:line="360" w:lineRule="auto"/>
        <w:rPr>
          <w:rFonts w:ascii="宋体" w:hAnsi="宋体"/>
        </w:rPr>
      </w:pPr>
      <w:r>
        <w:rPr>
          <w:rFonts w:hint="eastAsia" w:ascii="宋体" w:hAnsi="宋体"/>
        </w:rPr>
        <w:t>1．因履行本合同引起的或与本合同有关的争议，甲乙双方应首先通过友好协商解决，如果协商不能解决，可向甲方所在地仲裁委员会申请仲裁或向甲方所在地人民法院提起诉讼；</w:t>
      </w:r>
    </w:p>
    <w:p>
      <w:pPr>
        <w:spacing w:line="360" w:lineRule="auto"/>
        <w:rPr>
          <w:rFonts w:ascii="宋体" w:hAnsi="宋体"/>
        </w:rPr>
      </w:pPr>
      <w:r>
        <w:rPr>
          <w:rFonts w:hint="eastAsia" w:ascii="宋体" w:hAnsi="宋体"/>
        </w:rPr>
        <w:t>2．仲裁期间，双方无争议的合同部分继续履行。</w:t>
      </w:r>
    </w:p>
    <w:p>
      <w:pPr>
        <w:spacing w:line="360" w:lineRule="auto"/>
        <w:rPr>
          <w:rFonts w:ascii="宋体" w:hAnsi="宋体"/>
          <w:b/>
        </w:rPr>
      </w:pPr>
      <w:r>
        <w:rPr>
          <w:rFonts w:hint="eastAsia" w:ascii="宋体" w:hAnsi="宋体"/>
          <w:b/>
        </w:rPr>
        <w:t>十一、合同生效及其它：</w:t>
      </w:r>
    </w:p>
    <w:p>
      <w:pPr>
        <w:spacing w:line="360" w:lineRule="auto"/>
        <w:rPr>
          <w:rFonts w:ascii="宋体" w:hAnsi="宋体"/>
        </w:rPr>
      </w:pPr>
      <w:r>
        <w:rPr>
          <w:rFonts w:hint="eastAsia" w:ascii="宋体" w:hAnsi="宋体"/>
        </w:rPr>
        <w:t>1．本合同一式八份，经双方法定代表人或委托代理人签字，并加盖公章生效；</w:t>
      </w:r>
    </w:p>
    <w:p>
      <w:pPr>
        <w:spacing w:line="360" w:lineRule="auto"/>
        <w:rPr>
          <w:rFonts w:ascii="宋体" w:hAnsi="宋体"/>
        </w:rPr>
      </w:pPr>
      <w:r>
        <w:rPr>
          <w:rFonts w:hint="eastAsia" w:ascii="宋体" w:hAnsi="宋体"/>
        </w:rPr>
        <w:t>2．本合同未尽事宜，按《合同法》有关规定处理；</w:t>
      </w:r>
    </w:p>
    <w:p>
      <w:pPr>
        <w:spacing w:line="360" w:lineRule="auto"/>
        <w:rPr>
          <w:rFonts w:ascii="宋体" w:hAnsi="宋体"/>
        </w:rPr>
      </w:pPr>
      <w:r>
        <w:rPr>
          <w:rFonts w:hint="eastAsia" w:ascii="宋体" w:hAnsi="宋体"/>
        </w:rPr>
        <w:t>3．本合同的组成包含《合同通用条款》，可自行在青海政府采购网下载《合同通用条款》通用条款与专用条款不一致的，适用专用条款。</w:t>
      </w:r>
    </w:p>
    <w:p>
      <w:pPr>
        <w:spacing w:line="360" w:lineRule="auto"/>
        <w:rPr>
          <w:rFonts w:ascii="宋体" w:hAnsi="宋体"/>
        </w:rPr>
      </w:pPr>
      <w:r>
        <w:rPr>
          <w:rFonts w:hint="eastAsia" w:ascii="宋体" w:hAnsi="宋体"/>
        </w:rPr>
        <w:t>甲方（盖章）：   乙方（盖章）：</w:t>
      </w:r>
    </w:p>
    <w:p>
      <w:pPr>
        <w:spacing w:line="360" w:lineRule="auto"/>
        <w:rPr>
          <w:rFonts w:ascii="宋体" w:hAnsi="宋体"/>
        </w:rPr>
      </w:pPr>
      <w:r>
        <w:rPr>
          <w:rFonts w:hint="eastAsia" w:ascii="宋体" w:hAnsi="宋体"/>
        </w:rPr>
        <w:t>法定代表人（签字）：    法定代表人（签字）：</w:t>
      </w:r>
    </w:p>
    <w:p>
      <w:pPr>
        <w:spacing w:line="360" w:lineRule="auto"/>
        <w:rPr>
          <w:rFonts w:ascii="宋体" w:hAnsi="宋体"/>
        </w:rPr>
      </w:pPr>
      <w:r>
        <w:rPr>
          <w:rFonts w:hint="eastAsia" w:ascii="宋体" w:hAnsi="宋体"/>
        </w:rPr>
        <w:t>委托代理人:                         委托代理人：</w:t>
      </w:r>
    </w:p>
    <w:p>
      <w:pPr>
        <w:spacing w:line="360" w:lineRule="auto"/>
        <w:rPr>
          <w:rFonts w:ascii="宋体" w:hAnsi="宋体"/>
        </w:rPr>
      </w:pPr>
      <w:r>
        <w:rPr>
          <w:rFonts w:hint="eastAsia" w:ascii="宋体" w:hAnsi="宋体"/>
        </w:rPr>
        <w:t>联系电话：   开户银行：</w:t>
      </w:r>
    </w:p>
    <w:p>
      <w:pPr>
        <w:spacing w:line="360" w:lineRule="auto"/>
        <w:ind w:firstLine="4320" w:firstLineChars="1800"/>
        <w:rPr>
          <w:rFonts w:ascii="宋体" w:hAnsi="宋体"/>
        </w:rPr>
      </w:pPr>
      <w:r>
        <w:rPr>
          <w:rFonts w:hint="eastAsia" w:ascii="宋体" w:hAnsi="宋体"/>
        </w:rPr>
        <w:t>账号：</w:t>
      </w:r>
    </w:p>
    <w:p>
      <w:pPr>
        <w:spacing w:line="360" w:lineRule="auto"/>
        <w:ind w:firstLine="4320" w:firstLineChars="1800"/>
        <w:rPr>
          <w:rFonts w:ascii="宋体" w:hAnsi="宋体"/>
        </w:rPr>
      </w:pPr>
      <w:r>
        <w:rPr>
          <w:rFonts w:hint="eastAsia" w:ascii="宋体" w:hAnsi="宋体"/>
        </w:rPr>
        <w:t>联系电话：</w:t>
      </w:r>
    </w:p>
    <w:p>
      <w:pPr>
        <w:spacing w:line="360" w:lineRule="auto"/>
        <w:rPr>
          <w:rFonts w:ascii="宋体" w:hAnsi="宋体" w:cs="宋体"/>
        </w:rPr>
      </w:pPr>
      <w:r>
        <w:rPr>
          <w:rFonts w:hint="eastAsia" w:ascii="宋体" w:hAnsi="宋体"/>
        </w:rPr>
        <w:t>签约时间：    年  月  日</w:t>
      </w:r>
    </w:p>
    <w:p>
      <w:pPr>
        <w:spacing w:line="360" w:lineRule="auto"/>
        <w:rPr>
          <w:rFonts w:ascii="宋体" w:hAnsi="宋体"/>
        </w:rPr>
      </w:pPr>
      <w:r>
        <w:rPr>
          <w:rFonts w:hint="eastAsia" w:ascii="宋体" w:hAnsi="宋体"/>
        </w:rPr>
        <w:t>采购代理机构：</w:t>
      </w:r>
    </w:p>
    <w:p>
      <w:pPr>
        <w:spacing w:line="360" w:lineRule="auto"/>
        <w:rPr>
          <w:rFonts w:ascii="宋体" w:hAnsi="宋体"/>
        </w:rPr>
      </w:pPr>
      <w:r>
        <w:rPr>
          <w:rFonts w:hint="eastAsia" w:ascii="宋体" w:hAnsi="宋体"/>
        </w:rPr>
        <w:t>负责人或经办人：</w:t>
      </w:r>
    </w:p>
    <w:p>
      <w:pPr>
        <w:spacing w:line="360" w:lineRule="auto"/>
        <w:jc w:val="center"/>
        <w:rPr>
          <w:rFonts w:ascii="宋体" w:hAnsi="宋体"/>
        </w:rPr>
      </w:pPr>
    </w:p>
    <w:p>
      <w:pPr>
        <w:spacing w:line="360" w:lineRule="auto"/>
        <w:jc w:val="center"/>
        <w:rPr>
          <w:rFonts w:ascii="宋体" w:hAnsi="宋体"/>
        </w:rPr>
      </w:pPr>
      <w:r>
        <w:rPr>
          <w:rFonts w:hint="eastAsia" w:ascii="宋体" w:hAnsi="宋体"/>
        </w:rPr>
        <w:t xml:space="preserve">                                            合同备案日期：  年  月  日</w:t>
      </w:r>
      <w:r>
        <w:rPr>
          <w:rFonts w:ascii="宋体" w:hAnsi="宋体"/>
          <w:szCs w:val="28"/>
        </w:rPr>
        <w:br w:type="page"/>
      </w:r>
      <w:r>
        <w:rPr>
          <w:rFonts w:hint="eastAsia" w:ascii="宋体" w:hAnsi="宋体"/>
          <w:b/>
          <w:sz w:val="28"/>
          <w:szCs w:val="28"/>
        </w:rPr>
        <w:t>合同通用条款</w:t>
      </w:r>
    </w:p>
    <w:p>
      <w:pPr>
        <w:spacing w:line="360" w:lineRule="auto"/>
        <w:ind w:firstLine="480" w:firstLineChars="200"/>
        <w:rPr>
          <w:rFonts w:ascii="宋体" w:hAnsi="宋体" w:cs="宋体"/>
        </w:rPr>
      </w:pPr>
      <w:r>
        <w:rPr>
          <w:rFonts w:hint="eastAsia" w:ascii="宋体" w:hAnsi="宋体" w:cs="宋体"/>
          <w:lang w:val="zh-CN"/>
        </w:rPr>
        <w:t>根据《中华人民共和国合同法》、《中华人民共和国政府采购法》的规定，合同双方经协商达成一致，自愿订立本合同，遵循公平原则明确双方的权利、义务，确保双方诚实守信地履行合同。</w:t>
      </w:r>
    </w:p>
    <w:p>
      <w:pPr>
        <w:numPr>
          <w:ilvl w:val="0"/>
          <w:numId w:val="5"/>
        </w:numPr>
        <w:spacing w:line="360" w:lineRule="auto"/>
        <w:rPr>
          <w:rFonts w:ascii="宋体" w:hAnsi="宋体" w:cs="宋体"/>
          <w:b/>
          <w:bCs/>
        </w:rPr>
      </w:pPr>
      <w:r>
        <w:rPr>
          <w:rFonts w:hint="eastAsia" w:ascii="宋体" w:hAnsi="宋体" w:cs="宋体"/>
          <w:b/>
          <w:bCs/>
          <w:lang w:val="zh-CN"/>
        </w:rPr>
        <w:t>定义</w:t>
      </w:r>
    </w:p>
    <w:p>
      <w:pPr>
        <w:spacing w:line="360" w:lineRule="auto"/>
        <w:ind w:firstLine="480" w:firstLineChars="200"/>
        <w:rPr>
          <w:rFonts w:ascii="宋体" w:hAnsi="宋体" w:cs="宋体"/>
        </w:rPr>
      </w:pPr>
      <w:r>
        <w:rPr>
          <w:rFonts w:hint="eastAsia" w:ascii="宋体" w:hAnsi="宋体" w:cs="宋体"/>
          <w:lang w:val="zh-CN"/>
        </w:rPr>
        <w:t>本合同中的下列术语应解释为：</w:t>
      </w:r>
    </w:p>
    <w:p>
      <w:pPr>
        <w:numPr>
          <w:ilvl w:val="1"/>
          <w:numId w:val="5"/>
        </w:numPr>
        <w:spacing w:line="360" w:lineRule="auto"/>
        <w:rPr>
          <w:rFonts w:ascii="宋体" w:hAnsi="宋体" w:cs="宋体"/>
        </w:rPr>
      </w:pPr>
      <w:r>
        <w:rPr>
          <w:rFonts w:hint="eastAsia" w:ascii="宋体" w:hAnsi="宋体" w:cs="宋体"/>
          <w:lang w:val="zh-CN"/>
        </w:rPr>
        <w:t>“合同”指甲乙双方签署的、载明的甲乙双方权利义务的协议，包括所有的附件、附录和上述文件所提到的构成合同的所有文件。</w:t>
      </w:r>
    </w:p>
    <w:p>
      <w:pPr>
        <w:numPr>
          <w:ilvl w:val="1"/>
          <w:numId w:val="5"/>
        </w:numPr>
        <w:spacing w:line="360" w:lineRule="auto"/>
        <w:rPr>
          <w:rFonts w:ascii="宋体" w:hAnsi="宋体" w:cs="宋体"/>
        </w:rPr>
      </w:pPr>
      <w:r>
        <w:rPr>
          <w:rFonts w:hint="eastAsia" w:ascii="宋体" w:hAnsi="宋体" w:cs="宋体"/>
          <w:lang w:val="zh-CN"/>
        </w:rPr>
        <w:t>“合同金额”指根据合同规定，乙方在正确地完全履行合同义务后甲方应付给乙方的价款。</w:t>
      </w:r>
    </w:p>
    <w:p>
      <w:pPr>
        <w:numPr>
          <w:ilvl w:val="1"/>
          <w:numId w:val="5"/>
        </w:numPr>
        <w:spacing w:line="360" w:lineRule="auto"/>
        <w:rPr>
          <w:rFonts w:ascii="宋体" w:hAnsi="宋体" w:cs="宋体"/>
        </w:rPr>
      </w:pPr>
      <w:r>
        <w:rPr>
          <w:rFonts w:hint="eastAsia" w:ascii="宋体" w:hAnsi="宋体" w:cs="宋体"/>
          <w:lang w:val="zh-CN"/>
        </w:rPr>
        <w:t>“合同条款”指本合同条款。</w:t>
      </w:r>
    </w:p>
    <w:p>
      <w:pPr>
        <w:numPr>
          <w:ilvl w:val="1"/>
          <w:numId w:val="5"/>
        </w:numPr>
        <w:spacing w:line="360" w:lineRule="auto"/>
        <w:rPr>
          <w:rFonts w:ascii="宋体" w:hAnsi="宋体" w:cs="宋体"/>
        </w:rPr>
      </w:pPr>
      <w:r>
        <w:rPr>
          <w:rFonts w:hint="eastAsia" w:ascii="宋体" w:hAnsi="宋体" w:cs="宋体"/>
          <w:lang w:val="zh-CN"/>
        </w:rPr>
        <w:t>“货物”指乙方根据合同约定须向甲方提供的一切产品、设备、机械、仪表、备件等，包括辅助工具、使用手册等相关资料。</w:t>
      </w:r>
    </w:p>
    <w:p>
      <w:pPr>
        <w:numPr>
          <w:ilvl w:val="1"/>
          <w:numId w:val="5"/>
        </w:numPr>
        <w:spacing w:line="360" w:lineRule="auto"/>
        <w:rPr>
          <w:rFonts w:ascii="宋体" w:hAnsi="宋体" w:cs="宋体"/>
        </w:rPr>
      </w:pPr>
      <w:r>
        <w:rPr>
          <w:rFonts w:hint="eastAsia" w:ascii="宋体" w:hAnsi="宋体" w:cs="宋体"/>
          <w:lang w:val="zh-CN"/>
        </w:rPr>
        <w:t>“服务”指根据本合同规定乙方承担与供货有关的辅助服务，如运输、保险及安装、调试、提供技术援助、培训和合同中规定乙方应承担的其它义务。</w:t>
      </w:r>
    </w:p>
    <w:p>
      <w:pPr>
        <w:numPr>
          <w:ilvl w:val="1"/>
          <w:numId w:val="5"/>
        </w:numPr>
        <w:spacing w:line="360" w:lineRule="auto"/>
        <w:rPr>
          <w:rFonts w:ascii="宋体" w:hAnsi="宋体" w:cs="宋体"/>
        </w:rPr>
      </w:pPr>
      <w:r>
        <w:rPr>
          <w:rFonts w:hint="eastAsia" w:ascii="宋体" w:hAnsi="宋体" w:cs="宋体"/>
          <w:lang w:val="zh-CN"/>
        </w:rPr>
        <w:t>“甲方”指购买货物和服务的单位。</w:t>
      </w:r>
    </w:p>
    <w:p>
      <w:pPr>
        <w:numPr>
          <w:ilvl w:val="1"/>
          <w:numId w:val="5"/>
        </w:numPr>
        <w:spacing w:line="360" w:lineRule="auto"/>
        <w:rPr>
          <w:rFonts w:ascii="宋体" w:hAnsi="宋体" w:cs="宋体"/>
        </w:rPr>
      </w:pPr>
      <w:r>
        <w:rPr>
          <w:rFonts w:hint="eastAsia" w:ascii="宋体" w:hAnsi="宋体" w:cs="宋体"/>
          <w:lang w:val="zh-CN"/>
        </w:rPr>
        <w:t>“乙方”指提供本合同条款下货物和服务的公司或其他实体。</w:t>
      </w:r>
    </w:p>
    <w:p>
      <w:pPr>
        <w:numPr>
          <w:ilvl w:val="1"/>
          <w:numId w:val="5"/>
        </w:numPr>
        <w:spacing w:line="360" w:lineRule="auto"/>
        <w:rPr>
          <w:rFonts w:ascii="宋体" w:hAnsi="宋体" w:cs="宋体"/>
        </w:rPr>
      </w:pPr>
      <w:r>
        <w:rPr>
          <w:rFonts w:hint="eastAsia" w:ascii="宋体" w:hAnsi="宋体" w:cs="宋体"/>
          <w:lang w:val="zh-CN"/>
        </w:rPr>
        <w:t>“现场”指合同规定货物将要运至和安装的地点。</w:t>
      </w:r>
    </w:p>
    <w:p>
      <w:pPr>
        <w:numPr>
          <w:ilvl w:val="1"/>
          <w:numId w:val="5"/>
        </w:numPr>
        <w:spacing w:line="360" w:lineRule="auto"/>
        <w:rPr>
          <w:rFonts w:ascii="宋体" w:hAnsi="宋体" w:cs="宋体"/>
        </w:rPr>
      </w:pPr>
      <w:r>
        <w:rPr>
          <w:rFonts w:hint="eastAsia" w:ascii="宋体" w:hAnsi="宋体" w:cs="宋体"/>
          <w:lang w:val="zh-CN"/>
        </w:rPr>
        <w:t>“验收”指合同双方依据强制性的国家技术质量规范和合同约定，确认合同条款下的货物符合合同规定的活动。</w:t>
      </w:r>
    </w:p>
    <w:p>
      <w:pPr>
        <w:numPr>
          <w:ilvl w:val="1"/>
          <w:numId w:val="5"/>
        </w:numPr>
        <w:spacing w:line="360" w:lineRule="auto"/>
        <w:rPr>
          <w:rFonts w:ascii="宋体" w:hAnsi="宋体" w:cs="宋体"/>
        </w:rPr>
      </w:pPr>
      <w:r>
        <w:rPr>
          <w:rFonts w:hint="eastAsia" w:ascii="宋体" w:hAnsi="宋体" w:cs="宋体"/>
          <w:lang w:val="zh-CN"/>
        </w:rPr>
        <w:t>原厂商：产品制造商或其在中国境内设立的办事或技术服务机构。除另有说明外，本合同文件所述的制造商、产品制造商、制造厂家、产品制造厂家均为原厂商。</w:t>
      </w:r>
    </w:p>
    <w:p>
      <w:pPr>
        <w:numPr>
          <w:ilvl w:val="1"/>
          <w:numId w:val="5"/>
        </w:numPr>
        <w:spacing w:line="360" w:lineRule="auto"/>
        <w:rPr>
          <w:rFonts w:ascii="宋体" w:hAnsi="宋体" w:cs="宋体"/>
        </w:rPr>
      </w:pPr>
      <w:r>
        <w:rPr>
          <w:rFonts w:hint="eastAsia" w:ascii="宋体" w:hAnsi="宋体" w:cs="宋体"/>
          <w:lang w:val="zh-CN"/>
        </w:rPr>
        <w:t>原产地：指产品的生产地，或提供服务的来源地。</w:t>
      </w:r>
    </w:p>
    <w:p>
      <w:pPr>
        <w:numPr>
          <w:ilvl w:val="1"/>
          <w:numId w:val="5"/>
        </w:numPr>
        <w:spacing w:line="360" w:lineRule="auto"/>
        <w:rPr>
          <w:rFonts w:ascii="宋体" w:hAnsi="宋体" w:cs="宋体"/>
        </w:rPr>
      </w:pPr>
      <w:r>
        <w:rPr>
          <w:rFonts w:hint="eastAsia" w:ascii="宋体" w:hAnsi="宋体" w:cs="宋体"/>
          <w:lang w:val="zh-CN"/>
        </w:rPr>
        <w:t>“工作日”指国家法定工作日，“天”指日历天数。</w:t>
      </w:r>
    </w:p>
    <w:p>
      <w:pPr>
        <w:numPr>
          <w:ilvl w:val="0"/>
          <w:numId w:val="5"/>
        </w:numPr>
        <w:spacing w:line="360" w:lineRule="auto"/>
        <w:rPr>
          <w:rFonts w:ascii="宋体" w:hAnsi="宋体" w:cs="宋体"/>
        </w:rPr>
      </w:pPr>
      <w:r>
        <w:rPr>
          <w:rFonts w:hint="eastAsia" w:ascii="宋体" w:hAnsi="宋体" w:cs="宋体"/>
          <w:b/>
          <w:bCs/>
          <w:lang w:val="zh-CN"/>
        </w:rPr>
        <w:t>技术规格要求</w:t>
      </w:r>
    </w:p>
    <w:p>
      <w:pPr>
        <w:numPr>
          <w:ilvl w:val="1"/>
          <w:numId w:val="5"/>
        </w:numPr>
        <w:spacing w:line="360" w:lineRule="auto"/>
        <w:rPr>
          <w:rFonts w:ascii="宋体" w:hAnsi="宋体" w:cs="宋体"/>
        </w:rPr>
      </w:pPr>
      <w:r>
        <w:rPr>
          <w:rFonts w:hint="eastAsia" w:ascii="宋体" w:hAnsi="宋体" w:cs="宋体"/>
          <w:lang w:val="zh-CN"/>
        </w:rPr>
        <w:t>本合同条款下提交货物的技术规格要求应等于或优于招磋商文件技术规格要求。若技术规格要求中无相应规定，则应符合相应的国家有关部门最新颁布的相应正式标准。</w:t>
      </w:r>
    </w:p>
    <w:p>
      <w:pPr>
        <w:numPr>
          <w:ilvl w:val="1"/>
          <w:numId w:val="5"/>
        </w:numPr>
        <w:spacing w:line="360" w:lineRule="auto"/>
        <w:rPr>
          <w:rFonts w:ascii="宋体" w:hAnsi="宋体" w:cs="宋体"/>
        </w:rPr>
      </w:pPr>
      <w:r>
        <w:rPr>
          <w:rFonts w:hint="eastAsia" w:ascii="宋体" w:hAnsi="宋体" w:cs="宋体"/>
          <w:lang w:val="zh-CN"/>
        </w:rPr>
        <w:t>乙方应向甲方提供货物及服务有关的标准的中文文本。</w:t>
      </w:r>
    </w:p>
    <w:p>
      <w:pPr>
        <w:numPr>
          <w:ilvl w:val="1"/>
          <w:numId w:val="5"/>
        </w:numPr>
        <w:spacing w:line="360" w:lineRule="auto"/>
        <w:rPr>
          <w:rFonts w:ascii="宋体" w:hAnsi="宋体" w:cs="宋体"/>
        </w:rPr>
      </w:pPr>
      <w:r>
        <w:rPr>
          <w:rFonts w:hint="eastAsia" w:ascii="宋体" w:hAnsi="宋体" w:cs="宋体"/>
          <w:lang w:val="zh-CN"/>
        </w:rPr>
        <w:t>除非技术规范中另有规定，计量单位均采用中华人民共和国法定计量单位。</w:t>
      </w:r>
    </w:p>
    <w:p>
      <w:pPr>
        <w:numPr>
          <w:ilvl w:val="0"/>
          <w:numId w:val="5"/>
        </w:numPr>
        <w:spacing w:line="360" w:lineRule="auto"/>
        <w:rPr>
          <w:rFonts w:ascii="宋体" w:hAnsi="宋体" w:cs="宋体"/>
        </w:rPr>
      </w:pPr>
      <w:r>
        <w:rPr>
          <w:rFonts w:hint="eastAsia" w:ascii="宋体" w:hAnsi="宋体" w:cs="宋体"/>
          <w:b/>
          <w:bCs/>
          <w:lang w:val="zh-CN"/>
        </w:rPr>
        <w:t>合同范围</w:t>
      </w:r>
    </w:p>
    <w:p>
      <w:pPr>
        <w:numPr>
          <w:ilvl w:val="1"/>
          <w:numId w:val="5"/>
        </w:numPr>
        <w:spacing w:line="360" w:lineRule="auto"/>
        <w:rPr>
          <w:rFonts w:ascii="宋体" w:hAnsi="宋体" w:cs="宋体"/>
        </w:rPr>
      </w:pPr>
      <w:r>
        <w:rPr>
          <w:rFonts w:hint="eastAsia" w:ascii="宋体" w:hAnsi="宋体" w:cs="宋体"/>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numPr>
          <w:ilvl w:val="1"/>
          <w:numId w:val="5"/>
        </w:numPr>
        <w:spacing w:line="360" w:lineRule="auto"/>
        <w:rPr>
          <w:rFonts w:ascii="宋体" w:hAnsi="宋体" w:cs="宋体"/>
        </w:rPr>
      </w:pPr>
      <w:r>
        <w:rPr>
          <w:rFonts w:hint="eastAsia" w:ascii="宋体" w:hAnsi="宋体" w:cs="宋体"/>
          <w:lang w:val="zh-CN"/>
        </w:rPr>
        <w:t>乙方应负责培训甲方的技术人员。</w:t>
      </w:r>
    </w:p>
    <w:p>
      <w:pPr>
        <w:numPr>
          <w:ilvl w:val="1"/>
          <w:numId w:val="5"/>
        </w:numPr>
        <w:spacing w:line="360" w:lineRule="auto"/>
        <w:rPr>
          <w:rFonts w:ascii="宋体" w:hAnsi="宋体" w:cs="宋体"/>
        </w:rPr>
      </w:pPr>
      <w:r>
        <w:rPr>
          <w:rFonts w:hint="eastAsia" w:ascii="宋体" w:hAnsi="宋体" w:cs="宋体"/>
          <w:lang w:val="zh-CN"/>
        </w:rPr>
        <w:t>按照甲方的要求，乙方应在合同规定的免费质保期和免费保修期内，免费负责修理或更换有缺陷的零部件或整机，对软件产品进行免费升级，同时在合同规定的免费质保期和免费保修期满后，以最优惠的价格，向买方提供合同货物大修和维护所需的配件及服务。</w:t>
      </w:r>
    </w:p>
    <w:p>
      <w:pPr>
        <w:numPr>
          <w:ilvl w:val="0"/>
          <w:numId w:val="5"/>
        </w:numPr>
        <w:spacing w:line="360" w:lineRule="auto"/>
        <w:rPr>
          <w:rFonts w:ascii="宋体" w:hAnsi="宋体" w:cs="宋体"/>
        </w:rPr>
      </w:pPr>
      <w:r>
        <w:rPr>
          <w:rFonts w:hint="eastAsia" w:ascii="宋体" w:hAnsi="宋体" w:cs="宋体"/>
          <w:b/>
          <w:bCs/>
          <w:lang w:val="zh-CN"/>
        </w:rPr>
        <w:t>合同文件和资料</w:t>
      </w:r>
    </w:p>
    <w:p>
      <w:pPr>
        <w:numPr>
          <w:ilvl w:val="1"/>
          <w:numId w:val="5"/>
        </w:numPr>
        <w:spacing w:line="360" w:lineRule="auto"/>
        <w:rPr>
          <w:rFonts w:ascii="宋体" w:hAnsi="宋体" w:cs="宋体"/>
        </w:rPr>
      </w:pPr>
      <w:r>
        <w:rPr>
          <w:rFonts w:hint="eastAsia" w:ascii="宋体" w:hAnsi="宋体" w:cs="宋体"/>
          <w:lang w:val="zh-CN"/>
        </w:rPr>
        <w:t>乙方在提供仪器设备时应同时提供中文版相关的技术资料，如目录索引、图纸、操作手册、使用指南、维修指南、服务手册等。</w:t>
      </w:r>
    </w:p>
    <w:p>
      <w:pPr>
        <w:numPr>
          <w:ilvl w:val="1"/>
          <w:numId w:val="5"/>
        </w:numPr>
        <w:spacing w:line="360" w:lineRule="auto"/>
        <w:rPr>
          <w:rFonts w:ascii="宋体" w:hAnsi="宋体" w:cs="宋体"/>
        </w:rPr>
      </w:pPr>
      <w:r>
        <w:rPr>
          <w:rFonts w:hint="eastAsia" w:ascii="宋体" w:hAnsi="宋体" w:cs="宋体"/>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numPr>
          <w:ilvl w:val="0"/>
          <w:numId w:val="5"/>
        </w:numPr>
        <w:spacing w:line="360" w:lineRule="auto"/>
        <w:rPr>
          <w:rFonts w:ascii="宋体" w:hAnsi="宋体" w:cs="宋体"/>
        </w:rPr>
      </w:pPr>
      <w:r>
        <w:rPr>
          <w:rFonts w:hint="eastAsia" w:ascii="宋体" w:hAnsi="宋体" w:cs="宋体"/>
          <w:b/>
          <w:bCs/>
          <w:lang w:val="zh-CN"/>
        </w:rPr>
        <w:t>知识产权</w:t>
      </w:r>
    </w:p>
    <w:p>
      <w:pPr>
        <w:numPr>
          <w:ilvl w:val="1"/>
          <w:numId w:val="5"/>
        </w:numPr>
        <w:spacing w:line="360" w:lineRule="auto"/>
        <w:rPr>
          <w:rFonts w:ascii="宋体" w:hAnsi="宋体" w:cs="宋体"/>
        </w:rPr>
      </w:pPr>
      <w:r>
        <w:rPr>
          <w:rFonts w:hint="eastAsia" w:ascii="宋体" w:hAnsi="宋体" w:cs="宋体"/>
          <w:lang w:val="zh-CN"/>
        </w:rPr>
        <w:t>乙方应保证甲方在使用该货物或其任何一部分时不受第三方提出的侵犯专利权、著作权、商标权和工业设计权等的起诉。</w:t>
      </w:r>
    </w:p>
    <w:p>
      <w:pPr>
        <w:numPr>
          <w:ilvl w:val="1"/>
          <w:numId w:val="5"/>
        </w:numPr>
        <w:spacing w:line="360" w:lineRule="auto"/>
        <w:rPr>
          <w:rFonts w:ascii="宋体" w:hAnsi="宋体" w:cs="宋体"/>
        </w:rPr>
      </w:pPr>
      <w:r>
        <w:rPr>
          <w:rFonts w:hint="eastAsia" w:ascii="宋体" w:hAnsi="宋体" w:cs="宋体"/>
          <w:lang w:val="zh-CN"/>
        </w:rPr>
        <w:t>任何第三方提出侵权指控，乙方须与第三方交涉并承担由此产生的一切责任、费用和经济赔偿。</w:t>
      </w:r>
    </w:p>
    <w:p>
      <w:pPr>
        <w:numPr>
          <w:ilvl w:val="1"/>
          <w:numId w:val="5"/>
        </w:numPr>
        <w:spacing w:line="360" w:lineRule="auto"/>
        <w:rPr>
          <w:rFonts w:ascii="宋体" w:hAnsi="宋体" w:cs="宋体"/>
        </w:rPr>
      </w:pPr>
      <w:r>
        <w:rPr>
          <w:rFonts w:hint="eastAsia" w:ascii="宋体" w:hAnsi="宋体" w:cs="宋体"/>
          <w:lang w:val="zh-CN"/>
        </w:rPr>
        <w:t>双方应共同遵守国家有关版权、专利、商标等知识产权方面的法律规定，相互尊重对方的知识产权，对本合同内容、对方的技术秘密和商业秘密负有保密责任。如有违反，违约方负相关法律责任。</w:t>
      </w:r>
    </w:p>
    <w:p>
      <w:pPr>
        <w:numPr>
          <w:ilvl w:val="1"/>
          <w:numId w:val="5"/>
        </w:numPr>
        <w:spacing w:line="360" w:lineRule="auto"/>
        <w:rPr>
          <w:rFonts w:ascii="宋体" w:hAnsi="宋体" w:cs="宋体"/>
        </w:rPr>
      </w:pPr>
      <w:r>
        <w:rPr>
          <w:rFonts w:hint="eastAsia" w:ascii="宋体" w:hAnsi="宋体" w:cs="宋体"/>
          <w:lang w:val="zh-CN"/>
        </w:rPr>
        <w:t>在本合同生效时已经存在并为各方合法拥有或使用的所有技术、资料和信息的知识产权，仍应属于其各自的原权利人所有或享有，另有约定的除外。</w:t>
      </w:r>
    </w:p>
    <w:p>
      <w:pPr>
        <w:numPr>
          <w:ilvl w:val="1"/>
          <w:numId w:val="5"/>
        </w:numPr>
        <w:spacing w:line="360" w:lineRule="auto"/>
        <w:rPr>
          <w:rFonts w:ascii="宋体" w:hAnsi="宋体" w:cs="宋体"/>
        </w:rPr>
      </w:pPr>
      <w:r>
        <w:rPr>
          <w:rFonts w:hint="eastAsia" w:ascii="宋体" w:hAnsi="宋体" w:cs="宋体"/>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numPr>
          <w:ilvl w:val="0"/>
          <w:numId w:val="5"/>
        </w:numPr>
        <w:spacing w:line="360" w:lineRule="auto"/>
        <w:rPr>
          <w:rFonts w:ascii="宋体" w:hAnsi="宋体" w:cs="宋体"/>
        </w:rPr>
      </w:pPr>
      <w:r>
        <w:rPr>
          <w:rFonts w:hint="eastAsia" w:ascii="宋体" w:hAnsi="宋体" w:cs="宋体"/>
          <w:b/>
          <w:bCs/>
          <w:lang w:val="zh-CN"/>
        </w:rPr>
        <w:t>保密</w:t>
      </w:r>
    </w:p>
    <w:p>
      <w:pPr>
        <w:numPr>
          <w:ilvl w:val="1"/>
          <w:numId w:val="5"/>
        </w:numPr>
        <w:spacing w:line="360" w:lineRule="auto"/>
        <w:rPr>
          <w:rFonts w:ascii="宋体" w:hAnsi="宋体" w:cs="宋体"/>
        </w:rPr>
      </w:pPr>
      <w:r>
        <w:rPr>
          <w:rFonts w:hint="eastAsia" w:ascii="宋体" w:hAnsi="宋体" w:cs="宋体"/>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numPr>
          <w:ilvl w:val="1"/>
          <w:numId w:val="5"/>
        </w:numPr>
        <w:spacing w:line="360" w:lineRule="auto"/>
        <w:rPr>
          <w:rFonts w:ascii="宋体" w:hAnsi="宋体" w:cs="宋体"/>
        </w:rPr>
      </w:pPr>
      <w:r>
        <w:rPr>
          <w:rFonts w:hint="eastAsia" w:ascii="宋体" w:hAnsi="宋体" w:cs="宋体"/>
          <w:lang w:val="zh-CN"/>
        </w:rPr>
        <w:t>保密信息指任何一方因履行本合同所知悉的任何以口头、书面、图表或电子形式存在的对方信息，具体包括：</w:t>
      </w:r>
    </w:p>
    <w:p>
      <w:pPr>
        <w:numPr>
          <w:ilvl w:val="2"/>
          <w:numId w:val="5"/>
        </w:numPr>
        <w:spacing w:line="360" w:lineRule="auto"/>
        <w:rPr>
          <w:rFonts w:ascii="宋体" w:hAnsi="宋体" w:cs="宋体"/>
        </w:rPr>
      </w:pPr>
      <w:r>
        <w:rPr>
          <w:rFonts w:hint="eastAsia" w:ascii="宋体" w:hAnsi="宋体" w:cs="宋体"/>
          <w:lang w:val="zh-CN"/>
        </w:rPr>
        <w:t>任何涉及对方过去、现在或将来的商业计划、规章制度、操作规程、处理手段、财务信息；</w:t>
      </w:r>
    </w:p>
    <w:p>
      <w:pPr>
        <w:numPr>
          <w:ilvl w:val="2"/>
          <w:numId w:val="5"/>
        </w:numPr>
        <w:spacing w:line="360" w:lineRule="auto"/>
        <w:rPr>
          <w:rFonts w:ascii="宋体" w:hAnsi="宋体" w:cs="宋体"/>
        </w:rPr>
      </w:pPr>
      <w:r>
        <w:rPr>
          <w:rFonts w:hint="eastAsia" w:ascii="宋体" w:hAnsi="宋体" w:cs="宋体"/>
          <w:lang w:val="zh-CN"/>
        </w:rPr>
        <w:t>任何对方的技术措施、技术方案、软件应用及开发，硬件设备的品种、质量、数量、品牌等；</w:t>
      </w:r>
    </w:p>
    <w:p>
      <w:pPr>
        <w:numPr>
          <w:ilvl w:val="2"/>
          <w:numId w:val="5"/>
        </w:numPr>
        <w:spacing w:line="360" w:lineRule="auto"/>
        <w:rPr>
          <w:rFonts w:ascii="宋体" w:hAnsi="宋体" w:cs="宋体"/>
        </w:rPr>
      </w:pPr>
      <w:r>
        <w:rPr>
          <w:rFonts w:hint="eastAsia" w:ascii="宋体" w:hAnsi="宋体" w:cs="宋体"/>
          <w:lang w:val="zh-CN"/>
        </w:rPr>
        <w:t>任何对方的技术秘密或专有知识、文件、报告、数据、客户软件、流程图、数据库、发明、知识、贸易秘密。</w:t>
      </w:r>
    </w:p>
    <w:p>
      <w:pPr>
        <w:numPr>
          <w:ilvl w:val="1"/>
          <w:numId w:val="5"/>
        </w:numPr>
        <w:spacing w:line="360" w:lineRule="auto"/>
        <w:rPr>
          <w:rFonts w:ascii="宋体" w:hAnsi="宋体" w:cs="宋体"/>
          <w:lang w:val="zh-CN"/>
        </w:rPr>
      </w:pPr>
      <w:r>
        <w:rPr>
          <w:rFonts w:hint="eastAsia" w:ascii="宋体" w:hAnsi="宋体" w:cs="宋体"/>
          <w:lang w:val="zh-CN"/>
        </w:rPr>
        <w:t>乙方应根据甲方的要求签署相应的保密协议，保密协议与本条款存在不一致的，以保密协议为准。</w:t>
      </w:r>
    </w:p>
    <w:p>
      <w:pPr>
        <w:numPr>
          <w:ilvl w:val="0"/>
          <w:numId w:val="5"/>
        </w:numPr>
        <w:spacing w:line="360" w:lineRule="auto"/>
        <w:rPr>
          <w:rFonts w:ascii="宋体" w:hAnsi="宋体" w:cs="宋体"/>
        </w:rPr>
      </w:pPr>
      <w:r>
        <w:rPr>
          <w:rFonts w:hint="eastAsia" w:ascii="宋体" w:hAnsi="宋体" w:cs="宋体"/>
          <w:b/>
          <w:bCs/>
          <w:lang w:val="zh-CN"/>
        </w:rPr>
        <w:t>质量保证</w:t>
      </w:r>
    </w:p>
    <w:p>
      <w:pPr>
        <w:numPr>
          <w:ilvl w:val="1"/>
          <w:numId w:val="5"/>
        </w:numPr>
        <w:spacing w:line="360" w:lineRule="auto"/>
        <w:rPr>
          <w:rFonts w:ascii="宋体" w:hAnsi="宋体" w:cs="宋体"/>
        </w:rPr>
      </w:pPr>
      <w:r>
        <w:rPr>
          <w:rFonts w:hint="eastAsia" w:ascii="宋体" w:hAnsi="宋体" w:cs="宋体"/>
          <w:lang w:val="zh-CN"/>
        </w:rPr>
        <w:t>货物质量保证</w:t>
      </w:r>
    </w:p>
    <w:p>
      <w:pPr>
        <w:numPr>
          <w:ilvl w:val="2"/>
          <w:numId w:val="5"/>
        </w:numPr>
        <w:spacing w:line="360" w:lineRule="auto"/>
        <w:rPr>
          <w:rFonts w:ascii="宋体" w:hAnsi="宋体" w:cs="宋体"/>
        </w:rPr>
      </w:pPr>
      <w:r>
        <w:rPr>
          <w:rFonts w:hint="eastAsia" w:ascii="宋体" w:hAnsi="宋体" w:cs="宋体"/>
          <w:lang w:val="zh-CN"/>
        </w:rPr>
        <w:t>乙方必须保证货物是全新、未使用过的，并完全符合强制性的国家技术质量规范和合同规定的质量、规格、性能和技术规范等的要求。</w:t>
      </w:r>
    </w:p>
    <w:p>
      <w:pPr>
        <w:numPr>
          <w:ilvl w:val="2"/>
          <w:numId w:val="5"/>
        </w:numPr>
        <w:spacing w:line="360" w:lineRule="auto"/>
        <w:rPr>
          <w:rFonts w:ascii="宋体" w:hAnsi="宋体" w:cs="宋体"/>
        </w:rPr>
      </w:pPr>
      <w:r>
        <w:rPr>
          <w:rFonts w:hint="eastAsia" w:ascii="宋体" w:hAnsi="宋体" w:cs="宋体"/>
          <w:lang w:val="zh-CN"/>
        </w:rPr>
        <w:t>乙方须保证所提供的货物经正确安装、正常运转和保养，在其使用寿命期内须具有符合质量要求和产品说明书的性能。在货物免费质保期之内，乙方须对由于设计、工艺或材料的缺陷而发生的任何不足或故障负责，并免费予以改进或更换。</w:t>
      </w:r>
    </w:p>
    <w:p>
      <w:pPr>
        <w:numPr>
          <w:ilvl w:val="2"/>
          <w:numId w:val="5"/>
        </w:numPr>
        <w:spacing w:line="360" w:lineRule="auto"/>
        <w:rPr>
          <w:rFonts w:ascii="宋体" w:hAnsi="宋体" w:cs="宋体"/>
        </w:rPr>
      </w:pPr>
      <w:r>
        <w:rPr>
          <w:rFonts w:hint="eastAsia" w:ascii="宋体" w:hAnsi="宋体" w:cs="宋体"/>
          <w:lang w:val="zh-CN"/>
        </w:rPr>
        <w:t>根据乙方按检验标准自己检验结果或委托有资质的相关质检机构的检验结果，发现货物的数量、质量、规格与合同不符；或者在免费质保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numPr>
          <w:ilvl w:val="2"/>
          <w:numId w:val="5"/>
        </w:numPr>
        <w:spacing w:line="360" w:lineRule="auto"/>
        <w:rPr>
          <w:rFonts w:ascii="宋体" w:hAnsi="宋体" w:cs="宋体"/>
        </w:rPr>
      </w:pPr>
      <w:r>
        <w:rPr>
          <w:rFonts w:hint="eastAsia" w:ascii="宋体" w:hAnsi="宋体" w:cs="宋体"/>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numPr>
          <w:ilvl w:val="2"/>
          <w:numId w:val="5"/>
        </w:numPr>
        <w:spacing w:line="360" w:lineRule="auto"/>
        <w:rPr>
          <w:rFonts w:ascii="宋体" w:hAnsi="宋体" w:cs="宋体"/>
        </w:rPr>
      </w:pPr>
      <w:r>
        <w:rPr>
          <w:rFonts w:hint="eastAsia" w:ascii="宋体" w:hAnsi="宋体" w:cs="宋体"/>
          <w:lang w:val="zh-CN"/>
        </w:rPr>
        <w:t>合同条款下货物的免费质保期自货物通过最终验收起算，合同另行规定除外。</w:t>
      </w:r>
    </w:p>
    <w:p>
      <w:pPr>
        <w:numPr>
          <w:ilvl w:val="1"/>
          <w:numId w:val="5"/>
        </w:numPr>
        <w:spacing w:line="360" w:lineRule="auto"/>
        <w:rPr>
          <w:rFonts w:ascii="宋体" w:hAnsi="宋体" w:cs="宋体"/>
          <w:lang w:val="zh-CN"/>
        </w:rPr>
      </w:pPr>
      <w:r>
        <w:rPr>
          <w:rFonts w:hint="eastAsia" w:ascii="宋体" w:hAnsi="宋体" w:cs="宋体"/>
          <w:lang w:val="zh-CN"/>
        </w:rPr>
        <w:t>辅助服务质量保证</w:t>
      </w:r>
    </w:p>
    <w:p>
      <w:pPr>
        <w:numPr>
          <w:ilvl w:val="2"/>
          <w:numId w:val="5"/>
        </w:numPr>
        <w:spacing w:line="360" w:lineRule="auto"/>
        <w:rPr>
          <w:rFonts w:ascii="宋体" w:hAnsi="宋体" w:cs="宋体"/>
        </w:rPr>
      </w:pPr>
      <w:r>
        <w:rPr>
          <w:rFonts w:hint="eastAsia" w:ascii="宋体" w:hAnsi="宋体" w:cs="宋体"/>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numPr>
          <w:ilvl w:val="2"/>
          <w:numId w:val="5"/>
        </w:numPr>
        <w:spacing w:line="360" w:lineRule="auto"/>
        <w:rPr>
          <w:rFonts w:ascii="宋体" w:hAnsi="宋体" w:cs="宋体"/>
        </w:rPr>
      </w:pPr>
      <w:r>
        <w:rPr>
          <w:rFonts w:hint="eastAsia" w:ascii="宋体" w:hAnsi="宋体" w:cs="宋体"/>
          <w:lang w:val="zh-CN"/>
        </w:rPr>
        <w:t>乙方应保证合同条款下所提供的服务包括培训、安装指导、单机调试、系统联调和试验等，按合同规定方式进行，并保证不存在因乙方工作人员的过失、错误或疏忽而产生的缺陷。</w:t>
      </w:r>
    </w:p>
    <w:p>
      <w:pPr>
        <w:numPr>
          <w:ilvl w:val="0"/>
          <w:numId w:val="5"/>
        </w:numPr>
        <w:spacing w:line="360" w:lineRule="auto"/>
        <w:rPr>
          <w:rFonts w:ascii="宋体" w:hAnsi="宋体" w:cs="宋体"/>
          <w:b/>
          <w:bCs/>
          <w:lang w:val="zh-CN"/>
        </w:rPr>
      </w:pPr>
      <w:r>
        <w:rPr>
          <w:rFonts w:hint="eastAsia" w:ascii="宋体" w:hAnsi="宋体" w:cs="宋体"/>
          <w:b/>
          <w:bCs/>
          <w:lang w:val="zh-CN"/>
        </w:rPr>
        <w:t>包装要求</w:t>
      </w:r>
    </w:p>
    <w:p>
      <w:pPr>
        <w:numPr>
          <w:ilvl w:val="1"/>
          <w:numId w:val="5"/>
        </w:numPr>
        <w:spacing w:line="360" w:lineRule="auto"/>
        <w:rPr>
          <w:rFonts w:ascii="宋体" w:hAnsi="宋体" w:cs="宋体"/>
        </w:rPr>
      </w:pPr>
      <w:r>
        <w:rPr>
          <w:rFonts w:hint="eastAsia" w:ascii="宋体" w:hAnsi="宋体" w:cs="宋体"/>
          <w:lang w:val="zh-CN"/>
        </w:rPr>
        <w:t>除合同另有约定外</w:t>
      </w:r>
      <w:r>
        <w:rPr>
          <w:rFonts w:hint="eastAsia" w:ascii="宋体" w:hAnsi="宋体" w:cs="宋体"/>
        </w:rPr>
        <w:t>,</w:t>
      </w:r>
      <w:r>
        <w:rPr>
          <w:rFonts w:hint="eastAsia" w:ascii="宋体" w:hAnsi="宋体" w:cs="宋体"/>
          <w:lang w:val="zh-CN"/>
        </w:rPr>
        <w:t>乙方提供的全部货物</w:t>
      </w:r>
      <w:r>
        <w:rPr>
          <w:rFonts w:hint="eastAsia" w:ascii="宋体" w:hAnsi="宋体" w:cs="宋体"/>
        </w:rPr>
        <w:t>,</w:t>
      </w:r>
      <w:r>
        <w:rPr>
          <w:rFonts w:hint="eastAsia" w:ascii="宋体" w:hAnsi="宋体" w:cs="宋体"/>
          <w:lang w:val="zh-CN"/>
        </w:rPr>
        <w:t>均应采用本行业通用的方式进行包装，且该包装应符合国家有关包装的法律、法规的规定。</w:t>
      </w:r>
    </w:p>
    <w:p>
      <w:pPr>
        <w:numPr>
          <w:ilvl w:val="1"/>
          <w:numId w:val="5"/>
        </w:numPr>
        <w:spacing w:line="360" w:lineRule="auto"/>
        <w:rPr>
          <w:rFonts w:ascii="宋体" w:hAnsi="宋体" w:cs="宋体"/>
        </w:rPr>
      </w:pPr>
      <w:r>
        <w:rPr>
          <w:rFonts w:hint="eastAsia" w:ascii="宋体" w:hAnsi="宋体" w:cs="宋体"/>
          <w:lang w:val="zh-CN"/>
        </w:rPr>
        <w:t>包装应适应于远距离运输，并有良好的防潮、防震、防锈和防粗暴装卸等保护措施，以确保货物安全运抵现场。由于包装不善所引起的货物锈蚀、损坏和损失均由乙方承担。</w:t>
      </w:r>
    </w:p>
    <w:p>
      <w:pPr>
        <w:spacing w:line="360" w:lineRule="auto"/>
        <w:ind w:left="480"/>
        <w:rPr>
          <w:rFonts w:ascii="宋体" w:hAnsi="宋体" w:cs="宋体"/>
        </w:rPr>
      </w:pPr>
      <w:r>
        <w:rPr>
          <w:rFonts w:hint="eastAsia" w:ascii="宋体" w:hAnsi="宋体" w:cs="宋体"/>
          <w:lang w:val="zh-CN"/>
        </w:rPr>
        <w:t>乙方应提供货物运至合同规定的最终目的地所需要的包装，以防止货物在转运中损坏或变质。</w:t>
      </w:r>
    </w:p>
    <w:p>
      <w:pPr>
        <w:numPr>
          <w:ilvl w:val="1"/>
          <w:numId w:val="5"/>
        </w:numPr>
        <w:spacing w:line="360" w:lineRule="auto"/>
        <w:rPr>
          <w:rFonts w:ascii="宋体" w:hAnsi="宋体" w:cs="宋体"/>
        </w:rPr>
      </w:pPr>
      <w:r>
        <w:rPr>
          <w:rFonts w:hint="eastAsia" w:ascii="宋体" w:hAnsi="宋体" w:cs="宋体"/>
          <w:lang w:val="zh-CN"/>
        </w:rPr>
        <w:t>乙方所提供的货物包装均为出厂时原包装。</w:t>
      </w:r>
    </w:p>
    <w:p>
      <w:pPr>
        <w:numPr>
          <w:ilvl w:val="1"/>
          <w:numId w:val="5"/>
        </w:numPr>
        <w:spacing w:line="360" w:lineRule="auto"/>
        <w:rPr>
          <w:rFonts w:ascii="宋体" w:hAnsi="宋体" w:cs="宋体"/>
        </w:rPr>
      </w:pPr>
      <w:r>
        <w:rPr>
          <w:rFonts w:hint="eastAsia" w:ascii="宋体" w:hAnsi="宋体" w:cs="宋体"/>
          <w:lang w:val="zh-CN"/>
        </w:rPr>
        <w:t>乙方所提供货物必须附有质量合格证，装箱清单，主机、附件、各种零部件和消耗品，有清楚的与装箱单相对应的名称和编号。</w:t>
      </w:r>
    </w:p>
    <w:p>
      <w:pPr>
        <w:numPr>
          <w:ilvl w:val="1"/>
          <w:numId w:val="5"/>
        </w:numPr>
        <w:spacing w:line="360" w:lineRule="auto"/>
        <w:rPr>
          <w:rFonts w:ascii="宋体" w:hAnsi="宋体" w:cs="宋体"/>
        </w:rPr>
      </w:pPr>
      <w:r>
        <w:rPr>
          <w:rFonts w:hint="eastAsia" w:ascii="宋体" w:hAnsi="宋体" w:cs="宋体"/>
          <w:lang w:val="zh-CN"/>
        </w:rPr>
        <w:t>货物运输中的运输费用和保险费用均由乙方承担。运输过程中的一切损失、损坏均由乙方负责。</w:t>
      </w:r>
    </w:p>
    <w:p>
      <w:pPr>
        <w:numPr>
          <w:ilvl w:val="0"/>
          <w:numId w:val="5"/>
        </w:numPr>
        <w:spacing w:line="360" w:lineRule="auto"/>
        <w:rPr>
          <w:rFonts w:ascii="宋体" w:hAnsi="宋体" w:cs="宋体"/>
          <w:b/>
          <w:bCs/>
          <w:lang w:val="zh-CN"/>
        </w:rPr>
      </w:pPr>
      <w:r>
        <w:rPr>
          <w:rFonts w:hint="eastAsia" w:ascii="宋体" w:hAnsi="宋体" w:cs="宋体"/>
          <w:b/>
          <w:bCs/>
          <w:lang w:val="zh-CN"/>
        </w:rPr>
        <w:t>价格</w:t>
      </w:r>
    </w:p>
    <w:p>
      <w:pPr>
        <w:numPr>
          <w:ilvl w:val="1"/>
          <w:numId w:val="5"/>
        </w:numPr>
        <w:spacing w:line="360" w:lineRule="auto"/>
        <w:rPr>
          <w:rFonts w:ascii="宋体" w:hAnsi="宋体" w:cs="宋体"/>
        </w:rPr>
      </w:pPr>
      <w:r>
        <w:rPr>
          <w:rFonts w:hint="eastAsia" w:ascii="宋体" w:hAnsi="宋体" w:cs="宋体"/>
          <w:lang w:val="zh-CN"/>
        </w:rPr>
        <w:t>乙方履行合同所必须的所有费用，包括但不限于货物及部件的设计、检测与试验、制造、运输、装卸、保险、单机调试、安装调试指导、技术资料、培训、交通、人员、差旅、免费质保期服务费、其他管理费用、所有的检验、测试、调试、验收、试运行费用等均已包括在合同价格中。</w:t>
      </w:r>
    </w:p>
    <w:p>
      <w:pPr>
        <w:numPr>
          <w:ilvl w:val="1"/>
          <w:numId w:val="5"/>
        </w:numPr>
        <w:spacing w:line="360" w:lineRule="auto"/>
        <w:rPr>
          <w:rFonts w:ascii="宋体" w:hAnsi="宋体" w:cs="宋体"/>
        </w:rPr>
      </w:pPr>
      <w:r>
        <w:rPr>
          <w:rFonts w:hint="eastAsia" w:ascii="宋体" w:hAnsi="宋体" w:cs="宋体"/>
          <w:lang w:val="zh-CN"/>
        </w:rPr>
        <w:t>本合同价格为固定价格，包括了乙方履行合同全过程产生的所有成本和费用以及乙方应承担的一切税费。</w:t>
      </w:r>
    </w:p>
    <w:p>
      <w:pPr>
        <w:numPr>
          <w:ilvl w:val="1"/>
          <w:numId w:val="5"/>
        </w:numPr>
        <w:spacing w:line="360" w:lineRule="auto"/>
        <w:rPr>
          <w:rFonts w:ascii="宋体" w:hAnsi="宋体" w:cs="宋体"/>
        </w:rPr>
      </w:pPr>
      <w:r>
        <w:rPr>
          <w:rFonts w:hint="eastAsia" w:ascii="宋体" w:hAnsi="宋体" w:cs="宋体"/>
          <w:lang w:val="zh-CN"/>
        </w:rPr>
        <w:t>检验费用</w:t>
      </w:r>
    </w:p>
    <w:p>
      <w:pPr>
        <w:numPr>
          <w:ilvl w:val="2"/>
          <w:numId w:val="5"/>
        </w:numPr>
        <w:spacing w:line="360" w:lineRule="auto"/>
        <w:rPr>
          <w:rFonts w:ascii="宋体" w:hAnsi="宋体" w:cs="宋体"/>
        </w:rPr>
      </w:pPr>
      <w:r>
        <w:rPr>
          <w:rFonts w:hint="eastAsia" w:ascii="宋体" w:hAnsi="宋体" w:cs="宋体"/>
          <w:lang w:val="zh-CN"/>
        </w:rPr>
        <w:t>乙方必须负担本条款下属于乙方负责的检验、测试、调试、试运行和验收的所有费用，并负责乙方派往买方组织的检验、测试和验收人员的所有费用。</w:t>
      </w:r>
    </w:p>
    <w:p>
      <w:pPr>
        <w:numPr>
          <w:ilvl w:val="2"/>
          <w:numId w:val="5"/>
        </w:numPr>
        <w:spacing w:line="360" w:lineRule="auto"/>
        <w:rPr>
          <w:rFonts w:ascii="宋体" w:hAnsi="宋体" w:cs="宋体"/>
        </w:rPr>
      </w:pPr>
      <w:r>
        <w:rPr>
          <w:rFonts w:hint="eastAsia" w:ascii="宋体" w:hAnsi="宋体" w:cs="宋体"/>
          <w:lang w:val="zh-CN"/>
        </w:rPr>
        <w:t>甲方按合同计划参加在乙方工厂所在地检验、测试和验收的费用全部由乙方负责并已包含在合同总价中。</w:t>
      </w:r>
    </w:p>
    <w:p>
      <w:pPr>
        <w:numPr>
          <w:ilvl w:val="2"/>
          <w:numId w:val="5"/>
        </w:numPr>
        <w:spacing w:line="360" w:lineRule="auto"/>
        <w:rPr>
          <w:rFonts w:ascii="宋体" w:hAnsi="宋体" w:cs="宋体"/>
        </w:rPr>
      </w:pPr>
      <w:r>
        <w:rPr>
          <w:rFonts w:hint="eastAsia" w:ascii="宋体" w:hAnsi="宋体" w:cs="宋体"/>
          <w:lang w:val="zh-CN"/>
        </w:rPr>
        <w:t>甲方检验人员已到卖方所在地，测试无法依照合同进行，而引起甲方人员延长逗留时间，所有由此产生的包括甲方人员在内的直接费用及成本由乙方承担。</w:t>
      </w:r>
    </w:p>
    <w:p>
      <w:pPr>
        <w:numPr>
          <w:ilvl w:val="0"/>
          <w:numId w:val="5"/>
        </w:numPr>
        <w:spacing w:line="360" w:lineRule="auto"/>
        <w:rPr>
          <w:rFonts w:ascii="宋体" w:hAnsi="宋体" w:cs="宋体"/>
          <w:b/>
          <w:bCs/>
        </w:rPr>
      </w:pPr>
      <w:r>
        <w:rPr>
          <w:rFonts w:hint="eastAsia" w:ascii="宋体" w:hAnsi="宋体" w:cs="宋体"/>
          <w:b/>
          <w:bCs/>
          <w:lang w:val="zh-CN"/>
        </w:rPr>
        <w:t>交货方式及交货时间</w:t>
      </w:r>
    </w:p>
    <w:p>
      <w:pPr>
        <w:spacing w:line="360" w:lineRule="auto"/>
        <w:ind w:firstLine="480" w:firstLineChars="200"/>
        <w:rPr>
          <w:rFonts w:ascii="宋体" w:hAnsi="宋体" w:cs="宋体"/>
          <w:lang w:val="zh-CN"/>
        </w:rPr>
      </w:pPr>
      <w:r>
        <w:rPr>
          <w:rFonts w:hint="eastAsia" w:ascii="宋体" w:hAnsi="宋体" w:cs="宋体"/>
          <w:lang w:val="zh-CN"/>
        </w:rPr>
        <w:t>交货方式：现场交货，乙方负责办理运输和保险，将货物运抵现场。</w:t>
      </w:r>
    </w:p>
    <w:p>
      <w:pPr>
        <w:spacing w:line="360" w:lineRule="auto"/>
        <w:ind w:firstLine="480" w:firstLineChars="200"/>
        <w:rPr>
          <w:rFonts w:ascii="宋体" w:hAnsi="宋体" w:cs="宋体"/>
          <w:lang w:val="zh-CN"/>
        </w:rPr>
      </w:pPr>
      <w:r>
        <w:rPr>
          <w:rFonts w:hint="eastAsia" w:ascii="宋体" w:hAnsi="宋体" w:cs="宋体"/>
          <w:lang w:val="zh-CN"/>
        </w:rPr>
        <w:t>交货期应根据产品的特点实事求是填写，进口产品90个工作日内，国产产品60个工作日内。特殊产品交货期需说明。</w:t>
      </w:r>
    </w:p>
    <w:p>
      <w:pPr>
        <w:spacing w:line="360" w:lineRule="auto"/>
        <w:ind w:firstLine="480" w:firstLineChars="200"/>
        <w:rPr>
          <w:rFonts w:ascii="宋体" w:hAnsi="宋体" w:cs="宋体"/>
          <w:lang w:val="zh-CN"/>
        </w:rPr>
      </w:pPr>
      <w:r>
        <w:rPr>
          <w:rFonts w:hint="eastAsia" w:ascii="宋体" w:hAnsi="宋体" w:cs="宋体"/>
          <w:lang w:val="zh-CN"/>
        </w:rPr>
        <w:t>交货时间：所有货物运抵现场并经双方开箱验收合格之日。</w:t>
      </w:r>
    </w:p>
    <w:p>
      <w:pPr>
        <w:numPr>
          <w:ilvl w:val="0"/>
          <w:numId w:val="5"/>
        </w:numPr>
        <w:spacing w:line="360" w:lineRule="auto"/>
        <w:rPr>
          <w:rFonts w:ascii="宋体" w:hAnsi="宋体" w:cs="宋体"/>
          <w:b/>
          <w:bCs/>
          <w:lang w:val="zh-CN"/>
        </w:rPr>
      </w:pPr>
      <w:r>
        <w:rPr>
          <w:rFonts w:hint="eastAsia" w:ascii="宋体" w:hAnsi="宋体" w:cs="宋体"/>
          <w:b/>
          <w:bCs/>
          <w:lang w:val="zh-CN"/>
        </w:rPr>
        <w:t>检验和验收</w:t>
      </w:r>
    </w:p>
    <w:p>
      <w:pPr>
        <w:numPr>
          <w:ilvl w:val="1"/>
          <w:numId w:val="5"/>
        </w:numPr>
        <w:spacing w:line="360" w:lineRule="auto"/>
        <w:rPr>
          <w:rFonts w:ascii="宋体" w:hAnsi="宋体" w:cs="宋体"/>
        </w:rPr>
      </w:pPr>
      <w:r>
        <w:rPr>
          <w:rFonts w:hint="eastAsia" w:ascii="宋体" w:hAnsi="宋体" w:cs="宋体"/>
          <w:lang w:val="zh-CN"/>
        </w:rPr>
        <w:t>开箱验收</w:t>
      </w:r>
    </w:p>
    <w:p>
      <w:pPr>
        <w:numPr>
          <w:ilvl w:val="2"/>
          <w:numId w:val="5"/>
        </w:numPr>
        <w:spacing w:line="360" w:lineRule="auto"/>
        <w:rPr>
          <w:rFonts w:ascii="宋体" w:hAnsi="宋体" w:cs="宋体"/>
        </w:rPr>
      </w:pPr>
      <w:r>
        <w:rPr>
          <w:rFonts w:hint="eastAsia" w:ascii="宋体" w:hAnsi="宋体" w:cs="宋体"/>
          <w:lang w:val="zh-CN"/>
        </w:rPr>
        <w:t>货物运抵现场后，双方应及时开箱验收，并制作验收记录，以确认与本合同约定的数量、型号等是否一致。</w:t>
      </w:r>
    </w:p>
    <w:p>
      <w:pPr>
        <w:numPr>
          <w:ilvl w:val="2"/>
          <w:numId w:val="5"/>
        </w:numPr>
        <w:spacing w:line="360" w:lineRule="auto"/>
        <w:rPr>
          <w:rFonts w:ascii="宋体" w:hAnsi="宋体" w:cs="宋体"/>
        </w:rPr>
      </w:pPr>
      <w:r>
        <w:rPr>
          <w:rFonts w:hint="eastAsia" w:ascii="宋体" w:hAnsi="宋体" w:cs="宋体"/>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numPr>
          <w:ilvl w:val="2"/>
          <w:numId w:val="5"/>
        </w:numPr>
        <w:spacing w:line="360" w:lineRule="auto"/>
        <w:rPr>
          <w:rFonts w:ascii="宋体" w:hAnsi="宋体" w:cs="宋体"/>
        </w:rPr>
      </w:pPr>
      <w:r>
        <w:rPr>
          <w:rFonts w:hint="eastAsia" w:ascii="宋体" w:hAnsi="宋体" w:cs="宋体"/>
          <w:lang w:val="zh-CN"/>
        </w:rPr>
        <w:t>开箱验收中如发现货物的数量、规格与合同约定不符，甲方有权拒收货物，乙方应及时按甲方要求免费对拒收货物采取更换或其他必要的补救措施，直至开箱验收合格，方视为乙方完成交货。</w:t>
      </w:r>
    </w:p>
    <w:p>
      <w:pPr>
        <w:numPr>
          <w:ilvl w:val="1"/>
          <w:numId w:val="5"/>
        </w:numPr>
        <w:spacing w:line="360" w:lineRule="auto"/>
        <w:rPr>
          <w:rFonts w:ascii="宋体" w:hAnsi="宋体" w:cs="宋体"/>
        </w:rPr>
      </w:pPr>
      <w:r>
        <w:rPr>
          <w:rFonts w:hint="eastAsia" w:ascii="宋体" w:hAnsi="宋体" w:cs="宋体"/>
          <w:lang w:val="zh-CN"/>
        </w:rPr>
        <w:t>检验验收</w:t>
      </w:r>
    </w:p>
    <w:p>
      <w:pPr>
        <w:numPr>
          <w:ilvl w:val="2"/>
          <w:numId w:val="5"/>
        </w:numPr>
        <w:spacing w:line="360" w:lineRule="auto"/>
        <w:rPr>
          <w:rFonts w:ascii="宋体" w:hAnsi="宋体" w:cs="宋体"/>
        </w:rPr>
      </w:pPr>
      <w:r>
        <w:rPr>
          <w:rFonts w:hint="eastAsia" w:ascii="宋体" w:hAnsi="宋体" w:cs="宋体"/>
          <w:lang w:val="zh-CN"/>
        </w:rPr>
        <w:t>交货完成后，乙方应及时组装、调试、试运行，按照合同专用条款规定的试运行完成后，双方及时组织对货物检验验收。合同双方均须派人参加合同要求双方参加的试验、检验。</w:t>
      </w:r>
    </w:p>
    <w:p>
      <w:pPr>
        <w:numPr>
          <w:ilvl w:val="2"/>
          <w:numId w:val="5"/>
        </w:numPr>
        <w:spacing w:line="360" w:lineRule="auto"/>
        <w:rPr>
          <w:rFonts w:ascii="宋体" w:hAnsi="宋体" w:cs="宋体"/>
        </w:rPr>
      </w:pPr>
      <w:r>
        <w:rPr>
          <w:rFonts w:hint="eastAsia" w:ascii="宋体" w:hAnsi="宋体" w:cs="宋体"/>
          <w:lang w:val="zh-CN"/>
        </w:rPr>
        <w:t>在具体实施合同规定的检验验收之前，乙方需提前提交相应的测试计划（包括测试程序、测试内容和检验标准、试验时间安排等）供甲方确认。</w:t>
      </w:r>
    </w:p>
    <w:p>
      <w:pPr>
        <w:numPr>
          <w:ilvl w:val="2"/>
          <w:numId w:val="5"/>
        </w:numPr>
        <w:spacing w:line="360" w:lineRule="auto"/>
        <w:rPr>
          <w:rFonts w:ascii="宋体" w:hAnsi="宋体" w:cs="宋体"/>
        </w:rPr>
      </w:pPr>
      <w:r>
        <w:rPr>
          <w:rFonts w:hint="eastAsia" w:ascii="宋体" w:hAnsi="宋体" w:cs="宋体"/>
          <w:lang w:val="zh-CN"/>
        </w:rPr>
        <w:t>除需甲方确认的试验验收外，乙方还应对所有检验验收测试的结果、步骤、原始数据等作妥善记录。如甲方要求，乙方应提供这些记录给买方。</w:t>
      </w:r>
    </w:p>
    <w:p>
      <w:pPr>
        <w:numPr>
          <w:ilvl w:val="2"/>
          <w:numId w:val="5"/>
        </w:numPr>
        <w:spacing w:line="360" w:lineRule="auto"/>
        <w:rPr>
          <w:rFonts w:ascii="宋体" w:hAnsi="宋体" w:cs="宋体"/>
        </w:rPr>
      </w:pPr>
      <w:r>
        <w:rPr>
          <w:rFonts w:hint="eastAsia" w:ascii="宋体" w:hAnsi="宋体" w:cs="宋体"/>
          <w:lang w:val="zh-CN"/>
        </w:rPr>
        <w:t>检验测试出现全部或部分未达到本合同所约定的技术指标，甲方有权选择下列任一处理方式：</w:t>
      </w:r>
    </w:p>
    <w:p>
      <w:pPr>
        <w:numPr>
          <w:ilvl w:val="0"/>
          <w:numId w:val="6"/>
        </w:numPr>
        <w:spacing w:line="360" w:lineRule="auto"/>
        <w:rPr>
          <w:rFonts w:ascii="宋体" w:hAnsi="宋体" w:cs="宋体"/>
        </w:rPr>
      </w:pPr>
      <w:r>
        <w:rPr>
          <w:rFonts w:hint="eastAsia" w:ascii="宋体" w:hAnsi="宋体" w:cs="宋体"/>
          <w:lang w:val="zh-CN"/>
        </w:rPr>
        <w:t>重新测试直至合格为止；</w:t>
      </w:r>
    </w:p>
    <w:p>
      <w:pPr>
        <w:numPr>
          <w:ilvl w:val="0"/>
          <w:numId w:val="6"/>
        </w:numPr>
        <w:spacing w:line="360" w:lineRule="auto"/>
        <w:rPr>
          <w:rFonts w:ascii="宋体" w:hAnsi="宋体" w:cs="宋体"/>
        </w:rPr>
      </w:pPr>
      <w:r>
        <w:rPr>
          <w:rFonts w:hint="eastAsia" w:ascii="宋体" w:hAnsi="宋体" w:cs="宋体"/>
          <w:lang w:val="zh-CN"/>
        </w:rPr>
        <w:t>要求乙方对货物进行免费更换，然后重新测试直至合格为止；</w:t>
      </w:r>
    </w:p>
    <w:p>
      <w:pPr>
        <w:spacing w:line="360" w:lineRule="auto"/>
        <w:rPr>
          <w:rFonts w:ascii="宋体" w:hAnsi="宋体" w:cs="宋体"/>
        </w:rPr>
      </w:pPr>
      <w:r>
        <w:rPr>
          <w:rFonts w:hint="eastAsia" w:ascii="宋体" w:hAnsi="宋体" w:cs="宋体"/>
          <w:lang w:val="zh-CN"/>
        </w:rPr>
        <w:t>无论选择何种方式，甲方因此而发生的因卖方原因引起的所有费用均由乙方负担。</w:t>
      </w:r>
    </w:p>
    <w:p>
      <w:pPr>
        <w:numPr>
          <w:ilvl w:val="1"/>
          <w:numId w:val="5"/>
        </w:numPr>
        <w:spacing w:line="360" w:lineRule="auto"/>
        <w:rPr>
          <w:rFonts w:ascii="宋体" w:hAnsi="宋体" w:cs="宋体"/>
        </w:rPr>
      </w:pPr>
      <w:r>
        <w:rPr>
          <w:rFonts w:hint="eastAsia" w:ascii="宋体" w:hAnsi="宋体" w:cs="宋体"/>
          <w:lang w:val="zh-CN"/>
        </w:rPr>
        <w:t>使用过程检验</w:t>
      </w:r>
    </w:p>
    <w:p>
      <w:pPr>
        <w:numPr>
          <w:ilvl w:val="2"/>
          <w:numId w:val="5"/>
        </w:numPr>
        <w:spacing w:line="360" w:lineRule="auto"/>
        <w:rPr>
          <w:rFonts w:ascii="宋体" w:hAnsi="宋体" w:cs="宋体"/>
        </w:rPr>
      </w:pPr>
      <w:r>
        <w:rPr>
          <w:rFonts w:hint="eastAsia" w:ascii="宋体" w:hAnsi="宋体" w:cs="宋体"/>
          <w:lang w:val="zh-CN"/>
        </w:rPr>
        <w:t>在合同规定的免费质保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numPr>
          <w:ilvl w:val="2"/>
          <w:numId w:val="5"/>
        </w:numPr>
        <w:spacing w:line="360" w:lineRule="auto"/>
        <w:rPr>
          <w:rFonts w:ascii="宋体" w:hAnsi="宋体" w:cs="宋体"/>
        </w:rPr>
      </w:pPr>
      <w:r>
        <w:rPr>
          <w:rFonts w:hint="eastAsia" w:ascii="宋体" w:hAnsi="宋体" w:cs="宋体"/>
          <w:lang w:val="zh-CN"/>
        </w:rPr>
        <w:t>如果合同双方对乙方提供的上述试验结果报告的解释有分歧，双方须于出现分歧后</w:t>
      </w:r>
      <w:r>
        <w:rPr>
          <w:rFonts w:hint="eastAsia" w:ascii="宋体" w:hAnsi="宋体" w:cs="宋体"/>
        </w:rPr>
        <w:t>10</w:t>
      </w:r>
      <w:r>
        <w:rPr>
          <w:rFonts w:hint="eastAsia" w:ascii="宋体" w:hAnsi="宋体" w:cs="宋体"/>
          <w:lang w:val="zh-CN"/>
        </w:rPr>
        <w:t>天内给对方声明，以陈述己方的观点。声明须附有关证据。分歧应通过协商解决。</w:t>
      </w:r>
    </w:p>
    <w:p>
      <w:pPr>
        <w:numPr>
          <w:ilvl w:val="0"/>
          <w:numId w:val="5"/>
        </w:numPr>
        <w:spacing w:line="360" w:lineRule="auto"/>
        <w:rPr>
          <w:rFonts w:ascii="宋体" w:hAnsi="宋体" w:cs="宋体"/>
          <w:b/>
          <w:bCs/>
        </w:rPr>
      </w:pPr>
      <w:r>
        <w:rPr>
          <w:rFonts w:hint="eastAsia" w:ascii="宋体" w:hAnsi="宋体" w:cs="宋体"/>
          <w:b/>
          <w:bCs/>
          <w:lang w:val="zh-CN"/>
        </w:rPr>
        <w:t>付款条件</w:t>
      </w:r>
    </w:p>
    <w:p>
      <w:pPr>
        <w:spacing w:line="360" w:lineRule="auto"/>
        <w:ind w:firstLine="480" w:firstLineChars="200"/>
        <w:rPr>
          <w:rFonts w:ascii="宋体" w:hAnsi="宋体" w:cs="宋体"/>
        </w:rPr>
      </w:pPr>
      <w:r>
        <w:rPr>
          <w:rFonts w:hint="eastAsia" w:ascii="宋体" w:hAnsi="宋体" w:cs="宋体"/>
          <w:lang w:val="zh-CN"/>
        </w:rPr>
        <w:t>本合同条款下的付款方法和条件在“青海省政府采购合同书”中具体规定。</w:t>
      </w:r>
    </w:p>
    <w:p>
      <w:pPr>
        <w:numPr>
          <w:ilvl w:val="0"/>
          <w:numId w:val="5"/>
        </w:numPr>
        <w:spacing w:line="360" w:lineRule="auto"/>
        <w:rPr>
          <w:rFonts w:ascii="宋体" w:hAnsi="宋体" w:cs="宋体"/>
          <w:b/>
          <w:bCs/>
          <w:lang w:val="zh-CN"/>
        </w:rPr>
      </w:pPr>
      <w:r>
        <w:rPr>
          <w:rFonts w:hint="eastAsia" w:ascii="宋体" w:hAnsi="宋体" w:cs="宋体"/>
          <w:b/>
          <w:bCs/>
          <w:lang w:val="zh-CN"/>
        </w:rPr>
        <w:t>履约保证金</w:t>
      </w:r>
    </w:p>
    <w:p>
      <w:pPr>
        <w:numPr>
          <w:ilvl w:val="1"/>
          <w:numId w:val="5"/>
        </w:numPr>
        <w:spacing w:line="360" w:lineRule="auto"/>
        <w:rPr>
          <w:rFonts w:ascii="宋体" w:hAnsi="宋体" w:cs="宋体"/>
        </w:rPr>
      </w:pPr>
      <w:r>
        <w:rPr>
          <w:rFonts w:hint="eastAsia" w:ascii="宋体" w:hAnsi="宋体" w:cs="宋体"/>
          <w:lang w:val="zh-CN"/>
        </w:rPr>
        <w:t>乙方应在合同签订前，按要求提交履约保证金。</w:t>
      </w:r>
    </w:p>
    <w:p>
      <w:pPr>
        <w:numPr>
          <w:ilvl w:val="1"/>
          <w:numId w:val="5"/>
        </w:numPr>
        <w:spacing w:line="360" w:lineRule="auto"/>
        <w:rPr>
          <w:rFonts w:ascii="宋体" w:hAnsi="宋体" w:cs="宋体"/>
        </w:rPr>
      </w:pPr>
      <w:r>
        <w:rPr>
          <w:rFonts w:hint="eastAsia" w:ascii="宋体" w:hAnsi="宋体" w:cs="宋体"/>
          <w:lang w:val="zh-CN"/>
        </w:rPr>
        <w:t>履约保证金用于补偿甲方因乙方不能履行其合同义务而蒙受的损失。</w:t>
      </w:r>
    </w:p>
    <w:p>
      <w:pPr>
        <w:numPr>
          <w:ilvl w:val="1"/>
          <w:numId w:val="5"/>
        </w:numPr>
        <w:spacing w:line="360" w:lineRule="auto"/>
        <w:rPr>
          <w:rFonts w:ascii="宋体" w:hAnsi="宋体" w:cs="宋体"/>
        </w:rPr>
      </w:pPr>
      <w:r>
        <w:rPr>
          <w:rFonts w:hint="eastAsia" w:ascii="宋体" w:hAnsi="宋体" w:cs="宋体"/>
          <w:lang w:val="zh-CN"/>
        </w:rPr>
        <w:t>履约保证金应使用本合同货币，按下述方式之一提交（磋商文件中另有约定的除外）：</w:t>
      </w:r>
    </w:p>
    <w:p>
      <w:pPr>
        <w:numPr>
          <w:ilvl w:val="1"/>
          <w:numId w:val="5"/>
        </w:numPr>
        <w:spacing w:line="360" w:lineRule="auto"/>
        <w:rPr>
          <w:rFonts w:ascii="宋体" w:hAnsi="宋体" w:cs="宋体"/>
        </w:rPr>
      </w:pPr>
      <w:r>
        <w:rPr>
          <w:rFonts w:hint="eastAsia" w:ascii="宋体" w:hAnsi="宋体" w:cs="宋体"/>
          <w:lang w:val="zh-CN"/>
        </w:rPr>
        <w:t>甲方可接受的在中华人民共和国注册和营业的银行出具的履约保函；</w:t>
      </w:r>
    </w:p>
    <w:p>
      <w:pPr>
        <w:numPr>
          <w:ilvl w:val="1"/>
          <w:numId w:val="5"/>
        </w:numPr>
        <w:spacing w:line="360" w:lineRule="auto"/>
        <w:rPr>
          <w:rFonts w:ascii="宋体" w:hAnsi="宋体" w:cs="宋体"/>
        </w:rPr>
      </w:pPr>
      <w:r>
        <w:rPr>
          <w:rFonts w:hint="eastAsia" w:ascii="宋体" w:hAnsi="宋体" w:cs="宋体"/>
          <w:lang w:val="zh-CN"/>
        </w:rPr>
        <w:t>支票或汇票。</w:t>
      </w:r>
    </w:p>
    <w:p>
      <w:pPr>
        <w:numPr>
          <w:ilvl w:val="1"/>
          <w:numId w:val="5"/>
        </w:numPr>
        <w:spacing w:line="360" w:lineRule="auto"/>
        <w:rPr>
          <w:rFonts w:ascii="宋体" w:hAnsi="宋体" w:cs="宋体"/>
        </w:rPr>
      </w:pPr>
      <w:r>
        <w:rPr>
          <w:rFonts w:hint="eastAsia" w:ascii="宋体" w:hAnsi="宋体" w:cs="宋体"/>
          <w:lang w:val="zh-CN"/>
        </w:rPr>
        <w:t>乙方未能按合同规定履行其义务，甲方有权从履约保证金中取得补偿。货物验收合格后，甲方将履约保证金退还乙方或转为质量保证金。</w:t>
      </w:r>
    </w:p>
    <w:p>
      <w:pPr>
        <w:numPr>
          <w:ilvl w:val="0"/>
          <w:numId w:val="5"/>
        </w:numPr>
        <w:spacing w:line="360" w:lineRule="auto"/>
        <w:rPr>
          <w:rFonts w:ascii="宋体" w:hAnsi="宋体" w:cs="宋体"/>
          <w:b/>
          <w:bCs/>
          <w:lang w:val="zh-CN"/>
        </w:rPr>
      </w:pPr>
      <w:r>
        <w:rPr>
          <w:rFonts w:hint="eastAsia" w:ascii="宋体" w:hAnsi="宋体" w:cs="宋体"/>
          <w:b/>
          <w:bCs/>
          <w:lang w:val="zh-CN"/>
        </w:rPr>
        <w:t>索赔</w:t>
      </w:r>
    </w:p>
    <w:p>
      <w:pPr>
        <w:numPr>
          <w:ilvl w:val="1"/>
          <w:numId w:val="5"/>
        </w:numPr>
        <w:spacing w:line="360" w:lineRule="auto"/>
        <w:rPr>
          <w:rFonts w:ascii="宋体" w:hAnsi="宋体" w:cs="宋体"/>
        </w:rPr>
      </w:pPr>
      <w:r>
        <w:rPr>
          <w:rFonts w:hint="eastAsia" w:ascii="宋体" w:hAnsi="宋体" w:cs="宋体"/>
          <w:lang w:val="zh-CN"/>
        </w:rPr>
        <w:t>货物的质量、规格、数量、性能等与合同约定不符，或在免费质保期内证实货物存有缺陷，包括潜在的缺陷或使用不符合要求的材料等，甲方有权根据有资质的权威质检机构的检验结果向乙方提出索赔（但责任应由保险公司或运输部门承担的除外）。</w:t>
      </w:r>
    </w:p>
    <w:p>
      <w:pPr>
        <w:numPr>
          <w:ilvl w:val="1"/>
          <w:numId w:val="5"/>
        </w:numPr>
        <w:spacing w:line="360" w:lineRule="auto"/>
        <w:rPr>
          <w:rFonts w:ascii="宋体" w:hAnsi="宋体" w:cs="宋体"/>
        </w:rPr>
      </w:pPr>
      <w:r>
        <w:rPr>
          <w:rFonts w:hint="eastAsia" w:ascii="宋体" w:hAnsi="宋体" w:cs="宋体"/>
          <w:lang w:val="zh-CN"/>
        </w:rPr>
        <w:t>在履约保证期和检验期内，乙方对甲方提出的索赔负有责任，乙方应按照甲方同意的下列一种或多种方式解决索赔事宜：</w:t>
      </w:r>
    </w:p>
    <w:p>
      <w:pPr>
        <w:numPr>
          <w:ilvl w:val="2"/>
          <w:numId w:val="5"/>
        </w:numPr>
        <w:spacing w:line="360" w:lineRule="auto"/>
        <w:rPr>
          <w:rFonts w:ascii="宋体" w:hAnsi="宋体" w:cs="宋体"/>
        </w:rPr>
      </w:pPr>
      <w:r>
        <w:rPr>
          <w:rFonts w:hint="eastAsia" w:ascii="宋体" w:hAnsi="宋体" w:cs="宋体"/>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numPr>
          <w:ilvl w:val="2"/>
          <w:numId w:val="5"/>
        </w:numPr>
        <w:spacing w:line="360" w:lineRule="auto"/>
        <w:rPr>
          <w:rFonts w:ascii="宋体" w:hAnsi="宋体" w:cs="宋体"/>
        </w:rPr>
      </w:pPr>
      <w:r>
        <w:rPr>
          <w:rFonts w:hint="eastAsia" w:ascii="宋体" w:hAnsi="宋体" w:cs="宋体"/>
          <w:lang w:val="zh-CN"/>
        </w:rPr>
        <w:t>根据货物低劣程度、损坏程度以及甲方所遭受损失的数额，经甲乙双方商定降低货物的价格，或由有资质的中介机构评估，以降低后的价格或评估价格为准。</w:t>
      </w:r>
    </w:p>
    <w:p>
      <w:pPr>
        <w:numPr>
          <w:ilvl w:val="2"/>
          <w:numId w:val="5"/>
        </w:numPr>
        <w:spacing w:line="360" w:lineRule="auto"/>
        <w:rPr>
          <w:rFonts w:ascii="宋体" w:hAnsi="宋体" w:cs="宋体"/>
        </w:rPr>
      </w:pPr>
      <w:r>
        <w:rPr>
          <w:rFonts w:hint="eastAsia" w:ascii="宋体" w:hAnsi="宋体" w:cs="宋体"/>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numPr>
          <w:ilvl w:val="1"/>
          <w:numId w:val="5"/>
        </w:numPr>
        <w:spacing w:line="360" w:lineRule="auto"/>
        <w:rPr>
          <w:rFonts w:ascii="宋体" w:hAnsi="宋体" w:cs="宋体"/>
          <w:lang w:val="zh-CN"/>
        </w:rPr>
      </w:pPr>
      <w:r>
        <w:rPr>
          <w:rFonts w:hint="eastAsia" w:ascii="宋体" w:hAnsi="宋体" w:cs="宋体"/>
          <w:lang w:val="zh-CN"/>
        </w:rPr>
        <w:t>乙方收到甲方发出的索赔通知之日起</w:t>
      </w:r>
      <w:r>
        <w:rPr>
          <w:rFonts w:hint="eastAsia" w:ascii="宋体" w:hAnsi="宋体" w:cs="宋体"/>
        </w:rPr>
        <w:t>5</w:t>
      </w:r>
      <w:r>
        <w:rPr>
          <w:rFonts w:hint="eastAsia" w:ascii="宋体" w:hAnsi="宋体" w:cs="宋体"/>
          <w:lang w:val="zh-CN"/>
        </w:rPr>
        <w:t>个工作日内未作答复的，甲方可从合同款或履约保证金中扣回索赔金额，如金额不足以补偿索赔金额，乙方应补足差额部分。</w:t>
      </w:r>
    </w:p>
    <w:p>
      <w:pPr>
        <w:numPr>
          <w:ilvl w:val="0"/>
          <w:numId w:val="5"/>
        </w:numPr>
        <w:spacing w:line="360" w:lineRule="auto"/>
        <w:rPr>
          <w:rFonts w:ascii="宋体" w:hAnsi="宋体" w:cs="宋体"/>
          <w:b/>
          <w:bCs/>
          <w:lang w:val="zh-CN"/>
        </w:rPr>
      </w:pPr>
      <w:r>
        <w:rPr>
          <w:rFonts w:hint="eastAsia" w:ascii="宋体" w:hAnsi="宋体" w:cs="宋体"/>
          <w:b/>
          <w:bCs/>
          <w:lang w:val="zh-CN"/>
        </w:rPr>
        <w:t>迟延交货</w:t>
      </w:r>
    </w:p>
    <w:p>
      <w:pPr>
        <w:numPr>
          <w:ilvl w:val="1"/>
          <w:numId w:val="5"/>
        </w:numPr>
        <w:spacing w:line="360" w:lineRule="auto"/>
        <w:rPr>
          <w:rFonts w:ascii="宋体" w:hAnsi="宋体" w:cs="宋体"/>
        </w:rPr>
      </w:pPr>
      <w:r>
        <w:rPr>
          <w:rFonts w:hint="eastAsia" w:ascii="宋体" w:hAnsi="宋体" w:cs="宋体"/>
          <w:lang w:val="zh-CN"/>
        </w:rPr>
        <w:t>乙方应按照合同约定的时间交货和提供服务。</w:t>
      </w:r>
    </w:p>
    <w:p>
      <w:pPr>
        <w:numPr>
          <w:ilvl w:val="1"/>
          <w:numId w:val="5"/>
        </w:numPr>
        <w:spacing w:line="360" w:lineRule="auto"/>
        <w:rPr>
          <w:rFonts w:ascii="宋体" w:hAnsi="宋体" w:cs="宋体"/>
        </w:rPr>
      </w:pPr>
      <w:r>
        <w:rPr>
          <w:rFonts w:hint="eastAsia" w:ascii="宋体" w:hAnsi="宋体" w:cs="宋体"/>
          <w:lang w:val="zh-CN"/>
        </w:rPr>
        <w:t>除不可抗力因素外，乙方迟延交货，甲方有权提出违约损失赔偿或解除合同。</w:t>
      </w:r>
    </w:p>
    <w:p>
      <w:pPr>
        <w:numPr>
          <w:ilvl w:val="1"/>
          <w:numId w:val="5"/>
        </w:numPr>
        <w:spacing w:line="360" w:lineRule="auto"/>
        <w:rPr>
          <w:rFonts w:ascii="宋体" w:hAnsi="宋体" w:cs="宋体"/>
        </w:rPr>
      </w:pPr>
      <w:r>
        <w:rPr>
          <w:rFonts w:hint="eastAsia" w:ascii="宋体" w:hAnsi="宋体" w:cs="宋体"/>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numPr>
          <w:ilvl w:val="0"/>
          <w:numId w:val="5"/>
        </w:numPr>
        <w:spacing w:line="360" w:lineRule="auto"/>
        <w:rPr>
          <w:rFonts w:ascii="宋体" w:hAnsi="宋体" w:cs="宋体"/>
          <w:b/>
          <w:bCs/>
        </w:rPr>
      </w:pPr>
      <w:r>
        <w:rPr>
          <w:rFonts w:hint="eastAsia" w:ascii="宋体" w:hAnsi="宋体" w:cs="宋体"/>
          <w:b/>
          <w:bCs/>
          <w:lang w:val="zh-CN"/>
        </w:rPr>
        <w:t>违约赔偿</w:t>
      </w:r>
    </w:p>
    <w:p>
      <w:pPr>
        <w:spacing w:line="360" w:lineRule="auto"/>
        <w:ind w:firstLine="480" w:firstLineChars="200"/>
        <w:rPr>
          <w:rFonts w:ascii="宋体" w:hAnsi="宋体" w:cs="宋体"/>
        </w:rPr>
      </w:pPr>
      <w:r>
        <w:rPr>
          <w:rFonts w:hint="eastAsia" w:ascii="宋体" w:hAnsi="宋体" w:cs="宋体"/>
          <w:lang w:val="zh-CN"/>
        </w:rPr>
        <w:t>除不可抗力因素外，乙方没有按照合同规定的时间交货和提供服务，甲方可要求乙方支付违约金。违约金每日按合同总价款的千分之五计收。</w:t>
      </w:r>
    </w:p>
    <w:p>
      <w:pPr>
        <w:numPr>
          <w:ilvl w:val="0"/>
          <w:numId w:val="5"/>
        </w:numPr>
        <w:spacing w:line="360" w:lineRule="auto"/>
        <w:rPr>
          <w:rFonts w:ascii="宋体" w:hAnsi="宋体" w:cs="宋体"/>
          <w:b/>
          <w:bCs/>
          <w:lang w:val="zh-CN"/>
        </w:rPr>
      </w:pPr>
      <w:r>
        <w:rPr>
          <w:rFonts w:hint="eastAsia" w:ascii="宋体" w:hAnsi="宋体" w:cs="宋体"/>
          <w:b/>
          <w:bCs/>
          <w:lang w:val="zh-CN"/>
        </w:rPr>
        <w:t>不可抗力</w:t>
      </w:r>
    </w:p>
    <w:p>
      <w:pPr>
        <w:numPr>
          <w:ilvl w:val="1"/>
          <w:numId w:val="5"/>
        </w:numPr>
        <w:spacing w:line="360" w:lineRule="auto"/>
        <w:rPr>
          <w:rFonts w:ascii="宋体" w:hAnsi="宋体" w:cs="宋体"/>
        </w:rPr>
      </w:pPr>
      <w:r>
        <w:rPr>
          <w:rFonts w:hint="eastAsia" w:ascii="宋体" w:hAnsi="宋体" w:cs="宋体"/>
          <w:lang w:val="zh-CN"/>
        </w:rPr>
        <w:t>双方中任何一方遭遇法律规定的不可抗力，致使合同履行受阻时，履行合同的期限应予延长，延长的期限应相当于不可抗力所影响的时间。</w:t>
      </w:r>
    </w:p>
    <w:p>
      <w:pPr>
        <w:numPr>
          <w:ilvl w:val="1"/>
          <w:numId w:val="5"/>
        </w:numPr>
        <w:spacing w:line="360" w:lineRule="auto"/>
        <w:rPr>
          <w:rFonts w:ascii="宋体" w:hAnsi="宋体" w:cs="宋体"/>
        </w:rPr>
      </w:pPr>
      <w:r>
        <w:rPr>
          <w:rFonts w:hint="eastAsia" w:ascii="宋体" w:hAnsi="宋体" w:cs="宋体"/>
          <w:lang w:val="zh-CN"/>
        </w:rPr>
        <w:t>受事故影响的一方应在不可抗力的事故发生后以书面形式通知另一方。</w:t>
      </w:r>
    </w:p>
    <w:p>
      <w:pPr>
        <w:numPr>
          <w:ilvl w:val="1"/>
          <w:numId w:val="5"/>
        </w:numPr>
        <w:spacing w:line="360" w:lineRule="auto"/>
        <w:rPr>
          <w:rFonts w:ascii="宋体" w:hAnsi="宋体" w:cs="宋体"/>
        </w:rPr>
      </w:pPr>
      <w:r>
        <w:rPr>
          <w:rFonts w:hint="eastAsia" w:ascii="宋体" w:hAnsi="宋体" w:cs="宋体"/>
          <w:lang w:val="zh-CN"/>
        </w:rPr>
        <w:t>不可抗力使合同的某些内容有变更必要的，双方应通过协商达成进一步履行合同的协议，因不可抗力致使合同不能履行的，合同终止。</w:t>
      </w:r>
    </w:p>
    <w:p>
      <w:pPr>
        <w:numPr>
          <w:ilvl w:val="0"/>
          <w:numId w:val="5"/>
        </w:numPr>
        <w:spacing w:line="360" w:lineRule="auto"/>
        <w:rPr>
          <w:rFonts w:ascii="宋体" w:hAnsi="宋体" w:cs="宋体"/>
          <w:b/>
          <w:bCs/>
        </w:rPr>
      </w:pPr>
      <w:r>
        <w:rPr>
          <w:rFonts w:hint="eastAsia" w:ascii="宋体" w:hAnsi="宋体" w:cs="宋体"/>
          <w:b/>
          <w:bCs/>
          <w:lang w:val="zh-CN"/>
        </w:rPr>
        <w:t>税费</w:t>
      </w:r>
    </w:p>
    <w:p>
      <w:pPr>
        <w:spacing w:line="360" w:lineRule="auto"/>
        <w:ind w:firstLine="480" w:firstLineChars="200"/>
        <w:rPr>
          <w:rFonts w:ascii="宋体" w:hAnsi="宋体" w:cs="宋体"/>
        </w:rPr>
      </w:pPr>
      <w:r>
        <w:rPr>
          <w:rFonts w:hint="eastAsia" w:ascii="宋体" w:hAnsi="宋体" w:cs="宋体"/>
          <w:lang w:val="zh-CN"/>
        </w:rPr>
        <w:t>与本合同有关的一切税费均由乙方承担。</w:t>
      </w:r>
    </w:p>
    <w:p>
      <w:pPr>
        <w:numPr>
          <w:ilvl w:val="0"/>
          <w:numId w:val="5"/>
        </w:numPr>
        <w:spacing w:line="360" w:lineRule="auto"/>
        <w:rPr>
          <w:rFonts w:ascii="宋体" w:hAnsi="宋体" w:cs="宋体"/>
          <w:b/>
          <w:bCs/>
          <w:lang w:val="zh-CN"/>
        </w:rPr>
      </w:pPr>
      <w:r>
        <w:rPr>
          <w:rFonts w:hint="eastAsia" w:ascii="宋体" w:hAnsi="宋体" w:cs="宋体"/>
          <w:b/>
          <w:bCs/>
          <w:lang w:val="zh-CN"/>
        </w:rPr>
        <w:t>合同争议的解决</w:t>
      </w:r>
    </w:p>
    <w:p>
      <w:pPr>
        <w:numPr>
          <w:ilvl w:val="1"/>
          <w:numId w:val="5"/>
        </w:numPr>
        <w:spacing w:line="360" w:lineRule="auto"/>
        <w:rPr>
          <w:rFonts w:ascii="宋体" w:hAnsi="宋体" w:cs="宋体"/>
        </w:rPr>
      </w:pPr>
      <w:r>
        <w:rPr>
          <w:rFonts w:hint="eastAsia" w:ascii="宋体" w:hAnsi="宋体" w:cs="宋体"/>
          <w:lang w:val="zh-CN"/>
        </w:rPr>
        <w:t>甲方和乙方由于本合同的履行而发生任何争议时，双方可先通过协商解决。</w:t>
      </w:r>
    </w:p>
    <w:p>
      <w:pPr>
        <w:numPr>
          <w:ilvl w:val="1"/>
          <w:numId w:val="5"/>
        </w:numPr>
        <w:spacing w:line="360" w:lineRule="auto"/>
        <w:rPr>
          <w:rFonts w:ascii="宋体" w:hAnsi="宋体" w:cs="宋体"/>
        </w:rPr>
      </w:pPr>
      <w:r>
        <w:rPr>
          <w:rFonts w:hint="eastAsia" w:ascii="宋体" w:hAnsi="宋体" w:cs="宋体"/>
          <w:lang w:val="zh-CN"/>
        </w:rPr>
        <w:t>任何一方不愿通过协商或通过协商仍不能解决争议，则双方中任何一方均应向甲方所在地人民法院起诉。</w:t>
      </w:r>
    </w:p>
    <w:p>
      <w:pPr>
        <w:numPr>
          <w:ilvl w:val="0"/>
          <w:numId w:val="5"/>
        </w:numPr>
        <w:spacing w:line="360" w:lineRule="auto"/>
        <w:rPr>
          <w:rFonts w:ascii="宋体" w:hAnsi="宋体" w:cs="宋体"/>
          <w:b/>
          <w:bCs/>
          <w:lang w:val="zh-CN"/>
        </w:rPr>
      </w:pPr>
      <w:r>
        <w:rPr>
          <w:rFonts w:hint="eastAsia" w:ascii="宋体" w:hAnsi="宋体" w:cs="宋体"/>
          <w:b/>
          <w:bCs/>
          <w:lang w:val="zh-CN"/>
        </w:rPr>
        <w:t>违约解除合同</w:t>
      </w:r>
    </w:p>
    <w:p>
      <w:pPr>
        <w:numPr>
          <w:ilvl w:val="1"/>
          <w:numId w:val="5"/>
        </w:numPr>
        <w:spacing w:line="360" w:lineRule="auto"/>
        <w:rPr>
          <w:rFonts w:ascii="宋体" w:hAnsi="宋体" w:cs="宋体"/>
        </w:rPr>
      </w:pPr>
      <w:r>
        <w:rPr>
          <w:rFonts w:hint="eastAsia" w:ascii="宋体" w:hAnsi="宋体" w:cs="宋体"/>
          <w:lang w:val="zh-CN"/>
        </w:rPr>
        <w:t>出现下列情形之一的，视为乙方违约。甲方可向乙方发出书面通知，部分或全部终止合同，同时保留向乙方索赔的权利。</w:t>
      </w:r>
    </w:p>
    <w:p>
      <w:pPr>
        <w:numPr>
          <w:ilvl w:val="2"/>
          <w:numId w:val="5"/>
        </w:numPr>
        <w:spacing w:line="360" w:lineRule="auto"/>
        <w:rPr>
          <w:rFonts w:ascii="宋体" w:hAnsi="宋体" w:cs="宋体"/>
        </w:rPr>
      </w:pPr>
      <w:r>
        <w:rPr>
          <w:rFonts w:hint="eastAsia" w:ascii="宋体" w:hAnsi="宋体" w:cs="宋体"/>
          <w:lang w:val="zh-CN"/>
        </w:rPr>
        <w:t>乙方未能在合同规定的限期或甲方同意延长的限期内，提供全部或部分货物的；</w:t>
      </w:r>
    </w:p>
    <w:p>
      <w:pPr>
        <w:numPr>
          <w:ilvl w:val="2"/>
          <w:numId w:val="5"/>
        </w:numPr>
        <w:spacing w:line="360" w:lineRule="auto"/>
        <w:rPr>
          <w:rFonts w:ascii="宋体" w:hAnsi="宋体" w:cs="宋体"/>
        </w:rPr>
      </w:pPr>
      <w:r>
        <w:rPr>
          <w:rFonts w:hint="eastAsia" w:ascii="宋体" w:hAnsi="宋体" w:cs="宋体"/>
          <w:lang w:val="zh-CN"/>
        </w:rPr>
        <w:t>乙方未能履行合同规定的其它主要义务的；</w:t>
      </w:r>
    </w:p>
    <w:p>
      <w:pPr>
        <w:numPr>
          <w:ilvl w:val="2"/>
          <w:numId w:val="5"/>
        </w:numPr>
        <w:spacing w:line="360" w:lineRule="auto"/>
        <w:rPr>
          <w:rFonts w:ascii="宋体" w:hAnsi="宋体" w:cs="宋体"/>
        </w:rPr>
      </w:pPr>
      <w:r>
        <w:rPr>
          <w:rFonts w:hint="eastAsia" w:ascii="宋体" w:hAnsi="宋体" w:cs="宋体"/>
          <w:lang w:val="zh-CN"/>
        </w:rPr>
        <w:t>乙方在本合同履行过程中有欺诈行为的。</w:t>
      </w:r>
    </w:p>
    <w:p>
      <w:pPr>
        <w:numPr>
          <w:ilvl w:val="1"/>
          <w:numId w:val="5"/>
        </w:numPr>
        <w:spacing w:line="360" w:lineRule="auto"/>
        <w:rPr>
          <w:rFonts w:ascii="宋体" w:hAnsi="宋体" w:cs="宋体"/>
          <w:lang w:val="zh-CN"/>
        </w:rPr>
      </w:pPr>
      <w:r>
        <w:rPr>
          <w:rFonts w:hint="eastAsia" w:ascii="宋体" w:hAnsi="宋体" w:cs="宋体"/>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numPr>
          <w:ilvl w:val="0"/>
          <w:numId w:val="5"/>
        </w:numPr>
        <w:spacing w:line="360" w:lineRule="auto"/>
        <w:rPr>
          <w:rFonts w:ascii="宋体" w:hAnsi="宋体" w:cs="宋体"/>
          <w:b/>
          <w:bCs/>
        </w:rPr>
      </w:pPr>
      <w:r>
        <w:rPr>
          <w:rFonts w:hint="eastAsia" w:ascii="宋体" w:hAnsi="宋体" w:cs="宋体"/>
          <w:b/>
          <w:bCs/>
          <w:lang w:val="zh-CN"/>
        </w:rPr>
        <w:t>破产终止合同</w:t>
      </w:r>
    </w:p>
    <w:p>
      <w:pPr>
        <w:spacing w:line="360" w:lineRule="auto"/>
        <w:ind w:firstLine="480" w:firstLineChars="200"/>
        <w:rPr>
          <w:rFonts w:ascii="宋体" w:hAnsi="宋体" w:cs="宋体"/>
        </w:rPr>
      </w:pPr>
      <w:r>
        <w:rPr>
          <w:rFonts w:hint="eastAsia" w:ascii="宋体" w:hAnsi="宋体" w:cs="宋体"/>
          <w:lang w:val="zh-CN"/>
        </w:rPr>
        <w:t>乙方破产而无法完全履行本合同义务时，甲方可以书面方式通知乙方终止合同而不给予乙方补偿。该合同的终止将不损害或不影响甲方已经采取或将要采取任何行动或补救措施的权利。</w:t>
      </w:r>
    </w:p>
    <w:p>
      <w:pPr>
        <w:numPr>
          <w:ilvl w:val="0"/>
          <w:numId w:val="5"/>
        </w:numPr>
        <w:spacing w:line="360" w:lineRule="auto"/>
        <w:rPr>
          <w:rFonts w:ascii="宋体" w:hAnsi="宋体" w:cs="宋体"/>
          <w:b/>
          <w:bCs/>
          <w:lang w:val="zh-CN"/>
        </w:rPr>
      </w:pPr>
      <w:r>
        <w:rPr>
          <w:rFonts w:hint="eastAsia" w:ascii="宋体" w:hAnsi="宋体" w:cs="宋体"/>
          <w:b/>
          <w:bCs/>
          <w:lang w:val="zh-CN"/>
        </w:rPr>
        <w:t>转让和分包</w:t>
      </w:r>
    </w:p>
    <w:p>
      <w:pPr>
        <w:numPr>
          <w:ilvl w:val="1"/>
          <w:numId w:val="5"/>
        </w:numPr>
        <w:spacing w:line="360" w:lineRule="auto"/>
        <w:rPr>
          <w:rFonts w:ascii="宋体" w:hAnsi="宋体" w:cs="宋体"/>
        </w:rPr>
      </w:pPr>
      <w:r>
        <w:rPr>
          <w:rFonts w:hint="eastAsia" w:ascii="宋体" w:hAnsi="宋体" w:cs="宋体"/>
          <w:lang w:val="zh-CN"/>
        </w:rPr>
        <w:t>政府采购合同不能转让。</w:t>
      </w:r>
    </w:p>
    <w:p>
      <w:pPr>
        <w:numPr>
          <w:ilvl w:val="1"/>
          <w:numId w:val="5"/>
        </w:numPr>
        <w:spacing w:line="360" w:lineRule="auto"/>
        <w:rPr>
          <w:rFonts w:ascii="宋体" w:hAnsi="宋体" w:cs="宋体"/>
        </w:rPr>
      </w:pPr>
      <w:r>
        <w:rPr>
          <w:rFonts w:hint="eastAsia" w:ascii="宋体" w:hAnsi="宋体" w:cs="宋体"/>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numPr>
          <w:ilvl w:val="0"/>
          <w:numId w:val="5"/>
        </w:numPr>
        <w:spacing w:line="360" w:lineRule="auto"/>
        <w:rPr>
          <w:rFonts w:ascii="宋体" w:hAnsi="宋体" w:cs="宋体"/>
          <w:b/>
          <w:bCs/>
        </w:rPr>
      </w:pPr>
      <w:r>
        <w:rPr>
          <w:rFonts w:hint="eastAsia" w:ascii="宋体" w:hAnsi="宋体" w:cs="宋体"/>
          <w:b/>
          <w:bCs/>
          <w:lang w:val="zh-CN"/>
        </w:rPr>
        <w:t>合同修改</w:t>
      </w:r>
    </w:p>
    <w:p>
      <w:pPr>
        <w:spacing w:line="360" w:lineRule="auto"/>
        <w:ind w:firstLine="480" w:firstLineChars="200"/>
        <w:rPr>
          <w:rFonts w:ascii="宋体" w:hAnsi="宋体" w:cs="宋体"/>
        </w:rPr>
      </w:pPr>
      <w:r>
        <w:rPr>
          <w:rFonts w:hint="eastAsia" w:ascii="宋体" w:hAnsi="宋体" w:cs="宋体"/>
          <w:lang w:val="zh-CN"/>
        </w:rPr>
        <w:t>甲方和乙方都不得擅自变更本合同，但合同继续履行将损害国家和社会公共利益的除外。如必须对合同条款进行改动时，当事人双方须共同签署书面文件，做为合同的补充。</w:t>
      </w:r>
    </w:p>
    <w:p>
      <w:pPr>
        <w:numPr>
          <w:ilvl w:val="0"/>
          <w:numId w:val="5"/>
        </w:numPr>
        <w:spacing w:line="360" w:lineRule="auto"/>
        <w:rPr>
          <w:rFonts w:ascii="宋体" w:hAnsi="宋体" w:cs="宋体"/>
          <w:b/>
          <w:bCs/>
        </w:rPr>
      </w:pPr>
      <w:r>
        <w:rPr>
          <w:rFonts w:hint="eastAsia" w:ascii="宋体" w:hAnsi="宋体" w:cs="宋体"/>
          <w:b/>
          <w:bCs/>
          <w:lang w:val="zh-CN"/>
        </w:rPr>
        <w:t>通知</w:t>
      </w:r>
    </w:p>
    <w:p>
      <w:pPr>
        <w:spacing w:line="360" w:lineRule="auto"/>
        <w:ind w:firstLine="480" w:firstLineChars="200"/>
        <w:rPr>
          <w:rFonts w:ascii="宋体" w:hAnsi="宋体" w:cs="宋体"/>
        </w:rPr>
      </w:pPr>
      <w:r>
        <w:rPr>
          <w:rFonts w:hint="eastAsia" w:ascii="宋体" w:hAnsi="宋体" w:cs="宋体"/>
          <w:lang w:val="zh-CN"/>
        </w:rPr>
        <w:t>本合同任何一方给另一方的通知，都应以书面形式发送，而另一方也应以书面形式确认并发送到对方明确的地址。</w:t>
      </w:r>
    </w:p>
    <w:p>
      <w:pPr>
        <w:numPr>
          <w:ilvl w:val="0"/>
          <w:numId w:val="5"/>
        </w:numPr>
        <w:spacing w:line="360" w:lineRule="auto"/>
        <w:rPr>
          <w:rFonts w:ascii="宋体" w:hAnsi="宋体" w:cs="宋体"/>
          <w:b/>
          <w:bCs/>
        </w:rPr>
      </w:pPr>
      <w:r>
        <w:rPr>
          <w:rFonts w:hint="eastAsia" w:ascii="宋体" w:hAnsi="宋体" w:cs="宋体"/>
          <w:b/>
          <w:bCs/>
          <w:lang w:val="zh-CN"/>
        </w:rPr>
        <w:t>计量单位</w:t>
      </w:r>
    </w:p>
    <w:p>
      <w:pPr>
        <w:spacing w:line="360" w:lineRule="auto"/>
        <w:ind w:firstLine="480" w:firstLineChars="200"/>
        <w:rPr>
          <w:rFonts w:ascii="宋体" w:hAnsi="宋体" w:cs="宋体"/>
        </w:rPr>
      </w:pPr>
      <w:r>
        <w:rPr>
          <w:rFonts w:hint="eastAsia" w:ascii="宋体" w:hAnsi="宋体" w:cs="宋体"/>
          <w:lang w:val="zh-CN"/>
        </w:rPr>
        <w:t>除技术规范中另有规定外</w:t>
      </w:r>
      <w:r>
        <w:rPr>
          <w:rFonts w:hint="eastAsia" w:ascii="宋体" w:hAnsi="宋体" w:cs="宋体"/>
        </w:rPr>
        <w:t>,</w:t>
      </w:r>
      <w:r>
        <w:rPr>
          <w:rFonts w:hint="eastAsia" w:ascii="宋体" w:hAnsi="宋体" w:cs="宋体"/>
          <w:lang w:val="zh-CN"/>
        </w:rPr>
        <w:t>计量单位均使用国家法定计量单位。</w:t>
      </w:r>
    </w:p>
    <w:p>
      <w:pPr>
        <w:numPr>
          <w:ilvl w:val="0"/>
          <w:numId w:val="5"/>
        </w:numPr>
        <w:spacing w:line="360" w:lineRule="auto"/>
        <w:rPr>
          <w:rFonts w:ascii="宋体" w:hAnsi="宋体" w:cs="宋体"/>
          <w:b/>
          <w:bCs/>
        </w:rPr>
      </w:pPr>
      <w:r>
        <w:rPr>
          <w:rFonts w:hint="eastAsia" w:ascii="宋体" w:hAnsi="宋体" w:cs="宋体"/>
          <w:b/>
          <w:bCs/>
          <w:lang w:val="zh-CN"/>
        </w:rPr>
        <w:t>适用法律</w:t>
      </w:r>
    </w:p>
    <w:p>
      <w:pPr>
        <w:spacing w:line="360" w:lineRule="auto"/>
        <w:ind w:firstLine="480" w:firstLineChars="200"/>
        <w:rPr>
          <w:rFonts w:ascii="宋体" w:hAnsi="宋体" w:cs="宋体"/>
          <w:lang w:val="zh-CN"/>
        </w:rPr>
      </w:pPr>
      <w:r>
        <w:rPr>
          <w:rFonts w:hint="eastAsia" w:ascii="宋体" w:hAnsi="宋体" w:cs="宋体"/>
          <w:lang w:val="zh-CN"/>
        </w:rPr>
        <w:t>本合同按照中华人民共和国的相关法律进行解释。</w:t>
      </w:r>
    </w:p>
    <w:p>
      <w:pPr>
        <w:kinsoku w:val="0"/>
        <w:overflowPunct w:val="0"/>
        <w:spacing w:line="360" w:lineRule="exact"/>
        <w:rPr>
          <w:sz w:val="36"/>
        </w:rPr>
      </w:pPr>
    </w:p>
    <w:p>
      <w:pPr>
        <w:kinsoku w:val="0"/>
        <w:overflowPunct w:val="0"/>
        <w:spacing w:before="6" w:line="380" w:lineRule="exact"/>
        <w:rPr>
          <w:sz w:val="38"/>
        </w:rPr>
      </w:pPr>
    </w:p>
    <w:p>
      <w:pPr>
        <w:pStyle w:val="6"/>
        <w:kinsoku w:val="0"/>
        <w:overflowPunct w:val="0"/>
        <w:rPr>
          <w:rFonts w:hint="default"/>
          <w:b w:val="0"/>
        </w:rPr>
      </w:pPr>
    </w:p>
    <w:p>
      <w:pPr>
        <w:pStyle w:val="6"/>
        <w:kinsoku w:val="0"/>
        <w:overflowPunct w:val="0"/>
        <w:rPr>
          <w:rFonts w:hint="default"/>
          <w:b w:val="0"/>
        </w:rPr>
        <w:sectPr>
          <w:pgSz w:w="11910" w:h="16840"/>
          <w:pgMar w:top="1460" w:right="1680" w:bottom="1140" w:left="1680" w:header="0" w:footer="880" w:gutter="0"/>
          <w:cols w:space="720" w:num="1"/>
        </w:sectPr>
      </w:pPr>
    </w:p>
    <w:p>
      <w:pPr>
        <w:kinsoku w:val="0"/>
        <w:overflowPunct w:val="0"/>
        <w:spacing w:line="200" w:lineRule="exact"/>
        <w:rPr>
          <w:sz w:val="20"/>
        </w:rPr>
      </w:pPr>
    </w:p>
    <w:p>
      <w:pPr>
        <w:kinsoku w:val="0"/>
        <w:overflowPunct w:val="0"/>
        <w:spacing w:before="17" w:line="240" w:lineRule="exact"/>
      </w:pPr>
    </w:p>
    <w:p>
      <w:pPr>
        <w:tabs>
          <w:tab w:val="left" w:pos="3730"/>
        </w:tabs>
        <w:kinsoku w:val="0"/>
        <w:overflowPunct w:val="0"/>
        <w:spacing w:line="501" w:lineRule="exact"/>
        <w:ind w:left="1924"/>
        <w:rPr>
          <w:rFonts w:ascii="Microsoft JhengHei" w:hAnsi="Microsoft JhengHei" w:eastAsia="Microsoft JhengHei"/>
          <w:sz w:val="36"/>
        </w:rPr>
      </w:pPr>
      <w:bookmarkStart w:id="37" w:name="bookmark37"/>
      <w:bookmarkEnd w:id="37"/>
      <w:r>
        <w:rPr>
          <w:rFonts w:hint="eastAsia" w:ascii="Microsoft JhengHei" w:hAnsi="Microsoft JhengHei" w:eastAsia="Microsoft JhengHei"/>
          <w:b/>
          <w:sz w:val="36"/>
        </w:rPr>
        <w:t>第五部分</w:t>
      </w:r>
      <w:r>
        <w:rPr>
          <w:rFonts w:hint="eastAsia" w:ascii="Microsoft JhengHei" w:hAnsi="Microsoft JhengHei" w:eastAsia="Microsoft JhengHei"/>
          <w:b/>
          <w:sz w:val="36"/>
        </w:rPr>
        <w:tab/>
      </w:r>
      <w:r>
        <w:rPr>
          <w:rFonts w:hint="eastAsia" w:ascii="Microsoft JhengHei" w:hAnsi="Microsoft JhengHei" w:eastAsia="Microsoft JhengHei"/>
          <w:b/>
          <w:sz w:val="36"/>
        </w:rPr>
        <w:t>磋商响应文件格式</w:t>
      </w:r>
    </w:p>
    <w:p>
      <w:pPr>
        <w:kinsoku w:val="0"/>
        <w:overflowPunct w:val="0"/>
        <w:spacing w:before="2" w:line="520" w:lineRule="exact"/>
        <w:rPr>
          <w:sz w:val="52"/>
        </w:rPr>
      </w:pPr>
    </w:p>
    <w:p>
      <w:pPr>
        <w:kinsoku w:val="0"/>
        <w:overflowPunct w:val="0"/>
        <w:ind w:left="120" w:firstLine="627"/>
        <w:rPr>
          <w:rFonts w:ascii="Blackoak Std" w:hAnsi="Blackoak Std" w:eastAsia="Blackoak Std"/>
          <w:sz w:val="28"/>
        </w:rPr>
      </w:pPr>
      <w:r>
        <w:rPr>
          <w:rFonts w:hint="eastAsia" w:ascii="Microsoft JhengHei" w:hAnsi="Microsoft JhengHei" w:eastAsia="Microsoft JhengHei"/>
          <w:b/>
          <w:spacing w:val="3"/>
          <w:sz w:val="28"/>
        </w:rPr>
        <w:t>供应商应严格按照本格式要求编制磋商响应文件，胶装成册并</w:t>
      </w:r>
      <w:r>
        <w:rPr>
          <w:rFonts w:hint="eastAsia" w:ascii="Microsoft JhengHei" w:hAnsi="Microsoft JhengHei" w:eastAsia="Microsoft JhengHei"/>
          <w:b/>
          <w:spacing w:val="1"/>
          <w:sz w:val="28"/>
        </w:rPr>
        <w:t>编制相应页码，否则其磋商响应文件将不予接受。</w:t>
      </w:r>
    </w:p>
    <w:p>
      <w:pPr>
        <w:kinsoku w:val="0"/>
        <w:overflowPunct w:val="0"/>
        <w:spacing w:before="5" w:line="160" w:lineRule="exact"/>
        <w:rPr>
          <w:sz w:val="16"/>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before="38"/>
        <w:ind w:left="540" w:right="8526"/>
        <w:rPr>
          <w:rFonts w:ascii="宋体" w:hAnsi="宋体"/>
          <w:sz w:val="21"/>
        </w:rPr>
        <w:sectPr>
          <w:pgSz w:w="11910" w:h="16840"/>
          <w:pgMar w:top="1580" w:right="1680" w:bottom="1140" w:left="1680" w:header="0" w:footer="880" w:gutter="0"/>
          <w:cols w:space="720" w:num="1"/>
        </w:sectPr>
      </w:pPr>
    </w:p>
    <w:p>
      <w:pPr>
        <w:kinsoku w:val="0"/>
        <w:overflowPunct w:val="0"/>
        <w:spacing w:line="200" w:lineRule="exact"/>
        <w:rPr>
          <w:sz w:val="20"/>
        </w:rPr>
      </w:pPr>
    </w:p>
    <w:p>
      <w:pPr>
        <w:rPr>
          <w:rFonts w:hAnsi="宋体"/>
          <w:b/>
          <w:sz w:val="32"/>
          <w:lang w:val="zh-CN"/>
        </w:rPr>
      </w:pPr>
      <w:bookmarkStart w:id="38" w:name="bookmark38"/>
      <w:bookmarkEnd w:id="38"/>
      <w:r>
        <w:rPr>
          <w:rFonts w:hint="eastAsia"/>
          <w:b/>
          <w:sz w:val="28"/>
          <w:lang w:val="zh-CN"/>
        </w:rPr>
        <w:t>磋商响应文件封面</w:t>
      </w:r>
    </w:p>
    <w:p>
      <w:pPr>
        <w:pStyle w:val="5"/>
        <w:numPr>
          <w:ilvl w:val="0"/>
          <w:numId w:val="7"/>
        </w:numPr>
        <w:tabs>
          <w:tab w:val="left" w:pos="425"/>
        </w:tabs>
        <w:rPr>
          <w:rFonts w:hint="default"/>
          <w:lang w:val="zh-CN"/>
        </w:rPr>
      </w:pPr>
      <w:bookmarkStart w:id="39" w:name="_Toc16463"/>
      <w:bookmarkStart w:id="40" w:name="_Toc15166"/>
      <w:bookmarkStart w:id="41" w:name="_Toc535421994"/>
      <w:r>
        <w:rPr>
          <w:lang w:val="zh-CN"/>
        </w:rPr>
        <w:t>磋商响应文件封面</w:t>
      </w:r>
      <w:bookmarkEnd w:id="39"/>
      <w:bookmarkEnd w:id="40"/>
      <w:bookmarkEnd w:id="41"/>
    </w:p>
    <w:p>
      <w:pPr>
        <w:spacing w:line="360" w:lineRule="auto"/>
        <w:jc w:val="right"/>
        <w:rPr>
          <w:rFonts w:ascii="宋体" w:hAnsi="宋体"/>
          <w:sz w:val="32"/>
        </w:rPr>
      </w:pPr>
      <w:r>
        <w:rPr>
          <w:rFonts w:hint="eastAsia" w:ascii="宋体" w:hAnsi="宋体" w:cs="宋体"/>
          <w:b/>
          <w:bCs/>
          <w:sz w:val="36"/>
          <w:szCs w:val="36"/>
        </w:rPr>
        <w:t>正本/副本</w:t>
      </w:r>
    </w:p>
    <w:p>
      <w:pPr>
        <w:spacing w:line="360" w:lineRule="auto"/>
        <w:rPr>
          <w:rFonts w:ascii="宋体" w:hAnsi="宋体"/>
          <w:sz w:val="32"/>
        </w:rPr>
      </w:pPr>
    </w:p>
    <w:p>
      <w:pPr>
        <w:spacing w:line="360" w:lineRule="auto"/>
        <w:rPr>
          <w:rFonts w:ascii="宋体" w:hAnsi="宋体"/>
          <w:sz w:val="32"/>
        </w:rPr>
      </w:pPr>
    </w:p>
    <w:p>
      <w:pPr>
        <w:spacing w:line="360" w:lineRule="auto"/>
        <w:jc w:val="center"/>
        <w:rPr>
          <w:rFonts w:ascii="宋体" w:hAnsi="宋体"/>
          <w:b/>
          <w:sz w:val="96"/>
        </w:rPr>
      </w:pPr>
      <w:r>
        <w:rPr>
          <w:rFonts w:hint="eastAsia" w:ascii="宋体" w:hAnsi="宋体"/>
          <w:b/>
          <w:sz w:val="72"/>
        </w:rPr>
        <w:t>青海省政府采购项目</w:t>
      </w:r>
    </w:p>
    <w:p>
      <w:pPr>
        <w:spacing w:line="360" w:lineRule="auto"/>
        <w:rPr>
          <w:rFonts w:ascii="宋体" w:hAnsi="宋体"/>
          <w:b/>
          <w:sz w:val="48"/>
        </w:rPr>
      </w:pPr>
    </w:p>
    <w:p>
      <w:pPr>
        <w:spacing w:line="360" w:lineRule="auto"/>
        <w:jc w:val="center"/>
        <w:rPr>
          <w:rFonts w:ascii="宋体" w:hAnsi="宋体"/>
          <w:b/>
          <w:sz w:val="56"/>
        </w:rPr>
      </w:pPr>
      <w:r>
        <w:rPr>
          <w:rFonts w:hint="eastAsia" w:ascii="宋体" w:hAnsi="宋体"/>
          <w:b/>
          <w:sz w:val="52"/>
        </w:rPr>
        <w:t>磋商响应文件</w:t>
      </w:r>
    </w:p>
    <w:p>
      <w:pPr>
        <w:spacing w:line="360" w:lineRule="auto"/>
        <w:textAlignment w:val="baseline"/>
        <w:rPr>
          <w:rFonts w:ascii="宋体" w:hAnsi="宋体"/>
          <w:b/>
          <w:bCs/>
          <w:sz w:val="32"/>
        </w:rPr>
      </w:pPr>
    </w:p>
    <w:p>
      <w:pPr>
        <w:spacing w:line="480" w:lineRule="auto"/>
        <w:ind w:firstLine="643" w:firstLineChars="200"/>
        <w:textAlignment w:val="baseline"/>
        <w:rPr>
          <w:rFonts w:ascii="宋体" w:hAnsi="宋体"/>
          <w:b/>
          <w:bCs/>
          <w:sz w:val="32"/>
          <w:szCs w:val="32"/>
          <w:u w:val="single"/>
        </w:rPr>
      </w:pPr>
      <w:r>
        <w:rPr>
          <w:rFonts w:hint="eastAsia" w:ascii="宋体" w:hAnsi="宋体"/>
          <w:b/>
          <w:bCs/>
          <w:sz w:val="32"/>
          <w:szCs w:val="32"/>
        </w:rPr>
        <w:t>采购项目编号</w:t>
      </w:r>
      <w:r>
        <w:rPr>
          <w:rFonts w:hint="eastAsia" w:ascii="宋体" w:hAnsi="宋体"/>
          <w:sz w:val="32"/>
          <w:szCs w:val="32"/>
        </w:rPr>
        <w:t>：</w:t>
      </w:r>
    </w:p>
    <w:p>
      <w:pPr>
        <w:autoSpaceDE/>
        <w:autoSpaceDN/>
        <w:spacing w:line="480" w:lineRule="auto"/>
        <w:ind w:firstLine="643" w:firstLineChars="200"/>
        <w:textAlignment w:val="baseline"/>
        <w:rPr>
          <w:rFonts w:ascii="宋体" w:hAnsi="宋体"/>
          <w:b/>
          <w:bCs/>
          <w:sz w:val="32"/>
          <w:szCs w:val="32"/>
          <w:u w:val="single"/>
        </w:rPr>
      </w:pPr>
      <w:r>
        <w:rPr>
          <w:rFonts w:ascii="宋体" w:hAnsi="宋体"/>
          <w:b/>
          <w:bCs/>
          <w:sz w:val="32"/>
          <w:szCs w:val="32"/>
        </w:rPr>
        <w:t>采购项目名称</w:t>
      </w:r>
      <w:r>
        <w:rPr>
          <w:rFonts w:hint="eastAsia" w:ascii="宋体" w:hAnsi="宋体"/>
          <w:b/>
          <w:bCs/>
          <w:sz w:val="32"/>
          <w:szCs w:val="32"/>
        </w:rPr>
        <w:t>：</w:t>
      </w:r>
    </w:p>
    <w:p>
      <w:pPr>
        <w:spacing w:line="480" w:lineRule="auto"/>
        <w:ind w:firstLine="643" w:firstLineChars="200"/>
        <w:textAlignment w:val="baseline"/>
        <w:rPr>
          <w:rFonts w:ascii="宋体" w:hAnsi="宋体"/>
          <w:b/>
          <w:bCs/>
          <w:sz w:val="32"/>
          <w:szCs w:val="32"/>
          <w:u w:val="single"/>
        </w:rPr>
      </w:pPr>
      <w:r>
        <w:rPr>
          <w:rFonts w:hint="eastAsia" w:ascii="宋体" w:hAnsi="宋体"/>
          <w:b/>
          <w:bCs/>
          <w:sz w:val="32"/>
          <w:szCs w:val="32"/>
        </w:rPr>
        <w:t>磋商供应商</w:t>
      </w:r>
      <w:r>
        <w:rPr>
          <w:rFonts w:hint="eastAsia" w:ascii="宋体" w:hAnsi="宋体"/>
          <w:b/>
          <w:sz w:val="32"/>
          <w:szCs w:val="32"/>
        </w:rPr>
        <w:t>：</w:t>
      </w:r>
      <w:r>
        <w:rPr>
          <w:rFonts w:hint="eastAsia" w:ascii="宋体" w:hAnsi="宋体"/>
          <w:b/>
          <w:sz w:val="32"/>
          <w:szCs w:val="32"/>
          <w:u w:val="single"/>
        </w:rPr>
        <w:t xml:space="preserve">                          （公章）</w:t>
      </w:r>
    </w:p>
    <w:p>
      <w:pPr>
        <w:spacing w:line="480" w:lineRule="auto"/>
        <w:ind w:firstLine="643" w:firstLineChars="200"/>
        <w:textAlignment w:val="baseline"/>
        <w:rPr>
          <w:rFonts w:ascii="宋体" w:hAnsi="宋体"/>
          <w:b/>
          <w:sz w:val="32"/>
          <w:u w:val="single"/>
        </w:rPr>
      </w:pPr>
      <w:r>
        <w:rPr>
          <w:rFonts w:hint="eastAsia" w:ascii="宋体" w:hAnsi="宋体"/>
          <w:b/>
          <w:sz w:val="32"/>
        </w:rPr>
        <w:t>法定代表人：</w:t>
      </w:r>
      <w:r>
        <w:rPr>
          <w:rFonts w:hint="eastAsia" w:ascii="宋体" w:hAnsi="宋体"/>
          <w:b/>
          <w:sz w:val="32"/>
          <w:u w:val="single"/>
        </w:rPr>
        <w:t xml:space="preserve">      （签字或加盖章）</w:t>
      </w:r>
    </w:p>
    <w:p>
      <w:pPr>
        <w:spacing w:line="360" w:lineRule="auto"/>
        <w:ind w:firstLine="643" w:firstLineChars="200"/>
        <w:textAlignment w:val="baseline"/>
        <w:rPr>
          <w:rFonts w:ascii="宋体" w:hAnsi="宋体"/>
          <w:b/>
          <w:sz w:val="32"/>
          <w:u w:val="single"/>
        </w:rPr>
      </w:pPr>
    </w:p>
    <w:p>
      <w:pPr>
        <w:spacing w:line="360" w:lineRule="auto"/>
        <w:ind w:firstLine="645"/>
        <w:jc w:val="center"/>
        <w:rPr>
          <w:rFonts w:ascii="宋体" w:hAnsi="宋体"/>
          <w:sz w:val="32"/>
        </w:rPr>
      </w:pPr>
      <w:r>
        <w:rPr>
          <w:rFonts w:hint="eastAsia" w:ascii="宋体" w:hAnsi="宋体"/>
          <w:sz w:val="32"/>
        </w:rPr>
        <w:t xml:space="preserve">                年   月   日</w:t>
      </w:r>
      <w:bookmarkStart w:id="42" w:name="_Toc444715735"/>
    </w:p>
    <w:p>
      <w:pPr>
        <w:pStyle w:val="5"/>
        <w:tabs>
          <w:tab w:val="left" w:pos="425"/>
        </w:tabs>
        <w:ind w:left="709" w:hanging="709"/>
        <w:rPr>
          <w:rFonts w:hint="default"/>
          <w:lang w:val="zh-CN"/>
        </w:rPr>
      </w:pPr>
      <w:r>
        <w:br w:type="page"/>
      </w:r>
      <w:bookmarkStart w:id="43" w:name="_Toc535421995"/>
      <w:bookmarkStart w:id="44" w:name="_Toc30288"/>
      <w:bookmarkStart w:id="45" w:name="_Toc7870"/>
      <w:r>
        <w:rPr>
          <w:lang w:val="zh-CN"/>
        </w:rPr>
        <w:t>磋商响应文件目录</w:t>
      </w:r>
      <w:bookmarkEnd w:id="42"/>
      <w:bookmarkEnd w:id="43"/>
      <w:bookmarkEnd w:id="44"/>
      <w:bookmarkEnd w:id="45"/>
    </w:p>
    <w:p>
      <w:pPr>
        <w:spacing w:line="360" w:lineRule="auto"/>
        <w:rPr>
          <w:rFonts w:ascii="宋体" w:hAnsi="宋体" w:cs="宋体"/>
          <w:lang w:val="zh-CN"/>
        </w:rPr>
      </w:pPr>
      <w:r>
        <w:rPr>
          <w:rFonts w:hint="eastAsia" w:ascii="宋体" w:hAnsi="宋体" w:cs="宋体"/>
          <w:lang w:val="zh-CN"/>
        </w:rPr>
        <w:t>（</w:t>
      </w:r>
      <w:r>
        <w:rPr>
          <w:rFonts w:hint="eastAsia" w:ascii="宋体" w:hAnsi="宋体" w:cs="宋体"/>
        </w:rPr>
        <w:t>1</w:t>
      </w:r>
      <w:r>
        <w:rPr>
          <w:rFonts w:hint="eastAsia" w:ascii="宋体" w:hAnsi="宋体" w:cs="宋体"/>
          <w:lang w:val="zh-CN"/>
        </w:rPr>
        <w:t>）</w:t>
      </w:r>
      <w:r>
        <w:rPr>
          <w:rFonts w:hint="eastAsia" w:ascii="宋体" w:hAnsi="宋体" w:cs="宋体"/>
        </w:rPr>
        <w:t xml:space="preserve"> 磋商</w:t>
      </w:r>
      <w:r>
        <w:rPr>
          <w:rFonts w:hint="eastAsia" w:ascii="宋体" w:hAnsi="宋体" w:cs="宋体"/>
          <w:lang w:val="zh-CN"/>
        </w:rPr>
        <w:t>函……………………………………………………………所在页码</w:t>
      </w:r>
    </w:p>
    <w:p>
      <w:pPr>
        <w:spacing w:line="360" w:lineRule="auto"/>
        <w:rPr>
          <w:rFonts w:ascii="宋体" w:hAnsi="宋体" w:cs="宋体"/>
          <w:lang w:val="zh-CN"/>
        </w:rPr>
      </w:pPr>
      <w:r>
        <w:rPr>
          <w:rFonts w:hint="eastAsia" w:ascii="宋体" w:hAnsi="宋体" w:cs="宋体"/>
          <w:lang w:val="zh-CN"/>
        </w:rPr>
        <w:t>（</w:t>
      </w:r>
      <w:r>
        <w:rPr>
          <w:rFonts w:hint="eastAsia" w:ascii="宋体" w:hAnsi="宋体" w:cs="宋体"/>
        </w:rPr>
        <w:t>2</w:t>
      </w:r>
      <w:r>
        <w:rPr>
          <w:rFonts w:hint="eastAsia" w:ascii="宋体" w:hAnsi="宋体" w:cs="宋体"/>
          <w:lang w:val="zh-CN"/>
        </w:rPr>
        <w:t>）法定代表人证明书……………………………………………… 所在页码</w:t>
      </w:r>
    </w:p>
    <w:p>
      <w:pPr>
        <w:spacing w:line="360" w:lineRule="auto"/>
        <w:rPr>
          <w:rFonts w:ascii="宋体" w:hAnsi="宋体" w:cs="宋体"/>
          <w:lang w:val="zh-CN"/>
        </w:rPr>
      </w:pPr>
      <w:r>
        <w:rPr>
          <w:rFonts w:hint="eastAsia" w:ascii="宋体" w:hAnsi="宋体" w:cs="宋体"/>
          <w:lang w:val="zh-CN"/>
        </w:rPr>
        <w:t>（</w:t>
      </w:r>
      <w:r>
        <w:rPr>
          <w:rFonts w:hint="eastAsia" w:ascii="宋体" w:hAnsi="宋体" w:cs="宋体"/>
        </w:rPr>
        <w:t>3</w:t>
      </w:r>
      <w:r>
        <w:rPr>
          <w:rFonts w:hint="eastAsia" w:ascii="宋体" w:hAnsi="宋体" w:cs="宋体"/>
          <w:lang w:val="zh-CN"/>
        </w:rPr>
        <w:t>）法定代表人授权书……………………………………………… 所在页码</w:t>
      </w:r>
    </w:p>
    <w:p>
      <w:pPr>
        <w:spacing w:line="360" w:lineRule="auto"/>
        <w:rPr>
          <w:rFonts w:ascii="宋体" w:hAnsi="宋体" w:cs="宋体"/>
          <w:lang w:val="zh-CN"/>
        </w:rPr>
      </w:pPr>
      <w:r>
        <w:rPr>
          <w:rFonts w:hint="eastAsia" w:ascii="宋体" w:hAnsi="宋体" w:cs="宋体"/>
          <w:lang w:val="zh-CN"/>
        </w:rPr>
        <w:t>（4）磋商供应商承诺书……………………………………………… 所在页码</w:t>
      </w:r>
    </w:p>
    <w:p>
      <w:pPr>
        <w:spacing w:line="360" w:lineRule="auto"/>
        <w:rPr>
          <w:rFonts w:ascii="宋体" w:hAnsi="宋体" w:cs="宋体"/>
          <w:lang w:val="zh-CN"/>
        </w:rPr>
      </w:pPr>
      <w:r>
        <w:rPr>
          <w:rFonts w:hint="eastAsia" w:ascii="宋体" w:hAnsi="宋体" w:cs="宋体"/>
          <w:lang w:val="zh-CN"/>
        </w:rPr>
        <w:t>（</w:t>
      </w:r>
      <w:r>
        <w:rPr>
          <w:rFonts w:hint="eastAsia" w:ascii="宋体" w:hAnsi="宋体" w:cs="宋体"/>
        </w:rPr>
        <w:t>5</w:t>
      </w:r>
      <w:r>
        <w:rPr>
          <w:rFonts w:hint="eastAsia" w:ascii="宋体" w:hAnsi="宋体" w:cs="宋体"/>
          <w:lang w:val="zh-CN"/>
        </w:rPr>
        <w:t>）供应商诚信承诺书……………………………………………… 所在页码</w:t>
      </w:r>
    </w:p>
    <w:p>
      <w:pPr>
        <w:spacing w:line="360" w:lineRule="auto"/>
        <w:rPr>
          <w:rFonts w:ascii="宋体" w:hAnsi="宋体" w:cs="宋体"/>
          <w:lang w:val="zh-CN"/>
        </w:rPr>
      </w:pPr>
      <w:r>
        <w:rPr>
          <w:rFonts w:hint="eastAsia" w:ascii="宋体" w:hAnsi="宋体" w:cs="宋体"/>
          <w:lang w:val="zh-CN"/>
        </w:rPr>
        <w:t>（</w:t>
      </w:r>
      <w:r>
        <w:rPr>
          <w:rFonts w:hint="eastAsia" w:ascii="宋体" w:hAnsi="宋体" w:cs="宋体"/>
        </w:rPr>
        <w:t>6</w:t>
      </w:r>
      <w:r>
        <w:rPr>
          <w:rFonts w:hint="eastAsia" w:ascii="宋体" w:hAnsi="宋体" w:cs="宋体"/>
          <w:lang w:val="zh-CN"/>
        </w:rPr>
        <w:t>）资格证明材料…………………………………………………… 所在页码</w:t>
      </w:r>
    </w:p>
    <w:p>
      <w:pPr>
        <w:spacing w:line="360" w:lineRule="auto"/>
        <w:rPr>
          <w:rFonts w:ascii="宋体" w:hAnsi="宋体" w:cs="宋体"/>
          <w:lang w:val="zh-CN"/>
        </w:rPr>
      </w:pPr>
      <w:r>
        <w:rPr>
          <w:rFonts w:hint="eastAsia" w:ascii="宋体" w:hAnsi="宋体" w:cs="宋体"/>
          <w:lang w:val="zh-CN"/>
        </w:rPr>
        <w:t>（</w:t>
      </w:r>
      <w:r>
        <w:rPr>
          <w:rFonts w:hint="eastAsia" w:ascii="宋体" w:hAnsi="宋体" w:cs="宋体"/>
        </w:rPr>
        <w:t>7</w:t>
      </w:r>
      <w:r>
        <w:rPr>
          <w:rFonts w:hint="eastAsia" w:ascii="宋体" w:hAnsi="宋体" w:cs="宋体"/>
          <w:lang w:val="zh-CN"/>
        </w:rPr>
        <w:t>）财务状况、缴纳税收和社会保障资金证明…………………… 所在页码</w:t>
      </w:r>
    </w:p>
    <w:p>
      <w:pPr>
        <w:spacing w:line="360" w:lineRule="auto"/>
        <w:rPr>
          <w:rFonts w:ascii="宋体" w:hAnsi="宋体" w:cs="宋体"/>
          <w:lang w:val="zh-CN"/>
        </w:rPr>
      </w:pPr>
      <w:r>
        <w:rPr>
          <w:rFonts w:hint="eastAsia" w:ascii="宋体" w:hAnsi="宋体" w:cs="宋体"/>
          <w:lang w:val="zh-CN"/>
        </w:rPr>
        <w:t>（8）具备履行合同所必须的设备和专业技术能力证明……………所在页码</w:t>
      </w:r>
    </w:p>
    <w:p>
      <w:pPr>
        <w:spacing w:line="360" w:lineRule="auto"/>
        <w:rPr>
          <w:rFonts w:ascii="宋体" w:hAnsi="宋体" w:cs="宋体"/>
          <w:lang w:val="zh-CN"/>
        </w:rPr>
      </w:pPr>
      <w:r>
        <w:rPr>
          <w:rFonts w:hint="eastAsia" w:ascii="宋体" w:hAnsi="宋体" w:cs="宋体"/>
          <w:lang w:val="zh-CN"/>
        </w:rPr>
        <w:t>（9）无重大违法记录声明……………………………………………所在页码</w:t>
      </w:r>
    </w:p>
    <w:p>
      <w:pPr>
        <w:spacing w:line="360" w:lineRule="auto"/>
        <w:rPr>
          <w:rFonts w:ascii="宋体" w:hAnsi="宋体" w:cs="宋体"/>
          <w:lang w:val="zh-CN"/>
        </w:rPr>
      </w:pPr>
      <w:r>
        <w:rPr>
          <w:rFonts w:hint="eastAsia" w:ascii="宋体" w:hAnsi="宋体" w:cs="宋体"/>
          <w:lang w:val="zh-CN"/>
        </w:rPr>
        <w:t>（10）</w:t>
      </w:r>
      <w:r>
        <w:rPr>
          <w:rFonts w:hint="eastAsia" w:ascii="宋体" w:hAnsi="宋体" w:cs="宋体"/>
        </w:rPr>
        <w:t>磋商保证金证明</w:t>
      </w:r>
      <w:r>
        <w:rPr>
          <w:rFonts w:hint="eastAsia" w:ascii="宋体" w:hAnsi="宋体" w:cs="宋体"/>
          <w:lang w:val="zh-CN"/>
        </w:rPr>
        <w:t>…………………………………………………所在页码</w:t>
      </w:r>
    </w:p>
    <w:p>
      <w:pPr>
        <w:numPr>
          <w:ilvl w:val="0"/>
          <w:numId w:val="8"/>
        </w:numPr>
        <w:spacing w:line="360" w:lineRule="auto"/>
        <w:ind w:left="0" w:firstLine="0"/>
        <w:rPr>
          <w:rFonts w:ascii="宋体" w:hAnsi="宋体" w:cs="宋体"/>
          <w:lang w:val="zh-CN"/>
        </w:rPr>
      </w:pPr>
      <w:r>
        <w:rPr>
          <w:rFonts w:hint="eastAsia" w:ascii="宋体" w:hAnsi="宋体" w:cs="宋体"/>
          <w:lang w:val="zh-CN"/>
        </w:rPr>
        <w:t>评分对照表………………………………………………所在页码</w:t>
      </w:r>
    </w:p>
    <w:p>
      <w:pPr>
        <w:numPr>
          <w:ilvl w:val="0"/>
          <w:numId w:val="8"/>
        </w:numPr>
        <w:spacing w:line="360" w:lineRule="auto"/>
        <w:ind w:left="0" w:firstLine="0"/>
        <w:rPr>
          <w:rFonts w:ascii="宋体" w:hAnsi="宋体" w:cs="宋体"/>
          <w:lang w:val="zh-CN"/>
        </w:rPr>
      </w:pPr>
      <w:r>
        <w:rPr>
          <w:rFonts w:hint="eastAsia" w:ascii="宋体" w:hAnsi="宋体" w:cs="宋体"/>
          <w:lang w:val="zh-CN"/>
        </w:rPr>
        <w:t>竞争性磋商首次报价表…………………………………所在页码</w:t>
      </w:r>
    </w:p>
    <w:p>
      <w:pPr>
        <w:numPr>
          <w:ilvl w:val="0"/>
          <w:numId w:val="8"/>
        </w:numPr>
        <w:spacing w:line="360" w:lineRule="auto"/>
        <w:ind w:left="0" w:firstLine="0"/>
        <w:rPr>
          <w:rFonts w:ascii="宋体" w:hAnsi="宋体" w:cs="宋体"/>
          <w:lang w:val="zh-CN"/>
        </w:rPr>
      </w:pPr>
      <w:r>
        <w:rPr>
          <w:rFonts w:hint="eastAsia" w:ascii="宋体" w:hAnsi="宋体" w:cs="宋体"/>
          <w:lang w:val="zh-CN"/>
        </w:rPr>
        <w:t>分项报价表………………………………………………所在页码</w:t>
      </w:r>
    </w:p>
    <w:p>
      <w:pPr>
        <w:numPr>
          <w:ilvl w:val="0"/>
          <w:numId w:val="8"/>
        </w:numPr>
        <w:spacing w:line="360" w:lineRule="auto"/>
        <w:ind w:left="0" w:firstLine="0"/>
        <w:rPr>
          <w:rFonts w:ascii="宋体" w:hAnsi="宋体" w:cs="宋体"/>
          <w:lang w:val="zh-CN"/>
        </w:rPr>
      </w:pPr>
      <w:r>
        <w:rPr>
          <w:rFonts w:hint="eastAsia" w:ascii="宋体" w:hAnsi="宋体" w:cs="宋体"/>
          <w:lang w:val="zh-CN"/>
        </w:rPr>
        <w:t>磋商服务相关资料………………………………………所在页码</w:t>
      </w:r>
    </w:p>
    <w:p>
      <w:pPr>
        <w:numPr>
          <w:ilvl w:val="0"/>
          <w:numId w:val="8"/>
        </w:numPr>
        <w:spacing w:line="360" w:lineRule="auto"/>
        <w:ind w:left="0" w:firstLine="0"/>
        <w:rPr>
          <w:rFonts w:ascii="宋体" w:hAnsi="宋体" w:cs="宋体"/>
          <w:lang w:val="zh-CN"/>
        </w:rPr>
      </w:pPr>
      <w:r>
        <w:rPr>
          <w:rFonts w:hint="eastAsia" w:ascii="宋体" w:hAnsi="宋体" w:cs="宋体"/>
          <w:lang w:val="zh-CN"/>
        </w:rPr>
        <w:t>磋商供应商的类似业绩证明材料………………………所在页码</w:t>
      </w:r>
    </w:p>
    <w:p>
      <w:pPr>
        <w:numPr>
          <w:ilvl w:val="0"/>
          <w:numId w:val="8"/>
        </w:numPr>
        <w:spacing w:line="360" w:lineRule="auto"/>
        <w:ind w:left="0" w:firstLine="0"/>
        <w:rPr>
          <w:rFonts w:ascii="宋体" w:hAnsi="宋体" w:cs="宋体"/>
          <w:lang w:val="zh-CN"/>
        </w:rPr>
      </w:pPr>
      <w:r>
        <w:rPr>
          <w:rFonts w:hint="eastAsia" w:ascii="宋体" w:hAnsi="宋体" w:cs="宋体"/>
          <w:lang w:val="zh-CN"/>
        </w:rPr>
        <w:t>中小微型企业声明函……………………………………所在页码</w:t>
      </w:r>
    </w:p>
    <w:p>
      <w:pPr>
        <w:numPr>
          <w:ilvl w:val="0"/>
          <w:numId w:val="8"/>
        </w:numPr>
        <w:spacing w:line="360" w:lineRule="auto"/>
        <w:ind w:left="0" w:firstLine="0"/>
        <w:rPr>
          <w:rFonts w:ascii="宋体" w:hAnsi="宋体" w:cs="宋体"/>
          <w:lang w:val="zh-CN"/>
        </w:rPr>
      </w:pPr>
      <w:r>
        <w:rPr>
          <w:rFonts w:hint="eastAsia" w:ascii="宋体" w:hAnsi="宋体" w:cs="宋体"/>
          <w:lang w:val="zh-CN"/>
        </w:rPr>
        <w:t>残疾人福利性单位声明函………………………………所在页码</w:t>
      </w:r>
    </w:p>
    <w:p>
      <w:pPr>
        <w:numPr>
          <w:ilvl w:val="0"/>
          <w:numId w:val="8"/>
        </w:numPr>
        <w:spacing w:line="360" w:lineRule="auto"/>
        <w:ind w:left="0" w:firstLine="0"/>
        <w:rPr>
          <w:rFonts w:ascii="宋体" w:hAnsi="宋体" w:cs="宋体"/>
          <w:lang w:val="zh-CN"/>
        </w:rPr>
      </w:pPr>
      <w:r>
        <w:rPr>
          <w:rFonts w:hint="eastAsia" w:ascii="宋体" w:hAnsi="宋体" w:cs="宋体"/>
          <w:lang w:val="zh-CN"/>
        </w:rPr>
        <w:t>磋商供应商认为在其他方面有必要说明的事项…………所在页码</w:t>
      </w:r>
    </w:p>
    <w:p>
      <w:pPr>
        <w:numPr>
          <w:ilvl w:val="0"/>
          <w:numId w:val="8"/>
        </w:numPr>
        <w:spacing w:line="360" w:lineRule="auto"/>
        <w:ind w:left="0" w:firstLine="0"/>
        <w:rPr>
          <w:rFonts w:ascii="宋体" w:hAnsi="宋体" w:cs="宋体"/>
          <w:lang w:val="zh-CN"/>
        </w:rPr>
      </w:pPr>
      <w:r>
        <w:rPr>
          <w:rFonts w:hint="eastAsia" w:ascii="宋体" w:hAnsi="宋体" w:cs="宋体"/>
          <w:lang w:val="zh-CN"/>
        </w:rPr>
        <w:t>磋商最终报价表…………………………………………所在页码</w:t>
      </w:r>
    </w:p>
    <w:p>
      <w:pPr>
        <w:spacing w:line="360" w:lineRule="auto"/>
        <w:ind w:firstLine="240" w:firstLineChars="100"/>
        <w:rPr>
          <w:rFonts w:ascii="宋体" w:hAnsi="宋体" w:cs="宋体"/>
          <w:lang w:val="zh-CN"/>
        </w:rPr>
      </w:pPr>
    </w:p>
    <w:p>
      <w:pPr>
        <w:pStyle w:val="5"/>
        <w:tabs>
          <w:tab w:val="left" w:pos="425"/>
        </w:tabs>
        <w:ind w:left="709" w:hanging="709"/>
        <w:rPr>
          <w:rFonts w:hint="default"/>
        </w:rPr>
      </w:pPr>
      <w:r>
        <w:rPr>
          <w:bCs/>
        </w:rPr>
        <w:br w:type="page"/>
      </w:r>
      <w:bookmarkStart w:id="46" w:name="_Toc535421996"/>
      <w:bookmarkStart w:id="47" w:name="_Toc2794"/>
      <w:bookmarkStart w:id="48" w:name="_Toc13966"/>
      <w:r>
        <w:rPr>
          <w:lang w:val="zh-CN"/>
        </w:rPr>
        <w:t>格式1、磋商函</w:t>
      </w:r>
      <w:bookmarkEnd w:id="46"/>
      <w:bookmarkEnd w:id="47"/>
      <w:bookmarkEnd w:id="48"/>
    </w:p>
    <w:p>
      <w:pPr>
        <w:spacing w:line="360" w:lineRule="auto"/>
        <w:jc w:val="center"/>
        <w:textAlignment w:val="baseline"/>
        <w:rPr>
          <w:rFonts w:ascii="宋体" w:hAnsi="宋体"/>
          <w:b/>
          <w:sz w:val="32"/>
          <w:szCs w:val="30"/>
        </w:rPr>
      </w:pPr>
      <w:r>
        <w:rPr>
          <w:rFonts w:hint="eastAsia" w:ascii="宋体" w:hAnsi="宋体"/>
          <w:b/>
          <w:sz w:val="32"/>
          <w:szCs w:val="30"/>
        </w:rPr>
        <w:t>磋 商 函</w:t>
      </w:r>
    </w:p>
    <w:p>
      <w:pPr>
        <w:spacing w:line="360" w:lineRule="auto"/>
        <w:ind w:left="482" w:hanging="482" w:hangingChars="200"/>
        <w:textAlignment w:val="baseline"/>
        <w:rPr>
          <w:rFonts w:ascii="宋体" w:hAnsi="宋体"/>
          <w:b/>
        </w:rPr>
      </w:pPr>
      <w:r>
        <w:rPr>
          <w:rFonts w:hint="eastAsia" w:ascii="宋体" w:hAnsi="宋体"/>
          <w:b/>
        </w:rPr>
        <w:t>致：</w:t>
      </w:r>
      <w:r>
        <w:rPr>
          <w:rFonts w:hint="eastAsia" w:ascii="宋体" w:hAnsi="宋体"/>
          <w:b/>
          <w:u w:val="single"/>
        </w:rPr>
        <w:t>青海广维工程项目管理有限公司：</w:t>
      </w:r>
    </w:p>
    <w:p>
      <w:pPr>
        <w:ind w:firstLine="480" w:firstLineChars="200"/>
        <w:textAlignment w:val="baseline"/>
        <w:rPr>
          <w:rFonts w:ascii="宋体" w:hAnsi="宋体"/>
        </w:rPr>
      </w:pPr>
      <w:r>
        <w:rPr>
          <w:rFonts w:hint="eastAsia" w:ascii="宋体" w:hAnsi="宋体"/>
        </w:rPr>
        <w:t>我们收到设计项目</w:t>
      </w:r>
      <w:r>
        <w:rPr>
          <w:rFonts w:hint="eastAsia" w:ascii="宋体" w:hAnsi="宋体"/>
          <w:u w:val="single"/>
        </w:rPr>
        <w:t xml:space="preserve">                     （</w:t>
      </w:r>
      <w:r>
        <w:rPr>
          <w:rFonts w:hint="eastAsia" w:ascii="宋体" w:hAnsi="宋体"/>
          <w:szCs w:val="24"/>
        </w:rPr>
        <w:t>采购项目编号</w:t>
      </w:r>
      <w:r>
        <w:rPr>
          <w:rFonts w:hint="eastAsia" w:ascii="宋体" w:hAnsi="宋体"/>
          <w:u w:val="single"/>
        </w:rPr>
        <w:t>）</w:t>
      </w:r>
      <w:r>
        <w:rPr>
          <w:rFonts w:hint="eastAsia" w:ascii="宋体" w:hAnsi="宋体"/>
        </w:rPr>
        <w:t>磋商文件，经研究，法定代表人（姓名、职务）正式授权（委托代理人姓名、职务）代表磋商供应商（磋商供应商名称、地址）提交磋商响应文件。</w:t>
      </w:r>
    </w:p>
    <w:p>
      <w:pPr>
        <w:ind w:firstLine="480" w:firstLineChars="200"/>
        <w:textAlignment w:val="baseline"/>
        <w:rPr>
          <w:rFonts w:ascii="宋体" w:hAnsi="宋体"/>
        </w:rPr>
      </w:pPr>
      <w:r>
        <w:rPr>
          <w:rFonts w:hint="eastAsia" w:ascii="宋体" w:hAnsi="宋体"/>
        </w:rPr>
        <w:t>据此函，签字代表宣布同意如下：</w:t>
      </w:r>
    </w:p>
    <w:p>
      <w:pPr>
        <w:ind w:firstLine="480" w:firstLineChars="200"/>
        <w:textAlignment w:val="baseline"/>
        <w:rPr>
          <w:rFonts w:ascii="宋体" w:hAnsi="宋体"/>
        </w:rPr>
      </w:pPr>
      <w:r>
        <w:rPr>
          <w:rFonts w:hint="eastAsia" w:ascii="宋体" w:hAnsi="宋体"/>
        </w:rPr>
        <w:t>1.我方已详阅磋商文件的全部内容，包括澄清、修改条款等有关附件，承诺对其完全理解并接受。</w:t>
      </w:r>
    </w:p>
    <w:p>
      <w:pPr>
        <w:ind w:firstLine="480" w:firstLineChars="200"/>
        <w:textAlignment w:val="baseline"/>
        <w:rPr>
          <w:rFonts w:ascii="宋体" w:hAnsi="宋体"/>
        </w:rPr>
      </w:pPr>
      <w:r>
        <w:rPr>
          <w:rFonts w:hint="eastAsia" w:ascii="宋体" w:hAnsi="宋体"/>
        </w:rPr>
        <w:t>2.磋商有效期自开标之日起天内有效。如果在规定的开标时间后，我方在磋商有效期内撤回磋商或中标后不签约的，磋商保证金将被贵方没收。</w:t>
      </w:r>
    </w:p>
    <w:p>
      <w:pPr>
        <w:ind w:firstLine="480" w:firstLineChars="200"/>
        <w:textAlignment w:val="baseline"/>
        <w:rPr>
          <w:rFonts w:ascii="宋体" w:hAnsi="宋体"/>
        </w:rPr>
      </w:pPr>
      <w:r>
        <w:rPr>
          <w:rFonts w:hint="eastAsia" w:ascii="宋体" w:hAnsi="宋体"/>
        </w:rPr>
        <w:t>3.我方同意按照贵方要求提供与磋商有关的一切数据或资料，理解并接受贵方制定的评标办法。</w:t>
      </w:r>
    </w:p>
    <w:p>
      <w:pPr>
        <w:ind w:firstLine="480" w:firstLineChars="200"/>
        <w:textAlignment w:val="baseline"/>
        <w:rPr>
          <w:rFonts w:ascii="宋体" w:hAnsi="宋体"/>
        </w:rPr>
      </w:pPr>
      <w:r>
        <w:rPr>
          <w:rFonts w:hint="eastAsia" w:ascii="宋体" w:hAnsi="宋体"/>
        </w:rPr>
        <w:t>4.与本磋商有关的一切正式往来通讯请寄：</w:t>
      </w:r>
    </w:p>
    <w:p>
      <w:pPr>
        <w:spacing w:line="360" w:lineRule="auto"/>
        <w:ind w:firstLine="480" w:firstLineChars="200"/>
        <w:textAlignment w:val="baseline"/>
        <w:rPr>
          <w:rFonts w:ascii="宋体" w:hAnsi="宋体"/>
        </w:rPr>
      </w:pPr>
    </w:p>
    <w:p>
      <w:pPr>
        <w:spacing w:line="360" w:lineRule="auto"/>
        <w:textAlignment w:val="baseline"/>
        <w:rPr>
          <w:rFonts w:ascii="宋体" w:hAnsi="宋体"/>
        </w:rPr>
      </w:pPr>
      <w:r>
        <w:rPr>
          <w:rFonts w:hint="eastAsia" w:ascii="宋体" w:hAnsi="宋体"/>
        </w:rPr>
        <w:t>地址：邮编：</w:t>
      </w:r>
    </w:p>
    <w:p>
      <w:pPr>
        <w:spacing w:line="360" w:lineRule="auto"/>
        <w:textAlignment w:val="baseline"/>
        <w:rPr>
          <w:rFonts w:ascii="宋体" w:hAnsi="宋体"/>
        </w:rPr>
      </w:pPr>
    </w:p>
    <w:p>
      <w:pPr>
        <w:spacing w:line="360" w:lineRule="auto"/>
        <w:textAlignment w:val="baseline"/>
        <w:rPr>
          <w:rFonts w:ascii="宋体" w:hAnsi="宋体"/>
        </w:rPr>
      </w:pPr>
      <w:r>
        <w:rPr>
          <w:rFonts w:hint="eastAsia" w:ascii="宋体" w:hAnsi="宋体"/>
        </w:rPr>
        <w:t>电话：传真：</w:t>
      </w:r>
    </w:p>
    <w:p>
      <w:pPr>
        <w:spacing w:line="360" w:lineRule="auto"/>
        <w:textAlignment w:val="baseline"/>
        <w:rPr>
          <w:rFonts w:ascii="宋体" w:hAnsi="宋体"/>
        </w:rPr>
      </w:pPr>
    </w:p>
    <w:p>
      <w:pPr>
        <w:spacing w:line="360" w:lineRule="auto"/>
        <w:textAlignment w:val="baseline"/>
        <w:rPr>
          <w:rFonts w:ascii="宋体" w:hAnsi="宋体"/>
        </w:rPr>
      </w:pPr>
      <w:r>
        <w:rPr>
          <w:rFonts w:hint="eastAsia" w:ascii="宋体" w:hAnsi="宋体"/>
        </w:rPr>
        <w:t>法定代表人姓名：职务：</w:t>
      </w:r>
      <w:bookmarkStart w:id="49" w:name="_Toc444715736"/>
    </w:p>
    <w:p>
      <w:pPr>
        <w:tabs>
          <w:tab w:val="left" w:pos="168"/>
        </w:tabs>
        <w:spacing w:line="360" w:lineRule="auto"/>
        <w:ind w:right="480"/>
        <w:jc w:val="right"/>
        <w:textAlignment w:val="baseline"/>
        <w:rPr>
          <w:rFonts w:ascii="宋体" w:hAnsi="宋体"/>
          <w:bCs/>
          <w:szCs w:val="28"/>
        </w:rPr>
      </w:pPr>
    </w:p>
    <w:p>
      <w:pPr>
        <w:tabs>
          <w:tab w:val="left" w:pos="168"/>
        </w:tabs>
        <w:spacing w:line="360" w:lineRule="auto"/>
        <w:jc w:val="right"/>
        <w:textAlignment w:val="baseline"/>
        <w:rPr>
          <w:rFonts w:ascii="宋体" w:hAnsi="宋体"/>
          <w:bCs/>
          <w:szCs w:val="28"/>
        </w:rPr>
      </w:pPr>
    </w:p>
    <w:p>
      <w:pPr>
        <w:tabs>
          <w:tab w:val="left" w:pos="168"/>
        </w:tabs>
        <w:spacing w:line="360" w:lineRule="auto"/>
        <w:jc w:val="right"/>
        <w:textAlignment w:val="baseline"/>
        <w:rPr>
          <w:rFonts w:ascii="宋体" w:hAnsi="宋体"/>
          <w:bCs/>
          <w:szCs w:val="28"/>
        </w:rPr>
      </w:pPr>
    </w:p>
    <w:p>
      <w:pPr>
        <w:tabs>
          <w:tab w:val="left" w:pos="168"/>
        </w:tabs>
        <w:jc w:val="right"/>
        <w:textAlignment w:val="baseline"/>
        <w:rPr>
          <w:rFonts w:ascii="宋体" w:hAnsi="宋体"/>
          <w:bCs/>
          <w:szCs w:val="28"/>
        </w:rPr>
      </w:pPr>
    </w:p>
    <w:p>
      <w:pPr>
        <w:tabs>
          <w:tab w:val="left" w:pos="168"/>
        </w:tabs>
        <w:spacing w:line="360" w:lineRule="auto"/>
        <w:jc w:val="right"/>
        <w:textAlignment w:val="baseline"/>
        <w:rPr>
          <w:rFonts w:ascii="宋体" w:hAnsi="宋体"/>
          <w:bCs/>
          <w:szCs w:val="28"/>
        </w:rPr>
      </w:pPr>
      <w:r>
        <w:rPr>
          <w:rFonts w:hint="eastAsia" w:ascii="宋体" w:hAnsi="宋体"/>
          <w:bCs/>
          <w:szCs w:val="28"/>
        </w:rPr>
        <w:t xml:space="preserve">   磋商供应商：             （公章）</w:t>
      </w:r>
    </w:p>
    <w:p>
      <w:pPr>
        <w:tabs>
          <w:tab w:val="left" w:pos="168"/>
        </w:tabs>
        <w:spacing w:line="360" w:lineRule="auto"/>
        <w:jc w:val="center"/>
        <w:textAlignment w:val="baseline"/>
        <w:rPr>
          <w:rFonts w:ascii="宋体" w:hAnsi="宋体"/>
          <w:bCs/>
          <w:szCs w:val="28"/>
        </w:rPr>
      </w:pPr>
      <w:r>
        <w:rPr>
          <w:rFonts w:hint="eastAsia" w:ascii="宋体" w:hAnsi="宋体"/>
          <w:bCs/>
          <w:szCs w:val="28"/>
        </w:rPr>
        <w:t xml:space="preserve">                              委托代理人：                 （签字）</w:t>
      </w:r>
    </w:p>
    <w:p>
      <w:pPr>
        <w:tabs>
          <w:tab w:val="left" w:pos="168"/>
        </w:tabs>
        <w:spacing w:line="360" w:lineRule="auto"/>
        <w:jc w:val="center"/>
        <w:textAlignment w:val="baseline"/>
        <w:rPr>
          <w:rFonts w:ascii="宋体" w:hAnsi="宋体"/>
          <w:bCs/>
          <w:szCs w:val="28"/>
        </w:rPr>
      </w:pPr>
      <w:r>
        <w:rPr>
          <w:rFonts w:hint="eastAsia" w:ascii="宋体" w:hAnsi="宋体"/>
          <w:bCs/>
          <w:szCs w:val="28"/>
        </w:rPr>
        <w:t xml:space="preserve">                     日期：    年   月   日</w:t>
      </w:r>
    </w:p>
    <w:bookmarkEnd w:id="49"/>
    <w:p>
      <w:pPr>
        <w:pStyle w:val="5"/>
        <w:tabs>
          <w:tab w:val="left" w:pos="425"/>
        </w:tabs>
        <w:spacing w:line="360" w:lineRule="auto"/>
        <w:ind w:left="0"/>
        <w:rPr>
          <w:rFonts w:hint="default"/>
          <w:bCs/>
          <w:sz w:val="24"/>
          <w:szCs w:val="28"/>
        </w:rPr>
      </w:pPr>
      <w:bookmarkStart w:id="50" w:name="_Toc25583"/>
      <w:bookmarkStart w:id="51" w:name="_Toc444715737"/>
    </w:p>
    <w:bookmarkEnd w:id="50"/>
    <w:bookmarkEnd w:id="51"/>
    <w:p>
      <w:pPr>
        <w:pStyle w:val="5"/>
        <w:tabs>
          <w:tab w:val="left" w:pos="425"/>
        </w:tabs>
        <w:ind w:left="0"/>
        <w:rPr>
          <w:rFonts w:hint="default"/>
          <w:bCs/>
          <w:sz w:val="24"/>
          <w:szCs w:val="28"/>
        </w:rPr>
      </w:pPr>
    </w:p>
    <w:p>
      <w:pPr>
        <w:rPr>
          <w:rFonts w:hAnsi="宋体"/>
          <w:bCs/>
          <w:szCs w:val="28"/>
        </w:rPr>
      </w:pPr>
    </w:p>
    <w:p>
      <w:pPr>
        <w:pStyle w:val="19"/>
        <w:numPr>
          <w:ilvl w:val="0"/>
          <w:numId w:val="0"/>
        </w:numPr>
        <w:rPr>
          <w:rFonts w:hAnsi="宋体"/>
          <w:bCs/>
          <w:szCs w:val="28"/>
        </w:rPr>
        <w:sectPr>
          <w:footerReference r:id="rId6" w:type="first"/>
          <w:footerReference r:id="rId5" w:type="default"/>
          <w:type w:val="continuous"/>
          <w:pgSz w:w="11906" w:h="16838"/>
          <w:pgMar w:top="1440" w:right="1644" w:bottom="1440" w:left="1644" w:header="851" w:footer="992" w:gutter="0"/>
          <w:pgNumType w:start="1"/>
          <w:cols w:space="720" w:num="1"/>
          <w:titlePg/>
          <w:docGrid w:linePitch="312" w:charSpace="0"/>
        </w:sectPr>
      </w:pPr>
    </w:p>
    <w:p>
      <w:pPr>
        <w:pStyle w:val="21"/>
        <w:ind w:firstLine="0" w:firstLineChars="0"/>
      </w:pPr>
    </w:p>
    <w:p>
      <w:pPr>
        <w:pStyle w:val="5"/>
        <w:tabs>
          <w:tab w:val="left" w:pos="425"/>
        </w:tabs>
        <w:ind w:left="709" w:hanging="709"/>
        <w:rPr>
          <w:rFonts w:hint="default"/>
          <w:lang w:val="zh-CN"/>
        </w:rPr>
      </w:pPr>
      <w:bookmarkStart w:id="52" w:name="_Toc535421997"/>
      <w:bookmarkStart w:id="53" w:name="_Toc2585"/>
      <w:bookmarkStart w:id="54" w:name="_Toc29939"/>
      <w:r>
        <w:rPr>
          <w:lang w:val="zh-CN"/>
        </w:rPr>
        <w:t>格式2、法定代表人证明书</w:t>
      </w:r>
      <w:bookmarkEnd w:id="52"/>
      <w:bookmarkEnd w:id="53"/>
      <w:bookmarkEnd w:id="54"/>
    </w:p>
    <w:p>
      <w:pPr>
        <w:spacing w:line="360" w:lineRule="auto"/>
        <w:rPr>
          <w:rFonts w:ascii="宋体" w:hAnsi="宋体"/>
          <w:lang w:val="zh-CN"/>
        </w:rPr>
      </w:pPr>
    </w:p>
    <w:p>
      <w:pPr>
        <w:spacing w:line="360" w:lineRule="auto"/>
        <w:jc w:val="center"/>
        <w:rPr>
          <w:rFonts w:ascii="宋体" w:hAnsi="宋体" w:cs="宋体"/>
          <w:b/>
          <w:bCs/>
          <w:sz w:val="36"/>
          <w:szCs w:val="36"/>
          <w:lang w:val="zh-CN"/>
        </w:rPr>
      </w:pPr>
      <w:r>
        <w:rPr>
          <w:rFonts w:hint="eastAsia" w:ascii="宋体" w:hAnsi="宋体" w:cs="宋体"/>
          <w:b/>
          <w:bCs/>
          <w:sz w:val="30"/>
          <w:szCs w:val="30"/>
          <w:lang w:val="zh-CN"/>
        </w:rPr>
        <w:t>法定代表人证明书</w:t>
      </w:r>
    </w:p>
    <w:p>
      <w:pPr>
        <w:spacing w:line="360" w:lineRule="auto"/>
        <w:rPr>
          <w:rFonts w:ascii="宋体" w:hAnsi="宋体" w:cs="宋体"/>
          <w:b/>
          <w:bCs/>
          <w:lang w:val="zh-CN"/>
        </w:rPr>
      </w:pPr>
      <w:r>
        <w:rPr>
          <w:rFonts w:hint="eastAsia" w:ascii="宋体" w:hAnsi="宋体" w:cs="宋体"/>
          <w:b/>
          <w:bCs/>
          <w:lang w:val="zh-CN"/>
        </w:rPr>
        <w:t>致：青海广维工程项目管理有限公司</w:t>
      </w:r>
    </w:p>
    <w:p>
      <w:pPr>
        <w:rPr>
          <w:rFonts w:ascii="宋体" w:hAnsi="宋体" w:cs="宋体"/>
          <w:lang w:val="zh-CN"/>
        </w:rPr>
      </w:pPr>
    </w:p>
    <w:p>
      <w:pPr>
        <w:rPr>
          <w:rFonts w:ascii="宋体" w:hAnsi="宋体" w:cs="宋体"/>
          <w:lang w:val="zh-CN"/>
        </w:rPr>
      </w:pPr>
      <w:r>
        <w:rPr>
          <w:rFonts w:hint="eastAsia" w:ascii="宋体" w:hAnsi="宋体" w:cs="宋体"/>
          <w:u w:val="single"/>
          <w:lang w:val="zh-CN"/>
        </w:rPr>
        <w:t xml:space="preserve">（法定代表人姓名）  </w:t>
      </w:r>
      <w:r>
        <w:rPr>
          <w:rFonts w:hint="eastAsia" w:ascii="宋体" w:hAnsi="宋体" w:cs="宋体"/>
          <w:lang w:val="zh-CN"/>
        </w:rPr>
        <w:t>现任我单位职务，为法定代表人，特此证明。</w:t>
      </w:r>
    </w:p>
    <w:p>
      <w:pPr>
        <w:rPr>
          <w:rFonts w:ascii="宋体" w:hAnsi="宋体" w:cs="宋体"/>
          <w:lang w:val="zh-CN"/>
        </w:rPr>
      </w:pPr>
    </w:p>
    <w:p>
      <w:pPr>
        <w:rPr>
          <w:rFonts w:ascii="宋体" w:hAnsi="宋体" w:cs="宋体"/>
          <w:lang w:val="zh-CN"/>
        </w:rPr>
      </w:pPr>
      <w:r>
        <w:rPr>
          <w:rFonts w:hint="eastAsia" w:ascii="宋体" w:hAnsi="宋体" w:cs="宋体"/>
          <w:lang w:val="zh-CN"/>
        </w:rPr>
        <w:t xml:space="preserve">法定代表人基本情况： </w:t>
      </w:r>
    </w:p>
    <w:p>
      <w:pPr>
        <w:rPr>
          <w:rFonts w:ascii="宋体" w:hAnsi="宋体" w:cs="宋体"/>
          <w:lang w:val="zh-CN"/>
        </w:rPr>
      </w:pPr>
    </w:p>
    <w:p>
      <w:pPr>
        <w:rPr>
          <w:rFonts w:ascii="宋体" w:hAnsi="宋体" w:cs="宋体"/>
          <w:u w:val="single"/>
          <w:lang w:val="zh-CN"/>
        </w:rPr>
      </w:pPr>
      <w:r>
        <w:rPr>
          <w:rFonts w:hint="eastAsia" w:ascii="宋体" w:hAnsi="宋体" w:cs="宋体"/>
          <w:lang w:val="zh-CN"/>
        </w:rPr>
        <w:t>性别：年龄： 民族：</w:t>
      </w:r>
    </w:p>
    <w:p>
      <w:pPr>
        <w:rPr>
          <w:rFonts w:ascii="宋体" w:hAnsi="宋体" w:cs="宋体"/>
          <w:lang w:val="zh-CN"/>
        </w:rPr>
      </w:pPr>
    </w:p>
    <w:p>
      <w:pPr>
        <w:rPr>
          <w:rFonts w:ascii="宋体" w:hAnsi="宋体" w:cs="宋体"/>
          <w:u w:val="single"/>
          <w:lang w:val="zh-CN"/>
        </w:rPr>
      </w:pPr>
      <w:r>
        <w:rPr>
          <w:rFonts w:hint="eastAsia" w:ascii="宋体" w:hAnsi="宋体" w:cs="宋体"/>
          <w:lang w:val="zh-CN"/>
        </w:rPr>
        <w:t>地址：</w:t>
      </w:r>
    </w:p>
    <w:p>
      <w:pPr>
        <w:rPr>
          <w:rFonts w:ascii="宋体" w:hAnsi="宋体" w:cs="宋体"/>
          <w:lang w:val="zh-CN"/>
        </w:rPr>
      </w:pPr>
    </w:p>
    <w:p>
      <w:pPr>
        <w:rPr>
          <w:rFonts w:ascii="宋体" w:hAnsi="宋体" w:cs="宋体"/>
          <w:lang w:val="zh-CN"/>
        </w:rPr>
      </w:pPr>
      <w:r>
        <w:rPr>
          <w:rFonts w:hint="eastAsia" w:ascii="宋体" w:hAnsi="宋体" w:cs="宋体"/>
          <w:lang w:val="zh-CN"/>
        </w:rPr>
        <w:t>身份证号码：</w:t>
      </w:r>
    </w:p>
    <w:p>
      <w:pPr>
        <w:rPr>
          <w:rFonts w:ascii="宋体" w:hAnsi="宋体" w:cs="宋体"/>
          <w:lang w:val="zh-CN"/>
        </w:rPr>
      </w:pPr>
    </w:p>
    <w:p>
      <w:pPr>
        <w:rPr>
          <w:rFonts w:ascii="宋体" w:hAnsi="宋体" w:cs="宋体"/>
          <w:lang w:val="zh-CN"/>
        </w:rPr>
      </w:pPr>
      <w:r>
        <w:rPr>
          <w:rFonts w:hint="eastAsia" w:ascii="宋体" w:hAnsi="宋体" w:cs="宋体"/>
          <w:lang w:val="zh-CN"/>
        </w:rPr>
        <w:t>附：法定代表人第二代身份证双面扫描（或复印）件</w:t>
      </w:r>
    </w:p>
    <w:p>
      <w:pPr>
        <w:rPr>
          <w:rFonts w:ascii="宋体" w:hAnsi="宋体" w:cs="宋体"/>
          <w:lang w:val="zh-CN"/>
        </w:rPr>
      </w:pPr>
    </w:p>
    <w:p>
      <w:pPr>
        <w:spacing w:line="360" w:lineRule="auto"/>
        <w:rPr>
          <w:rFonts w:ascii="宋体" w:hAnsi="宋体" w:cs="宋体"/>
          <w:lang w:val="zh-CN"/>
        </w:rPr>
      </w:pPr>
    </w:p>
    <w:p>
      <w:pPr>
        <w:spacing w:line="360" w:lineRule="auto"/>
        <w:rPr>
          <w:rFonts w:ascii="宋体" w:hAnsi="宋体" w:cs="宋体"/>
          <w:lang w:val="zh-CN"/>
        </w:rPr>
      </w:pPr>
    </w:p>
    <w:p>
      <w:pPr>
        <w:tabs>
          <w:tab w:val="left" w:pos="168"/>
        </w:tabs>
        <w:spacing w:line="360" w:lineRule="auto"/>
        <w:textAlignment w:val="baseline"/>
        <w:rPr>
          <w:rFonts w:ascii="宋体" w:hAnsi="宋体"/>
          <w:bCs/>
          <w:sz w:val="28"/>
          <w:szCs w:val="28"/>
        </w:rPr>
      </w:pPr>
      <w:bookmarkStart w:id="55" w:name="_Toc16858"/>
      <w:bookmarkStart w:id="56" w:name="_Toc444715738"/>
    </w:p>
    <w:p>
      <w:pPr>
        <w:tabs>
          <w:tab w:val="left" w:pos="168"/>
        </w:tabs>
        <w:wordWrap w:val="0"/>
        <w:spacing w:line="360" w:lineRule="auto"/>
        <w:jc w:val="right"/>
        <w:textAlignment w:val="baseline"/>
        <w:rPr>
          <w:rFonts w:ascii="宋体" w:hAnsi="宋体"/>
          <w:bCs/>
          <w:szCs w:val="28"/>
        </w:rPr>
      </w:pPr>
      <w:r>
        <w:rPr>
          <w:rFonts w:hint="eastAsia" w:ascii="宋体" w:hAnsi="宋体"/>
          <w:bCs/>
          <w:szCs w:val="28"/>
        </w:rPr>
        <w:t>磋商供应商：             （公章）</w:t>
      </w:r>
    </w:p>
    <w:p>
      <w:pPr>
        <w:tabs>
          <w:tab w:val="left" w:pos="168"/>
        </w:tabs>
        <w:wordWrap w:val="0"/>
        <w:spacing w:line="360" w:lineRule="auto"/>
        <w:jc w:val="right"/>
        <w:textAlignment w:val="baseline"/>
        <w:rPr>
          <w:rFonts w:ascii="宋体" w:hAnsi="宋体"/>
          <w:bCs/>
          <w:szCs w:val="28"/>
        </w:rPr>
      </w:pPr>
      <w:r>
        <w:rPr>
          <w:rFonts w:hint="eastAsia" w:ascii="宋体" w:hAnsi="宋体"/>
          <w:bCs/>
          <w:szCs w:val="28"/>
        </w:rPr>
        <w:t>法定代表人：                   （签字）</w:t>
      </w:r>
    </w:p>
    <w:p>
      <w:pPr>
        <w:tabs>
          <w:tab w:val="left" w:pos="168"/>
        </w:tabs>
        <w:spacing w:line="360" w:lineRule="auto"/>
        <w:ind w:right="480" w:firstLine="3960" w:firstLineChars="1650"/>
        <w:textAlignment w:val="baseline"/>
        <w:rPr>
          <w:rFonts w:ascii="宋体" w:hAnsi="宋体"/>
          <w:bCs/>
          <w:szCs w:val="28"/>
        </w:rPr>
      </w:pPr>
      <w:r>
        <w:rPr>
          <w:rFonts w:hint="eastAsia" w:ascii="宋体" w:hAnsi="宋体"/>
          <w:bCs/>
          <w:szCs w:val="28"/>
        </w:rPr>
        <w:t>日期：           年   月   日</w:t>
      </w:r>
    </w:p>
    <w:p>
      <w:pPr>
        <w:pStyle w:val="5"/>
        <w:tabs>
          <w:tab w:val="left" w:pos="425"/>
        </w:tabs>
        <w:ind w:left="709" w:hanging="709"/>
        <w:rPr>
          <w:rFonts w:hint="default"/>
          <w:szCs w:val="28"/>
        </w:rPr>
      </w:pPr>
      <w:r>
        <w:rPr>
          <w:bCs/>
          <w:szCs w:val="28"/>
        </w:rPr>
        <w:br w:type="page"/>
      </w:r>
      <w:bookmarkStart w:id="57" w:name="_Toc27206"/>
      <w:bookmarkStart w:id="58" w:name="_Toc535421998"/>
      <w:bookmarkStart w:id="59" w:name="_Toc2739"/>
      <w:r>
        <w:rPr>
          <w:lang w:val="zh-CN"/>
        </w:rPr>
        <w:t>格式3、法定代表人授权书</w:t>
      </w:r>
      <w:bookmarkEnd w:id="55"/>
      <w:bookmarkEnd w:id="56"/>
      <w:bookmarkEnd w:id="57"/>
      <w:bookmarkEnd w:id="58"/>
      <w:bookmarkEnd w:id="59"/>
    </w:p>
    <w:p>
      <w:pPr>
        <w:spacing w:line="360" w:lineRule="auto"/>
        <w:jc w:val="center"/>
        <w:rPr>
          <w:rFonts w:ascii="宋体" w:hAnsi="宋体" w:cs="宋体"/>
          <w:b/>
          <w:bCs/>
          <w:sz w:val="32"/>
          <w:szCs w:val="30"/>
          <w:lang w:val="zh-CN"/>
        </w:rPr>
      </w:pPr>
      <w:r>
        <w:rPr>
          <w:rFonts w:hint="eastAsia" w:ascii="宋体" w:hAnsi="宋体" w:cs="宋体"/>
          <w:b/>
          <w:bCs/>
          <w:sz w:val="32"/>
          <w:szCs w:val="30"/>
          <w:lang w:val="zh-CN"/>
        </w:rPr>
        <w:t>法定代表人授权书</w:t>
      </w:r>
    </w:p>
    <w:p>
      <w:pPr>
        <w:spacing w:line="360" w:lineRule="auto"/>
        <w:rPr>
          <w:rFonts w:ascii="宋体" w:hAnsi="宋体"/>
          <w:b/>
          <w:bCs/>
        </w:rPr>
      </w:pPr>
      <w:r>
        <w:rPr>
          <w:rFonts w:hint="eastAsia" w:ascii="宋体" w:hAnsi="宋体"/>
          <w:b/>
          <w:bCs/>
        </w:rPr>
        <w:t>致：青海广维工程项目管理有限公司</w:t>
      </w:r>
    </w:p>
    <w:p>
      <w:pPr>
        <w:rPr>
          <w:rFonts w:ascii="宋体" w:hAnsi="宋体"/>
          <w:u w:val="single"/>
        </w:rPr>
      </w:pPr>
    </w:p>
    <w:p>
      <w:pPr>
        <w:ind w:firstLine="480" w:firstLineChars="200"/>
        <w:rPr>
          <w:rFonts w:ascii="宋体" w:hAnsi="宋体"/>
        </w:rPr>
      </w:pPr>
      <w:r>
        <w:rPr>
          <w:rFonts w:hint="eastAsia" w:ascii="宋体" w:hAnsi="宋体"/>
          <w:u w:val="single"/>
        </w:rPr>
        <w:t>（磋商供应商名称）</w:t>
      </w:r>
      <w:r>
        <w:rPr>
          <w:rFonts w:hint="eastAsia" w:ascii="宋体" w:hAnsi="宋体"/>
        </w:rPr>
        <w:t>系中华人民共和国合法企业，法定地址。</w:t>
      </w:r>
    </w:p>
    <w:p>
      <w:pPr>
        <w:ind w:firstLine="480" w:firstLineChars="200"/>
        <w:rPr>
          <w:rFonts w:ascii="宋体" w:hAnsi="宋体"/>
        </w:rPr>
      </w:pPr>
      <w:r>
        <w:rPr>
          <w:rFonts w:hint="eastAsia" w:ascii="宋体" w:hAnsi="宋体"/>
          <w:u w:val="single"/>
        </w:rPr>
        <w:t>（法定代表人姓名）</w:t>
      </w:r>
      <w:r>
        <w:rPr>
          <w:rFonts w:hint="eastAsia" w:ascii="宋体" w:hAnsi="宋体"/>
        </w:rPr>
        <w:t>特授权</w:t>
      </w:r>
      <w:r>
        <w:rPr>
          <w:rFonts w:hint="eastAsia" w:ascii="宋体" w:hAnsi="宋体"/>
          <w:u w:val="single"/>
        </w:rPr>
        <w:t>（被授权人姓名）</w:t>
      </w:r>
      <w:r>
        <w:rPr>
          <w:rFonts w:hint="eastAsia" w:ascii="宋体" w:hAnsi="宋体"/>
        </w:rPr>
        <w:t>代表我单位全权办理项目的磋商、答疑等具体工作，并签署全部有关的文件、协议及合同。</w:t>
      </w:r>
    </w:p>
    <w:p>
      <w:pPr>
        <w:ind w:firstLine="480" w:firstLineChars="200"/>
        <w:rPr>
          <w:rFonts w:ascii="宋体" w:hAnsi="宋体"/>
        </w:rPr>
      </w:pPr>
      <w:r>
        <w:rPr>
          <w:rFonts w:hint="eastAsia" w:ascii="宋体" w:hAnsi="宋体"/>
        </w:rPr>
        <w:t>我单位对被授权人的签名负全部责任。</w:t>
      </w:r>
    </w:p>
    <w:p>
      <w:pPr>
        <w:ind w:firstLine="480" w:firstLineChars="200"/>
        <w:rPr>
          <w:rFonts w:ascii="宋体" w:hAnsi="宋体"/>
        </w:rPr>
      </w:pPr>
      <w:r>
        <w:rPr>
          <w:rFonts w:hint="eastAsia" w:ascii="宋体" w:hAnsi="宋体"/>
        </w:rPr>
        <w:t>在撤销授权的书面通知以前，本授权书一直有效。被授权人签署的所有文件（在授权书有效期内签署的）不因授权的撤销而失效。</w:t>
      </w:r>
    </w:p>
    <w:p>
      <w:pPr>
        <w:ind w:firstLine="480" w:firstLineChars="200"/>
        <w:rPr>
          <w:rFonts w:ascii="宋体" w:hAnsi="宋体" w:cs="宋体"/>
          <w:lang w:val="zh-CN"/>
        </w:rPr>
      </w:pPr>
    </w:p>
    <w:p>
      <w:pPr>
        <w:rPr>
          <w:rFonts w:ascii="宋体" w:hAnsi="宋体"/>
        </w:rPr>
      </w:pPr>
    </w:p>
    <w:p>
      <w:pPr>
        <w:rPr>
          <w:rFonts w:ascii="宋体" w:hAnsi="宋体"/>
          <w:u w:val="single"/>
        </w:rPr>
      </w:pPr>
      <w:r>
        <w:rPr>
          <w:rFonts w:ascii="宋体" w:hAnsi="宋体"/>
        </w:rPr>
        <w:t>被授权人联系电话</w:t>
      </w:r>
      <w:r>
        <w:rPr>
          <w:rFonts w:hint="eastAsia" w:ascii="宋体" w:hAnsi="宋体"/>
        </w:rPr>
        <w:t>：</w:t>
      </w:r>
    </w:p>
    <w:p>
      <w:pPr>
        <w:rPr>
          <w:rFonts w:ascii="宋体" w:hAnsi="宋体"/>
          <w:u w:val="single"/>
        </w:rPr>
      </w:pPr>
      <w:r>
        <w:rPr>
          <w:rFonts w:hint="eastAsia" w:ascii="宋体" w:hAnsi="宋体"/>
        </w:rPr>
        <w:t>被授权人（委托代理人）签名：   授权人（法定代表人）签名：</w:t>
      </w:r>
    </w:p>
    <w:p>
      <w:pPr>
        <w:rPr>
          <w:rFonts w:ascii="宋体" w:hAnsi="宋体"/>
          <w:u w:val="single"/>
        </w:rPr>
      </w:pPr>
      <w:r>
        <w:rPr>
          <w:rFonts w:hint="eastAsia" w:ascii="宋体" w:hAnsi="宋体"/>
        </w:rPr>
        <w:t>职务：              职务：</w:t>
      </w:r>
    </w:p>
    <w:p>
      <w:pPr>
        <w:rPr>
          <w:rFonts w:ascii="宋体" w:hAnsi="宋体"/>
        </w:rPr>
      </w:pPr>
      <w:r>
        <w:rPr>
          <w:rFonts w:hint="eastAsia" w:ascii="宋体" w:hAnsi="宋体"/>
        </w:rPr>
        <w:t>附：被授权人身份证正、反面扫描（或复印）件</w:t>
      </w:r>
    </w:p>
    <w:p>
      <w:pPr>
        <w:tabs>
          <w:tab w:val="left" w:pos="168"/>
        </w:tabs>
        <w:spacing w:line="360" w:lineRule="auto"/>
        <w:textAlignment w:val="baseline"/>
        <w:rPr>
          <w:rFonts w:ascii="宋体" w:hAnsi="宋体"/>
          <w:bCs/>
          <w:sz w:val="28"/>
          <w:szCs w:val="28"/>
        </w:rPr>
      </w:pPr>
    </w:p>
    <w:p>
      <w:pPr>
        <w:tabs>
          <w:tab w:val="left" w:pos="168"/>
        </w:tabs>
        <w:spacing w:line="360" w:lineRule="auto"/>
        <w:textAlignment w:val="baseline"/>
        <w:rPr>
          <w:rFonts w:ascii="宋体" w:hAnsi="宋体"/>
          <w:bCs/>
          <w:sz w:val="28"/>
          <w:szCs w:val="28"/>
        </w:rPr>
      </w:pPr>
    </w:p>
    <w:p>
      <w:pPr>
        <w:tabs>
          <w:tab w:val="left" w:pos="168"/>
        </w:tabs>
        <w:spacing w:line="360" w:lineRule="auto"/>
        <w:textAlignment w:val="baseline"/>
        <w:rPr>
          <w:rFonts w:ascii="宋体" w:hAnsi="宋体"/>
          <w:bCs/>
          <w:sz w:val="28"/>
          <w:szCs w:val="28"/>
        </w:rPr>
      </w:pPr>
    </w:p>
    <w:p>
      <w:pPr>
        <w:tabs>
          <w:tab w:val="left" w:pos="168"/>
        </w:tabs>
        <w:spacing w:line="360" w:lineRule="auto"/>
        <w:textAlignment w:val="baseline"/>
        <w:rPr>
          <w:rFonts w:ascii="宋体" w:hAnsi="宋体"/>
          <w:bCs/>
          <w:sz w:val="28"/>
          <w:szCs w:val="28"/>
        </w:rPr>
      </w:pPr>
    </w:p>
    <w:p>
      <w:pPr>
        <w:tabs>
          <w:tab w:val="left" w:pos="168"/>
        </w:tabs>
        <w:spacing w:line="360" w:lineRule="auto"/>
        <w:textAlignment w:val="baseline"/>
        <w:rPr>
          <w:rFonts w:ascii="宋体" w:hAnsi="宋体"/>
          <w:bCs/>
          <w:sz w:val="28"/>
          <w:szCs w:val="28"/>
        </w:rPr>
      </w:pPr>
    </w:p>
    <w:p>
      <w:pPr>
        <w:tabs>
          <w:tab w:val="left" w:pos="168"/>
        </w:tabs>
        <w:spacing w:line="360" w:lineRule="auto"/>
        <w:textAlignment w:val="baseline"/>
        <w:rPr>
          <w:rFonts w:ascii="宋体" w:hAnsi="宋体"/>
          <w:bCs/>
          <w:sz w:val="28"/>
          <w:szCs w:val="28"/>
        </w:rPr>
      </w:pPr>
    </w:p>
    <w:p>
      <w:pPr>
        <w:tabs>
          <w:tab w:val="left" w:pos="168"/>
        </w:tabs>
        <w:spacing w:line="360" w:lineRule="auto"/>
        <w:textAlignment w:val="baseline"/>
        <w:rPr>
          <w:rFonts w:ascii="宋体" w:hAnsi="宋体"/>
          <w:bCs/>
          <w:sz w:val="28"/>
          <w:szCs w:val="28"/>
        </w:rPr>
      </w:pPr>
    </w:p>
    <w:p>
      <w:pPr>
        <w:tabs>
          <w:tab w:val="left" w:pos="168"/>
        </w:tabs>
        <w:wordWrap w:val="0"/>
        <w:spacing w:line="360" w:lineRule="auto"/>
        <w:jc w:val="right"/>
        <w:textAlignment w:val="baseline"/>
        <w:rPr>
          <w:rFonts w:ascii="宋体" w:hAnsi="宋体"/>
          <w:bCs/>
          <w:szCs w:val="28"/>
        </w:rPr>
      </w:pPr>
      <w:r>
        <w:rPr>
          <w:rFonts w:hint="eastAsia" w:ascii="宋体" w:hAnsi="宋体"/>
          <w:bCs/>
          <w:szCs w:val="28"/>
        </w:rPr>
        <w:t>磋商供应商：             （公章）</w:t>
      </w:r>
    </w:p>
    <w:p>
      <w:pPr>
        <w:tabs>
          <w:tab w:val="left" w:pos="168"/>
        </w:tabs>
        <w:wordWrap w:val="0"/>
        <w:spacing w:line="360" w:lineRule="auto"/>
        <w:jc w:val="right"/>
        <w:textAlignment w:val="baseline"/>
        <w:rPr>
          <w:rFonts w:ascii="宋体" w:hAnsi="宋体"/>
          <w:bCs/>
          <w:szCs w:val="28"/>
        </w:rPr>
      </w:pPr>
      <w:r>
        <w:rPr>
          <w:rFonts w:hint="eastAsia" w:ascii="宋体" w:hAnsi="宋体"/>
          <w:bCs/>
          <w:szCs w:val="28"/>
        </w:rPr>
        <w:t xml:space="preserve"> 法定代表人：                   （签字）</w:t>
      </w:r>
    </w:p>
    <w:p>
      <w:pPr>
        <w:tabs>
          <w:tab w:val="left" w:pos="168"/>
        </w:tabs>
        <w:spacing w:line="360" w:lineRule="auto"/>
        <w:ind w:right="480" w:firstLine="4080" w:firstLineChars="1700"/>
        <w:textAlignment w:val="baseline"/>
        <w:rPr>
          <w:rFonts w:ascii="宋体" w:hAnsi="宋体"/>
          <w:bCs/>
          <w:szCs w:val="28"/>
        </w:rPr>
      </w:pPr>
      <w:r>
        <w:rPr>
          <w:rFonts w:hint="eastAsia" w:ascii="宋体" w:hAnsi="宋体"/>
          <w:bCs/>
          <w:szCs w:val="28"/>
        </w:rPr>
        <w:t>日期：      年   月   日</w:t>
      </w:r>
    </w:p>
    <w:p>
      <w:pPr>
        <w:pStyle w:val="5"/>
        <w:tabs>
          <w:tab w:val="left" w:pos="425"/>
        </w:tabs>
        <w:ind w:left="709" w:hanging="709"/>
        <w:rPr>
          <w:rFonts w:hint="default"/>
          <w:lang w:val="zh-CN"/>
        </w:rPr>
      </w:pPr>
      <w:r>
        <w:rPr>
          <w:bCs/>
          <w:sz w:val="24"/>
        </w:rPr>
        <w:br w:type="page"/>
      </w:r>
      <w:bookmarkStart w:id="60" w:name="_Toc28503"/>
      <w:bookmarkStart w:id="61" w:name="_Toc12935"/>
      <w:bookmarkStart w:id="62" w:name="_Toc535421999"/>
      <w:r>
        <w:rPr>
          <w:lang w:val="zh-CN"/>
        </w:rPr>
        <w:t>格式4、磋商供应商承诺书</w:t>
      </w:r>
      <w:bookmarkEnd w:id="60"/>
      <w:bookmarkEnd w:id="61"/>
      <w:bookmarkEnd w:id="62"/>
    </w:p>
    <w:p>
      <w:pPr>
        <w:spacing w:line="360" w:lineRule="auto"/>
        <w:jc w:val="center"/>
        <w:rPr>
          <w:rFonts w:ascii="宋体" w:hAnsi="宋体" w:cs="宋体"/>
          <w:b/>
          <w:bCs/>
          <w:sz w:val="32"/>
          <w:szCs w:val="30"/>
          <w:lang w:val="zh-CN"/>
        </w:rPr>
      </w:pPr>
      <w:r>
        <w:rPr>
          <w:rFonts w:hint="eastAsia" w:ascii="宋体" w:hAnsi="宋体" w:cs="宋体"/>
          <w:b/>
          <w:bCs/>
          <w:sz w:val="32"/>
          <w:szCs w:val="30"/>
          <w:lang w:val="zh-CN"/>
        </w:rPr>
        <w:t>磋商供应商承诺书</w:t>
      </w:r>
    </w:p>
    <w:p>
      <w:pPr>
        <w:spacing w:line="360" w:lineRule="auto"/>
        <w:rPr>
          <w:rFonts w:ascii="宋体" w:hAnsi="宋体"/>
          <w:b/>
          <w:bCs/>
          <w:szCs w:val="28"/>
        </w:rPr>
      </w:pPr>
      <w:r>
        <w:rPr>
          <w:rFonts w:hint="eastAsia" w:ascii="宋体" w:hAnsi="宋体"/>
          <w:b/>
          <w:bCs/>
          <w:szCs w:val="28"/>
        </w:rPr>
        <w:t>致：青海广维工程项目管理有限公司</w:t>
      </w:r>
    </w:p>
    <w:p>
      <w:pPr>
        <w:rPr>
          <w:rFonts w:ascii="宋体" w:hAnsi="宋体"/>
          <w:szCs w:val="28"/>
        </w:rPr>
      </w:pPr>
    </w:p>
    <w:p>
      <w:pPr>
        <w:ind w:firstLine="480" w:firstLineChars="200"/>
        <w:rPr>
          <w:rFonts w:ascii="宋体" w:hAnsi="宋体"/>
          <w:szCs w:val="28"/>
        </w:rPr>
      </w:pPr>
      <w:r>
        <w:rPr>
          <w:rFonts w:hint="eastAsia" w:ascii="宋体" w:hAnsi="宋体"/>
          <w:szCs w:val="28"/>
        </w:rPr>
        <w:t>关于贵方2020年月日</w:t>
      </w:r>
      <w:r>
        <w:rPr>
          <w:rFonts w:hint="eastAsia" w:ascii="宋体" w:hAnsi="宋体"/>
          <w:szCs w:val="28"/>
          <w:u w:val="single"/>
        </w:rPr>
        <w:t xml:space="preserve">          (项目名称)</w:t>
      </w:r>
      <w:r>
        <w:rPr>
          <w:rFonts w:hint="eastAsia" w:ascii="宋体" w:hAnsi="宋体"/>
          <w:szCs w:val="28"/>
        </w:rPr>
        <w:t>采购项目，本签字人愿意参加磋商，提供服务要求的所有服务，并证实提交的所有资料是准确的和真实的。同时，我代表（磋商供应商名称），在此作如下承诺：</w:t>
      </w:r>
    </w:p>
    <w:p>
      <w:pPr>
        <w:ind w:firstLine="480" w:firstLineChars="200"/>
        <w:rPr>
          <w:rFonts w:ascii="宋体" w:hAnsi="宋体"/>
          <w:szCs w:val="28"/>
        </w:rPr>
      </w:pPr>
      <w:r>
        <w:rPr>
          <w:rFonts w:ascii="宋体" w:hAnsi="宋体"/>
          <w:szCs w:val="28"/>
        </w:rPr>
        <w:t>1</w:t>
      </w:r>
      <w:r>
        <w:rPr>
          <w:rFonts w:hint="eastAsia" w:ascii="宋体" w:hAnsi="宋体"/>
          <w:szCs w:val="28"/>
        </w:rPr>
        <w:t>、完全理解和接受磋商文件的一切规定和要求；</w:t>
      </w:r>
    </w:p>
    <w:p>
      <w:pPr>
        <w:ind w:firstLine="480" w:firstLineChars="200"/>
        <w:rPr>
          <w:rFonts w:ascii="宋体" w:hAnsi="宋体"/>
          <w:szCs w:val="28"/>
        </w:rPr>
      </w:pPr>
      <w:r>
        <w:rPr>
          <w:rFonts w:ascii="宋体" w:hAnsi="宋体"/>
          <w:szCs w:val="28"/>
        </w:rPr>
        <w:t>2</w:t>
      </w:r>
      <w:r>
        <w:rPr>
          <w:rFonts w:hint="eastAsia" w:ascii="宋体" w:hAnsi="宋体"/>
          <w:szCs w:val="28"/>
        </w:rPr>
        <w:t>、若中标，我方将按照磋商文件的具体规定与采购单位签订合同，并且严格履行合同义务，按时服务，提供优质的服务。如果在合同执行过程中，发现服务出现问题，我方一定尽快解决，并承担相应的经济责任；</w:t>
      </w:r>
    </w:p>
    <w:p>
      <w:pPr>
        <w:ind w:firstLine="480" w:firstLineChars="200"/>
        <w:rPr>
          <w:rFonts w:ascii="宋体" w:hAnsi="宋体"/>
          <w:szCs w:val="28"/>
        </w:rPr>
      </w:pPr>
      <w:r>
        <w:rPr>
          <w:rFonts w:ascii="宋体" w:hAnsi="宋体"/>
          <w:szCs w:val="28"/>
        </w:rPr>
        <w:t>3</w:t>
      </w:r>
      <w:r>
        <w:rPr>
          <w:rFonts w:hint="eastAsia" w:ascii="宋体" w:hAnsi="宋体"/>
          <w:szCs w:val="28"/>
        </w:rPr>
        <w:t>、在整个磋商过程中我方若有违规行为，贵方可按磋商文件之规定给予惩罚，我方完全接受。</w:t>
      </w:r>
    </w:p>
    <w:p>
      <w:pPr>
        <w:ind w:firstLine="480" w:firstLineChars="200"/>
        <w:rPr>
          <w:rFonts w:ascii="宋体" w:hAnsi="宋体"/>
          <w:szCs w:val="28"/>
        </w:rPr>
      </w:pPr>
      <w:r>
        <w:rPr>
          <w:rFonts w:ascii="宋体" w:hAnsi="宋体"/>
          <w:szCs w:val="28"/>
        </w:rPr>
        <w:t>4</w:t>
      </w:r>
      <w:r>
        <w:rPr>
          <w:rFonts w:hint="eastAsia" w:ascii="宋体" w:hAnsi="宋体"/>
          <w:szCs w:val="28"/>
        </w:rPr>
        <w:t>、若中标，本承诺将成为合同不可分割的一部分，与合同具有同等的法律效力。</w:t>
      </w:r>
    </w:p>
    <w:p>
      <w:pPr>
        <w:tabs>
          <w:tab w:val="left" w:pos="168"/>
        </w:tabs>
        <w:spacing w:line="360" w:lineRule="auto"/>
        <w:ind w:firstLine="560" w:firstLineChars="200"/>
        <w:textAlignment w:val="baseline"/>
        <w:rPr>
          <w:rFonts w:ascii="宋体" w:hAnsi="宋体"/>
          <w:bCs/>
          <w:sz w:val="28"/>
          <w:szCs w:val="28"/>
        </w:rPr>
      </w:pPr>
    </w:p>
    <w:p>
      <w:pPr>
        <w:tabs>
          <w:tab w:val="left" w:pos="168"/>
        </w:tabs>
        <w:spacing w:line="360" w:lineRule="auto"/>
        <w:ind w:firstLine="560" w:firstLineChars="200"/>
        <w:textAlignment w:val="baseline"/>
        <w:rPr>
          <w:rFonts w:ascii="宋体" w:hAnsi="宋体"/>
          <w:bCs/>
          <w:sz w:val="28"/>
          <w:szCs w:val="28"/>
        </w:rPr>
      </w:pPr>
    </w:p>
    <w:p>
      <w:pPr>
        <w:tabs>
          <w:tab w:val="left" w:pos="168"/>
        </w:tabs>
        <w:spacing w:line="360" w:lineRule="auto"/>
        <w:ind w:firstLine="560" w:firstLineChars="200"/>
        <w:textAlignment w:val="baseline"/>
        <w:rPr>
          <w:rFonts w:ascii="宋体" w:hAnsi="宋体"/>
          <w:bCs/>
          <w:sz w:val="28"/>
          <w:szCs w:val="28"/>
        </w:rPr>
      </w:pPr>
    </w:p>
    <w:p>
      <w:pPr>
        <w:tabs>
          <w:tab w:val="left" w:pos="168"/>
        </w:tabs>
        <w:spacing w:line="360" w:lineRule="auto"/>
        <w:ind w:firstLine="560" w:firstLineChars="200"/>
        <w:textAlignment w:val="baseline"/>
        <w:rPr>
          <w:rFonts w:ascii="宋体" w:hAnsi="宋体"/>
          <w:bCs/>
          <w:sz w:val="28"/>
          <w:szCs w:val="28"/>
        </w:rPr>
      </w:pPr>
    </w:p>
    <w:p>
      <w:pPr>
        <w:tabs>
          <w:tab w:val="left" w:pos="168"/>
        </w:tabs>
        <w:spacing w:line="360" w:lineRule="auto"/>
        <w:ind w:firstLine="560" w:firstLineChars="200"/>
        <w:textAlignment w:val="baseline"/>
        <w:rPr>
          <w:rFonts w:ascii="宋体" w:hAnsi="宋体"/>
          <w:bCs/>
          <w:sz w:val="28"/>
          <w:szCs w:val="28"/>
        </w:rPr>
      </w:pPr>
    </w:p>
    <w:p>
      <w:pPr>
        <w:tabs>
          <w:tab w:val="left" w:pos="168"/>
        </w:tabs>
        <w:spacing w:line="360" w:lineRule="auto"/>
        <w:ind w:firstLine="560" w:firstLineChars="200"/>
        <w:textAlignment w:val="baseline"/>
        <w:rPr>
          <w:rFonts w:ascii="宋体" w:hAnsi="宋体"/>
          <w:bCs/>
          <w:sz w:val="28"/>
          <w:szCs w:val="28"/>
        </w:rPr>
      </w:pPr>
    </w:p>
    <w:p>
      <w:pPr>
        <w:tabs>
          <w:tab w:val="left" w:pos="168"/>
        </w:tabs>
        <w:spacing w:line="360" w:lineRule="auto"/>
        <w:textAlignment w:val="baseline"/>
        <w:rPr>
          <w:rFonts w:ascii="宋体" w:hAnsi="宋体"/>
          <w:bCs/>
          <w:sz w:val="28"/>
          <w:szCs w:val="28"/>
        </w:rPr>
      </w:pPr>
    </w:p>
    <w:p>
      <w:pPr>
        <w:tabs>
          <w:tab w:val="left" w:pos="168"/>
        </w:tabs>
        <w:spacing w:line="360" w:lineRule="auto"/>
        <w:ind w:firstLine="560" w:firstLineChars="200"/>
        <w:textAlignment w:val="baseline"/>
        <w:rPr>
          <w:rFonts w:ascii="宋体" w:hAnsi="宋体"/>
          <w:bCs/>
          <w:sz w:val="28"/>
          <w:szCs w:val="28"/>
        </w:rPr>
      </w:pPr>
    </w:p>
    <w:p>
      <w:pPr>
        <w:tabs>
          <w:tab w:val="left" w:pos="168"/>
        </w:tabs>
        <w:spacing w:line="360" w:lineRule="auto"/>
        <w:jc w:val="right"/>
        <w:textAlignment w:val="baseline"/>
        <w:rPr>
          <w:rFonts w:ascii="宋体" w:hAnsi="宋体"/>
          <w:bCs/>
          <w:szCs w:val="28"/>
        </w:rPr>
      </w:pPr>
      <w:r>
        <w:rPr>
          <w:rFonts w:hint="eastAsia" w:ascii="宋体" w:hAnsi="宋体"/>
          <w:bCs/>
          <w:szCs w:val="28"/>
        </w:rPr>
        <w:t>磋商供应商：             （公章）</w:t>
      </w:r>
    </w:p>
    <w:p>
      <w:pPr>
        <w:tabs>
          <w:tab w:val="left" w:pos="168"/>
        </w:tabs>
        <w:spacing w:line="360" w:lineRule="auto"/>
        <w:jc w:val="center"/>
        <w:textAlignment w:val="baseline"/>
        <w:rPr>
          <w:rFonts w:ascii="宋体" w:hAnsi="宋体"/>
          <w:bCs/>
          <w:szCs w:val="28"/>
        </w:rPr>
      </w:pPr>
      <w:r>
        <w:rPr>
          <w:rFonts w:hint="eastAsia" w:ascii="宋体" w:hAnsi="宋体"/>
          <w:bCs/>
          <w:szCs w:val="28"/>
        </w:rPr>
        <w:t xml:space="preserve">                             委托代理人：                （签字）</w:t>
      </w:r>
    </w:p>
    <w:p>
      <w:pPr>
        <w:tabs>
          <w:tab w:val="left" w:pos="168"/>
        </w:tabs>
        <w:spacing w:line="360" w:lineRule="auto"/>
        <w:jc w:val="center"/>
        <w:textAlignment w:val="baseline"/>
        <w:rPr>
          <w:rFonts w:ascii="宋体" w:hAnsi="宋体"/>
          <w:bCs/>
          <w:szCs w:val="28"/>
        </w:rPr>
      </w:pPr>
      <w:r>
        <w:rPr>
          <w:rFonts w:hint="eastAsia" w:ascii="宋体" w:hAnsi="宋体"/>
          <w:bCs/>
          <w:szCs w:val="28"/>
        </w:rPr>
        <w:t xml:space="preserve">                          日期：         年   月   日</w:t>
      </w:r>
    </w:p>
    <w:p>
      <w:pPr>
        <w:pStyle w:val="5"/>
        <w:tabs>
          <w:tab w:val="left" w:pos="425"/>
        </w:tabs>
        <w:ind w:left="0"/>
        <w:rPr>
          <w:rFonts w:hint="default"/>
          <w:lang w:val="zh-CN"/>
        </w:rPr>
        <w:sectPr>
          <w:pgSz w:w="11906" w:h="16838"/>
          <w:pgMar w:top="1440" w:right="1644" w:bottom="1440" w:left="1644" w:header="851" w:footer="992" w:gutter="0"/>
          <w:cols w:space="720" w:num="1"/>
          <w:titlePg/>
          <w:docGrid w:linePitch="312" w:charSpace="0"/>
        </w:sectPr>
      </w:pPr>
      <w:bookmarkStart w:id="63" w:name="_Toc535422000"/>
      <w:bookmarkStart w:id="64" w:name="_Toc17838"/>
    </w:p>
    <w:p>
      <w:pPr>
        <w:pStyle w:val="5"/>
        <w:tabs>
          <w:tab w:val="left" w:pos="425"/>
        </w:tabs>
        <w:ind w:left="0"/>
        <w:rPr>
          <w:rFonts w:hint="default"/>
          <w:lang w:val="zh-CN"/>
        </w:rPr>
      </w:pPr>
      <w:bookmarkStart w:id="65" w:name="_Toc22937"/>
      <w:r>
        <w:rPr>
          <w:lang w:val="zh-CN"/>
        </w:rPr>
        <w:t>格式5、供应商诚信承诺书</w:t>
      </w:r>
      <w:bookmarkEnd w:id="63"/>
      <w:bookmarkEnd w:id="64"/>
      <w:bookmarkEnd w:id="65"/>
    </w:p>
    <w:p>
      <w:pPr>
        <w:spacing w:line="360" w:lineRule="auto"/>
        <w:jc w:val="center"/>
        <w:rPr>
          <w:rFonts w:ascii="宋体" w:hAnsi="宋体" w:cs="宋体"/>
          <w:lang w:val="zh-CN"/>
        </w:rPr>
      </w:pPr>
      <w:r>
        <w:rPr>
          <w:rFonts w:hint="eastAsia" w:ascii="宋体" w:hAnsi="宋体" w:cs="宋体"/>
          <w:b/>
          <w:bCs/>
          <w:sz w:val="32"/>
          <w:szCs w:val="30"/>
          <w:lang w:val="zh-CN"/>
        </w:rPr>
        <w:t>供应商诚信承诺书</w:t>
      </w:r>
    </w:p>
    <w:p>
      <w:pPr>
        <w:spacing w:line="360" w:lineRule="auto"/>
        <w:rPr>
          <w:rFonts w:ascii="宋体" w:hAnsi="宋体" w:cs="宋体"/>
          <w:b/>
          <w:bCs/>
          <w:lang w:val="zh-CN"/>
        </w:rPr>
      </w:pPr>
      <w:r>
        <w:rPr>
          <w:rFonts w:hint="eastAsia" w:ascii="宋体" w:hAnsi="宋体" w:cs="宋体"/>
          <w:b/>
          <w:bCs/>
          <w:lang w:val="zh-CN"/>
        </w:rPr>
        <w:t>致：青海广维工程项目管理有限公司</w:t>
      </w:r>
    </w:p>
    <w:p>
      <w:pPr>
        <w:spacing w:line="360" w:lineRule="auto"/>
        <w:rPr>
          <w:rFonts w:ascii="宋体" w:hAnsi="宋体" w:cs="宋体"/>
          <w:lang w:val="zh-CN"/>
        </w:rPr>
      </w:pPr>
    </w:p>
    <w:p>
      <w:pPr>
        <w:ind w:firstLine="480"/>
        <w:rPr>
          <w:rFonts w:ascii="宋体" w:hAnsi="宋体" w:cs="宋体"/>
          <w:lang w:val="zh-CN"/>
        </w:rPr>
      </w:pPr>
      <w:r>
        <w:rPr>
          <w:rFonts w:hint="eastAsia" w:ascii="宋体" w:hAnsi="宋体" w:cs="宋体"/>
          <w:lang w:val="zh-CN"/>
        </w:rPr>
        <w:t>为了诚实、客观、有序地参与青海省政府采购活动，愿就以下内容做出承诺：</w:t>
      </w:r>
    </w:p>
    <w:p>
      <w:pPr>
        <w:ind w:firstLine="480"/>
        <w:rPr>
          <w:rFonts w:ascii="宋体" w:hAnsi="宋体" w:cs="宋体"/>
          <w:lang w:val="zh-CN"/>
        </w:rPr>
      </w:pPr>
      <w:r>
        <w:rPr>
          <w:rFonts w:hint="eastAsia" w:ascii="宋体" w:hAnsi="宋体" w:cs="宋体"/>
          <w:lang w:val="zh-CN"/>
        </w:rPr>
        <w:t>一、自觉遵守各项法律、法规、规章、制度以及社会公德，维护廉洁环境，与同场竞争的供应商平等参加政府采购活动。</w:t>
      </w:r>
    </w:p>
    <w:p>
      <w:pPr>
        <w:ind w:firstLine="480"/>
        <w:rPr>
          <w:rFonts w:ascii="宋体" w:hAnsi="宋体" w:cs="宋体"/>
          <w:lang w:val="zh-CN"/>
        </w:rPr>
      </w:pPr>
      <w:r>
        <w:rPr>
          <w:rFonts w:hint="eastAsia" w:ascii="宋体" w:hAnsi="宋体" w:cs="宋体"/>
          <w:lang w:val="zh-CN"/>
        </w:rPr>
        <w:t>二、参加采购代理机构组织的政府采购活动时，严格按照磋商文件的规定和要求提供所需的相关材料，并对所提供的各类资料的真实性负责，不虚假应标，不虚列业绩。</w:t>
      </w:r>
    </w:p>
    <w:p>
      <w:pPr>
        <w:ind w:firstLine="480"/>
        <w:rPr>
          <w:rFonts w:ascii="宋体" w:hAnsi="宋体" w:cs="宋体"/>
          <w:lang w:val="zh-CN"/>
        </w:rPr>
      </w:pPr>
      <w:r>
        <w:rPr>
          <w:rFonts w:hint="eastAsia" w:ascii="宋体" w:hAnsi="宋体" w:cs="宋体"/>
          <w:lang w:val="zh-CN"/>
        </w:rPr>
        <w:t>三、尊重参与政府采购活动各相关方的合法行为，接受政府采购活动依法形成的意见、结果。</w:t>
      </w:r>
    </w:p>
    <w:p>
      <w:pPr>
        <w:ind w:firstLine="480"/>
        <w:rPr>
          <w:rFonts w:ascii="宋体" w:hAnsi="宋体" w:cs="宋体"/>
          <w:lang w:val="zh-CN"/>
        </w:rPr>
      </w:pPr>
      <w:r>
        <w:rPr>
          <w:rFonts w:hint="eastAsia" w:ascii="宋体" w:hAnsi="宋体" w:cs="宋体"/>
          <w:lang w:val="zh-CN"/>
        </w:rPr>
        <w:t>四、依法参加政府采购活动，不围标、串标，维护市场秩序。</w:t>
      </w:r>
    </w:p>
    <w:p>
      <w:pPr>
        <w:ind w:firstLine="480"/>
        <w:rPr>
          <w:rFonts w:ascii="宋体" w:hAnsi="宋体" w:cs="宋体"/>
          <w:lang w:val="zh-CN"/>
        </w:rPr>
      </w:pPr>
      <w:r>
        <w:rPr>
          <w:rFonts w:hint="eastAsia" w:ascii="宋体" w:hAnsi="宋体" w:cs="宋体"/>
          <w:lang w:val="zh-CN"/>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ascii="宋体" w:hAnsi="宋体" w:cs="宋体"/>
          <w:lang w:val="zh-CN"/>
        </w:rPr>
      </w:pPr>
      <w:r>
        <w:rPr>
          <w:rFonts w:hint="eastAsia" w:ascii="宋体" w:hAnsi="宋体" w:cs="宋体"/>
          <w:lang w:val="zh-CN"/>
        </w:rPr>
        <w:t>六、认真履行中标人应承担的责任和义务，全面执行采购合同规定的各项内容，保质保量地按时提供采购服务。</w:t>
      </w:r>
    </w:p>
    <w:p>
      <w:pPr>
        <w:ind w:firstLine="480" w:firstLineChars="200"/>
        <w:rPr>
          <w:rFonts w:ascii="宋体" w:hAnsi="宋体" w:cs="宋体"/>
          <w:lang w:val="zh-CN"/>
        </w:rPr>
      </w:pPr>
      <w:r>
        <w:rPr>
          <w:rFonts w:hint="eastAsia" w:ascii="宋体" w:hAnsi="宋体" w:cs="宋体"/>
          <w:lang w:val="zh-CN"/>
        </w:rPr>
        <w:t>若本企业（单位）发生有悖于上述承诺的行为，愿意接受《中华人民共和国政府采购法》和《政府采购法实施条例》中对供应商的相关处理。</w:t>
      </w:r>
    </w:p>
    <w:p>
      <w:pPr>
        <w:rPr>
          <w:rFonts w:ascii="宋体" w:hAnsi="宋体" w:cs="宋体"/>
          <w:lang w:val="zh-CN"/>
        </w:rPr>
      </w:pPr>
      <w:r>
        <w:rPr>
          <w:rFonts w:hint="eastAsia" w:ascii="宋体" w:hAnsi="宋体" w:cs="宋体"/>
          <w:lang w:val="zh-CN"/>
        </w:rPr>
        <w:t>本承诺是采购项目磋商文件的组成部分。</w:t>
      </w:r>
    </w:p>
    <w:p>
      <w:pPr>
        <w:spacing w:line="360" w:lineRule="auto"/>
        <w:rPr>
          <w:rFonts w:ascii="宋体" w:hAnsi="宋体" w:cs="宋体"/>
          <w:lang w:val="zh-CN"/>
        </w:rPr>
      </w:pPr>
    </w:p>
    <w:p>
      <w:pPr>
        <w:spacing w:line="360" w:lineRule="auto"/>
        <w:rPr>
          <w:rFonts w:ascii="宋体" w:hAnsi="宋体" w:cs="宋体"/>
          <w:lang w:val="zh-CN"/>
        </w:rPr>
      </w:pPr>
    </w:p>
    <w:p>
      <w:pPr>
        <w:spacing w:line="360" w:lineRule="auto"/>
        <w:rPr>
          <w:rFonts w:ascii="宋体" w:hAnsi="宋体" w:cs="宋体"/>
          <w:lang w:val="zh-CN"/>
        </w:rPr>
      </w:pPr>
    </w:p>
    <w:p>
      <w:pPr>
        <w:tabs>
          <w:tab w:val="left" w:pos="168"/>
        </w:tabs>
        <w:spacing w:line="360" w:lineRule="auto"/>
        <w:textAlignment w:val="baseline"/>
        <w:rPr>
          <w:rFonts w:ascii="宋体" w:hAnsi="宋体"/>
          <w:bCs/>
          <w:sz w:val="28"/>
          <w:szCs w:val="28"/>
        </w:rPr>
      </w:pPr>
      <w:bookmarkStart w:id="66" w:name="_Toc17097"/>
      <w:bookmarkStart w:id="67" w:name="_Toc444715739"/>
    </w:p>
    <w:p>
      <w:pPr>
        <w:tabs>
          <w:tab w:val="left" w:pos="168"/>
        </w:tabs>
        <w:spacing w:line="360" w:lineRule="auto"/>
        <w:jc w:val="right"/>
        <w:textAlignment w:val="baseline"/>
        <w:rPr>
          <w:rFonts w:ascii="宋体" w:hAnsi="宋体"/>
          <w:bCs/>
          <w:szCs w:val="28"/>
        </w:rPr>
      </w:pPr>
      <w:r>
        <w:rPr>
          <w:rFonts w:hint="eastAsia" w:ascii="宋体" w:hAnsi="宋体"/>
          <w:bCs/>
          <w:szCs w:val="28"/>
        </w:rPr>
        <w:t>磋商供应商：             （公章）</w:t>
      </w:r>
    </w:p>
    <w:p>
      <w:pPr>
        <w:tabs>
          <w:tab w:val="left" w:pos="168"/>
        </w:tabs>
        <w:spacing w:line="360" w:lineRule="auto"/>
        <w:jc w:val="center"/>
        <w:textAlignment w:val="baseline"/>
        <w:rPr>
          <w:rFonts w:ascii="宋体" w:hAnsi="宋体"/>
          <w:bCs/>
          <w:szCs w:val="28"/>
        </w:rPr>
      </w:pPr>
      <w:r>
        <w:rPr>
          <w:rFonts w:hint="eastAsia" w:ascii="宋体" w:hAnsi="宋体"/>
          <w:bCs/>
          <w:szCs w:val="28"/>
        </w:rPr>
        <w:t xml:space="preserve">                              委托代理人：                （签字）</w:t>
      </w:r>
    </w:p>
    <w:p>
      <w:pPr>
        <w:tabs>
          <w:tab w:val="left" w:pos="168"/>
        </w:tabs>
        <w:spacing w:line="360" w:lineRule="auto"/>
        <w:jc w:val="center"/>
        <w:textAlignment w:val="baseline"/>
        <w:rPr>
          <w:rFonts w:ascii="宋体" w:hAnsi="宋体"/>
          <w:bCs/>
          <w:szCs w:val="28"/>
        </w:rPr>
      </w:pPr>
      <w:r>
        <w:rPr>
          <w:rFonts w:hint="eastAsia" w:ascii="宋体" w:hAnsi="宋体"/>
          <w:bCs/>
          <w:szCs w:val="28"/>
        </w:rPr>
        <w:t xml:space="preserve">                      日期：    年   月   日</w:t>
      </w:r>
      <w:bookmarkStart w:id="68" w:name="_Toc5140"/>
      <w:bookmarkStart w:id="69" w:name="_Toc535422001"/>
    </w:p>
    <w:p>
      <w:pPr>
        <w:tabs>
          <w:tab w:val="left" w:pos="168"/>
        </w:tabs>
        <w:spacing w:line="360" w:lineRule="auto"/>
        <w:textAlignment w:val="baseline"/>
        <w:rPr>
          <w:rFonts w:hAnsi="宋体"/>
          <w:b/>
          <w:sz w:val="32"/>
          <w:lang w:val="zh-CN"/>
        </w:rPr>
        <w:sectPr>
          <w:pgSz w:w="11906" w:h="16838"/>
          <w:pgMar w:top="1440" w:right="1644" w:bottom="1440" w:left="1644" w:header="851" w:footer="992" w:gutter="0"/>
          <w:pgBorders w:display="notFirstPage" w:offsetFrom="page">
            <w:top w:val="single" w:color="4472C4" w:sz="12" w:space="24"/>
            <w:left w:val="single" w:color="4472C4" w:sz="12" w:space="24"/>
            <w:bottom w:val="single" w:color="4472C4" w:sz="12" w:space="24"/>
            <w:right w:val="single" w:color="4472C4" w:sz="12" w:space="24"/>
          </w:pgBorders>
          <w:cols w:space="720" w:num="1"/>
          <w:titlePg/>
          <w:docGrid w:linePitch="312" w:charSpace="0"/>
        </w:sectPr>
      </w:pPr>
    </w:p>
    <w:p>
      <w:pPr>
        <w:tabs>
          <w:tab w:val="left" w:pos="168"/>
        </w:tabs>
        <w:spacing w:line="360" w:lineRule="auto"/>
        <w:textAlignment w:val="baseline"/>
        <w:outlineLvl w:val="2"/>
        <w:rPr>
          <w:rFonts w:hAnsi="宋体" w:cs="宋体"/>
          <w:lang w:val="zh-CN"/>
        </w:rPr>
      </w:pPr>
      <w:bookmarkStart w:id="70" w:name="_Toc30291"/>
      <w:r>
        <w:rPr>
          <w:rFonts w:hint="eastAsia" w:hAnsi="宋体"/>
          <w:b/>
          <w:sz w:val="32"/>
          <w:lang w:val="zh-CN"/>
        </w:rPr>
        <w:t>格式6、资格证明材料</w:t>
      </w:r>
      <w:bookmarkEnd w:id="66"/>
      <w:bookmarkEnd w:id="67"/>
      <w:bookmarkEnd w:id="68"/>
      <w:bookmarkEnd w:id="69"/>
      <w:bookmarkEnd w:id="70"/>
    </w:p>
    <w:p>
      <w:pPr>
        <w:spacing w:line="360" w:lineRule="auto"/>
        <w:rPr>
          <w:rFonts w:ascii="宋体" w:hAnsi="宋体"/>
          <w:lang w:val="zh-CN"/>
        </w:rPr>
      </w:pPr>
    </w:p>
    <w:p>
      <w:pPr>
        <w:spacing w:line="360" w:lineRule="auto"/>
        <w:jc w:val="center"/>
        <w:rPr>
          <w:rFonts w:ascii="宋体" w:hAnsi="宋体" w:cs="宋体"/>
          <w:b/>
          <w:bCs/>
          <w:sz w:val="32"/>
          <w:szCs w:val="30"/>
          <w:lang w:val="zh-CN"/>
        </w:rPr>
      </w:pPr>
      <w:r>
        <w:rPr>
          <w:rFonts w:hint="eastAsia" w:ascii="宋体" w:hAnsi="宋体" w:cs="宋体"/>
          <w:b/>
          <w:bCs/>
          <w:sz w:val="32"/>
          <w:szCs w:val="30"/>
          <w:lang w:val="zh-CN"/>
        </w:rPr>
        <w:t>资格证明材料</w:t>
      </w:r>
    </w:p>
    <w:p>
      <w:pPr>
        <w:spacing w:line="360" w:lineRule="auto"/>
        <w:ind w:firstLine="424" w:firstLineChars="177"/>
        <w:rPr>
          <w:rFonts w:ascii="宋体" w:hAnsi="宋体" w:cs="Arial"/>
        </w:rPr>
      </w:pPr>
      <w:r>
        <w:rPr>
          <w:rFonts w:ascii="宋体" w:hAnsi="宋体" w:cs="Arial"/>
        </w:rPr>
        <w:t>资格证明材料包括：</w:t>
      </w:r>
    </w:p>
    <w:p>
      <w:pPr>
        <w:spacing w:line="360" w:lineRule="auto"/>
        <w:rPr>
          <w:rFonts w:ascii="宋体" w:hAnsi="宋体" w:cs="Arial"/>
        </w:rPr>
      </w:pPr>
      <w:r>
        <w:rPr>
          <w:rFonts w:ascii="宋体" w:hAnsi="宋体" w:cs="Arial"/>
        </w:rPr>
        <w:t>（1）单位法人营业执照、税务登记证、组织机构代码证；</w:t>
      </w:r>
    </w:p>
    <w:p>
      <w:pPr>
        <w:spacing w:line="360" w:lineRule="auto"/>
        <w:rPr>
          <w:rFonts w:ascii="宋体" w:hAnsi="宋体" w:cs="Arial"/>
        </w:rPr>
      </w:pPr>
      <w:r>
        <w:rPr>
          <w:rFonts w:ascii="宋体" w:hAnsi="宋体" w:cs="Arial"/>
        </w:rPr>
        <w:t>（2）磋商文件规定的有关资格证书、许可证书、认证等；</w:t>
      </w:r>
    </w:p>
    <w:p>
      <w:pPr>
        <w:spacing w:line="360" w:lineRule="auto"/>
        <w:rPr>
          <w:rFonts w:ascii="宋体" w:hAnsi="宋体" w:cs="Arial"/>
        </w:rPr>
      </w:pPr>
      <w:r>
        <w:rPr>
          <w:rFonts w:ascii="宋体" w:hAnsi="宋体" w:cs="Arial"/>
        </w:rPr>
        <w:t>（3）磋商供应商简介及获得相关证书证明文件；</w:t>
      </w:r>
    </w:p>
    <w:p>
      <w:pPr>
        <w:spacing w:line="360" w:lineRule="auto"/>
        <w:rPr>
          <w:rFonts w:ascii="宋体" w:hAnsi="宋体" w:cs="Arial"/>
        </w:rPr>
      </w:pPr>
      <w:r>
        <w:rPr>
          <w:rFonts w:ascii="宋体" w:hAnsi="宋体" w:cs="Arial"/>
        </w:rPr>
        <w:t>（4）磋商供应商认为有必要提供的其他资格证明文件。</w:t>
      </w:r>
    </w:p>
    <w:p>
      <w:pPr>
        <w:pStyle w:val="5"/>
        <w:tabs>
          <w:tab w:val="left" w:pos="425"/>
        </w:tabs>
        <w:ind w:left="709" w:hanging="709"/>
        <w:rPr>
          <w:rFonts w:hint="default"/>
          <w:lang w:val="zh-CN"/>
        </w:rPr>
      </w:pPr>
      <w:r>
        <w:rPr>
          <w:rFonts w:cs="宋体"/>
          <w:sz w:val="24"/>
          <w:lang w:val="zh-CN"/>
        </w:rPr>
        <w:br w:type="page"/>
      </w:r>
      <w:bookmarkStart w:id="71" w:name="_Toc30214"/>
      <w:bookmarkStart w:id="72" w:name="_Toc535422002"/>
      <w:bookmarkStart w:id="73" w:name="_Toc23057"/>
      <w:bookmarkStart w:id="74" w:name="_Toc20673"/>
      <w:bookmarkStart w:id="75" w:name="_Toc444715740"/>
      <w:r>
        <w:rPr>
          <w:lang w:val="zh-CN"/>
        </w:rPr>
        <w:t>格式7、财务状况、缴纳税收和社会保障资金证明</w:t>
      </w:r>
      <w:bookmarkEnd w:id="71"/>
      <w:bookmarkEnd w:id="72"/>
      <w:bookmarkEnd w:id="73"/>
    </w:p>
    <w:p>
      <w:pPr>
        <w:spacing w:line="360" w:lineRule="auto"/>
        <w:rPr>
          <w:rFonts w:ascii="宋体" w:hAnsi="宋体"/>
          <w:lang w:val="zh-CN"/>
        </w:rPr>
      </w:pPr>
    </w:p>
    <w:p>
      <w:pPr>
        <w:spacing w:line="360" w:lineRule="auto"/>
        <w:jc w:val="center"/>
        <w:rPr>
          <w:rFonts w:ascii="宋体" w:hAnsi="宋体" w:cs="宋体"/>
          <w:b/>
          <w:bCs/>
          <w:sz w:val="32"/>
          <w:szCs w:val="30"/>
          <w:lang w:val="zh-CN"/>
        </w:rPr>
      </w:pPr>
      <w:r>
        <w:rPr>
          <w:rFonts w:ascii="宋体" w:hAnsi="宋体" w:cs="宋体"/>
          <w:b/>
          <w:bCs/>
          <w:sz w:val="32"/>
          <w:szCs w:val="30"/>
          <w:lang w:val="zh-CN"/>
        </w:rPr>
        <w:t>财务状况、缴纳税收和社会保障资金证明</w:t>
      </w:r>
    </w:p>
    <w:p>
      <w:pPr>
        <w:spacing w:line="360" w:lineRule="auto"/>
        <w:rPr>
          <w:rFonts w:ascii="宋体" w:hAnsi="宋体" w:cs="Arial"/>
          <w:lang w:val="zh-CN"/>
        </w:rPr>
      </w:pPr>
    </w:p>
    <w:p>
      <w:pPr>
        <w:ind w:firstLine="480" w:firstLineChars="200"/>
        <w:rPr>
          <w:rFonts w:ascii="宋体" w:hAnsi="宋体" w:cs="宋体"/>
        </w:rPr>
      </w:pPr>
      <w:bookmarkStart w:id="76" w:name="_Toc535422003"/>
      <w:r>
        <w:rPr>
          <w:rFonts w:hint="eastAsia" w:ascii="宋体" w:hAnsi="宋体" w:cs="宋体"/>
        </w:rPr>
        <w:t>1、</w:t>
      </w:r>
      <w:r>
        <w:rPr>
          <w:rFonts w:hint="eastAsia" w:ascii="宋体" w:hAnsi="宋体" w:cs="宋体"/>
          <w:lang w:val="zh-CN"/>
        </w:rPr>
        <w:t>投标人是法人的，提供</w:t>
      </w:r>
      <w:r>
        <w:rPr>
          <w:rFonts w:hint="eastAsia" w:ascii="宋体" w:hAnsi="宋体" w:cs="宋体"/>
        </w:rPr>
        <w:t>2018年或2019</w:t>
      </w:r>
      <w:r>
        <w:rPr>
          <w:rFonts w:hint="eastAsia" w:ascii="宋体" w:hAnsi="宋体" w:cs="宋体"/>
          <w:lang w:val="zh-CN"/>
        </w:rPr>
        <w:t>年度</w:t>
      </w:r>
      <w:r>
        <w:rPr>
          <w:rFonts w:hint="eastAsia" w:ascii="宋体" w:hAnsi="宋体" w:cs="宋体"/>
        </w:rPr>
        <w:t>经第三方审计的财务状况报告</w:t>
      </w:r>
      <w:r>
        <w:rPr>
          <w:rFonts w:hint="eastAsia" w:ascii="宋体" w:hAnsi="宋体" w:cs="宋体"/>
          <w:lang w:val="zh-CN"/>
        </w:rPr>
        <w:t>（扫描或复印件应全面、完整、清晰），包括资产负债表、现金流量表、利润表和财务（会计）报表附注</w:t>
      </w:r>
      <w:r>
        <w:rPr>
          <w:rFonts w:hint="eastAsia" w:ascii="宋体" w:hAnsi="宋体" w:cs="宋体"/>
        </w:rPr>
        <w:t>，</w:t>
      </w:r>
      <w:r>
        <w:rPr>
          <w:rFonts w:hint="eastAsia" w:ascii="宋体" w:hAnsi="宋体" w:cs="宋体"/>
          <w:lang w:val="zh-CN"/>
        </w:rPr>
        <w:t>并提供第三方机构的营业执照、执业证书，或提供基本开户银行近三个月内出具的资信证明（同时提供基本存款账户开户许可证）。</w:t>
      </w:r>
      <w:r>
        <w:rPr>
          <w:rFonts w:hint="eastAsia" w:ascii="宋体" w:hAnsi="宋体" w:cs="宋体"/>
        </w:rPr>
        <w:t>投标人是其他组织和自然人，没有经审计的财务报告，可以提供基本开户银行出具的资信证明（同时提供基本存款账户开户许可证）。</w:t>
      </w:r>
    </w:p>
    <w:p>
      <w:pPr>
        <w:ind w:firstLine="480" w:firstLineChars="200"/>
        <w:rPr>
          <w:rFonts w:ascii="宋体" w:hAnsi="宋体" w:cs="宋体"/>
          <w:lang w:val="zh-CN"/>
        </w:rPr>
      </w:pPr>
      <w:r>
        <w:rPr>
          <w:rFonts w:hint="eastAsia" w:ascii="宋体" w:hAnsi="宋体" w:cs="宋体"/>
          <w:lang w:val="zh-CN"/>
        </w:rPr>
        <w:t>2、</w:t>
      </w:r>
      <w:r>
        <w:rPr>
          <w:rFonts w:hint="eastAsia" w:ascii="宋体" w:hAnsi="宋体" w:cs="宋体"/>
        </w:rPr>
        <w:t>近三个月</w:t>
      </w:r>
      <w:r>
        <w:rPr>
          <w:rFonts w:hint="eastAsia" w:ascii="宋体" w:hAnsi="宋体" w:cs="宋体"/>
          <w:lang w:val="zh-CN"/>
        </w:rPr>
        <w:t>的依法缴纳税收和社会保障资金记录的证明材料；依法免税或不需要缴纳社会保障资金的投标人须提供相应文件证明其依法免税或不需要缴纳社会保障资金。</w:t>
      </w:r>
    </w:p>
    <w:p>
      <w:pPr>
        <w:ind w:firstLine="480" w:firstLineChars="200"/>
        <w:rPr>
          <w:rFonts w:ascii="宋体" w:hAnsi="宋体" w:cs="宋体"/>
          <w:lang w:val="zh-CN"/>
        </w:rPr>
      </w:pPr>
    </w:p>
    <w:p>
      <w:pPr>
        <w:ind w:firstLine="480" w:firstLineChars="200"/>
        <w:rPr>
          <w:rFonts w:ascii="宋体" w:hAnsi="宋体"/>
        </w:rPr>
      </w:pPr>
      <w:r>
        <w:rPr>
          <w:rFonts w:hint="eastAsia" w:ascii="宋体" w:hAnsi="宋体" w:cs="宋体"/>
          <w:lang w:val="zh-CN"/>
        </w:rPr>
        <w:t>备注1：注册成立未满一年的新公司需提供银行资信证明（同时提供基本存款账户开户许可证）。</w:t>
      </w:r>
    </w:p>
    <w:p>
      <w:pPr>
        <w:pStyle w:val="5"/>
        <w:tabs>
          <w:tab w:val="left" w:pos="425"/>
        </w:tabs>
        <w:ind w:left="709" w:hanging="709"/>
        <w:rPr>
          <w:rFonts w:hint="default"/>
          <w:lang w:val="zh-CN"/>
        </w:rPr>
      </w:pPr>
    </w:p>
    <w:p>
      <w:pPr>
        <w:pStyle w:val="5"/>
        <w:tabs>
          <w:tab w:val="left" w:pos="425"/>
        </w:tabs>
        <w:ind w:left="709" w:hanging="709"/>
        <w:rPr>
          <w:rFonts w:hint="default"/>
          <w:lang w:val="zh-CN"/>
        </w:rPr>
      </w:pPr>
    </w:p>
    <w:p>
      <w:pPr>
        <w:pStyle w:val="5"/>
        <w:tabs>
          <w:tab w:val="left" w:pos="425"/>
        </w:tabs>
        <w:ind w:left="709" w:hanging="709"/>
        <w:rPr>
          <w:rFonts w:hint="default"/>
          <w:lang w:val="zh-CN"/>
        </w:rPr>
      </w:pPr>
    </w:p>
    <w:p>
      <w:pPr>
        <w:pStyle w:val="5"/>
        <w:tabs>
          <w:tab w:val="left" w:pos="425"/>
        </w:tabs>
        <w:ind w:left="709" w:hanging="709"/>
        <w:rPr>
          <w:rFonts w:hint="default"/>
          <w:lang w:val="zh-CN"/>
        </w:rPr>
      </w:pPr>
    </w:p>
    <w:p>
      <w:pPr>
        <w:pStyle w:val="5"/>
        <w:tabs>
          <w:tab w:val="left" w:pos="425"/>
        </w:tabs>
        <w:ind w:left="709" w:hanging="709"/>
        <w:rPr>
          <w:rFonts w:hint="default"/>
          <w:lang w:val="zh-CN"/>
        </w:rPr>
      </w:pPr>
    </w:p>
    <w:p>
      <w:pPr>
        <w:pStyle w:val="5"/>
        <w:tabs>
          <w:tab w:val="left" w:pos="425"/>
        </w:tabs>
        <w:ind w:left="709" w:hanging="709"/>
        <w:rPr>
          <w:rFonts w:hint="default"/>
          <w:lang w:val="zh-CN"/>
        </w:rPr>
      </w:pPr>
    </w:p>
    <w:p>
      <w:pPr>
        <w:pStyle w:val="5"/>
        <w:tabs>
          <w:tab w:val="left" w:pos="425"/>
        </w:tabs>
        <w:ind w:left="709" w:hanging="709"/>
        <w:rPr>
          <w:rFonts w:hint="default"/>
          <w:lang w:val="zh-CN"/>
        </w:rPr>
      </w:pPr>
    </w:p>
    <w:p>
      <w:pPr>
        <w:pStyle w:val="5"/>
        <w:tabs>
          <w:tab w:val="left" w:pos="425"/>
        </w:tabs>
        <w:ind w:left="709" w:hanging="709"/>
        <w:rPr>
          <w:rFonts w:hint="default"/>
          <w:lang w:val="zh-CN"/>
        </w:rPr>
      </w:pPr>
    </w:p>
    <w:p>
      <w:pPr>
        <w:pStyle w:val="5"/>
        <w:tabs>
          <w:tab w:val="left" w:pos="425"/>
        </w:tabs>
        <w:ind w:left="709" w:hanging="709"/>
        <w:rPr>
          <w:rFonts w:hint="default"/>
          <w:lang w:val="zh-CN"/>
        </w:rPr>
      </w:pPr>
    </w:p>
    <w:p>
      <w:pPr>
        <w:pStyle w:val="5"/>
        <w:tabs>
          <w:tab w:val="left" w:pos="425"/>
        </w:tabs>
        <w:ind w:left="709" w:hanging="709"/>
        <w:rPr>
          <w:rFonts w:hint="default"/>
          <w:lang w:val="zh-CN"/>
        </w:rPr>
      </w:pPr>
    </w:p>
    <w:p>
      <w:pPr>
        <w:rPr>
          <w:rFonts w:hAnsi="宋体"/>
          <w:b/>
          <w:sz w:val="32"/>
          <w:lang w:val="zh-CN"/>
        </w:rPr>
      </w:pPr>
    </w:p>
    <w:p>
      <w:pPr>
        <w:pStyle w:val="21"/>
        <w:ind w:firstLine="420"/>
        <w:rPr>
          <w:lang w:val="zh-CN"/>
        </w:rPr>
      </w:pPr>
    </w:p>
    <w:p>
      <w:pPr>
        <w:rPr>
          <w:lang w:val="zh-CN"/>
        </w:rPr>
      </w:pPr>
    </w:p>
    <w:p>
      <w:pPr>
        <w:pStyle w:val="2"/>
        <w:rPr>
          <w:lang w:val="zh-CN"/>
        </w:rPr>
      </w:pPr>
    </w:p>
    <w:p>
      <w:pPr>
        <w:pStyle w:val="2"/>
        <w:rPr>
          <w:lang w:val="zh-CN"/>
        </w:rPr>
      </w:pPr>
    </w:p>
    <w:p>
      <w:pPr>
        <w:pStyle w:val="2"/>
        <w:rPr>
          <w:lang w:val="zh-CN"/>
        </w:rPr>
      </w:pPr>
    </w:p>
    <w:p>
      <w:pPr>
        <w:pStyle w:val="2"/>
        <w:rPr>
          <w:lang w:val="zh-CN"/>
        </w:rPr>
      </w:pPr>
    </w:p>
    <w:p>
      <w:pPr>
        <w:pStyle w:val="5"/>
        <w:tabs>
          <w:tab w:val="left" w:pos="425"/>
        </w:tabs>
        <w:ind w:left="0"/>
        <w:rPr>
          <w:rFonts w:hint="default"/>
          <w:lang w:val="zh-CN"/>
        </w:rPr>
      </w:pPr>
    </w:p>
    <w:p>
      <w:pPr>
        <w:rPr>
          <w:lang w:val="zh-CN"/>
        </w:rPr>
      </w:pPr>
    </w:p>
    <w:p>
      <w:pPr>
        <w:pStyle w:val="5"/>
        <w:tabs>
          <w:tab w:val="left" w:pos="425"/>
        </w:tabs>
        <w:ind w:left="0"/>
        <w:rPr>
          <w:rFonts w:hint="default"/>
          <w:lang w:val="zh-CN"/>
        </w:rPr>
      </w:pPr>
      <w:bookmarkStart w:id="77" w:name="_Toc4663"/>
      <w:bookmarkStart w:id="78" w:name="_Toc17465"/>
      <w:r>
        <w:rPr>
          <w:lang w:val="zh-CN"/>
        </w:rPr>
        <w:t>格式8、具备履行合同所必须的设备和专业技术能力证明</w:t>
      </w:r>
      <w:bookmarkEnd w:id="76"/>
      <w:bookmarkEnd w:id="77"/>
      <w:bookmarkEnd w:id="78"/>
    </w:p>
    <w:p>
      <w:pPr>
        <w:spacing w:line="360" w:lineRule="auto"/>
        <w:rPr>
          <w:rFonts w:ascii="宋体" w:hAnsi="宋体" w:cs="宋体"/>
          <w:lang w:val="zh-CN"/>
        </w:rPr>
      </w:pPr>
    </w:p>
    <w:p>
      <w:pPr>
        <w:spacing w:line="360" w:lineRule="auto"/>
        <w:jc w:val="center"/>
        <w:rPr>
          <w:rFonts w:ascii="宋体" w:hAnsi="宋体" w:cs="宋体"/>
          <w:b/>
          <w:bCs/>
          <w:sz w:val="32"/>
          <w:szCs w:val="30"/>
          <w:lang w:val="zh-CN"/>
        </w:rPr>
      </w:pPr>
      <w:r>
        <w:rPr>
          <w:rFonts w:hint="eastAsia" w:ascii="宋体" w:hAnsi="宋体" w:cs="宋体"/>
          <w:b/>
          <w:bCs/>
          <w:sz w:val="32"/>
          <w:szCs w:val="30"/>
          <w:lang w:val="zh-CN"/>
        </w:rPr>
        <w:t>具备履行合同所必须的设备和专业技术能力证明</w:t>
      </w:r>
    </w:p>
    <w:p>
      <w:pPr>
        <w:pStyle w:val="5"/>
        <w:tabs>
          <w:tab w:val="left" w:pos="425"/>
        </w:tabs>
        <w:ind w:left="403" w:leftChars="168" w:firstLine="482" w:firstLineChars="200"/>
        <w:rPr>
          <w:rFonts w:hint="default"/>
          <w:sz w:val="24"/>
        </w:rPr>
      </w:pPr>
    </w:p>
    <w:p>
      <w:pPr>
        <w:pStyle w:val="22"/>
        <w:ind w:firstLine="600" w:firstLineChars="250"/>
        <w:outlineLvl w:val="2"/>
        <w:rPr>
          <w:rFonts w:hAnsi="宋体" w:cs="宋体"/>
          <w:lang w:val="zh-CN"/>
        </w:rPr>
      </w:pPr>
      <w:bookmarkStart w:id="79" w:name="_Toc21752"/>
      <w:r>
        <w:rPr>
          <w:rFonts w:hint="eastAsia"/>
          <w:sz w:val="24"/>
        </w:rPr>
        <w:t>为保证本项目合同的顺利履行，投标人必须具备履行合同的设备和专业技术能力，须提供相关设备的购置发票以及相关人员的职称证书和用工合同等证明材料。</w:t>
      </w:r>
      <w:r>
        <w:br w:type="page"/>
      </w:r>
      <w:r>
        <w:rPr>
          <w:rFonts w:hint="eastAsia" w:hAnsi="宋体"/>
          <w:b/>
          <w:sz w:val="32"/>
          <w:lang w:val="zh-CN"/>
        </w:rPr>
        <w:t>格式</w:t>
      </w:r>
      <w:bookmarkEnd w:id="74"/>
      <w:bookmarkEnd w:id="75"/>
      <w:r>
        <w:rPr>
          <w:rFonts w:hint="eastAsia" w:hAnsi="宋体"/>
          <w:b/>
          <w:sz w:val="32"/>
          <w:lang w:val="zh-CN"/>
        </w:rPr>
        <w:t>9、磋商保证金证明</w:t>
      </w:r>
      <w:bookmarkEnd w:id="79"/>
    </w:p>
    <w:p>
      <w:pPr>
        <w:spacing w:line="360" w:lineRule="auto"/>
        <w:rPr>
          <w:rFonts w:ascii="宋体" w:hAnsi="宋体" w:cs="宋体"/>
          <w:sz w:val="22"/>
          <w:lang w:val="zh-CN"/>
        </w:rPr>
      </w:pPr>
    </w:p>
    <w:p>
      <w:pPr>
        <w:spacing w:line="360" w:lineRule="auto"/>
        <w:jc w:val="center"/>
        <w:rPr>
          <w:rFonts w:ascii="宋体" w:hAnsi="宋体" w:cs="宋体"/>
          <w:b/>
          <w:bCs/>
          <w:sz w:val="32"/>
          <w:szCs w:val="30"/>
          <w:lang w:val="zh-CN"/>
        </w:rPr>
      </w:pPr>
      <w:r>
        <w:rPr>
          <w:rFonts w:hint="eastAsia" w:ascii="宋体" w:hAnsi="宋体" w:cs="宋体"/>
          <w:b/>
          <w:bCs/>
          <w:sz w:val="32"/>
          <w:szCs w:val="30"/>
          <w:lang w:val="zh-CN"/>
        </w:rPr>
        <w:t>磋商保证金证明</w:t>
      </w:r>
    </w:p>
    <w:p>
      <w:pPr>
        <w:spacing w:line="360" w:lineRule="auto"/>
        <w:rPr>
          <w:rFonts w:ascii="宋体" w:hAnsi="宋体" w:cs="宋体"/>
          <w:b/>
          <w:bCs/>
          <w:szCs w:val="28"/>
          <w:lang w:val="zh-CN"/>
        </w:rPr>
      </w:pPr>
      <w:bookmarkStart w:id="80" w:name="_Toc325726048"/>
      <w:bookmarkEnd w:id="80"/>
    </w:p>
    <w:p>
      <w:pPr>
        <w:spacing w:line="360" w:lineRule="auto"/>
        <w:rPr>
          <w:rFonts w:ascii="宋体" w:hAnsi="宋体" w:cs="宋体"/>
          <w:b/>
          <w:bCs/>
          <w:sz w:val="22"/>
          <w:lang w:val="zh-CN"/>
        </w:rPr>
      </w:pPr>
      <w:r>
        <w:rPr>
          <w:rFonts w:hint="eastAsia" w:ascii="宋体" w:hAnsi="宋体" w:cs="宋体"/>
          <w:b/>
          <w:bCs/>
          <w:szCs w:val="28"/>
          <w:lang w:val="zh-CN"/>
        </w:rPr>
        <w:t>致：青海广维工程项目管理有限公司</w:t>
      </w:r>
    </w:p>
    <w:p>
      <w:pPr>
        <w:rPr>
          <w:rFonts w:ascii="宋体" w:hAnsi="宋体" w:cs="宋体"/>
          <w:b/>
          <w:bCs/>
          <w:lang w:val="zh-CN"/>
        </w:rPr>
      </w:pPr>
    </w:p>
    <w:p>
      <w:pPr>
        <w:ind w:firstLine="360"/>
        <w:rPr>
          <w:rFonts w:ascii="宋体" w:hAnsi="宋体" w:cs="宋体"/>
          <w:lang w:val="zh-CN"/>
        </w:rPr>
      </w:pPr>
      <w:r>
        <w:rPr>
          <w:rFonts w:hint="eastAsia" w:ascii="宋体" w:hAnsi="宋体" w:cs="宋体"/>
          <w:lang w:val="zh-CN"/>
        </w:rPr>
        <w:t>我方为（项目名称）（采购编号为：）递交保证金人民币（大写：人民币元）已于年月日以基本户转账方式汇入你方账户。</w:t>
      </w:r>
    </w:p>
    <w:p>
      <w:pPr>
        <w:ind w:firstLine="360"/>
        <w:rPr>
          <w:rFonts w:ascii="宋体" w:hAnsi="宋体" w:cs="宋体"/>
          <w:bCs/>
          <w:lang w:val="zh-CN"/>
        </w:rPr>
      </w:pPr>
      <w:r>
        <w:rPr>
          <w:rFonts w:hint="eastAsia" w:ascii="宋体" w:hAnsi="宋体" w:cs="宋体"/>
          <w:bCs/>
          <w:lang w:val="zh-CN"/>
        </w:rPr>
        <w:t>附件：保证金交款证明及开户许可证复印件（加盖磋商供应商公章）</w:t>
      </w:r>
    </w:p>
    <w:p>
      <w:pPr>
        <w:ind w:firstLine="360"/>
        <w:rPr>
          <w:rFonts w:ascii="宋体" w:hAnsi="宋体" w:cs="宋体"/>
          <w:lang w:val="zh-CN"/>
        </w:rPr>
      </w:pPr>
      <w:r>
        <w:rPr>
          <w:rFonts w:hint="eastAsia" w:ascii="宋体" w:hAnsi="宋体" w:cs="宋体"/>
          <w:lang w:val="zh-CN"/>
        </w:rPr>
        <w:t>退还保证金时请按以下内容汇入至我方账户（同递交保证金账户）。若因提供内容不全、错误等原因导致该项目保证金未能及时退还或退还过程中发生错误，我方将承担全部责任和损失。</w:t>
      </w:r>
    </w:p>
    <w:p>
      <w:pPr>
        <w:ind w:firstLine="360"/>
        <w:rPr>
          <w:rFonts w:ascii="宋体" w:hAnsi="宋体" w:cs="宋体"/>
          <w:lang w:val="zh-CN"/>
        </w:rPr>
      </w:pPr>
      <w:r>
        <w:rPr>
          <w:rFonts w:hint="eastAsia" w:ascii="宋体" w:hAnsi="宋体" w:cs="宋体"/>
          <w:lang w:val="zh-CN"/>
        </w:rPr>
        <w:t>户    名：</w:t>
      </w:r>
    </w:p>
    <w:p>
      <w:pPr>
        <w:ind w:firstLine="360"/>
        <w:rPr>
          <w:rFonts w:ascii="宋体" w:hAnsi="宋体" w:cs="宋体"/>
          <w:lang w:val="zh-CN"/>
        </w:rPr>
      </w:pPr>
      <w:r>
        <w:rPr>
          <w:rFonts w:hint="eastAsia" w:ascii="宋体" w:hAnsi="宋体" w:cs="宋体"/>
          <w:lang w:val="zh-CN"/>
        </w:rPr>
        <w:t>开户银行：</w:t>
      </w:r>
    </w:p>
    <w:p>
      <w:pPr>
        <w:ind w:firstLine="360"/>
        <w:rPr>
          <w:rFonts w:ascii="宋体" w:hAnsi="宋体" w:cs="宋体"/>
          <w:lang w:val="zh-CN"/>
        </w:rPr>
      </w:pPr>
      <w:r>
        <w:rPr>
          <w:rFonts w:hint="eastAsia" w:ascii="宋体" w:hAnsi="宋体" w:cs="宋体"/>
          <w:lang w:val="zh-CN"/>
        </w:rPr>
        <w:t>开户帐号：</w:t>
      </w:r>
    </w:p>
    <w:p>
      <w:pPr>
        <w:spacing w:line="360" w:lineRule="auto"/>
        <w:rPr>
          <w:rFonts w:ascii="宋体" w:hAnsi="宋体" w:cs="宋体"/>
          <w:lang w:val="zh-CN"/>
        </w:rPr>
      </w:pPr>
    </w:p>
    <w:p>
      <w:pPr>
        <w:spacing w:line="360" w:lineRule="auto"/>
        <w:rPr>
          <w:rFonts w:ascii="宋体" w:hAnsi="宋体" w:cs="宋体"/>
          <w:lang w:val="zh-CN"/>
        </w:rPr>
      </w:pPr>
    </w:p>
    <w:p>
      <w:pPr>
        <w:spacing w:line="360" w:lineRule="auto"/>
        <w:rPr>
          <w:rFonts w:ascii="宋体" w:hAnsi="宋体" w:cs="宋体"/>
          <w:lang w:val="zh-CN"/>
        </w:rPr>
      </w:pPr>
    </w:p>
    <w:p>
      <w:pPr>
        <w:spacing w:line="360" w:lineRule="auto"/>
        <w:rPr>
          <w:rFonts w:ascii="宋体" w:hAnsi="宋体" w:cs="宋体"/>
          <w:lang w:val="zh-CN"/>
        </w:rPr>
      </w:pPr>
    </w:p>
    <w:p>
      <w:pPr>
        <w:spacing w:line="360" w:lineRule="auto"/>
        <w:rPr>
          <w:rFonts w:ascii="宋体" w:hAnsi="宋体" w:cs="宋体"/>
          <w:lang w:val="zh-CN"/>
        </w:rPr>
      </w:pPr>
    </w:p>
    <w:p>
      <w:pPr>
        <w:spacing w:line="360" w:lineRule="auto"/>
        <w:rPr>
          <w:rFonts w:ascii="宋体" w:hAnsi="宋体" w:cs="宋体"/>
          <w:lang w:val="zh-CN"/>
        </w:rPr>
      </w:pPr>
    </w:p>
    <w:p>
      <w:pPr>
        <w:tabs>
          <w:tab w:val="left" w:pos="168"/>
        </w:tabs>
        <w:spacing w:line="360" w:lineRule="auto"/>
        <w:jc w:val="right"/>
        <w:textAlignment w:val="baseline"/>
        <w:rPr>
          <w:rFonts w:ascii="宋体" w:hAnsi="宋体"/>
          <w:bCs/>
          <w:szCs w:val="28"/>
        </w:rPr>
      </w:pPr>
      <w:r>
        <w:rPr>
          <w:rFonts w:hint="eastAsia" w:ascii="宋体" w:hAnsi="宋体"/>
          <w:bCs/>
          <w:szCs w:val="28"/>
        </w:rPr>
        <w:t>磋商供应商：             （公章）</w:t>
      </w:r>
    </w:p>
    <w:p>
      <w:pPr>
        <w:tabs>
          <w:tab w:val="left" w:pos="168"/>
        </w:tabs>
        <w:spacing w:line="360" w:lineRule="auto"/>
        <w:jc w:val="center"/>
        <w:textAlignment w:val="baseline"/>
        <w:rPr>
          <w:rFonts w:ascii="宋体" w:hAnsi="宋体"/>
          <w:bCs/>
          <w:szCs w:val="28"/>
        </w:rPr>
      </w:pPr>
      <w:r>
        <w:rPr>
          <w:rFonts w:hint="eastAsia" w:ascii="宋体" w:hAnsi="宋体"/>
          <w:bCs/>
          <w:szCs w:val="28"/>
        </w:rPr>
        <w:t xml:space="preserve">                              委托代理人：                （签字）</w:t>
      </w:r>
    </w:p>
    <w:p>
      <w:pPr>
        <w:tabs>
          <w:tab w:val="left" w:pos="168"/>
        </w:tabs>
        <w:spacing w:line="360" w:lineRule="auto"/>
        <w:jc w:val="center"/>
        <w:textAlignment w:val="baseline"/>
        <w:rPr>
          <w:rFonts w:ascii="宋体" w:hAnsi="宋体"/>
          <w:bCs/>
          <w:szCs w:val="28"/>
        </w:rPr>
      </w:pPr>
      <w:r>
        <w:rPr>
          <w:rFonts w:hint="eastAsia" w:ascii="宋体" w:hAnsi="宋体"/>
          <w:bCs/>
          <w:szCs w:val="28"/>
        </w:rPr>
        <w:t xml:space="preserve">                      日期：    年   月   日</w:t>
      </w:r>
    </w:p>
    <w:p>
      <w:pPr>
        <w:spacing w:line="360" w:lineRule="auto"/>
        <w:rPr>
          <w:lang w:val="zh-CN"/>
        </w:rPr>
      </w:pPr>
    </w:p>
    <w:p>
      <w:pPr>
        <w:pStyle w:val="5"/>
        <w:tabs>
          <w:tab w:val="left" w:pos="425"/>
        </w:tabs>
        <w:ind w:left="709" w:hanging="709"/>
        <w:rPr>
          <w:rFonts w:hint="default" w:cs="宋体"/>
        </w:rPr>
      </w:pPr>
      <w:r>
        <w:rPr>
          <w:rFonts w:cs="宋体"/>
          <w:sz w:val="24"/>
          <w:lang w:val="zh-CN"/>
        </w:rPr>
        <w:br w:type="page"/>
      </w:r>
      <w:bookmarkStart w:id="81" w:name="_Toc535422004"/>
      <w:bookmarkStart w:id="82" w:name="_Toc21450"/>
      <w:bookmarkStart w:id="83" w:name="_Toc428180589"/>
      <w:bookmarkStart w:id="84" w:name="_Toc8787"/>
      <w:bookmarkStart w:id="85" w:name="_Toc19234"/>
      <w:bookmarkStart w:id="86" w:name="_Toc444715741"/>
      <w:r>
        <w:rPr>
          <w:lang w:val="zh-CN"/>
        </w:rPr>
        <w:t>格式10、无重大违法记录声明</w:t>
      </w:r>
      <w:bookmarkEnd w:id="81"/>
      <w:bookmarkEnd w:id="82"/>
      <w:bookmarkEnd w:id="83"/>
      <w:bookmarkEnd w:id="84"/>
      <w:bookmarkEnd w:id="85"/>
      <w:bookmarkEnd w:id="86"/>
    </w:p>
    <w:p>
      <w:pPr>
        <w:spacing w:line="360" w:lineRule="auto"/>
        <w:rPr>
          <w:rFonts w:ascii="宋体" w:hAnsi="宋体" w:cs="宋体"/>
          <w:lang w:val="zh-CN"/>
        </w:rPr>
      </w:pPr>
    </w:p>
    <w:p>
      <w:pPr>
        <w:spacing w:line="360" w:lineRule="auto"/>
        <w:jc w:val="center"/>
        <w:rPr>
          <w:rFonts w:ascii="宋体" w:hAnsi="宋体" w:cs="宋体"/>
          <w:b/>
          <w:bCs/>
          <w:sz w:val="32"/>
          <w:szCs w:val="30"/>
          <w:lang w:val="zh-CN"/>
        </w:rPr>
      </w:pPr>
      <w:r>
        <w:rPr>
          <w:rFonts w:hint="eastAsia" w:ascii="宋体" w:hAnsi="宋体" w:cs="宋体"/>
          <w:b/>
          <w:bCs/>
          <w:sz w:val="32"/>
          <w:szCs w:val="30"/>
          <w:lang w:val="zh-CN"/>
        </w:rPr>
        <w:t>无重大违法记录声明</w:t>
      </w:r>
    </w:p>
    <w:p>
      <w:pPr>
        <w:spacing w:line="360" w:lineRule="auto"/>
        <w:rPr>
          <w:rFonts w:ascii="宋体" w:hAnsi="宋体" w:cs="宋体"/>
          <w:sz w:val="22"/>
          <w:lang w:val="zh-CN"/>
        </w:rPr>
      </w:pPr>
    </w:p>
    <w:p>
      <w:pPr>
        <w:spacing w:line="360" w:lineRule="auto"/>
        <w:ind w:firstLine="426" w:firstLineChars="177"/>
        <w:rPr>
          <w:rFonts w:ascii="宋体" w:hAnsi="宋体" w:cs="Arial"/>
          <w:sz w:val="22"/>
        </w:rPr>
      </w:pPr>
      <w:r>
        <w:rPr>
          <w:rFonts w:hint="eastAsia" w:ascii="宋体" w:hAnsi="宋体" w:cs="宋体"/>
          <w:b/>
          <w:bCs/>
          <w:szCs w:val="28"/>
          <w:lang w:val="zh-CN"/>
        </w:rPr>
        <w:t>致：青海广维工程项目管理有限公司</w:t>
      </w:r>
    </w:p>
    <w:p>
      <w:pPr>
        <w:spacing w:line="360" w:lineRule="auto"/>
        <w:ind w:firstLine="424" w:firstLineChars="177"/>
        <w:rPr>
          <w:rFonts w:ascii="宋体" w:hAnsi="宋体" w:cs="Arial"/>
        </w:rPr>
      </w:pPr>
      <w:r>
        <w:rPr>
          <w:rFonts w:hint="eastAsia" w:ascii="宋体" w:hAnsi="宋体"/>
          <w:lang w:val="zh-CN"/>
        </w:rPr>
        <w:t>经信用中国</w:t>
      </w:r>
      <w:r>
        <w:rPr>
          <w:rFonts w:hint="eastAsia" w:ascii="宋体" w:hAnsi="宋体"/>
        </w:rPr>
        <w:t>（www.creditchina.gov.cn）</w:t>
      </w:r>
      <w:r>
        <w:rPr>
          <w:rFonts w:hint="eastAsia" w:ascii="宋体" w:hAnsi="宋体"/>
          <w:lang w:val="zh-CN"/>
        </w:rPr>
        <w:t>、中国政府采购网</w:t>
      </w:r>
      <w:r>
        <w:rPr>
          <w:rFonts w:hint="eastAsia" w:ascii="宋体" w:hAnsi="宋体"/>
        </w:rPr>
        <w:t>（www.ccgp.gov.cn）</w:t>
      </w:r>
      <w:r>
        <w:rPr>
          <w:rFonts w:hint="eastAsia" w:ascii="宋体" w:hAnsi="宋体"/>
          <w:lang w:val="zh-CN"/>
        </w:rPr>
        <w:t>等渠道查询后</w:t>
      </w:r>
      <w:r>
        <w:rPr>
          <w:rFonts w:hint="eastAsia" w:ascii="宋体" w:hAnsi="宋体"/>
        </w:rPr>
        <w:t>，</w:t>
      </w:r>
      <w:r>
        <w:rPr>
          <w:rFonts w:hint="eastAsia" w:ascii="宋体" w:hAnsi="宋体"/>
          <w:lang w:val="zh-CN"/>
        </w:rPr>
        <w:t>列入失信被执行人、重大税收违法案件当事人名单、政府采购严重违法失信行为记录名单的</w:t>
      </w:r>
      <w:r>
        <w:rPr>
          <w:rFonts w:hint="eastAsia" w:ascii="宋体" w:hAnsi="宋体"/>
        </w:rPr>
        <w:t>，</w:t>
      </w:r>
      <w:r>
        <w:rPr>
          <w:rFonts w:hint="eastAsia" w:ascii="宋体" w:hAnsi="宋体"/>
          <w:lang w:val="zh-CN"/>
        </w:rPr>
        <w:t>取消投标资格</w:t>
      </w:r>
      <w:r>
        <w:rPr>
          <w:rFonts w:hint="eastAsia" w:ascii="宋体" w:hAnsi="宋体"/>
        </w:rPr>
        <w:t>(</w:t>
      </w:r>
      <w:r>
        <w:rPr>
          <w:rFonts w:hint="eastAsia" w:ascii="宋体" w:hAnsi="宋体"/>
          <w:lang w:val="zh-CN"/>
        </w:rPr>
        <w:t>提供</w:t>
      </w:r>
      <w:r>
        <w:rPr>
          <w:rFonts w:hint="eastAsia" w:ascii="宋体" w:hAnsi="宋体"/>
        </w:rPr>
        <w:t>“</w:t>
      </w:r>
      <w:r>
        <w:rPr>
          <w:rFonts w:hint="eastAsia" w:ascii="宋体" w:hAnsi="宋体"/>
          <w:lang w:val="zh-CN"/>
        </w:rPr>
        <w:t>信用中国</w:t>
      </w:r>
      <w:r>
        <w:rPr>
          <w:rFonts w:hint="eastAsia" w:ascii="宋体" w:hAnsi="宋体"/>
        </w:rPr>
        <w:t>”</w:t>
      </w:r>
      <w:r>
        <w:rPr>
          <w:rFonts w:hint="eastAsia" w:ascii="宋体" w:hAnsi="宋体"/>
          <w:lang w:val="zh-CN"/>
        </w:rPr>
        <w:t>网站的查询截图</w:t>
      </w:r>
      <w:r>
        <w:rPr>
          <w:rFonts w:hint="eastAsia" w:ascii="宋体" w:hAnsi="宋体"/>
        </w:rPr>
        <w:t>，</w:t>
      </w:r>
      <w:r>
        <w:rPr>
          <w:rFonts w:hint="eastAsia" w:ascii="宋体" w:hAnsi="宋体"/>
          <w:lang w:val="zh-CN"/>
        </w:rPr>
        <w:t>时间为投标截止时间前</w:t>
      </w:r>
      <w:r>
        <w:rPr>
          <w:rFonts w:hint="eastAsia" w:ascii="宋体" w:hAnsi="宋体"/>
        </w:rPr>
        <w:t>10</w:t>
      </w:r>
      <w:r>
        <w:rPr>
          <w:rFonts w:hint="eastAsia" w:ascii="宋体" w:hAnsi="宋体"/>
          <w:lang w:val="zh-CN"/>
        </w:rPr>
        <w:t>天内</w:t>
      </w:r>
      <w:r>
        <w:rPr>
          <w:rFonts w:hint="eastAsia" w:ascii="宋体" w:hAnsi="宋体"/>
        </w:rPr>
        <w:t>)</w:t>
      </w:r>
      <w:r>
        <w:rPr>
          <w:rFonts w:ascii="宋体" w:hAnsi="宋体" w:cs="Arial"/>
        </w:rPr>
        <w:t>。</w:t>
      </w:r>
    </w:p>
    <w:p>
      <w:pPr>
        <w:spacing w:line="360" w:lineRule="auto"/>
        <w:ind w:firstLine="424" w:firstLineChars="177"/>
        <w:rPr>
          <w:rFonts w:ascii="宋体" w:hAnsi="宋体" w:cs="Arial"/>
        </w:rPr>
      </w:pPr>
    </w:p>
    <w:p>
      <w:pPr>
        <w:spacing w:line="360" w:lineRule="auto"/>
        <w:ind w:firstLine="424" w:firstLineChars="177"/>
        <w:rPr>
          <w:rFonts w:ascii="宋体" w:hAnsi="宋体" w:cs="Arial"/>
        </w:rPr>
      </w:pPr>
    </w:p>
    <w:p>
      <w:pPr>
        <w:spacing w:line="360" w:lineRule="auto"/>
        <w:ind w:firstLine="424" w:firstLineChars="177"/>
        <w:rPr>
          <w:rFonts w:ascii="宋体" w:hAnsi="宋体" w:cs="Arial"/>
        </w:rPr>
      </w:pPr>
      <w:r>
        <w:rPr>
          <w:rFonts w:ascii="宋体" w:hAnsi="宋体" w:cs="Arial"/>
        </w:rPr>
        <w:t>特此声明。</w:t>
      </w:r>
    </w:p>
    <w:p>
      <w:pPr>
        <w:spacing w:line="360" w:lineRule="auto"/>
        <w:ind w:firstLine="424" w:firstLineChars="177"/>
        <w:rPr>
          <w:rFonts w:ascii="宋体" w:hAnsi="宋体" w:cs="Arial"/>
        </w:rPr>
      </w:pPr>
    </w:p>
    <w:p>
      <w:pPr>
        <w:spacing w:line="360" w:lineRule="auto"/>
        <w:ind w:firstLine="424" w:firstLineChars="177"/>
        <w:rPr>
          <w:rFonts w:ascii="宋体" w:hAnsi="宋体" w:cs="Arial"/>
        </w:rPr>
      </w:pPr>
    </w:p>
    <w:p>
      <w:pPr>
        <w:spacing w:line="360" w:lineRule="auto"/>
        <w:ind w:firstLine="424" w:firstLineChars="177"/>
        <w:rPr>
          <w:rFonts w:ascii="宋体" w:hAnsi="宋体" w:cs="Arial"/>
        </w:rPr>
      </w:pPr>
    </w:p>
    <w:p>
      <w:pPr>
        <w:spacing w:line="360" w:lineRule="auto"/>
        <w:ind w:firstLine="424" w:firstLineChars="177"/>
        <w:rPr>
          <w:rFonts w:ascii="宋体" w:hAnsi="宋体" w:cs="Arial"/>
        </w:rPr>
      </w:pPr>
    </w:p>
    <w:p>
      <w:pPr>
        <w:spacing w:line="360" w:lineRule="auto"/>
        <w:ind w:firstLine="424" w:firstLineChars="177"/>
        <w:rPr>
          <w:rFonts w:ascii="宋体" w:hAnsi="宋体" w:cs="Arial"/>
        </w:rPr>
      </w:pPr>
    </w:p>
    <w:p>
      <w:pPr>
        <w:spacing w:line="360" w:lineRule="auto"/>
        <w:ind w:firstLine="424" w:firstLineChars="177"/>
        <w:rPr>
          <w:rFonts w:ascii="宋体" w:hAnsi="宋体" w:cs="Arial"/>
        </w:rPr>
      </w:pPr>
    </w:p>
    <w:p>
      <w:pPr>
        <w:spacing w:line="360" w:lineRule="auto"/>
        <w:ind w:firstLine="424" w:firstLineChars="177"/>
        <w:rPr>
          <w:rFonts w:ascii="宋体" w:hAnsi="宋体" w:cs="Arial"/>
        </w:rPr>
      </w:pPr>
    </w:p>
    <w:p>
      <w:pPr>
        <w:tabs>
          <w:tab w:val="left" w:pos="168"/>
        </w:tabs>
        <w:wordWrap w:val="0"/>
        <w:spacing w:line="360" w:lineRule="auto"/>
        <w:jc w:val="right"/>
        <w:textAlignment w:val="baseline"/>
        <w:rPr>
          <w:rFonts w:ascii="宋体" w:hAnsi="宋体"/>
          <w:bCs/>
          <w:szCs w:val="28"/>
        </w:rPr>
      </w:pPr>
      <w:r>
        <w:rPr>
          <w:rFonts w:hint="eastAsia" w:ascii="宋体" w:hAnsi="宋体"/>
          <w:bCs/>
          <w:szCs w:val="28"/>
        </w:rPr>
        <w:t>投标供应商：             （公章）</w:t>
      </w:r>
    </w:p>
    <w:p>
      <w:pPr>
        <w:tabs>
          <w:tab w:val="left" w:pos="168"/>
        </w:tabs>
        <w:wordWrap w:val="0"/>
        <w:spacing w:line="360" w:lineRule="auto"/>
        <w:jc w:val="right"/>
        <w:textAlignment w:val="baseline"/>
        <w:rPr>
          <w:rFonts w:ascii="宋体" w:hAnsi="宋体"/>
          <w:bCs/>
          <w:szCs w:val="28"/>
        </w:rPr>
      </w:pPr>
      <w:r>
        <w:rPr>
          <w:rFonts w:hint="eastAsia" w:ascii="宋体" w:hAnsi="宋体"/>
          <w:bCs/>
          <w:szCs w:val="28"/>
        </w:rPr>
        <w:t>委托代理人：                    （签字）</w:t>
      </w:r>
    </w:p>
    <w:p>
      <w:pPr>
        <w:spacing w:line="360" w:lineRule="auto"/>
        <w:ind w:firstLine="424" w:firstLineChars="177"/>
        <w:rPr>
          <w:rFonts w:ascii="宋体" w:hAnsi="宋体" w:cs="Arial"/>
        </w:rPr>
      </w:pPr>
      <w:r>
        <w:rPr>
          <w:rFonts w:hint="eastAsia" w:ascii="宋体" w:hAnsi="宋体"/>
          <w:bCs/>
          <w:szCs w:val="28"/>
        </w:rPr>
        <w:t xml:space="preserve">                            日期：                  年   月   日</w:t>
      </w:r>
    </w:p>
    <w:p>
      <w:pPr>
        <w:pStyle w:val="5"/>
        <w:tabs>
          <w:tab w:val="left" w:pos="425"/>
        </w:tabs>
        <w:ind w:left="0"/>
        <w:rPr>
          <w:rFonts w:hint="default"/>
          <w:lang w:val="zh-CN"/>
        </w:rPr>
      </w:pPr>
      <w:r>
        <w:rPr>
          <w:bCs/>
          <w:sz w:val="24"/>
          <w:szCs w:val="28"/>
        </w:rPr>
        <w:br w:type="page"/>
      </w:r>
      <w:bookmarkStart w:id="87" w:name="_Toc32642"/>
      <w:bookmarkStart w:id="88" w:name="_Toc535422007"/>
      <w:bookmarkStart w:id="89" w:name="_Toc24590"/>
      <w:r>
        <w:rPr>
          <w:lang w:val="zh-CN"/>
        </w:rPr>
        <w:t>格式11、评分对照表</w:t>
      </w:r>
      <w:bookmarkEnd w:id="87"/>
      <w:bookmarkEnd w:id="88"/>
      <w:bookmarkEnd w:id="89"/>
    </w:p>
    <w:p>
      <w:pPr>
        <w:spacing w:line="360" w:lineRule="auto"/>
        <w:rPr>
          <w:rFonts w:ascii="宋体" w:hAnsi="宋体"/>
          <w:bCs/>
          <w:szCs w:val="28"/>
        </w:rPr>
      </w:pPr>
    </w:p>
    <w:p>
      <w:pPr>
        <w:spacing w:line="360" w:lineRule="auto"/>
        <w:jc w:val="center"/>
        <w:rPr>
          <w:rFonts w:ascii="宋体" w:hAnsi="宋体" w:cs="宋体"/>
          <w:b/>
          <w:bCs/>
          <w:sz w:val="28"/>
          <w:szCs w:val="28"/>
        </w:rPr>
      </w:pPr>
      <w:r>
        <w:rPr>
          <w:rFonts w:hint="eastAsia" w:ascii="宋体" w:hAnsi="宋体" w:cs="宋体"/>
          <w:b/>
          <w:bCs/>
          <w:sz w:val="28"/>
          <w:szCs w:val="28"/>
        </w:rPr>
        <w:t>评分对照表</w:t>
      </w:r>
    </w:p>
    <w:tbl>
      <w:tblPr>
        <w:tblStyle w:val="15"/>
        <w:tblW w:w="86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firstLineChars="0"/>
              <w:jc w:val="center"/>
              <w:rPr>
                <w:rFonts w:ascii="宋体" w:hAnsi="宋体" w:cs="宋体"/>
              </w:rPr>
            </w:pPr>
            <w:r>
              <w:rPr>
                <w:rFonts w:hint="eastAsia" w:ascii="宋体" w:hAnsi="宋体" w:cs="宋体"/>
              </w:rPr>
              <w:t>序号</w:t>
            </w:r>
          </w:p>
        </w:tc>
        <w:tc>
          <w:tcPr>
            <w:tcW w:w="2514" w:type="dxa"/>
            <w:vAlign w:val="center"/>
          </w:tcPr>
          <w:p>
            <w:pPr>
              <w:pStyle w:val="7"/>
              <w:spacing w:line="360" w:lineRule="auto"/>
              <w:ind w:firstLine="0" w:firstLineChars="0"/>
              <w:jc w:val="center"/>
              <w:rPr>
                <w:rFonts w:ascii="宋体" w:hAnsi="宋体" w:cs="宋体"/>
              </w:rPr>
            </w:pPr>
            <w:r>
              <w:rPr>
                <w:rFonts w:hint="eastAsia" w:ascii="宋体" w:hAnsi="宋体" w:cs="宋体"/>
              </w:rPr>
              <w:t>磋商文件评分标准</w:t>
            </w:r>
          </w:p>
        </w:tc>
        <w:tc>
          <w:tcPr>
            <w:tcW w:w="2266" w:type="dxa"/>
            <w:vAlign w:val="center"/>
          </w:tcPr>
          <w:p>
            <w:pPr>
              <w:pStyle w:val="7"/>
              <w:spacing w:line="360" w:lineRule="auto"/>
              <w:ind w:firstLine="0" w:firstLineChars="0"/>
              <w:jc w:val="center"/>
              <w:rPr>
                <w:rFonts w:ascii="宋体" w:hAnsi="宋体" w:cs="宋体"/>
              </w:rPr>
            </w:pPr>
            <w:r>
              <w:rPr>
                <w:rFonts w:hint="eastAsia" w:ascii="宋体" w:hAnsi="宋体" w:cs="宋体"/>
              </w:rPr>
              <w:t>磋商响应部分</w:t>
            </w:r>
          </w:p>
        </w:tc>
        <w:tc>
          <w:tcPr>
            <w:tcW w:w="2966" w:type="dxa"/>
            <w:vAlign w:val="center"/>
          </w:tcPr>
          <w:p>
            <w:pPr>
              <w:pStyle w:val="7"/>
              <w:spacing w:line="360" w:lineRule="auto"/>
              <w:ind w:firstLine="0" w:firstLineChars="0"/>
              <w:jc w:val="center"/>
              <w:rPr>
                <w:rFonts w:ascii="宋体" w:hAnsi="宋体" w:cs="宋体"/>
              </w:rPr>
            </w:pPr>
            <w:r>
              <w:rPr>
                <w:rFonts w:hint="eastAsia" w:ascii="宋体" w:hAnsi="宋体" w:cs="宋体"/>
              </w:rPr>
              <w:t>磋商响应文件中对应页码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480"/>
              <w:jc w:val="center"/>
              <w:rPr>
                <w:rFonts w:ascii="宋体" w:hAnsi="宋体" w:cs="宋体"/>
              </w:rPr>
            </w:pPr>
          </w:p>
        </w:tc>
        <w:tc>
          <w:tcPr>
            <w:tcW w:w="2514" w:type="dxa"/>
            <w:vAlign w:val="center"/>
          </w:tcPr>
          <w:p>
            <w:pPr>
              <w:pStyle w:val="7"/>
              <w:spacing w:line="360" w:lineRule="auto"/>
              <w:ind w:firstLine="480"/>
              <w:jc w:val="center"/>
              <w:rPr>
                <w:rFonts w:ascii="宋体" w:hAnsi="宋体" w:cs="宋体"/>
              </w:rPr>
            </w:pPr>
          </w:p>
        </w:tc>
        <w:tc>
          <w:tcPr>
            <w:tcW w:w="2266" w:type="dxa"/>
            <w:vAlign w:val="center"/>
          </w:tcPr>
          <w:p>
            <w:pPr>
              <w:pStyle w:val="7"/>
              <w:spacing w:line="360" w:lineRule="auto"/>
              <w:ind w:firstLine="480"/>
              <w:jc w:val="center"/>
              <w:rPr>
                <w:rFonts w:ascii="宋体" w:hAnsi="宋体" w:cs="宋体"/>
              </w:rPr>
            </w:pPr>
          </w:p>
        </w:tc>
        <w:tc>
          <w:tcPr>
            <w:tcW w:w="2966" w:type="dxa"/>
            <w:vAlign w:val="center"/>
          </w:tcPr>
          <w:p>
            <w:pPr>
              <w:pStyle w:val="7"/>
              <w:spacing w:line="360" w:lineRule="auto"/>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480"/>
              <w:jc w:val="center"/>
              <w:rPr>
                <w:rFonts w:ascii="宋体" w:hAnsi="宋体" w:cs="宋体"/>
              </w:rPr>
            </w:pPr>
          </w:p>
        </w:tc>
        <w:tc>
          <w:tcPr>
            <w:tcW w:w="2514" w:type="dxa"/>
            <w:vAlign w:val="center"/>
          </w:tcPr>
          <w:p>
            <w:pPr>
              <w:pStyle w:val="7"/>
              <w:spacing w:line="360" w:lineRule="auto"/>
              <w:ind w:firstLine="480"/>
              <w:jc w:val="center"/>
              <w:rPr>
                <w:rFonts w:ascii="宋体" w:hAnsi="宋体" w:cs="宋体"/>
              </w:rPr>
            </w:pPr>
          </w:p>
        </w:tc>
        <w:tc>
          <w:tcPr>
            <w:tcW w:w="2266" w:type="dxa"/>
            <w:vAlign w:val="center"/>
          </w:tcPr>
          <w:p>
            <w:pPr>
              <w:pStyle w:val="7"/>
              <w:spacing w:line="360" w:lineRule="auto"/>
              <w:ind w:firstLine="480"/>
              <w:jc w:val="center"/>
              <w:rPr>
                <w:rFonts w:ascii="宋体" w:hAnsi="宋体" w:cs="宋体"/>
              </w:rPr>
            </w:pPr>
          </w:p>
        </w:tc>
        <w:tc>
          <w:tcPr>
            <w:tcW w:w="2966" w:type="dxa"/>
            <w:vAlign w:val="center"/>
          </w:tcPr>
          <w:p>
            <w:pPr>
              <w:pStyle w:val="7"/>
              <w:spacing w:line="360" w:lineRule="auto"/>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480"/>
              <w:jc w:val="center"/>
              <w:rPr>
                <w:rFonts w:ascii="宋体" w:hAnsi="宋体" w:cs="宋体"/>
              </w:rPr>
            </w:pPr>
          </w:p>
        </w:tc>
        <w:tc>
          <w:tcPr>
            <w:tcW w:w="2514" w:type="dxa"/>
            <w:vAlign w:val="center"/>
          </w:tcPr>
          <w:p>
            <w:pPr>
              <w:pStyle w:val="7"/>
              <w:spacing w:line="360" w:lineRule="auto"/>
              <w:ind w:firstLine="480"/>
              <w:jc w:val="center"/>
              <w:rPr>
                <w:rFonts w:ascii="宋体" w:hAnsi="宋体" w:cs="宋体"/>
              </w:rPr>
            </w:pPr>
          </w:p>
        </w:tc>
        <w:tc>
          <w:tcPr>
            <w:tcW w:w="2266" w:type="dxa"/>
            <w:vAlign w:val="center"/>
          </w:tcPr>
          <w:p>
            <w:pPr>
              <w:pStyle w:val="7"/>
              <w:spacing w:line="360" w:lineRule="auto"/>
              <w:ind w:firstLine="480"/>
              <w:jc w:val="center"/>
              <w:rPr>
                <w:rFonts w:ascii="宋体" w:hAnsi="宋体" w:cs="宋体"/>
              </w:rPr>
            </w:pPr>
          </w:p>
        </w:tc>
        <w:tc>
          <w:tcPr>
            <w:tcW w:w="2966" w:type="dxa"/>
            <w:vAlign w:val="center"/>
          </w:tcPr>
          <w:p>
            <w:pPr>
              <w:pStyle w:val="7"/>
              <w:spacing w:line="360" w:lineRule="auto"/>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480"/>
              <w:jc w:val="center"/>
              <w:rPr>
                <w:rFonts w:ascii="宋体" w:hAnsi="宋体" w:cs="宋体"/>
              </w:rPr>
            </w:pPr>
          </w:p>
        </w:tc>
        <w:tc>
          <w:tcPr>
            <w:tcW w:w="2514" w:type="dxa"/>
            <w:vAlign w:val="center"/>
          </w:tcPr>
          <w:p>
            <w:pPr>
              <w:pStyle w:val="7"/>
              <w:spacing w:line="360" w:lineRule="auto"/>
              <w:ind w:firstLine="480"/>
              <w:jc w:val="center"/>
              <w:rPr>
                <w:rFonts w:ascii="宋体" w:hAnsi="宋体" w:cs="宋体"/>
              </w:rPr>
            </w:pPr>
          </w:p>
        </w:tc>
        <w:tc>
          <w:tcPr>
            <w:tcW w:w="2266" w:type="dxa"/>
            <w:vAlign w:val="center"/>
          </w:tcPr>
          <w:p>
            <w:pPr>
              <w:pStyle w:val="7"/>
              <w:spacing w:line="360" w:lineRule="auto"/>
              <w:ind w:firstLine="480"/>
              <w:jc w:val="center"/>
              <w:rPr>
                <w:rFonts w:ascii="宋体" w:hAnsi="宋体" w:cs="宋体"/>
              </w:rPr>
            </w:pPr>
          </w:p>
        </w:tc>
        <w:tc>
          <w:tcPr>
            <w:tcW w:w="2966" w:type="dxa"/>
            <w:vAlign w:val="center"/>
          </w:tcPr>
          <w:p>
            <w:pPr>
              <w:pStyle w:val="7"/>
              <w:spacing w:line="360" w:lineRule="auto"/>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480"/>
              <w:jc w:val="center"/>
              <w:rPr>
                <w:rFonts w:ascii="宋体" w:hAnsi="宋体" w:cs="宋体"/>
              </w:rPr>
            </w:pPr>
          </w:p>
        </w:tc>
        <w:tc>
          <w:tcPr>
            <w:tcW w:w="2514" w:type="dxa"/>
            <w:vAlign w:val="center"/>
          </w:tcPr>
          <w:p>
            <w:pPr>
              <w:pStyle w:val="7"/>
              <w:spacing w:line="360" w:lineRule="auto"/>
              <w:ind w:firstLine="480"/>
              <w:jc w:val="center"/>
              <w:rPr>
                <w:rFonts w:ascii="宋体" w:hAnsi="宋体" w:cs="宋体"/>
              </w:rPr>
            </w:pPr>
          </w:p>
        </w:tc>
        <w:tc>
          <w:tcPr>
            <w:tcW w:w="2266" w:type="dxa"/>
            <w:vAlign w:val="center"/>
          </w:tcPr>
          <w:p>
            <w:pPr>
              <w:pStyle w:val="7"/>
              <w:spacing w:line="360" w:lineRule="auto"/>
              <w:ind w:firstLine="480"/>
              <w:jc w:val="center"/>
              <w:rPr>
                <w:rFonts w:ascii="宋体" w:hAnsi="宋体" w:cs="宋体"/>
              </w:rPr>
            </w:pPr>
          </w:p>
        </w:tc>
        <w:tc>
          <w:tcPr>
            <w:tcW w:w="2966" w:type="dxa"/>
            <w:vAlign w:val="center"/>
          </w:tcPr>
          <w:p>
            <w:pPr>
              <w:pStyle w:val="7"/>
              <w:spacing w:line="360" w:lineRule="auto"/>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480"/>
              <w:jc w:val="center"/>
              <w:rPr>
                <w:rFonts w:ascii="宋体" w:hAnsi="宋体" w:cs="宋体"/>
              </w:rPr>
            </w:pPr>
          </w:p>
        </w:tc>
        <w:tc>
          <w:tcPr>
            <w:tcW w:w="2514" w:type="dxa"/>
            <w:vAlign w:val="center"/>
          </w:tcPr>
          <w:p>
            <w:pPr>
              <w:pStyle w:val="7"/>
              <w:spacing w:line="360" w:lineRule="auto"/>
              <w:ind w:firstLine="480"/>
              <w:jc w:val="center"/>
              <w:rPr>
                <w:rFonts w:ascii="宋体" w:hAnsi="宋体" w:cs="宋体"/>
              </w:rPr>
            </w:pPr>
          </w:p>
        </w:tc>
        <w:tc>
          <w:tcPr>
            <w:tcW w:w="2266" w:type="dxa"/>
            <w:vAlign w:val="center"/>
          </w:tcPr>
          <w:p>
            <w:pPr>
              <w:pStyle w:val="7"/>
              <w:spacing w:line="360" w:lineRule="auto"/>
              <w:ind w:firstLine="480"/>
              <w:jc w:val="center"/>
              <w:rPr>
                <w:rFonts w:ascii="宋体" w:hAnsi="宋体" w:cs="宋体"/>
              </w:rPr>
            </w:pPr>
          </w:p>
        </w:tc>
        <w:tc>
          <w:tcPr>
            <w:tcW w:w="2966" w:type="dxa"/>
            <w:vAlign w:val="center"/>
          </w:tcPr>
          <w:p>
            <w:pPr>
              <w:pStyle w:val="7"/>
              <w:spacing w:line="360" w:lineRule="auto"/>
              <w:ind w:firstLine="480"/>
              <w:jc w:val="center"/>
              <w:rPr>
                <w:rFonts w:ascii="宋体" w:hAnsi="宋体" w:cs="宋体"/>
              </w:rPr>
            </w:pPr>
          </w:p>
        </w:tc>
      </w:tr>
    </w:tbl>
    <w:p>
      <w:pPr>
        <w:spacing w:line="360" w:lineRule="auto"/>
        <w:jc w:val="center"/>
        <w:rPr>
          <w:rFonts w:ascii="宋体" w:hAnsi="宋体"/>
          <w:bCs/>
          <w:szCs w:val="28"/>
        </w:rPr>
      </w:pPr>
    </w:p>
    <w:p>
      <w:pPr>
        <w:pStyle w:val="5"/>
        <w:tabs>
          <w:tab w:val="left" w:pos="425"/>
        </w:tabs>
        <w:ind w:left="709" w:hanging="709"/>
        <w:rPr>
          <w:rFonts w:hint="default"/>
          <w:szCs w:val="32"/>
        </w:rPr>
      </w:pPr>
      <w:r>
        <w:rPr>
          <w:bCs/>
          <w:sz w:val="24"/>
          <w:szCs w:val="28"/>
        </w:rPr>
        <w:br w:type="page"/>
      </w:r>
      <w:bookmarkStart w:id="90" w:name="_Toc25344"/>
      <w:bookmarkStart w:id="91" w:name="_Toc23027"/>
      <w:bookmarkStart w:id="92" w:name="_Toc535422008"/>
      <w:r>
        <w:rPr>
          <w:lang w:val="zh-CN"/>
        </w:rPr>
        <w:t>格式12、</w:t>
      </w:r>
      <w:bookmarkStart w:id="93" w:name="_Toc487036155"/>
      <w:r>
        <w:rPr>
          <w:szCs w:val="32"/>
        </w:rPr>
        <w:t>竞争性磋商首次报价表</w:t>
      </w:r>
      <w:bookmarkEnd w:id="90"/>
      <w:bookmarkEnd w:id="91"/>
      <w:bookmarkEnd w:id="92"/>
      <w:bookmarkEnd w:id="93"/>
    </w:p>
    <w:p>
      <w:pPr>
        <w:rPr>
          <w:rFonts w:hAnsi="宋体"/>
          <w:b/>
          <w:sz w:val="32"/>
          <w:szCs w:val="32"/>
        </w:rPr>
      </w:pPr>
    </w:p>
    <w:p>
      <w:pPr>
        <w:pStyle w:val="2"/>
        <w:rPr>
          <w:lang w:val="zh-CN"/>
        </w:rPr>
      </w:pPr>
    </w:p>
    <w:p>
      <w:pPr>
        <w:spacing w:line="360" w:lineRule="auto"/>
        <w:jc w:val="center"/>
        <w:rPr>
          <w:rFonts w:ascii="宋体" w:hAnsi="宋体"/>
          <w:b/>
          <w:sz w:val="32"/>
          <w:szCs w:val="32"/>
        </w:rPr>
      </w:pPr>
      <w:r>
        <w:rPr>
          <w:rFonts w:hint="eastAsia" w:ascii="宋体" w:hAnsi="宋体"/>
          <w:b/>
          <w:sz w:val="32"/>
          <w:szCs w:val="32"/>
        </w:rPr>
        <w:t>竞争性磋商首次报价表</w:t>
      </w:r>
    </w:p>
    <w:p>
      <w:pPr>
        <w:spacing w:line="360" w:lineRule="auto"/>
        <w:rPr>
          <w:rFonts w:ascii="宋体" w:hAnsi="宋体" w:cs="宋体"/>
          <w:b/>
          <w:bCs/>
          <w:lang w:val="zh-CN"/>
        </w:rPr>
      </w:pPr>
      <w:r>
        <w:rPr>
          <w:rFonts w:hint="eastAsia" w:ascii="宋体" w:hAnsi="宋体" w:cs="宋体"/>
          <w:b/>
          <w:bCs/>
          <w:lang w:val="zh-CN"/>
        </w:rPr>
        <w:t>采购项目名称:  采购项目编号：</w:t>
      </w:r>
    </w:p>
    <w:p>
      <w:pPr>
        <w:spacing w:line="360" w:lineRule="auto"/>
        <w:jc w:val="right"/>
        <w:rPr>
          <w:rFonts w:ascii="宋体" w:hAnsi="宋体" w:cs="宋体"/>
          <w:bCs/>
          <w:lang w:val="zh-CN"/>
        </w:rPr>
      </w:pPr>
      <w:r>
        <w:rPr>
          <w:rFonts w:hint="eastAsia" w:ascii="宋体" w:hAnsi="宋体" w:cs="宋体"/>
          <w:bCs/>
          <w:lang w:val="zh-CN"/>
        </w:rPr>
        <w:t>单位：人民币（元）</w:t>
      </w:r>
    </w:p>
    <w:p>
      <w:pPr>
        <w:spacing w:line="360" w:lineRule="auto"/>
        <w:rPr>
          <w:rFonts w:ascii="宋体" w:hAnsi="宋体" w:cs="宋体"/>
          <w:b/>
          <w:bCs/>
          <w:lang w:val="zh-CN"/>
        </w:rPr>
      </w:pPr>
      <w:r>
        <w:rPr>
          <w:rFonts w:hint="eastAsia" w:ascii="宋体" w:hAnsi="宋体" w:cs="宋体"/>
          <w:b/>
          <w:bCs/>
          <w:lang w:val="zh-CN"/>
        </w:rPr>
        <w:t>磋商供应商名称：</w:t>
      </w:r>
    </w:p>
    <w:tbl>
      <w:tblPr>
        <w:tblStyle w:val="15"/>
        <w:tblW w:w="9968" w:type="dxa"/>
        <w:jc w:val="center"/>
        <w:tblInd w:w="0" w:type="dxa"/>
        <w:tblLayout w:type="fixed"/>
        <w:tblCellMar>
          <w:top w:w="0" w:type="dxa"/>
          <w:left w:w="108" w:type="dxa"/>
          <w:bottom w:w="0" w:type="dxa"/>
          <w:right w:w="108" w:type="dxa"/>
        </w:tblCellMar>
      </w:tblPr>
      <w:tblGrid>
        <w:gridCol w:w="2966"/>
        <w:gridCol w:w="3188"/>
        <w:gridCol w:w="2129"/>
        <w:gridCol w:w="1685"/>
      </w:tblGrid>
      <w:tr>
        <w:tblPrEx>
          <w:tblLayout w:type="fixed"/>
          <w:tblCellMar>
            <w:top w:w="0" w:type="dxa"/>
            <w:left w:w="108" w:type="dxa"/>
            <w:bottom w:w="0" w:type="dxa"/>
            <w:right w:w="108" w:type="dxa"/>
          </w:tblCellMar>
        </w:tblPrEx>
        <w:trPr>
          <w:trHeight w:val="699" w:hRule="atLeast"/>
          <w:jc w:val="center"/>
        </w:trPr>
        <w:tc>
          <w:tcPr>
            <w:tcW w:w="296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Arial" w:hAnsi="Arial" w:cs="Arial"/>
                <w:lang w:val="zh-CN"/>
              </w:rPr>
            </w:pPr>
            <w:r>
              <w:rPr>
                <w:rFonts w:ascii="Arial" w:hAnsi="Arial" w:cs="Arial"/>
                <w:bCs/>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482"/>
              <w:jc w:val="center"/>
              <w:rPr>
                <w:rFonts w:ascii="Arial" w:hAnsi="Arial" w:cs="Arial"/>
                <w:lang w:val="zh-CN"/>
              </w:rPr>
            </w:pPr>
            <w:r>
              <w:rPr>
                <w:rFonts w:hint="eastAsia" w:ascii="Arial" w:hAnsi="Arial" w:cs="Arial"/>
                <w:bCs/>
                <w:lang w:val="zh-CN"/>
              </w:rPr>
              <w:t>磋商首次</w:t>
            </w:r>
            <w:r>
              <w:rPr>
                <w:rFonts w:ascii="Arial" w:hAnsi="Arial" w:cs="Arial"/>
                <w:bCs/>
                <w:lang w:val="zh-CN"/>
              </w:rPr>
              <w:t>报价</w:t>
            </w:r>
          </w:p>
        </w:tc>
        <w:tc>
          <w:tcPr>
            <w:tcW w:w="21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Arial" w:hAnsi="Arial" w:cs="Arial"/>
                <w:bCs/>
                <w:lang w:val="zh-CN"/>
              </w:rPr>
            </w:pPr>
            <w:r>
              <w:rPr>
                <w:rFonts w:hint="eastAsia" w:ascii="Arial" w:hAnsi="Arial" w:cs="Arial"/>
                <w:bCs/>
                <w:lang w:val="zh-CN"/>
              </w:rPr>
              <w:t>服务</w:t>
            </w:r>
            <w:r>
              <w:rPr>
                <w:rFonts w:ascii="Arial" w:hAnsi="Arial" w:cs="Arial"/>
                <w:bCs/>
                <w:lang w:val="zh-CN"/>
              </w:rPr>
              <w:t>期</w:t>
            </w:r>
          </w:p>
          <w:p>
            <w:pPr>
              <w:spacing w:line="360" w:lineRule="auto"/>
              <w:jc w:val="center"/>
              <w:rPr>
                <w:rFonts w:ascii="Arial" w:hAnsi="Arial" w:cs="Arial"/>
                <w:lang w:val="zh-CN"/>
              </w:rPr>
            </w:pPr>
          </w:p>
        </w:tc>
        <w:tc>
          <w:tcPr>
            <w:tcW w:w="16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Arial" w:hAnsi="Arial" w:cs="Arial"/>
                <w:lang w:val="zh-CN"/>
              </w:rPr>
            </w:pPr>
            <w:r>
              <w:rPr>
                <w:rFonts w:ascii="Arial" w:hAnsi="Arial" w:cs="Arial"/>
                <w:bCs/>
                <w:lang w:val="zh-CN"/>
              </w:rPr>
              <w:t>备注</w:t>
            </w:r>
          </w:p>
        </w:tc>
      </w:tr>
      <w:tr>
        <w:tblPrEx>
          <w:tblLayout w:type="fixed"/>
          <w:tblCellMar>
            <w:top w:w="0" w:type="dxa"/>
            <w:left w:w="108" w:type="dxa"/>
            <w:bottom w:w="0" w:type="dxa"/>
            <w:right w:w="108" w:type="dxa"/>
          </w:tblCellMar>
        </w:tblPrEx>
        <w:trPr>
          <w:trHeight w:val="555" w:hRule="atLeast"/>
          <w:jc w:val="center"/>
        </w:trPr>
        <w:tc>
          <w:tcPr>
            <w:tcW w:w="2966" w:type="dxa"/>
            <w:vMerge w:val="restart"/>
            <w:tcBorders>
              <w:top w:val="single" w:color="000000" w:sz="6" w:space="0"/>
              <w:left w:val="single" w:color="000000" w:sz="6" w:space="0"/>
              <w:right w:val="single" w:color="000000" w:sz="6" w:space="0"/>
            </w:tcBorders>
            <w:shd w:val="clear" w:color="000000" w:fill="FFFFFF"/>
            <w:vAlign w:val="center"/>
          </w:tcPr>
          <w:p>
            <w:pPr>
              <w:spacing w:line="360" w:lineRule="auto"/>
              <w:jc w:val="center"/>
              <w:rPr>
                <w:rFonts w:ascii="Arial" w:hAnsi="Arial" w:cs="Arial"/>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Arial" w:hAnsi="Arial" w:cs="Arial"/>
                <w:lang w:val="zh-CN"/>
              </w:rPr>
            </w:pPr>
            <w:r>
              <w:rPr>
                <w:rFonts w:ascii="Arial" w:hAnsi="Arial" w:cs="Arial"/>
                <w:bCs/>
                <w:lang w:val="zh-CN"/>
              </w:rPr>
              <w:t>大写：</w:t>
            </w:r>
          </w:p>
        </w:tc>
        <w:tc>
          <w:tcPr>
            <w:tcW w:w="2129" w:type="dxa"/>
            <w:vMerge w:val="restart"/>
            <w:tcBorders>
              <w:top w:val="single" w:color="000000" w:sz="6" w:space="0"/>
              <w:left w:val="single" w:color="000000" w:sz="6" w:space="0"/>
              <w:right w:val="single" w:color="000000" w:sz="6" w:space="0"/>
            </w:tcBorders>
            <w:shd w:val="clear" w:color="000000" w:fill="FFFFFF"/>
            <w:vAlign w:val="center"/>
          </w:tcPr>
          <w:p>
            <w:pPr>
              <w:spacing w:line="360" w:lineRule="auto"/>
              <w:ind w:firstLine="197"/>
              <w:jc w:val="center"/>
              <w:rPr>
                <w:rFonts w:ascii="Arial" w:hAnsi="Arial" w:cs="Arial"/>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Arial" w:hAnsi="Arial" w:cs="Arial"/>
                <w:lang w:val="zh-CN"/>
              </w:rPr>
            </w:pPr>
          </w:p>
        </w:tc>
      </w:tr>
      <w:tr>
        <w:tblPrEx>
          <w:tblLayout w:type="fixed"/>
          <w:tblCellMar>
            <w:top w:w="0" w:type="dxa"/>
            <w:left w:w="108" w:type="dxa"/>
            <w:bottom w:w="0" w:type="dxa"/>
            <w:right w:w="108" w:type="dxa"/>
          </w:tblCellMar>
        </w:tblPrEx>
        <w:trPr>
          <w:trHeight w:val="577" w:hRule="atLeast"/>
          <w:jc w:val="center"/>
        </w:trPr>
        <w:tc>
          <w:tcPr>
            <w:tcW w:w="2966" w:type="dxa"/>
            <w:vMerge w:val="continue"/>
            <w:tcBorders>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Arial" w:hAnsi="Arial" w:cs="Arial"/>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Arial" w:hAnsi="Arial" w:cs="Arial"/>
                <w:lang w:val="zh-CN"/>
              </w:rPr>
            </w:pPr>
            <w:r>
              <w:rPr>
                <w:rFonts w:ascii="Arial" w:hAnsi="Arial" w:cs="Arial"/>
                <w:bCs/>
                <w:lang w:val="zh-CN"/>
              </w:rPr>
              <w:t>小写：</w:t>
            </w:r>
          </w:p>
        </w:tc>
        <w:tc>
          <w:tcPr>
            <w:tcW w:w="2129" w:type="dxa"/>
            <w:vMerge w:val="continue"/>
            <w:tcBorders>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Arial" w:hAnsi="Arial" w:cs="Arial"/>
                <w:lang w:val="zh-CN"/>
              </w:rPr>
            </w:pPr>
          </w:p>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Arial" w:hAnsi="Arial" w:cs="Arial"/>
                <w:lang w:val="zh-CN"/>
              </w:rPr>
            </w:pPr>
          </w:p>
        </w:tc>
      </w:tr>
      <w:tr>
        <w:tblPrEx>
          <w:tblLayout w:type="fixed"/>
          <w:tblCellMar>
            <w:top w:w="0" w:type="dxa"/>
            <w:left w:w="108" w:type="dxa"/>
            <w:bottom w:w="0" w:type="dxa"/>
            <w:right w:w="108" w:type="dxa"/>
          </w:tblCellMar>
        </w:tblPrEx>
        <w:trPr>
          <w:trHeight w:val="1283" w:hRule="atLeast"/>
          <w:jc w:val="center"/>
        </w:trPr>
        <w:tc>
          <w:tcPr>
            <w:tcW w:w="9968" w:type="dxa"/>
            <w:gridSpan w:val="4"/>
            <w:tcBorders>
              <w:top w:val="single" w:color="000000" w:sz="6" w:space="0"/>
              <w:left w:val="single" w:color="000000" w:sz="6" w:space="0"/>
              <w:bottom w:val="single" w:color="000000" w:sz="6" w:space="0"/>
              <w:right w:val="single" w:color="000000" w:sz="6" w:space="0"/>
            </w:tcBorders>
            <w:shd w:val="clear" w:color="000000" w:fill="FFFFFF"/>
          </w:tcPr>
          <w:p>
            <w:pPr>
              <w:spacing w:line="360" w:lineRule="auto"/>
              <w:rPr>
                <w:rFonts w:ascii="Arial" w:hAnsi="Arial" w:cs="Arial"/>
                <w:lang w:val="zh-CN"/>
              </w:rPr>
            </w:pPr>
            <w:r>
              <w:rPr>
                <w:rFonts w:ascii="Arial" w:hAnsi="Arial" w:cs="Arial"/>
                <w:bCs/>
                <w:lang w:val="zh-CN"/>
              </w:rPr>
              <w:t>优惠承诺及其他：</w:t>
            </w:r>
          </w:p>
        </w:tc>
      </w:tr>
    </w:tbl>
    <w:p>
      <w:pPr>
        <w:spacing w:line="360" w:lineRule="auto"/>
        <w:rPr>
          <w:rFonts w:ascii="宋体" w:hAnsi="宋体" w:cs="宋体"/>
          <w:b/>
          <w:szCs w:val="21"/>
          <w:lang w:val="zh-CN"/>
        </w:rPr>
      </w:pPr>
      <w:r>
        <w:rPr>
          <w:rFonts w:hint="eastAsia" w:ascii="宋体" w:hAnsi="宋体" w:cs="宋体"/>
          <w:b/>
          <w:bCs/>
          <w:szCs w:val="21"/>
          <w:lang w:val="zh-CN"/>
        </w:rPr>
        <w:t>注：</w:t>
      </w:r>
      <w:r>
        <w:rPr>
          <w:rFonts w:hint="eastAsia" w:ascii="宋体" w:hAnsi="宋体" w:cs="宋体"/>
          <w:b/>
          <w:szCs w:val="21"/>
          <w:lang w:val="zh-CN"/>
        </w:rPr>
        <w:t>1、填写此表时不得改变表格形式（可按所投包增加行）。</w:t>
      </w:r>
    </w:p>
    <w:p>
      <w:pPr>
        <w:spacing w:line="360" w:lineRule="auto"/>
        <w:ind w:firstLine="465" w:firstLineChars="193"/>
        <w:rPr>
          <w:rFonts w:ascii="宋体" w:hAnsi="宋体" w:cs="宋体"/>
          <w:b/>
          <w:szCs w:val="21"/>
          <w:lang w:val="zh-CN"/>
        </w:rPr>
      </w:pPr>
      <w:r>
        <w:rPr>
          <w:rFonts w:hint="eastAsia" w:ascii="宋体" w:hAnsi="宋体" w:cs="宋体"/>
          <w:b/>
          <w:szCs w:val="21"/>
          <w:lang w:val="zh-CN"/>
        </w:rPr>
        <w:t>2、“磋商报价”为磋商总价。磋商报价必须包括：完成本服务内容可能发生的各项费用，如人员工资、交通、通讯、设备、利润、税收、招标代理费以及所有有关的管理成本和其他不可预见费等全部费用。</w:t>
      </w:r>
    </w:p>
    <w:p>
      <w:pPr>
        <w:spacing w:line="360" w:lineRule="auto"/>
        <w:ind w:firstLine="465" w:firstLineChars="193"/>
        <w:rPr>
          <w:rFonts w:ascii="宋体" w:hAnsi="宋体" w:cs="宋体"/>
          <w:b/>
          <w:bCs/>
          <w:szCs w:val="21"/>
          <w:lang w:val="zh-CN"/>
        </w:rPr>
      </w:pPr>
      <w:r>
        <w:rPr>
          <w:rFonts w:hint="eastAsia" w:ascii="宋体" w:hAnsi="宋体" w:cs="宋体"/>
          <w:b/>
          <w:szCs w:val="21"/>
          <w:lang w:val="zh-CN"/>
        </w:rPr>
        <w:t>3、“服务期”是指服务能够交付使用的具体时间。</w:t>
      </w:r>
    </w:p>
    <w:p>
      <w:pPr>
        <w:spacing w:line="360" w:lineRule="auto"/>
        <w:ind w:firstLine="465" w:firstLineChars="193"/>
        <w:rPr>
          <w:rFonts w:ascii="宋体" w:hAnsi="宋体" w:cs="宋体"/>
          <w:b/>
          <w:bCs/>
          <w:szCs w:val="21"/>
          <w:lang w:val="zh-CN"/>
        </w:rPr>
      </w:pPr>
      <w:r>
        <w:rPr>
          <w:rFonts w:hint="eastAsia" w:ascii="宋体" w:hAnsi="宋体" w:cs="宋体"/>
          <w:b/>
          <w:szCs w:val="21"/>
          <w:lang w:val="zh-CN"/>
        </w:rPr>
        <w:t>4、磋商报价不能有两个或两个以上的报价方案。</w:t>
      </w:r>
    </w:p>
    <w:p>
      <w:pPr>
        <w:spacing w:line="360" w:lineRule="auto"/>
        <w:ind w:firstLine="388" w:firstLineChars="193"/>
        <w:rPr>
          <w:rFonts w:ascii="宋体" w:hAnsi="宋体" w:cs="宋体"/>
          <w:b/>
          <w:bCs/>
          <w:sz w:val="20"/>
          <w:lang w:val="zh-CN"/>
        </w:rPr>
      </w:pPr>
    </w:p>
    <w:p>
      <w:pPr>
        <w:spacing w:line="360" w:lineRule="auto"/>
        <w:ind w:firstLine="388" w:firstLineChars="193"/>
        <w:rPr>
          <w:rFonts w:ascii="宋体" w:hAnsi="宋体" w:cs="宋体"/>
          <w:b/>
          <w:bCs/>
          <w:sz w:val="20"/>
          <w:lang w:val="zh-CN"/>
        </w:rPr>
      </w:pPr>
    </w:p>
    <w:p>
      <w:pPr>
        <w:spacing w:line="360" w:lineRule="auto"/>
        <w:ind w:firstLine="388" w:firstLineChars="193"/>
        <w:rPr>
          <w:rFonts w:ascii="宋体" w:hAnsi="宋体" w:cs="宋体"/>
          <w:b/>
          <w:bCs/>
          <w:sz w:val="20"/>
          <w:lang w:val="zh-CN"/>
        </w:rPr>
      </w:pPr>
    </w:p>
    <w:p>
      <w:pPr>
        <w:spacing w:line="360" w:lineRule="auto"/>
        <w:ind w:firstLine="388" w:firstLineChars="193"/>
        <w:rPr>
          <w:rFonts w:ascii="宋体" w:hAnsi="宋体" w:cs="宋体"/>
          <w:b/>
          <w:bCs/>
          <w:sz w:val="20"/>
          <w:szCs w:val="22"/>
          <w:lang w:val="zh-CN"/>
        </w:rPr>
      </w:pPr>
    </w:p>
    <w:p>
      <w:pPr>
        <w:tabs>
          <w:tab w:val="left" w:pos="168"/>
        </w:tabs>
        <w:spacing w:line="360" w:lineRule="auto"/>
        <w:jc w:val="right"/>
        <w:textAlignment w:val="baseline"/>
        <w:rPr>
          <w:rFonts w:ascii="宋体" w:hAnsi="宋体"/>
          <w:bCs/>
          <w:szCs w:val="28"/>
        </w:rPr>
      </w:pPr>
      <w:r>
        <w:rPr>
          <w:rFonts w:hint="eastAsia" w:ascii="宋体" w:hAnsi="宋体"/>
          <w:bCs/>
          <w:szCs w:val="28"/>
        </w:rPr>
        <w:t>磋商供应商：          （公章）</w:t>
      </w:r>
    </w:p>
    <w:p>
      <w:pPr>
        <w:tabs>
          <w:tab w:val="left" w:pos="168"/>
        </w:tabs>
        <w:spacing w:line="360" w:lineRule="auto"/>
        <w:jc w:val="right"/>
        <w:textAlignment w:val="baseline"/>
        <w:rPr>
          <w:rFonts w:ascii="宋体" w:hAnsi="宋体"/>
          <w:bCs/>
          <w:szCs w:val="28"/>
        </w:rPr>
      </w:pPr>
      <w:r>
        <w:rPr>
          <w:rFonts w:hint="eastAsia" w:ascii="宋体" w:hAnsi="宋体"/>
          <w:bCs/>
          <w:szCs w:val="28"/>
        </w:rPr>
        <w:t>委托代理人：                （签字）</w:t>
      </w:r>
    </w:p>
    <w:p>
      <w:pPr>
        <w:tabs>
          <w:tab w:val="left" w:pos="168"/>
        </w:tabs>
        <w:spacing w:line="360" w:lineRule="auto"/>
        <w:jc w:val="center"/>
        <w:textAlignment w:val="baseline"/>
        <w:rPr>
          <w:rFonts w:ascii="宋体" w:hAnsi="宋体"/>
          <w:bCs/>
          <w:szCs w:val="28"/>
        </w:rPr>
      </w:pPr>
      <w:r>
        <w:rPr>
          <w:rFonts w:hint="eastAsia" w:ascii="宋体" w:hAnsi="宋体"/>
          <w:bCs/>
          <w:szCs w:val="28"/>
        </w:rPr>
        <w:t xml:space="preserve">                             日期：    年   月   日</w:t>
      </w:r>
    </w:p>
    <w:p>
      <w:pPr>
        <w:pStyle w:val="5"/>
        <w:tabs>
          <w:tab w:val="left" w:pos="425"/>
        </w:tabs>
        <w:ind w:left="709" w:hanging="709"/>
        <w:rPr>
          <w:rFonts w:hint="default"/>
          <w:lang w:val="zh-CN"/>
        </w:rPr>
      </w:pPr>
      <w:r>
        <w:rPr>
          <w:bCs/>
          <w:sz w:val="24"/>
          <w:szCs w:val="28"/>
        </w:rPr>
        <w:br w:type="page"/>
      </w:r>
      <w:bookmarkStart w:id="94" w:name="_Toc535422009"/>
      <w:bookmarkStart w:id="95" w:name="_Toc11092"/>
      <w:bookmarkStart w:id="96" w:name="_Toc23869"/>
      <w:r>
        <w:rPr>
          <w:lang w:val="zh-CN"/>
        </w:rPr>
        <w:t>格式13、分项报价表</w:t>
      </w:r>
      <w:bookmarkEnd w:id="94"/>
      <w:bookmarkEnd w:id="95"/>
      <w:bookmarkEnd w:id="96"/>
    </w:p>
    <w:p>
      <w:pPr>
        <w:spacing w:line="360" w:lineRule="auto"/>
        <w:jc w:val="center"/>
        <w:rPr>
          <w:rFonts w:ascii="宋体" w:hAnsi="宋体" w:cs="宋体"/>
          <w:b/>
          <w:bCs/>
          <w:sz w:val="32"/>
          <w:szCs w:val="30"/>
          <w:lang w:val="zh-CN"/>
        </w:rPr>
      </w:pPr>
      <w:r>
        <w:rPr>
          <w:rFonts w:hint="eastAsia" w:ascii="宋体" w:hAnsi="宋体" w:cs="宋体"/>
          <w:b/>
          <w:bCs/>
          <w:sz w:val="32"/>
          <w:szCs w:val="30"/>
          <w:lang w:val="zh-CN"/>
        </w:rPr>
        <w:t>分项报价表</w:t>
      </w:r>
    </w:p>
    <w:p>
      <w:pPr>
        <w:spacing w:line="360" w:lineRule="auto"/>
        <w:rPr>
          <w:rFonts w:ascii="宋体" w:hAnsi="宋体" w:cs="宋体"/>
          <w:b/>
          <w:bCs/>
          <w:lang w:val="zh-CN"/>
        </w:rPr>
      </w:pPr>
      <w:r>
        <w:rPr>
          <w:rFonts w:hint="eastAsia" w:ascii="宋体" w:hAnsi="宋体" w:cs="宋体"/>
          <w:b/>
          <w:bCs/>
          <w:lang w:val="zh-CN"/>
        </w:rPr>
        <w:t>采购项目名称:  采购项目编号：</w:t>
      </w:r>
    </w:p>
    <w:p>
      <w:pPr>
        <w:spacing w:line="360" w:lineRule="auto"/>
        <w:jc w:val="right"/>
        <w:rPr>
          <w:rFonts w:ascii="宋体" w:hAnsi="宋体"/>
          <w:lang w:val="zh-CN"/>
        </w:rPr>
      </w:pPr>
      <w:r>
        <w:rPr>
          <w:rFonts w:ascii="宋体" w:hAnsi="宋体" w:cs="宋体"/>
          <w:bCs/>
          <w:lang w:val="zh-CN"/>
        </w:rPr>
        <w:t>单位</w:t>
      </w:r>
      <w:r>
        <w:rPr>
          <w:rFonts w:hint="eastAsia" w:ascii="宋体" w:hAnsi="宋体" w:cs="宋体"/>
          <w:bCs/>
          <w:lang w:val="zh-CN"/>
        </w:rPr>
        <w:t>：</w:t>
      </w:r>
      <w:r>
        <w:rPr>
          <w:rFonts w:ascii="宋体" w:hAnsi="宋体" w:cs="宋体"/>
          <w:bCs/>
          <w:lang w:val="zh-CN"/>
        </w:rPr>
        <w:t>人民币</w:t>
      </w:r>
      <w:r>
        <w:rPr>
          <w:rFonts w:hint="eastAsia" w:ascii="宋体" w:hAnsi="宋体" w:cs="宋体"/>
          <w:bCs/>
          <w:lang w:val="zh-CN"/>
        </w:rPr>
        <w:t>（</w:t>
      </w:r>
      <w:r>
        <w:rPr>
          <w:rFonts w:ascii="宋体" w:hAnsi="宋体" w:cs="宋体"/>
          <w:bCs/>
          <w:lang w:val="zh-CN"/>
        </w:rPr>
        <w:t>元</w:t>
      </w:r>
      <w:r>
        <w:rPr>
          <w:rFonts w:hint="eastAsia" w:ascii="宋体" w:hAnsi="宋体" w:cs="宋体"/>
          <w:bCs/>
          <w:lang w:val="zh-CN"/>
        </w:rPr>
        <w:t>）</w:t>
      </w:r>
    </w:p>
    <w:tbl>
      <w:tblPr>
        <w:tblStyle w:val="15"/>
        <w:tblW w:w="10036" w:type="dxa"/>
        <w:jc w:val="center"/>
        <w:tblInd w:w="0" w:type="dxa"/>
        <w:tblLayout w:type="fixed"/>
        <w:tblCellMar>
          <w:top w:w="0" w:type="dxa"/>
          <w:left w:w="108" w:type="dxa"/>
          <w:bottom w:w="0" w:type="dxa"/>
          <w:right w:w="108" w:type="dxa"/>
        </w:tblCellMar>
      </w:tblPr>
      <w:tblGrid>
        <w:gridCol w:w="826"/>
        <w:gridCol w:w="1403"/>
        <w:gridCol w:w="14"/>
        <w:gridCol w:w="1416"/>
        <w:gridCol w:w="1417"/>
        <w:gridCol w:w="1983"/>
        <w:gridCol w:w="1275"/>
        <w:gridCol w:w="1702"/>
      </w:tblGrid>
      <w:tr>
        <w:tblPrEx>
          <w:tblLayout w:type="fixed"/>
          <w:tblCellMar>
            <w:top w:w="0" w:type="dxa"/>
            <w:left w:w="108" w:type="dxa"/>
            <w:bottom w:w="0" w:type="dxa"/>
            <w:right w:w="108" w:type="dxa"/>
          </w:tblCellMar>
        </w:tblPrEx>
        <w:trPr>
          <w:trHeight w:val="870" w:hRule="atLeast"/>
          <w:jc w:val="center"/>
        </w:trPr>
        <w:tc>
          <w:tcPr>
            <w:tcW w:w="826"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Arial" w:hAnsi="Arial" w:cs="Arial"/>
                <w:bCs/>
                <w:lang w:val="zh-CN"/>
              </w:rPr>
            </w:pPr>
            <w:r>
              <w:rPr>
                <w:rFonts w:hint="eastAsia" w:ascii="Arial" w:hAnsi="Arial" w:cs="Arial"/>
                <w:bCs/>
                <w:lang w:val="zh-CN"/>
              </w:rPr>
              <w:t>序号</w:t>
            </w:r>
          </w:p>
        </w:tc>
        <w:tc>
          <w:tcPr>
            <w:tcW w:w="1403" w:type="dxa"/>
            <w:tcBorders>
              <w:top w:val="single" w:color="auto" w:sz="8" w:space="0"/>
              <w:left w:val="nil"/>
              <w:bottom w:val="single" w:color="auto" w:sz="8" w:space="0"/>
              <w:right w:val="single" w:color="auto" w:sz="8" w:space="0"/>
            </w:tcBorders>
            <w:vAlign w:val="center"/>
          </w:tcPr>
          <w:p>
            <w:pPr>
              <w:spacing w:line="360" w:lineRule="auto"/>
              <w:jc w:val="center"/>
              <w:rPr>
                <w:rFonts w:ascii="Arial" w:hAnsi="Arial" w:cs="Arial"/>
                <w:bCs/>
                <w:lang w:val="zh-CN"/>
              </w:rPr>
            </w:pPr>
            <w:r>
              <w:rPr>
                <w:rFonts w:hint="eastAsia" w:ascii="Arial" w:hAnsi="Arial" w:cs="Arial"/>
                <w:bCs/>
                <w:lang w:val="zh-CN"/>
              </w:rPr>
              <w:t>服务名称</w:t>
            </w:r>
          </w:p>
        </w:tc>
        <w:tc>
          <w:tcPr>
            <w:tcW w:w="1430" w:type="dxa"/>
            <w:gridSpan w:val="2"/>
            <w:tcBorders>
              <w:top w:val="single" w:color="auto" w:sz="8" w:space="0"/>
              <w:left w:val="nil"/>
              <w:bottom w:val="single" w:color="auto" w:sz="8" w:space="0"/>
              <w:right w:val="single" w:color="auto" w:sz="8" w:space="0"/>
            </w:tcBorders>
            <w:vAlign w:val="center"/>
          </w:tcPr>
          <w:p>
            <w:pPr>
              <w:spacing w:line="360" w:lineRule="auto"/>
              <w:rPr>
                <w:rFonts w:ascii="Arial" w:hAnsi="Arial" w:cs="Arial"/>
                <w:bCs/>
                <w:lang w:val="zh-CN"/>
              </w:rPr>
            </w:pPr>
            <w:r>
              <w:rPr>
                <w:rFonts w:hint="eastAsia" w:ascii="Arial" w:hAnsi="Arial" w:cs="Arial"/>
                <w:bCs/>
                <w:lang w:val="zh-CN"/>
              </w:rPr>
              <w:t>服务内容</w:t>
            </w:r>
          </w:p>
        </w:tc>
        <w:tc>
          <w:tcPr>
            <w:tcW w:w="1417" w:type="dxa"/>
            <w:tcBorders>
              <w:top w:val="single" w:color="auto" w:sz="8" w:space="0"/>
              <w:left w:val="nil"/>
              <w:bottom w:val="single" w:color="auto" w:sz="8" w:space="0"/>
              <w:right w:val="single" w:color="auto" w:sz="8" w:space="0"/>
            </w:tcBorders>
            <w:vAlign w:val="center"/>
          </w:tcPr>
          <w:p>
            <w:pPr>
              <w:spacing w:line="360" w:lineRule="auto"/>
              <w:jc w:val="center"/>
              <w:rPr>
                <w:rFonts w:ascii="Arial" w:hAnsi="Arial" w:cs="Arial"/>
                <w:bCs/>
                <w:lang w:val="zh-CN"/>
              </w:rPr>
            </w:pPr>
            <w:r>
              <w:rPr>
                <w:rFonts w:hint="eastAsia" w:ascii="Arial" w:hAnsi="Arial" w:cs="Arial"/>
                <w:bCs/>
                <w:lang w:val="zh-CN"/>
              </w:rPr>
              <w:t>单价</w:t>
            </w:r>
          </w:p>
        </w:tc>
        <w:tc>
          <w:tcPr>
            <w:tcW w:w="1983" w:type="dxa"/>
            <w:tcBorders>
              <w:top w:val="single" w:color="auto" w:sz="8" w:space="0"/>
              <w:left w:val="nil"/>
              <w:bottom w:val="single" w:color="auto" w:sz="8" w:space="0"/>
              <w:right w:val="single" w:color="auto" w:sz="8" w:space="0"/>
            </w:tcBorders>
            <w:vAlign w:val="center"/>
          </w:tcPr>
          <w:p>
            <w:pPr>
              <w:spacing w:line="360" w:lineRule="auto"/>
              <w:jc w:val="center"/>
              <w:rPr>
                <w:rFonts w:ascii="Arial" w:hAnsi="Arial" w:cs="Arial"/>
                <w:bCs/>
                <w:lang w:val="zh-CN"/>
              </w:rPr>
            </w:pPr>
            <w:r>
              <w:rPr>
                <w:rFonts w:hint="eastAsia" w:ascii="Arial" w:hAnsi="Arial" w:cs="Arial"/>
                <w:bCs/>
                <w:lang w:val="zh-CN"/>
              </w:rPr>
              <w:t>数量及单位</w:t>
            </w:r>
          </w:p>
        </w:tc>
        <w:tc>
          <w:tcPr>
            <w:tcW w:w="1275" w:type="dxa"/>
            <w:tcBorders>
              <w:top w:val="single" w:color="auto" w:sz="8" w:space="0"/>
              <w:left w:val="nil"/>
              <w:bottom w:val="single" w:color="auto" w:sz="8" w:space="0"/>
              <w:right w:val="single" w:color="auto" w:sz="8" w:space="0"/>
            </w:tcBorders>
            <w:vAlign w:val="center"/>
          </w:tcPr>
          <w:p>
            <w:pPr>
              <w:spacing w:line="360" w:lineRule="auto"/>
              <w:jc w:val="center"/>
              <w:rPr>
                <w:rFonts w:ascii="Arial" w:hAnsi="Arial" w:cs="Arial"/>
                <w:bCs/>
                <w:lang w:val="zh-CN"/>
              </w:rPr>
            </w:pPr>
            <w:r>
              <w:rPr>
                <w:rFonts w:hint="eastAsia" w:ascii="Arial" w:hAnsi="Arial" w:cs="Arial"/>
                <w:bCs/>
                <w:lang w:val="zh-CN"/>
              </w:rPr>
              <w:t>合计</w:t>
            </w:r>
          </w:p>
        </w:tc>
        <w:tc>
          <w:tcPr>
            <w:tcW w:w="1702" w:type="dxa"/>
            <w:tcBorders>
              <w:top w:val="single" w:color="auto" w:sz="8" w:space="0"/>
              <w:left w:val="nil"/>
              <w:bottom w:val="single" w:color="auto" w:sz="8" w:space="0"/>
              <w:right w:val="single" w:color="auto" w:sz="8" w:space="0"/>
            </w:tcBorders>
            <w:vAlign w:val="center"/>
          </w:tcPr>
          <w:p>
            <w:pPr>
              <w:spacing w:line="360" w:lineRule="auto"/>
              <w:jc w:val="center"/>
              <w:rPr>
                <w:rFonts w:ascii="Arial" w:hAnsi="Arial" w:cs="Arial"/>
                <w:bCs/>
                <w:lang w:val="zh-CN"/>
              </w:rPr>
            </w:pPr>
            <w:r>
              <w:rPr>
                <w:rFonts w:hint="eastAsia" w:ascii="Arial" w:hAnsi="Arial" w:cs="Arial"/>
                <w:bCs/>
                <w:lang w:val="zh-CN"/>
              </w:rPr>
              <w:t>备注</w:t>
            </w:r>
          </w:p>
        </w:tc>
      </w:tr>
      <w:tr>
        <w:tblPrEx>
          <w:tblLayout w:type="fixed"/>
          <w:tblCellMar>
            <w:top w:w="0" w:type="dxa"/>
            <w:left w:w="108" w:type="dxa"/>
            <w:bottom w:w="0" w:type="dxa"/>
            <w:right w:w="108" w:type="dxa"/>
          </w:tblCellMar>
        </w:tblPrEx>
        <w:trPr>
          <w:trHeight w:val="462" w:hRule="atLeast"/>
          <w:jc w:val="center"/>
        </w:trPr>
        <w:tc>
          <w:tcPr>
            <w:tcW w:w="826" w:type="dxa"/>
            <w:tcBorders>
              <w:top w:val="nil"/>
              <w:left w:val="single" w:color="auto" w:sz="8" w:space="0"/>
              <w:bottom w:val="single" w:color="auto" w:sz="8" w:space="0"/>
              <w:right w:val="single" w:color="auto" w:sz="8" w:space="0"/>
            </w:tcBorders>
            <w:vAlign w:val="center"/>
          </w:tcPr>
          <w:p>
            <w:pPr>
              <w:spacing w:line="360" w:lineRule="auto"/>
              <w:jc w:val="center"/>
              <w:rPr>
                <w:rFonts w:ascii="Arial" w:hAnsi="Arial" w:cs="Arial"/>
                <w:bCs/>
                <w:lang w:val="zh-CN"/>
              </w:rPr>
            </w:pPr>
            <w:r>
              <w:rPr>
                <w:rFonts w:hint="eastAsia" w:ascii="Arial" w:hAnsi="Arial" w:cs="Arial"/>
                <w:bCs/>
                <w:lang w:val="zh-CN"/>
              </w:rPr>
              <w:t>1</w:t>
            </w:r>
          </w:p>
        </w:tc>
        <w:tc>
          <w:tcPr>
            <w:tcW w:w="1403" w:type="dxa"/>
            <w:tcBorders>
              <w:top w:val="nil"/>
              <w:left w:val="nil"/>
              <w:bottom w:val="single" w:color="auto" w:sz="8" w:space="0"/>
              <w:right w:val="single" w:color="auto" w:sz="8" w:space="0"/>
            </w:tcBorders>
            <w:vAlign w:val="center"/>
          </w:tcPr>
          <w:p>
            <w:pPr>
              <w:spacing w:line="360" w:lineRule="auto"/>
              <w:jc w:val="center"/>
              <w:rPr>
                <w:rFonts w:ascii="Arial" w:hAnsi="Arial" w:cs="Arial"/>
                <w:bCs/>
                <w:lang w:val="zh-CN"/>
              </w:rPr>
            </w:pPr>
          </w:p>
        </w:tc>
        <w:tc>
          <w:tcPr>
            <w:tcW w:w="1430" w:type="dxa"/>
            <w:gridSpan w:val="2"/>
            <w:tcBorders>
              <w:top w:val="nil"/>
              <w:left w:val="nil"/>
              <w:bottom w:val="single" w:color="auto" w:sz="8" w:space="0"/>
              <w:right w:val="single" w:color="auto" w:sz="8" w:space="0"/>
            </w:tcBorders>
            <w:vAlign w:val="center"/>
          </w:tcPr>
          <w:p>
            <w:pPr>
              <w:spacing w:line="360" w:lineRule="auto"/>
              <w:jc w:val="center"/>
              <w:rPr>
                <w:rFonts w:ascii="Arial" w:hAnsi="Arial" w:cs="Arial"/>
                <w:bCs/>
                <w:lang w:val="zh-CN"/>
              </w:rPr>
            </w:pPr>
          </w:p>
        </w:tc>
        <w:tc>
          <w:tcPr>
            <w:tcW w:w="1417" w:type="dxa"/>
            <w:tcBorders>
              <w:top w:val="nil"/>
              <w:left w:val="nil"/>
              <w:bottom w:val="single" w:color="auto" w:sz="8" w:space="0"/>
              <w:right w:val="single" w:color="auto" w:sz="8" w:space="0"/>
            </w:tcBorders>
            <w:vAlign w:val="center"/>
          </w:tcPr>
          <w:p>
            <w:pPr>
              <w:spacing w:line="360" w:lineRule="auto"/>
              <w:jc w:val="center"/>
              <w:rPr>
                <w:rFonts w:ascii="Arial" w:hAnsi="Arial" w:cs="Arial"/>
                <w:bCs/>
                <w:lang w:val="zh-CN"/>
              </w:rPr>
            </w:pPr>
          </w:p>
        </w:tc>
        <w:tc>
          <w:tcPr>
            <w:tcW w:w="1983" w:type="dxa"/>
            <w:tcBorders>
              <w:top w:val="nil"/>
              <w:left w:val="nil"/>
              <w:bottom w:val="single" w:color="auto" w:sz="8" w:space="0"/>
              <w:right w:val="single" w:color="auto" w:sz="8" w:space="0"/>
            </w:tcBorders>
            <w:vAlign w:val="center"/>
          </w:tcPr>
          <w:p>
            <w:pPr>
              <w:spacing w:line="360" w:lineRule="auto"/>
              <w:jc w:val="center"/>
              <w:rPr>
                <w:rFonts w:ascii="Arial" w:hAnsi="Arial" w:cs="Arial"/>
                <w:bCs/>
                <w:lang w:val="zh-CN"/>
              </w:rPr>
            </w:pPr>
          </w:p>
        </w:tc>
        <w:tc>
          <w:tcPr>
            <w:tcW w:w="1275" w:type="dxa"/>
            <w:tcBorders>
              <w:top w:val="nil"/>
              <w:left w:val="nil"/>
              <w:bottom w:val="single" w:color="auto" w:sz="8" w:space="0"/>
              <w:right w:val="single" w:color="auto" w:sz="8" w:space="0"/>
            </w:tcBorders>
            <w:vAlign w:val="center"/>
          </w:tcPr>
          <w:p>
            <w:pPr>
              <w:spacing w:line="360" w:lineRule="auto"/>
              <w:jc w:val="center"/>
              <w:rPr>
                <w:rFonts w:ascii="Arial" w:hAnsi="Arial" w:cs="Arial"/>
                <w:bCs/>
                <w:lang w:val="zh-CN"/>
              </w:rPr>
            </w:pPr>
          </w:p>
        </w:tc>
        <w:tc>
          <w:tcPr>
            <w:tcW w:w="1702" w:type="dxa"/>
            <w:tcBorders>
              <w:top w:val="nil"/>
              <w:left w:val="nil"/>
              <w:bottom w:val="single" w:color="auto" w:sz="8" w:space="0"/>
              <w:right w:val="single" w:color="auto" w:sz="8" w:space="0"/>
            </w:tcBorders>
            <w:vAlign w:val="center"/>
          </w:tcPr>
          <w:p>
            <w:pPr>
              <w:spacing w:line="360" w:lineRule="auto"/>
              <w:rPr>
                <w:rFonts w:ascii="Arial" w:hAnsi="Arial" w:cs="Arial"/>
                <w:bCs/>
                <w:lang w:val="zh-CN"/>
              </w:rPr>
            </w:pPr>
          </w:p>
        </w:tc>
      </w:tr>
      <w:tr>
        <w:tblPrEx>
          <w:tblLayout w:type="fixed"/>
          <w:tblCellMar>
            <w:top w:w="0" w:type="dxa"/>
            <w:left w:w="108" w:type="dxa"/>
            <w:bottom w:w="0" w:type="dxa"/>
            <w:right w:w="108" w:type="dxa"/>
          </w:tblCellMar>
        </w:tblPrEx>
        <w:trPr>
          <w:trHeight w:val="554" w:hRule="atLeast"/>
          <w:jc w:val="center"/>
        </w:trPr>
        <w:tc>
          <w:tcPr>
            <w:tcW w:w="826" w:type="dxa"/>
            <w:tcBorders>
              <w:top w:val="nil"/>
              <w:left w:val="single" w:color="auto" w:sz="8" w:space="0"/>
              <w:bottom w:val="single" w:color="auto" w:sz="8" w:space="0"/>
              <w:right w:val="single" w:color="auto" w:sz="8" w:space="0"/>
            </w:tcBorders>
            <w:vAlign w:val="center"/>
          </w:tcPr>
          <w:p>
            <w:pPr>
              <w:spacing w:line="360" w:lineRule="auto"/>
              <w:jc w:val="center"/>
              <w:rPr>
                <w:rFonts w:ascii="Arial" w:hAnsi="Arial" w:cs="Arial"/>
                <w:bCs/>
                <w:lang w:val="zh-CN"/>
              </w:rPr>
            </w:pPr>
            <w:r>
              <w:rPr>
                <w:rFonts w:hint="eastAsia" w:ascii="Arial" w:hAnsi="Arial" w:cs="Arial"/>
                <w:bCs/>
                <w:lang w:val="zh-CN"/>
              </w:rPr>
              <w:t>2</w:t>
            </w:r>
          </w:p>
        </w:tc>
        <w:tc>
          <w:tcPr>
            <w:tcW w:w="1403" w:type="dxa"/>
            <w:tcBorders>
              <w:top w:val="nil"/>
              <w:left w:val="nil"/>
              <w:bottom w:val="single" w:color="auto" w:sz="8" w:space="0"/>
              <w:right w:val="single" w:color="auto" w:sz="8" w:space="0"/>
            </w:tcBorders>
            <w:vAlign w:val="center"/>
          </w:tcPr>
          <w:p>
            <w:pPr>
              <w:spacing w:line="360" w:lineRule="auto"/>
              <w:jc w:val="center"/>
              <w:rPr>
                <w:rFonts w:ascii="Arial" w:hAnsi="Arial" w:cs="Arial"/>
                <w:bCs/>
                <w:lang w:val="zh-CN"/>
              </w:rPr>
            </w:pPr>
          </w:p>
        </w:tc>
        <w:tc>
          <w:tcPr>
            <w:tcW w:w="1430" w:type="dxa"/>
            <w:gridSpan w:val="2"/>
            <w:tcBorders>
              <w:top w:val="nil"/>
              <w:left w:val="nil"/>
              <w:bottom w:val="single" w:color="auto" w:sz="8" w:space="0"/>
              <w:right w:val="single" w:color="auto" w:sz="8" w:space="0"/>
            </w:tcBorders>
            <w:vAlign w:val="center"/>
          </w:tcPr>
          <w:p>
            <w:pPr>
              <w:spacing w:line="360" w:lineRule="auto"/>
              <w:jc w:val="center"/>
              <w:rPr>
                <w:rFonts w:ascii="Arial" w:hAnsi="Arial" w:cs="Arial"/>
                <w:bCs/>
                <w:lang w:val="zh-CN"/>
              </w:rPr>
            </w:pPr>
          </w:p>
        </w:tc>
        <w:tc>
          <w:tcPr>
            <w:tcW w:w="1417" w:type="dxa"/>
            <w:tcBorders>
              <w:top w:val="nil"/>
              <w:left w:val="nil"/>
              <w:bottom w:val="single" w:color="auto" w:sz="8" w:space="0"/>
              <w:right w:val="single" w:color="auto" w:sz="8" w:space="0"/>
            </w:tcBorders>
            <w:vAlign w:val="center"/>
          </w:tcPr>
          <w:p>
            <w:pPr>
              <w:spacing w:line="360" w:lineRule="auto"/>
              <w:jc w:val="center"/>
              <w:rPr>
                <w:rFonts w:ascii="Arial" w:hAnsi="Arial" w:cs="Arial"/>
                <w:bCs/>
                <w:lang w:val="zh-CN"/>
              </w:rPr>
            </w:pPr>
          </w:p>
        </w:tc>
        <w:tc>
          <w:tcPr>
            <w:tcW w:w="1983" w:type="dxa"/>
            <w:tcBorders>
              <w:top w:val="nil"/>
              <w:left w:val="nil"/>
              <w:bottom w:val="single" w:color="auto" w:sz="8" w:space="0"/>
              <w:right w:val="single" w:color="auto" w:sz="8" w:space="0"/>
            </w:tcBorders>
            <w:vAlign w:val="center"/>
          </w:tcPr>
          <w:p>
            <w:pPr>
              <w:spacing w:line="360" w:lineRule="auto"/>
              <w:jc w:val="center"/>
              <w:rPr>
                <w:rFonts w:ascii="Arial" w:hAnsi="Arial" w:cs="Arial"/>
                <w:bCs/>
                <w:lang w:val="zh-CN"/>
              </w:rPr>
            </w:pPr>
          </w:p>
        </w:tc>
        <w:tc>
          <w:tcPr>
            <w:tcW w:w="1275" w:type="dxa"/>
            <w:tcBorders>
              <w:top w:val="nil"/>
              <w:left w:val="nil"/>
              <w:bottom w:val="single" w:color="auto" w:sz="8" w:space="0"/>
              <w:right w:val="single" w:color="auto" w:sz="8" w:space="0"/>
            </w:tcBorders>
            <w:vAlign w:val="center"/>
          </w:tcPr>
          <w:p>
            <w:pPr>
              <w:spacing w:line="360" w:lineRule="auto"/>
              <w:jc w:val="center"/>
              <w:rPr>
                <w:rFonts w:ascii="Arial" w:hAnsi="Arial" w:cs="Arial"/>
                <w:bCs/>
                <w:lang w:val="zh-CN"/>
              </w:rPr>
            </w:pPr>
          </w:p>
        </w:tc>
        <w:tc>
          <w:tcPr>
            <w:tcW w:w="1702" w:type="dxa"/>
            <w:tcBorders>
              <w:top w:val="nil"/>
              <w:left w:val="nil"/>
              <w:bottom w:val="single" w:color="auto" w:sz="8" w:space="0"/>
              <w:right w:val="single" w:color="auto" w:sz="8" w:space="0"/>
            </w:tcBorders>
            <w:vAlign w:val="center"/>
          </w:tcPr>
          <w:p>
            <w:pPr>
              <w:spacing w:line="360" w:lineRule="auto"/>
              <w:rPr>
                <w:rFonts w:ascii="Arial" w:hAnsi="Arial" w:cs="Arial"/>
                <w:bCs/>
                <w:lang w:val="zh-CN"/>
              </w:rPr>
            </w:pPr>
          </w:p>
        </w:tc>
      </w:tr>
      <w:tr>
        <w:tblPrEx>
          <w:tblLayout w:type="fixed"/>
          <w:tblCellMar>
            <w:top w:w="0" w:type="dxa"/>
            <w:left w:w="108" w:type="dxa"/>
            <w:bottom w:w="0" w:type="dxa"/>
            <w:right w:w="108" w:type="dxa"/>
          </w:tblCellMar>
        </w:tblPrEx>
        <w:trPr>
          <w:trHeight w:val="534" w:hRule="atLeast"/>
          <w:jc w:val="center"/>
        </w:trPr>
        <w:tc>
          <w:tcPr>
            <w:tcW w:w="826" w:type="dxa"/>
            <w:tcBorders>
              <w:top w:val="nil"/>
              <w:left w:val="single" w:color="auto" w:sz="8" w:space="0"/>
              <w:bottom w:val="single" w:color="auto" w:sz="8" w:space="0"/>
              <w:right w:val="single" w:color="auto" w:sz="8" w:space="0"/>
            </w:tcBorders>
            <w:vAlign w:val="center"/>
          </w:tcPr>
          <w:p>
            <w:pPr>
              <w:spacing w:line="360" w:lineRule="auto"/>
              <w:jc w:val="center"/>
              <w:rPr>
                <w:rFonts w:ascii="Arial" w:hAnsi="Arial" w:cs="Arial"/>
                <w:bCs/>
                <w:lang w:val="zh-CN"/>
              </w:rPr>
            </w:pPr>
            <w:r>
              <w:rPr>
                <w:rFonts w:hint="eastAsia" w:ascii="Arial" w:hAnsi="Arial" w:cs="Arial"/>
                <w:bCs/>
                <w:lang w:val="zh-CN"/>
              </w:rPr>
              <w:t>3</w:t>
            </w:r>
          </w:p>
        </w:tc>
        <w:tc>
          <w:tcPr>
            <w:tcW w:w="1403" w:type="dxa"/>
            <w:tcBorders>
              <w:top w:val="nil"/>
              <w:left w:val="nil"/>
              <w:bottom w:val="single" w:color="auto" w:sz="8" w:space="0"/>
              <w:right w:val="single" w:color="auto" w:sz="8" w:space="0"/>
            </w:tcBorders>
            <w:vAlign w:val="center"/>
          </w:tcPr>
          <w:p>
            <w:pPr>
              <w:spacing w:line="360" w:lineRule="auto"/>
              <w:jc w:val="center"/>
              <w:rPr>
                <w:rFonts w:ascii="Arial" w:hAnsi="Arial" w:cs="Arial"/>
                <w:bCs/>
                <w:lang w:val="zh-CN"/>
              </w:rPr>
            </w:pPr>
          </w:p>
        </w:tc>
        <w:tc>
          <w:tcPr>
            <w:tcW w:w="1430" w:type="dxa"/>
            <w:gridSpan w:val="2"/>
            <w:tcBorders>
              <w:top w:val="nil"/>
              <w:left w:val="nil"/>
              <w:bottom w:val="single" w:color="auto" w:sz="8" w:space="0"/>
              <w:right w:val="single" w:color="auto" w:sz="8" w:space="0"/>
            </w:tcBorders>
            <w:vAlign w:val="center"/>
          </w:tcPr>
          <w:p>
            <w:pPr>
              <w:spacing w:line="360" w:lineRule="auto"/>
              <w:jc w:val="center"/>
              <w:rPr>
                <w:rFonts w:ascii="Arial" w:hAnsi="Arial" w:cs="Arial"/>
                <w:bCs/>
                <w:lang w:val="zh-CN"/>
              </w:rPr>
            </w:pPr>
          </w:p>
        </w:tc>
        <w:tc>
          <w:tcPr>
            <w:tcW w:w="1417" w:type="dxa"/>
            <w:tcBorders>
              <w:top w:val="nil"/>
              <w:left w:val="nil"/>
              <w:bottom w:val="single" w:color="auto" w:sz="8" w:space="0"/>
              <w:right w:val="single" w:color="auto" w:sz="8" w:space="0"/>
            </w:tcBorders>
            <w:vAlign w:val="center"/>
          </w:tcPr>
          <w:p>
            <w:pPr>
              <w:spacing w:line="360" w:lineRule="auto"/>
              <w:jc w:val="center"/>
              <w:rPr>
                <w:rFonts w:ascii="Arial" w:hAnsi="Arial" w:cs="Arial"/>
                <w:bCs/>
                <w:lang w:val="zh-CN"/>
              </w:rPr>
            </w:pPr>
          </w:p>
        </w:tc>
        <w:tc>
          <w:tcPr>
            <w:tcW w:w="1983" w:type="dxa"/>
            <w:tcBorders>
              <w:top w:val="nil"/>
              <w:left w:val="nil"/>
              <w:bottom w:val="single" w:color="auto" w:sz="8" w:space="0"/>
              <w:right w:val="single" w:color="auto" w:sz="8" w:space="0"/>
            </w:tcBorders>
            <w:vAlign w:val="center"/>
          </w:tcPr>
          <w:p>
            <w:pPr>
              <w:spacing w:line="360" w:lineRule="auto"/>
              <w:jc w:val="center"/>
              <w:rPr>
                <w:rFonts w:ascii="Arial" w:hAnsi="Arial" w:cs="Arial"/>
                <w:bCs/>
                <w:lang w:val="zh-CN"/>
              </w:rPr>
            </w:pPr>
          </w:p>
        </w:tc>
        <w:tc>
          <w:tcPr>
            <w:tcW w:w="1275" w:type="dxa"/>
            <w:tcBorders>
              <w:top w:val="nil"/>
              <w:left w:val="nil"/>
              <w:bottom w:val="single" w:color="auto" w:sz="8" w:space="0"/>
              <w:right w:val="single" w:color="auto" w:sz="8" w:space="0"/>
            </w:tcBorders>
            <w:vAlign w:val="center"/>
          </w:tcPr>
          <w:p>
            <w:pPr>
              <w:spacing w:line="360" w:lineRule="auto"/>
              <w:jc w:val="center"/>
              <w:rPr>
                <w:rFonts w:ascii="Arial" w:hAnsi="Arial" w:cs="Arial"/>
                <w:bCs/>
                <w:lang w:val="zh-CN"/>
              </w:rPr>
            </w:pPr>
          </w:p>
        </w:tc>
        <w:tc>
          <w:tcPr>
            <w:tcW w:w="1702" w:type="dxa"/>
            <w:tcBorders>
              <w:top w:val="nil"/>
              <w:left w:val="nil"/>
              <w:bottom w:val="single" w:color="auto" w:sz="8" w:space="0"/>
              <w:right w:val="single" w:color="auto" w:sz="8" w:space="0"/>
            </w:tcBorders>
            <w:vAlign w:val="center"/>
          </w:tcPr>
          <w:p>
            <w:pPr>
              <w:spacing w:line="360" w:lineRule="auto"/>
              <w:rPr>
                <w:rFonts w:ascii="Arial" w:hAnsi="Arial" w:cs="Arial"/>
                <w:bCs/>
                <w:lang w:val="zh-CN"/>
              </w:rPr>
            </w:pPr>
          </w:p>
        </w:tc>
      </w:tr>
      <w:tr>
        <w:tblPrEx>
          <w:tblLayout w:type="fixed"/>
          <w:tblCellMar>
            <w:top w:w="0" w:type="dxa"/>
            <w:left w:w="108" w:type="dxa"/>
            <w:bottom w:w="0" w:type="dxa"/>
            <w:right w:w="108" w:type="dxa"/>
          </w:tblCellMar>
        </w:tblPrEx>
        <w:trPr>
          <w:trHeight w:val="542" w:hRule="atLeast"/>
          <w:jc w:val="center"/>
        </w:trPr>
        <w:tc>
          <w:tcPr>
            <w:tcW w:w="826" w:type="dxa"/>
            <w:tcBorders>
              <w:top w:val="nil"/>
              <w:left w:val="single" w:color="auto" w:sz="8" w:space="0"/>
              <w:bottom w:val="single" w:color="auto" w:sz="8" w:space="0"/>
              <w:right w:val="single" w:color="auto" w:sz="8" w:space="0"/>
            </w:tcBorders>
            <w:vAlign w:val="center"/>
          </w:tcPr>
          <w:p>
            <w:pPr>
              <w:spacing w:line="360" w:lineRule="auto"/>
              <w:jc w:val="center"/>
              <w:rPr>
                <w:rFonts w:ascii="Arial" w:hAnsi="Arial" w:cs="Arial"/>
                <w:bCs/>
                <w:lang w:val="zh-CN"/>
              </w:rPr>
            </w:pPr>
            <w:r>
              <w:rPr>
                <w:rFonts w:hint="eastAsia" w:ascii="Arial" w:hAnsi="Arial" w:cs="Arial"/>
                <w:bCs/>
                <w:lang w:val="zh-CN"/>
              </w:rPr>
              <w:t>4</w:t>
            </w:r>
          </w:p>
        </w:tc>
        <w:tc>
          <w:tcPr>
            <w:tcW w:w="1403" w:type="dxa"/>
            <w:tcBorders>
              <w:top w:val="nil"/>
              <w:left w:val="nil"/>
              <w:bottom w:val="single" w:color="auto" w:sz="8" w:space="0"/>
              <w:right w:val="single" w:color="auto" w:sz="8" w:space="0"/>
            </w:tcBorders>
            <w:vAlign w:val="center"/>
          </w:tcPr>
          <w:p>
            <w:pPr>
              <w:spacing w:line="360" w:lineRule="auto"/>
              <w:jc w:val="center"/>
              <w:rPr>
                <w:rFonts w:ascii="Arial" w:hAnsi="Arial" w:cs="Arial"/>
                <w:bCs/>
                <w:lang w:val="zh-CN"/>
              </w:rPr>
            </w:pPr>
          </w:p>
        </w:tc>
        <w:tc>
          <w:tcPr>
            <w:tcW w:w="1430" w:type="dxa"/>
            <w:gridSpan w:val="2"/>
            <w:tcBorders>
              <w:top w:val="nil"/>
              <w:left w:val="nil"/>
              <w:bottom w:val="single" w:color="auto" w:sz="8" w:space="0"/>
              <w:right w:val="single" w:color="auto" w:sz="8" w:space="0"/>
            </w:tcBorders>
            <w:vAlign w:val="center"/>
          </w:tcPr>
          <w:p>
            <w:pPr>
              <w:spacing w:line="360" w:lineRule="auto"/>
              <w:jc w:val="center"/>
              <w:rPr>
                <w:rFonts w:ascii="Arial" w:hAnsi="Arial" w:cs="Arial"/>
                <w:bCs/>
                <w:lang w:val="zh-CN"/>
              </w:rPr>
            </w:pPr>
          </w:p>
        </w:tc>
        <w:tc>
          <w:tcPr>
            <w:tcW w:w="1417" w:type="dxa"/>
            <w:tcBorders>
              <w:top w:val="nil"/>
              <w:left w:val="nil"/>
              <w:bottom w:val="single" w:color="auto" w:sz="8" w:space="0"/>
              <w:right w:val="single" w:color="auto" w:sz="8" w:space="0"/>
            </w:tcBorders>
            <w:vAlign w:val="center"/>
          </w:tcPr>
          <w:p>
            <w:pPr>
              <w:spacing w:line="360" w:lineRule="auto"/>
              <w:jc w:val="center"/>
              <w:rPr>
                <w:rFonts w:ascii="Arial" w:hAnsi="Arial" w:cs="Arial"/>
                <w:bCs/>
                <w:lang w:val="zh-CN"/>
              </w:rPr>
            </w:pPr>
          </w:p>
        </w:tc>
        <w:tc>
          <w:tcPr>
            <w:tcW w:w="1983" w:type="dxa"/>
            <w:tcBorders>
              <w:top w:val="nil"/>
              <w:left w:val="nil"/>
              <w:bottom w:val="single" w:color="auto" w:sz="8" w:space="0"/>
              <w:right w:val="single" w:color="auto" w:sz="8" w:space="0"/>
            </w:tcBorders>
            <w:vAlign w:val="center"/>
          </w:tcPr>
          <w:p>
            <w:pPr>
              <w:spacing w:line="360" w:lineRule="auto"/>
              <w:jc w:val="center"/>
              <w:rPr>
                <w:rFonts w:ascii="Arial" w:hAnsi="Arial" w:cs="Arial"/>
                <w:bCs/>
                <w:lang w:val="zh-CN"/>
              </w:rPr>
            </w:pPr>
          </w:p>
        </w:tc>
        <w:tc>
          <w:tcPr>
            <w:tcW w:w="1275" w:type="dxa"/>
            <w:tcBorders>
              <w:top w:val="nil"/>
              <w:left w:val="nil"/>
              <w:bottom w:val="single" w:color="auto" w:sz="8" w:space="0"/>
              <w:right w:val="single" w:color="auto" w:sz="8" w:space="0"/>
            </w:tcBorders>
            <w:vAlign w:val="center"/>
          </w:tcPr>
          <w:p>
            <w:pPr>
              <w:spacing w:line="360" w:lineRule="auto"/>
              <w:jc w:val="center"/>
              <w:rPr>
                <w:rFonts w:ascii="Arial" w:hAnsi="Arial" w:cs="Arial"/>
                <w:bCs/>
                <w:lang w:val="zh-CN"/>
              </w:rPr>
            </w:pPr>
          </w:p>
        </w:tc>
        <w:tc>
          <w:tcPr>
            <w:tcW w:w="1702" w:type="dxa"/>
            <w:tcBorders>
              <w:top w:val="nil"/>
              <w:left w:val="nil"/>
              <w:bottom w:val="single" w:color="auto" w:sz="8" w:space="0"/>
              <w:right w:val="single" w:color="auto" w:sz="8" w:space="0"/>
            </w:tcBorders>
            <w:vAlign w:val="center"/>
          </w:tcPr>
          <w:p>
            <w:pPr>
              <w:spacing w:line="360" w:lineRule="auto"/>
              <w:rPr>
                <w:rFonts w:ascii="Arial" w:hAnsi="Arial" w:cs="Arial"/>
                <w:bCs/>
                <w:lang w:val="zh-CN"/>
              </w:rPr>
            </w:pPr>
          </w:p>
        </w:tc>
      </w:tr>
      <w:tr>
        <w:tblPrEx>
          <w:tblLayout w:type="fixed"/>
          <w:tblCellMar>
            <w:top w:w="0" w:type="dxa"/>
            <w:left w:w="108" w:type="dxa"/>
            <w:bottom w:w="0" w:type="dxa"/>
            <w:right w:w="108" w:type="dxa"/>
          </w:tblCellMar>
        </w:tblPrEx>
        <w:trPr>
          <w:trHeight w:val="550" w:hRule="atLeast"/>
          <w:jc w:val="center"/>
        </w:trPr>
        <w:tc>
          <w:tcPr>
            <w:tcW w:w="826" w:type="dxa"/>
            <w:tcBorders>
              <w:top w:val="nil"/>
              <w:left w:val="single" w:color="auto" w:sz="8" w:space="0"/>
              <w:bottom w:val="single" w:color="auto" w:sz="8" w:space="0"/>
              <w:right w:val="single" w:color="auto" w:sz="8" w:space="0"/>
            </w:tcBorders>
            <w:vAlign w:val="center"/>
          </w:tcPr>
          <w:p>
            <w:pPr>
              <w:spacing w:line="360" w:lineRule="auto"/>
              <w:jc w:val="center"/>
              <w:rPr>
                <w:rFonts w:ascii="Arial" w:hAnsi="Arial" w:cs="Arial"/>
                <w:bCs/>
                <w:lang w:val="zh-CN"/>
              </w:rPr>
            </w:pPr>
            <w:r>
              <w:rPr>
                <w:rFonts w:hint="eastAsia" w:ascii="Arial" w:hAnsi="Arial" w:cs="Arial"/>
                <w:bCs/>
                <w:lang w:val="zh-CN"/>
              </w:rPr>
              <w:t>……</w:t>
            </w:r>
          </w:p>
        </w:tc>
        <w:tc>
          <w:tcPr>
            <w:tcW w:w="1403" w:type="dxa"/>
            <w:tcBorders>
              <w:top w:val="nil"/>
              <w:left w:val="nil"/>
              <w:bottom w:val="single" w:color="auto" w:sz="8" w:space="0"/>
              <w:right w:val="single" w:color="auto" w:sz="8" w:space="0"/>
            </w:tcBorders>
            <w:vAlign w:val="center"/>
          </w:tcPr>
          <w:p>
            <w:pPr>
              <w:spacing w:line="360" w:lineRule="auto"/>
              <w:jc w:val="center"/>
              <w:rPr>
                <w:rFonts w:ascii="Arial" w:hAnsi="Arial" w:cs="Arial"/>
                <w:bCs/>
                <w:lang w:val="zh-CN"/>
              </w:rPr>
            </w:pPr>
          </w:p>
        </w:tc>
        <w:tc>
          <w:tcPr>
            <w:tcW w:w="1430" w:type="dxa"/>
            <w:gridSpan w:val="2"/>
            <w:tcBorders>
              <w:top w:val="nil"/>
              <w:left w:val="nil"/>
              <w:bottom w:val="single" w:color="auto" w:sz="8" w:space="0"/>
              <w:right w:val="single" w:color="auto" w:sz="8" w:space="0"/>
            </w:tcBorders>
            <w:vAlign w:val="center"/>
          </w:tcPr>
          <w:p>
            <w:pPr>
              <w:spacing w:line="360" w:lineRule="auto"/>
              <w:jc w:val="center"/>
              <w:rPr>
                <w:rFonts w:ascii="Arial" w:hAnsi="Arial" w:cs="Arial"/>
                <w:bCs/>
                <w:lang w:val="zh-CN"/>
              </w:rPr>
            </w:pPr>
          </w:p>
        </w:tc>
        <w:tc>
          <w:tcPr>
            <w:tcW w:w="1417" w:type="dxa"/>
            <w:tcBorders>
              <w:top w:val="nil"/>
              <w:left w:val="nil"/>
              <w:bottom w:val="single" w:color="auto" w:sz="8" w:space="0"/>
              <w:right w:val="single" w:color="auto" w:sz="8" w:space="0"/>
            </w:tcBorders>
            <w:vAlign w:val="center"/>
          </w:tcPr>
          <w:p>
            <w:pPr>
              <w:spacing w:line="360" w:lineRule="auto"/>
              <w:jc w:val="center"/>
              <w:rPr>
                <w:rFonts w:ascii="Arial" w:hAnsi="Arial" w:cs="Arial"/>
                <w:bCs/>
                <w:lang w:val="zh-CN"/>
              </w:rPr>
            </w:pPr>
          </w:p>
        </w:tc>
        <w:tc>
          <w:tcPr>
            <w:tcW w:w="1983" w:type="dxa"/>
            <w:tcBorders>
              <w:top w:val="nil"/>
              <w:left w:val="nil"/>
              <w:bottom w:val="single" w:color="auto" w:sz="8" w:space="0"/>
              <w:right w:val="single" w:color="auto" w:sz="8" w:space="0"/>
            </w:tcBorders>
            <w:vAlign w:val="center"/>
          </w:tcPr>
          <w:p>
            <w:pPr>
              <w:spacing w:line="360" w:lineRule="auto"/>
              <w:jc w:val="center"/>
              <w:rPr>
                <w:rFonts w:ascii="Arial" w:hAnsi="Arial" w:cs="Arial"/>
                <w:bCs/>
                <w:lang w:val="zh-CN"/>
              </w:rPr>
            </w:pPr>
          </w:p>
        </w:tc>
        <w:tc>
          <w:tcPr>
            <w:tcW w:w="1275" w:type="dxa"/>
            <w:tcBorders>
              <w:top w:val="nil"/>
              <w:left w:val="nil"/>
              <w:bottom w:val="single" w:color="auto" w:sz="8" w:space="0"/>
              <w:right w:val="single" w:color="auto" w:sz="8" w:space="0"/>
            </w:tcBorders>
            <w:vAlign w:val="center"/>
          </w:tcPr>
          <w:p>
            <w:pPr>
              <w:spacing w:line="360" w:lineRule="auto"/>
              <w:jc w:val="center"/>
              <w:rPr>
                <w:rFonts w:ascii="Arial" w:hAnsi="Arial" w:cs="Arial"/>
                <w:bCs/>
                <w:lang w:val="zh-CN"/>
              </w:rPr>
            </w:pPr>
          </w:p>
        </w:tc>
        <w:tc>
          <w:tcPr>
            <w:tcW w:w="1702" w:type="dxa"/>
            <w:tcBorders>
              <w:top w:val="nil"/>
              <w:left w:val="nil"/>
              <w:bottom w:val="single" w:color="auto" w:sz="8" w:space="0"/>
              <w:right w:val="single" w:color="auto" w:sz="8" w:space="0"/>
            </w:tcBorders>
            <w:vAlign w:val="center"/>
          </w:tcPr>
          <w:p>
            <w:pPr>
              <w:spacing w:line="360" w:lineRule="auto"/>
              <w:rPr>
                <w:rFonts w:ascii="Arial" w:hAnsi="Arial" w:cs="Arial"/>
                <w:bCs/>
                <w:lang w:val="zh-CN"/>
              </w:rPr>
            </w:pPr>
          </w:p>
        </w:tc>
      </w:tr>
      <w:tr>
        <w:tblPrEx>
          <w:tblLayout w:type="fixed"/>
          <w:tblCellMar>
            <w:top w:w="0" w:type="dxa"/>
            <w:left w:w="108" w:type="dxa"/>
            <w:bottom w:w="0" w:type="dxa"/>
            <w:right w:w="108" w:type="dxa"/>
          </w:tblCellMar>
        </w:tblPrEx>
        <w:trPr>
          <w:trHeight w:val="1125" w:hRule="atLeast"/>
          <w:jc w:val="center"/>
        </w:trPr>
        <w:tc>
          <w:tcPr>
            <w:tcW w:w="10036" w:type="dxa"/>
            <w:gridSpan w:val="8"/>
            <w:tcBorders>
              <w:top w:val="single" w:color="auto" w:sz="8" w:space="0"/>
              <w:left w:val="single" w:color="auto" w:sz="8" w:space="0"/>
              <w:bottom w:val="single" w:color="auto" w:sz="8" w:space="0"/>
              <w:right w:val="single" w:color="auto" w:sz="8" w:space="0"/>
            </w:tcBorders>
            <w:vAlign w:val="center"/>
          </w:tcPr>
          <w:p>
            <w:pPr>
              <w:spacing w:line="360" w:lineRule="auto"/>
              <w:rPr>
                <w:rFonts w:ascii="Arial" w:hAnsi="Arial" w:cs="Arial"/>
                <w:bCs/>
                <w:lang w:val="zh-CN"/>
              </w:rPr>
            </w:pPr>
            <w:r>
              <w:rPr>
                <w:rFonts w:hint="eastAsia" w:ascii="Arial" w:hAnsi="Arial" w:cs="Arial"/>
                <w:bCs/>
                <w:lang w:val="zh-CN"/>
              </w:rPr>
              <w:t>优惠承诺及其他：</w:t>
            </w:r>
          </w:p>
          <w:p>
            <w:pPr>
              <w:spacing w:line="360" w:lineRule="auto"/>
              <w:rPr>
                <w:rFonts w:ascii="Arial" w:hAnsi="Arial" w:cs="Arial"/>
                <w:bCs/>
                <w:lang w:val="zh-CN"/>
              </w:rPr>
            </w:pPr>
          </w:p>
          <w:p>
            <w:pPr>
              <w:spacing w:line="360" w:lineRule="auto"/>
              <w:rPr>
                <w:rFonts w:ascii="Arial" w:hAnsi="Arial" w:cs="Arial"/>
                <w:bCs/>
                <w:lang w:val="zh-CN"/>
              </w:rPr>
            </w:pPr>
          </w:p>
        </w:tc>
      </w:tr>
      <w:tr>
        <w:tblPrEx>
          <w:tblLayout w:type="fixed"/>
          <w:tblCellMar>
            <w:top w:w="0" w:type="dxa"/>
            <w:left w:w="108" w:type="dxa"/>
            <w:bottom w:w="0" w:type="dxa"/>
            <w:right w:w="108" w:type="dxa"/>
          </w:tblCellMar>
        </w:tblPrEx>
        <w:trPr>
          <w:trHeight w:val="971" w:hRule="atLeast"/>
          <w:jc w:val="center"/>
        </w:trPr>
        <w:tc>
          <w:tcPr>
            <w:tcW w:w="2243" w:type="dxa"/>
            <w:gridSpan w:val="3"/>
            <w:tcBorders>
              <w:top w:val="single" w:color="auto" w:sz="8" w:space="0"/>
              <w:left w:val="single" w:color="auto" w:sz="8" w:space="0"/>
              <w:bottom w:val="single" w:color="auto" w:sz="8" w:space="0"/>
              <w:right w:val="single" w:color="000000" w:sz="8" w:space="0"/>
            </w:tcBorders>
            <w:vAlign w:val="center"/>
          </w:tcPr>
          <w:p>
            <w:pPr>
              <w:spacing w:line="360" w:lineRule="auto"/>
              <w:jc w:val="center"/>
              <w:rPr>
                <w:rFonts w:ascii="Arial" w:hAnsi="Arial" w:cs="Arial"/>
                <w:bCs/>
                <w:lang w:val="zh-CN"/>
              </w:rPr>
            </w:pPr>
            <w:r>
              <w:rPr>
                <w:rFonts w:hint="eastAsia" w:ascii="Arial" w:hAnsi="Arial" w:cs="Arial"/>
                <w:bCs/>
                <w:lang w:val="zh-CN"/>
              </w:rPr>
              <w:t>投标总价</w:t>
            </w:r>
          </w:p>
        </w:tc>
        <w:tc>
          <w:tcPr>
            <w:tcW w:w="7793" w:type="dxa"/>
            <w:gridSpan w:val="5"/>
            <w:tcBorders>
              <w:top w:val="single" w:color="auto" w:sz="8" w:space="0"/>
              <w:left w:val="nil"/>
              <w:bottom w:val="single" w:color="auto" w:sz="8" w:space="0"/>
              <w:right w:val="single" w:color="000000" w:sz="8" w:space="0"/>
            </w:tcBorders>
            <w:vAlign w:val="center"/>
          </w:tcPr>
          <w:p>
            <w:pPr>
              <w:spacing w:line="360" w:lineRule="auto"/>
              <w:rPr>
                <w:rFonts w:ascii="Arial" w:hAnsi="Arial" w:cs="Arial"/>
                <w:bCs/>
                <w:lang w:val="zh-CN"/>
              </w:rPr>
            </w:pPr>
            <w:r>
              <w:rPr>
                <w:rFonts w:hint="eastAsia" w:ascii="Arial" w:hAnsi="Arial" w:cs="Arial"/>
                <w:bCs/>
                <w:lang w:val="zh-CN"/>
              </w:rPr>
              <w:t>大写：</w:t>
            </w:r>
          </w:p>
          <w:p>
            <w:pPr>
              <w:spacing w:line="360" w:lineRule="auto"/>
              <w:rPr>
                <w:rFonts w:ascii="Arial" w:hAnsi="Arial" w:cs="Arial"/>
                <w:bCs/>
                <w:lang w:val="zh-CN"/>
              </w:rPr>
            </w:pPr>
            <w:r>
              <w:rPr>
                <w:rFonts w:hint="eastAsia" w:ascii="Arial" w:hAnsi="Arial" w:cs="Arial"/>
                <w:bCs/>
                <w:lang w:val="zh-CN"/>
              </w:rPr>
              <w:br w:type="textWrapping"/>
            </w:r>
            <w:r>
              <w:rPr>
                <w:rFonts w:hint="eastAsia" w:ascii="Arial" w:hAnsi="Arial" w:cs="Arial"/>
                <w:bCs/>
                <w:lang w:val="zh-CN"/>
              </w:rPr>
              <w:t>小写：</w:t>
            </w:r>
          </w:p>
        </w:tc>
      </w:tr>
    </w:tbl>
    <w:p>
      <w:pPr>
        <w:spacing w:line="360" w:lineRule="auto"/>
        <w:rPr>
          <w:rFonts w:ascii="楷体" w:hAnsi="楷体" w:eastAsia="楷体" w:cs="Arial"/>
          <w:b/>
          <w:bCs/>
          <w:szCs w:val="21"/>
          <w:lang w:val="zh-CN"/>
        </w:rPr>
      </w:pPr>
    </w:p>
    <w:p>
      <w:pPr>
        <w:spacing w:line="360" w:lineRule="auto"/>
        <w:rPr>
          <w:rFonts w:ascii="楷体" w:hAnsi="楷体" w:eastAsia="楷体" w:cs="Arial"/>
          <w:b/>
          <w:bCs/>
          <w:szCs w:val="21"/>
          <w:lang w:val="zh-CN"/>
        </w:rPr>
      </w:pPr>
      <w:r>
        <w:rPr>
          <w:rFonts w:ascii="楷体" w:hAnsi="楷体" w:eastAsia="楷体" w:cs="Arial"/>
          <w:b/>
          <w:bCs/>
          <w:szCs w:val="21"/>
          <w:lang w:val="zh-CN"/>
        </w:rPr>
        <w:t>注：</w:t>
      </w:r>
      <w:r>
        <w:rPr>
          <w:rFonts w:hint="eastAsia" w:ascii="楷体" w:hAnsi="楷体" w:eastAsia="楷体" w:cs="Arial"/>
          <w:b/>
          <w:bCs/>
          <w:szCs w:val="21"/>
          <w:lang w:val="zh-CN"/>
        </w:rPr>
        <w:t>“分项报价</w:t>
      </w:r>
      <w:r>
        <w:rPr>
          <w:rFonts w:ascii="楷体" w:hAnsi="楷体" w:eastAsia="楷体" w:cs="Arial"/>
          <w:b/>
          <w:bCs/>
          <w:szCs w:val="21"/>
          <w:lang w:val="zh-CN"/>
        </w:rPr>
        <w:t>表</w:t>
      </w:r>
      <w:r>
        <w:rPr>
          <w:rFonts w:hint="eastAsia" w:ascii="楷体" w:hAnsi="楷体" w:eastAsia="楷体" w:cs="Arial"/>
          <w:b/>
          <w:bCs/>
          <w:szCs w:val="21"/>
          <w:lang w:val="zh-CN"/>
        </w:rPr>
        <w:t>”</w:t>
      </w:r>
      <w:r>
        <w:rPr>
          <w:rFonts w:ascii="楷体" w:hAnsi="楷体" w:eastAsia="楷体" w:cs="Arial"/>
          <w:b/>
          <w:bCs/>
          <w:szCs w:val="21"/>
          <w:lang w:val="zh-CN"/>
        </w:rPr>
        <w:t>须为打印版，手写无效。</w:t>
      </w:r>
    </w:p>
    <w:p>
      <w:pPr>
        <w:spacing w:line="360" w:lineRule="auto"/>
        <w:rPr>
          <w:rFonts w:ascii="宋体" w:hAnsi="宋体"/>
          <w:lang w:val="zh-CN"/>
        </w:rPr>
      </w:pPr>
    </w:p>
    <w:p>
      <w:pPr>
        <w:tabs>
          <w:tab w:val="left" w:pos="168"/>
        </w:tabs>
        <w:spacing w:line="360" w:lineRule="auto"/>
        <w:jc w:val="center"/>
        <w:textAlignment w:val="baseline"/>
        <w:rPr>
          <w:rFonts w:ascii="宋体" w:hAnsi="宋体"/>
          <w:bCs/>
          <w:szCs w:val="28"/>
        </w:rPr>
      </w:pPr>
    </w:p>
    <w:p>
      <w:pPr>
        <w:tabs>
          <w:tab w:val="left" w:pos="168"/>
        </w:tabs>
        <w:spacing w:line="360" w:lineRule="auto"/>
        <w:jc w:val="right"/>
        <w:textAlignment w:val="baseline"/>
        <w:rPr>
          <w:rFonts w:ascii="宋体" w:hAnsi="宋体"/>
          <w:bCs/>
          <w:szCs w:val="28"/>
        </w:rPr>
      </w:pPr>
      <w:r>
        <w:rPr>
          <w:rFonts w:hint="eastAsia" w:ascii="宋体" w:hAnsi="宋体"/>
          <w:bCs/>
          <w:szCs w:val="28"/>
        </w:rPr>
        <w:t xml:space="preserve">  磋商供应商：           （公章）</w:t>
      </w:r>
    </w:p>
    <w:p>
      <w:pPr>
        <w:tabs>
          <w:tab w:val="left" w:pos="168"/>
        </w:tabs>
        <w:spacing w:line="360" w:lineRule="auto"/>
        <w:jc w:val="right"/>
        <w:textAlignment w:val="baseline"/>
        <w:rPr>
          <w:rFonts w:ascii="宋体" w:hAnsi="宋体"/>
          <w:bCs/>
          <w:szCs w:val="28"/>
        </w:rPr>
      </w:pPr>
      <w:r>
        <w:rPr>
          <w:rFonts w:hint="eastAsia" w:ascii="宋体" w:hAnsi="宋体"/>
          <w:bCs/>
          <w:szCs w:val="28"/>
        </w:rPr>
        <w:t>委托代理人：                 （签字）</w:t>
      </w:r>
    </w:p>
    <w:p>
      <w:pPr>
        <w:tabs>
          <w:tab w:val="left" w:pos="168"/>
        </w:tabs>
        <w:spacing w:line="360" w:lineRule="auto"/>
        <w:jc w:val="right"/>
        <w:textAlignment w:val="baseline"/>
        <w:rPr>
          <w:rFonts w:ascii="宋体" w:hAnsi="宋体"/>
          <w:bCs/>
          <w:szCs w:val="28"/>
        </w:rPr>
      </w:pPr>
      <w:r>
        <w:rPr>
          <w:rFonts w:hint="eastAsia" w:ascii="宋体" w:hAnsi="宋体"/>
          <w:bCs/>
          <w:szCs w:val="28"/>
        </w:rPr>
        <w:t>日期：    年   月   日</w:t>
      </w:r>
    </w:p>
    <w:p>
      <w:pPr>
        <w:pStyle w:val="5"/>
        <w:tabs>
          <w:tab w:val="left" w:pos="425"/>
        </w:tabs>
        <w:ind w:left="0"/>
        <w:rPr>
          <w:rFonts w:hint="default"/>
          <w:bCs/>
          <w:sz w:val="24"/>
          <w:szCs w:val="28"/>
        </w:rPr>
      </w:pPr>
    </w:p>
    <w:p>
      <w:pPr>
        <w:pStyle w:val="5"/>
        <w:tabs>
          <w:tab w:val="left" w:pos="425"/>
        </w:tabs>
        <w:ind w:left="0"/>
        <w:rPr>
          <w:rFonts w:hint="default"/>
          <w:lang w:val="zh-CN"/>
        </w:rPr>
        <w:sectPr>
          <w:pgSz w:w="11906" w:h="16838"/>
          <w:pgMar w:top="1440" w:right="1644" w:bottom="1440" w:left="1644" w:header="851" w:footer="992" w:gutter="0"/>
          <w:cols w:space="720" w:num="1"/>
          <w:titlePg/>
          <w:docGrid w:linePitch="312" w:charSpace="0"/>
        </w:sectPr>
      </w:pPr>
      <w:bookmarkStart w:id="97" w:name="_Toc535422010"/>
      <w:bookmarkStart w:id="98" w:name="_Toc12544"/>
      <w:bookmarkStart w:id="99" w:name="_Toc444715742"/>
      <w:bookmarkStart w:id="100" w:name="_Toc25742"/>
      <w:bookmarkStart w:id="101" w:name="_Toc20510"/>
    </w:p>
    <w:p>
      <w:pPr>
        <w:pStyle w:val="5"/>
        <w:tabs>
          <w:tab w:val="left" w:pos="425"/>
        </w:tabs>
        <w:ind w:left="0"/>
        <w:rPr>
          <w:rFonts w:hint="default" w:cs="宋体"/>
          <w:bCs/>
          <w:sz w:val="24"/>
        </w:rPr>
      </w:pPr>
      <w:bookmarkStart w:id="102" w:name="_Toc19645"/>
      <w:r>
        <w:rPr>
          <w:lang w:val="zh-CN"/>
        </w:rPr>
        <w:t>格式14：磋商服务相关资料</w:t>
      </w:r>
      <w:bookmarkEnd w:id="97"/>
      <w:bookmarkEnd w:id="98"/>
      <w:bookmarkEnd w:id="102"/>
    </w:p>
    <w:p>
      <w:pPr>
        <w:spacing w:line="360" w:lineRule="auto"/>
        <w:rPr>
          <w:rFonts w:ascii="宋体" w:hAnsi="宋体"/>
          <w:b/>
          <w:bCs/>
          <w:kern w:val="28"/>
          <w:sz w:val="32"/>
          <w:szCs w:val="32"/>
          <w:lang w:val="zh-CN"/>
        </w:rPr>
      </w:pPr>
    </w:p>
    <w:p>
      <w:pPr>
        <w:spacing w:line="360" w:lineRule="auto"/>
        <w:jc w:val="center"/>
        <w:rPr>
          <w:rFonts w:ascii="宋体" w:hAnsi="宋体" w:cs="Arial"/>
          <w:bCs/>
          <w:sz w:val="40"/>
          <w:szCs w:val="36"/>
          <w:lang w:val="zh-CN"/>
        </w:rPr>
      </w:pPr>
      <w:r>
        <w:rPr>
          <w:rFonts w:hint="eastAsia" w:ascii="宋体" w:hAnsi="宋体" w:cs="宋体"/>
          <w:b/>
          <w:bCs/>
          <w:sz w:val="32"/>
          <w:szCs w:val="30"/>
          <w:lang w:val="zh-CN"/>
        </w:rPr>
        <w:t>磋商服务</w:t>
      </w:r>
      <w:r>
        <w:rPr>
          <w:rFonts w:ascii="宋体" w:hAnsi="宋体" w:cs="宋体"/>
          <w:b/>
          <w:bCs/>
          <w:sz w:val="32"/>
          <w:szCs w:val="30"/>
          <w:lang w:val="zh-CN"/>
        </w:rPr>
        <w:t>相关资料</w:t>
      </w:r>
    </w:p>
    <w:p>
      <w:pPr>
        <w:tabs>
          <w:tab w:val="left" w:pos="168"/>
        </w:tabs>
        <w:spacing w:line="360" w:lineRule="auto"/>
        <w:ind w:firstLine="480" w:firstLineChars="200"/>
        <w:textAlignment w:val="baseline"/>
        <w:rPr>
          <w:rFonts w:ascii="宋体" w:hAnsi="宋体" w:cs="宋体"/>
          <w:lang w:val="zh-CN"/>
        </w:rPr>
      </w:pPr>
      <w:r>
        <w:rPr>
          <w:rFonts w:hint="eastAsia" w:ascii="宋体" w:hAnsi="宋体" w:cs="宋体"/>
          <w:lang w:val="zh-CN"/>
        </w:rPr>
        <w:t>根据采购项目内容，提供磋商服务相关资料；扫描（或复印）件应全面、完整、清晰并加盖磋商供应商公章。</w:t>
      </w:r>
    </w:p>
    <w:bookmarkEnd w:id="99"/>
    <w:bookmarkEnd w:id="100"/>
    <w:bookmarkEnd w:id="101"/>
    <w:p>
      <w:pPr>
        <w:spacing w:line="360" w:lineRule="auto"/>
        <w:ind w:firstLine="569" w:firstLineChars="177"/>
        <w:rPr>
          <w:rFonts w:hAnsi="宋体"/>
          <w:b/>
          <w:sz w:val="32"/>
          <w:lang w:val="zh-CN"/>
        </w:rPr>
      </w:pPr>
    </w:p>
    <w:p>
      <w:pPr>
        <w:pStyle w:val="5"/>
        <w:tabs>
          <w:tab w:val="left" w:pos="425"/>
        </w:tabs>
        <w:ind w:left="709" w:hanging="709"/>
        <w:rPr>
          <w:rFonts w:hint="default" w:cs="宋体"/>
        </w:rPr>
      </w:pPr>
      <w:r>
        <w:rPr>
          <w:bCs/>
          <w:sz w:val="24"/>
          <w:szCs w:val="28"/>
        </w:rPr>
        <w:br w:type="page"/>
      </w:r>
      <w:bookmarkStart w:id="103" w:name="_Toc27977"/>
      <w:bookmarkStart w:id="104" w:name="_Toc535422011"/>
      <w:bookmarkStart w:id="105" w:name="_Toc7877"/>
      <w:r>
        <w:rPr>
          <w:lang w:val="zh-CN"/>
        </w:rPr>
        <w:t>格式15、磋商供应商的类似业绩证明材料</w:t>
      </w:r>
      <w:bookmarkEnd w:id="103"/>
      <w:bookmarkEnd w:id="104"/>
      <w:bookmarkEnd w:id="105"/>
    </w:p>
    <w:p>
      <w:pPr>
        <w:spacing w:line="360" w:lineRule="auto"/>
        <w:rPr>
          <w:rFonts w:ascii="宋体" w:hAnsi="宋体" w:cs="宋体"/>
          <w:sz w:val="28"/>
          <w:lang w:val="zh-CN"/>
        </w:rPr>
      </w:pPr>
    </w:p>
    <w:p>
      <w:pPr>
        <w:spacing w:line="360" w:lineRule="auto"/>
        <w:jc w:val="center"/>
        <w:rPr>
          <w:rFonts w:ascii="宋体" w:hAnsi="宋体" w:cs="宋体"/>
          <w:b/>
          <w:bCs/>
          <w:sz w:val="32"/>
          <w:szCs w:val="30"/>
          <w:lang w:val="zh-CN"/>
        </w:rPr>
      </w:pPr>
      <w:r>
        <w:rPr>
          <w:rFonts w:hint="eastAsia" w:ascii="宋体" w:hAnsi="宋体" w:cs="宋体"/>
          <w:b/>
          <w:bCs/>
          <w:sz w:val="32"/>
          <w:szCs w:val="30"/>
          <w:lang w:val="zh-CN"/>
        </w:rPr>
        <w:t>磋商供应商的类似业绩证明材料</w:t>
      </w:r>
    </w:p>
    <w:p>
      <w:pPr>
        <w:spacing w:line="360" w:lineRule="auto"/>
        <w:rPr>
          <w:rFonts w:ascii="宋体" w:hAnsi="宋体" w:cs="宋体"/>
          <w:lang w:val="zh-CN"/>
        </w:rPr>
      </w:pPr>
    </w:p>
    <w:p>
      <w:pPr>
        <w:spacing w:line="360" w:lineRule="auto"/>
        <w:ind w:firstLine="480" w:firstLineChars="200"/>
        <w:rPr>
          <w:rFonts w:ascii="宋体" w:hAnsi="宋体" w:cs="宋体"/>
          <w:lang w:val="zh-CN"/>
        </w:rPr>
      </w:pPr>
      <w:r>
        <w:rPr>
          <w:rFonts w:hint="eastAsia" w:ascii="宋体" w:hAnsi="宋体" w:cs="宋体"/>
          <w:lang w:val="zh-CN"/>
        </w:rPr>
        <w:t>提供</w:t>
      </w:r>
      <w:r>
        <w:rPr>
          <w:rFonts w:hint="eastAsia" w:ascii="宋体" w:hAnsi="宋体" w:cs="宋体"/>
        </w:rPr>
        <w:t>2017-投标截止日前近三年的</w:t>
      </w:r>
      <w:r>
        <w:rPr>
          <w:rFonts w:hint="eastAsia" w:ascii="宋体" w:hAnsi="宋体" w:cs="宋体"/>
          <w:lang w:val="zh-CN"/>
        </w:rPr>
        <w:t>投标人类似业绩证明材料，需提供包含合同首页、标的及金额所在页、合同签字盖章页</w:t>
      </w:r>
      <w:r>
        <w:rPr>
          <w:rFonts w:ascii="宋体" w:hAnsi="宋体" w:cs="宋体"/>
          <w:lang w:val="zh-CN"/>
        </w:rPr>
        <w:t>。</w:t>
      </w:r>
    </w:p>
    <w:p>
      <w:pPr>
        <w:spacing w:line="360" w:lineRule="auto"/>
        <w:ind w:firstLine="480"/>
        <w:rPr>
          <w:rFonts w:ascii="宋体" w:hAnsi="宋体" w:cs="宋体"/>
          <w:lang w:val="zh-CN"/>
        </w:rPr>
      </w:pPr>
    </w:p>
    <w:p>
      <w:pPr>
        <w:pStyle w:val="5"/>
        <w:keepNext/>
        <w:keepLines/>
        <w:tabs>
          <w:tab w:val="left" w:pos="425"/>
        </w:tabs>
        <w:ind w:left="567" w:hanging="567"/>
        <w:rPr>
          <w:rFonts w:hint="default"/>
          <w:szCs w:val="32"/>
        </w:rPr>
      </w:pPr>
      <w:r>
        <w:rPr>
          <w:bCs/>
          <w:sz w:val="24"/>
          <w:szCs w:val="28"/>
        </w:rPr>
        <w:br w:type="page"/>
      </w:r>
      <w:bookmarkStart w:id="106" w:name="_Toc535422012"/>
      <w:bookmarkStart w:id="107" w:name="_Toc21644"/>
      <w:bookmarkStart w:id="108" w:name="_Toc24945"/>
      <w:r>
        <w:rPr>
          <w:lang w:val="zh-CN"/>
        </w:rPr>
        <w:t>格式16、</w:t>
      </w:r>
      <w:bookmarkStart w:id="109" w:name="_Toc479326333"/>
      <w:bookmarkStart w:id="110" w:name="_Toc488314153"/>
      <w:bookmarkStart w:id="111" w:name="_Toc459377894"/>
      <w:r>
        <w:rPr>
          <w:lang w:val="zh-CN"/>
        </w:rPr>
        <w:t>中小微型企业声明函</w:t>
      </w:r>
      <w:bookmarkEnd w:id="106"/>
      <w:bookmarkEnd w:id="107"/>
      <w:bookmarkEnd w:id="108"/>
      <w:bookmarkEnd w:id="109"/>
      <w:bookmarkEnd w:id="110"/>
      <w:bookmarkEnd w:id="111"/>
    </w:p>
    <w:p>
      <w:pPr>
        <w:spacing w:line="360" w:lineRule="auto"/>
        <w:rPr>
          <w:rFonts w:ascii="宋体" w:hAnsi="宋体" w:cs="Arial"/>
        </w:rPr>
      </w:pPr>
    </w:p>
    <w:p>
      <w:pPr>
        <w:spacing w:line="360" w:lineRule="auto"/>
        <w:jc w:val="center"/>
        <w:rPr>
          <w:rFonts w:ascii="宋体" w:hAnsi="宋体" w:cs="宋体"/>
          <w:b/>
          <w:bCs/>
          <w:sz w:val="32"/>
          <w:szCs w:val="30"/>
          <w:lang w:val="zh-CN"/>
        </w:rPr>
      </w:pPr>
      <w:r>
        <w:rPr>
          <w:rFonts w:hint="eastAsia" w:ascii="宋体" w:hAnsi="宋体" w:cs="宋体"/>
          <w:b/>
          <w:bCs/>
          <w:sz w:val="32"/>
          <w:szCs w:val="30"/>
          <w:lang w:val="zh-CN"/>
        </w:rPr>
        <w:t>中小微型企业声明函</w:t>
      </w:r>
    </w:p>
    <w:p>
      <w:pPr>
        <w:spacing w:line="360" w:lineRule="auto"/>
        <w:rPr>
          <w:rFonts w:ascii="宋体" w:hAnsi="宋体" w:cs="宋体"/>
          <w:b/>
          <w:bCs/>
          <w:sz w:val="28"/>
          <w:szCs w:val="28"/>
          <w:lang w:val="zh-CN"/>
        </w:rPr>
      </w:pPr>
      <w:r>
        <w:rPr>
          <w:rFonts w:hint="eastAsia" w:ascii="宋体" w:hAnsi="宋体" w:cs="宋体"/>
          <w:b/>
          <w:bCs/>
          <w:szCs w:val="28"/>
          <w:lang w:val="zh-CN"/>
        </w:rPr>
        <w:t>致：青海广维工程项目管理有限公司</w:t>
      </w:r>
    </w:p>
    <w:p>
      <w:pPr>
        <w:spacing w:line="360" w:lineRule="auto"/>
        <w:rPr>
          <w:rFonts w:ascii="宋体" w:hAnsi="宋体" w:cs="宋体"/>
          <w:lang w:val="zh-CN"/>
        </w:rPr>
      </w:pPr>
    </w:p>
    <w:p>
      <w:pPr>
        <w:ind w:firstLine="480" w:firstLineChars="200"/>
        <w:rPr>
          <w:rFonts w:ascii="宋体" w:hAnsi="宋体" w:cs="宋体"/>
        </w:rPr>
      </w:pPr>
      <w:r>
        <w:rPr>
          <w:rFonts w:hint="eastAsia" w:ascii="宋体" w:hAnsi="宋体" w:cs="宋体"/>
        </w:rPr>
        <w:t>本公司郑重声明，根据《政府采购促进中小企业发展暂行办法》（财库〔2011〕181号）的规定，本公司为______（请填写：中型、小型、微型）企业。即，本公司满足以下条件：</w:t>
      </w:r>
    </w:p>
    <w:p>
      <w:pPr>
        <w:numPr>
          <w:ilvl w:val="0"/>
          <w:numId w:val="9"/>
        </w:numPr>
        <w:rPr>
          <w:rFonts w:ascii="宋体" w:hAnsi="宋体" w:cs="宋体"/>
        </w:rPr>
      </w:pPr>
      <w:r>
        <w:rPr>
          <w:rFonts w:hint="eastAsia" w:ascii="宋体" w:hAnsi="宋体" w:cs="宋体"/>
        </w:rPr>
        <w:t xml:space="preserve">根据《工业和信息化部、国家统计局、国家发展和改革委员会、财政部关于印发中小企业划型标准规定的通知》（工信部联企业〔2011〕300号）规定的划分标准，本公司为     （请填写：中型、小型、微型）企业  </w:t>
      </w:r>
    </w:p>
    <w:p>
      <w:pPr>
        <w:numPr>
          <w:ilvl w:val="0"/>
          <w:numId w:val="9"/>
        </w:numPr>
        <w:rPr>
          <w:rFonts w:ascii="宋体" w:hAnsi="宋体" w:cs="宋体"/>
        </w:rPr>
      </w:pPr>
      <w:r>
        <w:rPr>
          <w:rFonts w:hint="eastAsia" w:ascii="宋体" w:hAnsi="宋体" w:cs="宋体"/>
        </w:rPr>
        <w:t>本公司参加__________________单位的________________________项目采购活动提供本企业制造的货物，由本企业承担工程、提供服务，或者提供其他______（请填写：中型、小型、微型）企业制造的货物。本条所称货物不包括使用大型企业注册商标的货物。</w:t>
      </w:r>
    </w:p>
    <w:p>
      <w:pPr>
        <w:ind w:firstLine="480" w:firstLineChars="200"/>
        <w:rPr>
          <w:rFonts w:ascii="宋体" w:hAnsi="宋体" w:cs="宋体"/>
        </w:rPr>
      </w:pPr>
      <w:r>
        <w:rPr>
          <w:rFonts w:hint="eastAsia" w:ascii="宋体" w:hAnsi="宋体" w:cs="宋体"/>
        </w:rPr>
        <w:t>本公司对上述声明的真实性负责。如有虚假，将依法承担相应责任。</w:t>
      </w:r>
    </w:p>
    <w:p>
      <w:pPr>
        <w:pStyle w:val="2"/>
        <w:rPr>
          <w:rFonts w:ascii="宋体" w:hAnsi="宋体" w:cs="宋体"/>
        </w:rPr>
      </w:pPr>
    </w:p>
    <w:p>
      <w:pPr>
        <w:pStyle w:val="2"/>
        <w:rPr>
          <w:rFonts w:ascii="宋体" w:hAnsi="宋体" w:cs="宋体"/>
        </w:rPr>
      </w:pPr>
    </w:p>
    <w:p>
      <w:pPr>
        <w:pStyle w:val="2"/>
        <w:rPr>
          <w:rFonts w:ascii="宋体" w:hAnsi="宋体" w:cs="宋体"/>
        </w:rPr>
      </w:pPr>
    </w:p>
    <w:p>
      <w:pPr>
        <w:snapToGrid w:val="0"/>
        <w:ind w:left="-5" w:leftChars="-2" w:firstLine="480" w:firstLineChars="200"/>
        <w:rPr>
          <w:rFonts w:ascii="宋体" w:hAnsi="宋体" w:cs="宋体"/>
        </w:rPr>
      </w:pPr>
      <w:r>
        <w:rPr>
          <w:rFonts w:hint="eastAsia" w:ascii="宋体" w:hAnsi="宋体" w:cs="宋体"/>
        </w:rPr>
        <w:t>注：若无此项内容，可不提供此函。</w:t>
      </w:r>
    </w:p>
    <w:p>
      <w:pPr>
        <w:pStyle w:val="2"/>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rPr>
          <w:rFonts w:ascii="宋体" w:hAnsi="宋体" w:cs="宋体"/>
        </w:rPr>
      </w:pPr>
    </w:p>
    <w:p>
      <w:pPr>
        <w:spacing w:line="360" w:lineRule="auto"/>
        <w:ind w:firstLine="480" w:firstLineChars="200"/>
        <w:rPr>
          <w:rFonts w:ascii="宋体" w:hAnsi="宋体" w:cs="宋体"/>
        </w:rPr>
      </w:pPr>
    </w:p>
    <w:p>
      <w:pPr>
        <w:spacing w:line="360" w:lineRule="auto"/>
        <w:rPr>
          <w:rFonts w:ascii="宋体" w:hAnsi="宋体" w:cs="宋体"/>
        </w:rPr>
      </w:pPr>
    </w:p>
    <w:p>
      <w:pPr>
        <w:spacing w:line="360" w:lineRule="auto"/>
        <w:ind w:firstLine="3120" w:firstLineChars="1300"/>
        <w:jc w:val="right"/>
        <w:rPr>
          <w:rFonts w:ascii="宋体" w:hAnsi="宋体"/>
          <w:bCs/>
          <w:szCs w:val="28"/>
        </w:rPr>
      </w:pPr>
      <w:r>
        <w:rPr>
          <w:rFonts w:hint="eastAsia" w:ascii="宋体" w:hAnsi="宋体"/>
          <w:bCs/>
          <w:szCs w:val="28"/>
        </w:rPr>
        <w:t>企业名称：       （公章）</w:t>
      </w:r>
    </w:p>
    <w:p>
      <w:pPr>
        <w:spacing w:line="360" w:lineRule="auto"/>
        <w:ind w:firstLine="2400" w:firstLineChars="1000"/>
        <w:jc w:val="right"/>
        <w:rPr>
          <w:rFonts w:ascii="宋体" w:hAnsi="宋体"/>
          <w:bCs/>
          <w:szCs w:val="28"/>
        </w:rPr>
      </w:pPr>
      <w:r>
        <w:rPr>
          <w:rFonts w:hint="eastAsia" w:ascii="宋体" w:hAnsi="宋体"/>
          <w:bCs/>
          <w:szCs w:val="28"/>
        </w:rPr>
        <w:t>企业法定代表人：       （签字）</w:t>
      </w:r>
    </w:p>
    <w:p>
      <w:pPr>
        <w:pStyle w:val="22"/>
        <w:jc w:val="right"/>
        <w:rPr>
          <w:rFonts w:ascii="宋体" w:hAnsi="宋体" w:cs="宋体"/>
          <w:b/>
          <w:bCs/>
          <w:kern w:val="0"/>
          <w:lang w:val="zh-CN"/>
        </w:rPr>
      </w:pPr>
      <w:bookmarkStart w:id="112" w:name="_Toc500519553"/>
      <w:r>
        <w:rPr>
          <w:rFonts w:hint="eastAsia" w:ascii="宋体" w:hAnsi="宋体"/>
          <w:bCs/>
          <w:sz w:val="24"/>
          <w:szCs w:val="28"/>
        </w:rPr>
        <w:t xml:space="preserve">日期：      </w:t>
      </w:r>
      <w:r>
        <w:rPr>
          <w:rFonts w:hint="eastAsia"/>
          <w:sz w:val="24"/>
        </w:rPr>
        <w:t>年   月   日</w:t>
      </w:r>
      <w:bookmarkEnd w:id="112"/>
    </w:p>
    <w:p>
      <w:pPr>
        <w:snapToGrid w:val="0"/>
        <w:spacing w:line="360" w:lineRule="auto"/>
        <w:ind w:firstLine="3654" w:firstLineChars="1300"/>
        <w:rPr>
          <w:rFonts w:ascii="宋体" w:hAnsi="宋体" w:cs="宋体"/>
          <w:b/>
          <w:sz w:val="28"/>
          <w:szCs w:val="28"/>
        </w:rPr>
        <w:sectPr>
          <w:pgSz w:w="11906" w:h="16838"/>
          <w:pgMar w:top="1440" w:right="1644" w:bottom="1440" w:left="1644" w:header="851" w:footer="992" w:gutter="0"/>
          <w:cols w:space="720" w:num="1"/>
          <w:titlePg/>
          <w:docGrid w:linePitch="312" w:charSpace="0"/>
        </w:sectPr>
      </w:pPr>
    </w:p>
    <w:p>
      <w:pPr>
        <w:snapToGrid w:val="0"/>
        <w:spacing w:line="360" w:lineRule="auto"/>
        <w:ind w:firstLine="3654" w:firstLineChars="1300"/>
        <w:rPr>
          <w:rFonts w:ascii="宋体" w:hAnsi="宋体" w:cs="宋体"/>
          <w:b/>
        </w:rPr>
      </w:pPr>
      <w:r>
        <w:rPr>
          <w:rFonts w:hint="eastAsia" w:ascii="宋体" w:hAnsi="宋体" w:cs="宋体"/>
          <w:b/>
          <w:sz w:val="28"/>
          <w:szCs w:val="28"/>
        </w:rPr>
        <w:t>从业人员声明函</w:t>
      </w:r>
    </w:p>
    <w:p>
      <w:pPr>
        <w:snapToGrid w:val="0"/>
        <w:spacing w:line="360" w:lineRule="auto"/>
        <w:ind w:left="6987" w:hanging="6987" w:hangingChars="2900"/>
        <w:rPr>
          <w:rFonts w:ascii="宋体" w:hAnsi="宋体" w:cs="宋体"/>
          <w:b/>
          <w:bCs/>
          <w:lang w:val="zh-CN"/>
        </w:rPr>
      </w:pPr>
    </w:p>
    <w:p>
      <w:pPr>
        <w:snapToGrid w:val="0"/>
        <w:spacing w:line="360" w:lineRule="auto"/>
        <w:ind w:left="8152" w:hanging="8152" w:hangingChars="2900"/>
        <w:rPr>
          <w:rFonts w:ascii="宋体" w:hAnsi="宋体" w:cs="宋体"/>
        </w:rPr>
      </w:pPr>
      <w:r>
        <w:rPr>
          <w:rFonts w:hint="eastAsia" w:ascii="宋体" w:hAnsi="宋体" w:cs="宋体"/>
          <w:b/>
          <w:bCs/>
          <w:sz w:val="28"/>
          <w:szCs w:val="28"/>
          <w:lang w:val="zh-CN"/>
        </w:rPr>
        <w:t>致：青海广维工程项目管理有限公司</w:t>
      </w:r>
    </w:p>
    <w:p>
      <w:pPr>
        <w:snapToGrid w:val="0"/>
        <w:ind w:left="-5" w:leftChars="-2" w:firstLine="480" w:firstLineChars="200"/>
        <w:rPr>
          <w:rFonts w:ascii="宋体" w:hAnsi="宋体" w:cs="宋体"/>
        </w:rPr>
      </w:pPr>
      <w:r>
        <w:rPr>
          <w:rFonts w:hint="eastAsia" w:ascii="宋体" w:hAnsi="宋体" w:cs="宋体"/>
        </w:rPr>
        <w:t>本公司郑重声明：根据《政府采购促进中小企业发展暂行办法》（财库[2011]181号）、《工业和信息部、国家统计局、国家发展和改革委员会、财政部关于印发中小企业划型标准规定的通知》（工信部联企业[2011]300号）规定，本公司从业人员数为人。</w:t>
      </w:r>
    </w:p>
    <w:p>
      <w:pPr>
        <w:snapToGrid w:val="0"/>
        <w:spacing w:line="360" w:lineRule="auto"/>
        <w:ind w:left="-2" w:leftChars="-1" w:firstLine="480" w:firstLineChars="200"/>
        <w:rPr>
          <w:rFonts w:ascii="宋体" w:hAnsi="宋体" w:cs="宋体"/>
        </w:rPr>
      </w:pPr>
      <w:r>
        <w:rPr>
          <w:rFonts w:hint="eastAsia" w:ascii="宋体" w:hAnsi="宋体" w:cs="宋体"/>
        </w:rPr>
        <w:t>本公司对上述声明的真实性负责，如有虚假，将依法承担相应责任。</w:t>
      </w:r>
    </w:p>
    <w:p>
      <w:pPr>
        <w:snapToGrid w:val="0"/>
        <w:ind w:left="-5" w:leftChars="-2" w:firstLine="480" w:firstLineChars="200"/>
        <w:rPr>
          <w:rFonts w:ascii="宋体" w:hAnsi="宋体" w:cs="宋体"/>
        </w:rPr>
      </w:pPr>
    </w:p>
    <w:p>
      <w:pPr>
        <w:snapToGrid w:val="0"/>
        <w:ind w:left="-5" w:leftChars="-2" w:firstLine="480" w:firstLineChars="200"/>
        <w:rPr>
          <w:rFonts w:ascii="宋体" w:hAnsi="宋体" w:cs="宋体"/>
        </w:rPr>
      </w:pPr>
    </w:p>
    <w:p>
      <w:pPr>
        <w:snapToGrid w:val="0"/>
        <w:ind w:left="-5" w:leftChars="-2" w:firstLine="480" w:firstLineChars="200"/>
        <w:rPr>
          <w:rFonts w:ascii="宋体" w:hAnsi="宋体" w:cs="宋体"/>
        </w:rPr>
      </w:pPr>
    </w:p>
    <w:p>
      <w:pPr>
        <w:snapToGrid w:val="0"/>
        <w:ind w:left="-5" w:leftChars="-2" w:firstLine="480" w:firstLineChars="200"/>
        <w:rPr>
          <w:rFonts w:ascii="宋体" w:hAnsi="宋体" w:cs="宋体"/>
        </w:rPr>
      </w:pPr>
      <w:r>
        <w:rPr>
          <w:rFonts w:hint="eastAsia" w:ascii="宋体" w:hAnsi="宋体" w:cs="宋体"/>
        </w:rPr>
        <w:t>注：若无此项内容，可不提供此函。</w:t>
      </w:r>
    </w:p>
    <w:p>
      <w:pPr>
        <w:pStyle w:val="2"/>
      </w:pPr>
    </w:p>
    <w:p>
      <w:pPr>
        <w:spacing w:line="360" w:lineRule="auto"/>
        <w:jc w:val="center"/>
        <w:rPr>
          <w:rFonts w:ascii="宋体" w:hAnsi="宋体" w:cs="宋体"/>
          <w:b/>
          <w:bCs/>
          <w:lang w:val="zh-CN"/>
        </w:rPr>
      </w:pPr>
    </w:p>
    <w:p>
      <w:pPr>
        <w:spacing w:line="360" w:lineRule="auto"/>
        <w:jc w:val="center"/>
        <w:rPr>
          <w:rFonts w:ascii="宋体" w:hAnsi="宋体" w:cs="宋体"/>
          <w:b/>
          <w:bCs/>
          <w:lang w:val="zh-CN"/>
        </w:rPr>
      </w:pPr>
    </w:p>
    <w:p>
      <w:pPr>
        <w:spacing w:line="360" w:lineRule="auto"/>
        <w:jc w:val="center"/>
        <w:rPr>
          <w:rFonts w:ascii="宋体" w:hAnsi="宋体" w:cs="宋体"/>
          <w:b/>
          <w:bCs/>
          <w:lang w:val="zh-CN"/>
        </w:rPr>
      </w:pPr>
    </w:p>
    <w:p>
      <w:pPr>
        <w:spacing w:line="360" w:lineRule="auto"/>
        <w:jc w:val="center"/>
        <w:rPr>
          <w:rFonts w:ascii="宋体" w:hAnsi="宋体" w:cs="宋体"/>
          <w:b/>
          <w:bCs/>
          <w:lang w:val="zh-CN"/>
        </w:rPr>
      </w:pPr>
    </w:p>
    <w:p>
      <w:pPr>
        <w:spacing w:line="360" w:lineRule="auto"/>
        <w:jc w:val="center"/>
        <w:rPr>
          <w:rFonts w:ascii="宋体" w:hAnsi="宋体" w:cs="宋体"/>
          <w:b/>
          <w:bCs/>
          <w:lang w:val="zh-CN"/>
        </w:rPr>
      </w:pPr>
    </w:p>
    <w:p>
      <w:pPr>
        <w:spacing w:line="360" w:lineRule="auto"/>
        <w:jc w:val="center"/>
        <w:rPr>
          <w:rFonts w:ascii="宋体" w:hAnsi="宋体" w:cs="宋体"/>
          <w:b/>
          <w:bCs/>
          <w:lang w:val="zh-CN"/>
        </w:rPr>
      </w:pPr>
    </w:p>
    <w:p>
      <w:pPr>
        <w:spacing w:line="360" w:lineRule="auto"/>
        <w:jc w:val="center"/>
        <w:rPr>
          <w:rFonts w:ascii="宋体" w:hAnsi="宋体" w:cs="宋体"/>
          <w:b/>
          <w:bCs/>
          <w:lang w:val="zh-CN"/>
        </w:rPr>
      </w:pPr>
    </w:p>
    <w:p>
      <w:pPr>
        <w:spacing w:line="360" w:lineRule="auto"/>
        <w:jc w:val="center"/>
        <w:rPr>
          <w:rFonts w:ascii="宋体" w:hAnsi="宋体" w:cs="宋体"/>
          <w:b/>
          <w:bCs/>
          <w:lang w:val="zh-CN"/>
        </w:rPr>
      </w:pPr>
    </w:p>
    <w:p>
      <w:pPr>
        <w:spacing w:line="360" w:lineRule="auto"/>
        <w:jc w:val="center"/>
        <w:rPr>
          <w:rFonts w:ascii="宋体" w:hAnsi="宋体" w:cs="宋体"/>
          <w:b/>
          <w:bCs/>
          <w:lang w:val="zh-CN"/>
        </w:rPr>
      </w:pPr>
    </w:p>
    <w:p>
      <w:pPr>
        <w:spacing w:line="360" w:lineRule="auto"/>
        <w:jc w:val="center"/>
        <w:rPr>
          <w:rFonts w:ascii="宋体" w:hAnsi="宋体" w:cs="宋体"/>
          <w:b/>
          <w:bCs/>
          <w:lang w:val="zh-CN"/>
        </w:rPr>
      </w:pPr>
    </w:p>
    <w:p>
      <w:pPr>
        <w:spacing w:line="360" w:lineRule="auto"/>
        <w:jc w:val="center"/>
        <w:rPr>
          <w:rFonts w:ascii="宋体" w:hAnsi="宋体" w:cs="宋体"/>
          <w:b/>
          <w:bCs/>
          <w:lang w:val="zh-CN"/>
        </w:rPr>
      </w:pPr>
    </w:p>
    <w:p>
      <w:pPr>
        <w:spacing w:line="360" w:lineRule="auto"/>
        <w:jc w:val="center"/>
        <w:rPr>
          <w:rFonts w:ascii="宋体" w:hAnsi="宋体" w:cs="宋体"/>
          <w:b/>
          <w:bCs/>
          <w:lang w:val="zh-CN"/>
        </w:rPr>
      </w:pPr>
    </w:p>
    <w:p>
      <w:pPr>
        <w:spacing w:line="360" w:lineRule="auto"/>
        <w:jc w:val="center"/>
        <w:rPr>
          <w:rFonts w:ascii="宋体" w:hAnsi="宋体" w:cs="宋体"/>
          <w:b/>
          <w:bCs/>
          <w:lang w:val="zh-CN"/>
        </w:rPr>
      </w:pPr>
    </w:p>
    <w:p>
      <w:pPr>
        <w:spacing w:line="360" w:lineRule="auto"/>
        <w:jc w:val="center"/>
        <w:rPr>
          <w:rFonts w:ascii="宋体" w:hAnsi="宋体" w:cs="宋体"/>
          <w:b/>
          <w:bCs/>
          <w:lang w:val="zh-CN"/>
        </w:rPr>
      </w:pPr>
    </w:p>
    <w:p>
      <w:pPr>
        <w:spacing w:line="360" w:lineRule="auto"/>
        <w:jc w:val="right"/>
        <w:rPr>
          <w:rFonts w:ascii="宋体" w:hAnsi="宋体"/>
          <w:bCs/>
          <w:szCs w:val="28"/>
        </w:rPr>
      </w:pPr>
      <w:r>
        <w:rPr>
          <w:rFonts w:hint="eastAsia" w:ascii="宋体" w:hAnsi="宋体"/>
          <w:bCs/>
          <w:szCs w:val="28"/>
        </w:rPr>
        <w:t>制造（生产）企业名称：       （公章）</w:t>
      </w:r>
    </w:p>
    <w:p>
      <w:pPr>
        <w:spacing w:line="360" w:lineRule="auto"/>
        <w:jc w:val="right"/>
        <w:rPr>
          <w:rFonts w:ascii="宋体" w:hAnsi="宋体"/>
          <w:bCs/>
          <w:szCs w:val="28"/>
        </w:rPr>
      </w:pPr>
      <w:r>
        <w:rPr>
          <w:rFonts w:hint="eastAsia" w:ascii="宋体" w:hAnsi="宋体"/>
          <w:bCs/>
          <w:szCs w:val="28"/>
        </w:rPr>
        <w:t>制造（生产）企业法定代表人：       （签字）</w:t>
      </w:r>
    </w:p>
    <w:p>
      <w:pPr>
        <w:spacing w:line="360" w:lineRule="auto"/>
        <w:jc w:val="right"/>
        <w:rPr>
          <w:rFonts w:ascii="宋体" w:hAnsi="宋体"/>
          <w:bCs/>
          <w:szCs w:val="28"/>
        </w:rPr>
      </w:pPr>
      <w:r>
        <w:rPr>
          <w:rFonts w:hint="eastAsia" w:ascii="宋体" w:hAnsi="宋体"/>
          <w:bCs/>
          <w:szCs w:val="28"/>
        </w:rPr>
        <w:t>日期：    年   月   日</w:t>
      </w:r>
    </w:p>
    <w:p>
      <w:pPr>
        <w:spacing w:line="360" w:lineRule="auto"/>
        <w:rPr>
          <w:lang w:val="zh-CN"/>
        </w:rPr>
      </w:pPr>
    </w:p>
    <w:p>
      <w:pPr>
        <w:pStyle w:val="5"/>
        <w:tabs>
          <w:tab w:val="left" w:pos="425"/>
        </w:tabs>
        <w:ind w:left="0"/>
        <w:rPr>
          <w:rFonts w:hint="default"/>
          <w:lang w:val="zh-CN"/>
        </w:rPr>
        <w:sectPr>
          <w:pgSz w:w="11906" w:h="16838"/>
          <w:pgMar w:top="1440" w:right="1644" w:bottom="1440" w:left="1644" w:header="851" w:footer="992" w:gutter="0"/>
          <w:cols w:space="720" w:num="1"/>
          <w:titlePg/>
          <w:docGrid w:linePitch="312" w:charSpace="0"/>
        </w:sectPr>
      </w:pPr>
      <w:bookmarkStart w:id="113" w:name="_Toc929"/>
      <w:bookmarkStart w:id="114" w:name="_Toc535422013"/>
      <w:bookmarkStart w:id="115" w:name="OLE_LINK13"/>
      <w:bookmarkStart w:id="116" w:name="OLE_LINK14"/>
      <w:bookmarkStart w:id="117" w:name="_Toc31287"/>
    </w:p>
    <w:p>
      <w:pPr>
        <w:pStyle w:val="5"/>
        <w:tabs>
          <w:tab w:val="left" w:pos="425"/>
        </w:tabs>
        <w:ind w:left="0"/>
        <w:rPr>
          <w:rFonts w:hint="default"/>
          <w:lang w:val="zh-CN"/>
        </w:rPr>
      </w:pPr>
      <w:bookmarkStart w:id="118" w:name="_Toc23237"/>
      <w:r>
        <w:rPr>
          <w:lang w:val="zh-CN"/>
        </w:rPr>
        <w:t>格式17、残疾人福利性单位声明函</w:t>
      </w:r>
      <w:bookmarkEnd w:id="113"/>
      <w:bookmarkEnd w:id="114"/>
      <w:bookmarkEnd w:id="118"/>
    </w:p>
    <w:p>
      <w:pPr>
        <w:spacing w:line="360" w:lineRule="auto"/>
        <w:jc w:val="center"/>
        <w:rPr>
          <w:rFonts w:ascii="宋体" w:hAnsi="宋体" w:cs="宋体"/>
          <w:b/>
          <w:bCs/>
          <w:sz w:val="28"/>
          <w:szCs w:val="28"/>
          <w:lang w:val="zh-CN"/>
        </w:rPr>
      </w:pPr>
      <w:r>
        <w:rPr>
          <w:rFonts w:hint="eastAsia" w:ascii="宋体" w:hAnsi="宋体" w:cs="宋体"/>
          <w:b/>
          <w:bCs/>
          <w:sz w:val="28"/>
          <w:szCs w:val="28"/>
          <w:lang w:val="zh-CN"/>
        </w:rPr>
        <w:t>残疾人福利性单位声明函</w:t>
      </w:r>
    </w:p>
    <w:bookmarkEnd w:id="115"/>
    <w:bookmarkEnd w:id="116"/>
    <w:p>
      <w:pPr>
        <w:spacing w:afterLines="50" w:line="360" w:lineRule="auto"/>
        <w:rPr>
          <w:rFonts w:ascii="宋体" w:hAnsi="宋体" w:cs="宋体"/>
          <w:bCs/>
        </w:rPr>
      </w:pPr>
    </w:p>
    <w:p>
      <w:pPr>
        <w:snapToGrid w:val="0"/>
        <w:spacing w:line="360" w:lineRule="auto"/>
        <w:ind w:left="6987" w:hanging="6987" w:hangingChars="2900"/>
        <w:rPr>
          <w:rFonts w:ascii="宋体" w:hAnsi="宋体" w:cs="宋体"/>
          <w:b/>
          <w:bCs/>
          <w:lang w:val="zh-CN"/>
        </w:rPr>
      </w:pPr>
      <w:r>
        <w:rPr>
          <w:rFonts w:hint="eastAsia" w:ascii="宋体" w:hAnsi="宋体" w:cs="宋体"/>
          <w:b/>
          <w:bCs/>
          <w:lang w:val="zh-CN"/>
        </w:rPr>
        <w:t>致：青海广维工程项目管理有限公司</w:t>
      </w:r>
    </w:p>
    <w:p>
      <w:pPr>
        <w:spacing w:line="360" w:lineRule="auto"/>
        <w:ind w:firstLine="480"/>
        <w:rPr>
          <w:rFonts w:ascii="宋体" w:hAnsi="宋体" w:cs="宋体"/>
        </w:rPr>
      </w:pPr>
    </w:p>
    <w:p>
      <w:pPr>
        <w:snapToGrid w:val="0"/>
        <w:ind w:left="-5" w:leftChars="-2" w:firstLine="480" w:firstLineChars="20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人。且本单位参加______单位的______项目采购活动提供本单位制造的货物（由本单位承担工程/提供服务），或者提供其他残疾人福利性单位制造的货物（不包括使用非残疾人福利性单位注册商标的货物）。</w:t>
      </w:r>
    </w:p>
    <w:p>
      <w:pPr>
        <w:snapToGrid w:val="0"/>
        <w:ind w:left="-5" w:leftChars="-2" w:firstLine="480" w:firstLineChars="200"/>
        <w:rPr>
          <w:rFonts w:ascii="宋体" w:hAnsi="宋体" w:cs="宋体"/>
        </w:rPr>
      </w:pPr>
      <w:r>
        <w:rPr>
          <w:rFonts w:hint="eastAsia" w:ascii="宋体" w:hAnsi="宋体" w:cs="宋体"/>
        </w:rPr>
        <w:t>本单位对上述声明的真实性负责。如有虚假，将依法承担相应责任。</w:t>
      </w:r>
    </w:p>
    <w:p>
      <w:pPr>
        <w:snapToGrid w:val="0"/>
        <w:ind w:left="-5" w:leftChars="-2" w:firstLine="480" w:firstLineChars="200"/>
        <w:rPr>
          <w:rFonts w:ascii="宋体" w:hAnsi="宋体" w:cs="宋体"/>
        </w:rPr>
      </w:pPr>
    </w:p>
    <w:p>
      <w:pPr>
        <w:snapToGrid w:val="0"/>
        <w:ind w:left="-5" w:leftChars="-2" w:firstLine="480" w:firstLineChars="200"/>
        <w:rPr>
          <w:rFonts w:ascii="宋体" w:hAnsi="宋体" w:cs="宋体"/>
        </w:rPr>
      </w:pPr>
      <w:r>
        <w:rPr>
          <w:rFonts w:hint="eastAsia" w:ascii="宋体" w:hAnsi="宋体" w:cs="宋体"/>
        </w:rPr>
        <w:t>注：若无此项内容，可不提供此函。</w:t>
      </w: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jc w:val="right"/>
        <w:rPr>
          <w:rFonts w:ascii="宋体" w:hAnsi="宋体"/>
          <w:bCs/>
          <w:szCs w:val="28"/>
        </w:rPr>
      </w:pPr>
      <w:r>
        <w:rPr>
          <w:rFonts w:hint="eastAsia" w:ascii="宋体" w:hAnsi="宋体"/>
          <w:bCs/>
          <w:szCs w:val="28"/>
        </w:rPr>
        <w:t>企业名称：              （公章）</w:t>
      </w:r>
    </w:p>
    <w:p>
      <w:pPr>
        <w:spacing w:line="360" w:lineRule="auto"/>
        <w:ind w:firstLine="482"/>
        <w:jc w:val="right"/>
        <w:rPr>
          <w:rFonts w:ascii="宋体" w:hAnsi="宋体"/>
          <w:bCs/>
          <w:szCs w:val="28"/>
        </w:rPr>
      </w:pPr>
      <w:r>
        <w:rPr>
          <w:rFonts w:hint="eastAsia" w:ascii="宋体" w:hAnsi="宋体"/>
          <w:bCs/>
          <w:szCs w:val="28"/>
        </w:rPr>
        <w:t xml:space="preserve">       企业法定代表人：       （签字或盖章）</w:t>
      </w:r>
    </w:p>
    <w:p>
      <w:pPr>
        <w:spacing w:line="360" w:lineRule="auto"/>
        <w:jc w:val="right"/>
        <w:rPr>
          <w:rFonts w:hAnsi="宋体"/>
          <w:bCs/>
          <w:szCs w:val="28"/>
        </w:rPr>
      </w:pPr>
      <w:r>
        <w:rPr>
          <w:rFonts w:hint="eastAsia" w:ascii="宋体" w:hAnsi="宋体"/>
          <w:bCs/>
          <w:szCs w:val="28"/>
        </w:rPr>
        <w:t>年   月  日</w:t>
      </w:r>
    </w:p>
    <w:p>
      <w:pPr>
        <w:pStyle w:val="5"/>
        <w:tabs>
          <w:tab w:val="left" w:pos="425"/>
        </w:tabs>
        <w:ind w:left="709" w:hanging="709"/>
        <w:rPr>
          <w:rFonts w:hint="default"/>
          <w:lang w:val="zh-CN"/>
        </w:rPr>
      </w:pPr>
    </w:p>
    <w:p>
      <w:pPr>
        <w:pStyle w:val="5"/>
        <w:tabs>
          <w:tab w:val="left" w:pos="425"/>
        </w:tabs>
        <w:ind w:left="709" w:hanging="709"/>
        <w:rPr>
          <w:rFonts w:hint="default"/>
          <w:lang w:val="zh-CN"/>
        </w:rPr>
      </w:pPr>
    </w:p>
    <w:p>
      <w:pPr>
        <w:pStyle w:val="5"/>
        <w:tabs>
          <w:tab w:val="left" w:pos="425"/>
        </w:tabs>
        <w:ind w:left="709" w:hanging="709"/>
        <w:rPr>
          <w:rFonts w:hint="default"/>
          <w:lang w:val="zh-CN"/>
        </w:rPr>
      </w:pPr>
    </w:p>
    <w:p>
      <w:pPr>
        <w:pStyle w:val="5"/>
        <w:tabs>
          <w:tab w:val="left" w:pos="425"/>
        </w:tabs>
        <w:ind w:left="0"/>
        <w:rPr>
          <w:rFonts w:hint="default"/>
          <w:lang w:val="zh-CN"/>
        </w:rPr>
      </w:pPr>
    </w:p>
    <w:p>
      <w:pPr>
        <w:pStyle w:val="5"/>
        <w:tabs>
          <w:tab w:val="left" w:pos="425"/>
        </w:tabs>
        <w:ind w:left="0"/>
        <w:rPr>
          <w:rFonts w:hint="default"/>
          <w:lang w:val="zh-CN"/>
        </w:rPr>
        <w:sectPr>
          <w:pgSz w:w="11906" w:h="16838"/>
          <w:pgMar w:top="1440" w:right="1644" w:bottom="1440" w:left="1644" w:header="851" w:footer="992" w:gutter="0"/>
          <w:pgBorders w:display="notFirstPage" w:offsetFrom="page">
            <w:top w:val="single" w:color="4472C4" w:sz="12" w:space="24"/>
            <w:left w:val="single" w:color="4472C4" w:sz="12" w:space="24"/>
            <w:bottom w:val="single" w:color="4472C4" w:sz="12" w:space="24"/>
            <w:right w:val="single" w:color="4472C4" w:sz="12" w:space="24"/>
          </w:pgBorders>
          <w:cols w:space="720" w:num="1"/>
          <w:titlePg/>
          <w:docGrid w:linePitch="312" w:charSpace="0"/>
        </w:sectPr>
      </w:pPr>
      <w:bookmarkStart w:id="119" w:name="_Toc23575"/>
      <w:bookmarkStart w:id="120" w:name="_Toc535422014"/>
    </w:p>
    <w:p>
      <w:pPr>
        <w:pStyle w:val="5"/>
        <w:tabs>
          <w:tab w:val="left" w:pos="425"/>
        </w:tabs>
        <w:ind w:left="0"/>
        <w:rPr>
          <w:rFonts w:hint="default"/>
          <w:lang w:val="zh-CN"/>
        </w:rPr>
      </w:pPr>
      <w:bookmarkStart w:id="121" w:name="_Toc10197"/>
      <w:r>
        <w:rPr>
          <w:lang w:val="zh-CN"/>
        </w:rPr>
        <w:t>格式18、磋商供应商认为在其他方面有必要说明的事项</w:t>
      </w:r>
      <w:bookmarkEnd w:id="117"/>
      <w:bookmarkEnd w:id="119"/>
      <w:bookmarkEnd w:id="120"/>
      <w:bookmarkEnd w:id="121"/>
    </w:p>
    <w:p>
      <w:pPr>
        <w:spacing w:line="360" w:lineRule="auto"/>
        <w:rPr>
          <w:rFonts w:ascii="宋体" w:hAnsi="宋体" w:cs="宋体"/>
          <w:lang w:val="zh-CN"/>
        </w:rPr>
      </w:pPr>
    </w:p>
    <w:p>
      <w:pPr>
        <w:pStyle w:val="10"/>
        <w:spacing w:line="360" w:lineRule="auto"/>
        <w:jc w:val="center"/>
        <w:rPr>
          <w:rFonts w:hAnsi="宋体" w:cs="宋体"/>
          <w:b/>
          <w:bCs/>
          <w:sz w:val="30"/>
          <w:szCs w:val="30"/>
          <w:lang w:val="zh-CN"/>
        </w:rPr>
      </w:pPr>
      <w:r>
        <w:rPr>
          <w:rFonts w:hint="eastAsia" w:hAnsi="宋体" w:cs="宋体"/>
          <w:b/>
          <w:bCs/>
          <w:sz w:val="32"/>
          <w:szCs w:val="30"/>
          <w:lang w:val="zh-CN"/>
        </w:rPr>
        <w:t>磋商供应商认为在其他方面有必要说明的事项</w:t>
      </w:r>
    </w:p>
    <w:p>
      <w:pPr>
        <w:spacing w:line="360" w:lineRule="auto"/>
        <w:rPr>
          <w:rFonts w:ascii="宋体" w:hAnsi="宋体" w:cs="宋体"/>
          <w:lang w:val="zh-CN"/>
        </w:rPr>
      </w:pPr>
    </w:p>
    <w:p>
      <w:pPr>
        <w:spacing w:line="360" w:lineRule="auto"/>
        <w:ind w:firstLine="480" w:firstLineChars="200"/>
        <w:rPr>
          <w:rFonts w:ascii="宋体" w:hAnsi="宋体" w:cs="宋体"/>
          <w:lang w:val="zh-CN"/>
        </w:rPr>
      </w:pPr>
      <w:r>
        <w:rPr>
          <w:rFonts w:hint="eastAsia" w:ascii="宋体" w:hAnsi="宋体" w:cs="宋体"/>
          <w:lang w:val="zh-CN"/>
        </w:rPr>
        <w:t>磋商供应商在参加本项目磋商中根据磋商文件的要求认为需要说明的事项，但不作为评标依据。如没有说明事项，此项可忽略。（格式可自定）</w:t>
      </w:r>
    </w:p>
    <w:p>
      <w:pPr>
        <w:pStyle w:val="5"/>
        <w:tabs>
          <w:tab w:val="left" w:pos="425"/>
        </w:tabs>
        <w:ind w:left="709" w:hanging="709"/>
        <w:rPr>
          <w:rFonts w:hint="default"/>
          <w:lang w:val="zh-CN"/>
        </w:rPr>
      </w:pPr>
      <w:r>
        <w:rPr>
          <w:bCs/>
          <w:sz w:val="24"/>
          <w:szCs w:val="28"/>
        </w:rPr>
        <w:br w:type="page"/>
      </w:r>
      <w:bookmarkStart w:id="122" w:name="_Toc23749"/>
      <w:bookmarkStart w:id="123" w:name="_Toc535422015"/>
      <w:bookmarkStart w:id="124" w:name="_Toc9775"/>
      <w:r>
        <w:rPr>
          <w:lang w:val="zh-CN"/>
        </w:rPr>
        <w:t>格式19、磋商最终报价表</w:t>
      </w:r>
      <w:bookmarkEnd w:id="122"/>
      <w:bookmarkEnd w:id="123"/>
      <w:r>
        <w:rPr>
          <w:sz w:val="36"/>
          <w:szCs w:val="36"/>
        </w:rPr>
        <w:t>（单独提交）</w:t>
      </w:r>
      <w:bookmarkEnd w:id="124"/>
    </w:p>
    <w:p>
      <w:pPr>
        <w:spacing w:line="360" w:lineRule="auto"/>
        <w:jc w:val="center"/>
        <w:rPr>
          <w:rFonts w:ascii="宋体" w:hAnsi="宋体"/>
          <w:b/>
          <w:sz w:val="32"/>
          <w:szCs w:val="36"/>
        </w:rPr>
      </w:pPr>
      <w:r>
        <w:rPr>
          <w:rFonts w:hint="eastAsia" w:ascii="宋体" w:hAnsi="宋体"/>
          <w:b/>
          <w:sz w:val="32"/>
          <w:szCs w:val="36"/>
        </w:rPr>
        <w:t>磋商最终报价表</w:t>
      </w:r>
    </w:p>
    <w:p>
      <w:pPr>
        <w:spacing w:line="360" w:lineRule="auto"/>
        <w:rPr>
          <w:rFonts w:ascii="宋体" w:hAnsi="宋体"/>
          <w:b/>
          <w:sz w:val="28"/>
          <w:szCs w:val="28"/>
        </w:rPr>
      </w:pPr>
      <w:r>
        <w:rPr>
          <w:rFonts w:hint="eastAsia" w:ascii="宋体" w:hAnsi="宋体"/>
          <w:b/>
          <w:szCs w:val="28"/>
        </w:rPr>
        <w:t xml:space="preserve">磋商供应商名称： </w:t>
      </w:r>
      <w:r>
        <w:rPr>
          <w:rFonts w:hint="eastAsia" w:ascii="宋体" w:hAnsi="宋体"/>
          <w:b/>
        </w:rPr>
        <w:t>单位：元</w:t>
      </w:r>
    </w:p>
    <w:tbl>
      <w:tblPr>
        <w:tblStyle w:val="15"/>
        <w:tblW w:w="7639" w:type="dxa"/>
        <w:tblInd w:w="0" w:type="dxa"/>
        <w:tblLayout w:type="fixed"/>
        <w:tblCellMar>
          <w:top w:w="0" w:type="dxa"/>
          <w:left w:w="108" w:type="dxa"/>
          <w:bottom w:w="0" w:type="dxa"/>
          <w:right w:w="108" w:type="dxa"/>
        </w:tblCellMar>
      </w:tblPr>
      <w:tblGrid>
        <w:gridCol w:w="2274"/>
        <w:gridCol w:w="2444"/>
        <w:gridCol w:w="1631"/>
        <w:gridCol w:w="1290"/>
      </w:tblGrid>
      <w:tr>
        <w:tblPrEx>
          <w:tblLayout w:type="fixed"/>
          <w:tblCellMar>
            <w:top w:w="0" w:type="dxa"/>
            <w:left w:w="108" w:type="dxa"/>
            <w:bottom w:w="0" w:type="dxa"/>
            <w:right w:w="108" w:type="dxa"/>
          </w:tblCellMar>
        </w:tblPrEx>
        <w:trPr>
          <w:trHeight w:val="978" w:hRule="atLeast"/>
        </w:trPr>
        <w:tc>
          <w:tcPr>
            <w:tcW w:w="227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Arial" w:hAnsi="Arial" w:cs="Arial"/>
                <w:lang w:val="zh-CN"/>
              </w:rPr>
            </w:pPr>
            <w:r>
              <w:rPr>
                <w:rFonts w:ascii="Arial" w:hAnsi="Arial" w:cs="Arial"/>
                <w:bCs/>
                <w:lang w:val="zh-CN"/>
              </w:rPr>
              <w:t>项目名称</w:t>
            </w:r>
          </w:p>
        </w:tc>
        <w:tc>
          <w:tcPr>
            <w:tcW w:w="244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482"/>
              <w:jc w:val="center"/>
              <w:rPr>
                <w:rFonts w:ascii="Arial" w:hAnsi="Arial" w:cs="Arial"/>
                <w:lang w:val="zh-CN"/>
              </w:rPr>
            </w:pPr>
            <w:r>
              <w:rPr>
                <w:rFonts w:hint="eastAsia" w:ascii="Arial" w:hAnsi="Arial" w:cs="Arial"/>
                <w:bCs/>
                <w:lang w:val="zh-CN"/>
              </w:rPr>
              <w:t>磋商首次</w:t>
            </w:r>
            <w:r>
              <w:rPr>
                <w:rFonts w:ascii="Arial" w:hAnsi="Arial" w:cs="Arial"/>
                <w:bCs/>
                <w:lang w:val="zh-CN"/>
              </w:rPr>
              <w:t>报价</w:t>
            </w:r>
          </w:p>
        </w:tc>
        <w:tc>
          <w:tcPr>
            <w:tcW w:w="163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Arial" w:hAnsi="Arial" w:cs="Arial"/>
                <w:bCs/>
                <w:lang w:val="zh-CN"/>
              </w:rPr>
            </w:pPr>
            <w:r>
              <w:rPr>
                <w:rFonts w:hint="eastAsia" w:ascii="Arial" w:hAnsi="Arial" w:cs="Arial"/>
                <w:bCs/>
                <w:lang w:val="zh-CN"/>
              </w:rPr>
              <w:t>服务</w:t>
            </w:r>
            <w:r>
              <w:rPr>
                <w:rFonts w:ascii="Arial" w:hAnsi="Arial" w:cs="Arial"/>
                <w:bCs/>
                <w:lang w:val="zh-CN"/>
              </w:rPr>
              <w:t>期</w:t>
            </w:r>
          </w:p>
          <w:p>
            <w:pPr>
              <w:spacing w:line="360" w:lineRule="auto"/>
              <w:jc w:val="center"/>
              <w:rPr>
                <w:rFonts w:ascii="Arial" w:hAnsi="Arial" w:cs="Arial"/>
                <w:lang w:val="zh-CN"/>
              </w:rPr>
            </w:pPr>
          </w:p>
        </w:tc>
        <w:tc>
          <w:tcPr>
            <w:tcW w:w="129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Arial" w:hAnsi="Arial" w:cs="Arial"/>
                <w:lang w:val="zh-CN"/>
              </w:rPr>
            </w:pPr>
            <w:r>
              <w:rPr>
                <w:rFonts w:ascii="Arial" w:hAnsi="Arial" w:cs="Arial"/>
                <w:bCs/>
                <w:lang w:val="zh-CN"/>
              </w:rPr>
              <w:t>备注</w:t>
            </w:r>
          </w:p>
        </w:tc>
      </w:tr>
      <w:tr>
        <w:tblPrEx>
          <w:tblLayout w:type="fixed"/>
          <w:tblCellMar>
            <w:top w:w="0" w:type="dxa"/>
            <w:left w:w="108" w:type="dxa"/>
            <w:bottom w:w="0" w:type="dxa"/>
            <w:right w:w="108" w:type="dxa"/>
          </w:tblCellMar>
        </w:tblPrEx>
        <w:trPr>
          <w:trHeight w:val="510" w:hRule="atLeast"/>
        </w:trPr>
        <w:tc>
          <w:tcPr>
            <w:tcW w:w="2274" w:type="dxa"/>
            <w:vMerge w:val="restart"/>
            <w:tcBorders>
              <w:top w:val="single" w:color="000000" w:sz="6" w:space="0"/>
              <w:left w:val="single" w:color="000000" w:sz="6" w:space="0"/>
              <w:right w:val="single" w:color="000000" w:sz="6" w:space="0"/>
            </w:tcBorders>
            <w:shd w:val="clear" w:color="000000" w:fill="FFFFFF"/>
            <w:vAlign w:val="center"/>
          </w:tcPr>
          <w:p>
            <w:pPr>
              <w:spacing w:line="360" w:lineRule="auto"/>
              <w:jc w:val="center"/>
              <w:rPr>
                <w:rFonts w:ascii="Arial" w:hAnsi="Arial" w:cs="Arial"/>
                <w:lang w:val="zh-CN"/>
              </w:rPr>
            </w:pPr>
          </w:p>
        </w:tc>
        <w:tc>
          <w:tcPr>
            <w:tcW w:w="244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Arial" w:hAnsi="Arial" w:cs="Arial"/>
                <w:lang w:val="zh-CN"/>
              </w:rPr>
            </w:pPr>
            <w:r>
              <w:rPr>
                <w:rFonts w:ascii="Arial" w:hAnsi="Arial" w:cs="Arial"/>
                <w:bCs/>
                <w:lang w:val="zh-CN"/>
              </w:rPr>
              <w:t>大写：</w:t>
            </w:r>
          </w:p>
        </w:tc>
        <w:tc>
          <w:tcPr>
            <w:tcW w:w="1631" w:type="dxa"/>
            <w:vMerge w:val="restart"/>
            <w:tcBorders>
              <w:top w:val="single" w:color="000000" w:sz="6" w:space="0"/>
              <w:left w:val="single" w:color="000000" w:sz="6" w:space="0"/>
              <w:right w:val="single" w:color="000000" w:sz="6" w:space="0"/>
            </w:tcBorders>
            <w:shd w:val="clear" w:color="000000" w:fill="FFFFFF"/>
            <w:vAlign w:val="center"/>
          </w:tcPr>
          <w:p>
            <w:pPr>
              <w:spacing w:line="360" w:lineRule="auto"/>
              <w:ind w:firstLine="197"/>
              <w:jc w:val="center"/>
              <w:rPr>
                <w:rFonts w:ascii="Arial" w:hAnsi="Arial" w:cs="Arial"/>
                <w:lang w:val="zh-CN"/>
              </w:rPr>
            </w:pPr>
          </w:p>
        </w:tc>
        <w:tc>
          <w:tcPr>
            <w:tcW w:w="1290"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Arial" w:hAnsi="Arial" w:cs="Arial"/>
                <w:lang w:val="zh-CN"/>
              </w:rPr>
            </w:pPr>
          </w:p>
        </w:tc>
      </w:tr>
      <w:tr>
        <w:tblPrEx>
          <w:tblLayout w:type="fixed"/>
          <w:tblCellMar>
            <w:top w:w="0" w:type="dxa"/>
            <w:left w:w="108" w:type="dxa"/>
            <w:bottom w:w="0" w:type="dxa"/>
            <w:right w:w="108" w:type="dxa"/>
          </w:tblCellMar>
        </w:tblPrEx>
        <w:trPr>
          <w:trHeight w:val="510" w:hRule="atLeast"/>
        </w:trPr>
        <w:tc>
          <w:tcPr>
            <w:tcW w:w="2274" w:type="dxa"/>
            <w:vMerge w:val="continue"/>
            <w:tcBorders>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Arial" w:hAnsi="Arial" w:cs="Arial"/>
                <w:lang w:val="zh-CN"/>
              </w:rPr>
            </w:pPr>
          </w:p>
        </w:tc>
        <w:tc>
          <w:tcPr>
            <w:tcW w:w="244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Arial" w:hAnsi="Arial" w:cs="Arial"/>
                <w:lang w:val="zh-CN"/>
              </w:rPr>
            </w:pPr>
            <w:r>
              <w:rPr>
                <w:rFonts w:ascii="Arial" w:hAnsi="Arial" w:cs="Arial"/>
                <w:bCs/>
                <w:lang w:val="zh-CN"/>
              </w:rPr>
              <w:t>小写：</w:t>
            </w:r>
          </w:p>
        </w:tc>
        <w:tc>
          <w:tcPr>
            <w:tcW w:w="1631" w:type="dxa"/>
            <w:vMerge w:val="continue"/>
            <w:tcBorders>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Arial" w:hAnsi="Arial" w:cs="Arial"/>
                <w:lang w:val="zh-CN"/>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Arial" w:hAnsi="Arial" w:cs="Arial"/>
                <w:lang w:val="zh-CN"/>
              </w:rPr>
            </w:pPr>
          </w:p>
        </w:tc>
      </w:tr>
      <w:tr>
        <w:tblPrEx>
          <w:tblLayout w:type="fixed"/>
          <w:tblCellMar>
            <w:top w:w="0" w:type="dxa"/>
            <w:left w:w="108" w:type="dxa"/>
            <w:bottom w:w="0" w:type="dxa"/>
            <w:right w:w="108" w:type="dxa"/>
          </w:tblCellMar>
        </w:tblPrEx>
        <w:trPr>
          <w:trHeight w:val="841" w:hRule="atLeast"/>
        </w:trPr>
        <w:tc>
          <w:tcPr>
            <w:tcW w:w="7639" w:type="dxa"/>
            <w:gridSpan w:val="4"/>
            <w:tcBorders>
              <w:top w:val="single" w:color="000000" w:sz="6" w:space="0"/>
              <w:left w:val="single" w:color="000000" w:sz="6" w:space="0"/>
              <w:bottom w:val="single" w:color="000000" w:sz="6" w:space="0"/>
              <w:right w:val="single" w:color="000000" w:sz="6" w:space="0"/>
            </w:tcBorders>
            <w:shd w:val="clear" w:color="000000" w:fill="FFFFFF"/>
          </w:tcPr>
          <w:p>
            <w:pPr>
              <w:spacing w:line="360" w:lineRule="auto"/>
              <w:rPr>
                <w:rFonts w:ascii="Arial" w:hAnsi="Arial" w:cs="Arial"/>
                <w:lang w:val="zh-CN"/>
              </w:rPr>
            </w:pPr>
            <w:r>
              <w:rPr>
                <w:rFonts w:ascii="Arial" w:hAnsi="Arial" w:cs="Arial"/>
                <w:bCs/>
                <w:lang w:val="zh-CN"/>
              </w:rPr>
              <w:t>优惠承诺及其他：</w:t>
            </w:r>
          </w:p>
        </w:tc>
      </w:tr>
    </w:tbl>
    <w:p>
      <w:pPr>
        <w:spacing w:line="360" w:lineRule="auto"/>
        <w:rPr>
          <w:rFonts w:ascii="宋体" w:hAnsi="宋体"/>
          <w:b/>
        </w:rPr>
      </w:pPr>
    </w:p>
    <w:p>
      <w:pPr>
        <w:spacing w:line="360" w:lineRule="auto"/>
        <w:ind w:firstLine="836" w:firstLineChars="347"/>
        <w:rPr>
          <w:rFonts w:ascii="楷体" w:hAnsi="楷体" w:eastAsia="楷体"/>
          <w:b/>
        </w:rPr>
      </w:pPr>
      <w:r>
        <w:rPr>
          <w:rFonts w:hint="eastAsia" w:ascii="楷体" w:hAnsi="楷体" w:eastAsia="楷体"/>
          <w:b/>
        </w:rPr>
        <w:t>注</w:t>
      </w:r>
      <w:r>
        <w:rPr>
          <w:rFonts w:ascii="楷体" w:hAnsi="楷体" w:eastAsia="楷体"/>
          <w:b/>
        </w:rPr>
        <w:t>：</w:t>
      </w:r>
      <w:r>
        <w:rPr>
          <w:rFonts w:hint="eastAsia" w:ascii="楷体" w:hAnsi="楷体" w:eastAsia="楷体"/>
          <w:b/>
        </w:rPr>
        <w:t>此表不需装订在磋商响应文件中，磋商供应商事先须盖章、签字。在磋商期间，由磋商小组确定合格的磋商供应商现场填写。</w:t>
      </w:r>
    </w:p>
    <w:p>
      <w:pPr>
        <w:tabs>
          <w:tab w:val="left" w:pos="168"/>
        </w:tabs>
        <w:spacing w:line="360" w:lineRule="auto"/>
        <w:textAlignment w:val="baseline"/>
        <w:rPr>
          <w:rFonts w:ascii="宋体" w:hAnsi="宋体"/>
          <w:b/>
          <w:bCs/>
          <w:sz w:val="28"/>
        </w:rPr>
      </w:pPr>
    </w:p>
    <w:p>
      <w:pPr>
        <w:tabs>
          <w:tab w:val="left" w:pos="168"/>
        </w:tabs>
        <w:spacing w:line="360" w:lineRule="auto"/>
        <w:textAlignment w:val="baseline"/>
        <w:rPr>
          <w:rFonts w:ascii="宋体" w:hAnsi="宋体"/>
          <w:b/>
          <w:bCs/>
          <w:sz w:val="28"/>
        </w:rPr>
      </w:pPr>
    </w:p>
    <w:p>
      <w:pPr>
        <w:tabs>
          <w:tab w:val="left" w:pos="168"/>
        </w:tabs>
        <w:spacing w:line="360" w:lineRule="auto"/>
        <w:textAlignment w:val="baseline"/>
        <w:rPr>
          <w:rFonts w:ascii="宋体" w:hAnsi="宋体"/>
          <w:b/>
          <w:bCs/>
          <w:sz w:val="28"/>
        </w:rPr>
      </w:pPr>
    </w:p>
    <w:p>
      <w:pPr>
        <w:tabs>
          <w:tab w:val="left" w:pos="168"/>
        </w:tabs>
        <w:spacing w:line="360" w:lineRule="auto"/>
        <w:textAlignment w:val="baseline"/>
        <w:rPr>
          <w:rFonts w:ascii="宋体" w:hAnsi="宋体"/>
          <w:b/>
          <w:bCs/>
          <w:sz w:val="28"/>
        </w:rPr>
      </w:pPr>
    </w:p>
    <w:p>
      <w:pPr>
        <w:tabs>
          <w:tab w:val="left" w:pos="168"/>
        </w:tabs>
        <w:spacing w:line="360" w:lineRule="auto"/>
        <w:textAlignment w:val="baseline"/>
        <w:rPr>
          <w:rFonts w:ascii="宋体" w:hAnsi="宋体"/>
          <w:bCs/>
          <w:sz w:val="28"/>
          <w:szCs w:val="28"/>
        </w:rPr>
      </w:pPr>
    </w:p>
    <w:p>
      <w:pPr>
        <w:tabs>
          <w:tab w:val="left" w:pos="168"/>
        </w:tabs>
        <w:spacing w:line="360" w:lineRule="auto"/>
        <w:jc w:val="right"/>
        <w:textAlignment w:val="baseline"/>
        <w:rPr>
          <w:rFonts w:ascii="宋体" w:hAnsi="宋体"/>
          <w:bCs/>
          <w:szCs w:val="28"/>
        </w:rPr>
      </w:pPr>
      <w:r>
        <w:rPr>
          <w:rFonts w:hint="eastAsia" w:ascii="宋体" w:hAnsi="宋体"/>
          <w:bCs/>
          <w:szCs w:val="28"/>
        </w:rPr>
        <w:t>磋商供应商：            （公章）</w:t>
      </w:r>
    </w:p>
    <w:p>
      <w:pPr>
        <w:tabs>
          <w:tab w:val="left" w:pos="168"/>
        </w:tabs>
        <w:spacing w:line="360" w:lineRule="auto"/>
        <w:jc w:val="right"/>
        <w:textAlignment w:val="baseline"/>
        <w:rPr>
          <w:rFonts w:ascii="宋体" w:hAnsi="宋体"/>
          <w:bCs/>
          <w:szCs w:val="28"/>
        </w:rPr>
      </w:pPr>
      <w:r>
        <w:rPr>
          <w:rFonts w:hint="eastAsia" w:ascii="宋体" w:hAnsi="宋体"/>
          <w:bCs/>
          <w:szCs w:val="28"/>
        </w:rPr>
        <w:t>委托代理人：                （签字）</w:t>
      </w:r>
    </w:p>
    <w:p>
      <w:pPr>
        <w:tabs>
          <w:tab w:val="left" w:pos="168"/>
        </w:tabs>
        <w:spacing w:line="360" w:lineRule="auto"/>
        <w:jc w:val="center"/>
        <w:textAlignment w:val="baseline"/>
        <w:rPr>
          <w:rFonts w:ascii="宋体" w:hAnsi="宋体"/>
          <w:bCs/>
          <w:szCs w:val="28"/>
        </w:rPr>
      </w:pPr>
      <w:r>
        <w:rPr>
          <w:rFonts w:hint="eastAsia" w:ascii="宋体" w:hAnsi="宋体"/>
          <w:bCs/>
          <w:szCs w:val="28"/>
        </w:rPr>
        <w:t xml:space="preserve">                            日期：    年   月   日</w:t>
      </w:r>
    </w:p>
    <w:p>
      <w:pPr>
        <w:spacing w:line="360" w:lineRule="auto"/>
        <w:jc w:val="center"/>
        <w:rPr>
          <w:rFonts w:ascii="宋体" w:hAnsi="宋体"/>
          <w:bCs/>
          <w:szCs w:val="28"/>
        </w:rPr>
      </w:pPr>
    </w:p>
    <w:p>
      <w:pPr>
        <w:spacing w:line="360" w:lineRule="auto"/>
        <w:rPr>
          <w:rFonts w:ascii="宋体" w:hAnsi="宋体"/>
        </w:rPr>
      </w:pPr>
      <w:bookmarkStart w:id="125" w:name="_Toc444715745"/>
      <w:bookmarkStart w:id="126" w:name="_Toc29404"/>
    </w:p>
    <w:p>
      <w:pPr>
        <w:pStyle w:val="13"/>
        <w:spacing w:before="0" w:after="0" w:line="360" w:lineRule="auto"/>
        <w:outlineLvl w:val="0"/>
        <w:rPr>
          <w:rFonts w:ascii="宋体" w:hAnsi="宋体"/>
          <w:sz w:val="48"/>
        </w:rPr>
      </w:pPr>
      <w:r>
        <w:rPr>
          <w:rFonts w:ascii="宋体" w:hAnsi="宋体"/>
          <w:sz w:val="48"/>
        </w:rPr>
        <w:br w:type="page"/>
      </w:r>
      <w:bookmarkStart w:id="127" w:name="_Toc2159"/>
      <w:bookmarkStart w:id="128" w:name="_Toc535422016"/>
      <w:bookmarkStart w:id="129" w:name="_Toc19192"/>
      <w:r>
        <w:rPr>
          <w:rFonts w:hint="eastAsia" w:ascii="宋体" w:hAnsi="宋体"/>
          <w:sz w:val="48"/>
        </w:rPr>
        <w:t>第六部分  采购项目要求及技术参数</w:t>
      </w:r>
      <w:bookmarkEnd w:id="125"/>
      <w:bookmarkEnd w:id="126"/>
      <w:bookmarkEnd w:id="127"/>
      <w:bookmarkEnd w:id="128"/>
      <w:bookmarkEnd w:id="129"/>
    </w:p>
    <w:p>
      <w:pPr>
        <w:pStyle w:val="4"/>
        <w:tabs>
          <w:tab w:val="left" w:pos="425"/>
        </w:tabs>
        <w:ind w:left="0"/>
        <w:rPr>
          <w:rFonts w:hint="default" w:ascii="Times New Roman"/>
          <w:kern w:val="2"/>
          <w:sz w:val="30"/>
          <w:szCs w:val="30"/>
        </w:rPr>
      </w:pPr>
      <w:bookmarkStart w:id="130" w:name="_Toc16706"/>
      <w:bookmarkStart w:id="131" w:name="_Toc24560"/>
      <w:r>
        <w:rPr>
          <w:rFonts w:ascii="Times New Roman"/>
          <w:kern w:val="2"/>
          <w:sz w:val="30"/>
          <w:szCs w:val="30"/>
        </w:rPr>
        <w:t>一、项目概况</w:t>
      </w:r>
      <w:bookmarkEnd w:id="130"/>
      <w:bookmarkEnd w:id="131"/>
    </w:p>
    <w:p>
      <w:pPr>
        <w:numPr>
          <w:ilvl w:val="0"/>
          <w:numId w:val="10"/>
        </w:numPr>
        <w:spacing w:line="360" w:lineRule="auto"/>
        <w:rPr>
          <w:szCs w:val="22"/>
        </w:rPr>
      </w:pPr>
      <w:r>
        <w:rPr>
          <w:rFonts w:hint="eastAsia"/>
          <w:szCs w:val="22"/>
        </w:rPr>
        <w:t>项目名称：</w:t>
      </w:r>
      <w:r>
        <w:rPr>
          <w:rFonts w:hint="eastAsia"/>
          <w:szCs w:val="22"/>
          <w:lang w:eastAsia="zh-CN"/>
        </w:rPr>
        <w:t>尖扎县环城北路道路工程服务采购项目（第三次）</w:t>
      </w:r>
    </w:p>
    <w:p>
      <w:pPr>
        <w:numPr>
          <w:ilvl w:val="0"/>
          <w:numId w:val="10"/>
        </w:numPr>
        <w:spacing w:line="360" w:lineRule="auto"/>
        <w:rPr>
          <w:szCs w:val="22"/>
        </w:rPr>
      </w:pPr>
      <w:r>
        <w:rPr>
          <w:rFonts w:hint="eastAsia"/>
          <w:szCs w:val="22"/>
        </w:rPr>
        <w:t>项目建设单位：尖扎县住房和城乡建设局</w:t>
      </w:r>
    </w:p>
    <w:p>
      <w:pPr>
        <w:numPr>
          <w:ilvl w:val="0"/>
          <w:numId w:val="10"/>
        </w:numPr>
        <w:spacing w:line="360" w:lineRule="auto"/>
        <w:rPr>
          <w:szCs w:val="22"/>
        </w:rPr>
      </w:pPr>
      <w:r>
        <w:rPr>
          <w:rFonts w:hint="eastAsia"/>
          <w:szCs w:val="22"/>
        </w:rPr>
        <w:t>建设地点：尖扎县</w:t>
      </w:r>
    </w:p>
    <w:p>
      <w:pPr>
        <w:numPr>
          <w:ilvl w:val="0"/>
          <w:numId w:val="10"/>
        </w:numPr>
        <w:spacing w:line="360" w:lineRule="auto"/>
      </w:pPr>
      <w:r>
        <w:rPr>
          <w:rFonts w:hint="eastAsia"/>
        </w:rPr>
        <w:t>项目建设规模及内容：1、</w:t>
      </w:r>
      <w:r>
        <w:rPr>
          <w:rFonts w:hint="eastAsia"/>
          <w:lang w:eastAsia="zh-CN"/>
        </w:rPr>
        <w:t>尖扎县环城北路道路工程服务采购项目（第三次）</w:t>
      </w:r>
    </w:p>
    <w:p>
      <w:pPr>
        <w:pStyle w:val="19"/>
        <w:numPr>
          <w:ilvl w:val="0"/>
          <w:numId w:val="10"/>
        </w:numPr>
        <w:spacing w:line="360" w:lineRule="auto"/>
        <w:ind w:left="0" w:firstLine="0"/>
        <w:rPr>
          <w:rFonts w:ascii="宋体" w:hAnsi="宋体" w:eastAsia="宋体" w:cs="宋体"/>
          <w:kern w:val="2"/>
          <w:szCs w:val="32"/>
        </w:rPr>
      </w:pPr>
      <w:r>
        <w:rPr>
          <w:rFonts w:hint="eastAsia" w:ascii="宋体" w:hAnsi="宋体" w:eastAsia="宋体" w:cs="宋体"/>
          <w:kern w:val="2"/>
          <w:szCs w:val="32"/>
        </w:rPr>
        <w:t>服务内容：1、初步设计编制 。2、施工图设计。</w:t>
      </w:r>
    </w:p>
    <w:p>
      <w:pPr>
        <w:pStyle w:val="19"/>
        <w:numPr>
          <w:ilvl w:val="0"/>
          <w:numId w:val="10"/>
        </w:numPr>
        <w:spacing w:line="360" w:lineRule="auto"/>
        <w:ind w:left="0" w:firstLine="0"/>
        <w:rPr>
          <w:rFonts w:ascii="宋体" w:hAnsi="宋体" w:eastAsia="宋体" w:cs="宋体"/>
          <w:kern w:val="2"/>
          <w:szCs w:val="32"/>
        </w:rPr>
      </w:pPr>
      <w:r>
        <w:rPr>
          <w:rFonts w:hint="eastAsia" w:ascii="宋体" w:hAnsi="宋体" w:eastAsia="宋体" w:cs="宋体"/>
          <w:kern w:val="2"/>
          <w:szCs w:val="32"/>
        </w:rPr>
        <w:t>服务期限：30日历日</w:t>
      </w:r>
    </w:p>
    <w:p>
      <w:pPr>
        <w:kinsoku w:val="0"/>
        <w:overflowPunct w:val="0"/>
        <w:rPr>
          <w:rFonts w:ascii="Arial" w:hAnsi="Arial"/>
          <w:color w:val="000000"/>
          <w:sz w:val="14"/>
        </w:rPr>
      </w:pPr>
    </w:p>
    <w:sectPr>
      <w:type w:val="continuous"/>
      <w:pgSz w:w="11910" w:h="16840"/>
      <w:pgMar w:top="1580" w:right="1540" w:bottom="1060" w:left="1680" w:header="720" w:footer="720" w:gutter="0"/>
      <w:cols w:equalWidth="0" w:num="2">
        <w:col w:w="7539" w:space="40"/>
        <w:col w:w="111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Blackoak Std">
    <w:altName w:val="Segoe Print"/>
    <w:panose1 w:val="00000000000000000000"/>
    <w:charset w:val="00"/>
    <w:family w:val="decorative"/>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overflowPunct w:val="0"/>
      <w:spacing w:line="14" w:lineRule="auto"/>
      <w:rPr>
        <w:sz w:val="10"/>
      </w:rPr>
    </w:pPr>
    <w:r>
      <w:pict>
        <v:shape id="文本框 1" o:spid="_x0000_s4097" o:spt="202" type="#_x0000_t202" style="position:absolute;left:0pt;margin-left:291.15pt;margin-top:782pt;height:11.2pt;width:13pt;mso-position-horizontal-relative:page;mso-position-vertical-relative:page;z-index:-251659264;mso-width-relative:page;mso-height-relative:page;" filled="f" stroked="f" coordsize="21600,21600" o:gfxdata="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M&#10;4Omv2gAAAA0BAAAPAAAAAAAAAAEAIAAAACIAAABkcnMvZG93bnJldi54bWxQSwECFAAUAAAACACH&#10;TuJA8wZVibABAAA9AwAADgAAAAAAAAABACAAAAApAQAAZHJzL2Uyb0RvYy54bWxQSwUGAAAAAAYA&#10;BgBZAQAASwUAAAAA&#10;">
          <v:path/>
          <v:fill on="f" focussize="0,0"/>
          <v:stroke on="f" joinstyle="miter"/>
          <v:imagedata o:title=""/>
          <o:lock v:ext="edit"/>
          <v:textbox inset="0mm,0mm,0mm,0mm">
            <w:txbxContent>
              <w:p>
                <w:pPr>
                  <w:kinsoku w:val="0"/>
                  <w:overflowPunct w:val="0"/>
                  <w:ind w:left="40"/>
                  <w:rPr>
                    <w:rFonts w:eastAsia="Times New Roman"/>
                    <w:sz w:val="18"/>
                  </w:rPr>
                </w:pPr>
                <w:r>
                  <w:rPr>
                    <w:rFonts w:hint="eastAsia" w:eastAsia="Times New Roman"/>
                    <w:sz w:val="18"/>
                  </w:rPr>
                  <w:fldChar w:fldCharType="begin"/>
                </w:r>
                <w:r>
                  <w:rPr>
                    <w:rFonts w:hint="eastAsia" w:eastAsia="Times New Roman"/>
                    <w:sz w:val="18"/>
                  </w:rPr>
                  <w:instrText xml:space="preserve"> PAGE </w:instrText>
                </w:r>
                <w:r>
                  <w:rPr>
                    <w:rFonts w:hint="eastAsia" w:eastAsia="Times New Roman"/>
                    <w:sz w:val="18"/>
                  </w:rPr>
                  <w:fldChar w:fldCharType="separate"/>
                </w:r>
                <w:r>
                  <w:rPr>
                    <w:rFonts w:eastAsia="Times New Roman"/>
                    <w:sz w:val="18"/>
                  </w:rPr>
                  <w:t>6</w:t>
                </w:r>
                <w:r>
                  <w:rPr>
                    <w:rFonts w:hint="eastAsia" w:eastAsia="Times New Roman"/>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4100" o:spid="_x0000_s4100"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FmfMxOnAQAAPwMAAA4AAAAA&#10;AAAAAQAgAAAAHgEAAGRycy9lMm9Eb2MueG1sUEsFBgAAAAAGAAYAWQEAADcFAAAAAA==&#1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23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5sK8K6YBAAA/AwAADgAAAAAA&#10;AAABACAAAAAeAQAAZHJzL2Uyb0RvYy54bWxQSwUGAAAAAAYABgBZAQAANgUAAAAA&#1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20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rFonts w:hint="default"/>
        <w:sz w:val="20"/>
      </w:rPr>
    </w:pPr>
    <w:r>
      <w:rPr>
        <w:rFonts w:hint="default"/>
      </w:rPr>
      <w:pict>
        <v:shape id="_x0000_s4098" o:spid="_x0000_s4098" o:spt="202" type="#_x0000_t202" style="position:absolute;left:0pt;margin-left:134.35pt;margin-top:77.05pt;height:12.45pt;width:152.85pt;mso-position-horizontal-relative:page;mso-position-vertical-relative:page;z-index:-251660288;mso-width-relative:page;mso-height-relative:page;" filled="f" stroked="f" coordsize="21600,21600" o:gfxdata="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esjyI2gAAAAsBAAAPAAAAAAAA&#10;AAEAIAAAACIAAABkcnMvZG93bnJldi54bWxQSwECFAAUAAAACACHTuJAcsTMcp4BAAAkAwAADgAA&#10;AAAAAAABACAAAAApAQAAZHJzL2Uyb0RvYy54bWxQSwUGAAAAAAYABgBZAQAAOQUAAAAA&#10;">
          <v:path/>
          <v:fill on="f" focussize="0,0"/>
          <v:stroke on="f" joinstyle="miter"/>
          <v:imagedata o:title=""/>
          <o:lock v:ext="edit"/>
          <v:textbox inset="0mm,0mm,0mm,0mm">
            <w:txbxContent>
              <w:p>
                <w:pPr>
                  <w:spacing w:line="249" w:lineRule="exact"/>
                  <w:rPr>
                    <w:b/>
                    <w:i/>
                    <w:sz w:val="22"/>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6895B0"/>
    <w:multiLevelType w:val="singleLevel"/>
    <w:tmpl w:val="A56895B0"/>
    <w:lvl w:ilvl="0" w:tentative="0">
      <w:start w:val="1"/>
      <w:numFmt w:val="decimal"/>
      <w:lvlText w:val="(%1)"/>
      <w:lvlJc w:val="left"/>
      <w:pPr>
        <w:tabs>
          <w:tab w:val="left" w:pos="312"/>
        </w:tabs>
      </w:pPr>
    </w:lvl>
  </w:abstractNum>
  <w:abstractNum w:abstractNumId="1">
    <w:nsid w:val="EE03065D"/>
    <w:multiLevelType w:val="singleLevel"/>
    <w:tmpl w:val="EE03065D"/>
    <w:lvl w:ilvl="0" w:tentative="0">
      <w:start w:val="1"/>
      <w:numFmt w:val="decimal"/>
      <w:suff w:val="nothing"/>
      <w:lvlText w:val="%1、"/>
      <w:lvlJc w:val="left"/>
    </w:lvl>
  </w:abstractNum>
  <w:abstractNum w:abstractNumId="2">
    <w:nsid w:val="04247E1C"/>
    <w:multiLevelType w:val="multilevel"/>
    <w:tmpl w:val="04247E1C"/>
    <w:lvl w:ilvl="0" w:tentative="0">
      <w:start w:val="1"/>
      <w:numFmt w:val="decimal"/>
      <w:lvlText w:val="（%1）"/>
      <w:lvlJc w:val="left"/>
      <w:pPr>
        <w:ind w:left="987" w:hanging="420"/>
      </w:pPr>
      <w:rPr>
        <w:rFonts w:hint="eastAsia"/>
      </w:rPr>
    </w:lvl>
    <w:lvl w:ilvl="1" w:tentative="0">
      <w:start w:val="1"/>
      <w:numFmt w:val="lowerLetter"/>
      <w:pStyle w:val="19"/>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084C0B88"/>
    <w:multiLevelType w:val="multilevel"/>
    <w:tmpl w:val="084C0B88"/>
    <w:lvl w:ilvl="0" w:tentative="0">
      <w:start w:val="1"/>
      <w:numFmt w:val="decimal"/>
      <w:lvlText w:val="%1."/>
      <w:lvlJc w:val="left"/>
      <w:pPr>
        <w:ind w:left="360" w:hanging="360"/>
      </w:pPr>
      <w:rPr>
        <w:rFonts w:hint="default"/>
        <w:b/>
      </w:rPr>
    </w:lvl>
    <w:lvl w:ilvl="1" w:tentative="0">
      <w:start w:val="1"/>
      <w:numFmt w:val="decimal"/>
      <w:isLgl/>
      <w:lvlText w:val="%1.%2"/>
      <w:lvlJc w:val="left"/>
      <w:pPr>
        <w:ind w:left="480" w:hanging="480"/>
      </w:pPr>
      <w:rPr>
        <w:rFonts w:hint="default"/>
        <w:b w:val="0"/>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4">
    <w:nsid w:val="0EE52C73"/>
    <w:multiLevelType w:val="multilevel"/>
    <w:tmpl w:val="0EE52C73"/>
    <w:lvl w:ilvl="0" w:tentative="0">
      <w:start w:val="1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25933C0A"/>
    <w:multiLevelType w:val="multilevel"/>
    <w:tmpl w:val="25933C0A"/>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6">
    <w:nsid w:val="5670449B"/>
    <w:multiLevelType w:val="multilevel"/>
    <w:tmpl w:val="5670449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B7609C1"/>
    <w:multiLevelType w:val="multilevel"/>
    <w:tmpl w:val="5B7609C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48D16CD"/>
    <w:multiLevelType w:val="multilevel"/>
    <w:tmpl w:val="748D16CD"/>
    <w:lvl w:ilvl="0" w:tentative="0">
      <w:start w:val="1"/>
      <w:numFmt w:val="decimal"/>
      <w:pStyle w:val="20"/>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79FF76B9"/>
    <w:multiLevelType w:val="multilevel"/>
    <w:tmpl w:val="79FF76B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8"/>
  </w:num>
  <w:num w:numId="3">
    <w:abstractNumId w:val="5"/>
  </w:num>
  <w:num w:numId="4">
    <w:abstractNumId w:val="0"/>
  </w:num>
  <w:num w:numId="5">
    <w:abstractNumId w:val="3"/>
  </w:num>
  <w:num w:numId="6">
    <w:abstractNumId w:val="6"/>
  </w:num>
  <w:num w:numId="7">
    <w:abstractNumId w:val="7"/>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doNotValidateAgainstSchema/>
  <w:doNotDemarcateInvalidXml/>
  <w:hdrShapeDefaults>
    <o:shapelayout v:ext="edit">
      <o:idmap v:ext="edit" data="3,4"/>
    </o:shapelayout>
  </w:hdrShapeDefaults>
  <w:compat>
    <w:spaceForUL/>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63660"/>
    <w:rsid w:val="00115F08"/>
    <w:rsid w:val="001174ED"/>
    <w:rsid w:val="00172A27"/>
    <w:rsid w:val="001A3F42"/>
    <w:rsid w:val="001C5A2C"/>
    <w:rsid w:val="001D6647"/>
    <w:rsid w:val="00291DFD"/>
    <w:rsid w:val="002F35DE"/>
    <w:rsid w:val="0035328D"/>
    <w:rsid w:val="00450E24"/>
    <w:rsid w:val="004E7CAE"/>
    <w:rsid w:val="00511FB7"/>
    <w:rsid w:val="00570010"/>
    <w:rsid w:val="005D386F"/>
    <w:rsid w:val="00661316"/>
    <w:rsid w:val="00706831"/>
    <w:rsid w:val="00753463"/>
    <w:rsid w:val="007F0854"/>
    <w:rsid w:val="00874226"/>
    <w:rsid w:val="0089384D"/>
    <w:rsid w:val="0098270F"/>
    <w:rsid w:val="009F511B"/>
    <w:rsid w:val="00A02C68"/>
    <w:rsid w:val="00A36F87"/>
    <w:rsid w:val="00B35993"/>
    <w:rsid w:val="00B4446B"/>
    <w:rsid w:val="00B47573"/>
    <w:rsid w:val="00B511DE"/>
    <w:rsid w:val="00B618B1"/>
    <w:rsid w:val="00B84673"/>
    <w:rsid w:val="00B8532E"/>
    <w:rsid w:val="00B91A5E"/>
    <w:rsid w:val="00C47AF8"/>
    <w:rsid w:val="00C64E55"/>
    <w:rsid w:val="00D0094C"/>
    <w:rsid w:val="00D05980"/>
    <w:rsid w:val="00D22636"/>
    <w:rsid w:val="00E064B1"/>
    <w:rsid w:val="00E56E15"/>
    <w:rsid w:val="00E61948"/>
    <w:rsid w:val="00EA2979"/>
    <w:rsid w:val="00F65D86"/>
    <w:rsid w:val="00FA244F"/>
    <w:rsid w:val="00FA6467"/>
    <w:rsid w:val="00FC7BF6"/>
    <w:rsid w:val="01067D9E"/>
    <w:rsid w:val="014B79BF"/>
    <w:rsid w:val="025738E7"/>
    <w:rsid w:val="025B7F40"/>
    <w:rsid w:val="036F048C"/>
    <w:rsid w:val="0390318D"/>
    <w:rsid w:val="03C02D62"/>
    <w:rsid w:val="056E4FB8"/>
    <w:rsid w:val="05BB7E0B"/>
    <w:rsid w:val="074F7645"/>
    <w:rsid w:val="08723B98"/>
    <w:rsid w:val="0A6E2AC6"/>
    <w:rsid w:val="0AFE7BB7"/>
    <w:rsid w:val="0B0A014E"/>
    <w:rsid w:val="0B3B554D"/>
    <w:rsid w:val="0CD317D0"/>
    <w:rsid w:val="0CE84BFB"/>
    <w:rsid w:val="0DE10030"/>
    <w:rsid w:val="0EF75C20"/>
    <w:rsid w:val="0FB531DB"/>
    <w:rsid w:val="0FFB2866"/>
    <w:rsid w:val="11023A46"/>
    <w:rsid w:val="11F819B2"/>
    <w:rsid w:val="152E5AC7"/>
    <w:rsid w:val="15C705FB"/>
    <w:rsid w:val="15C961DB"/>
    <w:rsid w:val="16924246"/>
    <w:rsid w:val="183601C5"/>
    <w:rsid w:val="18422ED4"/>
    <w:rsid w:val="18437889"/>
    <w:rsid w:val="1B01676E"/>
    <w:rsid w:val="1B396135"/>
    <w:rsid w:val="1BDA0236"/>
    <w:rsid w:val="1D4F214D"/>
    <w:rsid w:val="1FBD0CBD"/>
    <w:rsid w:val="20232C86"/>
    <w:rsid w:val="21EE4F2C"/>
    <w:rsid w:val="24D76605"/>
    <w:rsid w:val="265C3B58"/>
    <w:rsid w:val="26BF031E"/>
    <w:rsid w:val="270707F7"/>
    <w:rsid w:val="27E844D8"/>
    <w:rsid w:val="28FA0A5B"/>
    <w:rsid w:val="2A305F28"/>
    <w:rsid w:val="2AA57451"/>
    <w:rsid w:val="2B5D016C"/>
    <w:rsid w:val="2BFC6546"/>
    <w:rsid w:val="2C0D08B0"/>
    <w:rsid w:val="2F2D6E9E"/>
    <w:rsid w:val="2F3835F8"/>
    <w:rsid w:val="2F4E4C1F"/>
    <w:rsid w:val="31E80B3C"/>
    <w:rsid w:val="328D544D"/>
    <w:rsid w:val="334F0002"/>
    <w:rsid w:val="33CD2AB7"/>
    <w:rsid w:val="340C37BB"/>
    <w:rsid w:val="34FE5E42"/>
    <w:rsid w:val="354D290F"/>
    <w:rsid w:val="366F15DA"/>
    <w:rsid w:val="372E07B8"/>
    <w:rsid w:val="390D4224"/>
    <w:rsid w:val="39145CCC"/>
    <w:rsid w:val="3AE038DB"/>
    <w:rsid w:val="3B584FC5"/>
    <w:rsid w:val="3B6C159F"/>
    <w:rsid w:val="3BA73256"/>
    <w:rsid w:val="3E627A9C"/>
    <w:rsid w:val="3E7D52C9"/>
    <w:rsid w:val="3FA6002E"/>
    <w:rsid w:val="402E55EB"/>
    <w:rsid w:val="40783D29"/>
    <w:rsid w:val="42ED12ED"/>
    <w:rsid w:val="440431CF"/>
    <w:rsid w:val="44121D6E"/>
    <w:rsid w:val="454779DF"/>
    <w:rsid w:val="472552EF"/>
    <w:rsid w:val="478417E1"/>
    <w:rsid w:val="48654C04"/>
    <w:rsid w:val="4868675B"/>
    <w:rsid w:val="48AA46EE"/>
    <w:rsid w:val="48E25FE9"/>
    <w:rsid w:val="49BE7357"/>
    <w:rsid w:val="4B0E190E"/>
    <w:rsid w:val="4BE31B33"/>
    <w:rsid w:val="4FD025BD"/>
    <w:rsid w:val="4FF4389A"/>
    <w:rsid w:val="51441A8E"/>
    <w:rsid w:val="51AF17FF"/>
    <w:rsid w:val="52291164"/>
    <w:rsid w:val="538F57F3"/>
    <w:rsid w:val="53D17A64"/>
    <w:rsid w:val="53EE2AEE"/>
    <w:rsid w:val="54561997"/>
    <w:rsid w:val="54993F89"/>
    <w:rsid w:val="5641364C"/>
    <w:rsid w:val="56773C1C"/>
    <w:rsid w:val="57DD6AEB"/>
    <w:rsid w:val="58854BDD"/>
    <w:rsid w:val="58A72A95"/>
    <w:rsid w:val="58D061C0"/>
    <w:rsid w:val="5B656656"/>
    <w:rsid w:val="5C592516"/>
    <w:rsid w:val="5CA613D1"/>
    <w:rsid w:val="5DCC4ADF"/>
    <w:rsid w:val="5EB5385F"/>
    <w:rsid w:val="5EC55460"/>
    <w:rsid w:val="5EDB5C4C"/>
    <w:rsid w:val="5F487A4D"/>
    <w:rsid w:val="5FF24F60"/>
    <w:rsid w:val="62385DFA"/>
    <w:rsid w:val="63E3260A"/>
    <w:rsid w:val="65913440"/>
    <w:rsid w:val="65FA206E"/>
    <w:rsid w:val="66BC62E4"/>
    <w:rsid w:val="691B2B52"/>
    <w:rsid w:val="6BA608D8"/>
    <w:rsid w:val="6CB80844"/>
    <w:rsid w:val="6D924ED7"/>
    <w:rsid w:val="6D9E2B96"/>
    <w:rsid w:val="6E167DFB"/>
    <w:rsid w:val="6EF8382B"/>
    <w:rsid w:val="6FA14312"/>
    <w:rsid w:val="6FBB195C"/>
    <w:rsid w:val="6FCC32DE"/>
    <w:rsid w:val="70064251"/>
    <w:rsid w:val="70331770"/>
    <w:rsid w:val="71AF5168"/>
    <w:rsid w:val="742619B1"/>
    <w:rsid w:val="743101B7"/>
    <w:rsid w:val="74352074"/>
    <w:rsid w:val="764D17AD"/>
    <w:rsid w:val="76617C63"/>
    <w:rsid w:val="767F2908"/>
    <w:rsid w:val="76DD6907"/>
    <w:rsid w:val="76E1660F"/>
    <w:rsid w:val="76F9653D"/>
    <w:rsid w:val="77E10AB7"/>
    <w:rsid w:val="77EA03C7"/>
    <w:rsid w:val="79897380"/>
    <w:rsid w:val="7C554E37"/>
    <w:rsid w:val="7CD050A0"/>
    <w:rsid w:val="7F7652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1" w:semiHidden="0" w:name="heading 3"/>
    <w:lsdException w:qFormat="1" w:uiPriority="1"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1" w:semiHidden="0" w:name="Default Paragraph Font"/>
    <w:lsdException w:qFormat="1"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0"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1"/>
    <w:pPr>
      <w:widowControl w:val="0"/>
      <w:autoSpaceDE w:val="0"/>
      <w:autoSpaceDN w:val="0"/>
      <w:adjustRightInd w:val="0"/>
    </w:pPr>
    <w:rPr>
      <w:rFonts w:ascii="Times New Roman" w:hAnsi="Times New Roman" w:eastAsia="宋体" w:cs="Times New Roman"/>
      <w:sz w:val="24"/>
      <w:lang w:val="en-US" w:eastAsia="zh-CN" w:bidi="ar-SA"/>
    </w:rPr>
  </w:style>
  <w:style w:type="paragraph" w:styleId="3">
    <w:name w:val="heading 1"/>
    <w:basedOn w:val="1"/>
    <w:next w:val="1"/>
    <w:unhideWhenUsed/>
    <w:qFormat/>
    <w:uiPriority w:val="1"/>
    <w:pPr>
      <w:outlineLvl w:val="0"/>
    </w:pPr>
    <w:rPr>
      <w:rFonts w:hint="eastAsia" w:ascii="Microsoft JhengHei" w:hAnsi="Microsoft JhengHei" w:eastAsia="Microsoft JhengHei"/>
      <w:b/>
      <w:sz w:val="36"/>
    </w:rPr>
  </w:style>
  <w:style w:type="paragraph" w:styleId="4">
    <w:name w:val="heading 2"/>
    <w:basedOn w:val="1"/>
    <w:next w:val="1"/>
    <w:unhideWhenUsed/>
    <w:qFormat/>
    <w:uiPriority w:val="1"/>
    <w:pPr>
      <w:ind w:left="120"/>
      <w:outlineLvl w:val="1"/>
    </w:pPr>
    <w:rPr>
      <w:rFonts w:hint="eastAsia" w:ascii="Microsoft JhengHei" w:hAnsi="Microsoft JhengHei" w:eastAsia="Microsoft JhengHei"/>
      <w:b/>
      <w:sz w:val="32"/>
    </w:rPr>
  </w:style>
  <w:style w:type="paragraph" w:styleId="5">
    <w:name w:val="heading 3"/>
    <w:basedOn w:val="4"/>
    <w:next w:val="1"/>
    <w:unhideWhenUsed/>
    <w:qFormat/>
    <w:uiPriority w:val="1"/>
    <w:pPr>
      <w:outlineLvl w:val="2"/>
    </w:pPr>
    <w:rPr>
      <w:rFonts w:ascii="宋体" w:hAnsi="宋体" w:eastAsia="宋体"/>
    </w:rPr>
  </w:style>
  <w:style w:type="paragraph" w:styleId="6">
    <w:name w:val="heading 4"/>
    <w:basedOn w:val="1"/>
    <w:next w:val="1"/>
    <w:unhideWhenUsed/>
    <w:qFormat/>
    <w:uiPriority w:val="1"/>
    <w:pPr>
      <w:ind w:left="120"/>
      <w:outlineLvl w:val="3"/>
    </w:pPr>
    <w:rPr>
      <w:rFonts w:hint="eastAsia" w:ascii="Microsoft JhengHei" w:hAnsi="Microsoft JhengHei" w:eastAsia="Microsoft JhengHei"/>
      <w:b/>
      <w:sz w:val="28"/>
    </w:rPr>
  </w:style>
  <w:style w:type="character" w:default="1" w:styleId="14">
    <w:name w:val="Default Paragraph Font"/>
    <w:unhideWhenUsed/>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2">
    <w:name w:val="Body Text 2"/>
    <w:basedOn w:val="1"/>
    <w:qFormat/>
    <w:uiPriority w:val="0"/>
    <w:pPr>
      <w:spacing w:after="120" w:line="480" w:lineRule="auto"/>
    </w:pPr>
    <w:rPr>
      <w:szCs w:val="24"/>
    </w:rPr>
  </w:style>
  <w:style w:type="paragraph" w:styleId="7">
    <w:name w:val="Normal Indent"/>
    <w:basedOn w:val="1"/>
    <w:qFormat/>
    <w:uiPriority w:val="0"/>
    <w:pPr>
      <w:ind w:firstLine="420" w:firstLineChars="200"/>
    </w:pPr>
  </w:style>
  <w:style w:type="paragraph" w:styleId="8">
    <w:name w:val="Salutation"/>
    <w:basedOn w:val="1"/>
    <w:next w:val="1"/>
    <w:qFormat/>
    <w:uiPriority w:val="0"/>
    <w:rPr>
      <w:rFonts w:ascii="宋体" w:eastAsia="仿宋_GB2312"/>
      <w:kern w:val="2"/>
    </w:rPr>
  </w:style>
  <w:style w:type="paragraph" w:styleId="9">
    <w:name w:val="Body Text"/>
    <w:basedOn w:val="1"/>
    <w:link w:val="23"/>
    <w:unhideWhenUsed/>
    <w:qFormat/>
    <w:uiPriority w:val="1"/>
    <w:pPr>
      <w:spacing w:before="89"/>
      <w:ind w:left="120"/>
    </w:pPr>
    <w:rPr>
      <w:rFonts w:hint="eastAsia" w:ascii="宋体" w:hAnsi="宋体"/>
    </w:rPr>
  </w:style>
  <w:style w:type="paragraph" w:styleId="10">
    <w:name w:val="Plain Text"/>
    <w:basedOn w:val="1"/>
    <w:qFormat/>
    <w:uiPriority w:val="0"/>
    <w:rPr>
      <w:rFonts w:ascii="宋体" w:hAnsi="Courier New"/>
      <w:sz w:val="20"/>
    </w:rPr>
  </w:style>
  <w:style w:type="paragraph" w:styleId="11">
    <w:name w:val="footer"/>
    <w:basedOn w:val="1"/>
    <w:qFormat/>
    <w:uiPriority w:val="99"/>
    <w:pPr>
      <w:tabs>
        <w:tab w:val="center" w:pos="4153"/>
        <w:tab w:val="right" w:pos="8306"/>
      </w:tabs>
      <w:snapToGrid w:val="0"/>
    </w:pPr>
    <w:rPr>
      <w:sz w:val="18"/>
    </w:rPr>
  </w:style>
  <w:style w:type="paragraph" w:styleId="12">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customStyle="1" w:styleId="16">
    <w:name w:val="Table Paragraph"/>
    <w:basedOn w:val="1"/>
    <w:unhideWhenUsed/>
    <w:qFormat/>
    <w:uiPriority w:val="1"/>
  </w:style>
  <w:style w:type="paragraph" w:customStyle="1" w:styleId="17">
    <w:name w:val="List Paragraph"/>
    <w:basedOn w:val="1"/>
    <w:unhideWhenUsed/>
    <w:qFormat/>
    <w:uiPriority w:val="1"/>
  </w:style>
  <w:style w:type="paragraph" w:customStyle="1" w:styleId="1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引言二级条标题"/>
    <w:basedOn w:val="20"/>
    <w:next w:val="21"/>
    <w:qFormat/>
    <w:uiPriority w:val="99"/>
    <w:pPr>
      <w:numPr>
        <w:ilvl w:val="1"/>
        <w:numId w:val="1"/>
      </w:numPr>
      <w:tabs>
        <w:tab w:val="left" w:pos="360"/>
        <w:tab w:val="left" w:pos="1200"/>
      </w:tabs>
    </w:pPr>
    <w:rPr>
      <w:b w:val="0"/>
    </w:rPr>
  </w:style>
  <w:style w:type="paragraph" w:customStyle="1" w:styleId="20">
    <w:name w:val="引言一级条标题"/>
    <w:basedOn w:val="1"/>
    <w:next w:val="21"/>
    <w:qFormat/>
    <w:uiPriority w:val="0"/>
    <w:pPr>
      <w:widowControl/>
      <w:numPr>
        <w:ilvl w:val="0"/>
        <w:numId w:val="2"/>
      </w:numPr>
    </w:pPr>
    <w:rPr>
      <w:rFonts w:eastAsia="黑体"/>
      <w:b/>
    </w:rPr>
  </w:style>
  <w:style w:type="paragraph" w:customStyle="1" w:styleId="2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
    <w:name w:val="正文_0"/>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character" w:customStyle="1" w:styleId="23">
    <w:name w:val="正文文本 Char"/>
    <w:basedOn w:val="14"/>
    <w:link w:val="9"/>
    <w:qFormat/>
    <w:uiPriority w:val="1"/>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100"/>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4857</Words>
  <Characters>27688</Characters>
  <Lines>230</Lines>
  <Paragraphs>64</Paragraphs>
  <ScaleCrop>false</ScaleCrop>
  <LinksUpToDate>false</LinksUpToDate>
  <CharactersWithSpaces>32481</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2020-07-08T08:56:00Z</dcterms:created>
  <dc:creator>Administrator</dc:creator>
  <cp:lastModifiedBy>Administrator</cp:lastModifiedBy>
  <dcterms:modified xsi:type="dcterms:W3CDTF">2020-10-09T01:11:57Z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