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青海鼎钊竞磋（货物）</w:t>
      </w:r>
      <w:r>
        <w:rPr>
          <w:rFonts w:hint="eastAsia" w:ascii="宋体" w:hAnsi="宋体" w:eastAsia="宋体" w:cs="宋体"/>
          <w:b/>
          <w:color w:val="auto"/>
          <w:sz w:val="36"/>
          <w:szCs w:val="36"/>
          <w:lang w:eastAsia="zh-CN"/>
        </w:rPr>
        <w:t>2020-054</w:t>
      </w:r>
    </w:p>
    <w:p>
      <w:pPr>
        <w:adjustRightInd w:val="0"/>
        <w:spacing w:line="720" w:lineRule="auto"/>
        <w:ind w:left="2530" w:right="420" w:rightChars="200"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监控及门禁系统建设采购项目</w:t>
      </w:r>
    </w:p>
    <w:p>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青海省公安厅</w:t>
      </w:r>
    </w:p>
    <w:p>
      <w:pPr>
        <w:spacing w:line="720" w:lineRule="auto"/>
        <w:ind w:firstLine="0" w:firstLineChars="0"/>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青海鼎钊招标代理有限公司</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2020年</w:t>
      </w:r>
      <w:r>
        <w:rPr>
          <w:rFonts w:hint="eastAsia" w:ascii="宋体" w:hAnsi="宋体" w:eastAsia="宋体" w:cs="宋体"/>
          <w:b/>
          <w:bCs/>
          <w:color w:val="auto"/>
          <w:sz w:val="36"/>
          <w:szCs w:val="36"/>
          <w:lang w:val="en-US" w:eastAsia="zh-CN"/>
        </w:rPr>
        <w:t>10</w:t>
      </w:r>
      <w:r>
        <w:rPr>
          <w:rFonts w:hint="eastAsia" w:ascii="宋体" w:hAnsi="宋体" w:eastAsia="宋体" w:cs="宋体"/>
          <w:b/>
          <w:bCs/>
          <w:color w:val="auto"/>
          <w:sz w:val="36"/>
          <w:szCs w:val="36"/>
          <w:lang w:eastAsia="zh-CN"/>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Cs/>
          <w:color w:val="auto"/>
          <w:sz w:val="24"/>
          <w:szCs w:val="24"/>
        </w:rPr>
      </w:pPr>
      <w:r>
        <w:rPr>
          <w:rFonts w:hint="eastAsia" w:ascii="宋体" w:hAnsi="宋体" w:eastAsia="宋体" w:cs="宋体"/>
          <w:b/>
          <w:color w:val="auto"/>
          <w:sz w:val="40"/>
          <w:szCs w:val="40"/>
        </w:rPr>
        <w:t>目  录</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TOC \o "1-3" \h \z \u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_Toc13896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第一部分</w:t>
      </w:r>
      <w:r>
        <w:rPr>
          <w:rFonts w:hint="eastAsia" w:ascii="宋体" w:hAnsi="宋体" w:eastAsia="宋体" w:cs="宋体"/>
          <w:b w:val="0"/>
          <w:bCs/>
          <w:i w:val="0"/>
          <w:iCs w:val="0"/>
          <w:color w:val="auto"/>
          <w:sz w:val="24"/>
          <w:szCs w:val="24"/>
          <w:lang w:val="en-US" w:eastAsia="zh-CN"/>
        </w:rPr>
        <w:t xml:space="preserve">  </w:t>
      </w:r>
      <w:r>
        <w:rPr>
          <w:rFonts w:hint="eastAsia" w:ascii="宋体" w:hAnsi="宋体" w:eastAsia="宋体" w:cs="宋体"/>
          <w:b w:val="0"/>
          <w:bCs/>
          <w:i w:val="0"/>
          <w:iCs w:val="0"/>
          <w:color w:val="auto"/>
          <w:sz w:val="24"/>
          <w:szCs w:val="24"/>
          <w:lang w:val="zh-CN"/>
        </w:rPr>
        <w:t>投标邀请</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_Toc13896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3</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_Toc29051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第二部分</w:t>
      </w:r>
      <w:r>
        <w:rPr>
          <w:rFonts w:hint="eastAsia" w:ascii="宋体" w:hAnsi="宋体" w:eastAsia="宋体" w:cs="宋体"/>
          <w:b w:val="0"/>
          <w:bCs/>
          <w:i w:val="0"/>
          <w:iCs w:val="0"/>
          <w:color w:val="auto"/>
          <w:sz w:val="24"/>
          <w:szCs w:val="24"/>
          <w:lang w:val="en-US" w:eastAsia="zh-CN"/>
        </w:rPr>
        <w:t xml:space="preserve">  </w:t>
      </w:r>
      <w:r>
        <w:rPr>
          <w:rFonts w:hint="eastAsia" w:ascii="宋体" w:hAnsi="宋体" w:eastAsia="宋体" w:cs="宋体"/>
          <w:b w:val="0"/>
          <w:bCs/>
          <w:i w:val="0"/>
          <w:iCs w:val="0"/>
          <w:color w:val="auto"/>
          <w:sz w:val="24"/>
          <w:szCs w:val="24"/>
          <w:lang w:val="zh-CN"/>
        </w:rPr>
        <w:t>供应商须知前附表</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_Toc29051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5</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_Toc23840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第三部分  供应商须知</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_Toc23840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7</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_Toc28328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一、说  明</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_Toc28328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7</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_Toc30742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1.适用范围</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_Toc30742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7</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_Toc12134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2.采购方式、合格的供应商</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_Toc12134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7</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_Toc9628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3.磋商费用</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_Toc9628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7</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_Toc27068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二、磋商文件说明</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_Toc27068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7</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_Toc30601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4.磋商文件的构成</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_Toc30601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7</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_Toc5192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5.</w:t>
      </w:r>
      <w:r>
        <w:rPr>
          <w:rFonts w:hint="eastAsia" w:ascii="宋体" w:hAnsi="宋体" w:eastAsia="宋体" w:cs="宋体"/>
          <w:b w:val="0"/>
          <w:bCs/>
          <w:i w:val="0"/>
          <w:iCs w:val="0"/>
          <w:color w:val="auto"/>
          <w:sz w:val="24"/>
          <w:szCs w:val="24"/>
          <w:lang w:val="en-US" w:eastAsia="zh-CN"/>
        </w:rPr>
        <w:t>磋商</w:t>
      </w:r>
      <w:r>
        <w:rPr>
          <w:rFonts w:hint="eastAsia" w:ascii="宋体" w:hAnsi="宋体" w:eastAsia="宋体" w:cs="宋体"/>
          <w:b w:val="0"/>
          <w:bCs/>
          <w:i w:val="0"/>
          <w:iCs w:val="0"/>
          <w:color w:val="auto"/>
          <w:sz w:val="24"/>
          <w:szCs w:val="24"/>
          <w:lang w:val="zh-CN"/>
        </w:rPr>
        <w:t>文件、采购活动和</w:t>
      </w:r>
      <w:r>
        <w:rPr>
          <w:rFonts w:hint="eastAsia" w:ascii="宋体" w:hAnsi="宋体" w:eastAsia="宋体" w:cs="宋体"/>
          <w:b w:val="0"/>
          <w:bCs/>
          <w:i w:val="0"/>
          <w:iCs w:val="0"/>
          <w:color w:val="auto"/>
          <w:sz w:val="24"/>
          <w:szCs w:val="24"/>
          <w:lang w:val="en-US" w:eastAsia="zh-CN"/>
        </w:rPr>
        <w:t>成交</w:t>
      </w:r>
      <w:r>
        <w:rPr>
          <w:rFonts w:hint="eastAsia" w:ascii="宋体" w:hAnsi="宋体" w:eastAsia="宋体" w:cs="宋体"/>
          <w:b w:val="0"/>
          <w:bCs/>
          <w:i w:val="0"/>
          <w:iCs w:val="0"/>
          <w:color w:val="auto"/>
          <w:sz w:val="24"/>
          <w:szCs w:val="24"/>
          <w:lang w:val="zh-CN"/>
        </w:rPr>
        <w:t>结果的质疑</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_Toc5192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7</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_Toc11652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6.磋商文件的澄清、修改</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_Toc11652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8</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_Toc3479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三、响应文件的编制</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_Toc3479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8</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_Toc15229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7.响应文件的语言及度量衡单位</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_Toc15229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8</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_Toc4891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8.磋商保证金</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_Toc4891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8</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_Toc17722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9.磋商有效期</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_Toc17722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9</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_Toc11556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10.响应文件构成</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_Toc11556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9</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_Toc16131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11.响应文件编印和签署</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_Toc16131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10</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_Toc8000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四、响应文件的递交</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_Toc8000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10</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_Toc9454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12.响应文件的密封和标记</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_Toc9454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10</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_Toc10471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13.提交响应文件截止时间、地点</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_Toc10471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10</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_Toc1377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五、磋商过程</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_Toc1377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10</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_Toc112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14.磋商过程</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_Toc112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10</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_Toc16575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六、磋商程序及方法</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_Toc16575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11</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_Toc655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15.磋商小组</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_Toc655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11</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_Toc12122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16.磋商程序</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_Toc12122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12</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_Toc8949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17.评审办法</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_Toc8949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13</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_Toc10274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七、确定成交供应商</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_Toc10274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15</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_Toc20171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18.推荐并确定成交供应商</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_Toc20171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15</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_Toc30127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19.成交通知</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_Toc30127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15</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_Toc14362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八、授予合同</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_Toc14362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15</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_Toc29832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20.签订合同</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_Toc29832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15</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_Toc31071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九、磋商活动终止</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_Toc31071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15</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_Toc11493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21.终止情形</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_Toc11493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15</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_Toc15072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十、处罚</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_Toc15072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16</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_Toc2875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22.处罚情形</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_Toc2875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16</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_Toc3959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十一、其他</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_Toc3959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16</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_Toc13897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第四部分  采购项目合同书</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_Toc13897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17</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_Toc11506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第五部分  响应文件格式</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_Toc11506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31</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_Toc13961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附件1：响应文件封面</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_Toc13961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31</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_Toc1083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附件2：磋商函</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_Toc1083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32</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_Toc562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附件3：投标报价一览表</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_Toc562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33</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_Toc8155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附件4：技术规格响应表</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_Toc8155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35</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_Toc23077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附件5：法定代表人证明书</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_Toc23077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36</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_Toc9123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附件6：法定代表人授权书</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_Toc9123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37</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_Toc1926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附件7：供应商承诺函</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_Toc1926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38</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_Toc24183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附件8：供应商诚信承诺书</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_Toc24183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39</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_Toc18122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附件9：资格证明材料</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_Toc18122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40</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_Toc10125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附件10：财务状况证明</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_Toc10125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41</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_Toc21631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附件11：具备履行合同所必须的设备和专业技术能力证明</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_Toc21631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42</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_Toc19111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附件12：无重大违法记录声明</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_Toc19111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43</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_Toc28961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附件13：磋商保证金</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_Toc28961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44</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_Toc8973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eastAsia="zh-CN"/>
        </w:rPr>
        <w:t>附件</w:t>
      </w:r>
      <w:r>
        <w:rPr>
          <w:rFonts w:hint="eastAsia" w:ascii="宋体" w:hAnsi="宋体" w:eastAsia="宋体" w:cs="宋体"/>
          <w:b w:val="0"/>
          <w:bCs/>
          <w:i w:val="0"/>
          <w:iCs w:val="0"/>
          <w:color w:val="auto"/>
          <w:sz w:val="24"/>
          <w:szCs w:val="24"/>
          <w:lang w:val="en-US" w:eastAsia="zh-CN"/>
        </w:rPr>
        <w:t>14</w:t>
      </w:r>
      <w:r>
        <w:rPr>
          <w:rFonts w:hint="eastAsia" w:ascii="宋体" w:hAnsi="宋体" w:eastAsia="宋体" w:cs="宋体"/>
          <w:b w:val="0"/>
          <w:bCs/>
          <w:i w:val="0"/>
          <w:iCs w:val="0"/>
          <w:color w:val="auto"/>
          <w:sz w:val="24"/>
          <w:szCs w:val="24"/>
          <w:lang w:val="zh-CN" w:eastAsia="zh-CN"/>
        </w:rPr>
        <w:t>：</w:t>
      </w:r>
      <w:r>
        <w:rPr>
          <w:rFonts w:hint="eastAsia" w:ascii="宋体" w:hAnsi="宋体" w:eastAsia="宋体" w:cs="宋体"/>
          <w:b w:val="0"/>
          <w:bCs/>
          <w:i w:val="0"/>
          <w:iCs w:val="0"/>
          <w:color w:val="auto"/>
          <w:sz w:val="24"/>
          <w:szCs w:val="24"/>
          <w:lang w:val="en-US" w:eastAsia="zh-CN"/>
        </w:rPr>
        <w:t>供应商</w:t>
      </w:r>
      <w:r>
        <w:rPr>
          <w:rFonts w:hint="eastAsia" w:ascii="宋体" w:hAnsi="宋体" w:eastAsia="宋体" w:cs="宋体"/>
          <w:b w:val="0"/>
          <w:bCs/>
          <w:i w:val="0"/>
          <w:iCs w:val="0"/>
          <w:color w:val="auto"/>
          <w:sz w:val="24"/>
          <w:szCs w:val="24"/>
          <w:lang w:val="zh-CN" w:eastAsia="zh-CN"/>
        </w:rPr>
        <w:t>的类似业绩证明材料</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_Toc8973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45</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_Toc7343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附件1</w:t>
      </w:r>
      <w:r>
        <w:rPr>
          <w:rFonts w:hint="eastAsia" w:ascii="宋体" w:hAnsi="宋体" w:eastAsia="宋体" w:cs="宋体"/>
          <w:b w:val="0"/>
          <w:bCs/>
          <w:i w:val="0"/>
          <w:iCs w:val="0"/>
          <w:color w:val="auto"/>
          <w:sz w:val="24"/>
          <w:szCs w:val="24"/>
          <w:lang w:val="en-US" w:eastAsia="zh-CN"/>
        </w:rPr>
        <w:t>5</w:t>
      </w:r>
      <w:r>
        <w:rPr>
          <w:rFonts w:hint="eastAsia" w:ascii="宋体" w:hAnsi="宋体" w:eastAsia="宋体" w:cs="宋体"/>
          <w:b w:val="0"/>
          <w:bCs/>
          <w:i w:val="0"/>
          <w:iCs w:val="0"/>
          <w:color w:val="auto"/>
          <w:sz w:val="24"/>
          <w:szCs w:val="24"/>
          <w:lang w:val="zh-CN"/>
        </w:rPr>
        <w:t>：供应商最后报价表</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_Toc7343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46</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_Toc17225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第六部分  采购项目要求及技术参数</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_Toc17225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47</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_Toc4069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（一）投标要求</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_Toc4069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47</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_Toc14340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1.投标说明</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_Toc14340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47</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_Toc26690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2.报价说明</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_Toc26690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47</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_Toc9832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3.重要指标</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_Toc9832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47</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_Toc25925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4.商务要求</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_Toc25925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47</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 w:val="0"/>
          <w:bCs/>
          <w:i w:val="0"/>
          <w:iCs w:val="0"/>
          <w:color w:val="auto"/>
          <w:sz w:val="24"/>
          <w:szCs w:val="24"/>
          <w:lang w:val="zh-CN"/>
        </w:rPr>
      </w:pP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HYPERLINK \l _Toc19188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（二）项目概况及技术参数</w:t>
      </w:r>
      <w:r>
        <w:rPr>
          <w:rFonts w:hint="eastAsia" w:ascii="宋体" w:hAnsi="宋体" w:eastAsia="宋体" w:cs="宋体"/>
          <w:b w:val="0"/>
          <w:bCs/>
          <w:i w:val="0"/>
          <w:iCs w:val="0"/>
          <w:color w:val="auto"/>
          <w:sz w:val="24"/>
          <w:szCs w:val="24"/>
          <w:lang w:val="zh-CN"/>
        </w:rPr>
        <w:tab/>
      </w:r>
      <w:r>
        <w:rPr>
          <w:rFonts w:hint="eastAsia" w:ascii="宋体" w:hAnsi="宋体" w:eastAsia="宋体" w:cs="宋体"/>
          <w:b w:val="0"/>
          <w:bCs/>
          <w:i w:val="0"/>
          <w:iCs w:val="0"/>
          <w:color w:val="auto"/>
          <w:sz w:val="24"/>
          <w:szCs w:val="24"/>
          <w:lang w:val="zh-CN"/>
        </w:rPr>
        <w:fldChar w:fldCharType="begin"/>
      </w:r>
      <w:r>
        <w:rPr>
          <w:rFonts w:hint="eastAsia" w:ascii="宋体" w:hAnsi="宋体" w:eastAsia="宋体" w:cs="宋体"/>
          <w:b w:val="0"/>
          <w:bCs/>
          <w:i w:val="0"/>
          <w:iCs w:val="0"/>
          <w:color w:val="auto"/>
          <w:sz w:val="24"/>
          <w:szCs w:val="24"/>
          <w:lang w:val="zh-CN"/>
        </w:rPr>
        <w:instrText xml:space="preserve"> PAGEREF _Toc19188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 w:val="0"/>
          <w:bCs/>
          <w:i w:val="0"/>
          <w:iCs w:val="0"/>
          <w:color w:val="auto"/>
          <w:sz w:val="24"/>
          <w:szCs w:val="24"/>
          <w:lang w:val="zh-CN"/>
        </w:rPr>
        <w:t>49</w:t>
      </w: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 w:val="0"/>
          <w:bCs/>
          <w:i w:val="0"/>
          <w:iCs w:val="0"/>
          <w:color w:val="auto"/>
          <w:sz w:val="24"/>
          <w:szCs w:val="24"/>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36" w:lineRule="auto"/>
        <w:ind w:left="0" w:leftChars="0" w:firstLine="0" w:firstLineChars="0"/>
        <w:textAlignment w:val="auto"/>
        <w:rPr>
          <w:rFonts w:hint="eastAsia" w:ascii="宋体" w:hAnsi="宋体" w:eastAsia="宋体" w:cs="宋体"/>
          <w:bCs/>
          <w:color w:val="auto"/>
          <w:szCs w:val="24"/>
          <w:lang w:val="zh-CN"/>
        </w:rPr>
      </w:pPr>
      <w:r>
        <w:rPr>
          <w:rFonts w:hint="eastAsia" w:ascii="宋体" w:hAnsi="宋体" w:eastAsia="宋体" w:cs="宋体"/>
          <w:b w:val="0"/>
          <w:bCs/>
          <w:i w:val="0"/>
          <w:iCs w:val="0"/>
          <w:color w:val="auto"/>
          <w:sz w:val="24"/>
          <w:szCs w:val="24"/>
          <w:lang w:val="zh-CN"/>
        </w:rPr>
        <w:fldChar w:fldCharType="end"/>
      </w:r>
      <w:r>
        <w:rPr>
          <w:rFonts w:hint="eastAsia" w:ascii="宋体" w:hAnsi="宋体" w:eastAsia="宋体" w:cs="宋体"/>
          <w:bCs/>
          <w:color w:val="auto"/>
          <w:szCs w:val="24"/>
          <w:lang w:val="zh-CN"/>
        </w:rPr>
        <w:br w:type="page"/>
      </w:r>
    </w:p>
    <w:p>
      <w:pPr>
        <w:pStyle w:val="16"/>
        <w:spacing w:before="0" w:after="0" w:line="360" w:lineRule="auto"/>
        <w:ind w:firstLine="0" w:firstLineChars="0"/>
        <w:rPr>
          <w:rFonts w:hint="eastAsia" w:ascii="宋体" w:hAnsi="宋体" w:eastAsia="宋体" w:cs="宋体"/>
          <w:color w:val="auto"/>
          <w:szCs w:val="36"/>
        </w:rPr>
      </w:pPr>
      <w:bookmarkStart w:id="0" w:name="_Toc13896"/>
      <w:bookmarkStart w:id="1" w:name="_Toc10494"/>
      <w:r>
        <w:rPr>
          <w:rFonts w:hint="eastAsia" w:ascii="宋体" w:hAnsi="宋体" w:eastAsia="宋体" w:cs="宋体"/>
          <w:color w:val="auto"/>
          <w:szCs w:val="36"/>
          <w:lang w:val="zh-CN"/>
        </w:rPr>
        <w:t>第一部分</w:t>
      </w:r>
      <w:r>
        <w:rPr>
          <w:rFonts w:hint="eastAsia" w:ascii="宋体" w:hAnsi="宋体" w:eastAsia="宋体" w:cs="宋体"/>
          <w:color w:val="auto"/>
          <w:szCs w:val="36"/>
          <w:lang w:val="en-US" w:eastAsia="zh-CN"/>
        </w:rPr>
        <w:t xml:space="preserve">  </w:t>
      </w:r>
      <w:r>
        <w:rPr>
          <w:rFonts w:hint="eastAsia" w:ascii="宋体" w:hAnsi="宋体" w:eastAsia="宋体" w:cs="宋体"/>
          <w:color w:val="auto"/>
          <w:szCs w:val="36"/>
          <w:lang w:val="zh-CN"/>
        </w:rPr>
        <w:t>投标邀请</w:t>
      </w:r>
      <w:bookmarkEnd w:id="0"/>
      <w:bookmarkEnd w:id="1"/>
    </w:p>
    <w:p>
      <w:pPr>
        <w:pStyle w:val="6"/>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青海鼎钊招标代理有限公司（以下均简称“采购代理机构”）受青海省公安厅（以下均简称“采购人”）委托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监控及门禁系统建设采购项目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8"/>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青海鼎钊竞磋（货物）2020-054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监控及门禁系统建设采购项目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125152.24元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1、符合《政府采购法》第22条条件，并提供下列材料：</w:t>
            </w:r>
          </w:p>
          <w:p>
            <w:pPr>
              <w:pStyle w:val="10"/>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的营业执照等证明文件，自然人的身份证明。</w:t>
            </w:r>
          </w:p>
          <w:p>
            <w:pPr>
              <w:pStyle w:val="10"/>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）财务状况报告，依法缴纳税收和社会保障资金的相关材料。</w:t>
            </w:r>
          </w:p>
          <w:p>
            <w:pPr>
              <w:pStyle w:val="10"/>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）具备履行合同所必需的设备和专业技术能力的证明材料。</w:t>
            </w:r>
          </w:p>
          <w:p>
            <w:pPr>
              <w:pStyle w:val="10"/>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）参加政府采购活动前3年内在经营活动中没有重大违法记录的书面声明。</w:t>
            </w:r>
          </w:p>
          <w:p>
            <w:pPr>
              <w:pStyle w:val="10"/>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）具备法律、行政法规规定的其他条件的证明材料。</w:t>
            </w:r>
          </w:p>
          <w:p>
            <w:pPr>
              <w:pStyle w:val="10"/>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经信用中国（www.creditchina.gov.cn）、中国政府采购网（www.ccgp.gov.cn）等渠道查询后，列入失信被执行人、重大税收违法案件当事人名单、政府采购严重违法失信行为记录名单的，取消投标资格；</w:t>
            </w:r>
          </w:p>
          <w:p>
            <w:pPr>
              <w:pStyle w:val="10"/>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3、单位负责人为同一人或者存在直接控股、管理关系的不同</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，不得参加同一合同项下的政府采购活动。否则，皆取消投标资格；</w:t>
            </w:r>
          </w:p>
          <w:p>
            <w:pPr>
              <w:pStyle w:val="10"/>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4、为本采购项目提供整体设计、规范编制或者项目管理、监理、检测等服务的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，不得再参加该采购项目的其他采购活动；</w:t>
            </w:r>
          </w:p>
          <w:p>
            <w:pPr>
              <w:pStyle w:val="10"/>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5、本项目不接受</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以联合体方式进行投标；</w:t>
            </w:r>
          </w:p>
          <w:p>
            <w:pPr>
              <w:pStyle w:val="10"/>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6、供应商</w:t>
            </w:r>
            <w:r>
              <w:rPr>
                <w:rFonts w:hint="eastAsia" w:ascii="宋体" w:hAnsi="宋体" w:eastAsia="宋体" w:cs="宋体"/>
                <w:color w:val="auto"/>
                <w:sz w:val="24"/>
                <w:szCs w:val="24"/>
                <w:lang w:val="zh-CN"/>
              </w:rPr>
              <w:t>必须向采购代理机构购买磋商文件并登记，未经向采购代理机构购买磋商文件并登记的潜在</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均无资格参加本次投标。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2020年10月27日至11月2日</w:t>
            </w:r>
            <w:r>
              <w:rPr>
                <w:rFonts w:hint="eastAsia" w:ascii="宋体" w:hAnsi="宋体" w:eastAsia="宋体" w:cs="宋体"/>
                <w:color w:val="auto"/>
                <w:sz w:val="24"/>
                <w:szCs w:val="24"/>
                <w:lang w:val="zh-CN"/>
              </w:rPr>
              <w:t>，每天</w:t>
            </w:r>
            <w:r>
              <w:rPr>
                <w:rFonts w:hint="eastAsia" w:ascii="宋体" w:hAnsi="宋体" w:eastAsia="宋体" w:cs="宋体"/>
                <w:color w:val="auto"/>
                <w:sz w:val="24"/>
                <w:szCs w:val="24"/>
              </w:rPr>
              <w:t>上午9:00-12:00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下午2:30-5:30</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w:t>
            </w:r>
            <w:r>
              <w:rPr>
                <w:rFonts w:hint="eastAsia" w:ascii="宋体" w:hAnsi="宋体" w:eastAsia="宋体" w:cs="宋体"/>
                <w:color w:val="auto"/>
                <w:sz w:val="24"/>
                <w:szCs w:val="24"/>
                <w:lang w:val="zh-CN"/>
              </w:rPr>
              <w:t>元/份（磋商文件售后不退,投标资格不能转让）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地址：西宁市东川工业园区金桥路39号1号楼2楼（新力景瑞新城）</w:t>
            </w:r>
          </w:p>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标书购买联系人：王女士</w:t>
            </w:r>
          </w:p>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电话：0971-8179315</w:t>
            </w:r>
          </w:p>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电子邮箱：qhdzzgs@163.com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供应商的营业执照复印件、法人授权委托书（原件）及法人和委托代理人身份证复印件。</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以上资料均需加盖公章。（采购代理机构对以上资料留存备案）</w:t>
            </w:r>
          </w:p>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注：需网上购买标书的供应商应将以上材料扫描后发至我公司联系邮箱，在邮件中标明购买项目名称、项目编号、包号、联系人及联系方式，并与我公司工作人员进行联系确认。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2020年11月6日上午11:00（北京时间）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7"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2020年11月6日上午11:00（北京时间）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西宁市东川工业园区金桥路39号1号楼2楼（新力景瑞新城）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采购人：青海省公安厅</w:t>
            </w:r>
          </w:p>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冯先生</w:t>
            </w:r>
          </w:p>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0971-8293053</w:t>
            </w:r>
          </w:p>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联系地址：青海省</w:t>
            </w:r>
            <w:r>
              <w:rPr>
                <w:rFonts w:hint="eastAsia" w:ascii="宋体" w:hAnsi="宋体" w:eastAsia="宋体" w:cs="宋体"/>
                <w:color w:val="auto"/>
                <w:sz w:val="24"/>
                <w:szCs w:val="24"/>
                <w:lang w:val="en-US" w:eastAsia="zh-CN"/>
              </w:rPr>
              <w:t>西宁市城东区</w:t>
            </w:r>
            <w:r>
              <w:rPr>
                <w:rFonts w:hint="eastAsia" w:ascii="宋体" w:hAnsi="宋体" w:eastAsia="宋体" w:cs="宋体"/>
                <w:color w:val="auto"/>
                <w:sz w:val="24"/>
                <w:szCs w:val="24"/>
              </w:rPr>
              <w:t>八一中路50号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采购代理机构：青海鼎钊招标代理有限公司</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联系人：</w:t>
            </w:r>
            <w:r>
              <w:rPr>
                <w:rFonts w:hint="eastAsia" w:ascii="宋体" w:hAnsi="宋体" w:eastAsia="宋体" w:cs="宋体"/>
                <w:color w:val="auto"/>
                <w:sz w:val="24"/>
                <w:szCs w:val="24"/>
                <w:lang w:val="en-US" w:eastAsia="zh-CN"/>
              </w:rPr>
              <w:t>马女士、王先生</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lang w:eastAsia="zh-CN"/>
              </w:rPr>
              <w:t>0971-8179</w:t>
            </w:r>
            <w:r>
              <w:rPr>
                <w:rFonts w:hint="eastAsia" w:ascii="宋体" w:hAnsi="宋体" w:eastAsia="宋体" w:cs="宋体"/>
                <w:color w:val="auto"/>
                <w:sz w:val="24"/>
                <w:szCs w:val="24"/>
                <w:lang w:val="en-US" w:eastAsia="zh-CN"/>
              </w:rPr>
              <w:t>731</w:t>
            </w:r>
          </w:p>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rPr>
              <w:t>联系地址：</w:t>
            </w:r>
            <w:r>
              <w:rPr>
                <w:rFonts w:hint="eastAsia" w:ascii="宋体" w:hAnsi="宋体" w:eastAsia="宋体" w:cs="宋体"/>
                <w:color w:val="auto"/>
                <w:sz w:val="24"/>
                <w:szCs w:val="24"/>
                <w:lang w:eastAsia="zh-CN"/>
              </w:rPr>
              <w:t>西宁市东川工业园区金桥路39号1号楼2楼（新力景瑞新城）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上海浦东发展银行股份有限公司西宁城东支行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青海鼎钊招标代理有限公司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35030078801500000377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公告发布</w:t>
            </w:r>
            <w:r>
              <w:rPr>
                <w:rFonts w:hint="eastAsia" w:ascii="宋体" w:hAnsi="宋体" w:eastAsia="宋体" w:cs="宋体"/>
                <w:color w:val="auto"/>
                <w:sz w:val="24"/>
                <w:szCs w:val="24"/>
                <w:lang w:val="en-US" w:eastAsia="zh-CN"/>
              </w:rPr>
              <w:t>网站</w:t>
            </w:r>
            <w:r>
              <w:rPr>
                <w:rFonts w:hint="eastAsia" w:ascii="宋体" w:hAnsi="宋体" w:eastAsia="宋体" w:cs="宋体"/>
                <w:color w:val="auto"/>
                <w:sz w:val="24"/>
                <w:szCs w:val="24"/>
                <w:lang w:val="zh-CN" w:eastAsia="zh-CN"/>
              </w:rPr>
              <w:t>：《青海政府采购网》、《青海省电子招标投标公共服务平台》、《青海项目信息网》，公告内容以《青海政府采购网》发布的为准。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监督单位：</w:t>
            </w:r>
            <w:r>
              <w:rPr>
                <w:rFonts w:hint="eastAsia" w:ascii="宋体" w:hAnsi="宋体" w:eastAsia="宋体" w:cs="宋体"/>
                <w:color w:val="auto"/>
                <w:sz w:val="24"/>
                <w:szCs w:val="24"/>
                <w:lang w:val="en-US" w:eastAsia="zh-CN"/>
              </w:rPr>
              <w:t>青海省财政厅</w:t>
            </w:r>
          </w:p>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联系电话：0971-6145505</w:t>
            </w:r>
          </w:p>
        </w:tc>
      </w:tr>
    </w:tbl>
    <w:p>
      <w:pPr>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青海鼎钊招标代理有限公司</w:t>
      </w:r>
    </w:p>
    <w:p>
      <w:pPr>
        <w:wordWrap w:val="0"/>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lang w:val="zh-CN"/>
        </w:rPr>
        <w:t>2020年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en-US" w:eastAsia="zh-CN"/>
        </w:rPr>
        <w:t xml:space="preserve">   </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6"/>
        <w:spacing w:before="0" w:after="0" w:line="360" w:lineRule="auto"/>
        <w:ind w:firstLine="0" w:firstLineChars="0"/>
        <w:rPr>
          <w:rFonts w:hint="eastAsia" w:ascii="宋体" w:hAnsi="宋体" w:eastAsia="宋体" w:cs="宋体"/>
          <w:color w:val="auto"/>
          <w:lang w:val="zh-CN"/>
        </w:rPr>
      </w:pPr>
      <w:bookmarkStart w:id="2" w:name="_Toc29051"/>
      <w:bookmarkStart w:id="3" w:name="_Toc3201"/>
      <w:r>
        <w:rPr>
          <w:rFonts w:hint="eastAsia" w:ascii="宋体" w:hAnsi="宋体" w:eastAsia="宋体" w:cs="宋体"/>
          <w:color w:val="auto"/>
          <w:lang w:val="zh-CN"/>
        </w:rPr>
        <w:t>第二部分</w:t>
      </w:r>
      <w:r>
        <w:rPr>
          <w:rFonts w:hint="eastAsia" w:ascii="宋体" w:hAnsi="宋体" w:eastAsia="宋体" w:cs="宋体"/>
          <w:color w:val="auto"/>
          <w:lang w:val="en-US" w:eastAsia="zh-CN"/>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8"/>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青海鼎钊竞磋（货物）2020-054</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监控及门禁系统建设采购项目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青海省公安厅</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采购预算额度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125152.24元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详见第一部分投标邀请中“各包供应商资格条件”的规定</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rPr>
            </w:pPr>
            <w:r>
              <w:rPr>
                <w:rFonts w:hint="eastAsia" w:ascii="宋体" w:hAnsi="宋体" w:eastAsia="宋体" w:cs="宋体"/>
                <w:color w:val="auto"/>
                <w:sz w:val="24"/>
                <w:lang w:val="zh-CN"/>
              </w:rPr>
              <w:t>磋商保证金金额：</w:t>
            </w:r>
            <w:r>
              <w:rPr>
                <w:rFonts w:hint="eastAsia" w:ascii="宋体" w:hAnsi="宋体" w:eastAsia="宋体" w:cs="宋体"/>
                <w:b/>
                <w:bCs/>
                <w:color w:val="auto"/>
                <w:sz w:val="24"/>
                <w:lang w:val="en-US" w:eastAsia="zh-CN"/>
              </w:rPr>
              <w:t>2500</w:t>
            </w:r>
            <w:r>
              <w:rPr>
                <w:rFonts w:hint="eastAsia" w:ascii="宋体" w:hAnsi="宋体" w:eastAsia="宋体" w:cs="宋体"/>
                <w:b/>
                <w:bCs/>
                <w:color w:val="auto"/>
                <w:sz w:val="24"/>
              </w:rPr>
              <w:t>元</w:t>
            </w:r>
          </w:p>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lang w:val="zh-CN"/>
              </w:rPr>
              <w:t>收款单位：</w:t>
            </w:r>
            <w:r>
              <w:rPr>
                <w:rFonts w:hint="eastAsia" w:ascii="宋体" w:hAnsi="宋体" w:eastAsia="宋体" w:cs="宋体"/>
                <w:color w:val="auto"/>
                <w:sz w:val="24"/>
                <w:szCs w:val="24"/>
                <w:lang w:eastAsia="zh-CN"/>
              </w:rPr>
              <w:t>青海鼎钊招标代理有限公司</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开 户 行：上海浦东发展银行股份有限公司西宁城东支行</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银行账号：35030078801500000377</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lang w:val="zh-CN"/>
              </w:rPr>
              <w:t>缴费时间：</w:t>
            </w:r>
            <w:r>
              <w:rPr>
                <w:rFonts w:hint="eastAsia" w:ascii="宋体" w:hAnsi="宋体" w:eastAsia="宋体" w:cs="宋体"/>
                <w:b/>
                <w:bCs/>
                <w:color w:val="auto"/>
                <w:sz w:val="24"/>
                <w:lang w:val="zh-CN"/>
              </w:rPr>
              <w:t>提交响应文件截止时间前，以银行到账时间为准。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缴费方式：磋商保证金应当以支票、汇票、本票或者金融机构、担保机构出具的保函等非现金形式提交。供应商未按照磋商文件要求提交磋商保证金的，投标无效。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2020年11月6日上午11:00（北京时间）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2020年11月6日上午11:00（北京时间）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西宁市东川工业园区金桥路39号1号楼2楼（新力景瑞新城）</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收取对象：成交供应商</w:t>
            </w:r>
          </w:p>
          <w:p>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收费金额：在领取成交通知书前向采购代理机构缴纳</w:t>
            </w:r>
            <w:r>
              <w:rPr>
                <w:rFonts w:hint="eastAsia" w:ascii="宋体" w:hAnsi="宋体" w:eastAsia="宋体" w:cs="宋体"/>
                <w:b/>
                <w:bCs/>
                <w:color w:val="auto"/>
                <w:sz w:val="24"/>
                <w:szCs w:val="24"/>
                <w:lang w:val="en-US" w:eastAsia="zh-CN"/>
              </w:rPr>
              <w:t>4000元</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收款单位：青海鼎钊招标代理有限公司</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 户 行：中国农业银行股份有限公司西宁城东经济技术开发区支行</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银行账号：2801 2001 0400 0229 1</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自成交通知书发出之日起</w:t>
            </w:r>
            <w:r>
              <w:rPr>
                <w:rFonts w:hint="eastAsia" w:ascii="宋体" w:hAnsi="宋体" w:eastAsia="宋体" w:cs="宋体"/>
                <w:color w:val="auto"/>
                <w:sz w:val="24"/>
                <w:szCs w:val="24"/>
              </w:rPr>
              <w:t>30</w:t>
            </w:r>
            <w:r>
              <w:rPr>
                <w:rFonts w:hint="eastAsia" w:ascii="宋体" w:hAnsi="宋体" w:eastAsia="宋体" w:cs="宋体"/>
                <w:color w:val="auto"/>
                <w:sz w:val="24"/>
                <w:szCs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磋商有效期为自磋商开始之日起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23840"/>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24622"/>
      <w:bookmarkStart w:id="7" w:name="_Toc14943"/>
      <w:bookmarkStart w:id="8" w:name="_Toc28328"/>
      <w:bookmarkStart w:id="9" w:name="_Toc376936728"/>
      <w:r>
        <w:rPr>
          <w:rFonts w:hint="eastAsia" w:ascii="宋体" w:hAnsi="宋体" w:eastAsia="宋体" w:cs="宋体"/>
          <w:b/>
          <w:bCs/>
          <w:color w:val="auto"/>
          <w:sz w:val="24"/>
          <w:szCs w:val="24"/>
        </w:rPr>
        <w:t>一、说  明</w:t>
      </w:r>
      <w:bookmarkEnd w:id="5"/>
      <w:bookmarkEnd w:id="6"/>
      <w:bookmarkEnd w:id="7"/>
      <w:bookmarkEnd w:id="8"/>
      <w:bookmarkEnd w:id="9"/>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 w:name="_Toc9770"/>
      <w:bookmarkStart w:id="11" w:name="_Toc376936729"/>
      <w:bookmarkStart w:id="12" w:name="_Toc325725998"/>
      <w:bookmarkStart w:id="13" w:name="_Toc30742"/>
      <w:bookmarkStart w:id="14" w:name="_Toc26944"/>
      <w:r>
        <w:rPr>
          <w:rFonts w:hint="eastAsia" w:ascii="宋体" w:hAnsi="宋体" w:eastAsia="宋体" w:cs="宋体"/>
          <w:b/>
          <w:bCs/>
          <w:color w:val="auto"/>
          <w:sz w:val="24"/>
          <w:szCs w:val="24"/>
        </w:rPr>
        <w:t>1.适用范围</w:t>
      </w:r>
      <w:bookmarkEnd w:id="10"/>
      <w:bookmarkEnd w:id="11"/>
      <w:bookmarkEnd w:id="12"/>
      <w:bookmarkEnd w:id="13"/>
      <w:bookmarkEnd w:id="14"/>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本次采购依据采购人的采购计划，仅适用于本磋商文件中所叙述的项目。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5" w:name="_Toc376936730"/>
      <w:bookmarkStart w:id="16" w:name="_Toc21998"/>
      <w:bookmarkStart w:id="17" w:name="_Toc325725999"/>
      <w:bookmarkStart w:id="18" w:name="_Toc12134"/>
      <w:bookmarkStart w:id="19" w:name="_Toc31556"/>
      <w:r>
        <w:rPr>
          <w:rFonts w:hint="eastAsia" w:ascii="宋体" w:hAnsi="宋体" w:eastAsia="宋体" w:cs="宋体"/>
          <w:b/>
          <w:bCs/>
          <w:color w:val="auto"/>
          <w:sz w:val="24"/>
          <w:szCs w:val="24"/>
        </w:rPr>
        <w:t>2.采购方式、合格的</w:t>
      </w:r>
      <w:bookmarkEnd w:id="15"/>
      <w:bookmarkEnd w:id="16"/>
      <w:bookmarkEnd w:id="17"/>
      <w:r>
        <w:rPr>
          <w:rFonts w:hint="eastAsia" w:ascii="宋体" w:hAnsi="宋体" w:eastAsia="宋体" w:cs="宋体"/>
          <w:b/>
          <w:bCs/>
          <w:color w:val="auto"/>
          <w:sz w:val="24"/>
          <w:szCs w:val="24"/>
        </w:rPr>
        <w:t>供应商</w:t>
      </w:r>
      <w:bookmarkEnd w:id="18"/>
      <w:bookmarkEnd w:id="19"/>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r>
        <w:rPr>
          <w:rFonts w:hint="eastAsia" w:ascii="宋体" w:hAnsi="宋体" w:eastAsia="宋体" w:cs="宋体"/>
          <w:color w:val="auto"/>
          <w:sz w:val="24"/>
          <w:szCs w:val="24"/>
          <w:lang w:val="zh-CN"/>
        </w:rPr>
        <w:t>详见第一部分投标邀请中“各包供应商资格条件”的规定</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0" w:name="_Toc325726000"/>
      <w:bookmarkStart w:id="21" w:name="_Toc9628"/>
      <w:bookmarkStart w:id="22" w:name="_Toc8820"/>
      <w:bookmarkStart w:id="23" w:name="_Toc376936731"/>
      <w:bookmarkStart w:id="24" w:name="_Toc8805"/>
      <w:r>
        <w:rPr>
          <w:rFonts w:hint="eastAsia" w:ascii="宋体" w:hAnsi="宋体" w:eastAsia="宋体" w:cs="宋体"/>
          <w:b/>
          <w:bCs/>
          <w:color w:val="auto"/>
          <w:sz w:val="24"/>
          <w:szCs w:val="24"/>
        </w:rPr>
        <w:t>3.磋商费用</w:t>
      </w:r>
      <w:bookmarkEnd w:id="20"/>
      <w:bookmarkEnd w:id="21"/>
      <w:bookmarkEnd w:id="22"/>
      <w:bookmarkEnd w:id="23"/>
      <w:bookmarkEnd w:id="24"/>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5" w:name="_Toc325726001"/>
      <w:bookmarkStart w:id="26" w:name="_Toc376936732"/>
      <w:bookmarkStart w:id="27" w:name="_Toc18155"/>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28" w:name="_Toc27068"/>
      <w:r>
        <w:rPr>
          <w:rFonts w:hint="eastAsia" w:ascii="宋体" w:hAnsi="宋体" w:eastAsia="宋体" w:cs="宋体"/>
          <w:b/>
          <w:bCs/>
          <w:color w:val="auto"/>
          <w:sz w:val="24"/>
          <w:szCs w:val="24"/>
        </w:rPr>
        <w:t>二、磋商文件说明</w:t>
      </w:r>
      <w:bookmarkEnd w:id="25"/>
      <w:bookmarkEnd w:id="26"/>
      <w:bookmarkEnd w:id="27"/>
      <w:bookmarkEnd w:id="28"/>
    </w:p>
    <w:p>
      <w:pPr>
        <w:widowControl/>
        <w:spacing w:line="360" w:lineRule="auto"/>
        <w:ind w:firstLine="0" w:firstLineChars="0"/>
        <w:jc w:val="left"/>
        <w:outlineLvl w:val="2"/>
        <w:rPr>
          <w:rFonts w:hint="eastAsia" w:ascii="宋体" w:hAnsi="宋体" w:eastAsia="宋体" w:cs="宋体"/>
          <w:b/>
          <w:bCs/>
          <w:color w:val="auto"/>
          <w:sz w:val="24"/>
          <w:szCs w:val="24"/>
        </w:rPr>
      </w:pPr>
      <w:bookmarkStart w:id="29" w:name="_Toc376936733"/>
      <w:bookmarkStart w:id="30" w:name="_Toc14153"/>
      <w:bookmarkStart w:id="31" w:name="_Toc10649"/>
      <w:bookmarkStart w:id="32" w:name="_Toc325726002"/>
      <w:bookmarkStart w:id="33" w:name="_Toc30601"/>
      <w:r>
        <w:rPr>
          <w:rFonts w:hint="eastAsia" w:ascii="宋体" w:hAnsi="宋体" w:eastAsia="宋体" w:cs="宋体"/>
          <w:b/>
          <w:bCs/>
          <w:color w:val="auto"/>
          <w:sz w:val="24"/>
          <w:szCs w:val="24"/>
        </w:rPr>
        <w:t>4.磋商文件的构成</w:t>
      </w:r>
      <w:bookmarkEnd w:id="29"/>
      <w:bookmarkEnd w:id="30"/>
      <w:bookmarkEnd w:id="31"/>
      <w:bookmarkEnd w:id="32"/>
      <w:bookmarkEnd w:id="33"/>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4" w:name="_Toc325726003"/>
      <w:bookmarkStart w:id="35" w:name="_Toc3451"/>
      <w:bookmarkStart w:id="36" w:name="_Toc376936734"/>
      <w:bookmarkStart w:id="37" w:name="_Toc6482"/>
      <w:bookmarkStart w:id="38" w:name="_Toc5192"/>
      <w:r>
        <w:rPr>
          <w:rFonts w:hint="eastAsia" w:ascii="宋体" w:hAnsi="宋体" w:eastAsia="宋体" w:cs="宋体"/>
          <w:b/>
          <w:bCs/>
          <w:color w:val="auto"/>
          <w:sz w:val="24"/>
          <w:szCs w:val="24"/>
        </w:rPr>
        <w:t>5.</w:t>
      </w:r>
      <w:bookmarkEnd w:id="34"/>
      <w:bookmarkEnd w:id="35"/>
      <w:bookmarkEnd w:id="36"/>
      <w:bookmarkEnd w:id="37"/>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文件、采购活动和</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val="zh-CN"/>
        </w:rPr>
        <w:t>结果的质疑</w:t>
      </w:r>
      <w:bookmarkEnd w:id="38"/>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认为</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文件、采购过程和</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应知其权益受到损害之日，是指：</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文件公告期限届满之日；</w:t>
      </w:r>
    </w:p>
    <w:p>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（三）对</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结果提出质疑的，为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结果公告期限届满之日。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13050"/>
      <w:bookmarkStart w:id="40" w:name="_Toc26515"/>
      <w:bookmarkStart w:id="41" w:name="_Toc376936735"/>
      <w:bookmarkStart w:id="42" w:name="_Toc11652"/>
      <w:bookmarkStart w:id="43" w:name="_Toc325726004"/>
      <w:r>
        <w:rPr>
          <w:rFonts w:hint="eastAsia" w:ascii="宋体" w:hAnsi="宋体" w:eastAsia="宋体" w:cs="宋体"/>
          <w:b/>
          <w:bCs/>
          <w:color w:val="auto"/>
          <w:sz w:val="24"/>
          <w:szCs w:val="24"/>
        </w:rPr>
        <w:t>6.磋商文件的澄清、修改</w:t>
      </w:r>
      <w:bookmarkEnd w:id="39"/>
      <w:bookmarkEnd w:id="40"/>
      <w:bookmarkEnd w:id="41"/>
      <w:bookmarkEnd w:id="42"/>
      <w:bookmarkEnd w:id="43"/>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6.2在提交响应文件截止时间前，采购代理机构可以视采购具体情况，延长提交响应文件截止时间和开启时间，并将变更公告发布在</w:t>
      </w:r>
      <w:r>
        <w:rPr>
          <w:rFonts w:hint="eastAsia" w:ascii="宋体" w:hAnsi="宋体" w:eastAsia="宋体" w:cs="宋体"/>
          <w:color w:val="auto"/>
          <w:sz w:val="24"/>
          <w:szCs w:val="24"/>
          <w:lang w:eastAsia="zh-CN"/>
        </w:rPr>
        <w:t>青海政府采购网</w:t>
      </w:r>
      <w:r>
        <w:rPr>
          <w:rFonts w:hint="eastAsia" w:ascii="宋体" w:hAnsi="宋体" w:eastAsia="宋体" w:cs="宋体"/>
          <w:color w:val="auto"/>
          <w:sz w:val="24"/>
          <w:szCs w:val="24"/>
        </w:rPr>
        <w:t>上。</w:t>
      </w:r>
      <w:bookmarkStart w:id="44" w:name="_Toc376936736"/>
      <w:bookmarkStart w:id="45" w:name="_Toc23340"/>
      <w:bookmarkStart w:id="46" w:name="_Toc325726005"/>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47" w:name="_Toc3479"/>
      <w:r>
        <w:rPr>
          <w:rFonts w:hint="eastAsia" w:ascii="宋体" w:hAnsi="宋体" w:eastAsia="宋体" w:cs="宋体"/>
          <w:b/>
          <w:bCs/>
          <w:color w:val="auto"/>
          <w:sz w:val="24"/>
          <w:szCs w:val="24"/>
        </w:rPr>
        <w:t>三、响应文件的编制</w:t>
      </w:r>
      <w:bookmarkEnd w:id="44"/>
      <w:bookmarkEnd w:id="45"/>
      <w:bookmarkEnd w:id="46"/>
      <w:bookmarkEnd w:id="47"/>
    </w:p>
    <w:p>
      <w:pPr>
        <w:widowControl/>
        <w:spacing w:line="360" w:lineRule="auto"/>
        <w:ind w:firstLine="0" w:firstLineChars="0"/>
        <w:jc w:val="left"/>
        <w:outlineLvl w:val="2"/>
        <w:rPr>
          <w:rFonts w:hint="eastAsia" w:ascii="宋体" w:hAnsi="宋体" w:eastAsia="宋体" w:cs="宋体"/>
          <w:b/>
          <w:bCs/>
          <w:color w:val="auto"/>
          <w:sz w:val="24"/>
          <w:szCs w:val="24"/>
        </w:rPr>
      </w:pPr>
      <w:bookmarkStart w:id="48" w:name="_Toc376936737"/>
      <w:bookmarkStart w:id="49" w:name="_Toc9674"/>
      <w:bookmarkStart w:id="50" w:name="_Toc13057"/>
      <w:bookmarkStart w:id="51" w:name="_Toc325726006"/>
      <w:bookmarkStart w:id="52" w:name="_Toc15229"/>
      <w:r>
        <w:rPr>
          <w:rFonts w:hint="eastAsia" w:ascii="宋体" w:hAnsi="宋体" w:eastAsia="宋体" w:cs="宋体"/>
          <w:b/>
          <w:bCs/>
          <w:color w:val="auto"/>
          <w:sz w:val="24"/>
          <w:szCs w:val="24"/>
        </w:rPr>
        <w:t>7.响应文件的语言及度量衡单位</w:t>
      </w:r>
      <w:bookmarkEnd w:id="48"/>
      <w:bookmarkEnd w:id="49"/>
      <w:bookmarkEnd w:id="50"/>
      <w:bookmarkEnd w:id="51"/>
      <w:bookmarkEnd w:id="5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3" w:name="_Toc4891"/>
      <w:bookmarkStart w:id="54" w:name="_Toc376936743"/>
      <w:bookmarkStart w:id="55" w:name="_Toc21569"/>
      <w:bookmarkStart w:id="56" w:name="_Toc325726012"/>
      <w:bookmarkStart w:id="57" w:name="_Toc17093"/>
      <w:r>
        <w:rPr>
          <w:rFonts w:hint="eastAsia" w:ascii="宋体" w:hAnsi="宋体" w:eastAsia="宋体" w:cs="宋体"/>
          <w:b/>
          <w:bCs/>
          <w:color w:val="auto"/>
          <w:sz w:val="24"/>
          <w:szCs w:val="24"/>
        </w:rPr>
        <w:t>8.磋商保证金</w:t>
      </w:r>
      <w:bookmarkEnd w:id="53"/>
      <w:bookmarkEnd w:id="54"/>
      <w:bookmarkEnd w:id="55"/>
      <w:bookmarkEnd w:id="56"/>
      <w:bookmarkEnd w:id="57"/>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磋商保证金由供应商以转款方式直接缴入“青海鼎钊招标代理有限公司”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8" w:name="_Toc325726013"/>
      <w:bookmarkStart w:id="59" w:name="_Toc32704"/>
      <w:bookmarkStart w:id="60" w:name="_Toc376936744"/>
      <w:bookmarkStart w:id="61" w:name="_Toc22044"/>
      <w:bookmarkStart w:id="62" w:name="_Toc17722"/>
      <w:r>
        <w:rPr>
          <w:rFonts w:hint="eastAsia" w:ascii="宋体" w:hAnsi="宋体" w:eastAsia="宋体" w:cs="宋体"/>
          <w:b/>
          <w:bCs/>
          <w:color w:val="auto"/>
          <w:sz w:val="24"/>
          <w:szCs w:val="24"/>
        </w:rPr>
        <w:t>9.磋商有效期</w:t>
      </w:r>
      <w:bookmarkEnd w:id="58"/>
      <w:bookmarkEnd w:id="59"/>
      <w:bookmarkEnd w:id="60"/>
      <w:bookmarkEnd w:id="61"/>
      <w:bookmarkEnd w:id="62"/>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磋商有效期为自磋商开始之日起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76936739"/>
      <w:bookmarkStart w:id="64" w:name="_Toc11556"/>
      <w:bookmarkStart w:id="65" w:name="_Toc31915"/>
      <w:bookmarkStart w:id="66" w:name="_Toc16445"/>
      <w:bookmarkStart w:id="67" w:name="_Toc325726008"/>
      <w:r>
        <w:rPr>
          <w:rFonts w:hint="eastAsia" w:ascii="宋体" w:hAnsi="宋体" w:eastAsia="宋体" w:cs="宋体"/>
          <w:b/>
          <w:bCs/>
          <w:color w:val="auto"/>
          <w:sz w:val="24"/>
          <w:szCs w:val="24"/>
        </w:rPr>
        <w:t>10.响应文件构成</w:t>
      </w:r>
      <w:bookmarkEnd w:id="63"/>
      <w:bookmarkEnd w:id="64"/>
      <w:bookmarkEnd w:id="65"/>
      <w:bookmarkEnd w:id="66"/>
      <w:bookmarkEnd w:id="6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）技术规格响应表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（9）资格证明材料</w:t>
      </w:r>
    </w:p>
    <w:p>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（10）财务状况</w:t>
      </w:r>
      <w:r>
        <w:rPr>
          <w:rFonts w:hint="eastAsia" w:ascii="宋体" w:hAnsi="宋体" w:eastAsia="宋体" w:cs="宋体"/>
          <w:color w:val="auto"/>
          <w:sz w:val="24"/>
          <w:szCs w:val="24"/>
          <w:lang w:val="en-US" w:eastAsia="zh-CN"/>
        </w:rPr>
        <w:t>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（13）磋商保证金</w:t>
      </w:r>
    </w:p>
    <w:p>
      <w:pPr>
        <w:spacing w:line="36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）供应商的类似业绩证明材料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16453"/>
      <w:bookmarkStart w:id="69" w:name="_Toc412617729"/>
      <w:bookmarkStart w:id="70" w:name="_Toc373392580"/>
      <w:bookmarkStart w:id="71" w:name="_Toc11377"/>
      <w:bookmarkStart w:id="72" w:name="_Toc16131"/>
      <w:r>
        <w:rPr>
          <w:rFonts w:hint="eastAsia" w:ascii="宋体" w:hAnsi="宋体" w:eastAsia="宋体" w:cs="宋体"/>
          <w:b/>
          <w:bCs/>
          <w:color w:val="auto"/>
          <w:sz w:val="24"/>
          <w:szCs w:val="24"/>
        </w:rPr>
        <w:t>11.响应文件编印和签署</w:t>
      </w:r>
      <w:bookmarkEnd w:id="68"/>
      <w:bookmarkEnd w:id="69"/>
      <w:bookmarkEnd w:id="70"/>
      <w:bookmarkEnd w:id="71"/>
      <w:bookmarkEnd w:id="72"/>
    </w:p>
    <w:p>
      <w:pPr>
        <w:pStyle w:val="8"/>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eastAsia="宋体" w:cs="宋体"/>
          <w:color w:val="auto"/>
          <w:sz w:val="24"/>
          <w:szCs w:val="24"/>
        </w:rPr>
        <w:t>每份响应文件须清楚地标明“正本”或“副本”字样。若发生正本和副本不符，以正本为准。响应文件统一使用A4幅面的纸张印制，左侧胶装，其他方式装订的响应文件一概不予接受。</w:t>
      </w:r>
    </w:p>
    <w:p>
      <w:pPr>
        <w:pStyle w:val="8"/>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8"/>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73" w:name="_Toc412617730"/>
      <w:bookmarkStart w:id="74" w:name="_Toc15102"/>
      <w:bookmarkStart w:id="75" w:name="_Toc371090029"/>
      <w:bookmarkStart w:id="76" w:name="_Toc376936748"/>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7" w:name="_Toc8000"/>
      <w:r>
        <w:rPr>
          <w:rFonts w:hint="eastAsia" w:ascii="宋体" w:hAnsi="宋体" w:eastAsia="宋体" w:cs="宋体"/>
          <w:b/>
          <w:bCs/>
          <w:color w:val="auto"/>
          <w:sz w:val="24"/>
          <w:szCs w:val="24"/>
        </w:rPr>
        <w:t>四、响应文件的递交</w:t>
      </w:r>
      <w:bookmarkEnd w:id="73"/>
      <w:bookmarkEnd w:id="74"/>
      <w:bookmarkEnd w:id="77"/>
    </w:p>
    <w:p>
      <w:pPr>
        <w:widowControl/>
        <w:spacing w:line="360" w:lineRule="auto"/>
        <w:ind w:firstLine="0" w:firstLineChars="0"/>
        <w:jc w:val="left"/>
        <w:outlineLvl w:val="2"/>
        <w:rPr>
          <w:rFonts w:hint="eastAsia" w:ascii="宋体" w:hAnsi="宋体" w:eastAsia="宋体" w:cs="宋体"/>
          <w:b/>
          <w:bCs/>
          <w:color w:val="auto"/>
          <w:sz w:val="24"/>
          <w:szCs w:val="24"/>
        </w:rPr>
      </w:pPr>
      <w:bookmarkStart w:id="78" w:name="_Toc9454"/>
      <w:bookmarkStart w:id="79" w:name="_Toc373392582"/>
      <w:bookmarkStart w:id="80" w:name="_Toc1176"/>
      <w:bookmarkStart w:id="81" w:name="_Toc23823"/>
      <w:bookmarkStart w:id="82" w:name="_Toc325726016"/>
      <w:bookmarkStart w:id="83" w:name="_Toc412617731"/>
      <w:r>
        <w:rPr>
          <w:rFonts w:hint="eastAsia" w:ascii="宋体" w:hAnsi="宋体" w:eastAsia="宋体" w:cs="宋体"/>
          <w:b/>
          <w:bCs/>
          <w:color w:val="auto"/>
          <w:sz w:val="24"/>
          <w:szCs w:val="24"/>
        </w:rPr>
        <w:t>12.响应文件的密封和标记</w:t>
      </w:r>
      <w:bookmarkEnd w:id="78"/>
      <w:bookmarkEnd w:id="79"/>
      <w:bookmarkEnd w:id="80"/>
      <w:bookmarkEnd w:id="81"/>
      <w:bookmarkEnd w:id="82"/>
      <w:bookmarkEnd w:id="83"/>
    </w:p>
    <w:p>
      <w:pPr>
        <w:pStyle w:val="8"/>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8"/>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8"/>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（1）按“供应商须知前附表”中注明的时间、地址送达；</w:t>
      </w:r>
    </w:p>
    <w:p>
      <w:pPr>
        <w:pStyle w:val="8"/>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（2）投标专用袋用“于</w:t>
      </w:r>
      <w:r>
        <w:rPr>
          <w:rFonts w:hint="eastAsia" w:ascii="宋体" w:hAnsi="宋体" w:eastAsia="宋体" w:cs="宋体"/>
          <w:color w:val="auto"/>
          <w:sz w:val="24"/>
          <w:szCs w:val="24"/>
          <w:lang w:val="zh-CN"/>
        </w:rPr>
        <w:t>2020年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en-US" w:eastAsia="zh-CN"/>
        </w:rPr>
        <w:t>上</w:t>
      </w:r>
      <w:r>
        <w:rPr>
          <w:rFonts w:hint="eastAsia" w:ascii="宋体" w:hAnsi="宋体" w:eastAsia="宋体" w:cs="宋体"/>
          <w:color w:val="auto"/>
          <w:sz w:val="24"/>
          <w:szCs w:val="24"/>
          <w:lang w:val="zh-CN"/>
        </w:rPr>
        <w:t>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:00</w:t>
      </w:r>
      <w:r>
        <w:rPr>
          <w:rFonts w:hint="eastAsia" w:ascii="宋体" w:hAnsi="宋体" w:eastAsia="宋体" w:cs="宋体"/>
          <w:color w:val="auto"/>
          <w:sz w:val="24"/>
          <w:szCs w:val="24"/>
        </w:rPr>
        <w:t>之前不准启封”标签密封。</w:t>
      </w:r>
    </w:p>
    <w:p>
      <w:pPr>
        <w:pStyle w:val="8"/>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auto"/>
          <w:sz w:val="24"/>
          <w:szCs w:val="24"/>
        </w:rPr>
        <w:t>12.3如果供应商未按第12．1－12．2条要求将响应文件密封或在密封袋上加写标记的，采购代理机构将不予受理。</w:t>
      </w:r>
    </w:p>
    <w:p>
      <w:pPr>
        <w:pStyle w:val="8"/>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75"/>
    <w:bookmarkEnd w:id="76"/>
    <w:p>
      <w:pPr>
        <w:widowControl/>
        <w:spacing w:line="360" w:lineRule="auto"/>
        <w:ind w:firstLine="0" w:firstLineChars="0"/>
        <w:jc w:val="left"/>
        <w:outlineLvl w:val="2"/>
        <w:rPr>
          <w:rFonts w:hint="eastAsia" w:ascii="宋体" w:hAnsi="宋体" w:eastAsia="宋体" w:cs="宋体"/>
          <w:b/>
          <w:bCs/>
          <w:color w:val="auto"/>
          <w:sz w:val="24"/>
          <w:szCs w:val="24"/>
        </w:rPr>
      </w:pPr>
      <w:bookmarkStart w:id="84" w:name="_Toc325726017"/>
      <w:bookmarkStart w:id="85" w:name="_Toc4009"/>
      <w:bookmarkStart w:id="86" w:name="_Toc30756"/>
      <w:bookmarkStart w:id="87" w:name="_Toc412617732"/>
      <w:bookmarkStart w:id="88" w:name="_Toc373392583"/>
      <w:bookmarkStart w:id="89" w:name="_Toc10471"/>
      <w:bookmarkStart w:id="90" w:name="_Toc371090030"/>
      <w:bookmarkStart w:id="91" w:name="_Toc376936749"/>
      <w:r>
        <w:rPr>
          <w:rFonts w:hint="eastAsia" w:ascii="宋体" w:hAnsi="宋体" w:eastAsia="宋体" w:cs="宋体"/>
          <w:b/>
          <w:bCs/>
          <w:color w:val="auto"/>
          <w:sz w:val="24"/>
          <w:szCs w:val="24"/>
        </w:rPr>
        <w:t>13.</w:t>
      </w:r>
      <w:bookmarkEnd w:id="84"/>
      <w:bookmarkEnd w:id="85"/>
      <w:bookmarkEnd w:id="86"/>
      <w:bookmarkEnd w:id="87"/>
      <w:bookmarkEnd w:id="88"/>
      <w:r>
        <w:rPr>
          <w:rFonts w:hint="eastAsia" w:ascii="宋体" w:hAnsi="宋体" w:eastAsia="宋体" w:cs="宋体"/>
          <w:b/>
          <w:bCs/>
          <w:color w:val="auto"/>
          <w:sz w:val="24"/>
          <w:szCs w:val="24"/>
        </w:rPr>
        <w:t>提交响应文件截止时间、地点</w:t>
      </w:r>
      <w:bookmarkEnd w:id="89"/>
    </w:p>
    <w:p>
      <w:pPr>
        <w:pStyle w:val="8"/>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8"/>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90"/>
      <w:bookmarkEnd w:id="91"/>
      <w:bookmarkStart w:id="92" w:name="_Toc376936750"/>
      <w:bookmarkStart w:id="93" w:name="_Toc325726019"/>
      <w:bookmarkStart w:id="94"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95" w:name="_Toc1377"/>
      <w:bookmarkStart w:id="96" w:name="_Toc5644"/>
      <w:r>
        <w:rPr>
          <w:rFonts w:hint="eastAsia" w:ascii="宋体" w:hAnsi="宋体" w:eastAsia="宋体" w:cs="宋体"/>
          <w:b/>
          <w:bCs/>
          <w:color w:val="auto"/>
          <w:sz w:val="24"/>
          <w:szCs w:val="24"/>
        </w:rPr>
        <w:t>五、</w:t>
      </w:r>
      <w:bookmarkEnd w:id="92"/>
      <w:bookmarkEnd w:id="93"/>
      <w:r>
        <w:rPr>
          <w:rFonts w:hint="eastAsia" w:ascii="宋体" w:hAnsi="宋体" w:eastAsia="宋体" w:cs="宋体"/>
          <w:b/>
          <w:bCs/>
          <w:color w:val="auto"/>
          <w:sz w:val="24"/>
          <w:szCs w:val="24"/>
        </w:rPr>
        <w:t>磋商过程</w:t>
      </w:r>
      <w:bookmarkEnd w:id="94"/>
      <w:bookmarkEnd w:id="95"/>
      <w:bookmarkEnd w:id="96"/>
    </w:p>
    <w:p>
      <w:pPr>
        <w:widowControl/>
        <w:spacing w:line="360" w:lineRule="auto"/>
        <w:ind w:firstLine="0" w:firstLineChars="0"/>
        <w:jc w:val="left"/>
        <w:outlineLvl w:val="2"/>
        <w:rPr>
          <w:rFonts w:hint="eastAsia" w:ascii="宋体" w:hAnsi="宋体" w:eastAsia="宋体" w:cs="宋体"/>
          <w:b/>
          <w:bCs/>
          <w:color w:val="auto"/>
          <w:sz w:val="24"/>
          <w:szCs w:val="24"/>
        </w:rPr>
      </w:pPr>
      <w:bookmarkStart w:id="97" w:name="_Toc325726020"/>
      <w:bookmarkStart w:id="98" w:name="_Toc376936751"/>
      <w:bookmarkStart w:id="99" w:name="_Toc15630"/>
      <w:bookmarkStart w:id="100" w:name="_Toc112"/>
      <w:bookmarkStart w:id="101" w:name="_Toc26723"/>
      <w:r>
        <w:rPr>
          <w:rFonts w:hint="eastAsia" w:ascii="宋体" w:hAnsi="宋体" w:eastAsia="宋体" w:cs="宋体"/>
          <w:b/>
          <w:bCs/>
          <w:color w:val="auto"/>
          <w:sz w:val="24"/>
          <w:szCs w:val="24"/>
        </w:rPr>
        <w:t>14.</w:t>
      </w:r>
      <w:bookmarkEnd w:id="97"/>
      <w:bookmarkEnd w:id="98"/>
      <w:r>
        <w:rPr>
          <w:rFonts w:hint="eastAsia" w:ascii="宋体" w:hAnsi="宋体" w:eastAsia="宋体" w:cs="宋体"/>
          <w:b/>
          <w:bCs/>
          <w:color w:val="auto"/>
          <w:sz w:val="24"/>
          <w:szCs w:val="24"/>
        </w:rPr>
        <w:t>磋商过程</w:t>
      </w:r>
      <w:bookmarkEnd w:id="99"/>
      <w:bookmarkEnd w:id="100"/>
      <w:bookmarkEnd w:id="10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02" w:name="_Toc19030"/>
      <w:bookmarkStart w:id="103" w:name="_Toc325726021"/>
      <w:bookmarkStart w:id="104" w:name="_Toc16575"/>
      <w:bookmarkStart w:id="105" w:name="_Toc18107"/>
      <w:bookmarkStart w:id="106" w:name="_Toc376936752"/>
      <w:r>
        <w:rPr>
          <w:rFonts w:hint="eastAsia" w:ascii="宋体" w:hAnsi="宋体" w:eastAsia="宋体" w:cs="宋体"/>
          <w:b/>
          <w:bCs/>
          <w:color w:val="auto"/>
          <w:sz w:val="24"/>
          <w:szCs w:val="24"/>
        </w:rPr>
        <w:t>六、磋商程序及方法</w:t>
      </w:r>
      <w:bookmarkEnd w:id="102"/>
      <w:bookmarkEnd w:id="103"/>
      <w:bookmarkEnd w:id="104"/>
      <w:bookmarkEnd w:id="105"/>
      <w:bookmarkEnd w:id="106"/>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7" w:name="_Toc376936753"/>
      <w:bookmarkStart w:id="108" w:name="_Toc26121"/>
      <w:bookmarkStart w:id="109" w:name="_Toc655"/>
      <w:bookmarkStart w:id="110" w:name="_Toc16935"/>
      <w:bookmarkStart w:id="111" w:name="_Toc325726022"/>
      <w:r>
        <w:rPr>
          <w:rFonts w:hint="eastAsia" w:ascii="宋体" w:hAnsi="宋体" w:eastAsia="宋体" w:cs="宋体"/>
          <w:b/>
          <w:bCs/>
          <w:color w:val="auto"/>
          <w:sz w:val="24"/>
          <w:szCs w:val="24"/>
        </w:rPr>
        <w:t>15.磋商小组</w:t>
      </w:r>
      <w:bookmarkEnd w:id="107"/>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2" w:name="_Toc27086"/>
      <w:bookmarkStart w:id="113" w:name="_Toc376936754"/>
      <w:bookmarkStart w:id="114" w:name="_Toc14694"/>
      <w:bookmarkStart w:id="115" w:name="_Toc12122"/>
      <w:bookmarkStart w:id="116" w:name="_Toc325726023"/>
      <w:r>
        <w:rPr>
          <w:rFonts w:hint="eastAsia" w:ascii="宋体" w:hAnsi="宋体" w:eastAsia="宋体" w:cs="宋体"/>
          <w:b/>
          <w:bCs/>
          <w:color w:val="auto"/>
          <w:sz w:val="24"/>
          <w:szCs w:val="24"/>
        </w:rPr>
        <w:t>16.磋商程序</w:t>
      </w:r>
      <w:bookmarkEnd w:id="112"/>
      <w:bookmarkEnd w:id="113"/>
      <w:bookmarkEnd w:id="114"/>
      <w:bookmarkEnd w:id="115"/>
      <w:bookmarkEnd w:id="116"/>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投标报价超过采购预算额度的；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交货时间</w:t>
      </w:r>
      <w:r>
        <w:rPr>
          <w:rFonts w:hint="eastAsia" w:ascii="宋体" w:hAnsi="宋体" w:eastAsia="宋体" w:cs="宋体"/>
          <w:color w:val="auto"/>
          <w:sz w:val="24"/>
          <w:szCs w:val="24"/>
        </w:rPr>
        <w:t>、磋商有效期不能满足磋商文件要求的；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（9）响应文件中附有采购人不能接受的条件的；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7" w:name="_Toc20611"/>
      <w:bookmarkStart w:id="118" w:name="_Toc376936755"/>
      <w:bookmarkStart w:id="119" w:name="_Toc8949"/>
      <w:bookmarkStart w:id="120" w:name="_Toc13668"/>
      <w:bookmarkStart w:id="121" w:name="_Toc325726024"/>
      <w:r>
        <w:rPr>
          <w:rFonts w:hint="eastAsia" w:ascii="宋体" w:hAnsi="宋体" w:eastAsia="宋体" w:cs="宋体"/>
          <w:b/>
          <w:bCs/>
          <w:color w:val="auto"/>
          <w:sz w:val="24"/>
          <w:szCs w:val="24"/>
        </w:rPr>
        <w:t>17.评审办法</w:t>
      </w:r>
      <w:bookmarkEnd w:id="117"/>
      <w:bookmarkEnd w:id="118"/>
      <w:bookmarkEnd w:id="119"/>
      <w:bookmarkEnd w:id="120"/>
      <w:bookmarkEnd w:id="12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17.2评审标准和分值分配：</w:t>
      </w:r>
    </w:p>
    <w:tbl>
      <w:tblPr>
        <w:tblStyle w:val="1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24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1777" w:type="dxa"/>
            <w:vAlign w:val="center"/>
          </w:tcPr>
          <w:p>
            <w:pPr>
              <w:spacing w:line="24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评分项目</w:t>
            </w:r>
          </w:p>
        </w:tc>
        <w:tc>
          <w:tcPr>
            <w:tcW w:w="653" w:type="dxa"/>
            <w:vAlign w:val="center"/>
          </w:tcPr>
          <w:p>
            <w:pPr>
              <w:spacing w:line="24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满分分值</w:t>
            </w:r>
          </w:p>
        </w:tc>
        <w:tc>
          <w:tcPr>
            <w:tcW w:w="6527" w:type="dxa"/>
            <w:vAlign w:val="center"/>
          </w:tcPr>
          <w:p>
            <w:pPr>
              <w:spacing w:line="24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投标报价（30分）</w:t>
            </w:r>
          </w:p>
        </w:tc>
        <w:tc>
          <w:tcPr>
            <w:tcW w:w="1777" w:type="dxa"/>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6527" w:type="dxa"/>
            <w:vAlign w:val="center"/>
          </w:tcPr>
          <w:p>
            <w:pPr>
              <w:spacing w:line="24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满足磋商文件要求且最后报价最低的供应商的价格为磋商基准价，其价格分为满分。其他供应商的价格分统一按照下列公式计算：</w:t>
            </w:r>
          </w:p>
          <w:p>
            <w:pPr>
              <w:spacing w:line="24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磋商报价得分=（磋商基准价/最后磋商报价）×价格分值</w:t>
            </w:r>
          </w:p>
          <w:p>
            <w:pPr>
              <w:spacing w:line="240" w:lineRule="auto"/>
              <w:ind w:firstLine="0" w:firstLineChars="0"/>
              <w:jc w:val="left"/>
              <w:rPr>
                <w:rFonts w:hint="eastAsia" w:ascii="宋体" w:hAnsi="宋体" w:eastAsia="宋体" w:cs="宋体"/>
                <w:color w:val="auto"/>
                <w:sz w:val="24"/>
                <w:szCs w:val="24"/>
                <w:lang w:eastAsia="zh-CN"/>
              </w:rPr>
            </w:pPr>
            <w:bookmarkStart w:id="122" w:name="_Toc27421"/>
            <w:r>
              <w:rPr>
                <w:rFonts w:hint="eastAsia" w:ascii="宋体" w:hAnsi="宋体" w:eastAsia="宋体" w:cs="宋体"/>
                <w:color w:val="auto"/>
                <w:sz w:val="24"/>
                <w:szCs w:val="24"/>
                <w:lang w:val="zh-CN" w:eastAsia="zh-CN"/>
              </w:rPr>
              <w:t>注：对小型和微型企业产品的价格（最后磋商报价）给予6%的扣除，用扣除后的价格计算投标报价得分，须提供《制造（生产）企业小型、微型企业声明函》。</w:t>
            </w:r>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商务评价</w:t>
            </w:r>
          </w:p>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6527" w:type="dxa"/>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需提供包含合同首页、标的及金额所在页、供货合同签字盖章页的扫描（或复印）件</w:t>
            </w:r>
            <w:r>
              <w:rPr>
                <w:rFonts w:hint="eastAsia" w:ascii="宋体" w:hAnsi="宋体" w:eastAsia="宋体" w:cs="宋体"/>
                <w:color w:val="auto"/>
                <w:sz w:val="24"/>
                <w:szCs w:val="24"/>
              </w:rPr>
              <w:t>），每提供1份得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满分4分</w:t>
            </w:r>
            <w:r>
              <w:rPr>
                <w:rFonts w:hint="eastAsia" w:ascii="宋体" w:hAnsi="宋体" w:eastAsia="宋体" w:cs="宋体"/>
                <w:color w:val="auto"/>
                <w:sz w:val="24"/>
                <w:szCs w:val="24"/>
              </w:rPr>
              <w:t>；未提供不得分。（原件携带备查）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24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spacing w:line="24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rPr>
              <w:t>免费</w:t>
            </w:r>
            <w:r>
              <w:rPr>
                <w:rFonts w:hint="eastAsia" w:ascii="宋体" w:hAnsi="宋体" w:eastAsia="宋体" w:cs="宋体"/>
                <w:color w:val="auto"/>
                <w:sz w:val="24"/>
                <w:szCs w:val="24"/>
                <w:lang w:val="en-US" w:eastAsia="zh-CN"/>
              </w:rPr>
              <w:t>质保期</w:t>
            </w:r>
          </w:p>
        </w:tc>
        <w:tc>
          <w:tcPr>
            <w:tcW w:w="653" w:type="dxa"/>
            <w:vAlign w:val="center"/>
          </w:tcPr>
          <w:p>
            <w:pPr>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527" w:type="dxa"/>
            <w:vAlign w:val="center"/>
          </w:tcPr>
          <w:p>
            <w:pPr>
              <w:pStyle w:val="2"/>
              <w:spacing w:line="24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供应商在满足本次采购产品免费质保期要求的基础上，每增加</w:t>
            </w:r>
            <w:r>
              <w:rPr>
                <w:rFonts w:hint="eastAsia" w:ascii="宋体" w:hAnsi="宋体" w:eastAsia="宋体" w:cs="宋体"/>
                <w:color w:val="auto"/>
                <w:sz w:val="24"/>
                <w:szCs w:val="24"/>
                <w:lang w:val="en-US" w:eastAsia="zh-CN"/>
              </w:rPr>
              <w:t>半</w:t>
            </w:r>
            <w:r>
              <w:rPr>
                <w:rFonts w:hint="eastAsia" w:ascii="宋体" w:hAnsi="宋体" w:eastAsia="宋体" w:cs="宋体"/>
                <w:color w:val="auto"/>
                <w:sz w:val="24"/>
                <w:szCs w:val="24"/>
                <w:lang w:val="zh-CN"/>
              </w:rPr>
              <w:t>年质保的得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分，最多得</w:t>
            </w: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24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商务响应</w:t>
            </w:r>
          </w:p>
        </w:tc>
        <w:tc>
          <w:tcPr>
            <w:tcW w:w="653" w:type="dxa"/>
            <w:vAlign w:val="center"/>
          </w:tcPr>
          <w:p>
            <w:pPr>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spacing w:line="24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完全响应磋商文件格式要求编排者得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47</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技术参数</w:t>
            </w:r>
          </w:p>
        </w:tc>
        <w:tc>
          <w:tcPr>
            <w:tcW w:w="653" w:type="dxa"/>
            <w:vAlign w:val="center"/>
          </w:tcPr>
          <w:p>
            <w:pPr>
              <w:widowControl/>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w:t>
            </w:r>
          </w:p>
        </w:tc>
        <w:tc>
          <w:tcPr>
            <w:tcW w:w="6527" w:type="dxa"/>
            <w:vAlign w:val="center"/>
          </w:tcPr>
          <w:p>
            <w:pPr>
              <w:pStyle w:val="8"/>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投标产品技术参数和配置完全满足或高于磋商文件要求的得</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分，基本满足磋商文件要求，每有1项负偏离扣</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分，直到扣完为止。（此项评分以产品</w:t>
            </w:r>
            <w:r>
              <w:rPr>
                <w:rFonts w:hint="eastAsia" w:hAnsi="宋体" w:eastAsia="宋体" w:cs="宋体"/>
                <w:color w:val="auto"/>
                <w:sz w:val="24"/>
                <w:szCs w:val="24"/>
                <w:lang w:val="en-US" w:eastAsia="zh-CN"/>
              </w:rPr>
              <w:t>检测报告、彩页等</w:t>
            </w:r>
            <w:r>
              <w:rPr>
                <w:rFonts w:hint="eastAsia" w:ascii="宋体" w:hAnsi="宋体" w:eastAsia="宋体" w:cs="宋体"/>
                <w:color w:val="auto"/>
                <w:sz w:val="24"/>
                <w:szCs w:val="24"/>
              </w:rPr>
              <w:t>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spacing w:line="24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widowControl/>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6527" w:type="dxa"/>
            <w:vAlign w:val="center"/>
          </w:tcPr>
          <w:p>
            <w:pPr>
              <w:pStyle w:val="8"/>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所投产品为节能产品的得1分</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所投产品为环保产品的得1分</w:t>
            </w:r>
            <w:r>
              <w:rPr>
                <w:rFonts w:hint="eastAsia" w:ascii="宋体" w:hAnsi="宋体" w:eastAsia="宋体" w:cs="宋体"/>
                <w:color w:val="auto"/>
                <w:sz w:val="24"/>
                <w:szCs w:val="24"/>
                <w:lang w:val="zh-CN"/>
              </w:rPr>
              <w:t>；未提供不得分。该项得分的认定以《节能产品认证证书》、《环境标志产品认证证书》复印件和政府部门公布的《节能产品政府采购</w:t>
            </w:r>
            <w:r>
              <w:rPr>
                <w:rFonts w:hint="eastAsia" w:ascii="宋体" w:hAnsi="宋体" w:eastAsia="宋体" w:cs="宋体"/>
                <w:color w:val="auto"/>
                <w:sz w:val="24"/>
                <w:szCs w:val="24"/>
                <w:lang w:val="en-US" w:eastAsia="zh-CN"/>
              </w:rPr>
              <w:t>品目</w:t>
            </w:r>
            <w:r>
              <w:rPr>
                <w:rFonts w:hint="eastAsia" w:ascii="宋体" w:hAnsi="宋体" w:eastAsia="宋体" w:cs="宋体"/>
                <w:color w:val="auto"/>
                <w:sz w:val="24"/>
                <w:szCs w:val="24"/>
                <w:lang w:val="zh-CN"/>
              </w:rPr>
              <w:t>清单》、《环境标志产品政府采购</w:t>
            </w:r>
            <w:r>
              <w:rPr>
                <w:rFonts w:hint="eastAsia" w:ascii="宋体" w:hAnsi="宋体" w:eastAsia="宋体" w:cs="宋体"/>
                <w:color w:val="auto"/>
                <w:sz w:val="24"/>
                <w:szCs w:val="24"/>
                <w:lang w:val="en-US" w:eastAsia="zh-CN"/>
              </w:rPr>
              <w:t>品目</w:t>
            </w:r>
            <w:r>
              <w:rPr>
                <w:rFonts w:hint="eastAsia" w:ascii="宋体" w:hAnsi="宋体" w:eastAsia="宋体" w:cs="宋体"/>
                <w:color w:val="auto"/>
                <w:sz w:val="24"/>
                <w:szCs w:val="24"/>
                <w:lang w:val="zh-CN"/>
              </w:rPr>
              <w:t>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其它部分</w:t>
            </w:r>
          </w:p>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项目管理及实施方案</w:t>
            </w:r>
          </w:p>
        </w:tc>
        <w:tc>
          <w:tcPr>
            <w:tcW w:w="653" w:type="dxa"/>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6527" w:type="dxa"/>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w:t>
            </w:r>
            <w:r>
              <w:rPr>
                <w:rFonts w:hint="eastAsia" w:ascii="宋体" w:hAnsi="宋体" w:eastAsia="宋体" w:cs="宋体"/>
                <w:color w:val="auto"/>
                <w:sz w:val="24"/>
                <w:szCs w:val="24"/>
                <w:lang w:val="en-US" w:eastAsia="zh-CN"/>
              </w:rPr>
              <w:t>与项目实施相符合的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与项目实施基本符合</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其他情况不得分</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24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售后服务计划、措施及服务承诺</w:t>
            </w:r>
          </w:p>
        </w:tc>
        <w:tc>
          <w:tcPr>
            <w:tcW w:w="653" w:type="dxa"/>
            <w:vAlign w:val="center"/>
          </w:tcPr>
          <w:p>
            <w:pPr>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val="en-US" w:eastAsia="zh-CN"/>
              </w:rPr>
              <w:t>2</w:t>
            </w:r>
          </w:p>
        </w:tc>
        <w:tc>
          <w:tcPr>
            <w:tcW w:w="6527" w:type="dxa"/>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针对本项目有配送、验收等方面售后服务能力计划、措施及服务承诺，</w:t>
            </w:r>
            <w:r>
              <w:rPr>
                <w:rFonts w:hint="eastAsia" w:ascii="宋体" w:hAnsi="宋体" w:eastAsia="宋体" w:cs="宋体"/>
                <w:color w:val="auto"/>
                <w:sz w:val="24"/>
                <w:szCs w:val="24"/>
                <w:lang w:val="en-US" w:eastAsia="zh-CN"/>
              </w:rPr>
              <w:t>与项目实施相符合的</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与项目实施基本符合</w:t>
            </w:r>
            <w:r>
              <w:rPr>
                <w:rFonts w:hint="eastAsia" w:ascii="宋体" w:hAnsi="宋体" w:eastAsia="宋体" w:cs="宋体"/>
                <w:color w:val="auto"/>
                <w:sz w:val="24"/>
                <w:szCs w:val="24"/>
              </w:rPr>
              <w:t>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其他情况不得分</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240" w:lineRule="auto"/>
              <w:ind w:firstLine="0" w:firstLineChars="0"/>
              <w:jc w:val="center"/>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spacing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spacing w:line="240" w:lineRule="auto"/>
              <w:ind w:firstLine="0" w:firstLineChars="0"/>
              <w:jc w:val="center"/>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w:t>
            </w:r>
          </w:p>
        </w:tc>
        <w:tc>
          <w:tcPr>
            <w:tcW w:w="6527" w:type="dxa"/>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有</w:t>
            </w:r>
            <w:r>
              <w:rPr>
                <w:rFonts w:hint="eastAsia" w:ascii="宋体" w:hAnsi="宋体" w:eastAsia="宋体" w:cs="宋体"/>
                <w:color w:val="auto"/>
                <w:sz w:val="24"/>
                <w:szCs w:val="24"/>
              </w:rPr>
              <w:t>合作性服务机构的得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没有不得分。需提供服务机构的营业执照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委托协议等证明文件。</w:t>
            </w:r>
          </w:p>
        </w:tc>
      </w:tr>
    </w:tbl>
    <w:p>
      <w:pPr>
        <w:wordWrap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pageBreakBefore/>
        <w:widowControl/>
        <w:spacing w:line="360" w:lineRule="auto"/>
        <w:ind w:firstLine="0" w:firstLineChars="0"/>
        <w:jc w:val="center"/>
        <w:outlineLvl w:val="1"/>
        <w:rPr>
          <w:rFonts w:hint="eastAsia" w:ascii="宋体" w:hAnsi="宋体" w:eastAsia="宋体" w:cs="宋体"/>
          <w:b/>
          <w:bCs/>
          <w:color w:val="auto"/>
          <w:sz w:val="24"/>
          <w:szCs w:val="24"/>
        </w:rPr>
      </w:pPr>
      <w:bookmarkStart w:id="123" w:name="_Toc325726025"/>
      <w:bookmarkStart w:id="124" w:name="_Toc376936756"/>
      <w:bookmarkStart w:id="125" w:name="_Toc10274"/>
      <w:bookmarkStart w:id="126" w:name="_Toc2506"/>
      <w:bookmarkStart w:id="127" w:name="_Toc6689"/>
      <w:r>
        <w:rPr>
          <w:rFonts w:hint="eastAsia" w:ascii="宋体" w:hAnsi="宋体" w:eastAsia="宋体" w:cs="宋体"/>
          <w:b/>
          <w:bCs/>
          <w:color w:val="auto"/>
          <w:sz w:val="24"/>
          <w:szCs w:val="24"/>
        </w:rPr>
        <w:t>七、</w:t>
      </w:r>
      <w:bookmarkEnd w:id="123"/>
      <w:bookmarkEnd w:id="124"/>
      <w:r>
        <w:rPr>
          <w:rFonts w:hint="eastAsia" w:ascii="宋体" w:hAnsi="宋体" w:eastAsia="宋体" w:cs="宋体"/>
          <w:b/>
          <w:bCs/>
          <w:color w:val="auto"/>
          <w:sz w:val="24"/>
          <w:szCs w:val="24"/>
        </w:rPr>
        <w:t>确定成交供应商</w:t>
      </w:r>
      <w:bookmarkEnd w:id="125"/>
      <w:bookmarkEnd w:id="126"/>
      <w:bookmarkEnd w:id="127"/>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8" w:name="_Toc376936757"/>
      <w:bookmarkStart w:id="129" w:name="_Toc325726026"/>
      <w:bookmarkStart w:id="130" w:name="_Toc17038"/>
      <w:bookmarkStart w:id="131" w:name="_Toc28889"/>
      <w:bookmarkStart w:id="132" w:name="_Toc20171"/>
      <w:r>
        <w:rPr>
          <w:rFonts w:hint="eastAsia" w:ascii="宋体" w:hAnsi="宋体" w:eastAsia="宋体" w:cs="宋体"/>
          <w:b/>
          <w:bCs/>
          <w:color w:val="auto"/>
          <w:sz w:val="24"/>
          <w:szCs w:val="24"/>
        </w:rPr>
        <w:t>18.推荐并确定成交</w:t>
      </w:r>
      <w:bookmarkEnd w:id="128"/>
      <w:bookmarkEnd w:id="129"/>
      <w:r>
        <w:rPr>
          <w:rFonts w:hint="eastAsia" w:ascii="宋体" w:hAnsi="宋体" w:eastAsia="宋体" w:cs="宋体"/>
          <w:b/>
          <w:bCs/>
          <w:color w:val="auto"/>
          <w:sz w:val="24"/>
          <w:szCs w:val="24"/>
        </w:rPr>
        <w:t>供应商</w:t>
      </w:r>
      <w:bookmarkEnd w:id="130"/>
      <w:bookmarkEnd w:id="131"/>
      <w:bookmarkEnd w:id="132"/>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3" w:name="_Toc30127"/>
      <w:bookmarkStart w:id="134" w:name="_Toc2346"/>
      <w:bookmarkStart w:id="135" w:name="_Toc2963"/>
      <w:bookmarkStart w:id="136" w:name="_Toc325726028"/>
      <w:bookmarkStart w:id="137" w:name="_Toc376936759"/>
      <w:bookmarkStart w:id="138" w:name="_Toc325726027"/>
      <w:r>
        <w:rPr>
          <w:rFonts w:hint="eastAsia" w:ascii="宋体" w:hAnsi="宋体" w:eastAsia="宋体" w:cs="宋体"/>
          <w:b/>
          <w:bCs/>
          <w:color w:val="auto"/>
          <w:sz w:val="24"/>
          <w:szCs w:val="24"/>
        </w:rPr>
        <w:t>19.成交通知</w:t>
      </w:r>
      <w:bookmarkEnd w:id="133"/>
      <w:bookmarkEnd w:id="134"/>
      <w:bookmarkEnd w:id="135"/>
      <w:bookmarkEnd w:id="136"/>
      <w:bookmarkEnd w:id="137"/>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9" w:name="_Toc376936758"/>
      <w:bookmarkStart w:id="140" w:name="_Toc14362"/>
      <w:bookmarkStart w:id="141" w:name="_Toc18063"/>
      <w:bookmarkStart w:id="142" w:name="_Toc5556"/>
      <w:r>
        <w:rPr>
          <w:rFonts w:hint="eastAsia" w:ascii="宋体" w:hAnsi="宋体" w:eastAsia="宋体" w:cs="宋体"/>
          <w:b/>
          <w:bCs/>
          <w:color w:val="auto"/>
          <w:sz w:val="24"/>
          <w:szCs w:val="24"/>
        </w:rPr>
        <w:t>八、授予合同</w:t>
      </w:r>
      <w:bookmarkEnd w:id="138"/>
      <w:bookmarkEnd w:id="139"/>
      <w:bookmarkEnd w:id="140"/>
      <w:bookmarkEnd w:id="141"/>
      <w:bookmarkEnd w:id="142"/>
    </w:p>
    <w:p>
      <w:pPr>
        <w:widowControl/>
        <w:spacing w:line="360" w:lineRule="auto"/>
        <w:ind w:firstLine="0" w:firstLineChars="0"/>
        <w:jc w:val="left"/>
        <w:outlineLvl w:val="2"/>
        <w:rPr>
          <w:rFonts w:hint="eastAsia" w:ascii="宋体" w:hAnsi="宋体" w:eastAsia="宋体" w:cs="宋体"/>
          <w:b/>
          <w:bCs/>
          <w:color w:val="auto"/>
          <w:sz w:val="24"/>
          <w:szCs w:val="24"/>
        </w:rPr>
      </w:pPr>
      <w:bookmarkStart w:id="143" w:name="_Toc921"/>
      <w:bookmarkStart w:id="144" w:name="_Toc376936760"/>
      <w:bookmarkStart w:id="145" w:name="_Toc29832"/>
      <w:bookmarkStart w:id="146" w:name="_Toc325726029"/>
      <w:bookmarkStart w:id="147" w:name="_Toc28394"/>
      <w:r>
        <w:rPr>
          <w:rFonts w:hint="eastAsia" w:ascii="宋体" w:hAnsi="宋体" w:eastAsia="宋体" w:cs="宋体"/>
          <w:b/>
          <w:bCs/>
          <w:color w:val="auto"/>
          <w:sz w:val="24"/>
          <w:szCs w:val="24"/>
        </w:rPr>
        <w:t>20.签订合同</w:t>
      </w:r>
      <w:bookmarkEnd w:id="143"/>
      <w:bookmarkEnd w:id="144"/>
      <w:bookmarkEnd w:id="145"/>
      <w:bookmarkEnd w:id="146"/>
      <w:bookmarkEnd w:id="147"/>
    </w:p>
    <w:p>
      <w:pPr>
        <w:spacing w:line="360" w:lineRule="auto"/>
        <w:ind w:firstLine="0" w:firstLineChars="0"/>
        <w:jc w:val="left"/>
        <w:rPr>
          <w:rFonts w:hint="eastAsia" w:ascii="宋体" w:hAnsi="宋体" w:eastAsia="宋体" w:cs="宋体"/>
          <w:color w:val="auto"/>
          <w:sz w:val="24"/>
          <w:szCs w:val="24"/>
        </w:rPr>
      </w:pPr>
      <w:bookmarkStart w:id="148" w:name="_Toc325726030"/>
      <w:bookmarkStart w:id="149" w:name="_Toc376936761"/>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27"/>
        <w:spacing w:line="360" w:lineRule="auto"/>
        <w:rPr>
          <w:rFonts w:hint="eastAsia" w:ascii="宋体" w:hAnsi="宋体" w:eastAsia="宋体" w:cs="宋体"/>
          <w:color w:val="auto"/>
        </w:rPr>
      </w:pPr>
      <w:r>
        <w:rPr>
          <w:rFonts w:hint="eastAsia" w:ascii="宋体" w:hAnsi="宋体" w:eastAsia="宋体" w:cs="宋体"/>
          <w:color w:val="auto"/>
        </w:rPr>
        <w:t>20.3签订合同时，成交供应商应当以支票、汇票、本票等非现金形式向采购人指定的账户交纳履约保证金。</w:t>
      </w:r>
      <w:r>
        <w:rPr>
          <w:rFonts w:hint="eastAsia" w:ascii="宋体" w:hAnsi="宋体" w:eastAsia="宋体" w:cs="宋体"/>
          <w:b/>
          <w:bCs/>
          <w:color w:val="auto"/>
          <w:lang w:val="en-US" w:eastAsia="zh-CN"/>
        </w:rPr>
        <w:t>本项目履约保证金为成交金额的5%。</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50" w:name="_Toc896"/>
      <w:bookmarkStart w:id="151" w:name="_Toc22442"/>
      <w:bookmarkStart w:id="152" w:name="_Toc31071"/>
      <w:r>
        <w:rPr>
          <w:rFonts w:hint="eastAsia" w:ascii="宋体" w:hAnsi="宋体" w:eastAsia="宋体" w:cs="宋体"/>
          <w:b/>
          <w:bCs/>
          <w:color w:val="auto"/>
          <w:sz w:val="24"/>
          <w:szCs w:val="24"/>
        </w:rPr>
        <w:t>九、</w:t>
      </w:r>
      <w:bookmarkEnd w:id="148"/>
      <w:bookmarkEnd w:id="149"/>
      <w:r>
        <w:rPr>
          <w:rFonts w:hint="eastAsia" w:ascii="宋体" w:hAnsi="宋体" w:eastAsia="宋体" w:cs="宋体"/>
          <w:b/>
          <w:bCs/>
          <w:color w:val="auto"/>
          <w:sz w:val="24"/>
          <w:szCs w:val="24"/>
        </w:rPr>
        <w:t>磋商活动终止</w:t>
      </w:r>
      <w:bookmarkEnd w:id="150"/>
      <w:bookmarkEnd w:id="151"/>
      <w:bookmarkEnd w:id="152"/>
    </w:p>
    <w:p>
      <w:pPr>
        <w:widowControl/>
        <w:spacing w:line="360" w:lineRule="auto"/>
        <w:ind w:firstLine="0" w:firstLineChars="0"/>
        <w:jc w:val="left"/>
        <w:outlineLvl w:val="2"/>
        <w:rPr>
          <w:rFonts w:hint="eastAsia" w:ascii="宋体" w:hAnsi="宋体" w:eastAsia="宋体" w:cs="宋体"/>
          <w:b/>
          <w:bCs/>
          <w:color w:val="auto"/>
          <w:sz w:val="24"/>
          <w:szCs w:val="24"/>
        </w:rPr>
      </w:pPr>
      <w:bookmarkStart w:id="153" w:name="_Toc11684"/>
      <w:bookmarkStart w:id="154" w:name="_Toc11493"/>
      <w:bookmarkStart w:id="155" w:name="_Toc7098"/>
      <w:bookmarkStart w:id="156" w:name="_Toc325726031"/>
      <w:bookmarkStart w:id="157" w:name="_Toc376936762"/>
      <w:r>
        <w:rPr>
          <w:rFonts w:hint="eastAsia" w:ascii="宋体" w:hAnsi="宋体" w:eastAsia="宋体" w:cs="宋体"/>
          <w:b/>
          <w:bCs/>
          <w:color w:val="auto"/>
          <w:sz w:val="24"/>
          <w:szCs w:val="24"/>
        </w:rPr>
        <w:t>21.终止情形</w:t>
      </w:r>
      <w:bookmarkEnd w:id="153"/>
      <w:bookmarkEnd w:id="154"/>
      <w:bookmarkEnd w:id="15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56"/>
      <w:bookmarkEnd w:id="15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5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59" w:name="_Toc376936763"/>
      <w:bookmarkStart w:id="160" w:name="_Toc27950"/>
      <w:bookmarkStart w:id="161" w:name="_Toc6646"/>
      <w:bookmarkStart w:id="162" w:name="_Toc15072"/>
      <w:r>
        <w:rPr>
          <w:rFonts w:hint="eastAsia" w:ascii="宋体" w:hAnsi="宋体" w:eastAsia="宋体" w:cs="宋体"/>
          <w:b/>
          <w:bCs/>
          <w:color w:val="auto"/>
          <w:sz w:val="24"/>
          <w:szCs w:val="24"/>
        </w:rPr>
        <w:t>十、处罚</w:t>
      </w:r>
      <w:bookmarkEnd w:id="158"/>
      <w:bookmarkEnd w:id="159"/>
      <w:bookmarkEnd w:id="160"/>
      <w:bookmarkEnd w:id="161"/>
      <w:bookmarkEnd w:id="162"/>
    </w:p>
    <w:p>
      <w:pPr>
        <w:widowControl/>
        <w:spacing w:line="360" w:lineRule="auto"/>
        <w:ind w:firstLine="0" w:firstLineChars="0"/>
        <w:jc w:val="left"/>
        <w:outlineLvl w:val="2"/>
        <w:rPr>
          <w:rFonts w:hint="eastAsia" w:ascii="宋体" w:hAnsi="宋体" w:eastAsia="宋体" w:cs="宋体"/>
          <w:b/>
          <w:bCs/>
          <w:color w:val="auto"/>
          <w:sz w:val="24"/>
          <w:szCs w:val="24"/>
        </w:rPr>
      </w:pPr>
      <w:bookmarkStart w:id="163" w:name="_Toc28018"/>
      <w:bookmarkStart w:id="164" w:name="_Toc17567"/>
      <w:bookmarkStart w:id="165" w:name="_Toc325726033"/>
      <w:bookmarkStart w:id="166" w:name="_Toc2875"/>
      <w:bookmarkStart w:id="167" w:name="_Toc376936764"/>
      <w:r>
        <w:rPr>
          <w:rFonts w:hint="eastAsia" w:ascii="宋体" w:hAnsi="宋体" w:eastAsia="宋体" w:cs="宋体"/>
          <w:b/>
          <w:bCs/>
          <w:color w:val="auto"/>
          <w:sz w:val="24"/>
          <w:szCs w:val="24"/>
        </w:rPr>
        <w:t>22.处罚情形</w:t>
      </w:r>
      <w:bookmarkEnd w:id="163"/>
      <w:bookmarkEnd w:id="164"/>
      <w:bookmarkEnd w:id="165"/>
      <w:bookmarkEnd w:id="166"/>
      <w:bookmarkEnd w:id="167"/>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68" w:name="_Toc325726034"/>
      <w:bookmarkStart w:id="169" w:name="_Toc3959"/>
      <w:bookmarkStart w:id="170" w:name="_Toc376936765"/>
      <w:bookmarkStart w:id="171" w:name="_Toc16406"/>
      <w:bookmarkStart w:id="172" w:name="_Toc19538"/>
      <w:r>
        <w:rPr>
          <w:rFonts w:hint="eastAsia" w:ascii="宋体" w:hAnsi="宋体" w:eastAsia="宋体" w:cs="宋体"/>
          <w:b/>
          <w:bCs/>
          <w:color w:val="auto"/>
          <w:sz w:val="24"/>
          <w:szCs w:val="24"/>
        </w:rPr>
        <w:t>十一、其他</w:t>
      </w:r>
      <w:bookmarkEnd w:id="168"/>
      <w:bookmarkEnd w:id="169"/>
      <w:bookmarkEnd w:id="170"/>
      <w:bookmarkEnd w:id="171"/>
      <w:bookmarkEnd w:id="172"/>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73" w:name="_Toc13897"/>
      <w:r>
        <w:rPr>
          <w:rFonts w:hint="eastAsia" w:ascii="宋体" w:hAnsi="宋体" w:eastAsia="宋体" w:cs="宋体"/>
          <w:b/>
          <w:color w:val="auto"/>
          <w:kern w:val="28"/>
          <w:sz w:val="36"/>
          <w:szCs w:val="20"/>
        </w:rPr>
        <w:t>第四部分  采购项目合同书</w:t>
      </w:r>
      <w:bookmarkEnd w:id="173"/>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lang w:val="zh-CN"/>
        </w:rPr>
        <w:t>青海省政府采购项目合同书</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autoSpaceDE w:val="0"/>
        <w:autoSpaceDN w:val="0"/>
        <w:spacing w:line="360" w:lineRule="auto"/>
        <w:ind w:firstLine="0" w:firstLineChars="0"/>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zh-CN"/>
        </w:rPr>
        <w:t>青海鼎钊竞磋（货物）2020-054</w:t>
      </w:r>
    </w:p>
    <w:p>
      <w:pPr>
        <w:autoSpaceDE w:val="0"/>
        <w:autoSpaceDN w:val="0"/>
        <w:spacing w:line="360" w:lineRule="auto"/>
        <w:ind w:left="2108" w:hanging="2108" w:hangingChars="70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zh-CN"/>
        </w:rPr>
        <w:t>监控及门禁系统建设采购项目</w:t>
      </w:r>
    </w:p>
    <w:p>
      <w:pPr>
        <w:autoSpaceDE w:val="0"/>
        <w:autoSpaceDN w:val="0"/>
        <w:spacing w:line="360" w:lineRule="auto"/>
        <w:ind w:firstLine="0" w:firstLineChars="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zh-CN"/>
        </w:rPr>
        <w:t>QH</w:t>
      </w:r>
      <w:r>
        <w:rPr>
          <w:rFonts w:hint="eastAsia" w:ascii="宋体" w:hAnsi="宋体" w:eastAsia="宋体" w:cs="宋体"/>
          <w:b/>
          <w:bCs/>
          <w:color w:val="auto"/>
          <w:sz w:val="30"/>
          <w:szCs w:val="30"/>
          <w:u w:val="single"/>
          <w:lang w:val="en-US" w:eastAsia="zh-CN"/>
        </w:rPr>
        <w:t>DZ</w:t>
      </w:r>
      <w:r>
        <w:rPr>
          <w:rFonts w:hint="eastAsia" w:ascii="宋体" w:hAnsi="宋体" w:eastAsia="宋体" w:cs="宋体"/>
          <w:b/>
          <w:bCs/>
          <w:color w:val="auto"/>
          <w:sz w:val="30"/>
          <w:szCs w:val="30"/>
          <w:u w:val="single"/>
          <w:lang w:val="zh-CN"/>
        </w:rPr>
        <w:t>-2020-054</w:t>
      </w:r>
    </w:p>
    <w:p>
      <w:pPr>
        <w:autoSpaceDE w:val="0"/>
        <w:autoSpaceDN w:val="0"/>
        <w:spacing w:line="360" w:lineRule="auto"/>
        <w:ind w:firstLine="0" w:firstLineChars="0"/>
        <w:rPr>
          <w:rFonts w:hint="eastAsia" w:ascii="宋体" w:hAnsi="宋体" w:eastAsia="宋体" w:cs="宋体"/>
          <w:b/>
          <w:bCs/>
          <w:color w:val="auto"/>
          <w:sz w:val="30"/>
          <w:szCs w:val="30"/>
          <w:u w:val="single"/>
          <w:lang w:val="en-US" w:eastAsia="zh-CN"/>
        </w:rPr>
      </w:pPr>
      <w:r>
        <w:rPr>
          <w:rFonts w:hint="eastAsia" w:ascii="宋体" w:hAnsi="宋体" w:eastAsia="宋体" w:cs="宋体"/>
          <w:b/>
          <w:bCs/>
          <w:color w:val="auto"/>
          <w:sz w:val="30"/>
          <w:szCs w:val="30"/>
          <w:lang w:val="zh-CN"/>
        </w:rPr>
        <w:t>合同金额（人民币）：</w:t>
      </w:r>
      <w:r>
        <w:rPr>
          <w:rFonts w:hint="eastAsia" w:ascii="宋体" w:hAnsi="宋体" w:eastAsia="宋体" w:cs="宋体"/>
          <w:b/>
          <w:bCs/>
          <w:color w:val="auto"/>
          <w:sz w:val="30"/>
          <w:szCs w:val="30"/>
          <w:u w:val="single"/>
          <w:lang w:val="en-US" w:eastAsia="zh-CN"/>
        </w:rPr>
        <w:t xml:space="preserve">                       </w:t>
      </w:r>
    </w:p>
    <w:p>
      <w:pPr>
        <w:autoSpaceDE w:val="0"/>
        <w:autoSpaceDN w:val="0"/>
        <w:spacing w:line="360" w:lineRule="auto"/>
        <w:ind w:firstLine="0" w:firstLineChars="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采购人（甲方）：</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供 应 商（乙方）：</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lang w:val="zh-CN"/>
        </w:rPr>
        <w:t>（盖章）</w:t>
      </w:r>
    </w:p>
    <w:p>
      <w:pPr>
        <w:autoSpaceDE w:val="0"/>
        <w:autoSpaceDN w:val="0"/>
        <w:spacing w:line="360" w:lineRule="auto"/>
        <w:ind w:firstLine="0" w:firstLineChars="0"/>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采购日期：</w:t>
      </w:r>
      <w:r>
        <w:rPr>
          <w:rFonts w:hint="eastAsia" w:ascii="宋体" w:hAnsi="宋体" w:eastAsia="宋体" w:cs="宋体"/>
          <w:b/>
          <w:bCs/>
          <w:color w:val="auto"/>
          <w:sz w:val="30"/>
          <w:szCs w:val="30"/>
          <w:u w:val="single"/>
          <w:lang w:val="en-US" w:eastAsia="zh-CN"/>
        </w:rPr>
        <w:t xml:space="preserve">                            </w:t>
      </w:r>
    </w:p>
    <w:p>
      <w:pPr>
        <w:spacing w:line="360" w:lineRule="auto"/>
        <w:ind w:left="0" w:leftChars="0" w:firstLine="0" w:firstLineChars="0"/>
        <w:rPr>
          <w:rFonts w:hint="eastAsia" w:ascii="宋体" w:hAnsi="宋体" w:eastAsia="宋体" w:cs="宋体"/>
          <w:color w:val="auto"/>
          <w:sz w:val="24"/>
          <w:szCs w:val="24"/>
        </w:rPr>
      </w:pPr>
    </w:p>
    <w:p>
      <w:pPr>
        <w:spacing w:line="360" w:lineRule="auto"/>
        <w:ind w:left="0" w:leftChars="0" w:firstLine="0" w:firstLineChars="0"/>
        <w:rPr>
          <w:rFonts w:hint="eastAsia" w:ascii="宋体" w:hAnsi="宋体" w:eastAsia="宋体" w:cs="宋体"/>
          <w:color w:val="auto"/>
          <w:sz w:val="24"/>
          <w:szCs w:val="24"/>
        </w:rPr>
      </w:pPr>
    </w:p>
    <w:p>
      <w:pPr>
        <w:spacing w:line="360" w:lineRule="auto"/>
        <w:ind w:left="0" w:leftChars="0" w:firstLine="0" w:firstLineChars="0"/>
        <w:rPr>
          <w:rFonts w:hint="eastAsia" w:ascii="宋体" w:hAnsi="宋体" w:eastAsia="宋体" w:cs="宋体"/>
          <w:color w:val="auto"/>
          <w:sz w:val="24"/>
          <w:szCs w:val="24"/>
          <w:lang w:val="en-US" w:eastAsia="zh-CN"/>
        </w:rPr>
      </w:pPr>
    </w:p>
    <w:p>
      <w:pPr>
        <w:autoSpaceDE w:val="0"/>
        <w:autoSpaceDN w:val="0"/>
        <w:spacing w:line="360" w:lineRule="auto"/>
        <w:ind w:firstLine="0" w:firstLineChars="0"/>
        <w:jc w:val="left"/>
        <w:rPr>
          <w:rFonts w:hint="eastAsia"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采购人（以下简称甲方）：</w:t>
      </w:r>
    </w:p>
    <w:p>
      <w:pPr>
        <w:autoSpaceDE w:val="0"/>
        <w:autoSpaceDN w:val="0"/>
        <w:spacing w:line="360" w:lineRule="auto"/>
        <w:ind w:firstLine="0" w:firstLineChars="0"/>
        <w:rPr>
          <w:rFonts w:hint="eastAsia" w:ascii="宋体" w:hAnsi="宋体" w:eastAsia="宋体" w:cs="宋体"/>
          <w:color w:val="auto"/>
          <w:sz w:val="28"/>
          <w:szCs w:val="28"/>
        </w:rPr>
      </w:pPr>
      <w:r>
        <w:rPr>
          <w:rFonts w:hint="eastAsia" w:ascii="宋体" w:hAnsi="宋体" w:eastAsia="宋体" w:cs="宋体"/>
          <w:b/>
          <w:bCs/>
          <w:color w:val="auto"/>
          <w:sz w:val="28"/>
          <w:szCs w:val="28"/>
          <w:lang w:val="zh-CN"/>
        </w:rPr>
        <w:t>供应商（以下简称乙方）：</w:t>
      </w:r>
    </w:p>
    <w:p>
      <w:pPr>
        <w:pStyle w:val="6"/>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日“监控及门禁系统建设采购项目”（项目编号：青海鼎钊竞磋（货物）2020-054）的磋商文件要求和</w:t>
      </w:r>
      <w:r>
        <w:rPr>
          <w:rFonts w:hint="eastAsia" w:ascii="宋体" w:hAnsi="宋体" w:eastAsia="宋体" w:cs="宋体"/>
          <w:color w:val="auto"/>
          <w:sz w:val="24"/>
          <w:lang w:val="zh-CN"/>
        </w:rPr>
        <w:t>青海鼎钊招标代理有限公司</w:t>
      </w:r>
      <w:r>
        <w:rPr>
          <w:rFonts w:hint="eastAsia" w:ascii="宋体" w:hAnsi="宋体" w:eastAsia="宋体" w:cs="宋体"/>
          <w:color w:val="auto"/>
          <w:sz w:val="24"/>
          <w:szCs w:val="24"/>
          <w:lang w:val="zh-CN"/>
        </w:rPr>
        <w:t>出具的《成交通知书》，并经双方协商一致，签订本合同协议书。</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一、签订本政府采购合同的依据</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val="zh-CN"/>
        </w:rPr>
        <w:t>提交的响应文件；</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4.磋商文件中规定的政府采购合同通用条款；</w:t>
      </w:r>
    </w:p>
    <w:p>
      <w:pPr>
        <w:autoSpaceDE w:val="0"/>
        <w:autoSpaceDN w:val="0"/>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成交通知书</w:t>
      </w:r>
      <w:r>
        <w:rPr>
          <w:rFonts w:hint="eastAsia" w:ascii="宋体" w:hAnsi="宋体" w:eastAsia="宋体" w:cs="宋体"/>
          <w:color w:val="auto"/>
          <w:sz w:val="24"/>
          <w:szCs w:val="24"/>
          <w:lang w:eastAsia="zh-CN"/>
        </w:rPr>
        <w:t>；</w:t>
      </w:r>
    </w:p>
    <w:p>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6.履约保证金凭证。</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二、合同标的及金额                                       单位：元</w:t>
      </w:r>
    </w:p>
    <w:tbl>
      <w:tblPr>
        <w:tblStyle w:val="18"/>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color w:val="auto"/>
                <w:sz w:val="24"/>
                <w:szCs w:val="24"/>
                <w:lang w:val="zh-CN"/>
              </w:rPr>
            </w:pPr>
          </w:p>
        </w:tc>
      </w:tr>
    </w:tbl>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根据上述政府采购合同文件要求，本政府采购合同的总金额为人民币</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（大写）元。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本合同以人民币进行结算，合同总价包括：</w:t>
      </w:r>
      <w:r>
        <w:rPr>
          <w:rFonts w:hint="eastAsia" w:ascii="宋体" w:hAnsi="宋体" w:eastAsia="宋体" w:cs="宋体"/>
          <w:color w:val="auto"/>
          <w:sz w:val="24"/>
          <w:lang w:val="zh-CN"/>
        </w:rPr>
        <w:t>产品费、检验费、手续费、包装费、运输费、保险费、系统集成费、安装调试费、招标代理费、税金及不可预见费等全部费用。</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三、</w:t>
      </w:r>
      <w:r>
        <w:rPr>
          <w:rFonts w:hint="eastAsia" w:ascii="宋体" w:hAnsi="宋体" w:eastAsia="宋体" w:cs="宋体"/>
          <w:color w:val="auto"/>
          <w:sz w:val="24"/>
          <w:szCs w:val="24"/>
          <w:lang w:val="en-US" w:eastAsia="zh-CN"/>
        </w:rPr>
        <w:t>交货时间</w:t>
      </w:r>
      <w:r>
        <w:rPr>
          <w:rFonts w:hint="eastAsia" w:ascii="宋体" w:hAnsi="宋体" w:eastAsia="宋体" w:cs="宋体"/>
          <w:color w:val="auto"/>
          <w:sz w:val="24"/>
          <w:szCs w:val="24"/>
          <w:lang w:val="zh-CN"/>
        </w:rPr>
        <w:t>、地点和要求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交货时间</w:t>
      </w:r>
      <w:r>
        <w:rPr>
          <w:rFonts w:hint="eastAsia" w:ascii="宋体" w:hAnsi="宋体" w:eastAsia="宋体" w:cs="宋体"/>
          <w:color w:val="auto"/>
          <w:sz w:val="24"/>
          <w:szCs w:val="24"/>
          <w:lang w:val="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交货</w:t>
      </w:r>
      <w:r>
        <w:rPr>
          <w:rFonts w:hint="eastAsia" w:ascii="宋体" w:hAnsi="宋体" w:eastAsia="宋体" w:cs="宋体"/>
          <w:color w:val="auto"/>
          <w:sz w:val="24"/>
          <w:szCs w:val="24"/>
          <w:lang w:val="zh-CN"/>
        </w:rPr>
        <w:t>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乙方提供不符合磋商文件、响应文件和本合同规定的产品，甲方有权拒绝接受。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甲方应当在到货后</w:t>
      </w:r>
      <w:r>
        <w:rPr>
          <w:rFonts w:hint="eastAsia" w:ascii="宋体" w:hAnsi="宋体" w:eastAsia="宋体" w:cs="宋体"/>
          <w:color w:val="auto"/>
          <w:sz w:val="24"/>
          <w:szCs w:val="24"/>
          <w:u w:val="single"/>
        </w:rPr>
        <w:t>7</w:t>
      </w:r>
      <w:r>
        <w:rPr>
          <w:rFonts w:hint="eastAsia" w:ascii="宋体" w:hAnsi="宋体" w:eastAsia="宋体" w:cs="宋体"/>
          <w:color w:val="auto"/>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甲方在验收过程中发现乙方有违约问题，可按磋商文件、响应文件的规定要求乙方及时予以解决。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乙方向甲方提供产品相关完税销售发票。</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乙方所交付的产品由甲方验收，验收合格后由甲方向乙方支付合同总价款的100%，即人民币（大写）：</w:t>
      </w:r>
      <w:r>
        <w:rPr>
          <w:rFonts w:hint="eastAsia" w:ascii="宋体" w:hAnsi="宋体" w:eastAsia="宋体" w:cs="宋体"/>
          <w:b w:val="0"/>
          <w:bCs w:val="0"/>
          <w:color w:val="auto"/>
          <w:kern w:val="0"/>
          <w:sz w:val="24"/>
          <w:szCs w:val="24"/>
          <w:u w:val="single"/>
          <w:lang w:val="zh-CN" w:eastAsia="zh-CN"/>
        </w:rPr>
        <w:t xml:space="preserve">   </w:t>
      </w:r>
      <w:r>
        <w:rPr>
          <w:rFonts w:hint="eastAsia" w:ascii="宋体" w:hAnsi="宋体" w:eastAsia="宋体" w:cs="宋体"/>
          <w:b w:val="0"/>
          <w:bCs w:val="0"/>
          <w:color w:val="auto"/>
          <w:kern w:val="0"/>
          <w:sz w:val="24"/>
          <w:szCs w:val="24"/>
          <w:u w:val="single"/>
          <w:lang w:val="zh-CN"/>
        </w:rPr>
        <w:t>元</w:t>
      </w:r>
      <w:r>
        <w:rPr>
          <w:rFonts w:hint="eastAsia" w:ascii="宋体" w:hAnsi="宋体" w:eastAsia="宋体" w:cs="宋体"/>
          <w:b w:val="0"/>
          <w:bCs w:val="0"/>
          <w:color w:val="auto"/>
          <w:kern w:val="0"/>
          <w:sz w:val="24"/>
          <w:szCs w:val="24"/>
          <w:lang w:val="zh-CN"/>
        </w:rPr>
        <w:t>。</w:t>
      </w:r>
    </w:p>
    <w:p>
      <w:pPr>
        <w:pStyle w:val="27"/>
        <w:spacing w:line="360" w:lineRule="auto"/>
        <w:ind w:firstLine="480" w:firstLineChars="200"/>
        <w:rPr>
          <w:rFonts w:hint="eastAsia" w:ascii="宋体" w:hAnsi="宋体" w:eastAsia="宋体" w:cs="宋体"/>
          <w:color w:val="auto"/>
          <w:lang w:val="zh-CN"/>
        </w:rPr>
      </w:pPr>
      <w:r>
        <w:rPr>
          <w:rFonts w:hint="eastAsia" w:ascii="宋体" w:hAnsi="宋体" w:eastAsia="宋体" w:cs="宋体"/>
          <w:color w:val="auto"/>
          <w:lang w:val="zh-CN"/>
        </w:rPr>
        <w:t>乙方向甲方提交的履约保证金计（大写）</w:t>
      </w:r>
      <w:r>
        <w:rPr>
          <w:rFonts w:hint="eastAsia" w:ascii="宋体" w:hAnsi="宋体" w:eastAsia="宋体" w:cs="宋体"/>
          <w:color w:val="auto"/>
          <w:u w:val="single"/>
          <w:lang w:val="zh-CN"/>
        </w:rPr>
        <w:t xml:space="preserve">        </w:t>
      </w:r>
      <w:r>
        <w:rPr>
          <w:rFonts w:hint="eastAsia" w:ascii="宋体" w:hAnsi="宋体" w:eastAsia="宋体" w:cs="宋体"/>
          <w:color w:val="auto"/>
          <w:lang w:val="zh-CN"/>
        </w:rPr>
        <w:t>元转为质量保证金。质量保证金待免费质保期满</w:t>
      </w:r>
      <w:r>
        <w:rPr>
          <w:rFonts w:hint="eastAsia" w:ascii="宋体" w:hAnsi="宋体" w:eastAsia="宋体" w:cs="宋体"/>
          <w:color w:val="auto"/>
          <w:u w:val="single"/>
          <w:lang w:val="zh-CN"/>
        </w:rPr>
        <w:t xml:space="preserve"> </w:t>
      </w:r>
      <w:r>
        <w:rPr>
          <w:rFonts w:hint="eastAsia" w:ascii="宋体" w:hAnsi="宋体" w:eastAsia="宋体" w:cs="宋体"/>
          <w:color w:val="auto"/>
          <w:u w:val="single"/>
          <w:lang w:val="zh-CN" w:eastAsia="zh-CN"/>
        </w:rPr>
        <w:t xml:space="preserve">   </w:t>
      </w:r>
      <w:r>
        <w:rPr>
          <w:rFonts w:hint="eastAsia" w:ascii="宋体" w:hAnsi="宋体" w:eastAsia="宋体" w:cs="宋体"/>
          <w:color w:val="auto"/>
          <w:u w:val="single"/>
          <w:lang w:val="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zh-CN"/>
        </w:rPr>
        <w:t>且产品无质量问题后，由乙方提出书面申请，甲方以转账方式予以退还。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五、合同的变更、终止与转让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除《中华人民共和国政府采购法》第</w:t>
      </w:r>
      <w:r>
        <w:rPr>
          <w:rFonts w:hint="eastAsia" w:ascii="宋体" w:hAnsi="宋体" w:eastAsia="宋体" w:cs="宋体"/>
          <w:color w:val="auto"/>
          <w:sz w:val="24"/>
          <w:szCs w:val="24"/>
        </w:rPr>
        <w:t>50</w:t>
      </w:r>
      <w:r>
        <w:rPr>
          <w:rFonts w:hint="eastAsia" w:ascii="宋体" w:hAnsi="宋体" w:eastAsia="宋体" w:cs="宋体"/>
          <w:color w:val="auto"/>
          <w:sz w:val="24"/>
          <w:szCs w:val="24"/>
          <w:lang w:val="zh-CN"/>
        </w:rPr>
        <w:t>条规定的情形外，本合同一经签订，甲乙双方不得擅自变更、中止或终止。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乙方不得擅自转让其应履行的合同义务。</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六、违约责任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因包装、运输引起的货物损坏，按质量不合格处罚。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甲方无故延期接受货物和乙方逾期交货的，每天应向对方偿付未交货物的货款</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‰的违约金，但违约金累计不得超过违约货款的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，超过</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lang w:val="zh-CN"/>
        </w:rPr>
        <w:t>天对方有权解除合同，违约方承担因此给对方造成的经济损失。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乙方未按本合同和响应文件中规定的服务承诺提供售后服务的，乙方应按本合同合计金额的</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向甲方支付违约金。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乙方提供的货物在免费质保期内，因设计、工艺或材料的缺陷和其它质量原因造成的问题，由乙方负责。</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其它违约行为按违约货款额</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收取违约金并赔偿经济损失。</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七、不可抗力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rPr>
        <w:t>15</w:t>
      </w:r>
      <w:r>
        <w:rPr>
          <w:rFonts w:hint="eastAsia" w:ascii="宋体" w:hAnsi="宋体" w:eastAsia="宋体" w:cs="宋体"/>
          <w:color w:val="auto"/>
          <w:sz w:val="24"/>
          <w:szCs w:val="24"/>
          <w:lang w:val="zh-CN"/>
        </w:rPr>
        <w:t>天内达成进一步履行合同的协议，因不可抗力致使合同不能履行的，合同终止。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除法律、法规规定的不可抗力情形外，双方约定出现</w:t>
      </w:r>
      <w:r>
        <w:rPr>
          <w:rFonts w:hint="eastAsia" w:ascii="宋体" w:hAnsi="宋体" w:eastAsia="宋体" w:cs="宋体"/>
          <w:color w:val="auto"/>
          <w:sz w:val="24"/>
          <w:u w:val="single"/>
          <w:lang w:val="zh-CN"/>
        </w:rPr>
        <w:t>非人为</w:t>
      </w:r>
      <w:r>
        <w:rPr>
          <w:rFonts w:hint="eastAsia" w:ascii="宋体" w:hAnsi="宋体" w:eastAsia="宋体" w:cs="宋体"/>
          <w:color w:val="auto"/>
          <w:sz w:val="24"/>
          <w:szCs w:val="24"/>
          <w:lang w:val="zh-CN"/>
        </w:rPr>
        <w:t>情况亦视为不可抗力。</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八、知识产权：详见合同通用条款</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九、其他约定：无</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十、合同争议解决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sz w:val="24"/>
          <w:szCs w:val="24"/>
          <w:u w:val="single"/>
          <w:lang w:val="zh-CN"/>
        </w:rPr>
        <w:t>甲方</w:t>
      </w:r>
      <w:r>
        <w:rPr>
          <w:rFonts w:hint="eastAsia" w:ascii="宋体" w:hAnsi="宋体" w:eastAsia="宋体" w:cs="宋体"/>
          <w:color w:val="auto"/>
          <w:sz w:val="24"/>
          <w:szCs w:val="24"/>
          <w:lang w:val="zh-CN"/>
        </w:rPr>
        <w:t>所在地仲裁委员会申请仲裁或向甲方所在地人民法院提起诉讼。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诉讼期间，本合同继续履行。</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十一、合同生效及其它</w:t>
      </w:r>
      <w:r>
        <w:rPr>
          <w:rFonts w:hint="eastAsia" w:ascii="宋体" w:hAnsi="宋体" w:eastAsia="宋体" w:cs="宋体"/>
          <w:color w:val="auto"/>
          <w:sz w:val="24"/>
          <w:szCs w:val="24"/>
        </w:rPr>
        <w:t>：</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本合同一式</w:t>
      </w:r>
      <w:r>
        <w:rPr>
          <w:rFonts w:hint="eastAsia" w:ascii="宋体" w:hAnsi="宋体" w:eastAsia="宋体" w:cs="宋体"/>
          <w:color w:val="auto"/>
          <w:sz w:val="24"/>
          <w:szCs w:val="24"/>
          <w:u w:val="single"/>
        </w:rPr>
        <w:t>6</w:t>
      </w:r>
      <w:r>
        <w:rPr>
          <w:rFonts w:hint="eastAsia" w:ascii="宋体" w:hAnsi="宋体" w:eastAsia="宋体" w:cs="宋体"/>
          <w:color w:val="auto"/>
          <w:sz w:val="24"/>
          <w:szCs w:val="24"/>
          <w:lang w:val="zh-CN"/>
        </w:rPr>
        <w:t>份，经双方签字，并加盖公章即为生效。</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本合同未尽事宜，按经济合同法有关规定处理。</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本合同的组成包含《合同通用条款》。</w:t>
      </w:r>
    </w:p>
    <w:p>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autoSpaceDE w:val="0"/>
        <w:autoSpaceDN w:val="0"/>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乙方（盖章）：</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pPr>
        <w:autoSpaceDE w:val="0"/>
        <w:autoSpaceDN w:val="0"/>
        <w:spacing w:line="360" w:lineRule="auto"/>
        <w:ind w:firstLine="4560" w:firstLineChars="1900"/>
        <w:rPr>
          <w:rFonts w:hint="eastAsia" w:ascii="宋体" w:hAnsi="宋体" w:eastAsia="宋体" w:cs="宋体"/>
          <w:color w:val="auto"/>
          <w:sz w:val="24"/>
          <w:szCs w:val="24"/>
        </w:rPr>
      </w:pPr>
      <w:r>
        <w:rPr>
          <w:rFonts w:hint="eastAsia" w:ascii="宋体" w:hAnsi="宋体" w:eastAsia="宋体" w:cs="宋体"/>
          <w:color w:val="auto"/>
          <w:sz w:val="24"/>
          <w:szCs w:val="24"/>
          <w:lang w:val="zh-CN"/>
        </w:rPr>
        <w:t>开户银行：</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账号：</w:t>
      </w:r>
    </w:p>
    <w:p>
      <w:pPr>
        <w:autoSpaceDE w:val="0"/>
        <w:autoSpaceDN w:val="0"/>
        <w:spacing w:line="360" w:lineRule="auto"/>
        <w:ind w:firstLine="4560" w:firstLineChars="19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w:t>
      </w:r>
    </w:p>
    <w:p>
      <w:pPr>
        <w:autoSpaceDE w:val="0"/>
        <w:autoSpaceDN w:val="0"/>
        <w:spacing w:line="360" w:lineRule="auto"/>
        <w:ind w:firstLine="1320" w:firstLineChars="550"/>
        <w:rPr>
          <w:rFonts w:hint="eastAsia" w:ascii="宋体" w:hAnsi="宋体" w:eastAsia="宋体" w:cs="宋体"/>
          <w:color w:val="auto"/>
          <w:sz w:val="24"/>
          <w:szCs w:val="24"/>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日</w:t>
      </w:r>
    </w:p>
    <w:p>
      <w:pPr>
        <w:autoSpaceDE w:val="0"/>
        <w:autoSpaceDN w:val="0"/>
        <w:spacing w:line="360" w:lineRule="auto"/>
        <w:ind w:firstLine="0" w:firstLineChars="0"/>
        <w:rPr>
          <w:rFonts w:hint="eastAsia" w:ascii="宋体" w:hAnsi="宋体" w:eastAsia="宋体" w:cs="宋体"/>
          <w:color w:val="auto"/>
          <w:sz w:val="24"/>
          <w:szCs w:val="24"/>
          <w:lang w:val="zh-CN"/>
        </w:rPr>
      </w:pP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采购代理机构：</w:t>
      </w:r>
      <w:r>
        <w:rPr>
          <w:rFonts w:hint="eastAsia" w:ascii="宋体" w:hAnsi="宋体" w:eastAsia="宋体" w:cs="宋体"/>
          <w:color w:val="auto"/>
          <w:sz w:val="24"/>
          <w:lang w:val="zh-CN"/>
        </w:rPr>
        <w:t>青海鼎钊招标代理有限公司</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合同备案时间：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本合同条款下的付款方法和条件在“青海省政府采购合同书”中具体规定。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74" w:name="_Toc11506"/>
      <w:r>
        <w:rPr>
          <w:rFonts w:hint="eastAsia" w:ascii="宋体" w:hAnsi="宋体" w:eastAsia="宋体" w:cs="宋体"/>
          <w:b/>
          <w:color w:val="auto"/>
          <w:kern w:val="28"/>
          <w:sz w:val="36"/>
          <w:szCs w:val="20"/>
        </w:rPr>
        <w:t>第五部分  响应文件格式</w:t>
      </w:r>
      <w:bookmarkEnd w:id="174"/>
    </w:p>
    <w:p>
      <w:pPr>
        <w:widowControl/>
        <w:snapToGrid w:val="0"/>
        <w:spacing w:line="360" w:lineRule="auto"/>
        <w:ind w:firstLine="0" w:firstLineChars="0"/>
        <w:outlineLvl w:val="1"/>
        <w:rPr>
          <w:rFonts w:hint="eastAsia" w:ascii="宋体" w:hAnsi="宋体" w:eastAsia="宋体" w:cs="宋体"/>
          <w:b/>
          <w:color w:val="auto"/>
          <w:sz w:val="28"/>
          <w:szCs w:val="28"/>
        </w:rPr>
      </w:pPr>
      <w:bookmarkStart w:id="175" w:name="_Toc16431"/>
      <w:bookmarkStart w:id="176" w:name="_Toc13961"/>
      <w:bookmarkStart w:id="177" w:name="_Toc9848"/>
      <w:r>
        <w:rPr>
          <w:rFonts w:hint="eastAsia" w:ascii="宋体" w:hAnsi="宋体" w:eastAsia="宋体" w:cs="宋体"/>
          <w:b/>
          <w:color w:val="auto"/>
          <w:sz w:val="28"/>
          <w:szCs w:val="28"/>
        </w:rPr>
        <w:t>附件1：响应文件封面</w:t>
      </w:r>
      <w:bookmarkEnd w:id="175"/>
      <w:bookmarkEnd w:id="176"/>
      <w:bookmarkEnd w:id="177"/>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供应商：</w:t>
      </w:r>
      <w:r>
        <w:rPr>
          <w:rFonts w:hint="eastAsia" w:ascii="宋体" w:hAnsi="宋体" w:eastAsia="宋体" w:cs="宋体"/>
          <w:b/>
          <w:color w:val="auto"/>
          <w:sz w:val="32"/>
          <w:u w:val="single"/>
          <w:lang w:val="en-US" w:eastAsia="zh-CN"/>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b/>
          <w:color w:val="auto"/>
          <w:sz w:val="32"/>
          <w:u w:val="single"/>
          <w:lang w:val="en-US" w:eastAsia="zh-CN"/>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 xml:space="preserve">年   月 </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 xml:space="preserve">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78" w:name="_Toc30269"/>
      <w:bookmarkStart w:id="179" w:name="_Toc1083"/>
      <w:bookmarkStart w:id="180" w:name="_Toc17238"/>
      <w:r>
        <w:rPr>
          <w:rFonts w:hint="eastAsia" w:ascii="宋体" w:hAnsi="宋体" w:eastAsia="宋体" w:cs="宋体"/>
          <w:b/>
          <w:color w:val="auto"/>
          <w:sz w:val="24"/>
          <w:szCs w:val="24"/>
        </w:rPr>
        <w:t>附件2</w:t>
      </w:r>
      <w:bookmarkStart w:id="181" w:name="_Toc376936768"/>
      <w:bookmarkStart w:id="182" w:name="_Toc325726037"/>
      <w:r>
        <w:rPr>
          <w:rFonts w:hint="eastAsia" w:ascii="宋体" w:hAnsi="宋体" w:eastAsia="宋体" w:cs="宋体"/>
          <w:b/>
          <w:color w:val="auto"/>
          <w:sz w:val="24"/>
          <w:szCs w:val="24"/>
        </w:rPr>
        <w:t>：磋商函</w:t>
      </w:r>
      <w:bookmarkEnd w:id="178"/>
      <w:bookmarkEnd w:id="179"/>
      <w:bookmarkEnd w:id="180"/>
      <w:bookmarkEnd w:id="181"/>
      <w:bookmarkEnd w:id="182"/>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青海鼎钊招标代理有限公司</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b/>
          <w:bCs/>
          <w:color w:val="auto"/>
          <w:sz w:val="24"/>
          <w:szCs w:val="24"/>
          <w:u w:val="single"/>
          <w:lang w:eastAsia="zh-CN"/>
        </w:rPr>
        <w:t>青海鼎钊竞磋（货物）2020-054</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2、磋商有效期自磋商开始之日起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个日历日</w:t>
      </w:r>
      <w:r>
        <w:rPr>
          <w:rFonts w:hint="eastAsia" w:ascii="宋体" w:hAnsi="宋体" w:eastAsia="宋体" w:cs="宋体"/>
          <w:color w:val="auto"/>
          <w:sz w:val="24"/>
          <w:szCs w:val="24"/>
          <w:lang w:eastAsia="zh-CN"/>
        </w:rPr>
        <w:t>内有效</w:t>
      </w:r>
      <w:r>
        <w:rPr>
          <w:rFonts w:hint="eastAsia" w:ascii="宋体" w:hAnsi="宋体" w:eastAsia="宋体" w:cs="宋体"/>
          <w:color w:val="auto"/>
          <w:sz w:val="24"/>
          <w:szCs w:val="24"/>
        </w:rPr>
        <w:t>。如果在规定的磋商时间后，我方在磋商有效期内撤回投标或成交后不签约的，磋商保证金将被贵方没收。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83" w:name="_Toc31069"/>
      <w:bookmarkStart w:id="184" w:name="_Toc562"/>
      <w:bookmarkStart w:id="185" w:name="_Toc26950"/>
      <w:r>
        <w:rPr>
          <w:rFonts w:hint="eastAsia" w:ascii="宋体" w:hAnsi="宋体" w:eastAsia="宋体" w:cs="宋体"/>
          <w:b/>
          <w:color w:val="auto"/>
          <w:sz w:val="24"/>
          <w:szCs w:val="24"/>
        </w:rPr>
        <w:t>附件3：投标报价一览表</w:t>
      </w:r>
      <w:bookmarkEnd w:id="183"/>
      <w:bookmarkEnd w:id="184"/>
      <w:bookmarkEnd w:id="185"/>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8"/>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4"/>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4"/>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5749" w:type="dxa"/>
            <w:vAlign w:val="center"/>
          </w:tcPr>
          <w:p>
            <w:pPr>
              <w:pStyle w:val="4"/>
              <w:spacing w:line="360" w:lineRule="auto"/>
              <w:ind w:firstLine="0" w:firstLineChars="0"/>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交货时间</w:t>
            </w:r>
          </w:p>
        </w:tc>
        <w:tc>
          <w:tcPr>
            <w:tcW w:w="5749" w:type="dxa"/>
            <w:vAlign w:val="center"/>
          </w:tcPr>
          <w:p>
            <w:pPr>
              <w:pStyle w:val="4"/>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免费质保期</w:t>
            </w:r>
          </w:p>
        </w:tc>
        <w:tc>
          <w:tcPr>
            <w:tcW w:w="5749" w:type="dxa"/>
            <w:vAlign w:val="center"/>
          </w:tcPr>
          <w:p>
            <w:pPr>
              <w:pStyle w:val="4"/>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4"/>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优惠承诺及其他：</w:t>
            </w:r>
          </w:p>
          <w:p>
            <w:pPr>
              <w:pStyle w:val="4"/>
              <w:spacing w:line="360" w:lineRule="auto"/>
              <w:ind w:firstLine="0" w:firstLineChars="0"/>
              <w:rPr>
                <w:rFonts w:hint="eastAsia" w:ascii="宋体" w:hAnsi="宋体" w:eastAsia="宋体" w:cs="宋体"/>
                <w:color w:val="auto"/>
                <w:sz w:val="24"/>
                <w:szCs w:val="24"/>
                <w:lang w:val="zh-CN"/>
              </w:rPr>
            </w:pPr>
          </w:p>
          <w:p>
            <w:pPr>
              <w:pStyle w:val="4"/>
              <w:spacing w:line="360" w:lineRule="auto"/>
              <w:ind w:firstLine="0" w:firstLineChars="0"/>
              <w:rPr>
                <w:rFonts w:hint="eastAsia" w:ascii="宋体" w:hAnsi="宋体" w:eastAsia="宋体" w:cs="宋体"/>
                <w:color w:val="auto"/>
                <w:sz w:val="24"/>
                <w:szCs w:val="24"/>
                <w:lang w:val="zh-CN"/>
              </w:rPr>
            </w:pPr>
          </w:p>
          <w:p>
            <w:pPr>
              <w:pStyle w:val="4"/>
              <w:spacing w:line="360" w:lineRule="auto"/>
              <w:ind w:firstLine="0" w:firstLineChars="0"/>
              <w:rPr>
                <w:rFonts w:hint="eastAsia" w:ascii="宋体" w:hAnsi="宋体" w:eastAsia="宋体" w:cs="宋体"/>
                <w:color w:val="auto"/>
                <w:sz w:val="24"/>
                <w:szCs w:val="24"/>
                <w:lang w:val="zh-CN"/>
              </w:rPr>
            </w:pPr>
          </w:p>
          <w:p>
            <w:pPr>
              <w:pStyle w:val="4"/>
              <w:spacing w:line="360" w:lineRule="auto"/>
              <w:ind w:firstLine="0" w:firstLineChars="0"/>
              <w:rPr>
                <w:rFonts w:hint="eastAsia" w:ascii="宋体" w:hAnsi="宋体" w:eastAsia="宋体" w:cs="宋体"/>
                <w:color w:val="auto"/>
                <w:sz w:val="24"/>
                <w:szCs w:val="24"/>
                <w:lang w:val="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分项报价表</w:t>
      </w:r>
    </w:p>
    <w:p>
      <w:pPr>
        <w:autoSpaceDE w:val="0"/>
        <w:autoSpaceDN w:val="0"/>
        <w:spacing w:line="360" w:lineRule="auto"/>
        <w:ind w:firstLine="0" w:firstLineChars="0"/>
        <w:rPr>
          <w:rFonts w:hint="eastAsia" w:ascii="宋体" w:hAnsi="宋体" w:eastAsia="宋体" w:cs="宋体"/>
          <w:b/>
          <w:bCs/>
          <w:color w:val="auto"/>
          <w:sz w:val="24"/>
          <w:szCs w:val="24"/>
          <w:lang w:val="zh-CN"/>
        </w:rPr>
      </w:pP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供应商名称：</w:t>
      </w:r>
    </w:p>
    <w:tbl>
      <w:tblPr>
        <w:tblStyle w:val="18"/>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hint="eastAsia" w:ascii="宋体" w:hAnsi="宋体" w:eastAsia="宋体" w:cs="宋体"/>
                <w:color w:val="auto"/>
                <w:sz w:val="24"/>
                <w:szCs w:val="24"/>
                <w:lang w:val="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color w:val="auto"/>
          <w:sz w:val="24"/>
          <w:szCs w:val="24"/>
        </w:rPr>
      </w:pPr>
      <w:bookmarkStart w:id="186" w:name="_Toc8155"/>
      <w:bookmarkStart w:id="187" w:name="_Toc14675"/>
      <w:bookmarkStart w:id="188" w:name="_Toc13693"/>
      <w:r>
        <w:rPr>
          <w:rFonts w:hint="eastAsia" w:ascii="宋体" w:hAnsi="宋体" w:eastAsia="宋体" w:cs="宋体"/>
          <w:b/>
          <w:color w:val="auto"/>
          <w:sz w:val="24"/>
          <w:szCs w:val="24"/>
        </w:rPr>
        <w:t>附件4：</w:t>
      </w:r>
      <w:r>
        <w:rPr>
          <w:rFonts w:hint="eastAsia" w:ascii="宋体" w:hAnsi="宋体" w:eastAsia="宋体" w:cs="宋体"/>
          <w:b/>
          <w:color w:val="auto"/>
          <w:sz w:val="24"/>
          <w:szCs w:val="24"/>
          <w:lang w:val="zh-CN"/>
        </w:rPr>
        <w:t>技术规格响应表</w:t>
      </w:r>
      <w:bookmarkEnd w:id="186"/>
    </w:p>
    <w:p>
      <w:pPr>
        <w:autoSpaceDE w:val="0"/>
        <w:autoSpaceDN w:val="0"/>
        <w:spacing w:line="360" w:lineRule="auto"/>
        <w:ind w:firstLine="0" w:firstLineChars="0"/>
        <w:rPr>
          <w:rFonts w:hint="eastAsia" w:ascii="宋体" w:hAnsi="宋体" w:eastAsia="宋体" w:cs="宋体"/>
          <w:color w:val="auto"/>
          <w:sz w:val="24"/>
          <w:szCs w:val="24"/>
          <w:lang w:val="zh-CN"/>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技术规格响应表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w:t>
      </w:r>
    </w:p>
    <w:tbl>
      <w:tblPr>
        <w:tblStyle w:val="18"/>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color w:val="auto"/>
                <w:sz w:val="24"/>
                <w:szCs w:val="24"/>
                <w:lang w:val="zh-CN"/>
              </w:rPr>
            </w:pPr>
          </w:p>
        </w:tc>
      </w:tr>
    </w:tbl>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注：1.本表应按照每包“项目概况及技术参数”中产品序号的指标逐项填写，不得遗漏。</w:t>
      </w:r>
    </w:p>
    <w:p>
      <w:pPr>
        <w:numPr>
          <w:ilvl w:val="0"/>
          <w:numId w:val="2"/>
        </w:num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必须与响应文件中提供的产品检测报告、彩页等证明材料的实质性响应情况相一致。若在评标环节发现该项与响应文件中提供的产品检测报告、彩页（或厂家公开发布的资料参数）等证明材料的实质性响应情况不一致或直接复制磋商文件“采购需求技术参数、指标”内容的，按无效投标处理。</w:t>
      </w:r>
    </w:p>
    <w:p>
      <w:pPr>
        <w:numPr>
          <w:ilvl w:val="0"/>
          <w:numId w:val="2"/>
        </w:num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0" w:firstLineChars="0"/>
        <w:rPr>
          <w:rFonts w:hint="eastAsia" w:ascii="宋体" w:hAnsi="宋体" w:eastAsia="宋体" w:cs="宋体"/>
          <w:color w:val="auto"/>
          <w:sz w:val="24"/>
          <w:szCs w:val="24"/>
          <w:lang w:val="zh-CN"/>
        </w:rPr>
      </w:pP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pPr>
        <w:ind w:firstLine="0" w:firstLineChars="0"/>
        <w:jc w:val="center"/>
        <w:rPr>
          <w:rFonts w:hint="eastAsia" w:ascii="宋体" w:hAnsi="宋体" w:eastAsia="宋体" w:cs="宋体"/>
          <w:color w:val="auto"/>
        </w:rPr>
      </w:pPr>
      <w:r>
        <w:rPr>
          <w:rFonts w:hint="eastAsia" w:ascii="宋体" w:hAnsi="宋体" w:eastAsia="宋体" w:cs="宋体"/>
          <w:b/>
          <w:color w:val="auto"/>
          <w:sz w:val="24"/>
          <w:szCs w:val="24"/>
        </w:rPr>
        <w:t>年   月  日</w:t>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89" w:name="_Toc23077"/>
      <w:r>
        <w:rPr>
          <w:rFonts w:hint="eastAsia" w:ascii="宋体" w:hAnsi="宋体" w:eastAsia="宋体" w:cs="宋体"/>
          <w:b/>
          <w:color w:val="auto"/>
          <w:sz w:val="24"/>
          <w:szCs w:val="24"/>
        </w:rPr>
        <w:t>附件</w:t>
      </w:r>
      <w:bookmarkStart w:id="190" w:name="_Toc376936774"/>
      <w:bookmarkStart w:id="191" w:name="_Toc325726043"/>
      <w:r>
        <w:rPr>
          <w:rFonts w:hint="eastAsia" w:ascii="宋体" w:hAnsi="宋体" w:eastAsia="宋体" w:cs="宋体"/>
          <w:b/>
          <w:color w:val="auto"/>
          <w:sz w:val="24"/>
          <w:szCs w:val="24"/>
        </w:rPr>
        <w:t>5：法定代表人证明书</w:t>
      </w:r>
      <w:bookmarkEnd w:id="187"/>
      <w:bookmarkEnd w:id="188"/>
      <w:bookmarkEnd w:id="189"/>
      <w:bookmarkEnd w:id="190"/>
      <w:bookmarkEnd w:id="191"/>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lang w:val="en-US" w:eastAsia="zh-CN"/>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lang w:val="en-US" w:eastAsia="zh-CN"/>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lang w:val="en-US" w:eastAsia="zh-CN"/>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2" w:name="_Toc324756736"/>
      <w:bookmarkStart w:id="193" w:name="_Toc201287639"/>
      <w:bookmarkStart w:id="194" w:name="_Toc31614"/>
      <w:bookmarkStart w:id="195" w:name="_Toc29201"/>
      <w:bookmarkStart w:id="196" w:name="_Toc9123"/>
      <w:r>
        <w:rPr>
          <w:rFonts w:hint="eastAsia" w:ascii="宋体" w:hAnsi="宋体" w:eastAsia="宋体" w:cs="宋体"/>
          <w:b/>
          <w:color w:val="auto"/>
          <w:sz w:val="24"/>
          <w:szCs w:val="24"/>
        </w:rPr>
        <w:t>附件</w:t>
      </w:r>
      <w:bookmarkEnd w:id="192"/>
      <w:bookmarkEnd w:id="193"/>
      <w:r>
        <w:rPr>
          <w:rFonts w:hint="eastAsia" w:ascii="宋体" w:hAnsi="宋体" w:eastAsia="宋体" w:cs="宋体"/>
          <w:b/>
          <w:color w:val="auto"/>
          <w:sz w:val="24"/>
          <w:szCs w:val="24"/>
        </w:rPr>
        <w:t>6：法定代表人授权书</w:t>
      </w:r>
      <w:bookmarkEnd w:id="194"/>
      <w:bookmarkEnd w:id="195"/>
      <w:bookmarkEnd w:id="196"/>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kern w:val="0"/>
          <w:u w:val="single"/>
          <w:lang w:val="zh-CN"/>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lang w:val="en-US" w:eastAsia="zh-CN"/>
        </w:rPr>
        <w:t xml:space="preserve">     </w:t>
      </w:r>
    </w:p>
    <w:p>
      <w:pPr>
        <w:spacing w:line="360" w:lineRule="auto"/>
        <w:ind w:firstLine="0" w:firstLineChars="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 xml:space="preserve">职务：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lang w:val="en-US" w:eastAsia="zh-CN"/>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7" w:name="_Toc1926"/>
      <w:bookmarkStart w:id="198" w:name="_Toc30284"/>
      <w:bookmarkStart w:id="199" w:name="_Toc25884"/>
      <w:r>
        <w:rPr>
          <w:rFonts w:hint="eastAsia" w:ascii="宋体" w:hAnsi="宋体" w:eastAsia="宋体" w:cs="宋体"/>
          <w:b/>
          <w:color w:val="auto"/>
          <w:sz w:val="24"/>
          <w:szCs w:val="24"/>
        </w:rPr>
        <w:t>附件7：供应商承诺函</w:t>
      </w:r>
      <w:bookmarkEnd w:id="197"/>
      <w:bookmarkEnd w:id="198"/>
      <w:bookmarkEnd w:id="19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eastAsia="zh-CN"/>
        </w:rPr>
        <w:t>青海鼎钊竞磋（货物）2020-054</w:t>
      </w:r>
      <w:r>
        <w:rPr>
          <w:rFonts w:hint="eastAsia" w:ascii="宋体" w:hAnsi="宋体" w:eastAsia="宋体" w:cs="宋体"/>
          <w:color w:val="auto"/>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0" w:name="_Toc11349"/>
      <w:bookmarkStart w:id="201" w:name="_Toc11173"/>
      <w:bookmarkStart w:id="202" w:name="_Toc24183"/>
      <w:r>
        <w:rPr>
          <w:rFonts w:hint="eastAsia" w:ascii="宋体" w:hAnsi="宋体" w:eastAsia="宋体" w:cs="宋体"/>
          <w:b/>
          <w:color w:val="auto"/>
          <w:sz w:val="24"/>
          <w:szCs w:val="24"/>
        </w:rPr>
        <w:t>附件</w:t>
      </w:r>
      <w:bookmarkStart w:id="203" w:name="_Toc376936779"/>
      <w:bookmarkStart w:id="204" w:name="_Toc351475542"/>
      <w:bookmarkStart w:id="205" w:name="_Toc365019584"/>
      <w:r>
        <w:rPr>
          <w:rFonts w:hint="eastAsia" w:ascii="宋体" w:hAnsi="宋体" w:eastAsia="宋体" w:cs="宋体"/>
          <w:b/>
          <w:color w:val="auto"/>
          <w:sz w:val="24"/>
          <w:szCs w:val="24"/>
        </w:rPr>
        <w:t>8：供应商诚信承诺书</w:t>
      </w:r>
      <w:bookmarkEnd w:id="200"/>
      <w:bookmarkEnd w:id="201"/>
      <w:bookmarkEnd w:id="202"/>
      <w:bookmarkEnd w:id="203"/>
      <w:bookmarkEnd w:id="204"/>
      <w:bookmarkEnd w:id="205"/>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青海鼎钊招标代理有限公司</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6" w:name="_Toc7486"/>
      <w:bookmarkStart w:id="207" w:name="_Toc18122"/>
      <w:bookmarkStart w:id="208" w:name="_Toc25993"/>
      <w:r>
        <w:rPr>
          <w:rFonts w:hint="eastAsia" w:ascii="宋体" w:hAnsi="宋体" w:eastAsia="宋体" w:cs="宋体"/>
          <w:b/>
          <w:color w:val="auto"/>
          <w:sz w:val="24"/>
          <w:szCs w:val="24"/>
        </w:rPr>
        <w:t>附件9：资格证明材料</w:t>
      </w:r>
      <w:bookmarkEnd w:id="206"/>
      <w:bookmarkEnd w:id="207"/>
      <w:bookmarkEnd w:id="208"/>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numPr>
          <w:ilvl w:val="0"/>
          <w:numId w:val="3"/>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文件规定的有关资格证书、许可证书、认证等；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9" w:name="_Toc10125"/>
      <w:bookmarkStart w:id="210" w:name="_Toc32130"/>
      <w:bookmarkStart w:id="211" w:name="_Toc19128"/>
      <w:r>
        <w:rPr>
          <w:rFonts w:hint="eastAsia" w:ascii="宋体" w:hAnsi="宋体" w:eastAsia="宋体" w:cs="宋体"/>
          <w:b/>
          <w:color w:val="auto"/>
          <w:sz w:val="24"/>
          <w:szCs w:val="24"/>
        </w:rPr>
        <w:t>附件10：财务状况证明</w:t>
      </w:r>
      <w:bookmarkEnd w:id="209"/>
      <w:bookmarkEnd w:id="210"/>
      <w:bookmarkEnd w:id="211"/>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color w:val="auto"/>
          <w:sz w:val="24"/>
          <w:lang w:val="zh-CN" w:eastAsia="zh-CN"/>
        </w:rPr>
      </w:pPr>
      <w:r>
        <w:rPr>
          <w:rFonts w:hint="eastAsia" w:ascii="宋体" w:hAnsi="宋体" w:eastAsia="宋体" w:cs="宋体"/>
          <w:color w:val="auto"/>
          <w:sz w:val="24"/>
          <w:lang w:val="zh-CN"/>
        </w:rPr>
        <w:t>按照磋商文件“第一部分  投标邀请”各包供应商资格要求</w:t>
      </w:r>
      <w:r>
        <w:rPr>
          <w:rFonts w:hint="eastAsia" w:ascii="宋体" w:hAnsi="宋体" w:eastAsia="宋体" w:cs="宋体"/>
          <w:color w:val="auto"/>
          <w:sz w:val="24"/>
          <w:lang w:val="zh-CN" w:eastAsia="zh-CN"/>
        </w:rPr>
        <w:t>1、</w:t>
      </w:r>
      <w:r>
        <w:rPr>
          <w:rFonts w:hint="eastAsia" w:ascii="宋体" w:hAnsi="宋体" w:eastAsia="宋体" w:cs="宋体"/>
          <w:color w:val="auto"/>
          <w:sz w:val="24"/>
          <w:lang w:val="zh-CN"/>
        </w:rPr>
        <w:t>中第（</w:t>
      </w:r>
      <w:r>
        <w:rPr>
          <w:rFonts w:hint="eastAsia" w:ascii="宋体" w:hAnsi="宋体" w:eastAsia="宋体" w:cs="宋体"/>
          <w:color w:val="auto"/>
          <w:sz w:val="24"/>
          <w:lang w:val="zh-CN" w:eastAsia="zh-CN"/>
        </w:rPr>
        <w:t>2</w:t>
      </w:r>
      <w:r>
        <w:rPr>
          <w:rFonts w:hint="eastAsia" w:ascii="宋体" w:hAnsi="宋体" w:eastAsia="宋体" w:cs="宋体"/>
          <w:color w:val="auto"/>
          <w:sz w:val="24"/>
          <w:lang w:val="zh-CN"/>
        </w:rPr>
        <w:t>）条规定提供以下相关材料</w:t>
      </w:r>
      <w:r>
        <w:rPr>
          <w:rFonts w:hint="eastAsia" w:ascii="宋体" w:hAnsi="宋体" w:eastAsia="宋体" w:cs="宋体"/>
          <w:color w:val="auto"/>
          <w:sz w:val="24"/>
          <w:lang w:val="zh-CN" w:eastAsia="zh-CN"/>
        </w:rPr>
        <w:t>：</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是法人的，提供基本开户银行近三个月内出具的资信证明（同时提供基本存款账户</w:t>
      </w:r>
      <w:r>
        <w:rPr>
          <w:rFonts w:hint="eastAsia" w:ascii="宋体" w:hAnsi="宋体" w:eastAsia="宋体" w:cs="宋体"/>
          <w:color w:val="auto"/>
          <w:sz w:val="24"/>
          <w:lang w:val="zh-CN" w:eastAsia="zh-CN"/>
        </w:rPr>
        <w:t>信息</w:t>
      </w:r>
      <w:r>
        <w:rPr>
          <w:rFonts w:hint="eastAsia" w:ascii="宋体" w:hAnsi="宋体" w:eastAsia="宋体" w:cs="宋体"/>
          <w:color w:val="auto"/>
          <w:sz w:val="24"/>
          <w:lang w:val="zh-CN"/>
        </w:rPr>
        <w:t>）或201</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年度经第三方审计的财务状况报告（扫描或复印件应全面、完整、清晰），包括资产负债表、现金流量表、利润表和财务（会计）报表附注，并提供第三方机构的营业执照、执业证书。</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是其他组织和自然人，没有经审计的财务报告，可以提供基本开户银行出具的资信证明（同时提供基本存款账户</w:t>
      </w:r>
      <w:r>
        <w:rPr>
          <w:rFonts w:hint="eastAsia" w:ascii="宋体" w:hAnsi="宋体" w:eastAsia="宋体" w:cs="宋体"/>
          <w:color w:val="auto"/>
          <w:sz w:val="24"/>
          <w:lang w:val="zh-CN" w:eastAsia="zh-CN"/>
        </w:rPr>
        <w:t>信息</w:t>
      </w:r>
      <w:r>
        <w:rPr>
          <w:rFonts w:hint="eastAsia" w:ascii="宋体" w:hAnsi="宋体" w:eastAsia="宋体" w:cs="宋体"/>
          <w:color w:val="auto"/>
          <w:sz w:val="24"/>
          <w:lang w:val="zh-CN"/>
        </w:rPr>
        <w:t>）。</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2、近半年内的依法缴纳税收和社会保障资金记录的证明材料；依法免税或不需要缴纳社会保障资金的投标人须提供相应文件证明其依法免税或不需要缴纳社会保障资金。</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2" w:name="_Toc21631"/>
      <w:bookmarkStart w:id="213" w:name="_Toc27149"/>
      <w:bookmarkStart w:id="214" w:name="_Toc23114"/>
      <w:r>
        <w:rPr>
          <w:rFonts w:hint="eastAsia" w:ascii="宋体" w:hAnsi="宋体" w:eastAsia="宋体" w:cs="宋体"/>
          <w:b/>
          <w:color w:val="auto"/>
          <w:sz w:val="24"/>
          <w:szCs w:val="24"/>
        </w:rPr>
        <w:t>附件11：具备履行合同所必须的设备和专业技术能力证明</w:t>
      </w:r>
      <w:bookmarkEnd w:id="212"/>
    </w:p>
    <w:p>
      <w:pPr>
        <w:autoSpaceDE w:val="0"/>
        <w:autoSpaceDN w:val="0"/>
        <w:spacing w:line="360" w:lineRule="auto"/>
        <w:ind w:firstLine="480"/>
        <w:rPr>
          <w:rFonts w:hint="eastAsia" w:ascii="宋体" w:hAnsi="宋体" w:eastAsia="宋体" w:cs="宋体"/>
          <w:color w:val="auto"/>
          <w:sz w:val="24"/>
          <w:szCs w:val="24"/>
          <w:lang w:val="zh-CN"/>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具备履行合同所必须的设备和专业技术能力证明</w:t>
      </w:r>
    </w:p>
    <w:p>
      <w:pPr>
        <w:autoSpaceDE w:val="0"/>
        <w:autoSpaceDN w:val="0"/>
        <w:spacing w:line="360" w:lineRule="auto"/>
        <w:ind w:firstLine="482"/>
        <w:rPr>
          <w:rFonts w:hint="eastAsia" w:ascii="宋体" w:hAnsi="宋体" w:eastAsia="宋体" w:cs="宋体"/>
          <w:b/>
          <w:color w:val="auto"/>
          <w:sz w:val="24"/>
          <w:szCs w:val="24"/>
          <w:lang w:val="zh-CN"/>
        </w:rPr>
      </w:pPr>
    </w:p>
    <w:p>
      <w:pPr>
        <w:autoSpaceDE w:val="0"/>
        <w:autoSpaceDN w:val="0"/>
        <w:spacing w:line="360" w:lineRule="auto"/>
        <w:ind w:firstLine="480"/>
        <w:rPr>
          <w:rFonts w:hint="eastAsia" w:ascii="宋体" w:hAnsi="宋体" w:eastAsia="宋体" w:cs="宋体"/>
          <w:b/>
          <w:color w:val="auto"/>
          <w:sz w:val="24"/>
          <w:szCs w:val="24"/>
        </w:rPr>
      </w:pPr>
      <w:r>
        <w:rPr>
          <w:rFonts w:hint="eastAsia" w:ascii="宋体" w:hAnsi="宋体" w:eastAsia="宋体" w:cs="宋体"/>
          <w:color w:val="auto"/>
          <w:kern w:val="0"/>
          <w:sz w:val="24"/>
          <w:szCs w:val="24"/>
          <w:lang w:val="zh-CN"/>
        </w:rPr>
        <w:t>为保证本项目合同的顺利履行，</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zh-CN"/>
        </w:rPr>
        <w:t>必须具备履行合同的设备和专业技术能力，须提供必须具备履行合同的设备和专业技术能力的承诺函（格式自拟），并提供相关设备的购置发票或相关人员的职称证书、用工合同等证明材料。</w:t>
      </w:r>
    </w:p>
    <w:p>
      <w:pPr>
        <w:ind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5" w:name="_Toc19111"/>
      <w:r>
        <w:rPr>
          <w:rFonts w:hint="eastAsia" w:ascii="宋体" w:hAnsi="宋体" w:eastAsia="宋体" w:cs="宋体"/>
          <w:b/>
          <w:color w:val="auto"/>
          <w:sz w:val="24"/>
          <w:szCs w:val="24"/>
        </w:rPr>
        <w:t>附件</w:t>
      </w:r>
      <w:bookmarkStart w:id="216" w:name="_Toc325726049"/>
      <w:bookmarkStart w:id="217" w:name="_Toc376936781"/>
      <w:r>
        <w:rPr>
          <w:rFonts w:hint="eastAsia" w:ascii="宋体" w:hAnsi="宋体" w:eastAsia="宋体" w:cs="宋体"/>
          <w:b/>
          <w:color w:val="auto"/>
          <w:sz w:val="24"/>
          <w:szCs w:val="24"/>
        </w:rPr>
        <w:t>12：</w:t>
      </w:r>
      <w:bookmarkEnd w:id="216"/>
      <w:bookmarkEnd w:id="217"/>
      <w:r>
        <w:rPr>
          <w:rFonts w:hint="eastAsia" w:ascii="宋体" w:hAnsi="宋体" w:eastAsia="宋体" w:cs="宋体"/>
          <w:b/>
          <w:color w:val="auto"/>
          <w:sz w:val="24"/>
          <w:szCs w:val="24"/>
        </w:rPr>
        <w:t>无重大违法记录声明</w:t>
      </w:r>
      <w:bookmarkEnd w:id="213"/>
      <w:bookmarkEnd w:id="214"/>
      <w:bookmarkEnd w:id="215"/>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482"/>
        <w:rPr>
          <w:rFonts w:hint="eastAsia" w:ascii="宋体" w:hAnsi="宋体" w:eastAsia="宋体" w:cs="宋体"/>
          <w:b/>
          <w:bCs/>
          <w:color w:val="auto"/>
          <w:sz w:val="24"/>
          <w:lang w:eastAsia="zh-CN"/>
        </w:rPr>
      </w:pPr>
      <w:r>
        <w:rPr>
          <w:rFonts w:hint="eastAsia" w:ascii="宋体" w:hAnsi="宋体" w:eastAsia="宋体" w:cs="宋体"/>
          <w:b/>
          <w:bCs/>
          <w:color w:val="auto"/>
          <w:sz w:val="24"/>
        </w:rPr>
        <w:t>致：</w:t>
      </w:r>
      <w:r>
        <w:rPr>
          <w:rFonts w:hint="eastAsia" w:ascii="宋体" w:hAnsi="宋体" w:eastAsia="宋体" w:cs="宋体"/>
          <w:b/>
          <w:bCs/>
          <w:color w:val="auto"/>
          <w:sz w:val="24"/>
          <w:lang w:eastAsia="zh-CN"/>
        </w:rPr>
        <w:t>青海鼎钊招标代理有限公司</w:t>
      </w:r>
    </w:p>
    <w:p>
      <w:pPr>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我单位参加本次政府采购项目活动前三年内，在经营活动中无重大违法活动记录，符合《政府采购法》规定的供应商资格条</w:t>
      </w:r>
      <w:r>
        <w:rPr>
          <w:rFonts w:hint="eastAsia" w:ascii="宋体" w:hAnsi="宋体" w:eastAsia="宋体" w:cs="宋体"/>
          <w:color w:val="auto"/>
          <w:sz w:val="24"/>
          <w:szCs w:val="24"/>
          <w:shd w:val="clear" w:color="auto" w:fill="FFFFFF"/>
        </w:rPr>
        <w:t>件。我方对此声明负全部法律责任。</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szCs w:val="24"/>
        </w:rPr>
        <w:t>特此声明。</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8" w:name="_Toc28961"/>
      <w:bookmarkStart w:id="219" w:name="_Toc24531"/>
      <w:bookmarkStart w:id="220" w:name="_Toc22957"/>
      <w:r>
        <w:rPr>
          <w:rFonts w:hint="eastAsia" w:ascii="宋体" w:hAnsi="宋体" w:eastAsia="宋体" w:cs="宋体"/>
          <w:b/>
          <w:color w:val="auto"/>
          <w:sz w:val="24"/>
          <w:szCs w:val="24"/>
        </w:rPr>
        <w:t>附件13：磋商保证金</w:t>
      </w:r>
      <w:bookmarkEnd w:id="218"/>
      <w:bookmarkEnd w:id="219"/>
      <w:bookmarkEnd w:id="220"/>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附</w:t>
      </w:r>
      <w:r>
        <w:rPr>
          <w:rFonts w:hint="eastAsia" w:ascii="宋体" w:hAnsi="宋体" w:eastAsia="宋体" w:cs="宋体"/>
          <w:bCs/>
          <w:color w:val="auto"/>
          <w:sz w:val="24"/>
          <w:szCs w:val="24"/>
        </w:rPr>
        <w:t>银行开具的针对本项目投标的磋商保证金交款证明扫描（或复印）件。</w:t>
      </w:r>
    </w:p>
    <w:p>
      <w:pPr>
        <w:wordWrap w:val="0"/>
        <w:spacing w:line="360" w:lineRule="auto"/>
        <w:ind w:firstLine="0" w:firstLineChars="0"/>
        <w:rPr>
          <w:rFonts w:hint="eastAsia" w:ascii="宋体" w:hAnsi="宋体" w:eastAsia="宋体" w:cs="宋体"/>
          <w:b/>
          <w:color w:val="auto"/>
          <w:sz w:val="24"/>
          <w:szCs w:val="24"/>
        </w:rPr>
      </w:pPr>
      <w:bookmarkStart w:id="221" w:name="_Toc1224"/>
      <w:r>
        <w:rPr>
          <w:rFonts w:hint="eastAsia" w:ascii="宋体" w:hAnsi="宋体" w:eastAsia="宋体" w:cs="宋体"/>
          <w:b/>
          <w:color w:val="auto"/>
          <w:sz w:val="24"/>
          <w:szCs w:val="24"/>
        </w:rPr>
        <w:br w:type="page"/>
      </w:r>
    </w:p>
    <w:p>
      <w:pPr>
        <w:pStyle w:val="16"/>
        <w:spacing w:before="0" w:after="0" w:line="360" w:lineRule="auto"/>
        <w:ind w:left="0" w:leftChars="0" w:firstLine="0" w:firstLineChars="0"/>
        <w:jc w:val="left"/>
        <w:outlineLvl w:val="1"/>
        <w:rPr>
          <w:rFonts w:hint="eastAsia" w:ascii="宋体" w:hAnsi="宋体" w:eastAsia="宋体" w:cs="宋体"/>
          <w:color w:val="auto"/>
        </w:rPr>
      </w:pPr>
      <w:bookmarkStart w:id="222" w:name="_Toc8973"/>
      <w:bookmarkStart w:id="223" w:name="_Toc515908225"/>
      <w:r>
        <w:rPr>
          <w:rFonts w:hint="eastAsia" w:ascii="宋体" w:hAnsi="宋体" w:eastAsia="宋体" w:cs="宋体"/>
          <w:b/>
          <w:bCs w:val="0"/>
          <w:color w:val="auto"/>
          <w:sz w:val="24"/>
          <w:szCs w:val="24"/>
          <w:lang w:val="zh-CN" w:eastAsia="zh-CN" w:bidi="ar-SA"/>
        </w:rPr>
        <w:t>附件</w:t>
      </w:r>
      <w:r>
        <w:rPr>
          <w:rFonts w:hint="eastAsia" w:ascii="宋体" w:hAnsi="宋体" w:eastAsia="宋体" w:cs="宋体"/>
          <w:b/>
          <w:bCs w:val="0"/>
          <w:color w:val="auto"/>
          <w:sz w:val="24"/>
          <w:szCs w:val="24"/>
          <w:lang w:val="en-US" w:eastAsia="zh-CN" w:bidi="ar-SA"/>
        </w:rPr>
        <w:t>14</w:t>
      </w:r>
      <w:r>
        <w:rPr>
          <w:rFonts w:hint="eastAsia" w:ascii="宋体" w:hAnsi="宋体" w:eastAsia="宋体" w:cs="宋体"/>
          <w:b/>
          <w:bCs w:val="0"/>
          <w:color w:val="auto"/>
          <w:sz w:val="24"/>
          <w:szCs w:val="24"/>
          <w:lang w:val="zh-CN" w:eastAsia="zh-CN" w:bidi="ar-SA"/>
        </w:rPr>
        <w:t>：</w:t>
      </w:r>
      <w:r>
        <w:rPr>
          <w:rFonts w:hint="eastAsia" w:ascii="宋体" w:hAnsi="宋体" w:eastAsia="宋体" w:cs="宋体"/>
          <w:b/>
          <w:bCs w:val="0"/>
          <w:color w:val="auto"/>
          <w:sz w:val="24"/>
          <w:szCs w:val="24"/>
          <w:lang w:val="en-US" w:eastAsia="zh-CN" w:bidi="ar-SA"/>
        </w:rPr>
        <w:t>供应商</w:t>
      </w:r>
      <w:r>
        <w:rPr>
          <w:rFonts w:hint="eastAsia" w:ascii="宋体" w:hAnsi="宋体" w:eastAsia="宋体" w:cs="宋体"/>
          <w:b/>
          <w:bCs w:val="0"/>
          <w:color w:val="auto"/>
          <w:sz w:val="24"/>
          <w:szCs w:val="24"/>
          <w:lang w:val="zh-CN" w:eastAsia="zh-CN" w:bidi="ar-SA"/>
        </w:rPr>
        <w:t>的类似业绩证明材料</w:t>
      </w:r>
      <w:bookmarkEnd w:id="222"/>
      <w:bookmarkEnd w:id="223"/>
    </w:p>
    <w:p>
      <w:pPr>
        <w:autoSpaceDE w:val="0"/>
        <w:autoSpaceDN w:val="0"/>
        <w:spacing w:line="360" w:lineRule="auto"/>
        <w:rPr>
          <w:rFonts w:hint="eastAsia" w:ascii="宋体" w:hAnsi="宋体" w:eastAsia="宋体" w:cs="宋体"/>
          <w:color w:val="auto"/>
          <w:kern w:val="0"/>
          <w:sz w:val="28"/>
          <w:szCs w:val="28"/>
          <w:lang w:val="zh-CN"/>
        </w:rPr>
      </w:pPr>
    </w:p>
    <w:p>
      <w:pPr>
        <w:autoSpaceDE w:val="0"/>
        <w:autoSpaceDN w:val="0"/>
        <w:spacing w:line="360" w:lineRule="auto"/>
        <w:jc w:val="center"/>
        <w:rPr>
          <w:rFonts w:hint="eastAsia" w:ascii="宋体" w:hAnsi="宋体" w:eastAsia="宋体" w:cs="宋体"/>
          <w:b/>
          <w:bCs/>
          <w:color w:val="auto"/>
          <w:kern w:val="0"/>
          <w:sz w:val="36"/>
          <w:szCs w:val="36"/>
          <w:lang w:val="zh-CN"/>
        </w:rPr>
      </w:pPr>
      <w:r>
        <w:rPr>
          <w:rFonts w:hint="eastAsia" w:ascii="宋体" w:hAnsi="宋体" w:eastAsia="宋体" w:cs="宋体"/>
          <w:b/>
          <w:bCs w:val="0"/>
          <w:color w:val="auto"/>
          <w:sz w:val="24"/>
          <w:szCs w:val="24"/>
          <w:lang w:val="zh-CN" w:eastAsia="zh-CN" w:bidi="ar-SA"/>
        </w:rPr>
        <w:t>供应商的类似业绩证明材料</w:t>
      </w:r>
    </w:p>
    <w:p>
      <w:pPr>
        <w:autoSpaceDE w:val="0"/>
        <w:autoSpaceDN w:val="0"/>
        <w:spacing w:line="360" w:lineRule="auto"/>
        <w:rPr>
          <w:rFonts w:hint="eastAsia" w:ascii="宋体" w:hAnsi="宋体" w:eastAsia="宋体" w:cs="宋体"/>
          <w:color w:val="auto"/>
          <w:kern w:val="0"/>
          <w:sz w:val="28"/>
          <w:szCs w:val="28"/>
          <w:lang w:val="zh-CN"/>
        </w:rPr>
      </w:pPr>
    </w:p>
    <w:p>
      <w:pPr>
        <w:ind w:firstLine="480" w:firstLineChars="200"/>
        <w:jc w:val="left"/>
        <w:rPr>
          <w:rFonts w:hint="eastAsia" w:ascii="宋体" w:hAnsi="宋体" w:eastAsia="宋体" w:cs="宋体"/>
          <w:b/>
          <w:color w:val="auto"/>
          <w:sz w:val="24"/>
          <w:szCs w:val="24"/>
        </w:rPr>
      </w:pPr>
      <w:r>
        <w:rPr>
          <w:rFonts w:hint="eastAsia" w:ascii="宋体" w:hAnsi="宋体" w:eastAsia="宋体" w:cs="宋体"/>
          <w:color w:val="auto"/>
          <w:kern w:val="0"/>
          <w:sz w:val="24"/>
          <w:szCs w:val="24"/>
          <w:lang w:val="zh-CN"/>
        </w:rPr>
        <w:t>提供自</w:t>
      </w:r>
      <w:r>
        <w:rPr>
          <w:rFonts w:hint="eastAsia" w:ascii="宋体" w:hAnsi="宋体" w:eastAsia="宋体" w:cs="宋体"/>
          <w:color w:val="auto"/>
          <w:kern w:val="0"/>
          <w:sz w:val="24"/>
          <w:szCs w:val="24"/>
          <w:u w:val="single"/>
          <w:lang w:val="en-US" w:eastAsia="zh-CN"/>
        </w:rPr>
        <w:t>2017</w:t>
      </w:r>
      <w:r>
        <w:rPr>
          <w:rFonts w:hint="eastAsia" w:ascii="宋体" w:hAnsi="宋体" w:eastAsia="宋体" w:cs="宋体"/>
          <w:color w:val="auto"/>
          <w:kern w:val="0"/>
          <w:sz w:val="24"/>
          <w:szCs w:val="24"/>
          <w:lang w:val="zh-CN"/>
        </w:rPr>
        <w:t>年以来的类似业绩证明材料。类似业绩是指与采购项目在产品类型、使用功能、合同规模等方面相同或相近的项目。</w:t>
      </w:r>
      <w:r>
        <w:rPr>
          <w:rFonts w:hint="eastAsia" w:ascii="宋体" w:hAnsi="宋体" w:eastAsia="宋体" w:cs="宋体"/>
          <w:color w:val="auto"/>
          <w:sz w:val="24"/>
          <w:szCs w:val="24"/>
        </w:rPr>
        <w:t>需提供包含合同首页、标的及金额所在页、供货合同签字盖章页的扫描（或复印）件。</w:t>
      </w:r>
    </w:p>
    <w:p>
      <w:pPr>
        <w:keepNext/>
        <w:pageBreakBefore/>
        <w:widowControl/>
        <w:spacing w:line="360" w:lineRule="auto"/>
        <w:ind w:firstLine="0" w:firstLineChars="0"/>
        <w:outlineLvl w:val="1"/>
        <w:rPr>
          <w:rFonts w:hint="eastAsia" w:ascii="宋体" w:hAnsi="宋体" w:eastAsia="宋体" w:cs="宋体"/>
          <w:b/>
          <w:bCs/>
          <w:color w:val="auto"/>
          <w:sz w:val="24"/>
          <w:szCs w:val="24"/>
        </w:rPr>
      </w:pPr>
      <w:bookmarkStart w:id="224" w:name="_Toc7343"/>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：供应商最后报价表</w:t>
      </w:r>
      <w:bookmarkEnd w:id="221"/>
      <w:bookmarkEnd w:id="224"/>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225" w:name="_Toc408326292"/>
      <w:r>
        <w:rPr>
          <w:rFonts w:hint="eastAsia" w:ascii="宋体" w:hAnsi="宋体" w:eastAsia="宋体" w:cs="宋体"/>
          <w:b/>
          <w:color w:val="auto"/>
          <w:sz w:val="24"/>
          <w:szCs w:val="24"/>
        </w:rPr>
        <w:t>供应商最后报价表</w:t>
      </w:r>
      <w:bookmarkEnd w:id="225"/>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p>
    <w:p>
      <w:pPr>
        <w:pStyle w:val="10"/>
        <w:ind w:left="0" w:leftChars="0" w:firstLine="0" w:firstLineChars="0"/>
        <w:rPr>
          <w:rFonts w:hint="eastAsia" w:ascii="宋体" w:hAnsi="宋体" w:eastAsia="宋体" w:cs="宋体"/>
          <w:color w:val="auto"/>
          <w:lang w:val="en-US" w:eastAsia="zh-CN"/>
        </w:rPr>
      </w:pPr>
      <w:r>
        <w:rPr>
          <w:rFonts w:hint="eastAsia" w:ascii="宋体" w:hAnsi="宋体" w:eastAsia="宋体" w:cs="宋体"/>
          <w:b/>
          <w:color w:val="auto"/>
          <w:sz w:val="24"/>
          <w:szCs w:val="24"/>
          <w:lang w:val="en-US" w:eastAsia="zh-CN"/>
        </w:rPr>
        <w:t>项目编号：</w:t>
      </w:r>
    </w:p>
    <w:tbl>
      <w:tblPr>
        <w:tblStyle w:val="1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最初</w:t>
            </w:r>
            <w:r>
              <w:rPr>
                <w:rFonts w:hint="eastAsia" w:ascii="宋体" w:hAnsi="宋体" w:eastAsia="宋体" w:cs="宋体"/>
                <w:bCs/>
                <w:color w:val="auto"/>
                <w:sz w:val="24"/>
                <w:szCs w:val="24"/>
                <w:lang w:val="en-US" w:eastAsia="zh-CN"/>
              </w:rPr>
              <w:t>报价</w:t>
            </w:r>
          </w:p>
        </w:tc>
        <w:tc>
          <w:tcPr>
            <w:tcW w:w="223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w:t>
            </w:r>
            <w:r>
              <w:rPr>
                <w:rFonts w:hint="eastAsia" w:ascii="宋体" w:hAnsi="宋体" w:eastAsia="宋体" w:cs="宋体"/>
                <w:color w:val="auto"/>
                <w:sz w:val="24"/>
                <w:szCs w:val="24"/>
                <w:lang w:eastAsia="zh-CN"/>
              </w:rPr>
              <w:t>后</w:t>
            </w:r>
            <w:r>
              <w:rPr>
                <w:rFonts w:hint="eastAsia" w:ascii="宋体" w:hAnsi="宋体" w:eastAsia="宋体" w:cs="宋体"/>
                <w:color w:val="auto"/>
                <w:sz w:val="24"/>
                <w:szCs w:val="24"/>
                <w:lang w:val="en-US" w:eastAsia="zh-CN"/>
              </w:rPr>
              <w:t>报价</w:t>
            </w:r>
          </w:p>
        </w:tc>
        <w:tc>
          <w:tcPr>
            <w:tcW w:w="258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lang w:val="en-US" w:eastAsia="zh-CN"/>
              </w:rPr>
            </w:pPr>
          </w:p>
        </w:tc>
        <w:tc>
          <w:tcPr>
            <w:tcW w:w="2233"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c>
          <w:tcPr>
            <w:tcW w:w="2420"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lang w:eastAsia="zh-CN"/>
              </w:rPr>
            </w:pPr>
          </w:p>
        </w:tc>
        <w:tc>
          <w:tcPr>
            <w:tcW w:w="2581" w:type="dxa"/>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226" w:name="_Toc17225"/>
      <w:r>
        <w:rPr>
          <w:rFonts w:hint="eastAsia" w:ascii="宋体" w:hAnsi="宋体" w:eastAsia="宋体" w:cs="宋体"/>
          <w:b/>
          <w:color w:val="auto"/>
          <w:kern w:val="28"/>
          <w:sz w:val="36"/>
          <w:szCs w:val="20"/>
        </w:rPr>
        <w:t>第六部分  采购项目要求及技术参数</w:t>
      </w:r>
      <w:bookmarkEnd w:id="226"/>
    </w:p>
    <w:p>
      <w:pPr>
        <w:pStyle w:val="16"/>
        <w:spacing w:before="0" w:after="0" w:line="360" w:lineRule="auto"/>
        <w:ind w:firstLine="0" w:firstLineChars="0"/>
        <w:rPr>
          <w:rFonts w:hint="eastAsia" w:ascii="宋体" w:hAnsi="宋体" w:eastAsia="宋体" w:cs="宋体"/>
          <w:color w:val="auto"/>
          <w:sz w:val="24"/>
          <w:szCs w:val="24"/>
        </w:rPr>
      </w:pPr>
      <w:bookmarkStart w:id="227" w:name="_Toc25873"/>
      <w:bookmarkStart w:id="228" w:name="_Toc23433"/>
      <w:bookmarkStart w:id="229" w:name="_Toc4069"/>
      <w:r>
        <w:rPr>
          <w:rFonts w:hint="eastAsia" w:ascii="宋体" w:hAnsi="宋体" w:eastAsia="宋体" w:cs="宋体"/>
          <w:color w:val="auto"/>
          <w:sz w:val="28"/>
          <w:szCs w:val="28"/>
          <w:lang w:val="zh-CN"/>
        </w:rPr>
        <w:t>（一）投标要求</w:t>
      </w:r>
      <w:bookmarkEnd w:id="227"/>
      <w:bookmarkEnd w:id="228"/>
      <w:bookmarkEnd w:id="229"/>
    </w:p>
    <w:p>
      <w:pPr>
        <w:pStyle w:val="16"/>
        <w:spacing w:before="0" w:after="0" w:line="360" w:lineRule="auto"/>
        <w:ind w:firstLine="0" w:firstLineChars="0"/>
        <w:jc w:val="left"/>
        <w:rPr>
          <w:rFonts w:hint="eastAsia" w:ascii="宋体" w:hAnsi="宋体" w:eastAsia="宋体" w:cs="宋体"/>
          <w:color w:val="auto"/>
          <w:sz w:val="24"/>
          <w:szCs w:val="24"/>
          <w:lang w:val="zh-CN"/>
        </w:rPr>
      </w:pPr>
      <w:bookmarkStart w:id="230" w:name="_Toc14340"/>
      <w:bookmarkStart w:id="231" w:name="_Toc4145"/>
      <w:bookmarkStart w:id="232" w:name="_Toc21602"/>
      <w:r>
        <w:rPr>
          <w:rFonts w:hint="eastAsia" w:ascii="宋体" w:hAnsi="宋体" w:eastAsia="宋体" w:cs="宋体"/>
          <w:color w:val="auto"/>
          <w:sz w:val="24"/>
          <w:szCs w:val="24"/>
          <w:lang w:val="zh-CN"/>
        </w:rPr>
        <w:t>1.投标说明</w:t>
      </w:r>
      <w:bookmarkEnd w:id="230"/>
      <w:bookmarkEnd w:id="231"/>
      <w:bookmarkEnd w:id="232"/>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1.1供应商必须对本文件的所有内容作为一个整体进行投标，不能拆分或少报。否则，投标无效。</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1.2投标报价应包括</w:t>
      </w:r>
      <w:r>
        <w:rPr>
          <w:rFonts w:hint="eastAsia" w:ascii="宋体" w:hAnsi="宋体" w:eastAsia="宋体" w:cs="宋体"/>
          <w:color w:val="auto"/>
          <w:sz w:val="24"/>
          <w:lang w:val="zh-CN"/>
        </w:rPr>
        <w:t>产品费、检验费、手续费、包装费、运输费、保险费、系统集成费、安装调试费、招标代理费、税金及不可预见费等全部费用。</w:t>
      </w:r>
      <w:r>
        <w:rPr>
          <w:rFonts w:hint="eastAsia" w:ascii="宋体" w:hAnsi="宋体" w:eastAsia="宋体" w:cs="宋体"/>
          <w:color w:val="auto"/>
          <w:sz w:val="24"/>
          <w:szCs w:val="24"/>
          <w:lang w:val="zh-CN"/>
        </w:rPr>
        <w:t>若投标报价不能完全包括上述内容，该投标将被认为非实质性响应。</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1.3供应商必须如实填写“技术规格响应表”，在“投标产品技术参数、指标”栏中列出所投产品的具体技术参数、指标；以采购人需求为最低指标要求，供应商对超出或不满足最低指标要求的指标需列出“＋、-”偏差。如果与响应文件中提供的产品检测报告、彩页等证明材料中的实质性响应情况不一致或直接复制磋商文件“采购需求技术参数、指标”内容的，按无效投标处理。</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1.4</w:t>
      </w:r>
      <w:r>
        <w:rPr>
          <w:rFonts w:hint="eastAsia" w:ascii="宋体" w:hAnsi="宋体" w:eastAsia="宋体" w:cs="宋体"/>
          <w:color w:val="auto"/>
          <w:sz w:val="24"/>
          <w:szCs w:val="24"/>
          <w:lang w:val="en-US" w:eastAsia="zh-CN"/>
        </w:rPr>
        <w:t>交货时间</w:t>
      </w:r>
      <w:r>
        <w:rPr>
          <w:rFonts w:hint="eastAsia" w:ascii="宋体" w:hAnsi="宋体" w:eastAsia="宋体" w:cs="宋体"/>
          <w:color w:val="auto"/>
          <w:sz w:val="24"/>
          <w:szCs w:val="24"/>
          <w:lang w:val="zh-CN"/>
        </w:rPr>
        <w:t>、地点：按采购人指定的时间、地点交货并安装交付使用。</w:t>
      </w:r>
    </w:p>
    <w:p>
      <w:pPr>
        <w:pStyle w:val="16"/>
        <w:spacing w:before="0" w:after="0" w:line="360" w:lineRule="auto"/>
        <w:ind w:firstLine="0" w:firstLineChars="0"/>
        <w:jc w:val="left"/>
        <w:rPr>
          <w:rFonts w:hint="eastAsia" w:ascii="宋体" w:hAnsi="宋体" w:eastAsia="宋体" w:cs="宋体"/>
          <w:color w:val="auto"/>
          <w:sz w:val="24"/>
          <w:szCs w:val="24"/>
        </w:rPr>
      </w:pPr>
      <w:bookmarkStart w:id="233" w:name="_Toc13015"/>
      <w:bookmarkStart w:id="234" w:name="_Toc22378"/>
      <w:bookmarkStart w:id="235" w:name="_Toc26690"/>
      <w:r>
        <w:rPr>
          <w:rFonts w:hint="eastAsia" w:ascii="宋体" w:hAnsi="宋体" w:eastAsia="宋体" w:cs="宋体"/>
          <w:color w:val="auto"/>
          <w:sz w:val="24"/>
          <w:szCs w:val="24"/>
        </w:rPr>
        <w:t>2.报价说明</w:t>
      </w:r>
      <w:bookmarkEnd w:id="233"/>
      <w:bookmarkEnd w:id="234"/>
      <w:bookmarkEnd w:id="235"/>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本次磋商文件中规定的采购预算额度为招标最高限价，供应商的投标报价不得超出此额度。否则，投标无效。</w:t>
      </w:r>
    </w:p>
    <w:p>
      <w:pPr>
        <w:pStyle w:val="16"/>
        <w:spacing w:before="0" w:after="0" w:line="360" w:lineRule="auto"/>
        <w:ind w:firstLine="0" w:firstLineChars="0"/>
        <w:jc w:val="left"/>
        <w:rPr>
          <w:rFonts w:hint="eastAsia" w:ascii="宋体" w:hAnsi="宋体" w:eastAsia="宋体" w:cs="宋体"/>
          <w:color w:val="auto"/>
          <w:sz w:val="24"/>
          <w:szCs w:val="24"/>
          <w:lang w:val="zh-CN"/>
        </w:rPr>
      </w:pPr>
      <w:bookmarkStart w:id="236" w:name="_Toc9832"/>
      <w:bookmarkStart w:id="237" w:name="_Toc32448"/>
      <w:bookmarkStart w:id="238" w:name="_Toc17867"/>
      <w:r>
        <w:rPr>
          <w:rFonts w:hint="eastAsia" w:ascii="宋体" w:hAnsi="宋体" w:eastAsia="宋体" w:cs="宋体"/>
          <w:color w:val="auto"/>
          <w:sz w:val="24"/>
          <w:szCs w:val="24"/>
          <w:lang w:val="zh-CN"/>
        </w:rPr>
        <w:t>3.重要指标</w:t>
      </w:r>
      <w:bookmarkEnd w:id="236"/>
      <w:bookmarkEnd w:id="237"/>
      <w:bookmarkEnd w:id="238"/>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3.1“技术参数”中用“★”符号标注的属于重要技术参数、指标，必须完全响应。否则，视为无效投标。</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3.2磋商文件中凡需与原有设备、系统并机、兼容、匹配等要求的，请主动和采购人联系，取得原有设备、系统相关资料。若有磋商文件未提及或变更内容的，请及时与采购代理机构联系。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3.3技术参数中除注明签订合同时提供</w:t>
      </w:r>
      <w:r>
        <w:rPr>
          <w:rFonts w:hint="eastAsia" w:ascii="宋体" w:hAnsi="宋体" w:eastAsia="宋体" w:cs="宋体"/>
          <w:color w:val="auto"/>
          <w:sz w:val="24"/>
          <w:szCs w:val="24"/>
        </w:rPr>
        <w:t>的相关授权、服务承诺等资料以外，其余相关资料在投标时必须附在响应文件中。</w:t>
      </w:r>
    </w:p>
    <w:p>
      <w:pPr>
        <w:pStyle w:val="16"/>
        <w:spacing w:before="0" w:after="0" w:line="360" w:lineRule="auto"/>
        <w:ind w:firstLine="0" w:firstLineChars="0"/>
        <w:jc w:val="left"/>
        <w:rPr>
          <w:rFonts w:hint="eastAsia" w:ascii="宋体" w:hAnsi="宋体" w:eastAsia="宋体" w:cs="宋体"/>
          <w:color w:val="auto"/>
          <w:sz w:val="24"/>
          <w:szCs w:val="24"/>
          <w:lang w:val="zh-CN"/>
        </w:rPr>
      </w:pPr>
      <w:bookmarkStart w:id="239" w:name="_Toc5036"/>
      <w:bookmarkStart w:id="240" w:name="_Toc24486"/>
      <w:bookmarkStart w:id="241" w:name="_Toc25925"/>
      <w:r>
        <w:rPr>
          <w:rFonts w:hint="eastAsia" w:ascii="宋体" w:hAnsi="宋体" w:eastAsia="宋体" w:cs="宋体"/>
          <w:color w:val="auto"/>
          <w:sz w:val="24"/>
          <w:szCs w:val="24"/>
          <w:lang w:val="zh-CN"/>
        </w:rPr>
        <w:t>4.商务要求</w:t>
      </w:r>
      <w:bookmarkEnd w:id="239"/>
      <w:bookmarkEnd w:id="240"/>
      <w:bookmarkEnd w:id="241"/>
    </w:p>
    <w:p>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4.1.</w:t>
      </w:r>
      <w:r>
        <w:rPr>
          <w:rFonts w:hint="eastAsia" w:ascii="宋体" w:hAnsi="宋体" w:eastAsia="宋体" w:cs="宋体"/>
          <w:color w:val="auto"/>
          <w:sz w:val="24"/>
          <w:szCs w:val="24"/>
          <w:lang w:val="en-US" w:eastAsia="zh-CN"/>
        </w:rPr>
        <w:t>交货时间</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2020年11月25日前</w:t>
      </w:r>
      <w:bookmarkStart w:id="245" w:name="_GoBack"/>
      <w:bookmarkEnd w:id="245"/>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4.2.</w:t>
      </w:r>
      <w:r>
        <w:rPr>
          <w:rFonts w:hint="eastAsia" w:ascii="宋体" w:hAnsi="宋体" w:eastAsia="宋体" w:cs="宋体"/>
          <w:color w:val="auto"/>
          <w:sz w:val="24"/>
          <w:szCs w:val="24"/>
          <w:lang w:val="en-US" w:eastAsia="zh-CN"/>
        </w:rPr>
        <w:t>交货</w:t>
      </w:r>
      <w:r>
        <w:rPr>
          <w:rFonts w:hint="eastAsia" w:ascii="宋体" w:hAnsi="宋体" w:eastAsia="宋体" w:cs="宋体"/>
          <w:color w:val="auto"/>
          <w:sz w:val="24"/>
          <w:szCs w:val="24"/>
          <w:lang w:val="zh-CN"/>
        </w:rPr>
        <w:t>地点：采购人指定地点</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4.3.付款方式：</w:t>
      </w:r>
      <w:r>
        <w:rPr>
          <w:rFonts w:hint="eastAsia" w:ascii="宋体" w:hAnsi="宋体" w:eastAsia="宋体" w:cs="宋体"/>
          <w:color w:val="auto"/>
          <w:sz w:val="24"/>
          <w:szCs w:val="24"/>
        </w:rPr>
        <w:t>详见“第四部分  采购项目合同书”中“四、付款方式”的规定</w:t>
      </w:r>
    </w:p>
    <w:p>
      <w:pPr>
        <w:autoSpaceDE w:val="0"/>
        <w:autoSpaceDN w:val="0"/>
        <w:spacing w:line="360" w:lineRule="auto"/>
        <w:ind w:firstLine="480"/>
        <w:rPr>
          <w:rFonts w:hint="eastAsia" w:ascii="宋体" w:hAnsi="宋体" w:eastAsia="宋体" w:cs="宋体"/>
          <w:color w:val="auto"/>
          <w:lang w:val="en-US" w:eastAsia="zh-CN"/>
        </w:rPr>
      </w:pPr>
      <w:r>
        <w:rPr>
          <w:rFonts w:hint="eastAsia" w:ascii="宋体" w:hAnsi="宋体" w:eastAsia="宋体" w:cs="宋体"/>
          <w:color w:val="auto"/>
          <w:sz w:val="24"/>
          <w:szCs w:val="24"/>
          <w:lang w:val="zh-CN"/>
        </w:rPr>
        <w:t>4.4.免费质量保证期：</w:t>
      </w:r>
      <w:r>
        <w:rPr>
          <w:rFonts w:hint="eastAsia" w:ascii="宋体" w:hAnsi="宋体" w:eastAsia="宋体" w:cs="宋体"/>
          <w:color w:val="auto"/>
          <w:sz w:val="24"/>
          <w:szCs w:val="24"/>
          <w:lang w:val="en-US" w:eastAsia="zh-CN"/>
        </w:rPr>
        <w:t>一年</w:t>
      </w:r>
    </w:p>
    <w:p>
      <w:pPr>
        <w:pStyle w:val="16"/>
        <w:spacing w:before="0" w:after="0" w:line="360" w:lineRule="auto"/>
        <w:ind w:firstLine="0" w:firstLineChars="0"/>
        <w:rPr>
          <w:rFonts w:hint="eastAsia" w:ascii="宋体" w:hAnsi="宋体" w:eastAsia="宋体" w:cs="宋体"/>
          <w:color w:val="auto"/>
          <w:sz w:val="28"/>
          <w:szCs w:val="28"/>
          <w:lang w:val="zh-CN"/>
        </w:rPr>
      </w:pPr>
      <w:bookmarkStart w:id="242" w:name="_Toc8363"/>
      <w:r>
        <w:rPr>
          <w:rFonts w:hint="eastAsia" w:ascii="宋体" w:hAnsi="宋体" w:eastAsia="宋体" w:cs="宋体"/>
          <w:color w:val="auto"/>
          <w:sz w:val="24"/>
          <w:szCs w:val="24"/>
          <w:lang w:val="zh-CN"/>
        </w:rPr>
        <w:br w:type="page"/>
      </w:r>
      <w:bookmarkStart w:id="243" w:name="_Toc19188"/>
      <w:bookmarkStart w:id="244" w:name="_Toc3713"/>
      <w:r>
        <w:rPr>
          <w:rFonts w:hint="eastAsia" w:ascii="宋体" w:hAnsi="宋体" w:eastAsia="宋体" w:cs="宋体"/>
          <w:color w:val="auto"/>
          <w:sz w:val="28"/>
          <w:szCs w:val="28"/>
          <w:lang w:val="zh-CN"/>
        </w:rPr>
        <w:t>（二）项目概况及技术参数</w:t>
      </w:r>
      <w:bookmarkEnd w:id="242"/>
      <w:bookmarkEnd w:id="243"/>
      <w:bookmarkEnd w:id="244"/>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05"/>
        <w:gridCol w:w="1700"/>
        <w:gridCol w:w="5487"/>
        <w:gridCol w:w="638"/>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17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名称</w:t>
            </w:r>
          </w:p>
        </w:tc>
        <w:tc>
          <w:tcPr>
            <w:tcW w:w="54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技术参数</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单位</w:t>
            </w:r>
          </w:p>
        </w:tc>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智能星光变焦网络红外半球</w:t>
            </w:r>
          </w:p>
        </w:tc>
        <w:tc>
          <w:tcPr>
            <w:tcW w:w="54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1.内置18颗红外灯、具有1个RJ45网络接口、1个RS485接口、1路音频输入、1路音频输出、2路报警输入、1路报警输出、1个TF卡插槽、1个内置MIC。采用AC220V转DC12V电源适配器/POE供电；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2.支持自动或手动调节电子快门，快门速度1s至1/100000s之间可调；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3.支持五码流输出；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4.码率可设置为16Kbps～32Mbps；</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5.在H.265视频编码格式下，开启智能编码功能后，最低码率为100Kbps时，可正常浏览视频画面（以公安部检测报告为准）；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6.同一静止场景相同图像质量下，在H.264或H.265编码方式时，开启智能编码功能和不开启智能编码相比，码率节约90%；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7.在同一个客户端上，可最多同时开启64个视频窗口进行画面浏览；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8.最大支持512GB的TF卡；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9.在视频图像上叠加通道名称、时间、日期等中文字符及符号，可设置2个区域，每个区域可叠加48个字符或16个中文，字体大小可设置为16×16像素、24×24像素、32×32像素、48×48像素、64×64像素、96×96像素，字体及颜色可设置 （以公安部检测报告为准）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10.支持预录、延录、报警联动录像功能，在存储介质写满后可自动循环覆盖写；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11.支持定时抓拍、报警联动抓拍并上传ftp服务器及通过邮件发送功能，抓图时间间隔及数量可设；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12.支持数字降噪、强光抑制、镜像、走廊模式功能；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13.水平中心分辨力不小于1000线；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14.最低照度：彩色：≤0.001lx（AGC ON、RJ45输出、应能分辨反射式视频矩阵测试卡中彩色色块；黑白：≤0.0004lx（AGC ON、RJ45输出、能分辨反射式视频分辨率测试卡中圆形轮廓）；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15.最大亮度鉴别等级为11级；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16.设置密码时可自动提示密码复杂度为低、中、高；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17.支持手动切换监控模式为智能监控模式或人脸抓拍模式；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18.支持区域入侵、绊线入侵、停车、进入区域、离开区域、快速移动、物品移除、物品遗留、徘徊、人员聚集功能；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19.支持场景变更侦测、音频异常侦测、人数统计、虚焦侦测功能；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20.支持用户登录锁定功能，当密码输入错误次数超过设定值，可报警，并锁定用户；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21.红外夜视可识别距样机30m处的人体轮廓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22.可通过IE浏览器或客户端软件进行软件升级、定时重启、配置文件导入导出；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23.支持手动及NTP校时功能；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24.电源适用范围DC12V±25%，支持POE供电；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25.支持空气放电±8kV，接触放电±6kV；</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26.温度范围：-40±3℃-70±2℃；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27.外壳防护能力：IP67；</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28.机械碰撞防护等级：IK10（以公安部检测报告为准）。</w:t>
            </w:r>
          </w:p>
        </w:tc>
        <w:tc>
          <w:tcPr>
            <w:tcW w:w="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10</w:t>
            </w:r>
          </w:p>
        </w:tc>
        <w:tc>
          <w:tcPr>
            <w:tcW w:w="6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摄像机电源</w:t>
            </w:r>
          </w:p>
        </w:tc>
        <w:tc>
          <w:tcPr>
            <w:tcW w:w="54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12V 2A开关电源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1.额定输入电压范围：170-240VAC</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最大输入电压范围：162-264VAC</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2.输入频率范围：47-63Hz</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3.输入电流：输入电压170VAC，输出电压12VDC满载时最大输入电流为0.6A</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4.空载待机损耗功率：输入电压230VAC/50Hz，输出电压12VDC是小于0.075W</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5.输出电压：+12V，11.4V（下限）-12.6V（上限）；输出电流范围：0（最小负载）-2A（额定满载）</w:t>
            </w:r>
          </w:p>
        </w:tc>
        <w:tc>
          <w:tcPr>
            <w:tcW w:w="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10</w:t>
            </w:r>
          </w:p>
        </w:tc>
        <w:tc>
          <w:tcPr>
            <w:tcW w:w="6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电脑</w:t>
            </w:r>
          </w:p>
        </w:tc>
        <w:tc>
          <w:tcPr>
            <w:tcW w:w="54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屏幕尺寸：20英寸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CPU 型号：Intel 酷睿 i5 2400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CPU频率：3100MHz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内存容量：4GB DDR3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硬盘容量：1TB 7200转，SATA2 </w:t>
            </w:r>
          </w:p>
        </w:tc>
        <w:tc>
          <w:tcPr>
            <w:tcW w:w="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6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65寸液晶电视</w:t>
            </w:r>
          </w:p>
        </w:tc>
        <w:tc>
          <w:tcPr>
            <w:tcW w:w="548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65寸液晶电视</w:t>
            </w:r>
          </w:p>
        </w:tc>
        <w:tc>
          <w:tcPr>
            <w:tcW w:w="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6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电视支架</w:t>
            </w:r>
          </w:p>
        </w:tc>
        <w:tc>
          <w:tcPr>
            <w:tcW w:w="548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液晶电视支架</w:t>
            </w:r>
          </w:p>
        </w:tc>
        <w:tc>
          <w:tcPr>
            <w:tcW w:w="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6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监控硬盘录像机</w:t>
            </w:r>
          </w:p>
        </w:tc>
        <w:tc>
          <w:tcPr>
            <w:tcW w:w="54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1.具备不少于2个RJ45、2个VGA、2个HDMI、1个BNC音频输出、1对JACK音频输入/输出接口、2个RS485、1个RS232、 2个USB2.0、1个USB3.0、1个ESATA、16个SATA接口 、复位接口，具有不少于16路报警输入接口和4路报警输出接口，双HDMI接口可同时输出异源高清视频信号；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2.支持不少于80路分辨率为1920×1080的视频信号输入；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3.具备视频入侵检测功能，进入视频警戒状态的设备，在警戒区域内探测到移动目标时，应能启动记录或发出报警信号，警戒区域的大小、位置、灵敏度、区域个数及进入警戒或撤除警戒等功能，均应能设置；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4.具备视频信号丢失报警功能，当视频信号丢失时，应能发出报警信号，响应时间≤5s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5.设备具有故障报警功能，故障提示声压≥60dBA，持续时间≥5min；</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6.设备对重要的数据能够进行备份，支持NTFS文件系统，录像文件支持备份为MP4格式 （以公安部检测报告为准）；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7.具备硬盘管理功能，不少于16盘位硬盘接入，支持盘组配置、配额配置，单块硬盘接入的最大容量不小于10T；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8.能自动识别磁盘容量，可以显示硬盘容量、磁盘组的容量，硬盘的健康状态，SMART信息等硬盘信息；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9.存储录像时只对工作盘进行读写，空闲硬盘处于休眠状态直到需要进行读写操作时才被唤醒；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10.支持RAID0、RAID1、RAID5、RAID10、RAID6、RAID3、RAID4、RAID50、RAID60、HOT-spare，可实现多个硬盘读写同步。支持硬盘热插拔，支持监控级和企业级硬盘组建RAID。（以公安部检测报告为准）；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11.具备设备状态查看功能，可集中查看设备通道、录像、报警、网络、硬盘状态；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12.支持MJPEG、H.264（Main Profile ， High Profile ，Baseline Profile）、H.265编码格式；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13.支持不小于16路分辨率为1920×1080/32路分辨率为1280×720/64路分辨率为704×576的视频同时预览，支持不小于16路视频通道同时回放；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14.单画面预览时支持主画面与小画面同时预览，小画面支持回放、电子放大等功能 （以公安部检测报告为准）；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15.支持预览界面即时回放功能；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16.支持回放预览功能，录像回放时，将鼠标停留在进度条上某时间点，可预览该时间点前后不小于10帧画面；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17.支持存储前端抓拍的图片，并支持单路图片回放；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18.可选择按时段抓拍或报警抓拍，抓拍张数、抓拍间隔可调；抓拍图片可上传邮件或FTP；</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19.具备检索预览功能，在检索页面中，单击搜索到的录像的图标，可预览该段视频文件起始不小于10秒录像。在检索页面中，单击搜索到的图片的图标，可预览该图片抓拍时间起的不小于10秒录像；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20.支持在低码率下用单个通道的带宽在客户端同时查看≥25 路通道的画面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21.支持录像切片功能，可将录像等分成不小于16路同时回放；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22.支持外部文件回放功能，可播放移动存储设备中存放的录像；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23.设备网口支持UPNP(通用即插即用)协议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24.支持2个不同网段IP地址的IPC设备接入，支持将2个网口设置为同一IP地址，选择设为冗余模式或负载均衡模式；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25.支持对网络摄像机自动分配IP、自动接入，并直接预览图像；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26.可按IP或通道号自增的规则批量添加局域网内的IPC；</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27.设置用户密码时可自动提示密码复杂度为低、中、高；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28.具有假日录像策略、抽帧录像、冗余录像、纯视频录像、副码流录像、断网补录等功能。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29.支持智能录像，可根据不同时间段、不同事件类型分别采用不同的编码模板进行录像；编码模板可调节帧率、码率等；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30.支持对关键数据加锁并归档，只有解锁后才可被覆盖；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31.支持前端摄像机断网时段内SD卡中的录像回传到NVR；</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32.支持对指定时间的录像进行标签并归档，可对相应标签进行查询、回放等；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33.支持AEC回声抵消设置功能；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34.支持音频混音功能，可将任意两通道声音同步录像；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35.支持抽帧存储功能；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36.支持对视频质量进行诊断，对监看角度变换、画面模糊等异常视频现象发出报警；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37.支持文字预案功能，报警后可联动文字预案，可设置不少于16种预案模板；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38.支持整机热备份功能，设置一台备份硬盘录像机，当主设备异常离线时，备份设备能替换主设备进行录像工作；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39.无缝对接西宁市监管支队管理综合平台，满足医务楼前端点位驳接监控硬盘录像机，并将医务楼视频无损上传至监管支队管理综合平台，同时重点病房视频通道上传至青海省公安厅管理综合平台。</w:t>
            </w:r>
          </w:p>
        </w:tc>
        <w:tc>
          <w:tcPr>
            <w:tcW w:w="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6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6T硬盘</w:t>
            </w:r>
          </w:p>
        </w:tc>
        <w:tc>
          <w:tcPr>
            <w:tcW w:w="54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6T监控级硬盘</w:t>
            </w:r>
          </w:p>
        </w:tc>
        <w:tc>
          <w:tcPr>
            <w:tcW w:w="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32</w:t>
            </w:r>
          </w:p>
        </w:tc>
        <w:tc>
          <w:tcPr>
            <w:tcW w:w="6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解码主机（电视用）</w:t>
            </w:r>
          </w:p>
        </w:tc>
        <w:tc>
          <w:tcPr>
            <w:tcW w:w="54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1.具有1路音频输入、1路音频输出、1路RS-485接口、1个千兆网口、2个USB接口、1个HDMI输入、4个HDMI输出、1个VGA输入、4个VGA输出、8路报警输入、8路报警输出。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2.支持解码12MP、4K、UXGA、SXGA、QXGA、XGA、1080P、960P、960H、720P、4CIF、CIF等分辨率 （以公安部检测报告为准）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3.最大支持4路12MP、8路8MP、12路5MP、16路4MP、20路3MP、32路1080P、64路720P及128路分辨率640×480的实时解码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4.支持MPEG4、H.264( Baseline/Main/High- profile)、H.265编码级别视频解码，支持ONVIF、GB/T28181协议解码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5.可设置16个系统预案,支持预案一键调取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6.支持4K分辨率底图显示,支持U盘读入图片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7.支持语音对讲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8.具有1/2/4/6/8/9/10/13/16/20/25/36多画面分割功能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9.具有单画面64路视频图像轮巡切换输出功能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10.支持画面拼接、开窗、叠加、漫游、跨屏等功能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11.支持视频图像实现无级缩放功能，支持视频丢失发生报警功能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12.每个解码卡包含两个通道,总解码数最大支持16路1080P解码,两通道解码路数可自由组合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13.支持4台设备级联解码功能（以公安部检测报告为准）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14 支持编码输入视频的解码功能,编码输入分辨率包括60Hz:1920×1080、1680×1050、1280×1024、1440×900、1280×800、1280×720、1024×768;50Hz:1920×1080、1280×720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15.支持输出显示的分辨率包括60Hz:3840×2160、1920×1080、1440900、1366×768、1280×800、1280×720、1024×768、800×600;50Hz:1920×1080、1280×720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16.支持报警输入、输出设置及布撤防时间设置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17.发生报警时,可联动预设端口的视频图像输出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18.支持录像文件解码输出上墙功能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19.支持PAD、平台或WEB等方式进行访问、配置和管理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20.设备功耗小于等于15W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21.无缝对接西宁市监管支队管理综合平台，满足解码主机视频通道按照公安部及西宁市监管支队的要求的标定通道显示。</w:t>
            </w:r>
          </w:p>
        </w:tc>
        <w:tc>
          <w:tcPr>
            <w:tcW w:w="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6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9</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24口千兆交换机</w:t>
            </w:r>
          </w:p>
        </w:tc>
        <w:tc>
          <w:tcPr>
            <w:tcW w:w="54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国产24口千兆交换机</w:t>
            </w:r>
          </w:p>
        </w:tc>
        <w:tc>
          <w:tcPr>
            <w:tcW w:w="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6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12U网络机柜</w:t>
            </w:r>
          </w:p>
        </w:tc>
        <w:tc>
          <w:tcPr>
            <w:tcW w:w="548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国产12U网络机柜</w:t>
            </w:r>
          </w:p>
        </w:tc>
        <w:tc>
          <w:tcPr>
            <w:tcW w:w="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6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11</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3联操作台</w:t>
            </w:r>
          </w:p>
        </w:tc>
        <w:tc>
          <w:tcPr>
            <w:tcW w:w="548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定制3联操作台</w:t>
            </w:r>
          </w:p>
        </w:tc>
        <w:tc>
          <w:tcPr>
            <w:tcW w:w="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6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12</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辅材</w:t>
            </w:r>
          </w:p>
        </w:tc>
        <w:tc>
          <w:tcPr>
            <w:tcW w:w="548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辅材</w:t>
            </w:r>
          </w:p>
        </w:tc>
        <w:tc>
          <w:tcPr>
            <w:tcW w:w="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6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60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13</w:t>
            </w:r>
          </w:p>
        </w:tc>
        <w:tc>
          <w:tcPr>
            <w:tcW w:w="17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安装调试费</w:t>
            </w:r>
          </w:p>
        </w:tc>
        <w:tc>
          <w:tcPr>
            <w:tcW w:w="548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安装调试费</w:t>
            </w:r>
          </w:p>
        </w:tc>
        <w:tc>
          <w:tcPr>
            <w:tcW w:w="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6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批</w:t>
            </w:r>
          </w:p>
        </w:tc>
      </w:tr>
    </w:tbl>
    <w:p>
      <w:pPr>
        <w:pStyle w:val="10"/>
        <w:ind w:left="0" w:leftChars="0" w:firstLine="0" w:firstLineChars="0"/>
        <w:rPr>
          <w:rFonts w:hint="eastAsia" w:ascii="宋体" w:hAnsi="宋体" w:eastAsia="宋体" w:cs="宋体"/>
          <w:b/>
          <w:bCs/>
          <w:color w:val="auto"/>
          <w:sz w:val="24"/>
          <w:szCs w:val="24"/>
          <w:lang w:val="zh-CN"/>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0" w:firstLineChars="0"/>
      <w:rPr>
        <w:rFonts w:hint="eastAsia" w:eastAsia="宋体"/>
        <w:b/>
        <w:bCs/>
        <w:lang w:eastAsia="zh-CN"/>
      </w:rPr>
    </w:pPr>
    <w:r>
      <w:rPr>
        <w:rFonts w:hint="eastAsia" w:ascii="宋体" w:hAnsi="宋体" w:eastAsia="宋体" w:cs="宋体"/>
        <w:b/>
        <w:bCs/>
        <w:sz w:val="21"/>
        <w:szCs w:val="21"/>
        <w:u w:val="single"/>
        <w:lang w:eastAsia="zh-CN"/>
      </w:rPr>
      <w:t>青海鼎钊招标代理有限公司</w:t>
    </w:r>
    <w:r>
      <w:rPr>
        <w:rFonts w:hint="eastAsia" w:ascii="宋体" w:hAnsi="宋体" w:eastAsia="宋体" w:cs="宋体"/>
        <w:b/>
        <w:bCs/>
        <w:sz w:val="21"/>
        <w:szCs w:val="21"/>
        <w:u w:val="single"/>
      </w:rPr>
      <w:t xml:space="preserve">磋商文件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eastAsia="zh-CN"/>
      </w:rPr>
      <w:t>青海鼎钊竞磋（货物）2020-054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
    <w:nsid w:val="59B11739"/>
    <w:multiLevelType w:val="singleLevel"/>
    <w:tmpl w:val="59B1173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12307D"/>
    <w:rsid w:val="00240F35"/>
    <w:rsid w:val="00265417"/>
    <w:rsid w:val="002C5D0F"/>
    <w:rsid w:val="007076D2"/>
    <w:rsid w:val="00796EA1"/>
    <w:rsid w:val="009B76F9"/>
    <w:rsid w:val="00A22D1A"/>
    <w:rsid w:val="00AE5A2B"/>
    <w:rsid w:val="00B102E6"/>
    <w:rsid w:val="00B206C6"/>
    <w:rsid w:val="00D14A56"/>
    <w:rsid w:val="00D656C9"/>
    <w:rsid w:val="00D728E7"/>
    <w:rsid w:val="00E22C49"/>
    <w:rsid w:val="00E24720"/>
    <w:rsid w:val="00EB4D82"/>
    <w:rsid w:val="00F10486"/>
    <w:rsid w:val="00F117C3"/>
    <w:rsid w:val="012D5BC8"/>
    <w:rsid w:val="014622CC"/>
    <w:rsid w:val="018D702F"/>
    <w:rsid w:val="01BC2907"/>
    <w:rsid w:val="01CD0ADA"/>
    <w:rsid w:val="01D036F5"/>
    <w:rsid w:val="020A6B7D"/>
    <w:rsid w:val="022E65D5"/>
    <w:rsid w:val="025161A5"/>
    <w:rsid w:val="02694478"/>
    <w:rsid w:val="027221A7"/>
    <w:rsid w:val="02921939"/>
    <w:rsid w:val="02D775F9"/>
    <w:rsid w:val="02EB6A6D"/>
    <w:rsid w:val="032F41DA"/>
    <w:rsid w:val="0383077C"/>
    <w:rsid w:val="03875E1C"/>
    <w:rsid w:val="03AC1C47"/>
    <w:rsid w:val="03E4284F"/>
    <w:rsid w:val="03F41C04"/>
    <w:rsid w:val="04114510"/>
    <w:rsid w:val="04114C92"/>
    <w:rsid w:val="04237D48"/>
    <w:rsid w:val="04374A3F"/>
    <w:rsid w:val="04C048E2"/>
    <w:rsid w:val="05362C4F"/>
    <w:rsid w:val="0558322B"/>
    <w:rsid w:val="05920F04"/>
    <w:rsid w:val="059F56B0"/>
    <w:rsid w:val="05B84FE4"/>
    <w:rsid w:val="05BD220F"/>
    <w:rsid w:val="05C355B4"/>
    <w:rsid w:val="05C35A7E"/>
    <w:rsid w:val="05DB4C21"/>
    <w:rsid w:val="05F766F6"/>
    <w:rsid w:val="060E7803"/>
    <w:rsid w:val="062E46EC"/>
    <w:rsid w:val="06AF0701"/>
    <w:rsid w:val="06C54218"/>
    <w:rsid w:val="06C62285"/>
    <w:rsid w:val="07622F00"/>
    <w:rsid w:val="07742F55"/>
    <w:rsid w:val="07C54232"/>
    <w:rsid w:val="07E3578E"/>
    <w:rsid w:val="07F92F02"/>
    <w:rsid w:val="0818245C"/>
    <w:rsid w:val="082746FF"/>
    <w:rsid w:val="08432C65"/>
    <w:rsid w:val="08823046"/>
    <w:rsid w:val="088A797F"/>
    <w:rsid w:val="08951775"/>
    <w:rsid w:val="08E142A8"/>
    <w:rsid w:val="08F01AAC"/>
    <w:rsid w:val="08F40EEB"/>
    <w:rsid w:val="08F4192C"/>
    <w:rsid w:val="091137D2"/>
    <w:rsid w:val="091518EB"/>
    <w:rsid w:val="09232CBB"/>
    <w:rsid w:val="09637B88"/>
    <w:rsid w:val="09720DAE"/>
    <w:rsid w:val="09727211"/>
    <w:rsid w:val="09B03804"/>
    <w:rsid w:val="09EA5816"/>
    <w:rsid w:val="0A594DEF"/>
    <w:rsid w:val="0A70061F"/>
    <w:rsid w:val="0A7277AF"/>
    <w:rsid w:val="0A7945D4"/>
    <w:rsid w:val="0A9E312E"/>
    <w:rsid w:val="0AAE60B0"/>
    <w:rsid w:val="0AC43C6E"/>
    <w:rsid w:val="0AEF7889"/>
    <w:rsid w:val="0AF206C9"/>
    <w:rsid w:val="0AF357C2"/>
    <w:rsid w:val="0B0C5917"/>
    <w:rsid w:val="0B297182"/>
    <w:rsid w:val="0B315E5D"/>
    <w:rsid w:val="0B4F7158"/>
    <w:rsid w:val="0B693C1C"/>
    <w:rsid w:val="0B6C09CE"/>
    <w:rsid w:val="0BA16B61"/>
    <w:rsid w:val="0BCA670A"/>
    <w:rsid w:val="0C051D6D"/>
    <w:rsid w:val="0C0B4651"/>
    <w:rsid w:val="0C35159A"/>
    <w:rsid w:val="0C3B1513"/>
    <w:rsid w:val="0C68471F"/>
    <w:rsid w:val="0C7C2491"/>
    <w:rsid w:val="0C846CD5"/>
    <w:rsid w:val="0CA56750"/>
    <w:rsid w:val="0CAA70D4"/>
    <w:rsid w:val="0CB66843"/>
    <w:rsid w:val="0D1357D1"/>
    <w:rsid w:val="0D7303D7"/>
    <w:rsid w:val="0D73056F"/>
    <w:rsid w:val="0D7501A0"/>
    <w:rsid w:val="0D823885"/>
    <w:rsid w:val="0D8B758F"/>
    <w:rsid w:val="0DCF2D63"/>
    <w:rsid w:val="0DE440BD"/>
    <w:rsid w:val="0E301A0A"/>
    <w:rsid w:val="0E302379"/>
    <w:rsid w:val="0E3C257E"/>
    <w:rsid w:val="0E472F86"/>
    <w:rsid w:val="0E5F21F1"/>
    <w:rsid w:val="0EDD4CD4"/>
    <w:rsid w:val="0F301B45"/>
    <w:rsid w:val="0F4F2B9F"/>
    <w:rsid w:val="0F79795E"/>
    <w:rsid w:val="0F9A075F"/>
    <w:rsid w:val="0FD672F6"/>
    <w:rsid w:val="0FE6736F"/>
    <w:rsid w:val="100C2FB7"/>
    <w:rsid w:val="1033576A"/>
    <w:rsid w:val="104533D0"/>
    <w:rsid w:val="10696898"/>
    <w:rsid w:val="1083373C"/>
    <w:rsid w:val="108A381A"/>
    <w:rsid w:val="109764CF"/>
    <w:rsid w:val="10A71125"/>
    <w:rsid w:val="10F16568"/>
    <w:rsid w:val="1129001A"/>
    <w:rsid w:val="1161183B"/>
    <w:rsid w:val="116A5B7A"/>
    <w:rsid w:val="11800378"/>
    <w:rsid w:val="11C01427"/>
    <w:rsid w:val="122E6BD1"/>
    <w:rsid w:val="123E0181"/>
    <w:rsid w:val="123F1766"/>
    <w:rsid w:val="12540FE0"/>
    <w:rsid w:val="12717026"/>
    <w:rsid w:val="127204A3"/>
    <w:rsid w:val="12774CE3"/>
    <w:rsid w:val="127832EF"/>
    <w:rsid w:val="12925110"/>
    <w:rsid w:val="12B24FDB"/>
    <w:rsid w:val="12B33771"/>
    <w:rsid w:val="12DD137E"/>
    <w:rsid w:val="12F161B9"/>
    <w:rsid w:val="13005D5A"/>
    <w:rsid w:val="1309024B"/>
    <w:rsid w:val="132C6AC6"/>
    <w:rsid w:val="133D02CB"/>
    <w:rsid w:val="135E4911"/>
    <w:rsid w:val="13A31C56"/>
    <w:rsid w:val="13AE1DEC"/>
    <w:rsid w:val="13D873F6"/>
    <w:rsid w:val="13ED4CBD"/>
    <w:rsid w:val="144A15C3"/>
    <w:rsid w:val="14617607"/>
    <w:rsid w:val="147F330D"/>
    <w:rsid w:val="14D25708"/>
    <w:rsid w:val="150A777D"/>
    <w:rsid w:val="152626AF"/>
    <w:rsid w:val="1553307A"/>
    <w:rsid w:val="155C7BF4"/>
    <w:rsid w:val="15A7459D"/>
    <w:rsid w:val="15BD05C4"/>
    <w:rsid w:val="15D16C1B"/>
    <w:rsid w:val="15F3280E"/>
    <w:rsid w:val="16121E13"/>
    <w:rsid w:val="161407E8"/>
    <w:rsid w:val="16402413"/>
    <w:rsid w:val="165068B5"/>
    <w:rsid w:val="165C1C45"/>
    <w:rsid w:val="1682762D"/>
    <w:rsid w:val="170C07E2"/>
    <w:rsid w:val="175336BE"/>
    <w:rsid w:val="179C12F3"/>
    <w:rsid w:val="17DB1C72"/>
    <w:rsid w:val="18112EA8"/>
    <w:rsid w:val="188E0FDB"/>
    <w:rsid w:val="18981FA4"/>
    <w:rsid w:val="18A45C5D"/>
    <w:rsid w:val="18BA6C72"/>
    <w:rsid w:val="18CC36CC"/>
    <w:rsid w:val="18D906A0"/>
    <w:rsid w:val="18E91BA8"/>
    <w:rsid w:val="19362BA0"/>
    <w:rsid w:val="196319D6"/>
    <w:rsid w:val="19B2495C"/>
    <w:rsid w:val="1A01584A"/>
    <w:rsid w:val="1A4D0DEE"/>
    <w:rsid w:val="1A8B6741"/>
    <w:rsid w:val="1AC7740E"/>
    <w:rsid w:val="1B0E5E72"/>
    <w:rsid w:val="1B12485D"/>
    <w:rsid w:val="1B3A68FE"/>
    <w:rsid w:val="1B3C1B7F"/>
    <w:rsid w:val="1B8F3388"/>
    <w:rsid w:val="1BAF484F"/>
    <w:rsid w:val="1BD626C0"/>
    <w:rsid w:val="1C5D57CC"/>
    <w:rsid w:val="1C8E16BB"/>
    <w:rsid w:val="1CA76C35"/>
    <w:rsid w:val="1CB021A4"/>
    <w:rsid w:val="1CB83543"/>
    <w:rsid w:val="1CE76303"/>
    <w:rsid w:val="1CED3FC1"/>
    <w:rsid w:val="1CEF21E1"/>
    <w:rsid w:val="1D0F70F4"/>
    <w:rsid w:val="1D3B3901"/>
    <w:rsid w:val="1D8B355C"/>
    <w:rsid w:val="1DA36D9A"/>
    <w:rsid w:val="1DBA3241"/>
    <w:rsid w:val="1DE64446"/>
    <w:rsid w:val="1DFC3638"/>
    <w:rsid w:val="1E040620"/>
    <w:rsid w:val="1E07408D"/>
    <w:rsid w:val="1E1948A0"/>
    <w:rsid w:val="1E253428"/>
    <w:rsid w:val="1E642BAC"/>
    <w:rsid w:val="1E652233"/>
    <w:rsid w:val="1E7A1771"/>
    <w:rsid w:val="1E8B1C26"/>
    <w:rsid w:val="1E8D5B3C"/>
    <w:rsid w:val="1E9A6F61"/>
    <w:rsid w:val="1EFB7655"/>
    <w:rsid w:val="1EFC6BCE"/>
    <w:rsid w:val="1F0672D3"/>
    <w:rsid w:val="1F1A514E"/>
    <w:rsid w:val="1F62093A"/>
    <w:rsid w:val="1F652CC4"/>
    <w:rsid w:val="1F825733"/>
    <w:rsid w:val="1F8335CB"/>
    <w:rsid w:val="1F8F0C22"/>
    <w:rsid w:val="1FF821D4"/>
    <w:rsid w:val="200731AA"/>
    <w:rsid w:val="201F4E73"/>
    <w:rsid w:val="2048658C"/>
    <w:rsid w:val="204C438A"/>
    <w:rsid w:val="20755732"/>
    <w:rsid w:val="20B37200"/>
    <w:rsid w:val="210E072D"/>
    <w:rsid w:val="21193680"/>
    <w:rsid w:val="21246FCE"/>
    <w:rsid w:val="213236FF"/>
    <w:rsid w:val="21A3046C"/>
    <w:rsid w:val="21FA5FE0"/>
    <w:rsid w:val="22411355"/>
    <w:rsid w:val="22471E52"/>
    <w:rsid w:val="226A73F8"/>
    <w:rsid w:val="22D97467"/>
    <w:rsid w:val="22E72769"/>
    <w:rsid w:val="23045B21"/>
    <w:rsid w:val="23121DAA"/>
    <w:rsid w:val="23491371"/>
    <w:rsid w:val="23A501AD"/>
    <w:rsid w:val="23A675DF"/>
    <w:rsid w:val="23B43CB0"/>
    <w:rsid w:val="23E35D90"/>
    <w:rsid w:val="23F65063"/>
    <w:rsid w:val="23FC09CC"/>
    <w:rsid w:val="243C1BCE"/>
    <w:rsid w:val="24414930"/>
    <w:rsid w:val="246011EC"/>
    <w:rsid w:val="246454A2"/>
    <w:rsid w:val="24904BBE"/>
    <w:rsid w:val="24A979B8"/>
    <w:rsid w:val="24AC7AF8"/>
    <w:rsid w:val="258B65E1"/>
    <w:rsid w:val="25ED3127"/>
    <w:rsid w:val="261E151D"/>
    <w:rsid w:val="262D2C9E"/>
    <w:rsid w:val="26535C4F"/>
    <w:rsid w:val="265505E9"/>
    <w:rsid w:val="26806A2A"/>
    <w:rsid w:val="26A16E16"/>
    <w:rsid w:val="26B05C85"/>
    <w:rsid w:val="26F567D0"/>
    <w:rsid w:val="270F023A"/>
    <w:rsid w:val="27247539"/>
    <w:rsid w:val="27587902"/>
    <w:rsid w:val="27652727"/>
    <w:rsid w:val="278C6FCB"/>
    <w:rsid w:val="27B339FC"/>
    <w:rsid w:val="27BB05AE"/>
    <w:rsid w:val="27C3219D"/>
    <w:rsid w:val="27E64DFD"/>
    <w:rsid w:val="27E873F7"/>
    <w:rsid w:val="27F219B8"/>
    <w:rsid w:val="27FF372E"/>
    <w:rsid w:val="280B4A21"/>
    <w:rsid w:val="280E3B12"/>
    <w:rsid w:val="282C777F"/>
    <w:rsid w:val="28304715"/>
    <w:rsid w:val="28442F27"/>
    <w:rsid w:val="285F27BE"/>
    <w:rsid w:val="28623D8F"/>
    <w:rsid w:val="28DD50EC"/>
    <w:rsid w:val="291D0CF0"/>
    <w:rsid w:val="295B0DF0"/>
    <w:rsid w:val="2978727D"/>
    <w:rsid w:val="29984D74"/>
    <w:rsid w:val="29A06F29"/>
    <w:rsid w:val="29CA5442"/>
    <w:rsid w:val="29FD4568"/>
    <w:rsid w:val="2A195D0F"/>
    <w:rsid w:val="2A1C1DE6"/>
    <w:rsid w:val="2A351F2A"/>
    <w:rsid w:val="2A5E32AB"/>
    <w:rsid w:val="2A6813DA"/>
    <w:rsid w:val="2A6D03A5"/>
    <w:rsid w:val="2A6F5352"/>
    <w:rsid w:val="2AA87434"/>
    <w:rsid w:val="2AB80BBD"/>
    <w:rsid w:val="2AD409FF"/>
    <w:rsid w:val="2AD57DA2"/>
    <w:rsid w:val="2B0E45AA"/>
    <w:rsid w:val="2B1B7CB9"/>
    <w:rsid w:val="2B9D27EB"/>
    <w:rsid w:val="2BD50746"/>
    <w:rsid w:val="2BE51E07"/>
    <w:rsid w:val="2BEC31EB"/>
    <w:rsid w:val="2BF66CC1"/>
    <w:rsid w:val="2C0D3E59"/>
    <w:rsid w:val="2C0F788C"/>
    <w:rsid w:val="2C195B51"/>
    <w:rsid w:val="2C2577C3"/>
    <w:rsid w:val="2C292722"/>
    <w:rsid w:val="2C46065A"/>
    <w:rsid w:val="2C50273D"/>
    <w:rsid w:val="2C6D60A4"/>
    <w:rsid w:val="2C8C3BA3"/>
    <w:rsid w:val="2C9F3471"/>
    <w:rsid w:val="2CDF01E3"/>
    <w:rsid w:val="2D1171B4"/>
    <w:rsid w:val="2D1A41F2"/>
    <w:rsid w:val="2D4D4DB7"/>
    <w:rsid w:val="2DC16FC3"/>
    <w:rsid w:val="2DC3448D"/>
    <w:rsid w:val="2DCD49BA"/>
    <w:rsid w:val="2DEE768F"/>
    <w:rsid w:val="2E4771F4"/>
    <w:rsid w:val="2E5D0BE6"/>
    <w:rsid w:val="2E60666A"/>
    <w:rsid w:val="2E690FE1"/>
    <w:rsid w:val="2E851B5C"/>
    <w:rsid w:val="2EC278FB"/>
    <w:rsid w:val="2EC877FF"/>
    <w:rsid w:val="2ECC5CFF"/>
    <w:rsid w:val="2F077062"/>
    <w:rsid w:val="2F4C01F1"/>
    <w:rsid w:val="2F500B3A"/>
    <w:rsid w:val="2F751931"/>
    <w:rsid w:val="2FAA7B78"/>
    <w:rsid w:val="2FB057C3"/>
    <w:rsid w:val="2FBF705B"/>
    <w:rsid w:val="2FDD5AE0"/>
    <w:rsid w:val="2FEC5819"/>
    <w:rsid w:val="303F4F25"/>
    <w:rsid w:val="30595E14"/>
    <w:rsid w:val="308732D3"/>
    <w:rsid w:val="30C419B0"/>
    <w:rsid w:val="311B08F6"/>
    <w:rsid w:val="31274558"/>
    <w:rsid w:val="315B5877"/>
    <w:rsid w:val="317627B8"/>
    <w:rsid w:val="319B575F"/>
    <w:rsid w:val="31D263B8"/>
    <w:rsid w:val="32017C90"/>
    <w:rsid w:val="3208112C"/>
    <w:rsid w:val="32717DB1"/>
    <w:rsid w:val="32D62E2D"/>
    <w:rsid w:val="33542A82"/>
    <w:rsid w:val="33660CCD"/>
    <w:rsid w:val="338527D2"/>
    <w:rsid w:val="33E76902"/>
    <w:rsid w:val="3419726D"/>
    <w:rsid w:val="34243CCB"/>
    <w:rsid w:val="34262C9D"/>
    <w:rsid w:val="342C4F98"/>
    <w:rsid w:val="34694D37"/>
    <w:rsid w:val="347202AE"/>
    <w:rsid w:val="348D682D"/>
    <w:rsid w:val="34E00D75"/>
    <w:rsid w:val="34EB33C6"/>
    <w:rsid w:val="352C42C8"/>
    <w:rsid w:val="352C477F"/>
    <w:rsid w:val="3553527B"/>
    <w:rsid w:val="355837B4"/>
    <w:rsid w:val="356A1AE1"/>
    <w:rsid w:val="357D758C"/>
    <w:rsid w:val="35980BD9"/>
    <w:rsid w:val="35A72150"/>
    <w:rsid w:val="35CF2251"/>
    <w:rsid w:val="361E1FDF"/>
    <w:rsid w:val="36753352"/>
    <w:rsid w:val="36BC4BA9"/>
    <w:rsid w:val="36CC3FFE"/>
    <w:rsid w:val="37093A33"/>
    <w:rsid w:val="371B1451"/>
    <w:rsid w:val="375323B3"/>
    <w:rsid w:val="37990AB3"/>
    <w:rsid w:val="37AC6F17"/>
    <w:rsid w:val="37C239D4"/>
    <w:rsid w:val="37C6686C"/>
    <w:rsid w:val="37CA460D"/>
    <w:rsid w:val="38262872"/>
    <w:rsid w:val="38612E6D"/>
    <w:rsid w:val="38B74689"/>
    <w:rsid w:val="38DD42D8"/>
    <w:rsid w:val="39822399"/>
    <w:rsid w:val="398E1D4E"/>
    <w:rsid w:val="3A070624"/>
    <w:rsid w:val="3A7E38B2"/>
    <w:rsid w:val="3A8052A7"/>
    <w:rsid w:val="3A9D4A5A"/>
    <w:rsid w:val="3AB42FBD"/>
    <w:rsid w:val="3AD55845"/>
    <w:rsid w:val="3AE46A88"/>
    <w:rsid w:val="3B20620C"/>
    <w:rsid w:val="3B2B1675"/>
    <w:rsid w:val="3B5151A5"/>
    <w:rsid w:val="3BC44324"/>
    <w:rsid w:val="3BC54C44"/>
    <w:rsid w:val="3BCC6E53"/>
    <w:rsid w:val="3C105DB2"/>
    <w:rsid w:val="3C177CC1"/>
    <w:rsid w:val="3C5349E3"/>
    <w:rsid w:val="3C584678"/>
    <w:rsid w:val="3CD25A93"/>
    <w:rsid w:val="3CF208B5"/>
    <w:rsid w:val="3D5D7F77"/>
    <w:rsid w:val="3D8E5DF6"/>
    <w:rsid w:val="3DE827B4"/>
    <w:rsid w:val="3DFE4694"/>
    <w:rsid w:val="3E2A5E00"/>
    <w:rsid w:val="3E39336E"/>
    <w:rsid w:val="3E6E4F0C"/>
    <w:rsid w:val="3EBA4F51"/>
    <w:rsid w:val="3EFE6BF5"/>
    <w:rsid w:val="3F082449"/>
    <w:rsid w:val="3F2013A3"/>
    <w:rsid w:val="3F312798"/>
    <w:rsid w:val="3F4871AE"/>
    <w:rsid w:val="3F9B6B83"/>
    <w:rsid w:val="3FAA59DA"/>
    <w:rsid w:val="400F2EC6"/>
    <w:rsid w:val="40686DA2"/>
    <w:rsid w:val="40734D8A"/>
    <w:rsid w:val="40DA4AD3"/>
    <w:rsid w:val="40DC350E"/>
    <w:rsid w:val="40EC6DDC"/>
    <w:rsid w:val="40F170AA"/>
    <w:rsid w:val="410042A8"/>
    <w:rsid w:val="412332F1"/>
    <w:rsid w:val="41385301"/>
    <w:rsid w:val="41796A32"/>
    <w:rsid w:val="41D42078"/>
    <w:rsid w:val="41DC396B"/>
    <w:rsid w:val="41E066CC"/>
    <w:rsid w:val="422207E1"/>
    <w:rsid w:val="4253661C"/>
    <w:rsid w:val="427A3481"/>
    <w:rsid w:val="427E62E2"/>
    <w:rsid w:val="4289147A"/>
    <w:rsid w:val="42AD1AEC"/>
    <w:rsid w:val="42B432FA"/>
    <w:rsid w:val="42DE4B4E"/>
    <w:rsid w:val="42F15057"/>
    <w:rsid w:val="43394EAD"/>
    <w:rsid w:val="43606087"/>
    <w:rsid w:val="4361198C"/>
    <w:rsid w:val="439A38BA"/>
    <w:rsid w:val="440C5CE8"/>
    <w:rsid w:val="4416066E"/>
    <w:rsid w:val="44270902"/>
    <w:rsid w:val="44376732"/>
    <w:rsid w:val="443F17B1"/>
    <w:rsid w:val="446011DC"/>
    <w:rsid w:val="44642C0C"/>
    <w:rsid w:val="4496334F"/>
    <w:rsid w:val="44B27F70"/>
    <w:rsid w:val="44BD1860"/>
    <w:rsid w:val="44F80CE9"/>
    <w:rsid w:val="450E1E56"/>
    <w:rsid w:val="4518292E"/>
    <w:rsid w:val="453D4E33"/>
    <w:rsid w:val="456305AE"/>
    <w:rsid w:val="45837329"/>
    <w:rsid w:val="45984FD7"/>
    <w:rsid w:val="45AF18C2"/>
    <w:rsid w:val="45EE4C9C"/>
    <w:rsid w:val="461421EA"/>
    <w:rsid w:val="46160E4F"/>
    <w:rsid w:val="46260101"/>
    <w:rsid w:val="462C6948"/>
    <w:rsid w:val="462E490D"/>
    <w:rsid w:val="465A2875"/>
    <w:rsid w:val="46A23569"/>
    <w:rsid w:val="46B155F3"/>
    <w:rsid w:val="46D07009"/>
    <w:rsid w:val="47125265"/>
    <w:rsid w:val="47521D3A"/>
    <w:rsid w:val="475C2B83"/>
    <w:rsid w:val="47700BE5"/>
    <w:rsid w:val="47D420AB"/>
    <w:rsid w:val="47E05BFC"/>
    <w:rsid w:val="48001F4A"/>
    <w:rsid w:val="48454344"/>
    <w:rsid w:val="48776B62"/>
    <w:rsid w:val="48805B66"/>
    <w:rsid w:val="489267CA"/>
    <w:rsid w:val="48A0099B"/>
    <w:rsid w:val="48C85D1E"/>
    <w:rsid w:val="48FC6DE4"/>
    <w:rsid w:val="49521F34"/>
    <w:rsid w:val="49C200D1"/>
    <w:rsid w:val="49E81B32"/>
    <w:rsid w:val="49EF17F2"/>
    <w:rsid w:val="4A3027A7"/>
    <w:rsid w:val="4A3A2743"/>
    <w:rsid w:val="4A6A5456"/>
    <w:rsid w:val="4A6D4E76"/>
    <w:rsid w:val="4AB83469"/>
    <w:rsid w:val="4AF71A6F"/>
    <w:rsid w:val="4B2B2E2B"/>
    <w:rsid w:val="4B91553A"/>
    <w:rsid w:val="4BBA69BC"/>
    <w:rsid w:val="4BE16C2F"/>
    <w:rsid w:val="4BE55C0A"/>
    <w:rsid w:val="4BE93715"/>
    <w:rsid w:val="4C553F36"/>
    <w:rsid w:val="4C692926"/>
    <w:rsid w:val="4C8E7272"/>
    <w:rsid w:val="4CAC5739"/>
    <w:rsid w:val="4CB9657E"/>
    <w:rsid w:val="4CCC4254"/>
    <w:rsid w:val="4CCD14F5"/>
    <w:rsid w:val="4D2F3ED8"/>
    <w:rsid w:val="4D3C5E91"/>
    <w:rsid w:val="4D7D7304"/>
    <w:rsid w:val="4D805126"/>
    <w:rsid w:val="4D8B28EC"/>
    <w:rsid w:val="4DB26FA1"/>
    <w:rsid w:val="4DC041CF"/>
    <w:rsid w:val="4DC24EB1"/>
    <w:rsid w:val="4DD2125C"/>
    <w:rsid w:val="4E0956BC"/>
    <w:rsid w:val="4E0B7C31"/>
    <w:rsid w:val="4E4A3D40"/>
    <w:rsid w:val="4E9B35E5"/>
    <w:rsid w:val="4EA04453"/>
    <w:rsid w:val="4EC061AF"/>
    <w:rsid w:val="4F7853A1"/>
    <w:rsid w:val="4FCC15FF"/>
    <w:rsid w:val="4FE055FC"/>
    <w:rsid w:val="4FE535DF"/>
    <w:rsid w:val="5024289C"/>
    <w:rsid w:val="5026383C"/>
    <w:rsid w:val="502A2417"/>
    <w:rsid w:val="506F6B94"/>
    <w:rsid w:val="507927A2"/>
    <w:rsid w:val="50B63DD2"/>
    <w:rsid w:val="50BA160C"/>
    <w:rsid w:val="50C548C3"/>
    <w:rsid w:val="50E56B12"/>
    <w:rsid w:val="50E905B7"/>
    <w:rsid w:val="51265D83"/>
    <w:rsid w:val="512A290C"/>
    <w:rsid w:val="516E18FE"/>
    <w:rsid w:val="51824063"/>
    <w:rsid w:val="519F61D6"/>
    <w:rsid w:val="51D341A1"/>
    <w:rsid w:val="51E5072A"/>
    <w:rsid w:val="51EC0518"/>
    <w:rsid w:val="51F83BC1"/>
    <w:rsid w:val="51FD3CFA"/>
    <w:rsid w:val="52064896"/>
    <w:rsid w:val="52584692"/>
    <w:rsid w:val="526851F6"/>
    <w:rsid w:val="528800E1"/>
    <w:rsid w:val="52A7046C"/>
    <w:rsid w:val="52AA2826"/>
    <w:rsid w:val="52DE793E"/>
    <w:rsid w:val="53091D6B"/>
    <w:rsid w:val="531C2882"/>
    <w:rsid w:val="53553DC2"/>
    <w:rsid w:val="5359033C"/>
    <w:rsid w:val="536C413A"/>
    <w:rsid w:val="536C721C"/>
    <w:rsid w:val="53702858"/>
    <w:rsid w:val="53803A59"/>
    <w:rsid w:val="53AF51AD"/>
    <w:rsid w:val="53B37FDA"/>
    <w:rsid w:val="53B84F69"/>
    <w:rsid w:val="53BA19C2"/>
    <w:rsid w:val="53D72ACA"/>
    <w:rsid w:val="53EE0EFD"/>
    <w:rsid w:val="5442772A"/>
    <w:rsid w:val="54800D20"/>
    <w:rsid w:val="54A074F3"/>
    <w:rsid w:val="54A569B6"/>
    <w:rsid w:val="54E7786F"/>
    <w:rsid w:val="54EA3781"/>
    <w:rsid w:val="54ED376F"/>
    <w:rsid w:val="550828FB"/>
    <w:rsid w:val="551C082E"/>
    <w:rsid w:val="55265A7D"/>
    <w:rsid w:val="555E2492"/>
    <w:rsid w:val="5563066D"/>
    <w:rsid w:val="55B538C9"/>
    <w:rsid w:val="55B64691"/>
    <w:rsid w:val="55DC0515"/>
    <w:rsid w:val="56301D47"/>
    <w:rsid w:val="56C7337E"/>
    <w:rsid w:val="573E12A4"/>
    <w:rsid w:val="574A7A89"/>
    <w:rsid w:val="575F2360"/>
    <w:rsid w:val="57741C4F"/>
    <w:rsid w:val="577800C0"/>
    <w:rsid w:val="57B31820"/>
    <w:rsid w:val="58096A49"/>
    <w:rsid w:val="58731200"/>
    <w:rsid w:val="58880D76"/>
    <w:rsid w:val="58BB59C9"/>
    <w:rsid w:val="58D21A90"/>
    <w:rsid w:val="58F37B4A"/>
    <w:rsid w:val="58FA7293"/>
    <w:rsid w:val="59041A49"/>
    <w:rsid w:val="5971643F"/>
    <w:rsid w:val="59CE0975"/>
    <w:rsid w:val="5A30765B"/>
    <w:rsid w:val="5A6B671F"/>
    <w:rsid w:val="5A6F6323"/>
    <w:rsid w:val="5A772332"/>
    <w:rsid w:val="5A89132E"/>
    <w:rsid w:val="5A8A6DCB"/>
    <w:rsid w:val="5A8C7845"/>
    <w:rsid w:val="5A8E7FB9"/>
    <w:rsid w:val="5ACA1CC9"/>
    <w:rsid w:val="5AE85938"/>
    <w:rsid w:val="5B515E3D"/>
    <w:rsid w:val="5BA047C5"/>
    <w:rsid w:val="5BB56F7B"/>
    <w:rsid w:val="5BBB6552"/>
    <w:rsid w:val="5BE66175"/>
    <w:rsid w:val="5BF166BD"/>
    <w:rsid w:val="5C43431F"/>
    <w:rsid w:val="5C734186"/>
    <w:rsid w:val="5C7A41F8"/>
    <w:rsid w:val="5C953BCD"/>
    <w:rsid w:val="5CF674C5"/>
    <w:rsid w:val="5D430142"/>
    <w:rsid w:val="5D431207"/>
    <w:rsid w:val="5D5F5DF3"/>
    <w:rsid w:val="5D7D7AAD"/>
    <w:rsid w:val="5D9A150F"/>
    <w:rsid w:val="5DBE321D"/>
    <w:rsid w:val="5E391BAE"/>
    <w:rsid w:val="5E520847"/>
    <w:rsid w:val="5E8B4A81"/>
    <w:rsid w:val="5EA26944"/>
    <w:rsid w:val="5EA36F3C"/>
    <w:rsid w:val="5EF560ED"/>
    <w:rsid w:val="5F060BDF"/>
    <w:rsid w:val="5F304BF4"/>
    <w:rsid w:val="5F4A5A61"/>
    <w:rsid w:val="5FBE295E"/>
    <w:rsid w:val="5FC66BD7"/>
    <w:rsid w:val="605B6A2E"/>
    <w:rsid w:val="6076650D"/>
    <w:rsid w:val="60A928D3"/>
    <w:rsid w:val="60AF10EC"/>
    <w:rsid w:val="60FC2226"/>
    <w:rsid w:val="614E5803"/>
    <w:rsid w:val="61667B02"/>
    <w:rsid w:val="61A978C4"/>
    <w:rsid w:val="61CF66BD"/>
    <w:rsid w:val="61D55E11"/>
    <w:rsid w:val="61D832FF"/>
    <w:rsid w:val="61EA13DC"/>
    <w:rsid w:val="623468A3"/>
    <w:rsid w:val="62707F48"/>
    <w:rsid w:val="6286106C"/>
    <w:rsid w:val="629A2832"/>
    <w:rsid w:val="62C56307"/>
    <w:rsid w:val="630D00D6"/>
    <w:rsid w:val="63267CCF"/>
    <w:rsid w:val="633E0520"/>
    <w:rsid w:val="634F3D41"/>
    <w:rsid w:val="63815CF9"/>
    <w:rsid w:val="63A17164"/>
    <w:rsid w:val="63A40769"/>
    <w:rsid w:val="63B12604"/>
    <w:rsid w:val="63C97D42"/>
    <w:rsid w:val="63E34ECC"/>
    <w:rsid w:val="640C6A60"/>
    <w:rsid w:val="64832A3F"/>
    <w:rsid w:val="64E47800"/>
    <w:rsid w:val="64F03645"/>
    <w:rsid w:val="65212235"/>
    <w:rsid w:val="65480E96"/>
    <w:rsid w:val="656F7F54"/>
    <w:rsid w:val="657229B2"/>
    <w:rsid w:val="657459E4"/>
    <w:rsid w:val="658C233E"/>
    <w:rsid w:val="65CF759F"/>
    <w:rsid w:val="65D8101D"/>
    <w:rsid w:val="65E03346"/>
    <w:rsid w:val="65E8218C"/>
    <w:rsid w:val="65E84E17"/>
    <w:rsid w:val="66434A11"/>
    <w:rsid w:val="669037AE"/>
    <w:rsid w:val="669672DE"/>
    <w:rsid w:val="66A21E3A"/>
    <w:rsid w:val="66A45E20"/>
    <w:rsid w:val="67126AAD"/>
    <w:rsid w:val="671D078E"/>
    <w:rsid w:val="67661052"/>
    <w:rsid w:val="67C55A8E"/>
    <w:rsid w:val="67CB7C26"/>
    <w:rsid w:val="67F26135"/>
    <w:rsid w:val="68361E5E"/>
    <w:rsid w:val="68362CCE"/>
    <w:rsid w:val="68527809"/>
    <w:rsid w:val="68622876"/>
    <w:rsid w:val="68782ECC"/>
    <w:rsid w:val="689B2032"/>
    <w:rsid w:val="690B6961"/>
    <w:rsid w:val="693F10A2"/>
    <w:rsid w:val="695218D5"/>
    <w:rsid w:val="696D2228"/>
    <w:rsid w:val="696D4097"/>
    <w:rsid w:val="697473B7"/>
    <w:rsid w:val="6992158C"/>
    <w:rsid w:val="699A7329"/>
    <w:rsid w:val="69C328C6"/>
    <w:rsid w:val="69F47C99"/>
    <w:rsid w:val="6A09465D"/>
    <w:rsid w:val="6A0D6879"/>
    <w:rsid w:val="6A290C33"/>
    <w:rsid w:val="6A4B791D"/>
    <w:rsid w:val="6AA56795"/>
    <w:rsid w:val="6AAA6B68"/>
    <w:rsid w:val="6AEC0BB1"/>
    <w:rsid w:val="6B030C27"/>
    <w:rsid w:val="6B295089"/>
    <w:rsid w:val="6B346243"/>
    <w:rsid w:val="6B652321"/>
    <w:rsid w:val="6BAD670F"/>
    <w:rsid w:val="6BBE2B74"/>
    <w:rsid w:val="6C05735B"/>
    <w:rsid w:val="6C8C08A1"/>
    <w:rsid w:val="6CB40CA7"/>
    <w:rsid w:val="6CFA0F76"/>
    <w:rsid w:val="6D0D5BED"/>
    <w:rsid w:val="6D291192"/>
    <w:rsid w:val="6D4822C5"/>
    <w:rsid w:val="6D56081F"/>
    <w:rsid w:val="6D6B7A3E"/>
    <w:rsid w:val="6D6D3DA6"/>
    <w:rsid w:val="6D7F0B7A"/>
    <w:rsid w:val="6D8E58F0"/>
    <w:rsid w:val="6DB178BA"/>
    <w:rsid w:val="6DD45363"/>
    <w:rsid w:val="6DD80982"/>
    <w:rsid w:val="6E08089A"/>
    <w:rsid w:val="6E166336"/>
    <w:rsid w:val="6E4F283B"/>
    <w:rsid w:val="6E606037"/>
    <w:rsid w:val="6EDB3D65"/>
    <w:rsid w:val="6F16216E"/>
    <w:rsid w:val="6F3A01D0"/>
    <w:rsid w:val="6F603CA9"/>
    <w:rsid w:val="6F703B6C"/>
    <w:rsid w:val="6F9636A7"/>
    <w:rsid w:val="700E447F"/>
    <w:rsid w:val="702323A3"/>
    <w:rsid w:val="702E7C21"/>
    <w:rsid w:val="70323AB5"/>
    <w:rsid w:val="70B71A65"/>
    <w:rsid w:val="70C00A22"/>
    <w:rsid w:val="70D73CFC"/>
    <w:rsid w:val="70F076DF"/>
    <w:rsid w:val="71124563"/>
    <w:rsid w:val="71256A4C"/>
    <w:rsid w:val="71481559"/>
    <w:rsid w:val="719C231D"/>
    <w:rsid w:val="71CD39D3"/>
    <w:rsid w:val="71CF5DCD"/>
    <w:rsid w:val="7207024E"/>
    <w:rsid w:val="72593476"/>
    <w:rsid w:val="726C6E5D"/>
    <w:rsid w:val="73120080"/>
    <w:rsid w:val="73EF7322"/>
    <w:rsid w:val="73FD3877"/>
    <w:rsid w:val="74041439"/>
    <w:rsid w:val="74047396"/>
    <w:rsid w:val="74112DAF"/>
    <w:rsid w:val="747855EE"/>
    <w:rsid w:val="74876BE8"/>
    <w:rsid w:val="748C1A26"/>
    <w:rsid w:val="74911BE4"/>
    <w:rsid w:val="74C90ADA"/>
    <w:rsid w:val="74F10F78"/>
    <w:rsid w:val="75157C37"/>
    <w:rsid w:val="75710B04"/>
    <w:rsid w:val="75D70262"/>
    <w:rsid w:val="75FB27C7"/>
    <w:rsid w:val="7645525D"/>
    <w:rsid w:val="764E2A65"/>
    <w:rsid w:val="766E6A68"/>
    <w:rsid w:val="766E6D77"/>
    <w:rsid w:val="766F3DA0"/>
    <w:rsid w:val="769A17EC"/>
    <w:rsid w:val="769C34AA"/>
    <w:rsid w:val="76C659F8"/>
    <w:rsid w:val="76F82369"/>
    <w:rsid w:val="7707298A"/>
    <w:rsid w:val="770747F9"/>
    <w:rsid w:val="77784C20"/>
    <w:rsid w:val="777E2BA7"/>
    <w:rsid w:val="77BF3017"/>
    <w:rsid w:val="77EF630B"/>
    <w:rsid w:val="780C3966"/>
    <w:rsid w:val="787E0CFB"/>
    <w:rsid w:val="78EC06E7"/>
    <w:rsid w:val="78FE1F1F"/>
    <w:rsid w:val="79366346"/>
    <w:rsid w:val="79380948"/>
    <w:rsid w:val="795158ED"/>
    <w:rsid w:val="79540CF8"/>
    <w:rsid w:val="79677549"/>
    <w:rsid w:val="79D653E0"/>
    <w:rsid w:val="7A320489"/>
    <w:rsid w:val="7A42074B"/>
    <w:rsid w:val="7A8C54B0"/>
    <w:rsid w:val="7A8F3748"/>
    <w:rsid w:val="7A9D50C1"/>
    <w:rsid w:val="7AA40E74"/>
    <w:rsid w:val="7ACC5CEF"/>
    <w:rsid w:val="7ACD237D"/>
    <w:rsid w:val="7AD14F02"/>
    <w:rsid w:val="7B151DDB"/>
    <w:rsid w:val="7B811C55"/>
    <w:rsid w:val="7BAE08D6"/>
    <w:rsid w:val="7BAE0AEB"/>
    <w:rsid w:val="7C023708"/>
    <w:rsid w:val="7C4957C5"/>
    <w:rsid w:val="7C6A5C59"/>
    <w:rsid w:val="7C7954E2"/>
    <w:rsid w:val="7C8B2A69"/>
    <w:rsid w:val="7C9E462D"/>
    <w:rsid w:val="7CA217E8"/>
    <w:rsid w:val="7CC9106D"/>
    <w:rsid w:val="7D370AD3"/>
    <w:rsid w:val="7D4260FA"/>
    <w:rsid w:val="7D5817E6"/>
    <w:rsid w:val="7D840502"/>
    <w:rsid w:val="7D890306"/>
    <w:rsid w:val="7D8E3D76"/>
    <w:rsid w:val="7DBF46D1"/>
    <w:rsid w:val="7DD62D83"/>
    <w:rsid w:val="7DE04270"/>
    <w:rsid w:val="7DEB4668"/>
    <w:rsid w:val="7E064976"/>
    <w:rsid w:val="7E0E041C"/>
    <w:rsid w:val="7E7775A9"/>
    <w:rsid w:val="7E881600"/>
    <w:rsid w:val="7E9F58CF"/>
    <w:rsid w:val="7EC15CA3"/>
    <w:rsid w:val="7ED73549"/>
    <w:rsid w:val="7EE8217F"/>
    <w:rsid w:val="7EFB4172"/>
    <w:rsid w:val="7EFE29DF"/>
    <w:rsid w:val="7F070A9F"/>
    <w:rsid w:val="7F4974F7"/>
    <w:rsid w:val="7F6637D2"/>
    <w:rsid w:val="7F967D36"/>
    <w:rsid w:val="7F9F299E"/>
    <w:rsid w:val="7FC11EE8"/>
    <w:rsid w:val="7FC16F0E"/>
    <w:rsid w:val="7FC25C8F"/>
    <w:rsid w:val="7FC348FA"/>
    <w:rsid w:val="7FCF34C2"/>
    <w:rsid w:val="7FD654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exact"/>
    </w:pPr>
    <w:rPr>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8">
    <w:name w:val="Plain Text"/>
    <w:basedOn w:val="1"/>
    <w:qFormat/>
    <w:uiPriority w:val="0"/>
    <w:rPr>
      <w:rFonts w:ascii="宋体" w:hAnsi="Courier New"/>
      <w:szCs w:val="20"/>
    </w:rPr>
  </w:style>
  <w:style w:type="paragraph" w:styleId="9">
    <w:name w:val="Balloon Text"/>
    <w:basedOn w:val="1"/>
    <w:link w:val="29"/>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jc w:val="left"/>
    </w:pPr>
    <w:rPr>
      <w:rFonts w:ascii="Calibri" w:hAnsi="Calibri"/>
      <w:b/>
      <w:bCs/>
      <w:caps/>
      <w:sz w:val="20"/>
      <w:szCs w:val="20"/>
    </w:rPr>
  </w:style>
  <w:style w:type="paragraph" w:styleId="13">
    <w:name w:val="toc 2"/>
    <w:basedOn w:val="1"/>
    <w:next w:val="1"/>
    <w:qFormat/>
    <w:uiPriority w:val="0"/>
    <w:pPr>
      <w:ind w:left="420" w:leftChars="200"/>
    </w:pPr>
  </w:style>
  <w:style w:type="paragraph" w:styleId="14">
    <w:name w:val="HTML Preformatted"/>
    <w:basedOn w:val="1"/>
    <w:semiHidden/>
    <w:unhideWhenUsed/>
    <w:qFormat/>
    <w:uiPriority w:val="99"/>
    <w:rPr>
      <w:rFonts w:ascii="Courier New" w:hAnsi="Courier New" w:cs="Courier New"/>
      <w:sz w:val="20"/>
      <w:szCs w:val="20"/>
    </w:rPr>
  </w:style>
  <w:style w:type="paragraph" w:styleId="15">
    <w:name w:val="Normal (Web)"/>
    <w:basedOn w:val="1"/>
    <w:qFormat/>
    <w:uiPriority w:val="0"/>
    <w:pPr>
      <w:widowControl/>
      <w:spacing w:before="100" w:beforeAutospacing="1" w:after="119"/>
      <w:jc w:val="left"/>
    </w:pPr>
    <w:rPr>
      <w:rFonts w:ascii="宋体" w:hAnsi="宋体" w:cs="宋体"/>
      <w:sz w:val="24"/>
    </w:rPr>
  </w:style>
  <w:style w:type="paragraph" w:styleId="16">
    <w:name w:val="Title"/>
    <w:basedOn w:val="1"/>
    <w:next w:val="1"/>
    <w:qFormat/>
    <w:uiPriority w:val="0"/>
    <w:pPr>
      <w:spacing w:before="240" w:after="60"/>
      <w:jc w:val="center"/>
      <w:outlineLvl w:val="0"/>
    </w:pPr>
    <w:rPr>
      <w:rFonts w:ascii="Cambria" w:hAnsi="Cambria"/>
      <w:b/>
      <w:bCs/>
      <w:sz w:val="36"/>
      <w:szCs w:val="32"/>
    </w:rPr>
  </w:style>
  <w:style w:type="paragraph" w:styleId="17">
    <w:name w:val="Body Text First Indent 2"/>
    <w:basedOn w:val="6"/>
    <w:unhideWhenUsed/>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style>
  <w:style w:type="character" w:styleId="22">
    <w:name w:val="page number"/>
    <w:basedOn w:val="20"/>
    <w:qFormat/>
    <w:uiPriority w:val="0"/>
  </w:style>
  <w:style w:type="character" w:styleId="23">
    <w:name w:val="Hyperlink"/>
    <w:qFormat/>
    <w:uiPriority w:val="0"/>
    <w:rPr>
      <w:color w:val="000099"/>
      <w:u w:val="none"/>
    </w:rPr>
  </w:style>
  <w:style w:type="paragraph" w:customStyle="1" w:styleId="24">
    <w:name w:val="一级条标题"/>
    <w:basedOn w:val="25"/>
    <w:next w:val="26"/>
    <w:qFormat/>
    <w:uiPriority w:val="0"/>
    <w:pPr>
      <w:spacing w:line="240" w:lineRule="auto"/>
      <w:ind w:left="420"/>
      <w:outlineLvl w:val="2"/>
    </w:pPr>
  </w:style>
  <w:style w:type="paragraph" w:customStyle="1" w:styleId="2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列出段落1"/>
    <w:basedOn w:val="1"/>
    <w:qFormat/>
    <w:uiPriority w:val="34"/>
    <w:pPr>
      <w:ind w:firstLine="420"/>
    </w:pPr>
    <w:rPr>
      <w:rFonts w:ascii="Calibri" w:hAnsi="Calibri"/>
    </w:rPr>
  </w:style>
  <w:style w:type="character" w:customStyle="1" w:styleId="29">
    <w:name w:val="批注框文本 Char"/>
    <w:basedOn w:val="20"/>
    <w:link w:val="9"/>
    <w:qFormat/>
    <w:uiPriority w:val="0"/>
    <w:rPr>
      <w:sz w:val="18"/>
      <w:szCs w:val="18"/>
    </w:rPr>
  </w:style>
  <w:style w:type="character" w:customStyle="1" w:styleId="30">
    <w:name w:val="font41"/>
    <w:basedOn w:val="20"/>
    <w:qFormat/>
    <w:uiPriority w:val="0"/>
    <w:rPr>
      <w:rFonts w:hint="default" w:ascii="Tahoma" w:hAnsi="Tahoma" w:eastAsia="Tahoma" w:cs="Tahoma"/>
      <w:color w:val="000000"/>
      <w:sz w:val="18"/>
      <w:szCs w:val="18"/>
      <w:u w:val="none"/>
    </w:rPr>
  </w:style>
  <w:style w:type="character" w:customStyle="1" w:styleId="31">
    <w:name w:val="font11"/>
    <w:basedOn w:val="20"/>
    <w:qFormat/>
    <w:uiPriority w:val="0"/>
    <w:rPr>
      <w:rFonts w:hint="eastAsia" w:ascii="宋体" w:hAnsi="宋体" w:eastAsia="宋体" w:cs="宋体"/>
      <w:color w:val="000000"/>
      <w:sz w:val="24"/>
      <w:szCs w:val="24"/>
      <w:u w:val="none"/>
      <w:vertAlign w:val="subscript"/>
    </w:rPr>
  </w:style>
  <w:style w:type="character" w:customStyle="1" w:styleId="32">
    <w:name w:val="int_huang_12_b1"/>
    <w:qFormat/>
    <w:uiPriority w:val="0"/>
    <w:rPr>
      <w:rFonts w:hint="default" w:ascii="Verdana" w:hAnsi="Verdana"/>
      <w:b/>
      <w:bCs/>
      <w:color w:val="EECC77"/>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25442</Words>
  <Characters>3868</Characters>
  <Lines>32</Lines>
  <Paragraphs>58</Paragraphs>
  <TotalTime>14</TotalTime>
  <ScaleCrop>false</ScaleCrop>
  <LinksUpToDate>false</LinksUpToDate>
  <CharactersWithSpaces>29252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雯曦</cp:lastModifiedBy>
  <cp:lastPrinted>2020-08-31T02:29:00Z</cp:lastPrinted>
  <dcterms:modified xsi:type="dcterms:W3CDTF">2020-10-26T11:27:14Z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