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color w:val="auto"/>
          <w:kern w:val="0"/>
          <w:sz w:val="84"/>
          <w:szCs w:val="84"/>
          <w:highlight w:val="none"/>
          <w:u w:val="none"/>
          <w:lang w:val="zh-CN"/>
        </w:rPr>
      </w:pPr>
      <w:r>
        <w:rPr>
          <w:rFonts w:ascii="宋体" w:hAnsi="宋体" w:cs="宋体"/>
          <w:b/>
          <w:bCs/>
          <w:color w:val="auto"/>
          <w:kern w:val="0"/>
          <w:sz w:val="84"/>
          <w:szCs w:val="84"/>
          <w:highlight w:val="none"/>
          <w:u w:val="none"/>
        </w:rPr>
        <w:t xml:space="preserve"> </w:t>
      </w:r>
    </w:p>
    <w:p>
      <w:pPr>
        <w:autoSpaceDE w:val="0"/>
        <w:autoSpaceDN w:val="0"/>
        <w:adjustRightInd w:val="0"/>
        <w:spacing w:line="360" w:lineRule="auto"/>
        <w:ind w:firstLine="1687" w:firstLineChars="200"/>
        <w:rPr>
          <w:rFonts w:ascii="宋体" w:cs="宋体"/>
          <w:b/>
          <w:bCs/>
          <w:color w:val="auto"/>
          <w:kern w:val="0"/>
          <w:sz w:val="84"/>
          <w:szCs w:val="84"/>
          <w:highlight w:val="none"/>
          <w:u w:val="none"/>
        </w:rPr>
      </w:pPr>
      <w:r>
        <w:rPr>
          <w:rFonts w:hint="eastAsia" w:ascii="宋体" w:hAnsi="宋体" w:cs="宋体"/>
          <w:b/>
          <w:bCs/>
          <w:color w:val="auto"/>
          <w:kern w:val="0"/>
          <w:sz w:val="84"/>
          <w:szCs w:val="84"/>
          <w:highlight w:val="none"/>
          <w:u w:val="none"/>
          <w:lang w:val="zh-CN"/>
        </w:rPr>
        <w:t>公开招标文件</w:t>
      </w:r>
    </w:p>
    <w:p>
      <w:pPr>
        <w:autoSpaceDE w:val="0"/>
        <w:autoSpaceDN w:val="0"/>
        <w:adjustRightInd w:val="0"/>
        <w:spacing w:line="360" w:lineRule="auto"/>
        <w:jc w:val="left"/>
        <w:rPr>
          <w:rFonts w:ascii="宋体" w:cs="宋体"/>
          <w:color w:val="auto"/>
          <w:kern w:val="0"/>
          <w:sz w:val="36"/>
          <w:szCs w:val="36"/>
          <w:highlight w:val="none"/>
          <w:u w:val="none"/>
        </w:rPr>
      </w:pPr>
    </w:p>
    <w:p>
      <w:pPr>
        <w:pStyle w:val="30"/>
        <w:ind w:firstLine="210"/>
        <w:rPr>
          <w:color w:val="auto"/>
          <w:highlight w:val="none"/>
          <w:u w:val="none"/>
        </w:rPr>
      </w:pPr>
    </w:p>
    <w:p>
      <w:pPr>
        <w:autoSpaceDE w:val="0"/>
        <w:autoSpaceDN w:val="0"/>
        <w:adjustRightInd w:val="0"/>
        <w:spacing w:line="360" w:lineRule="auto"/>
        <w:jc w:val="left"/>
        <w:rPr>
          <w:rFonts w:ascii="宋体" w:cs="宋体"/>
          <w:color w:val="auto"/>
          <w:kern w:val="0"/>
          <w:sz w:val="36"/>
          <w:szCs w:val="36"/>
          <w:highlight w:val="none"/>
          <w:u w:val="none"/>
        </w:rPr>
      </w:pPr>
    </w:p>
    <w:p>
      <w:pPr>
        <w:autoSpaceDE w:val="0"/>
        <w:autoSpaceDN w:val="0"/>
        <w:adjustRightInd w:val="0"/>
        <w:spacing w:line="360" w:lineRule="auto"/>
        <w:jc w:val="left"/>
        <w:rPr>
          <w:rFonts w:ascii="宋体" w:cs="宋体"/>
          <w:color w:val="auto"/>
          <w:kern w:val="0"/>
          <w:sz w:val="36"/>
          <w:szCs w:val="36"/>
          <w:highlight w:val="none"/>
          <w:u w:val="none"/>
        </w:rPr>
      </w:pP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u w:val="none"/>
          <w:lang w:val="zh-CN"/>
        </w:rPr>
      </w:pPr>
      <w:r>
        <w:rPr>
          <w:rFonts w:hint="eastAsia" w:ascii="宋体" w:hAnsi="宋体" w:cs="宋体"/>
          <w:b/>
          <w:bCs/>
          <w:color w:val="auto"/>
          <w:kern w:val="0"/>
          <w:sz w:val="36"/>
          <w:szCs w:val="36"/>
          <w:highlight w:val="none"/>
          <w:u w:val="none"/>
          <w:lang w:val="zh-CN"/>
        </w:rPr>
        <w:t>采购项目编号：青海睿澳公招（货物）2021-028号</w:t>
      </w:r>
    </w:p>
    <w:p>
      <w:pPr>
        <w:autoSpaceDE w:val="0"/>
        <w:autoSpaceDN w:val="0"/>
        <w:adjustRightInd w:val="0"/>
        <w:spacing w:line="360" w:lineRule="auto"/>
        <w:ind w:left="-461" w:leftChars="-192" w:right="-876" w:rightChars="-365" w:firstLine="220" w:firstLineChars="61"/>
        <w:jc w:val="left"/>
        <w:rPr>
          <w:rFonts w:hint="eastAsia" w:ascii="宋体" w:hAnsi="宋体" w:cs="宋体"/>
          <w:b/>
          <w:bCs/>
          <w:color w:val="auto"/>
          <w:kern w:val="0"/>
          <w:sz w:val="36"/>
          <w:szCs w:val="36"/>
          <w:highlight w:val="none"/>
          <w:u w:val="none"/>
          <w:lang w:val="zh-CN"/>
        </w:rPr>
      </w:pPr>
      <w:r>
        <w:rPr>
          <w:rFonts w:hint="eastAsia" w:ascii="宋体" w:hAnsi="宋体" w:cs="宋体"/>
          <w:b/>
          <w:bCs/>
          <w:color w:val="auto"/>
          <w:kern w:val="0"/>
          <w:sz w:val="36"/>
          <w:szCs w:val="36"/>
          <w:highlight w:val="none"/>
          <w:u w:val="none"/>
          <w:lang w:val="zh-CN"/>
        </w:rPr>
        <w:t>采购项目名称：青海省司法行政系统应急指挥中心</w:t>
      </w:r>
    </w:p>
    <w:p>
      <w:pPr>
        <w:autoSpaceDE w:val="0"/>
        <w:autoSpaceDN w:val="0"/>
        <w:adjustRightInd w:val="0"/>
        <w:spacing w:line="360" w:lineRule="auto"/>
        <w:ind w:left="-461" w:leftChars="-192" w:right="-876" w:rightChars="-365" w:firstLine="2743" w:firstLineChars="759"/>
        <w:jc w:val="left"/>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三级联建项目</w:t>
      </w:r>
      <w:r>
        <w:rPr>
          <w:rFonts w:ascii="宋体" w:hAnsi="宋体" w:cs="宋体"/>
          <w:b/>
          <w:bCs/>
          <w:color w:val="auto"/>
          <w:kern w:val="0"/>
          <w:sz w:val="36"/>
          <w:szCs w:val="36"/>
          <w:highlight w:val="none"/>
          <w:u w:val="none"/>
        </w:rPr>
        <w:t xml:space="preserve">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u w:val="none"/>
          <w:lang w:val="zh-CN"/>
        </w:rPr>
      </w:pPr>
      <w:r>
        <w:rPr>
          <w:rFonts w:hint="eastAsia" w:ascii="宋体" w:hAnsi="宋体" w:cs="宋体"/>
          <w:b/>
          <w:bCs/>
          <w:color w:val="auto"/>
          <w:kern w:val="0"/>
          <w:sz w:val="36"/>
          <w:szCs w:val="36"/>
          <w:highlight w:val="none"/>
          <w:u w:val="none"/>
          <w:lang w:val="zh-CN"/>
        </w:rPr>
        <w:t>采</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购</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 xml:space="preserve">人：青海省司法厅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u w:val="none"/>
        </w:rPr>
      </w:pPr>
      <w:r>
        <w:rPr>
          <w:rFonts w:hint="eastAsia" w:ascii="宋体" w:hAnsi="宋体" w:cs="宋体"/>
          <w:b/>
          <w:bCs/>
          <w:color w:val="auto"/>
          <w:kern w:val="0"/>
          <w:sz w:val="36"/>
          <w:szCs w:val="36"/>
          <w:highlight w:val="none"/>
          <w:u w:val="none"/>
        </w:rPr>
        <w:t xml:space="preserve">                                                  </w:t>
      </w: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u w:val="none"/>
          <w:lang w:val="zh-CN"/>
        </w:rPr>
      </w:pPr>
    </w:p>
    <w:p>
      <w:pPr>
        <w:pStyle w:val="30"/>
        <w:ind w:firstLine="361"/>
        <w:rPr>
          <w:rFonts w:ascii="宋体" w:hAnsi="宋体" w:cs="宋体"/>
          <w:b/>
          <w:bCs/>
          <w:color w:val="auto"/>
          <w:kern w:val="0"/>
          <w:sz w:val="36"/>
          <w:szCs w:val="36"/>
          <w:highlight w:val="none"/>
          <w:u w:val="none"/>
          <w:lang w:val="zh-CN"/>
        </w:rPr>
      </w:pPr>
    </w:p>
    <w:p>
      <w:pPr>
        <w:pStyle w:val="30"/>
        <w:ind w:firstLine="361"/>
        <w:rPr>
          <w:rFonts w:ascii="宋体" w:hAnsi="宋体" w:cs="宋体"/>
          <w:b/>
          <w:bCs/>
          <w:color w:val="auto"/>
          <w:kern w:val="0"/>
          <w:sz w:val="36"/>
          <w:szCs w:val="36"/>
          <w:highlight w:val="none"/>
          <w:u w:val="none"/>
          <w:lang w:val="zh-CN"/>
        </w:rPr>
      </w:pPr>
    </w:p>
    <w:p>
      <w:pPr>
        <w:autoSpaceDE w:val="0"/>
        <w:autoSpaceDN w:val="0"/>
        <w:adjustRightInd w:val="0"/>
        <w:spacing w:line="360" w:lineRule="auto"/>
        <w:ind w:left="-461" w:leftChars="-192" w:right="-876" w:rightChars="-365" w:firstLine="220" w:firstLineChars="61"/>
        <w:jc w:val="left"/>
        <w:rPr>
          <w:rFonts w:ascii="宋体" w:hAnsi="宋体" w:cs="宋体"/>
          <w:b/>
          <w:bCs/>
          <w:color w:val="auto"/>
          <w:kern w:val="0"/>
          <w:sz w:val="36"/>
          <w:szCs w:val="36"/>
          <w:highlight w:val="none"/>
          <w:u w:val="none"/>
          <w:lang w:val="zh-CN"/>
        </w:rPr>
      </w:pPr>
    </w:p>
    <w:p>
      <w:pPr>
        <w:autoSpaceDE w:val="0"/>
        <w:autoSpaceDN w:val="0"/>
        <w:adjustRightInd w:val="0"/>
        <w:spacing w:line="360" w:lineRule="auto"/>
        <w:ind w:left="-461" w:leftChars="-192" w:right="-876" w:rightChars="-365" w:firstLine="220" w:firstLineChars="61"/>
        <w:jc w:val="center"/>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采购代理机构：</w:t>
      </w:r>
      <w:r>
        <w:rPr>
          <w:rFonts w:hint="eastAsia" w:ascii="宋体" w:hAnsi="宋体" w:cs="宋体"/>
          <w:b/>
          <w:bCs/>
          <w:color w:val="auto"/>
          <w:kern w:val="0"/>
          <w:sz w:val="36"/>
          <w:szCs w:val="36"/>
          <w:highlight w:val="none"/>
          <w:u w:val="none"/>
        </w:rPr>
        <w:t>青海睿澳工程项目管理有限公司</w:t>
      </w:r>
    </w:p>
    <w:p>
      <w:pPr>
        <w:autoSpaceDE w:val="0"/>
        <w:autoSpaceDN w:val="0"/>
        <w:adjustRightInd w:val="0"/>
        <w:spacing w:line="360" w:lineRule="auto"/>
        <w:jc w:val="center"/>
        <w:rPr>
          <w:rFonts w:ascii="宋体" w:hAnsi="宋体" w:cs="宋体"/>
          <w:b/>
          <w:color w:val="auto"/>
          <w:sz w:val="40"/>
          <w:szCs w:val="30"/>
          <w:highlight w:val="none"/>
          <w:u w:val="none"/>
        </w:rPr>
        <w:sectPr>
          <w:headerReference r:id="rId3" w:type="default"/>
          <w:footerReference r:id="rId4" w:type="default"/>
          <w:footerReference r:id="rId5" w:type="even"/>
          <w:pgSz w:w="11849" w:h="16781"/>
          <w:pgMar w:top="1440" w:right="1803" w:bottom="1440" w:left="1803" w:header="850" w:footer="992" w:gutter="0"/>
          <w:pgNumType w:start="1"/>
          <w:cols w:space="0" w:num="1"/>
          <w:docGrid w:linePitch="397" w:charSpace="0"/>
        </w:sectPr>
      </w:pPr>
      <w:r>
        <w:rPr>
          <w:rFonts w:ascii="宋体" w:hAnsi="宋体" w:cs="宋体"/>
          <w:b/>
          <w:bCs/>
          <w:color w:val="auto"/>
          <w:kern w:val="0"/>
          <w:sz w:val="36"/>
          <w:szCs w:val="36"/>
          <w:highlight w:val="none"/>
          <w:u w:val="none"/>
          <w:lang w:val="zh-CN"/>
        </w:rPr>
        <w:t>20</w:t>
      </w:r>
      <w:r>
        <w:rPr>
          <w:rFonts w:hint="eastAsia" w:ascii="宋体" w:hAnsi="宋体" w:cs="宋体"/>
          <w:b/>
          <w:bCs/>
          <w:color w:val="auto"/>
          <w:kern w:val="0"/>
          <w:sz w:val="36"/>
          <w:szCs w:val="36"/>
          <w:highlight w:val="none"/>
          <w:u w:val="none"/>
        </w:rPr>
        <w:t>21</w:t>
      </w:r>
      <w:r>
        <w:rPr>
          <w:rFonts w:hint="eastAsia" w:ascii="宋体" w:hAnsi="宋体" w:cs="宋体"/>
          <w:b/>
          <w:bCs/>
          <w:color w:val="auto"/>
          <w:kern w:val="0"/>
          <w:sz w:val="36"/>
          <w:szCs w:val="36"/>
          <w:highlight w:val="none"/>
          <w:u w:val="none"/>
          <w:lang w:val="zh-CN"/>
        </w:rPr>
        <w:t>年</w:t>
      </w:r>
      <w:r>
        <w:rPr>
          <w:rFonts w:hint="eastAsia" w:ascii="宋体" w:hAnsi="宋体" w:cs="宋体"/>
          <w:b/>
          <w:bCs/>
          <w:color w:val="auto"/>
          <w:kern w:val="0"/>
          <w:sz w:val="36"/>
          <w:szCs w:val="36"/>
          <w:highlight w:val="none"/>
          <w:u w:val="none"/>
        </w:rPr>
        <w:t>0</w:t>
      </w:r>
      <w:r>
        <w:rPr>
          <w:rFonts w:hint="eastAsia" w:ascii="宋体" w:hAnsi="宋体" w:cs="宋体"/>
          <w:b/>
          <w:bCs/>
          <w:color w:val="auto"/>
          <w:kern w:val="0"/>
          <w:sz w:val="36"/>
          <w:szCs w:val="36"/>
          <w:highlight w:val="none"/>
          <w:u w:val="none"/>
          <w:lang w:val="en-US" w:eastAsia="zh-CN"/>
        </w:rPr>
        <w:t>7</w:t>
      </w:r>
      <w:r>
        <w:rPr>
          <w:rFonts w:hint="eastAsia" w:ascii="宋体" w:hAnsi="宋体" w:cs="宋体"/>
          <w:b/>
          <w:bCs/>
          <w:color w:val="auto"/>
          <w:kern w:val="0"/>
          <w:sz w:val="36"/>
          <w:szCs w:val="36"/>
          <w:highlight w:val="none"/>
          <w:u w:val="none"/>
          <w:lang w:val="zh-CN"/>
        </w:rPr>
        <w:t>月</w:t>
      </w:r>
    </w:p>
    <w:p>
      <w:pPr>
        <w:autoSpaceDE w:val="0"/>
        <w:autoSpaceDN w:val="0"/>
        <w:adjustRightInd w:val="0"/>
        <w:spacing w:line="360" w:lineRule="auto"/>
        <w:jc w:val="center"/>
        <w:rPr>
          <w:rFonts w:ascii="宋体" w:cs="宋体"/>
          <w:b/>
          <w:color w:val="auto"/>
          <w:sz w:val="40"/>
          <w:szCs w:val="30"/>
          <w:highlight w:val="none"/>
          <w:u w:val="none"/>
        </w:rPr>
      </w:pPr>
      <w:r>
        <w:rPr>
          <w:rFonts w:hint="eastAsia" w:ascii="宋体" w:hAnsi="宋体" w:cs="宋体"/>
          <w:b/>
          <w:color w:val="auto"/>
          <w:sz w:val="40"/>
          <w:szCs w:val="30"/>
          <w:highlight w:val="none"/>
          <w:u w:val="none"/>
        </w:rPr>
        <w:t>目</w:t>
      </w:r>
      <w:r>
        <w:rPr>
          <w:rFonts w:ascii="宋体" w:hAnsi="宋体" w:cs="宋体"/>
          <w:b/>
          <w:color w:val="auto"/>
          <w:sz w:val="40"/>
          <w:szCs w:val="30"/>
          <w:highlight w:val="none"/>
          <w:u w:val="none"/>
        </w:rPr>
        <w:t xml:space="preserve">  </w:t>
      </w:r>
      <w:r>
        <w:rPr>
          <w:rFonts w:hint="eastAsia" w:ascii="宋体" w:hAnsi="宋体" w:cs="宋体"/>
          <w:b/>
          <w:color w:val="auto"/>
          <w:sz w:val="40"/>
          <w:szCs w:val="30"/>
          <w:highlight w:val="none"/>
          <w:u w:val="none"/>
        </w:rPr>
        <w:t>录</w:t>
      </w:r>
    </w:p>
    <w:p>
      <w:pPr>
        <w:pStyle w:val="23"/>
        <w:tabs>
          <w:tab w:val="right" w:leader="dot" w:pos="8243"/>
        </w:tabs>
        <w:rPr>
          <w:color w:val="auto"/>
          <w:highlight w:val="none"/>
        </w:rPr>
      </w:pPr>
      <w:r>
        <w:rPr>
          <w:rStyle w:val="42"/>
          <w:rFonts w:cs="宋体"/>
          <w:color w:val="auto"/>
          <w:sz w:val="21"/>
          <w:highlight w:val="none"/>
          <w:u w:val="none"/>
        </w:rPr>
        <w:fldChar w:fldCharType="begin"/>
      </w:r>
      <w:r>
        <w:rPr>
          <w:rStyle w:val="42"/>
          <w:rFonts w:ascii="宋体" w:hAnsi="宋体" w:cs="宋体"/>
          <w:color w:val="auto"/>
          <w:kern w:val="0"/>
          <w:sz w:val="21"/>
          <w:szCs w:val="21"/>
          <w:highlight w:val="none"/>
          <w:u w:val="none"/>
        </w:rPr>
        <w:instrText xml:space="preserve"> TOC \o "3-3" \h \z \t "</w:instrText>
      </w:r>
      <w:r>
        <w:rPr>
          <w:rStyle w:val="42"/>
          <w:rFonts w:hint="eastAsia" w:ascii="宋体" w:hAnsi="宋体" w:cs="宋体"/>
          <w:color w:val="auto"/>
          <w:kern w:val="0"/>
          <w:sz w:val="21"/>
          <w:szCs w:val="21"/>
          <w:highlight w:val="none"/>
          <w:u w:val="none"/>
        </w:rPr>
        <w:instrText xml:space="preserve">标题</w:instrText>
      </w:r>
      <w:r>
        <w:rPr>
          <w:rStyle w:val="42"/>
          <w:rFonts w:ascii="宋体" w:hAnsi="宋体" w:cs="宋体"/>
          <w:color w:val="auto"/>
          <w:kern w:val="0"/>
          <w:sz w:val="21"/>
          <w:szCs w:val="21"/>
          <w:highlight w:val="none"/>
          <w:u w:val="none"/>
        </w:rPr>
        <w:instrText xml:space="preserve"> 1,2,</w:instrText>
      </w:r>
      <w:r>
        <w:rPr>
          <w:rStyle w:val="42"/>
          <w:rFonts w:hint="eastAsia" w:ascii="宋体" w:hAnsi="宋体" w:cs="宋体"/>
          <w:color w:val="auto"/>
          <w:kern w:val="0"/>
          <w:sz w:val="21"/>
          <w:szCs w:val="21"/>
          <w:highlight w:val="none"/>
          <w:u w:val="none"/>
        </w:rPr>
        <w:instrText xml:space="preserve">标题</w:instrText>
      </w:r>
      <w:r>
        <w:rPr>
          <w:rStyle w:val="42"/>
          <w:rFonts w:ascii="宋体" w:hAnsi="宋体" w:cs="宋体"/>
          <w:color w:val="auto"/>
          <w:kern w:val="0"/>
          <w:sz w:val="21"/>
          <w:szCs w:val="21"/>
          <w:highlight w:val="none"/>
          <w:u w:val="none"/>
        </w:rPr>
        <w:instrText xml:space="preserve"> 2,3,</w:instrText>
      </w:r>
      <w:r>
        <w:rPr>
          <w:rStyle w:val="42"/>
          <w:rFonts w:hint="eastAsia" w:ascii="宋体" w:hAnsi="宋体" w:cs="宋体"/>
          <w:color w:val="auto"/>
          <w:kern w:val="0"/>
          <w:sz w:val="21"/>
          <w:szCs w:val="21"/>
          <w:highlight w:val="none"/>
          <w:u w:val="none"/>
        </w:rPr>
        <w:instrText xml:space="preserve">标题</w:instrText>
      </w:r>
      <w:r>
        <w:rPr>
          <w:rStyle w:val="42"/>
          <w:rFonts w:ascii="宋体" w:hAnsi="宋体" w:cs="宋体"/>
          <w:color w:val="auto"/>
          <w:kern w:val="0"/>
          <w:sz w:val="21"/>
          <w:szCs w:val="21"/>
          <w:highlight w:val="none"/>
          <w:u w:val="none"/>
        </w:rPr>
        <w:instrText xml:space="preserve">,1" </w:instrText>
      </w:r>
      <w:r>
        <w:rPr>
          <w:rStyle w:val="42"/>
          <w:rFonts w:cs="宋体"/>
          <w:color w:val="auto"/>
          <w:sz w:val="21"/>
          <w:highlight w:val="none"/>
          <w:u w:val="none"/>
        </w:rPr>
        <w:fldChar w:fldCharType="separate"/>
      </w:r>
      <w:r>
        <w:rPr>
          <w:rFonts w:cs="宋体"/>
          <w:color w:val="auto"/>
          <w:highlight w:val="none"/>
          <w:u w:val="none"/>
        </w:rPr>
        <w:fldChar w:fldCharType="begin"/>
      </w:r>
      <w:r>
        <w:rPr>
          <w:rFonts w:cs="宋体"/>
          <w:color w:val="auto"/>
          <w:highlight w:val="none"/>
        </w:rPr>
        <w:instrText xml:space="preserve"> HYPERLINK \l _Toc20531 </w:instrText>
      </w:r>
      <w:r>
        <w:rPr>
          <w:rFonts w:cs="宋体"/>
          <w:color w:val="auto"/>
          <w:highlight w:val="none"/>
        </w:rPr>
        <w:fldChar w:fldCharType="separate"/>
      </w:r>
      <w:r>
        <w:rPr>
          <w:rFonts w:hint="eastAsia" w:ascii="宋体" w:hAnsi="宋体" w:eastAsia="宋体" w:cs="宋体"/>
          <w:bCs/>
          <w:color w:val="auto"/>
          <w:kern w:val="2"/>
          <w:szCs w:val="36"/>
          <w:highlight w:val="none"/>
          <w:lang w:val="zh-CN" w:eastAsia="zh-CN" w:bidi="ar-SA"/>
        </w:rPr>
        <w:t>第一部分  招标公告</w:t>
      </w:r>
      <w:r>
        <w:rPr>
          <w:color w:val="auto"/>
          <w:highlight w:val="none"/>
        </w:rPr>
        <w:tab/>
      </w:r>
      <w:r>
        <w:rPr>
          <w:color w:val="auto"/>
          <w:highlight w:val="none"/>
        </w:rPr>
        <w:fldChar w:fldCharType="begin"/>
      </w:r>
      <w:r>
        <w:rPr>
          <w:color w:val="auto"/>
          <w:highlight w:val="none"/>
        </w:rPr>
        <w:instrText xml:space="preserve"> PAGEREF _Toc20531 </w:instrText>
      </w:r>
      <w:r>
        <w:rPr>
          <w:color w:val="auto"/>
          <w:highlight w:val="none"/>
        </w:rPr>
        <w:fldChar w:fldCharType="separate"/>
      </w:r>
      <w:r>
        <w:rPr>
          <w:color w:val="auto"/>
          <w:highlight w:val="none"/>
        </w:rPr>
        <w:t>4</w:t>
      </w:r>
      <w:r>
        <w:rPr>
          <w:color w:val="auto"/>
          <w:highlight w:val="none"/>
        </w:rPr>
        <w:fldChar w:fldCharType="end"/>
      </w:r>
      <w:r>
        <w:rPr>
          <w:rFonts w:cs="宋体"/>
          <w:color w:val="auto"/>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_Toc1482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第二部分  投标人须知</w:t>
      </w:r>
      <w:r>
        <w:rPr>
          <w:color w:val="auto"/>
          <w:highlight w:val="none"/>
        </w:rPr>
        <w:tab/>
      </w:r>
      <w:r>
        <w:rPr>
          <w:color w:val="auto"/>
          <w:highlight w:val="none"/>
        </w:rPr>
        <w:fldChar w:fldCharType="begin"/>
      </w:r>
      <w:r>
        <w:rPr>
          <w:color w:val="auto"/>
          <w:highlight w:val="none"/>
        </w:rPr>
        <w:instrText xml:space="preserve"> PAGEREF _Toc1482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_Toc6848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一、说明</w:t>
      </w:r>
      <w:r>
        <w:rPr>
          <w:color w:val="auto"/>
          <w:highlight w:val="none"/>
        </w:rPr>
        <w:tab/>
      </w:r>
      <w:r>
        <w:rPr>
          <w:color w:val="auto"/>
          <w:highlight w:val="none"/>
        </w:rPr>
        <w:fldChar w:fldCharType="begin"/>
      </w:r>
      <w:r>
        <w:rPr>
          <w:color w:val="auto"/>
          <w:highlight w:val="none"/>
        </w:rPr>
        <w:instrText xml:space="preserve"> PAGEREF _Toc6848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_Toc25571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1.适用范围</w:t>
      </w:r>
      <w:r>
        <w:rPr>
          <w:color w:val="auto"/>
          <w:highlight w:val="none"/>
        </w:rPr>
        <w:tab/>
      </w:r>
      <w:r>
        <w:rPr>
          <w:color w:val="auto"/>
          <w:highlight w:val="none"/>
        </w:rPr>
        <w:fldChar w:fldCharType="begin"/>
      </w:r>
      <w:r>
        <w:rPr>
          <w:color w:val="auto"/>
          <w:highlight w:val="none"/>
        </w:rPr>
        <w:instrText xml:space="preserve"> PAGEREF _Toc25571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_Toc13525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2.采购方式、合格的投标人</w:t>
      </w:r>
      <w:r>
        <w:rPr>
          <w:color w:val="auto"/>
          <w:highlight w:val="none"/>
        </w:rPr>
        <w:tab/>
      </w:r>
      <w:r>
        <w:rPr>
          <w:color w:val="auto"/>
          <w:highlight w:val="none"/>
        </w:rPr>
        <w:fldChar w:fldCharType="begin"/>
      </w:r>
      <w:r>
        <w:rPr>
          <w:color w:val="auto"/>
          <w:highlight w:val="none"/>
        </w:rPr>
        <w:instrText xml:space="preserve"> PAGEREF _Toc13525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_Toc12185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3.投标费用</w:t>
      </w:r>
      <w:r>
        <w:rPr>
          <w:color w:val="auto"/>
          <w:highlight w:val="none"/>
        </w:rPr>
        <w:tab/>
      </w:r>
      <w:r>
        <w:rPr>
          <w:color w:val="auto"/>
          <w:highlight w:val="none"/>
        </w:rPr>
        <w:fldChar w:fldCharType="begin"/>
      </w:r>
      <w:r>
        <w:rPr>
          <w:color w:val="auto"/>
          <w:highlight w:val="none"/>
        </w:rPr>
        <w:instrText xml:space="preserve"> PAGEREF _Toc12185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_Toc24177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二、招标文件说明</w:t>
      </w:r>
      <w:r>
        <w:rPr>
          <w:color w:val="auto"/>
          <w:highlight w:val="none"/>
        </w:rPr>
        <w:tab/>
      </w:r>
      <w:r>
        <w:rPr>
          <w:color w:val="auto"/>
          <w:highlight w:val="none"/>
        </w:rPr>
        <w:fldChar w:fldCharType="begin"/>
      </w:r>
      <w:r>
        <w:rPr>
          <w:color w:val="auto"/>
          <w:highlight w:val="none"/>
        </w:rPr>
        <w:instrText xml:space="preserve"> PAGEREF _Toc24177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_Toc31916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4.招标文件的构成</w:t>
      </w:r>
      <w:r>
        <w:rPr>
          <w:color w:val="auto"/>
          <w:highlight w:val="none"/>
        </w:rPr>
        <w:tab/>
      </w:r>
      <w:r>
        <w:rPr>
          <w:color w:val="auto"/>
          <w:highlight w:val="none"/>
        </w:rPr>
        <w:fldChar w:fldCharType="begin"/>
      </w:r>
      <w:r>
        <w:rPr>
          <w:color w:val="auto"/>
          <w:highlight w:val="none"/>
        </w:rPr>
        <w:instrText xml:space="preserve"> PAGEREF _Toc31916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_Toc18723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5.招标公告、招标文件、采购活动和中标结果的质疑</w:t>
      </w:r>
      <w:r>
        <w:rPr>
          <w:color w:val="auto"/>
          <w:highlight w:val="none"/>
        </w:rPr>
        <w:tab/>
      </w:r>
      <w:r>
        <w:rPr>
          <w:color w:val="auto"/>
          <w:highlight w:val="none"/>
        </w:rPr>
        <w:fldChar w:fldCharType="begin"/>
      </w:r>
      <w:r>
        <w:rPr>
          <w:color w:val="auto"/>
          <w:highlight w:val="none"/>
        </w:rPr>
        <w:instrText xml:space="preserve"> PAGEREF _Toc18723 </w:instrText>
      </w:r>
      <w:r>
        <w:rPr>
          <w:color w:val="auto"/>
          <w:highlight w:val="none"/>
        </w:rPr>
        <w:fldChar w:fldCharType="separate"/>
      </w:r>
      <w:r>
        <w:rPr>
          <w:color w:val="auto"/>
          <w:highlight w:val="none"/>
        </w:rPr>
        <w:t>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_Toc14329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6.招标文件的澄清或修改</w:t>
      </w:r>
      <w:r>
        <w:rPr>
          <w:color w:val="auto"/>
          <w:highlight w:val="none"/>
        </w:rPr>
        <w:tab/>
      </w:r>
      <w:r>
        <w:rPr>
          <w:color w:val="auto"/>
          <w:highlight w:val="none"/>
        </w:rPr>
        <w:fldChar w:fldCharType="begin"/>
      </w:r>
      <w:r>
        <w:rPr>
          <w:color w:val="auto"/>
          <w:highlight w:val="none"/>
        </w:rPr>
        <w:instrText xml:space="preserve"> PAGEREF _Toc14329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_Toc20917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_Toc20917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_Toc26877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7.投标文件的语言及度量衡单位</w:t>
      </w:r>
      <w:r>
        <w:rPr>
          <w:color w:val="auto"/>
          <w:highlight w:val="none"/>
        </w:rPr>
        <w:tab/>
      </w:r>
      <w:r>
        <w:rPr>
          <w:color w:val="auto"/>
          <w:highlight w:val="none"/>
        </w:rPr>
        <w:fldChar w:fldCharType="begin"/>
      </w:r>
      <w:r>
        <w:rPr>
          <w:color w:val="auto"/>
          <w:highlight w:val="none"/>
        </w:rPr>
        <w:instrText xml:space="preserve"> PAGEREF _Toc26877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_Toc28704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8.投标报价及币种</w:t>
      </w:r>
      <w:r>
        <w:rPr>
          <w:color w:val="auto"/>
          <w:highlight w:val="none"/>
        </w:rPr>
        <w:tab/>
      </w:r>
      <w:r>
        <w:rPr>
          <w:color w:val="auto"/>
          <w:highlight w:val="none"/>
        </w:rPr>
        <w:fldChar w:fldCharType="begin"/>
      </w:r>
      <w:r>
        <w:rPr>
          <w:color w:val="auto"/>
          <w:highlight w:val="none"/>
        </w:rPr>
        <w:instrText xml:space="preserve"> PAGEREF _Toc28704 </w:instrText>
      </w:r>
      <w:r>
        <w:rPr>
          <w:color w:val="auto"/>
          <w:highlight w:val="none"/>
        </w:rPr>
        <w:fldChar w:fldCharType="separate"/>
      </w:r>
      <w:r>
        <w:rPr>
          <w:color w:val="auto"/>
          <w:highlight w:val="none"/>
        </w:rPr>
        <w:t>9</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_Toc17521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9.投标保证金</w:t>
      </w:r>
      <w:r>
        <w:rPr>
          <w:color w:val="auto"/>
          <w:highlight w:val="none"/>
        </w:rPr>
        <w:tab/>
      </w:r>
      <w:r>
        <w:rPr>
          <w:color w:val="auto"/>
          <w:highlight w:val="none"/>
        </w:rPr>
        <w:fldChar w:fldCharType="begin"/>
      </w:r>
      <w:r>
        <w:rPr>
          <w:color w:val="auto"/>
          <w:highlight w:val="none"/>
        </w:rPr>
        <w:instrText xml:space="preserve"> PAGEREF _Toc17521 </w:instrText>
      </w:r>
      <w:r>
        <w:rPr>
          <w:color w:val="auto"/>
          <w:highlight w:val="none"/>
        </w:rPr>
        <w:fldChar w:fldCharType="separate"/>
      </w:r>
      <w:r>
        <w:rPr>
          <w:color w:val="auto"/>
          <w:highlight w:val="none"/>
        </w:rPr>
        <w:t>9</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_Toc22591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10.投标有效期</w:t>
      </w:r>
      <w:r>
        <w:rPr>
          <w:color w:val="auto"/>
          <w:highlight w:val="none"/>
        </w:rPr>
        <w:tab/>
      </w:r>
      <w:r>
        <w:rPr>
          <w:color w:val="auto"/>
          <w:highlight w:val="none"/>
        </w:rPr>
        <w:fldChar w:fldCharType="begin"/>
      </w:r>
      <w:r>
        <w:rPr>
          <w:color w:val="auto"/>
          <w:highlight w:val="none"/>
        </w:rPr>
        <w:instrText xml:space="preserve"> PAGEREF _Toc22591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_Toc16582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11.投标文件构成</w:t>
      </w:r>
      <w:r>
        <w:rPr>
          <w:color w:val="auto"/>
          <w:highlight w:val="none"/>
        </w:rPr>
        <w:tab/>
      </w:r>
      <w:r>
        <w:rPr>
          <w:color w:val="auto"/>
          <w:highlight w:val="none"/>
        </w:rPr>
        <w:fldChar w:fldCharType="begin"/>
      </w:r>
      <w:r>
        <w:rPr>
          <w:color w:val="auto"/>
          <w:highlight w:val="none"/>
        </w:rPr>
        <w:instrText xml:space="preserve"> PAGEREF _Toc16582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_Toc22734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12.投标文件的编制要求</w:t>
      </w:r>
      <w:r>
        <w:rPr>
          <w:color w:val="auto"/>
          <w:highlight w:val="none"/>
        </w:rPr>
        <w:tab/>
      </w:r>
      <w:r>
        <w:rPr>
          <w:color w:val="auto"/>
          <w:highlight w:val="none"/>
        </w:rPr>
        <w:fldChar w:fldCharType="begin"/>
      </w:r>
      <w:r>
        <w:rPr>
          <w:color w:val="auto"/>
          <w:highlight w:val="none"/>
        </w:rPr>
        <w:instrText xml:space="preserve"> PAGEREF _Toc22734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_Toc9101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四、投标文件的提交</w:t>
      </w:r>
      <w:r>
        <w:rPr>
          <w:color w:val="auto"/>
          <w:highlight w:val="none"/>
        </w:rPr>
        <w:tab/>
      </w:r>
      <w:r>
        <w:rPr>
          <w:color w:val="auto"/>
          <w:highlight w:val="none"/>
        </w:rPr>
        <w:fldChar w:fldCharType="begin"/>
      </w:r>
      <w:r>
        <w:rPr>
          <w:color w:val="auto"/>
          <w:highlight w:val="none"/>
        </w:rPr>
        <w:instrText xml:space="preserve"> PAGEREF _Toc9101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_Toc13246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13.投标文件的密封和标记</w:t>
      </w:r>
      <w:r>
        <w:rPr>
          <w:color w:val="auto"/>
          <w:highlight w:val="none"/>
        </w:rPr>
        <w:tab/>
      </w:r>
      <w:r>
        <w:rPr>
          <w:color w:val="auto"/>
          <w:highlight w:val="none"/>
        </w:rPr>
        <w:fldChar w:fldCharType="begin"/>
      </w:r>
      <w:r>
        <w:rPr>
          <w:color w:val="auto"/>
          <w:highlight w:val="none"/>
        </w:rPr>
        <w:instrText xml:space="preserve"> PAGEREF _Toc13246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_Toc30475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14.提交投标文件的时间、地点、方式</w:t>
      </w:r>
      <w:r>
        <w:rPr>
          <w:color w:val="auto"/>
          <w:highlight w:val="none"/>
        </w:rPr>
        <w:tab/>
      </w:r>
      <w:r>
        <w:rPr>
          <w:color w:val="auto"/>
          <w:highlight w:val="none"/>
        </w:rPr>
        <w:fldChar w:fldCharType="begin"/>
      </w:r>
      <w:r>
        <w:rPr>
          <w:color w:val="auto"/>
          <w:highlight w:val="none"/>
        </w:rPr>
        <w:instrText xml:space="preserve"> PAGEREF _Toc30475 </w:instrText>
      </w:r>
      <w:r>
        <w:rPr>
          <w:color w:val="auto"/>
          <w:highlight w:val="none"/>
        </w:rPr>
        <w:fldChar w:fldCharType="separate"/>
      </w:r>
      <w:r>
        <w:rPr>
          <w:color w:val="auto"/>
          <w:highlight w:val="none"/>
        </w:rPr>
        <w:t>11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_Toc16880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15.投标文件的补充、修改或者撤回</w:t>
      </w:r>
      <w:r>
        <w:rPr>
          <w:color w:val="auto"/>
          <w:highlight w:val="none"/>
        </w:rPr>
        <w:tab/>
      </w:r>
      <w:r>
        <w:rPr>
          <w:color w:val="auto"/>
          <w:highlight w:val="none"/>
        </w:rPr>
        <w:fldChar w:fldCharType="begin"/>
      </w:r>
      <w:r>
        <w:rPr>
          <w:color w:val="auto"/>
          <w:highlight w:val="none"/>
        </w:rPr>
        <w:instrText xml:space="preserve"> PAGEREF _Toc16880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_Toc4494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五、开标</w:t>
      </w:r>
      <w:r>
        <w:rPr>
          <w:color w:val="auto"/>
          <w:highlight w:val="none"/>
        </w:rPr>
        <w:tab/>
      </w:r>
      <w:r>
        <w:rPr>
          <w:color w:val="auto"/>
          <w:highlight w:val="none"/>
        </w:rPr>
        <w:fldChar w:fldCharType="begin"/>
      </w:r>
      <w:r>
        <w:rPr>
          <w:color w:val="auto"/>
          <w:highlight w:val="none"/>
        </w:rPr>
        <w:instrText xml:space="preserve"> PAGEREF _Toc4494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_Toc1472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16.开标</w:t>
      </w:r>
      <w:r>
        <w:rPr>
          <w:color w:val="auto"/>
          <w:highlight w:val="none"/>
        </w:rPr>
        <w:tab/>
      </w:r>
      <w:r>
        <w:rPr>
          <w:color w:val="auto"/>
          <w:highlight w:val="none"/>
        </w:rPr>
        <w:fldChar w:fldCharType="begin"/>
      </w:r>
      <w:r>
        <w:rPr>
          <w:color w:val="auto"/>
          <w:highlight w:val="none"/>
        </w:rPr>
        <w:instrText xml:space="preserve"> PAGEREF _Toc1472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_Toc25657 </w:instrText>
      </w:r>
      <w:r>
        <w:rPr>
          <w:rFonts w:ascii="宋体" w:hAnsi="宋体" w:cs="宋体"/>
          <w:bCs/>
          <w:color w:val="auto"/>
          <w:kern w:val="0"/>
          <w:szCs w:val="21"/>
          <w:highlight w:val="none"/>
        </w:rPr>
        <w:fldChar w:fldCharType="separate"/>
      </w:r>
      <w:r>
        <w:rPr>
          <w:rFonts w:hint="eastAsia" w:ascii="宋体" w:hAnsi="宋体" w:cs="宋体"/>
          <w:color w:val="auto"/>
          <w:kern w:val="0"/>
          <w:szCs w:val="36"/>
          <w:highlight w:val="none"/>
        </w:rPr>
        <w:t>六、资格</w:t>
      </w:r>
      <w:r>
        <w:rPr>
          <w:rFonts w:hint="eastAsia" w:ascii="宋体" w:hAnsi="宋体" w:cs="宋体"/>
          <w:color w:val="auto"/>
          <w:highlight w:val="none"/>
          <w:lang w:val="zh-CN"/>
        </w:rPr>
        <w:t>审查</w:t>
      </w:r>
      <w:r>
        <w:rPr>
          <w:rFonts w:hint="eastAsia" w:ascii="宋体" w:hAnsi="宋体" w:cs="宋体"/>
          <w:color w:val="auto"/>
          <w:kern w:val="0"/>
          <w:szCs w:val="36"/>
          <w:highlight w:val="none"/>
        </w:rPr>
        <w:t>程序</w:t>
      </w:r>
      <w:r>
        <w:rPr>
          <w:color w:val="auto"/>
          <w:highlight w:val="none"/>
        </w:rPr>
        <w:tab/>
      </w:r>
      <w:r>
        <w:rPr>
          <w:color w:val="auto"/>
          <w:highlight w:val="none"/>
        </w:rPr>
        <w:fldChar w:fldCharType="begin"/>
      </w:r>
      <w:r>
        <w:rPr>
          <w:color w:val="auto"/>
          <w:highlight w:val="none"/>
        </w:rPr>
        <w:instrText xml:space="preserve"> PAGEREF _Toc25657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_Toc11028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17.资格审查</w:t>
      </w:r>
      <w:r>
        <w:rPr>
          <w:color w:val="auto"/>
          <w:highlight w:val="none"/>
        </w:rPr>
        <w:tab/>
      </w:r>
      <w:r>
        <w:rPr>
          <w:color w:val="auto"/>
          <w:highlight w:val="none"/>
        </w:rPr>
        <w:fldChar w:fldCharType="begin"/>
      </w:r>
      <w:r>
        <w:rPr>
          <w:color w:val="auto"/>
          <w:highlight w:val="none"/>
        </w:rPr>
        <w:instrText xml:space="preserve"> PAGEREF _Toc11028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_Toc13664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七、评审程序及方法</w:t>
      </w:r>
      <w:r>
        <w:rPr>
          <w:color w:val="auto"/>
          <w:highlight w:val="none"/>
        </w:rPr>
        <w:tab/>
      </w:r>
      <w:r>
        <w:rPr>
          <w:color w:val="auto"/>
          <w:highlight w:val="none"/>
        </w:rPr>
        <w:fldChar w:fldCharType="begin"/>
      </w:r>
      <w:r>
        <w:rPr>
          <w:color w:val="auto"/>
          <w:highlight w:val="none"/>
        </w:rPr>
        <w:instrText xml:space="preserve"> PAGEREF _Toc13664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_Toc10448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lang w:val="zh-CN"/>
        </w:rPr>
        <w:t>1</w:t>
      </w:r>
      <w:r>
        <w:rPr>
          <w:rFonts w:hint="eastAsia" w:ascii="宋体" w:hAnsi="宋体" w:cs="宋体"/>
          <w:color w:val="auto"/>
          <w:szCs w:val="28"/>
          <w:highlight w:val="none"/>
        </w:rPr>
        <w:t>8</w:t>
      </w:r>
      <w:r>
        <w:rPr>
          <w:rFonts w:hint="eastAsia" w:ascii="宋体" w:hAnsi="宋体" w:cs="宋体"/>
          <w:color w:val="auto"/>
          <w:szCs w:val="28"/>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_Toc10448 </w:instrText>
      </w:r>
      <w:r>
        <w:rPr>
          <w:color w:val="auto"/>
          <w:highlight w:val="none"/>
        </w:rPr>
        <w:fldChar w:fldCharType="separate"/>
      </w:r>
      <w:r>
        <w:rPr>
          <w:color w:val="auto"/>
          <w:highlight w:val="none"/>
        </w:rPr>
        <w:t>13</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_Toc19126 </w:instrText>
      </w:r>
      <w:r>
        <w:rPr>
          <w:rFonts w:ascii="宋体" w:hAnsi="宋体" w:cs="宋体"/>
          <w:bCs/>
          <w:color w:val="auto"/>
          <w:kern w:val="0"/>
          <w:szCs w:val="21"/>
          <w:highlight w:val="none"/>
        </w:rPr>
        <w:fldChar w:fldCharType="separate"/>
      </w:r>
      <w:r>
        <w:rPr>
          <w:rFonts w:hint="eastAsia" w:ascii="宋体" w:hAnsi="宋体" w:cs="宋体"/>
          <w:color w:val="auto"/>
          <w:szCs w:val="28"/>
          <w:highlight w:val="none"/>
        </w:rPr>
        <w:t>19</w:t>
      </w:r>
      <w:r>
        <w:rPr>
          <w:rFonts w:hint="eastAsia" w:ascii="宋体" w:hAnsi="宋体" w:cs="宋体"/>
          <w:color w:val="auto"/>
          <w:szCs w:val="28"/>
          <w:highlight w:val="none"/>
          <w:lang w:val="zh-CN"/>
        </w:rPr>
        <w:t>.评审工作程序</w:t>
      </w:r>
      <w:r>
        <w:rPr>
          <w:color w:val="auto"/>
          <w:highlight w:val="none"/>
        </w:rPr>
        <w:tab/>
      </w:r>
      <w:r>
        <w:rPr>
          <w:color w:val="auto"/>
          <w:highlight w:val="none"/>
        </w:rPr>
        <w:fldChar w:fldCharType="begin"/>
      </w:r>
      <w:r>
        <w:rPr>
          <w:color w:val="auto"/>
          <w:highlight w:val="none"/>
        </w:rPr>
        <w:instrText xml:space="preserve"> PAGEREF _Toc19126 </w:instrText>
      </w:r>
      <w:r>
        <w:rPr>
          <w:color w:val="auto"/>
          <w:highlight w:val="none"/>
        </w:rPr>
        <w:fldChar w:fldCharType="separate"/>
      </w:r>
      <w:r>
        <w:rPr>
          <w:color w:val="auto"/>
          <w:highlight w:val="none"/>
        </w:rPr>
        <w:t>15</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_Toc5841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八、中标</w:t>
      </w:r>
      <w:r>
        <w:rPr>
          <w:color w:val="auto"/>
          <w:highlight w:val="none"/>
        </w:rPr>
        <w:tab/>
      </w:r>
      <w:r>
        <w:rPr>
          <w:color w:val="auto"/>
          <w:highlight w:val="none"/>
        </w:rPr>
        <w:fldChar w:fldCharType="begin"/>
      </w:r>
      <w:r>
        <w:rPr>
          <w:color w:val="auto"/>
          <w:highlight w:val="none"/>
        </w:rPr>
        <w:instrText xml:space="preserve"> PAGEREF _Toc5841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_Toc27084 </w:instrText>
      </w:r>
      <w:r>
        <w:rPr>
          <w:rFonts w:ascii="宋体" w:hAnsi="宋体" w:cs="宋体"/>
          <w:bCs/>
          <w:color w:val="auto"/>
          <w:kern w:val="0"/>
          <w:szCs w:val="21"/>
          <w:highlight w:val="none"/>
        </w:rPr>
        <w:fldChar w:fldCharType="separate"/>
      </w:r>
      <w:r>
        <w:rPr>
          <w:rFonts w:ascii="宋体" w:hAnsi="宋体" w:cs="宋体"/>
          <w:color w:val="auto"/>
          <w:szCs w:val="28"/>
          <w:highlight w:val="none"/>
          <w:lang w:val="zh-CN"/>
        </w:rPr>
        <w:t>2</w:t>
      </w:r>
      <w:r>
        <w:rPr>
          <w:rFonts w:ascii="宋体" w:hAnsi="宋体" w:cs="宋体"/>
          <w:color w:val="auto"/>
          <w:szCs w:val="28"/>
          <w:highlight w:val="none"/>
        </w:rPr>
        <w:t>1</w:t>
      </w:r>
      <w:r>
        <w:rPr>
          <w:rFonts w:ascii="宋体" w:cs="宋体"/>
          <w:color w:val="auto"/>
          <w:szCs w:val="28"/>
          <w:highlight w:val="none"/>
          <w:lang w:val="zh-CN"/>
        </w:rPr>
        <w:t>.</w:t>
      </w:r>
      <w:r>
        <w:rPr>
          <w:rFonts w:hint="eastAsia" w:ascii="宋体" w:hAnsi="宋体" w:cs="宋体"/>
          <w:color w:val="auto"/>
          <w:szCs w:val="28"/>
          <w:highlight w:val="none"/>
          <w:lang w:val="zh-CN"/>
        </w:rPr>
        <w:t>推荐并确定中标人</w:t>
      </w:r>
      <w:r>
        <w:rPr>
          <w:color w:val="auto"/>
          <w:highlight w:val="none"/>
        </w:rPr>
        <w:tab/>
      </w:r>
      <w:r>
        <w:rPr>
          <w:color w:val="auto"/>
          <w:highlight w:val="none"/>
        </w:rPr>
        <w:fldChar w:fldCharType="begin"/>
      </w:r>
      <w:r>
        <w:rPr>
          <w:color w:val="auto"/>
          <w:highlight w:val="none"/>
        </w:rPr>
        <w:instrText xml:space="preserve"> PAGEREF _Toc27084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_Toc9442 </w:instrText>
      </w:r>
      <w:r>
        <w:rPr>
          <w:rFonts w:ascii="宋体" w:hAnsi="宋体" w:cs="宋体"/>
          <w:bCs/>
          <w:color w:val="auto"/>
          <w:kern w:val="0"/>
          <w:szCs w:val="21"/>
          <w:highlight w:val="none"/>
        </w:rPr>
        <w:fldChar w:fldCharType="separate"/>
      </w:r>
      <w:r>
        <w:rPr>
          <w:rFonts w:ascii="宋体" w:hAnsi="宋体" w:cs="宋体"/>
          <w:color w:val="auto"/>
          <w:szCs w:val="28"/>
          <w:highlight w:val="none"/>
          <w:lang w:val="zh-CN"/>
        </w:rPr>
        <w:t>2</w:t>
      </w:r>
      <w:r>
        <w:rPr>
          <w:rFonts w:ascii="宋体" w:hAnsi="宋体" w:cs="宋体"/>
          <w:color w:val="auto"/>
          <w:szCs w:val="28"/>
          <w:highlight w:val="none"/>
        </w:rPr>
        <w:t>2</w:t>
      </w:r>
      <w:r>
        <w:rPr>
          <w:rFonts w:ascii="宋体" w:cs="宋体"/>
          <w:color w:val="auto"/>
          <w:szCs w:val="28"/>
          <w:highlight w:val="none"/>
          <w:lang w:val="zh-CN"/>
        </w:rPr>
        <w:t>.</w:t>
      </w:r>
      <w:r>
        <w:rPr>
          <w:rFonts w:hint="eastAsia" w:ascii="宋体" w:hAnsi="宋体" w:cs="宋体"/>
          <w:color w:val="auto"/>
          <w:szCs w:val="28"/>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_Toc9442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_Toc2491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九、授予合同</w:t>
      </w:r>
      <w:r>
        <w:rPr>
          <w:color w:val="auto"/>
          <w:highlight w:val="none"/>
        </w:rPr>
        <w:tab/>
      </w:r>
      <w:r>
        <w:rPr>
          <w:color w:val="auto"/>
          <w:highlight w:val="none"/>
        </w:rPr>
        <w:fldChar w:fldCharType="begin"/>
      </w:r>
      <w:r>
        <w:rPr>
          <w:color w:val="auto"/>
          <w:highlight w:val="none"/>
        </w:rPr>
        <w:instrText xml:space="preserve"> PAGEREF _Toc2491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_Toc16974 </w:instrText>
      </w:r>
      <w:r>
        <w:rPr>
          <w:rFonts w:ascii="宋体" w:hAnsi="宋体" w:cs="宋体"/>
          <w:bCs/>
          <w:color w:val="auto"/>
          <w:kern w:val="0"/>
          <w:szCs w:val="21"/>
          <w:highlight w:val="none"/>
        </w:rPr>
        <w:fldChar w:fldCharType="separate"/>
      </w:r>
      <w:r>
        <w:rPr>
          <w:rFonts w:ascii="宋体" w:hAnsi="宋体" w:cs="宋体"/>
          <w:color w:val="auto"/>
          <w:szCs w:val="28"/>
          <w:highlight w:val="none"/>
          <w:lang w:val="zh-CN"/>
        </w:rPr>
        <w:t>2</w:t>
      </w:r>
      <w:r>
        <w:rPr>
          <w:rFonts w:ascii="宋体" w:hAnsi="宋体" w:cs="宋体"/>
          <w:color w:val="auto"/>
          <w:szCs w:val="28"/>
          <w:highlight w:val="none"/>
        </w:rPr>
        <w:t>3</w:t>
      </w:r>
      <w:r>
        <w:rPr>
          <w:rFonts w:ascii="宋体" w:cs="宋体"/>
          <w:color w:val="auto"/>
          <w:szCs w:val="28"/>
          <w:highlight w:val="none"/>
          <w:lang w:val="zh-CN"/>
        </w:rPr>
        <w:t>.</w:t>
      </w:r>
      <w:r>
        <w:rPr>
          <w:rFonts w:hint="eastAsia" w:ascii="宋体" w:hAnsi="宋体" w:cs="宋体"/>
          <w:color w:val="auto"/>
          <w:szCs w:val="28"/>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_Toc16974 </w:instrText>
      </w:r>
      <w:r>
        <w:rPr>
          <w:color w:val="auto"/>
          <w:highlight w:val="none"/>
        </w:rPr>
        <w:fldChar w:fldCharType="separate"/>
      </w:r>
      <w:r>
        <w:rPr>
          <w:color w:val="auto"/>
          <w:highlight w:val="none"/>
        </w:rPr>
        <w:t>21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_Toc9967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十、招标代理费</w:t>
      </w:r>
      <w:r>
        <w:rPr>
          <w:color w:val="auto"/>
          <w:highlight w:val="none"/>
        </w:rPr>
        <w:tab/>
      </w:r>
      <w:r>
        <w:rPr>
          <w:color w:val="auto"/>
          <w:highlight w:val="none"/>
        </w:rPr>
        <w:fldChar w:fldCharType="begin"/>
      </w:r>
      <w:r>
        <w:rPr>
          <w:color w:val="auto"/>
          <w:highlight w:val="none"/>
        </w:rPr>
        <w:instrText xml:space="preserve"> PAGEREF _Toc9967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_Toc17138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十一、其他</w:t>
      </w:r>
      <w:r>
        <w:rPr>
          <w:color w:val="auto"/>
          <w:highlight w:val="none"/>
        </w:rPr>
        <w:tab/>
      </w:r>
      <w:r>
        <w:rPr>
          <w:color w:val="auto"/>
          <w:highlight w:val="none"/>
        </w:rPr>
        <w:fldChar w:fldCharType="begin"/>
      </w:r>
      <w:r>
        <w:rPr>
          <w:color w:val="auto"/>
          <w:highlight w:val="none"/>
        </w:rPr>
        <w:instrText xml:space="preserve"> PAGEREF _Toc17138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_Toc29286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第三部分</w:t>
      </w:r>
      <w:r>
        <w:rPr>
          <w:rFonts w:ascii="宋体" w:hAnsi="宋体" w:cs="宋体"/>
          <w:color w:val="auto"/>
          <w:szCs w:val="36"/>
          <w:highlight w:val="none"/>
          <w:lang w:val="zh-CN"/>
        </w:rPr>
        <w:t xml:space="preserve"> </w:t>
      </w:r>
      <w:r>
        <w:rPr>
          <w:rFonts w:ascii="宋体" w:hAnsi="宋体" w:cs="宋体"/>
          <w:color w:val="auto"/>
          <w:szCs w:val="36"/>
          <w:highlight w:val="none"/>
        </w:rPr>
        <w:t xml:space="preserve"> </w:t>
      </w:r>
      <w:r>
        <w:rPr>
          <w:rFonts w:hint="eastAsia" w:ascii="宋体" w:hAnsi="宋体" w:cs="宋体"/>
          <w:color w:val="auto"/>
          <w:szCs w:val="36"/>
          <w:highlight w:val="none"/>
          <w:lang w:val="zh-CN"/>
        </w:rPr>
        <w:t>青海省政府采购项目合同书范本</w:t>
      </w:r>
      <w:r>
        <w:rPr>
          <w:color w:val="auto"/>
          <w:highlight w:val="none"/>
        </w:rPr>
        <w:tab/>
      </w:r>
      <w:r>
        <w:rPr>
          <w:color w:val="auto"/>
          <w:highlight w:val="none"/>
        </w:rPr>
        <w:fldChar w:fldCharType="begin"/>
      </w:r>
      <w:r>
        <w:rPr>
          <w:color w:val="auto"/>
          <w:highlight w:val="none"/>
        </w:rPr>
        <w:instrText xml:space="preserve"> PAGEREF _Toc29286 </w:instrText>
      </w:r>
      <w:r>
        <w:rPr>
          <w:color w:val="auto"/>
          <w:highlight w:val="none"/>
        </w:rPr>
        <w:fldChar w:fldCharType="separate"/>
      </w:r>
      <w:r>
        <w:rPr>
          <w:color w:val="auto"/>
          <w:highlight w:val="none"/>
        </w:rPr>
        <w:t>24</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_Toc30211 </w:instrText>
      </w:r>
      <w:r>
        <w:rPr>
          <w:rFonts w:ascii="宋体" w:hAnsi="宋体" w:cs="宋体"/>
          <w:bCs/>
          <w:color w:val="auto"/>
          <w:kern w:val="0"/>
          <w:szCs w:val="21"/>
          <w:highlight w:val="none"/>
        </w:rPr>
        <w:fldChar w:fldCharType="separate"/>
      </w:r>
      <w:r>
        <w:rPr>
          <w:rFonts w:hint="eastAsia" w:ascii="宋体" w:hAnsi="宋体" w:cs="宋体"/>
          <w:bCs w:val="0"/>
          <w:color w:val="auto"/>
          <w:kern w:val="0"/>
          <w:szCs w:val="24"/>
          <w:highlight w:val="none"/>
          <w:lang w:val="zh-CN"/>
        </w:rPr>
        <w:t>本合同按照中华人民共和国的相关法律进行解释。</w:t>
      </w:r>
      <w:r>
        <w:rPr>
          <w:rFonts w:hint="eastAsia" w:ascii="宋体" w:hAnsi="宋体" w:cs="宋体"/>
          <w:color w:val="auto"/>
          <w:szCs w:val="36"/>
          <w:highlight w:val="none"/>
          <w:lang w:val="zh-CN"/>
        </w:rPr>
        <w:t>第四部分</w:t>
      </w:r>
      <w:r>
        <w:rPr>
          <w:rFonts w:ascii="宋体" w:hAnsi="宋体" w:cs="宋体"/>
          <w:color w:val="auto"/>
          <w:szCs w:val="36"/>
          <w:highlight w:val="none"/>
          <w:lang w:val="zh-CN"/>
        </w:rPr>
        <w:t xml:space="preserve">  </w:t>
      </w:r>
      <w:r>
        <w:rPr>
          <w:rFonts w:hint="eastAsia" w:ascii="宋体" w:hAnsi="宋体" w:cs="宋体"/>
          <w:color w:val="auto"/>
          <w:szCs w:val="36"/>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_Toc30211 </w:instrText>
      </w:r>
      <w:r>
        <w:rPr>
          <w:color w:val="auto"/>
          <w:highlight w:val="none"/>
        </w:rPr>
        <w:fldChar w:fldCharType="separate"/>
      </w:r>
      <w:r>
        <w:rPr>
          <w:color w:val="auto"/>
          <w:highlight w:val="none"/>
        </w:rPr>
        <w:t>36</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_Toc8171 </w:instrText>
      </w:r>
      <w:r>
        <w:rPr>
          <w:rFonts w:ascii="宋体" w:hAnsi="宋体" w:cs="宋体"/>
          <w:bCs/>
          <w:color w:val="auto"/>
          <w:kern w:val="0"/>
          <w:szCs w:val="21"/>
          <w:highlight w:val="none"/>
        </w:rPr>
        <w:fldChar w:fldCharType="separate"/>
      </w:r>
      <w:r>
        <w:rPr>
          <w:rFonts w:ascii="宋体" w:cs="Times New Roman"/>
          <w:color w:val="auto"/>
          <w:szCs w:val="30"/>
          <w:highlight w:val="none"/>
        </w:rPr>
        <w:t xml:space="preserve">一、 </w:t>
      </w:r>
      <w:r>
        <w:rPr>
          <w:rFonts w:hint="eastAsia" w:ascii="宋体" w:hAnsi="宋体" w:cs="宋体"/>
          <w:color w:val="auto"/>
          <w:szCs w:val="30"/>
          <w:highlight w:val="none"/>
          <w:lang w:val="zh-CN"/>
        </w:rPr>
        <w:t>投标文件封面（上册）</w:t>
      </w:r>
      <w:r>
        <w:rPr>
          <w:color w:val="auto"/>
          <w:highlight w:val="none"/>
        </w:rPr>
        <w:tab/>
      </w:r>
      <w:r>
        <w:rPr>
          <w:color w:val="auto"/>
          <w:highlight w:val="none"/>
        </w:rPr>
        <w:fldChar w:fldCharType="begin"/>
      </w:r>
      <w:r>
        <w:rPr>
          <w:color w:val="auto"/>
          <w:highlight w:val="none"/>
        </w:rPr>
        <w:instrText xml:space="preserve"> PAGEREF _Toc8171 </w:instrText>
      </w:r>
      <w:r>
        <w:rPr>
          <w:color w:val="auto"/>
          <w:highlight w:val="none"/>
        </w:rPr>
        <w:fldChar w:fldCharType="separate"/>
      </w:r>
      <w:r>
        <w:rPr>
          <w:color w:val="auto"/>
          <w:highlight w:val="none"/>
        </w:rPr>
        <w:t>37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_Toc999 </w:instrText>
      </w:r>
      <w:r>
        <w:rPr>
          <w:rFonts w:ascii="宋体" w:hAnsi="宋体" w:cs="宋体"/>
          <w:bCs/>
          <w:color w:val="auto"/>
          <w:kern w:val="0"/>
          <w:szCs w:val="21"/>
          <w:highlight w:val="none"/>
        </w:rPr>
        <w:fldChar w:fldCharType="separate"/>
      </w:r>
      <w:r>
        <w:rPr>
          <w:rFonts w:hint="eastAsia" w:ascii="宋体" w:hAnsi="宋体" w:cs="宋体"/>
          <w:color w:val="auto"/>
          <w:kern w:val="0"/>
          <w:szCs w:val="30"/>
          <w:highlight w:val="none"/>
          <w:lang w:val="zh-CN"/>
        </w:rPr>
        <w:t>二、投标文件</w:t>
      </w:r>
      <w:r>
        <w:rPr>
          <w:rFonts w:hint="eastAsia" w:ascii="宋体" w:hAnsi="宋体" w:cs="宋体"/>
          <w:color w:val="auto"/>
          <w:szCs w:val="30"/>
          <w:highlight w:val="none"/>
          <w:lang w:val="zh-CN"/>
        </w:rPr>
        <w:t>目录（上册）</w:t>
      </w:r>
      <w:r>
        <w:rPr>
          <w:color w:val="auto"/>
          <w:highlight w:val="none"/>
        </w:rPr>
        <w:tab/>
      </w:r>
      <w:r>
        <w:rPr>
          <w:color w:val="auto"/>
          <w:highlight w:val="none"/>
        </w:rPr>
        <w:fldChar w:fldCharType="begin"/>
      </w:r>
      <w:r>
        <w:rPr>
          <w:color w:val="auto"/>
          <w:highlight w:val="none"/>
        </w:rPr>
        <w:instrText xml:space="preserve"> PAGEREF _Toc999 </w:instrText>
      </w:r>
      <w:r>
        <w:rPr>
          <w:color w:val="auto"/>
          <w:highlight w:val="none"/>
        </w:rPr>
        <w:fldChar w:fldCharType="separate"/>
      </w:r>
      <w:r>
        <w:rPr>
          <w:color w:val="auto"/>
          <w:highlight w:val="none"/>
        </w:rPr>
        <w:t>38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_Toc29451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w:t>
      </w:r>
      <w:r>
        <w:rPr>
          <w:rFonts w:hint="eastAsia" w:ascii="宋体" w:hAnsi="宋体" w:cs="宋体"/>
          <w:color w:val="auto"/>
          <w:szCs w:val="30"/>
          <w:highlight w:val="none"/>
        </w:rPr>
        <w:t>）</w:t>
      </w:r>
      <w:r>
        <w:rPr>
          <w:rFonts w:hint="eastAsia" w:ascii="宋体" w:hAnsi="宋体" w:cs="宋体"/>
          <w:color w:val="auto"/>
          <w:szCs w:val="30"/>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_Toc29451 </w:instrText>
      </w:r>
      <w:r>
        <w:rPr>
          <w:color w:val="auto"/>
          <w:highlight w:val="none"/>
        </w:rPr>
        <w:fldChar w:fldCharType="separate"/>
      </w:r>
      <w:r>
        <w:rPr>
          <w:color w:val="auto"/>
          <w:highlight w:val="none"/>
        </w:rPr>
        <w:t>39</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_Toc21444 </w:instrText>
      </w:r>
      <w:r>
        <w:rPr>
          <w:rFonts w:ascii="宋体" w:hAnsi="宋体" w:cs="宋体"/>
          <w:bCs/>
          <w:color w:val="auto"/>
          <w:kern w:val="0"/>
          <w:szCs w:val="21"/>
          <w:highlight w:val="none"/>
        </w:rPr>
        <w:fldChar w:fldCharType="separate"/>
      </w:r>
      <w:r>
        <w:rPr>
          <w:rFonts w:hint="eastAsia" w:ascii="宋体" w:hAnsi="宋体" w:cs="宋体"/>
          <w:color w:val="auto"/>
          <w:kern w:val="0"/>
          <w:szCs w:val="30"/>
          <w:highlight w:val="none"/>
          <w:lang w:val="zh-CN"/>
        </w:rPr>
        <w:t>（</w:t>
      </w:r>
      <w:r>
        <w:rPr>
          <w:rFonts w:ascii="宋体" w:hAnsi="宋体" w:cs="宋体"/>
          <w:color w:val="auto"/>
          <w:kern w:val="0"/>
          <w:szCs w:val="30"/>
          <w:highlight w:val="none"/>
        </w:rPr>
        <w:t>2</w:t>
      </w:r>
      <w:r>
        <w:rPr>
          <w:rFonts w:hint="eastAsia" w:ascii="宋体" w:hAnsi="宋体" w:cs="宋体"/>
          <w:color w:val="auto"/>
          <w:kern w:val="0"/>
          <w:szCs w:val="30"/>
          <w:highlight w:val="none"/>
          <w:lang w:val="zh-CN"/>
        </w:rPr>
        <w:t>）</w:t>
      </w:r>
      <w:r>
        <w:rPr>
          <w:rFonts w:hint="eastAsia" w:ascii="宋体" w:hAnsi="宋体" w:cs="宋体"/>
          <w:color w:val="auto"/>
          <w:szCs w:val="30"/>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_Toc21444 </w:instrText>
      </w:r>
      <w:r>
        <w:rPr>
          <w:color w:val="auto"/>
          <w:highlight w:val="none"/>
        </w:rPr>
        <w:fldChar w:fldCharType="separate"/>
      </w:r>
      <w:r>
        <w:rPr>
          <w:color w:val="auto"/>
          <w:highlight w:val="none"/>
        </w:rPr>
        <w:t>40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_Toc26844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3</w:t>
      </w:r>
      <w:r>
        <w:rPr>
          <w:rFonts w:hint="eastAsia" w:ascii="宋体" w:hAnsi="宋体" w:cs="宋体"/>
          <w:color w:val="auto"/>
          <w:szCs w:val="30"/>
          <w:highlight w:val="none"/>
        </w:rPr>
        <w:t>）</w:t>
      </w:r>
      <w:r>
        <w:rPr>
          <w:rFonts w:hint="eastAsia" w:ascii="宋体" w:hAnsi="宋体" w:cs="宋体"/>
          <w:color w:val="auto"/>
          <w:szCs w:val="30"/>
          <w:highlight w:val="none"/>
          <w:lang w:val="zh-CN"/>
        </w:rPr>
        <w:t>法定代表人授权书</w:t>
      </w:r>
      <w:r>
        <w:rPr>
          <w:color w:val="auto"/>
          <w:highlight w:val="none"/>
        </w:rPr>
        <w:tab/>
      </w:r>
      <w:r>
        <w:rPr>
          <w:color w:val="auto"/>
          <w:highlight w:val="none"/>
        </w:rPr>
        <w:fldChar w:fldCharType="begin"/>
      </w:r>
      <w:r>
        <w:rPr>
          <w:color w:val="auto"/>
          <w:highlight w:val="none"/>
        </w:rPr>
        <w:instrText xml:space="preserve"> PAGEREF _Toc26844 </w:instrText>
      </w:r>
      <w:r>
        <w:rPr>
          <w:color w:val="auto"/>
          <w:highlight w:val="none"/>
        </w:rPr>
        <w:fldChar w:fldCharType="separate"/>
      </w:r>
      <w:r>
        <w:rPr>
          <w:color w:val="auto"/>
          <w:highlight w:val="none"/>
        </w:rPr>
        <w:t>41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_Toc32445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4</w:t>
      </w:r>
      <w:r>
        <w:rPr>
          <w:rFonts w:hint="eastAsia" w:ascii="宋体" w:hAnsi="宋体" w:cs="宋体"/>
          <w:color w:val="auto"/>
          <w:szCs w:val="30"/>
          <w:highlight w:val="none"/>
        </w:rPr>
        <w:t>）</w:t>
      </w:r>
      <w:r>
        <w:rPr>
          <w:rFonts w:hint="eastAsia" w:ascii="宋体" w:hAnsi="宋体" w:cs="宋体"/>
          <w:color w:val="auto"/>
          <w:szCs w:val="30"/>
          <w:highlight w:val="none"/>
          <w:lang w:val="zh-CN"/>
        </w:rPr>
        <w:t>投标人承诺函</w:t>
      </w:r>
      <w:r>
        <w:rPr>
          <w:color w:val="auto"/>
          <w:highlight w:val="none"/>
        </w:rPr>
        <w:tab/>
      </w:r>
      <w:r>
        <w:rPr>
          <w:color w:val="auto"/>
          <w:highlight w:val="none"/>
        </w:rPr>
        <w:fldChar w:fldCharType="begin"/>
      </w:r>
      <w:r>
        <w:rPr>
          <w:color w:val="auto"/>
          <w:highlight w:val="none"/>
        </w:rPr>
        <w:instrText xml:space="preserve"> PAGEREF _Toc32445 </w:instrText>
      </w:r>
      <w:r>
        <w:rPr>
          <w:color w:val="auto"/>
          <w:highlight w:val="none"/>
        </w:rPr>
        <w:fldChar w:fldCharType="separate"/>
      </w:r>
      <w:r>
        <w:rPr>
          <w:color w:val="auto"/>
          <w:highlight w:val="none"/>
        </w:rPr>
        <w:t>42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_Toc3276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5</w:t>
      </w:r>
      <w:r>
        <w:rPr>
          <w:rFonts w:hint="eastAsia" w:ascii="宋体" w:hAnsi="宋体" w:cs="宋体"/>
          <w:color w:val="auto"/>
          <w:szCs w:val="30"/>
          <w:highlight w:val="none"/>
        </w:rPr>
        <w:t>）</w:t>
      </w:r>
      <w:r>
        <w:rPr>
          <w:rFonts w:hint="eastAsia" w:ascii="宋体" w:hAnsi="宋体" w:cs="宋体"/>
          <w:color w:val="auto"/>
          <w:szCs w:val="30"/>
          <w:highlight w:val="none"/>
          <w:lang w:val="zh-CN"/>
        </w:rPr>
        <w:t>投标人诚信承诺书</w:t>
      </w:r>
      <w:r>
        <w:rPr>
          <w:color w:val="auto"/>
          <w:highlight w:val="none"/>
        </w:rPr>
        <w:tab/>
      </w:r>
      <w:r>
        <w:rPr>
          <w:color w:val="auto"/>
          <w:highlight w:val="none"/>
        </w:rPr>
        <w:fldChar w:fldCharType="begin"/>
      </w:r>
      <w:r>
        <w:rPr>
          <w:color w:val="auto"/>
          <w:highlight w:val="none"/>
        </w:rPr>
        <w:instrText xml:space="preserve"> PAGEREF _Toc3276 </w:instrText>
      </w:r>
      <w:r>
        <w:rPr>
          <w:color w:val="auto"/>
          <w:highlight w:val="none"/>
        </w:rPr>
        <w:fldChar w:fldCharType="separate"/>
      </w:r>
      <w:r>
        <w:rPr>
          <w:color w:val="auto"/>
          <w:highlight w:val="none"/>
        </w:rPr>
        <w:t>43</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_Toc17915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6</w:t>
      </w:r>
      <w:r>
        <w:rPr>
          <w:rFonts w:hint="eastAsia" w:ascii="宋体" w:hAnsi="宋体" w:cs="宋体"/>
          <w:color w:val="auto"/>
          <w:szCs w:val="30"/>
          <w:highlight w:val="none"/>
        </w:rPr>
        <w:t>）</w:t>
      </w:r>
      <w:r>
        <w:rPr>
          <w:rFonts w:hint="eastAsia" w:ascii="宋体" w:hAnsi="宋体" w:cs="宋体"/>
          <w:color w:val="auto"/>
          <w:szCs w:val="30"/>
          <w:highlight w:val="none"/>
          <w:lang w:val="zh-CN"/>
        </w:rPr>
        <w:t>资格证明材料</w:t>
      </w:r>
      <w:r>
        <w:rPr>
          <w:color w:val="auto"/>
          <w:highlight w:val="none"/>
        </w:rPr>
        <w:tab/>
      </w:r>
      <w:r>
        <w:rPr>
          <w:color w:val="auto"/>
          <w:highlight w:val="none"/>
        </w:rPr>
        <w:fldChar w:fldCharType="begin"/>
      </w:r>
      <w:r>
        <w:rPr>
          <w:color w:val="auto"/>
          <w:highlight w:val="none"/>
        </w:rPr>
        <w:instrText xml:space="preserve"> PAGEREF _Toc17915 </w:instrText>
      </w:r>
      <w:r>
        <w:rPr>
          <w:color w:val="auto"/>
          <w:highlight w:val="none"/>
        </w:rPr>
        <w:fldChar w:fldCharType="separate"/>
      </w:r>
      <w:r>
        <w:rPr>
          <w:color w:val="auto"/>
          <w:highlight w:val="none"/>
        </w:rPr>
        <w:t>44</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_Toc14606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7</w:t>
      </w:r>
      <w:r>
        <w:rPr>
          <w:rFonts w:hint="eastAsia" w:ascii="宋体" w:hAnsi="宋体" w:cs="宋体"/>
          <w:color w:val="auto"/>
          <w:szCs w:val="30"/>
          <w:highlight w:val="none"/>
        </w:rPr>
        <w:t>）</w:t>
      </w:r>
      <w:r>
        <w:rPr>
          <w:rFonts w:hint="eastAsia" w:ascii="宋体" w:hAnsi="宋体" w:cs="宋体"/>
          <w:color w:val="auto"/>
          <w:szCs w:val="30"/>
          <w:highlight w:val="none"/>
          <w:lang w:val="zh-CN"/>
        </w:rPr>
        <w:t>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_Toc14606 </w:instrText>
      </w:r>
      <w:r>
        <w:rPr>
          <w:color w:val="auto"/>
          <w:highlight w:val="none"/>
        </w:rPr>
        <w:fldChar w:fldCharType="separate"/>
      </w:r>
      <w:r>
        <w:rPr>
          <w:color w:val="auto"/>
          <w:highlight w:val="none"/>
        </w:rPr>
        <w:t>45</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_Toc27107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8</w:t>
      </w:r>
      <w:r>
        <w:rPr>
          <w:rFonts w:hint="eastAsia" w:ascii="宋体" w:hAnsi="宋体" w:cs="宋体"/>
          <w:color w:val="auto"/>
          <w:szCs w:val="30"/>
          <w:highlight w:val="none"/>
        </w:rPr>
        <w:t>）</w:t>
      </w:r>
      <w:r>
        <w:rPr>
          <w:rFonts w:hint="eastAsia" w:ascii="宋体" w:hAnsi="宋体" w:cs="宋体"/>
          <w:color w:val="auto"/>
          <w:szCs w:val="30"/>
          <w:highlight w:val="none"/>
          <w:lang w:val="zh-CN"/>
        </w:rPr>
        <w:t>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_Toc27107 </w:instrText>
      </w:r>
      <w:r>
        <w:rPr>
          <w:color w:val="auto"/>
          <w:highlight w:val="none"/>
        </w:rPr>
        <w:fldChar w:fldCharType="separate"/>
      </w:r>
      <w:r>
        <w:rPr>
          <w:color w:val="auto"/>
          <w:highlight w:val="none"/>
        </w:rPr>
        <w:t>46</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_Toc18281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9</w:t>
      </w:r>
      <w:r>
        <w:rPr>
          <w:rFonts w:hint="eastAsia" w:ascii="宋体" w:hAnsi="宋体" w:cs="宋体"/>
          <w:color w:val="auto"/>
          <w:szCs w:val="30"/>
          <w:highlight w:val="none"/>
        </w:rPr>
        <w:t>）</w:t>
      </w:r>
      <w:r>
        <w:rPr>
          <w:rFonts w:hint="eastAsia" w:ascii="宋体" w:hAnsi="宋体" w:cs="宋体"/>
          <w:color w:val="auto"/>
          <w:szCs w:val="30"/>
          <w:highlight w:val="none"/>
          <w:lang w:val="zh-CN"/>
        </w:rPr>
        <w:t>无重大违法记录声明</w:t>
      </w:r>
      <w:r>
        <w:rPr>
          <w:color w:val="auto"/>
          <w:highlight w:val="none"/>
        </w:rPr>
        <w:tab/>
      </w:r>
      <w:r>
        <w:rPr>
          <w:color w:val="auto"/>
          <w:highlight w:val="none"/>
        </w:rPr>
        <w:fldChar w:fldCharType="begin"/>
      </w:r>
      <w:r>
        <w:rPr>
          <w:color w:val="auto"/>
          <w:highlight w:val="none"/>
        </w:rPr>
        <w:instrText xml:space="preserve"> PAGEREF _Toc18281 </w:instrText>
      </w:r>
      <w:r>
        <w:rPr>
          <w:color w:val="auto"/>
          <w:highlight w:val="none"/>
        </w:rPr>
        <w:fldChar w:fldCharType="separate"/>
      </w:r>
      <w:r>
        <w:rPr>
          <w:color w:val="auto"/>
          <w:highlight w:val="none"/>
        </w:rPr>
        <w:t>47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_Toc29749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10</w:t>
      </w:r>
      <w:r>
        <w:rPr>
          <w:rFonts w:hint="eastAsia" w:ascii="宋体" w:hAnsi="宋体" w:cs="宋体"/>
          <w:color w:val="auto"/>
          <w:szCs w:val="30"/>
          <w:highlight w:val="none"/>
        </w:rPr>
        <w:t>）</w:t>
      </w:r>
      <w:r>
        <w:rPr>
          <w:rFonts w:hint="eastAsia" w:ascii="宋体" w:hAnsi="宋体" w:cs="宋体"/>
          <w:color w:val="auto"/>
          <w:szCs w:val="30"/>
          <w:highlight w:val="none"/>
          <w:lang w:val="zh-CN"/>
        </w:rPr>
        <w:t>投标保证金证明</w:t>
      </w:r>
      <w:r>
        <w:rPr>
          <w:color w:val="auto"/>
          <w:highlight w:val="none"/>
        </w:rPr>
        <w:tab/>
      </w:r>
      <w:r>
        <w:rPr>
          <w:color w:val="auto"/>
          <w:highlight w:val="none"/>
        </w:rPr>
        <w:fldChar w:fldCharType="begin"/>
      </w:r>
      <w:r>
        <w:rPr>
          <w:color w:val="auto"/>
          <w:highlight w:val="none"/>
        </w:rPr>
        <w:instrText xml:space="preserve"> PAGEREF _Toc29749 </w:instrText>
      </w:r>
      <w:r>
        <w:rPr>
          <w:color w:val="auto"/>
          <w:highlight w:val="none"/>
        </w:rPr>
        <w:fldChar w:fldCharType="separate"/>
      </w:r>
      <w:r>
        <w:rPr>
          <w:color w:val="auto"/>
          <w:highlight w:val="none"/>
        </w:rPr>
        <w:t>48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_Toc7533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lang w:val="zh-CN"/>
        </w:rPr>
        <w:t>三、投标文件封面（下册）</w:t>
      </w:r>
      <w:r>
        <w:rPr>
          <w:color w:val="auto"/>
          <w:highlight w:val="none"/>
        </w:rPr>
        <w:tab/>
      </w:r>
      <w:r>
        <w:rPr>
          <w:color w:val="auto"/>
          <w:highlight w:val="none"/>
        </w:rPr>
        <w:fldChar w:fldCharType="begin"/>
      </w:r>
      <w:r>
        <w:rPr>
          <w:color w:val="auto"/>
          <w:highlight w:val="none"/>
        </w:rPr>
        <w:instrText xml:space="preserve"> PAGEREF _Toc7533 </w:instrText>
      </w:r>
      <w:r>
        <w:rPr>
          <w:color w:val="auto"/>
          <w:highlight w:val="none"/>
        </w:rPr>
        <w:fldChar w:fldCharType="separate"/>
      </w:r>
      <w:r>
        <w:rPr>
          <w:color w:val="auto"/>
          <w:highlight w:val="none"/>
        </w:rPr>
        <w:t>49</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_Toc21474 </w:instrText>
      </w:r>
      <w:r>
        <w:rPr>
          <w:rFonts w:ascii="宋体" w:hAnsi="宋体" w:cs="宋体"/>
          <w:bCs/>
          <w:color w:val="auto"/>
          <w:kern w:val="0"/>
          <w:szCs w:val="21"/>
          <w:highlight w:val="none"/>
        </w:rPr>
        <w:fldChar w:fldCharType="separate"/>
      </w:r>
      <w:r>
        <w:rPr>
          <w:rFonts w:ascii="宋体" w:cs="Times New Roman"/>
          <w:color w:val="auto"/>
          <w:szCs w:val="30"/>
          <w:highlight w:val="none"/>
          <w:lang w:val="zh-CN"/>
        </w:rPr>
        <w:t xml:space="preserve">（11） </w:t>
      </w:r>
      <w:r>
        <w:rPr>
          <w:rFonts w:hint="eastAsia" w:ascii="宋体" w:hAnsi="宋体" w:cs="宋体"/>
          <w:color w:val="auto"/>
          <w:szCs w:val="30"/>
          <w:highlight w:val="none"/>
          <w:lang w:val="zh-CN"/>
        </w:rPr>
        <w:t>评分对照表</w:t>
      </w:r>
      <w:r>
        <w:rPr>
          <w:color w:val="auto"/>
          <w:highlight w:val="none"/>
        </w:rPr>
        <w:tab/>
      </w:r>
      <w:r>
        <w:rPr>
          <w:color w:val="auto"/>
          <w:highlight w:val="none"/>
        </w:rPr>
        <w:fldChar w:fldCharType="begin"/>
      </w:r>
      <w:r>
        <w:rPr>
          <w:color w:val="auto"/>
          <w:highlight w:val="none"/>
        </w:rPr>
        <w:instrText xml:space="preserve"> PAGEREF _Toc21474 </w:instrText>
      </w:r>
      <w:r>
        <w:rPr>
          <w:color w:val="auto"/>
          <w:highlight w:val="none"/>
        </w:rPr>
        <w:fldChar w:fldCharType="separate"/>
      </w:r>
      <w:r>
        <w:rPr>
          <w:color w:val="auto"/>
          <w:highlight w:val="none"/>
        </w:rPr>
        <w:t>51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_Toc5977 </w:instrText>
      </w:r>
      <w:r>
        <w:rPr>
          <w:rFonts w:ascii="宋体" w:hAnsi="宋体" w:cs="宋体"/>
          <w:bCs/>
          <w:color w:val="auto"/>
          <w:kern w:val="0"/>
          <w:szCs w:val="21"/>
          <w:highlight w:val="none"/>
        </w:rPr>
        <w:fldChar w:fldCharType="separate"/>
      </w:r>
      <w:r>
        <w:rPr>
          <w:rFonts w:ascii="宋体" w:cs="Times New Roman"/>
          <w:color w:val="auto"/>
          <w:szCs w:val="30"/>
          <w:highlight w:val="none"/>
          <w:lang w:val="zh-CN"/>
        </w:rPr>
        <w:t xml:space="preserve">（12） </w:t>
      </w:r>
      <w:r>
        <w:rPr>
          <w:rFonts w:hint="eastAsia" w:ascii="宋体" w:hAnsi="宋体" w:cs="宋体"/>
          <w:color w:val="auto"/>
          <w:szCs w:val="30"/>
          <w:highlight w:val="none"/>
          <w:lang w:val="zh-CN"/>
        </w:rPr>
        <w:t>开标一览表（报价表）</w:t>
      </w:r>
      <w:r>
        <w:rPr>
          <w:color w:val="auto"/>
          <w:highlight w:val="none"/>
        </w:rPr>
        <w:tab/>
      </w:r>
      <w:r>
        <w:rPr>
          <w:color w:val="auto"/>
          <w:highlight w:val="none"/>
        </w:rPr>
        <w:fldChar w:fldCharType="begin"/>
      </w:r>
      <w:r>
        <w:rPr>
          <w:color w:val="auto"/>
          <w:highlight w:val="none"/>
        </w:rPr>
        <w:instrText xml:space="preserve"> PAGEREF _Toc5977 </w:instrText>
      </w:r>
      <w:r>
        <w:rPr>
          <w:color w:val="auto"/>
          <w:highlight w:val="none"/>
        </w:rPr>
        <w:fldChar w:fldCharType="separate"/>
      </w:r>
      <w:r>
        <w:rPr>
          <w:color w:val="auto"/>
          <w:highlight w:val="none"/>
        </w:rPr>
        <w:t>52</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_Toc24800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lang w:val="zh-CN"/>
        </w:rPr>
        <w:t>（</w:t>
      </w:r>
      <w:r>
        <w:rPr>
          <w:rFonts w:ascii="宋体" w:hAnsi="宋体" w:cs="宋体"/>
          <w:color w:val="auto"/>
          <w:szCs w:val="30"/>
          <w:highlight w:val="none"/>
          <w:lang w:val="zh-CN"/>
        </w:rPr>
        <w:t>1</w:t>
      </w:r>
      <w:r>
        <w:rPr>
          <w:rFonts w:ascii="宋体" w:hAnsi="宋体" w:cs="宋体"/>
          <w:color w:val="auto"/>
          <w:szCs w:val="30"/>
          <w:highlight w:val="none"/>
        </w:rPr>
        <w:t>3</w:t>
      </w:r>
      <w:r>
        <w:rPr>
          <w:rFonts w:hint="eastAsia" w:ascii="宋体" w:hAnsi="宋体" w:cs="宋体"/>
          <w:color w:val="auto"/>
          <w:szCs w:val="30"/>
          <w:highlight w:val="none"/>
          <w:lang w:val="zh-CN"/>
        </w:rPr>
        <w:t>）分项报价表</w:t>
      </w:r>
      <w:r>
        <w:rPr>
          <w:color w:val="auto"/>
          <w:highlight w:val="none"/>
        </w:rPr>
        <w:tab/>
      </w:r>
      <w:r>
        <w:rPr>
          <w:color w:val="auto"/>
          <w:highlight w:val="none"/>
        </w:rPr>
        <w:fldChar w:fldCharType="begin"/>
      </w:r>
      <w:r>
        <w:rPr>
          <w:color w:val="auto"/>
          <w:highlight w:val="none"/>
        </w:rPr>
        <w:instrText xml:space="preserve"> PAGEREF _Toc24800 </w:instrText>
      </w:r>
      <w:r>
        <w:rPr>
          <w:color w:val="auto"/>
          <w:highlight w:val="none"/>
        </w:rPr>
        <w:fldChar w:fldCharType="separate"/>
      </w:r>
      <w:r>
        <w:rPr>
          <w:color w:val="auto"/>
          <w:highlight w:val="none"/>
        </w:rPr>
        <w:t>53</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_Toc12092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14</w:t>
      </w:r>
      <w:r>
        <w:rPr>
          <w:rFonts w:hint="eastAsia" w:ascii="宋体" w:hAnsi="宋体" w:cs="宋体"/>
          <w:color w:val="auto"/>
          <w:szCs w:val="30"/>
          <w:highlight w:val="none"/>
        </w:rPr>
        <w:t>）</w:t>
      </w:r>
      <w:r>
        <w:rPr>
          <w:rFonts w:hint="eastAsia" w:ascii="宋体" w:hAnsi="宋体" w:cs="宋体"/>
          <w:color w:val="auto"/>
          <w:szCs w:val="30"/>
          <w:highlight w:val="none"/>
          <w:lang w:val="zh-CN"/>
        </w:rPr>
        <w:t>技术规格响应表</w:t>
      </w:r>
      <w:r>
        <w:rPr>
          <w:color w:val="auto"/>
          <w:highlight w:val="none"/>
        </w:rPr>
        <w:tab/>
      </w:r>
      <w:r>
        <w:rPr>
          <w:color w:val="auto"/>
          <w:highlight w:val="none"/>
        </w:rPr>
        <w:fldChar w:fldCharType="begin"/>
      </w:r>
      <w:r>
        <w:rPr>
          <w:color w:val="auto"/>
          <w:highlight w:val="none"/>
        </w:rPr>
        <w:instrText xml:space="preserve"> PAGEREF _Toc12092 </w:instrText>
      </w:r>
      <w:r>
        <w:rPr>
          <w:color w:val="auto"/>
          <w:highlight w:val="none"/>
        </w:rPr>
        <w:fldChar w:fldCharType="separate"/>
      </w:r>
      <w:r>
        <w:rPr>
          <w:color w:val="auto"/>
          <w:highlight w:val="none"/>
        </w:rPr>
        <w:t>54</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_Toc20288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15</w:t>
      </w:r>
      <w:r>
        <w:rPr>
          <w:rFonts w:hint="eastAsia" w:ascii="宋体" w:hAnsi="宋体" w:cs="宋体"/>
          <w:color w:val="auto"/>
          <w:szCs w:val="30"/>
          <w:highlight w:val="none"/>
        </w:rPr>
        <w:t>）</w:t>
      </w:r>
      <w:r>
        <w:rPr>
          <w:rFonts w:hint="eastAsia" w:ascii="宋体" w:hAnsi="宋体" w:cs="宋体"/>
          <w:color w:val="auto"/>
          <w:szCs w:val="30"/>
          <w:highlight w:val="none"/>
          <w:lang w:val="zh-CN"/>
        </w:rPr>
        <w:t>投标产品相关资料</w:t>
      </w:r>
      <w:r>
        <w:rPr>
          <w:color w:val="auto"/>
          <w:highlight w:val="none"/>
        </w:rPr>
        <w:tab/>
      </w:r>
      <w:r>
        <w:rPr>
          <w:color w:val="auto"/>
          <w:highlight w:val="none"/>
        </w:rPr>
        <w:fldChar w:fldCharType="begin"/>
      </w:r>
      <w:r>
        <w:rPr>
          <w:color w:val="auto"/>
          <w:highlight w:val="none"/>
        </w:rPr>
        <w:instrText xml:space="preserve"> PAGEREF _Toc20288 </w:instrText>
      </w:r>
      <w:r>
        <w:rPr>
          <w:color w:val="auto"/>
          <w:highlight w:val="none"/>
        </w:rPr>
        <w:fldChar w:fldCharType="separate"/>
      </w:r>
      <w:r>
        <w:rPr>
          <w:color w:val="auto"/>
          <w:highlight w:val="none"/>
        </w:rPr>
        <w:t>55</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_Toc27161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16</w:t>
      </w:r>
      <w:r>
        <w:rPr>
          <w:rFonts w:hint="eastAsia" w:ascii="宋体" w:hAnsi="宋体" w:cs="宋体"/>
          <w:color w:val="auto"/>
          <w:szCs w:val="30"/>
          <w:highlight w:val="none"/>
        </w:rPr>
        <w:t>）</w:t>
      </w:r>
      <w:r>
        <w:rPr>
          <w:rFonts w:hint="eastAsia" w:ascii="宋体" w:hAnsi="宋体" w:cs="宋体"/>
          <w:color w:val="auto"/>
          <w:szCs w:val="30"/>
          <w:highlight w:val="none"/>
          <w:lang w:val="zh-CN"/>
        </w:rPr>
        <w:t>投标人的类似业绩证明材料</w:t>
      </w:r>
      <w:r>
        <w:rPr>
          <w:color w:val="auto"/>
          <w:highlight w:val="none"/>
        </w:rPr>
        <w:tab/>
      </w:r>
      <w:r>
        <w:rPr>
          <w:color w:val="auto"/>
          <w:highlight w:val="none"/>
        </w:rPr>
        <w:fldChar w:fldCharType="begin"/>
      </w:r>
      <w:r>
        <w:rPr>
          <w:color w:val="auto"/>
          <w:highlight w:val="none"/>
        </w:rPr>
        <w:instrText xml:space="preserve"> PAGEREF _Toc27161 </w:instrText>
      </w:r>
      <w:r>
        <w:rPr>
          <w:color w:val="auto"/>
          <w:highlight w:val="none"/>
        </w:rPr>
        <w:fldChar w:fldCharType="separate"/>
      </w:r>
      <w:r>
        <w:rPr>
          <w:color w:val="auto"/>
          <w:highlight w:val="none"/>
        </w:rPr>
        <w:t>56</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_Toc5202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17</w:t>
      </w:r>
      <w:r>
        <w:rPr>
          <w:rFonts w:hint="eastAsia" w:ascii="宋体" w:hAnsi="宋体" w:cs="宋体"/>
          <w:color w:val="auto"/>
          <w:szCs w:val="30"/>
          <w:highlight w:val="none"/>
        </w:rPr>
        <w:t>）</w:t>
      </w:r>
      <w:r>
        <w:rPr>
          <w:rFonts w:hint="eastAsia" w:ascii="宋体" w:hAnsi="宋体" w:cs="宋体"/>
          <w:color w:val="auto"/>
          <w:szCs w:val="30"/>
          <w:highlight w:val="none"/>
          <w:lang w:val="zh-CN"/>
        </w:rPr>
        <w:t>制造（生产）企业小型、微型企业声明函</w:t>
      </w:r>
      <w:r>
        <w:rPr>
          <w:color w:val="auto"/>
          <w:highlight w:val="none"/>
        </w:rPr>
        <w:tab/>
      </w:r>
      <w:r>
        <w:rPr>
          <w:color w:val="auto"/>
          <w:highlight w:val="none"/>
        </w:rPr>
        <w:fldChar w:fldCharType="begin"/>
      </w:r>
      <w:r>
        <w:rPr>
          <w:color w:val="auto"/>
          <w:highlight w:val="none"/>
        </w:rPr>
        <w:instrText xml:space="preserve"> PAGEREF _Toc5202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_Toc8970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1</w:t>
      </w:r>
      <w:r>
        <w:rPr>
          <w:rFonts w:hint="eastAsia" w:ascii="宋体" w:hAnsi="宋体" w:cs="宋体"/>
          <w:color w:val="auto"/>
          <w:szCs w:val="30"/>
          <w:highlight w:val="none"/>
        </w:rPr>
        <w:t>8）</w:t>
      </w:r>
      <w:r>
        <w:rPr>
          <w:rFonts w:hint="eastAsia" w:ascii="宋体" w:hAnsi="宋体" w:cs="宋体"/>
          <w:color w:val="auto"/>
          <w:szCs w:val="30"/>
          <w:highlight w:val="none"/>
          <w:lang w:val="zh-CN"/>
        </w:rPr>
        <w:t>从业人员声明函</w:t>
      </w:r>
      <w:r>
        <w:rPr>
          <w:color w:val="auto"/>
          <w:highlight w:val="none"/>
        </w:rPr>
        <w:tab/>
      </w:r>
      <w:r>
        <w:rPr>
          <w:color w:val="auto"/>
          <w:highlight w:val="none"/>
        </w:rPr>
        <w:fldChar w:fldCharType="begin"/>
      </w:r>
      <w:r>
        <w:rPr>
          <w:color w:val="auto"/>
          <w:highlight w:val="none"/>
        </w:rPr>
        <w:instrText xml:space="preserve"> PAGEREF _Toc8970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_Toc5540 </w:instrText>
      </w:r>
      <w:r>
        <w:rPr>
          <w:rFonts w:ascii="宋体" w:hAnsi="宋体" w:cs="宋体"/>
          <w:bCs/>
          <w:color w:val="auto"/>
          <w:kern w:val="0"/>
          <w:szCs w:val="21"/>
          <w:highlight w:val="none"/>
        </w:rPr>
        <w:fldChar w:fldCharType="separate"/>
      </w:r>
      <w:r>
        <w:rPr>
          <w:rFonts w:hint="eastAsia" w:ascii="宋体" w:hAnsi="宋体" w:cs="宋体"/>
          <w:bCs w:val="0"/>
          <w:color w:val="auto"/>
          <w:szCs w:val="30"/>
          <w:highlight w:val="none"/>
          <w:lang w:val="zh-CN"/>
        </w:rPr>
        <w:t>（</w:t>
      </w:r>
      <w:r>
        <w:rPr>
          <w:rFonts w:hint="eastAsia" w:ascii="宋体" w:hAnsi="宋体" w:cs="宋体"/>
          <w:color w:val="auto"/>
          <w:szCs w:val="30"/>
          <w:highlight w:val="none"/>
        </w:rPr>
        <w:t>19</w:t>
      </w:r>
      <w:r>
        <w:rPr>
          <w:rFonts w:hint="eastAsia" w:ascii="宋体" w:hAnsi="宋体" w:cs="宋体"/>
          <w:color w:val="auto"/>
          <w:szCs w:val="30"/>
          <w:highlight w:val="none"/>
          <w:lang w:val="zh-CN"/>
        </w:rPr>
        <w:t>）残疾人</w:t>
      </w:r>
      <w:r>
        <w:rPr>
          <w:rFonts w:hint="eastAsia" w:ascii="宋体" w:hAnsi="宋体" w:cs="宋体"/>
          <w:color w:val="auto"/>
          <w:szCs w:val="30"/>
          <w:highlight w:val="none"/>
        </w:rPr>
        <w:t>福利性单位声明函</w:t>
      </w:r>
      <w:r>
        <w:rPr>
          <w:color w:val="auto"/>
          <w:highlight w:val="none"/>
        </w:rPr>
        <w:tab/>
      </w:r>
      <w:r>
        <w:rPr>
          <w:color w:val="auto"/>
          <w:highlight w:val="none"/>
        </w:rPr>
        <w:fldChar w:fldCharType="begin"/>
      </w:r>
      <w:r>
        <w:rPr>
          <w:color w:val="auto"/>
          <w:highlight w:val="none"/>
        </w:rPr>
        <w:instrText xml:space="preserve"> PAGEREF _Toc5540 </w:instrText>
      </w:r>
      <w:r>
        <w:rPr>
          <w:color w:val="auto"/>
          <w:highlight w:val="none"/>
        </w:rPr>
        <w:fldChar w:fldCharType="separate"/>
      </w:r>
      <w:r>
        <w:rPr>
          <w:color w:val="auto"/>
          <w:highlight w:val="none"/>
        </w:rPr>
        <w:t>59</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_Toc19652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rPr>
        <w:t>（</w:t>
      </w:r>
      <w:r>
        <w:rPr>
          <w:rFonts w:ascii="宋体" w:hAnsi="宋体" w:cs="宋体"/>
          <w:color w:val="auto"/>
          <w:szCs w:val="30"/>
          <w:highlight w:val="none"/>
        </w:rPr>
        <w:t>2</w:t>
      </w:r>
      <w:r>
        <w:rPr>
          <w:rFonts w:hint="eastAsia" w:ascii="宋体" w:hAnsi="宋体" w:cs="宋体"/>
          <w:color w:val="auto"/>
          <w:szCs w:val="30"/>
          <w:highlight w:val="none"/>
        </w:rPr>
        <w:t>0）</w:t>
      </w:r>
      <w:r>
        <w:rPr>
          <w:rFonts w:hint="eastAsia" w:ascii="宋体" w:hAnsi="宋体" w:cs="宋体"/>
          <w:color w:val="auto"/>
          <w:szCs w:val="30"/>
          <w:highlight w:val="none"/>
          <w:lang w:val="zh-CN"/>
        </w:rPr>
        <w:t>投标人认为在其他方面有必要说明的事项</w:t>
      </w:r>
      <w:r>
        <w:rPr>
          <w:color w:val="auto"/>
          <w:highlight w:val="none"/>
        </w:rPr>
        <w:tab/>
      </w:r>
      <w:r>
        <w:rPr>
          <w:color w:val="auto"/>
          <w:highlight w:val="none"/>
        </w:rPr>
        <w:fldChar w:fldCharType="begin"/>
      </w:r>
      <w:r>
        <w:rPr>
          <w:color w:val="auto"/>
          <w:highlight w:val="none"/>
        </w:rPr>
        <w:instrText xml:space="preserve"> PAGEREF _Toc19652 </w:instrText>
      </w:r>
      <w:r>
        <w:rPr>
          <w:color w:val="auto"/>
          <w:highlight w:val="none"/>
        </w:rPr>
        <w:fldChar w:fldCharType="separate"/>
      </w:r>
      <w:r>
        <w:rPr>
          <w:color w:val="auto"/>
          <w:highlight w:val="none"/>
        </w:rPr>
        <w:t>60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_Toc30990 </w:instrText>
      </w:r>
      <w:r>
        <w:rPr>
          <w:rFonts w:ascii="宋体" w:hAnsi="宋体" w:cs="宋体"/>
          <w:bCs/>
          <w:color w:val="auto"/>
          <w:kern w:val="0"/>
          <w:szCs w:val="21"/>
          <w:highlight w:val="none"/>
        </w:rPr>
        <w:fldChar w:fldCharType="separate"/>
      </w:r>
      <w:r>
        <w:rPr>
          <w:rFonts w:hint="eastAsia" w:ascii="宋体" w:hAnsi="宋体" w:cs="宋体"/>
          <w:color w:val="auto"/>
          <w:szCs w:val="30"/>
          <w:highlight w:val="none"/>
          <w:lang w:val="zh-CN"/>
        </w:rPr>
        <w:t>项目管理及实施方案、售后服务计划等</w:t>
      </w:r>
      <w:r>
        <w:rPr>
          <w:color w:val="auto"/>
          <w:highlight w:val="none"/>
        </w:rPr>
        <w:tab/>
      </w:r>
      <w:r>
        <w:rPr>
          <w:color w:val="auto"/>
          <w:highlight w:val="none"/>
        </w:rPr>
        <w:fldChar w:fldCharType="begin"/>
      </w:r>
      <w:r>
        <w:rPr>
          <w:color w:val="auto"/>
          <w:highlight w:val="none"/>
        </w:rPr>
        <w:instrText xml:space="preserve"> PAGEREF _Toc30990 </w:instrText>
      </w:r>
      <w:r>
        <w:rPr>
          <w:color w:val="auto"/>
          <w:highlight w:val="none"/>
        </w:rPr>
        <w:fldChar w:fldCharType="separate"/>
      </w:r>
      <w:r>
        <w:rPr>
          <w:color w:val="auto"/>
          <w:highlight w:val="none"/>
        </w:rPr>
        <w:t>60</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_Toc17378 </w:instrText>
      </w:r>
      <w:r>
        <w:rPr>
          <w:rFonts w:ascii="宋体" w:hAnsi="宋体" w:cs="宋体"/>
          <w:bCs/>
          <w:color w:val="auto"/>
          <w:kern w:val="0"/>
          <w:szCs w:val="21"/>
          <w:highlight w:val="none"/>
        </w:rPr>
        <w:fldChar w:fldCharType="separate"/>
      </w:r>
      <w:r>
        <w:rPr>
          <w:rFonts w:hint="eastAsia" w:ascii="宋体" w:hAnsi="宋体" w:cs="宋体"/>
          <w:color w:val="auto"/>
          <w:szCs w:val="36"/>
          <w:highlight w:val="none"/>
          <w:lang w:val="zh-CN"/>
        </w:rPr>
        <w:t>第五部分</w:t>
      </w:r>
      <w:r>
        <w:rPr>
          <w:rFonts w:ascii="宋体" w:hAnsi="宋体" w:cs="宋体"/>
          <w:color w:val="auto"/>
          <w:szCs w:val="36"/>
          <w:highlight w:val="none"/>
          <w:lang w:val="zh-CN"/>
        </w:rPr>
        <w:t xml:space="preserve">  </w:t>
      </w:r>
      <w:r>
        <w:rPr>
          <w:rFonts w:hint="eastAsia" w:ascii="宋体" w:hAnsi="宋体" w:cs="宋体"/>
          <w:color w:val="auto"/>
          <w:szCs w:val="36"/>
          <w:highlight w:val="none"/>
          <w:lang w:val="zh-CN"/>
        </w:rPr>
        <w:t>采购项目要求及技术参数</w:t>
      </w:r>
      <w:r>
        <w:rPr>
          <w:color w:val="auto"/>
          <w:highlight w:val="none"/>
        </w:rPr>
        <w:tab/>
      </w:r>
      <w:r>
        <w:rPr>
          <w:color w:val="auto"/>
          <w:highlight w:val="none"/>
        </w:rPr>
        <w:fldChar w:fldCharType="begin"/>
      </w:r>
      <w:r>
        <w:rPr>
          <w:color w:val="auto"/>
          <w:highlight w:val="none"/>
        </w:rPr>
        <w:instrText xml:space="preserve"> PAGEREF _Toc17378 </w:instrText>
      </w:r>
      <w:r>
        <w:rPr>
          <w:color w:val="auto"/>
          <w:highlight w:val="none"/>
        </w:rPr>
        <w:fldChar w:fldCharType="separate"/>
      </w:r>
      <w:r>
        <w:rPr>
          <w:color w:val="auto"/>
          <w:highlight w:val="none"/>
        </w:rPr>
        <w:t>61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_Toc26170 </w:instrText>
      </w:r>
      <w:r>
        <w:rPr>
          <w:rFonts w:ascii="宋体" w:hAnsi="宋体" w:cs="宋体"/>
          <w:bCs/>
          <w:color w:val="auto"/>
          <w:kern w:val="0"/>
          <w:szCs w:val="21"/>
          <w:highlight w:val="none"/>
        </w:rPr>
        <w:fldChar w:fldCharType="separate"/>
      </w:r>
      <w:r>
        <w:rPr>
          <w:rFonts w:hint="eastAsia" w:ascii="宋体" w:hAnsi="宋体" w:cs="宋体"/>
          <w:color w:val="auto"/>
          <w:highlight w:val="none"/>
          <w:lang w:val="zh-CN"/>
        </w:rPr>
        <w:t>（一）投标要求</w:t>
      </w:r>
      <w:r>
        <w:rPr>
          <w:color w:val="auto"/>
          <w:highlight w:val="none"/>
        </w:rPr>
        <w:tab/>
      </w:r>
      <w:r>
        <w:rPr>
          <w:color w:val="auto"/>
          <w:highlight w:val="none"/>
        </w:rPr>
        <w:fldChar w:fldCharType="begin"/>
      </w:r>
      <w:r>
        <w:rPr>
          <w:color w:val="auto"/>
          <w:highlight w:val="none"/>
        </w:rPr>
        <w:instrText xml:space="preserve"> PAGEREF _Toc26170 </w:instrText>
      </w:r>
      <w:r>
        <w:rPr>
          <w:color w:val="auto"/>
          <w:highlight w:val="none"/>
        </w:rPr>
        <w:fldChar w:fldCharType="separate"/>
      </w:r>
      <w:r>
        <w:rPr>
          <w:color w:val="auto"/>
          <w:highlight w:val="none"/>
        </w:rPr>
        <w:t>61</w:t>
      </w:r>
      <w:r>
        <w:rPr>
          <w:color w:val="auto"/>
          <w:highlight w:val="none"/>
        </w:rPr>
        <w:fldChar w:fldCharType="end"/>
      </w:r>
      <w:r>
        <w:rPr>
          <w:rFonts w:ascii="宋体" w:hAnsi="宋体" w:cs="宋体"/>
          <w:bCs/>
          <w:color w:val="auto"/>
          <w:kern w:val="0"/>
          <w:szCs w:val="21"/>
          <w:highlight w:val="none"/>
          <w:u w:val="none"/>
        </w:rPr>
        <w:fldChar w:fldCharType="end"/>
      </w:r>
    </w:p>
    <w:p>
      <w:pPr>
        <w:pStyle w:val="23"/>
        <w:tabs>
          <w:tab w:val="right" w:leader="dot" w:pos="8243"/>
        </w:tabs>
        <w:rPr>
          <w:color w:val="auto"/>
          <w:highlight w:val="none"/>
        </w:rPr>
      </w:pPr>
      <w:r>
        <w:rPr>
          <w:rFonts w:ascii="宋体" w:hAnsi="宋体" w:cs="宋体"/>
          <w:bCs/>
          <w:color w:val="auto"/>
          <w:kern w:val="0"/>
          <w:szCs w:val="21"/>
          <w:highlight w:val="none"/>
          <w:u w:val="none"/>
        </w:rPr>
        <w:fldChar w:fldCharType="begin"/>
      </w:r>
      <w:r>
        <w:rPr>
          <w:rFonts w:ascii="宋体" w:hAnsi="宋体" w:cs="宋体"/>
          <w:bCs/>
          <w:color w:val="auto"/>
          <w:kern w:val="0"/>
          <w:szCs w:val="21"/>
          <w:highlight w:val="none"/>
        </w:rPr>
        <w:instrText xml:space="preserve"> HYPERLINK \l _Toc24804 </w:instrText>
      </w:r>
      <w:r>
        <w:rPr>
          <w:rFonts w:ascii="宋体" w:hAnsi="宋体" w:cs="宋体"/>
          <w:bCs/>
          <w:color w:val="auto"/>
          <w:kern w:val="0"/>
          <w:szCs w:val="21"/>
          <w:highlight w:val="none"/>
        </w:rPr>
        <w:fldChar w:fldCharType="separate"/>
      </w:r>
      <w:r>
        <w:rPr>
          <w:rFonts w:cs="Times New Roman"/>
          <w:color w:val="auto"/>
          <w:highlight w:val="none"/>
        </w:rPr>
        <w:t xml:space="preserve">（二） </w:t>
      </w:r>
      <w:r>
        <w:rPr>
          <w:rFonts w:hint="eastAsia" w:ascii="宋体" w:hAnsi="宋体" w:cs="宋体"/>
          <w:color w:val="auto"/>
          <w:highlight w:val="none"/>
          <w:lang w:val="zh-CN"/>
        </w:rPr>
        <w:t>项目概况及技术参数</w:t>
      </w:r>
      <w:r>
        <w:rPr>
          <w:color w:val="auto"/>
          <w:highlight w:val="none"/>
        </w:rPr>
        <w:tab/>
      </w:r>
      <w:r>
        <w:rPr>
          <w:color w:val="auto"/>
          <w:highlight w:val="none"/>
        </w:rPr>
        <w:fldChar w:fldCharType="begin"/>
      </w:r>
      <w:r>
        <w:rPr>
          <w:color w:val="auto"/>
          <w:highlight w:val="none"/>
        </w:rPr>
        <w:instrText xml:space="preserve"> PAGEREF _Toc24804 </w:instrText>
      </w:r>
      <w:r>
        <w:rPr>
          <w:color w:val="auto"/>
          <w:highlight w:val="none"/>
        </w:rPr>
        <w:fldChar w:fldCharType="separate"/>
      </w:r>
      <w:r>
        <w:rPr>
          <w:color w:val="auto"/>
          <w:highlight w:val="none"/>
        </w:rPr>
        <w:t>63</w:t>
      </w:r>
      <w:r>
        <w:rPr>
          <w:color w:val="auto"/>
          <w:highlight w:val="none"/>
        </w:rPr>
        <w:fldChar w:fldCharType="end"/>
      </w:r>
      <w:r>
        <w:rPr>
          <w:rFonts w:ascii="宋体" w:hAnsi="宋体" w:cs="宋体"/>
          <w:bCs/>
          <w:color w:val="auto"/>
          <w:kern w:val="0"/>
          <w:szCs w:val="21"/>
          <w:highlight w:val="none"/>
          <w:u w:val="none"/>
        </w:rPr>
        <w:fldChar w:fldCharType="end"/>
      </w:r>
    </w:p>
    <w:p>
      <w:pPr>
        <w:spacing w:line="360" w:lineRule="auto"/>
        <w:rPr>
          <w:rFonts w:ascii="宋体" w:cs="宋体"/>
          <w:color w:val="auto"/>
          <w:highlight w:val="none"/>
          <w:u w:val="none"/>
        </w:rPr>
      </w:pPr>
      <w:r>
        <w:rPr>
          <w:rFonts w:ascii="宋体" w:hAnsi="宋体" w:cs="宋体"/>
          <w:bCs/>
          <w:color w:val="auto"/>
          <w:kern w:val="0"/>
          <w:szCs w:val="21"/>
          <w:highlight w:val="none"/>
          <w:u w:val="none"/>
        </w:rPr>
        <w:fldChar w:fldCharType="end"/>
      </w:r>
    </w:p>
    <w:p>
      <w:pPr>
        <w:pStyle w:val="29"/>
        <w:spacing w:before="0" w:after="0" w:line="360" w:lineRule="auto"/>
        <w:rPr>
          <w:rFonts w:ascii="宋体" w:hAnsi="宋体" w:cs="宋体"/>
          <w:color w:val="auto"/>
          <w:sz w:val="24"/>
          <w:highlight w:val="none"/>
          <w:u w:val="none"/>
        </w:rPr>
      </w:pPr>
      <w:r>
        <w:rPr>
          <w:rFonts w:ascii="宋体" w:hAnsi="宋体" w:cs="宋体"/>
          <w:color w:val="auto"/>
          <w:highlight w:val="none"/>
          <w:u w:val="none"/>
        </w:rPr>
        <w:t xml:space="preserve"> </w:t>
      </w:r>
      <w:r>
        <w:rPr>
          <w:rFonts w:ascii="宋体" w:hAnsi="宋体" w:cs="宋体"/>
          <w:color w:val="auto"/>
          <w:highlight w:val="none"/>
          <w:u w:val="none"/>
        </w:rPr>
        <w:br w:type="page"/>
      </w:r>
      <w:r>
        <w:rPr>
          <w:rFonts w:hint="eastAsia" w:ascii="宋体" w:hAnsi="宋体" w:eastAsia="宋体" w:cs="宋体"/>
          <w:b/>
          <w:bCs/>
          <w:color w:val="auto"/>
          <w:kern w:val="2"/>
          <w:sz w:val="36"/>
          <w:szCs w:val="36"/>
          <w:highlight w:val="none"/>
          <w:u w:val="none"/>
          <w:lang w:val="zh-CN" w:eastAsia="zh-CN" w:bidi="ar-SA"/>
        </w:rPr>
        <w:t xml:space="preserve">  </w:t>
      </w:r>
      <w:bookmarkStart w:id="0" w:name="_Toc16714"/>
      <w:bookmarkStart w:id="1" w:name="_Toc20531"/>
      <w:bookmarkStart w:id="2" w:name="_Toc428180535"/>
      <w:r>
        <w:rPr>
          <w:rFonts w:hint="eastAsia" w:ascii="宋体" w:hAnsi="宋体" w:eastAsia="宋体" w:cs="宋体"/>
          <w:b/>
          <w:bCs/>
          <w:color w:val="auto"/>
          <w:kern w:val="2"/>
          <w:sz w:val="36"/>
          <w:szCs w:val="36"/>
          <w:highlight w:val="none"/>
          <w:u w:val="none"/>
          <w:lang w:val="zh-CN" w:eastAsia="zh-CN" w:bidi="ar-SA"/>
        </w:rPr>
        <w:t xml:space="preserve">第一部分  </w:t>
      </w:r>
      <w:bookmarkStart w:id="3" w:name="_Toc35393789"/>
      <w:bookmarkStart w:id="4" w:name="_Toc28359001"/>
      <w:r>
        <w:rPr>
          <w:rFonts w:hint="eastAsia" w:ascii="宋体" w:hAnsi="宋体" w:eastAsia="宋体" w:cs="宋体"/>
          <w:b/>
          <w:bCs/>
          <w:color w:val="auto"/>
          <w:kern w:val="2"/>
          <w:sz w:val="36"/>
          <w:szCs w:val="36"/>
          <w:highlight w:val="none"/>
          <w:u w:val="none"/>
          <w:lang w:val="zh-CN" w:eastAsia="zh-CN" w:bidi="ar-SA"/>
        </w:rPr>
        <w:t>招标公告</w:t>
      </w:r>
      <w:bookmarkEnd w:id="0"/>
      <w:bookmarkEnd w:id="1"/>
      <w:bookmarkEnd w:id="3"/>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highlight w:val="none"/>
          <w:u w:val="none"/>
        </w:rPr>
      </w:pPr>
      <w:r>
        <w:rPr>
          <w:rFonts w:hint="eastAsia" w:ascii="宋体" w:hAnsi="宋体" w:cs="宋体"/>
          <w:color w:val="auto"/>
          <w:highlight w:val="none"/>
          <w:u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highlight w:val="none"/>
          <w:u w:val="none"/>
        </w:rPr>
      </w:pPr>
      <w:r>
        <w:rPr>
          <w:rFonts w:hint="eastAsia" w:ascii="宋体" w:hAnsi="宋体" w:cs="宋体"/>
          <w:bCs/>
          <w:color w:val="auto"/>
          <w:highlight w:val="none"/>
          <w:u w:val="none"/>
          <w:lang w:eastAsia="zh-CN"/>
        </w:rPr>
        <w:t>青海省司法行政系统应急指挥中心三级联建项目</w:t>
      </w:r>
      <w:r>
        <w:rPr>
          <w:rFonts w:hint="eastAsia" w:ascii="宋体" w:hAnsi="宋体" w:cs="宋体"/>
          <w:color w:val="auto"/>
          <w:highlight w:val="none"/>
          <w:u w:val="none"/>
        </w:rPr>
        <w:t>招标项目的潜在投标人应在</w:t>
      </w:r>
      <w:r>
        <w:rPr>
          <w:rFonts w:hint="eastAsia" w:ascii="宋体" w:hAnsi="宋体" w:cs="宋体"/>
          <w:bCs/>
          <w:color w:val="auto"/>
          <w:highlight w:val="none"/>
          <w:u w:val="none"/>
        </w:rPr>
        <w:t>（</w:t>
      </w:r>
      <w:r>
        <w:rPr>
          <w:rFonts w:hint="eastAsia" w:ascii="宋体" w:hAnsi="宋体" w:cs="宋体"/>
          <w:bCs/>
          <w:color w:val="auto"/>
          <w:highlight w:val="none"/>
          <w:u w:val="none"/>
          <w:lang w:val="zh-CN"/>
        </w:rPr>
        <w:t>西宁市城西区海湖新区五四西路61号新华联国际中心1号楼9楼1091室</w:t>
      </w:r>
      <w:r>
        <w:rPr>
          <w:rFonts w:hint="eastAsia" w:ascii="宋体" w:hAnsi="宋体" w:cs="宋体"/>
          <w:bCs/>
          <w:color w:val="auto"/>
          <w:highlight w:val="none"/>
          <w:u w:val="none"/>
        </w:rPr>
        <w:t>）</w:t>
      </w:r>
      <w:r>
        <w:rPr>
          <w:rFonts w:hint="eastAsia" w:ascii="宋体" w:hAnsi="宋体" w:cs="宋体"/>
          <w:color w:val="auto"/>
          <w:highlight w:val="none"/>
          <w:u w:val="none"/>
        </w:rPr>
        <w:t>获取招标文件，并于</w:t>
      </w:r>
      <w:r>
        <w:rPr>
          <w:rFonts w:hint="eastAsia" w:ascii="宋体" w:hAnsi="宋体" w:cs="宋体"/>
          <w:b/>
          <w:color w:val="auto"/>
          <w:highlight w:val="none"/>
          <w:u w:val="none"/>
        </w:rPr>
        <w:t>2021年</w:t>
      </w:r>
      <w:r>
        <w:rPr>
          <w:rFonts w:hint="eastAsia" w:ascii="宋体" w:hAnsi="宋体" w:cs="宋体"/>
          <w:b/>
          <w:color w:val="auto"/>
          <w:highlight w:val="none"/>
          <w:u w:val="none"/>
          <w:lang w:val="en-US" w:eastAsia="zh-CN"/>
        </w:rPr>
        <w:t>08</w:t>
      </w:r>
      <w:r>
        <w:rPr>
          <w:rFonts w:hint="eastAsia" w:ascii="宋体" w:hAnsi="宋体" w:cs="宋体"/>
          <w:b/>
          <w:color w:val="auto"/>
          <w:highlight w:val="none"/>
          <w:u w:val="none"/>
        </w:rPr>
        <w:t>月</w:t>
      </w:r>
      <w:r>
        <w:rPr>
          <w:rFonts w:hint="eastAsia" w:ascii="宋体" w:hAnsi="宋体" w:cs="宋体"/>
          <w:b/>
          <w:color w:val="auto"/>
          <w:highlight w:val="none"/>
          <w:u w:val="none"/>
          <w:lang w:val="en-US" w:eastAsia="zh-CN"/>
        </w:rPr>
        <w:t>04</w:t>
      </w:r>
      <w:r>
        <w:rPr>
          <w:rFonts w:hint="eastAsia" w:ascii="宋体" w:hAnsi="宋体" w:cs="宋体"/>
          <w:b/>
          <w:color w:val="auto"/>
          <w:highlight w:val="none"/>
          <w:u w:val="none"/>
        </w:rPr>
        <w:t>日09点00分</w:t>
      </w:r>
      <w:r>
        <w:rPr>
          <w:rFonts w:hint="eastAsia" w:ascii="宋体" w:hAnsi="宋体" w:cs="宋体"/>
          <w:bCs/>
          <w:color w:val="auto"/>
          <w:highlight w:val="none"/>
          <w:u w:val="none"/>
        </w:rPr>
        <w:t>（北京时间）前递交投标文件</w:t>
      </w:r>
      <w:r>
        <w:rPr>
          <w:rFonts w:hint="eastAsia" w:ascii="宋体" w:hAnsi="宋体" w:cs="宋体"/>
          <w:color w:val="auto"/>
          <w:highlight w:val="none"/>
          <w:u w:val="none"/>
        </w:rPr>
        <w:t>。</w:t>
      </w:r>
    </w:p>
    <w:p>
      <w:pPr>
        <w:numPr>
          <w:ilvl w:val="0"/>
          <w:numId w:val="0"/>
        </w:numPr>
        <w:spacing w:line="360" w:lineRule="auto"/>
        <w:rPr>
          <w:rFonts w:hint="eastAsia" w:ascii="宋体" w:hAnsi="宋体" w:cs="宋体"/>
          <w:color w:val="auto"/>
          <w:highlight w:val="none"/>
          <w:u w:val="none"/>
        </w:rPr>
      </w:pPr>
      <w:bookmarkStart w:id="5" w:name="_Toc28359002"/>
      <w:bookmarkStart w:id="6" w:name="_Toc35393621"/>
      <w:bookmarkStart w:id="7" w:name="_Toc10311"/>
      <w:bookmarkStart w:id="8" w:name="_Toc20841"/>
      <w:bookmarkStart w:id="9" w:name="_Toc27886"/>
      <w:bookmarkStart w:id="10" w:name="_Toc28359079"/>
      <w:bookmarkStart w:id="11" w:name="_Toc3872"/>
      <w:bookmarkStart w:id="12" w:name="_Toc35393790"/>
      <w:bookmarkStart w:id="13" w:name="_Hlk24379207"/>
      <w:r>
        <w:rPr>
          <w:rFonts w:hint="eastAsia" w:ascii="宋体" w:hAnsi="宋体" w:cs="宋体"/>
          <w:color w:val="auto"/>
          <w:highlight w:val="none"/>
          <w:u w:val="none"/>
        </w:rPr>
        <w:t>一、项目基本情况</w:t>
      </w:r>
      <w:bookmarkEnd w:id="5"/>
      <w:bookmarkEnd w:id="6"/>
      <w:bookmarkEnd w:id="7"/>
      <w:bookmarkEnd w:id="8"/>
      <w:bookmarkEnd w:id="9"/>
      <w:bookmarkEnd w:id="10"/>
      <w:bookmarkEnd w:id="11"/>
      <w:bookmarkEnd w:id="12"/>
    </w:p>
    <w:p>
      <w:pPr>
        <w:spacing w:line="360" w:lineRule="auto"/>
        <w:ind w:firstLine="480" w:firstLineChars="200"/>
        <w:rPr>
          <w:rFonts w:hint="eastAsia" w:ascii="宋体" w:hAnsi="宋体" w:eastAsia="宋体" w:cs="宋体"/>
          <w:color w:val="auto"/>
          <w:highlight w:val="none"/>
          <w:u w:val="none"/>
          <w:lang w:eastAsia="zh-CN"/>
        </w:rPr>
      </w:pPr>
      <w:r>
        <w:rPr>
          <w:rFonts w:hint="eastAsia" w:ascii="宋体" w:hAnsi="宋体" w:cs="宋体"/>
          <w:color w:val="auto"/>
          <w:highlight w:val="none"/>
          <w:u w:val="none"/>
        </w:rPr>
        <w:t>项目编号：</w:t>
      </w:r>
      <w:r>
        <w:rPr>
          <w:rFonts w:hint="eastAsia" w:ascii="宋体" w:hAnsi="宋体" w:cs="宋体"/>
          <w:color w:val="auto"/>
          <w:highlight w:val="none"/>
          <w:u w:val="none"/>
          <w:lang w:eastAsia="zh-CN"/>
        </w:rPr>
        <w:t>青海睿澳公招（货物）2021-028号</w:t>
      </w:r>
    </w:p>
    <w:p>
      <w:pPr>
        <w:spacing w:line="360" w:lineRule="auto"/>
        <w:ind w:firstLine="480" w:firstLineChars="200"/>
        <w:rPr>
          <w:rFonts w:hint="eastAsia" w:ascii="宋体" w:hAnsi="宋体" w:eastAsia="宋体" w:cs="宋体"/>
          <w:bCs/>
          <w:color w:val="auto"/>
          <w:highlight w:val="none"/>
          <w:u w:val="none"/>
          <w:lang w:eastAsia="zh-CN"/>
        </w:rPr>
      </w:pPr>
      <w:r>
        <w:rPr>
          <w:rFonts w:hint="eastAsia" w:ascii="宋体" w:hAnsi="宋体" w:cs="宋体"/>
          <w:color w:val="auto"/>
          <w:highlight w:val="none"/>
          <w:u w:val="none"/>
        </w:rPr>
        <w:t>项目名称：</w:t>
      </w:r>
      <w:bookmarkEnd w:id="13"/>
      <w:r>
        <w:rPr>
          <w:rFonts w:hint="eastAsia" w:ascii="宋体" w:hAnsi="宋体" w:cs="宋体"/>
          <w:color w:val="auto"/>
          <w:highlight w:val="none"/>
          <w:u w:val="none"/>
          <w:lang w:eastAsia="zh-CN"/>
        </w:rPr>
        <w:t>青海省司法行政系统应急指挥中心三级联建项目</w:t>
      </w:r>
    </w:p>
    <w:p>
      <w:pPr>
        <w:spacing w:line="360" w:lineRule="auto"/>
        <w:ind w:firstLine="480" w:firstLineChars="200"/>
        <w:rPr>
          <w:rFonts w:ascii="宋体" w:hAnsi="宋体" w:cs="宋体"/>
          <w:color w:val="auto"/>
          <w:highlight w:val="none"/>
          <w:u w:val="none"/>
        </w:rPr>
      </w:pPr>
      <w:r>
        <w:rPr>
          <w:rFonts w:hint="eastAsia" w:ascii="宋体" w:hAnsi="宋体" w:cs="宋体"/>
          <w:color w:val="auto"/>
          <w:highlight w:val="none"/>
          <w:u w:val="none"/>
        </w:rPr>
        <w:t>预算金额：</w:t>
      </w:r>
      <w:r>
        <w:rPr>
          <w:rFonts w:hint="eastAsia" w:ascii="宋体" w:hAnsi="宋体" w:cs="宋体"/>
          <w:color w:val="auto"/>
          <w:highlight w:val="none"/>
          <w:u w:val="none"/>
          <w:lang w:val="en-US" w:eastAsia="zh-CN"/>
        </w:rPr>
        <w:t>558</w:t>
      </w:r>
      <w:r>
        <w:rPr>
          <w:rFonts w:hint="eastAsia" w:ascii="宋体" w:hAnsi="宋体" w:cs="宋体"/>
          <w:color w:val="auto"/>
          <w:highlight w:val="none"/>
          <w:u w:val="none"/>
        </w:rPr>
        <w:t>0000.00元</w:t>
      </w:r>
    </w:p>
    <w:p>
      <w:pPr>
        <w:spacing w:line="360" w:lineRule="auto"/>
        <w:ind w:firstLine="480" w:firstLineChars="200"/>
        <w:rPr>
          <w:rFonts w:ascii="宋体" w:hAnsi="宋体" w:cs="宋体"/>
          <w:color w:val="auto"/>
          <w:highlight w:val="none"/>
          <w:u w:val="none"/>
        </w:rPr>
      </w:pPr>
      <w:r>
        <w:rPr>
          <w:rFonts w:hint="eastAsia" w:ascii="宋体" w:hAnsi="宋体" w:cs="宋体"/>
          <w:color w:val="auto"/>
          <w:highlight w:val="none"/>
          <w:u w:val="none"/>
        </w:rPr>
        <w:t>最高限价（如有）：</w:t>
      </w:r>
      <w:r>
        <w:rPr>
          <w:rFonts w:hint="eastAsia" w:ascii="宋体" w:hAnsi="宋体" w:cs="宋体"/>
          <w:color w:val="auto"/>
          <w:highlight w:val="none"/>
          <w:u w:val="none"/>
          <w:lang w:val="en-US" w:eastAsia="zh-CN"/>
        </w:rPr>
        <w:t>55800</w:t>
      </w:r>
      <w:r>
        <w:rPr>
          <w:rFonts w:hint="eastAsia" w:ascii="宋体" w:hAnsi="宋体" w:cs="宋体"/>
          <w:color w:val="auto"/>
          <w:highlight w:val="none"/>
          <w:u w:val="none"/>
        </w:rPr>
        <w:t>00.00元</w:t>
      </w:r>
    </w:p>
    <w:p>
      <w:pPr>
        <w:spacing w:line="360" w:lineRule="auto"/>
        <w:ind w:firstLine="480" w:firstLineChars="200"/>
        <w:rPr>
          <w:rFonts w:ascii="宋体" w:hAnsi="宋体" w:cs="宋体"/>
          <w:color w:val="auto"/>
          <w:highlight w:val="none"/>
          <w:u w:val="none"/>
        </w:rPr>
      </w:pPr>
      <w:r>
        <w:rPr>
          <w:rFonts w:hint="eastAsia" w:ascii="宋体" w:hAnsi="宋体" w:cs="宋体"/>
          <w:color w:val="auto"/>
          <w:highlight w:val="none"/>
          <w:u w:val="none"/>
        </w:rPr>
        <w:t>采购需求：</w:t>
      </w:r>
      <w:r>
        <w:rPr>
          <w:rFonts w:hint="eastAsia" w:ascii="宋体" w:hAnsi="宋体" w:cs="宋体"/>
          <w:color w:val="auto"/>
          <w:highlight w:val="none"/>
          <w:u w:val="none"/>
          <w:lang w:val="en-US" w:eastAsia="zh-CN"/>
        </w:rPr>
        <w:t>货物</w:t>
      </w:r>
      <w:r>
        <w:rPr>
          <w:rFonts w:hint="eastAsia" w:ascii="宋体" w:hAnsi="宋体" w:cs="宋体"/>
          <w:color w:val="auto"/>
          <w:highlight w:val="none"/>
          <w:u w:val="none"/>
        </w:rPr>
        <w:t>采购（具体内容详见招标文件）</w:t>
      </w:r>
    </w:p>
    <w:p>
      <w:pPr>
        <w:spacing w:line="360" w:lineRule="auto"/>
        <w:ind w:firstLine="480" w:firstLineChars="200"/>
        <w:rPr>
          <w:rFonts w:ascii="宋体" w:cs="宋体"/>
          <w:color w:val="auto"/>
          <w:kern w:val="0"/>
          <w:highlight w:val="none"/>
          <w:u w:val="none"/>
        </w:rPr>
      </w:pPr>
      <w:r>
        <w:rPr>
          <w:rFonts w:hint="eastAsia" w:ascii="宋体" w:hAnsi="宋体" w:cs="宋体"/>
          <w:color w:val="auto"/>
          <w:highlight w:val="none"/>
          <w:u w:val="none"/>
        </w:rPr>
        <w:t>合同履行期限：</w:t>
      </w:r>
      <w:r>
        <w:rPr>
          <w:rFonts w:hint="eastAsia" w:ascii="宋体" w:hAnsi="宋体" w:cs="宋体"/>
          <w:color w:val="auto"/>
          <w:kern w:val="0"/>
          <w:highlight w:val="none"/>
          <w:u w:val="none"/>
        </w:rPr>
        <w:t xml:space="preserve">合同签订后 </w:t>
      </w:r>
      <w:r>
        <w:rPr>
          <w:rFonts w:hint="eastAsia" w:ascii="宋体" w:hAnsi="宋体" w:cs="宋体"/>
          <w:color w:val="auto"/>
          <w:kern w:val="0"/>
          <w:highlight w:val="none"/>
          <w:u w:val="none"/>
          <w:lang w:val="en-US" w:eastAsia="zh-CN"/>
        </w:rPr>
        <w:t>30个工作日</w:t>
      </w:r>
      <w:r>
        <w:rPr>
          <w:rFonts w:hint="eastAsia" w:ascii="宋体" w:hAnsi="宋体" w:cs="宋体"/>
          <w:color w:val="auto"/>
          <w:kern w:val="0"/>
          <w:highlight w:val="none"/>
          <w:u w:val="none"/>
        </w:rPr>
        <w:t>内交货完毕</w:t>
      </w:r>
      <w:r>
        <w:rPr>
          <w:rFonts w:hint="eastAsia" w:ascii="宋体" w:hAnsi="宋体" w:cs="宋体"/>
          <w:color w:val="auto"/>
          <w:highlight w:val="none"/>
          <w:u w:val="none"/>
        </w:rPr>
        <w:t>；</w:t>
      </w:r>
    </w:p>
    <w:tbl>
      <w:tblPr>
        <w:tblStyle w:val="31"/>
        <w:tblpPr w:leftFromText="180" w:rightFromText="180" w:vertAnchor="text" w:horzAnchor="page" w:tblpX="1881" w:tblpY="266"/>
        <w:tblOverlap w:val="never"/>
        <w:tblW w:w="8982" w:type="dxa"/>
        <w:tblCellSpacing w:w="0" w:type="dxa"/>
        <w:tblInd w:w="0" w:type="dxa"/>
        <w:tblLayout w:type="fixed"/>
        <w:tblCellMar>
          <w:top w:w="0" w:type="dxa"/>
          <w:left w:w="0" w:type="dxa"/>
          <w:bottom w:w="0" w:type="dxa"/>
          <w:right w:w="0" w:type="dxa"/>
        </w:tblCellMar>
      </w:tblPr>
      <w:tblGrid>
        <w:gridCol w:w="766"/>
        <w:gridCol w:w="2084"/>
        <w:gridCol w:w="1468"/>
        <w:gridCol w:w="873"/>
        <w:gridCol w:w="2004"/>
        <w:gridCol w:w="1787"/>
      </w:tblGrid>
      <w:tr>
        <w:tblPrEx>
          <w:tblCellMar>
            <w:top w:w="0" w:type="dxa"/>
            <w:left w:w="0" w:type="dxa"/>
            <w:bottom w:w="0" w:type="dxa"/>
            <w:right w:w="0" w:type="dxa"/>
          </w:tblCellMar>
        </w:tblPrEx>
        <w:trPr>
          <w:trHeight w:val="411" w:hRule="atLeast"/>
          <w:tblCellSpacing w:w="0" w:type="dxa"/>
        </w:trPr>
        <w:tc>
          <w:tcPr>
            <w:tcW w:w="766"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序号</w:t>
            </w:r>
          </w:p>
        </w:tc>
        <w:tc>
          <w:tcPr>
            <w:tcW w:w="2084"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标项名称</w:t>
            </w:r>
          </w:p>
        </w:tc>
        <w:tc>
          <w:tcPr>
            <w:tcW w:w="146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最高限价(元)</w:t>
            </w:r>
          </w:p>
        </w:tc>
        <w:tc>
          <w:tcPr>
            <w:tcW w:w="873"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单位</w:t>
            </w:r>
          </w:p>
        </w:tc>
        <w:tc>
          <w:tcPr>
            <w:tcW w:w="2004"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简要描述</w:t>
            </w:r>
          </w:p>
        </w:tc>
        <w:tc>
          <w:tcPr>
            <w:tcW w:w="1787"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服务地点</w:t>
            </w:r>
          </w:p>
        </w:tc>
      </w:tr>
      <w:tr>
        <w:tblPrEx>
          <w:tblCellMar>
            <w:top w:w="0" w:type="dxa"/>
            <w:left w:w="0" w:type="dxa"/>
            <w:bottom w:w="0" w:type="dxa"/>
            <w:right w:w="0" w:type="dxa"/>
          </w:tblCellMar>
        </w:tblPrEx>
        <w:trPr>
          <w:trHeight w:val="2074" w:hRule="atLeast"/>
          <w:tblCellSpacing w:w="0" w:type="dxa"/>
        </w:trPr>
        <w:tc>
          <w:tcPr>
            <w:tcW w:w="766"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1</w:t>
            </w:r>
          </w:p>
        </w:tc>
        <w:tc>
          <w:tcPr>
            <w:tcW w:w="2084"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hint="eastAsia" w:ascii="宋体" w:hAnsi="宋体" w:eastAsia="宋体" w:cs="宋体"/>
                <w:color w:val="auto"/>
                <w:highlight w:val="none"/>
                <w:u w:val="none"/>
                <w:lang w:eastAsia="zh-CN"/>
              </w:rPr>
            </w:pPr>
            <w:r>
              <w:rPr>
                <w:rFonts w:hint="eastAsia" w:ascii="宋体" w:hAnsi="宋体" w:cs="宋体"/>
                <w:color w:val="auto"/>
                <w:highlight w:val="none"/>
                <w:u w:val="none"/>
                <w:lang w:eastAsia="zh-CN"/>
              </w:rPr>
              <w:t>青海省司法行政系统应急指挥中心三级联建项目</w:t>
            </w:r>
          </w:p>
        </w:tc>
        <w:tc>
          <w:tcPr>
            <w:tcW w:w="146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lang w:val="en-US" w:eastAsia="zh-CN"/>
              </w:rPr>
              <w:t>55800</w:t>
            </w:r>
            <w:bookmarkStart w:id="191" w:name="_GoBack"/>
            <w:bookmarkEnd w:id="191"/>
            <w:r>
              <w:rPr>
                <w:rFonts w:hint="eastAsia" w:ascii="宋体" w:hAnsi="宋体" w:cs="宋体"/>
                <w:color w:val="auto"/>
                <w:highlight w:val="none"/>
                <w:u w:val="none"/>
                <w:lang w:val="en-US" w:eastAsia="zh-CN"/>
              </w:rPr>
              <w:t>00</w:t>
            </w:r>
            <w:r>
              <w:rPr>
                <w:rFonts w:hint="eastAsia" w:ascii="宋体" w:hAnsi="宋体" w:cs="宋体"/>
                <w:color w:val="auto"/>
                <w:highlight w:val="none"/>
                <w:u w:val="none"/>
              </w:rPr>
              <w:t>.00</w:t>
            </w:r>
          </w:p>
        </w:tc>
        <w:tc>
          <w:tcPr>
            <w:tcW w:w="873"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rPr>
              <w:t>项</w:t>
            </w:r>
          </w:p>
        </w:tc>
        <w:tc>
          <w:tcPr>
            <w:tcW w:w="2004"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pStyle w:val="28"/>
              <w:widowControl/>
              <w:spacing w:before="0" w:beforeAutospacing="0" w:after="120" w:afterAutospacing="0" w:line="360" w:lineRule="auto"/>
              <w:jc w:val="center"/>
              <w:rPr>
                <w:rFonts w:ascii="宋体" w:hAnsi="宋体" w:cs="宋体"/>
                <w:color w:val="auto"/>
                <w:highlight w:val="none"/>
                <w:u w:val="none"/>
              </w:rPr>
            </w:pPr>
            <w:r>
              <w:rPr>
                <w:rFonts w:hint="eastAsia" w:ascii="宋体" w:hAnsi="宋体" w:cs="宋体"/>
                <w:color w:val="auto"/>
                <w:highlight w:val="none"/>
                <w:u w:val="none"/>
                <w:lang w:eastAsia="zh-CN"/>
              </w:rPr>
              <w:t>青海省司法行政系统应急指挥中心三级联建项目</w:t>
            </w:r>
            <w:r>
              <w:rPr>
                <w:rFonts w:hint="eastAsia" w:ascii="宋体" w:hAnsi="宋体" w:cs="宋体"/>
                <w:color w:val="auto"/>
                <w:highlight w:val="none"/>
                <w:u w:val="none"/>
              </w:rPr>
              <w:t>，</w:t>
            </w:r>
            <w:r>
              <w:rPr>
                <w:rFonts w:hint="eastAsia" w:ascii="宋体" w:hAnsi="宋体" w:cs="宋体"/>
                <w:color w:val="auto"/>
                <w:highlight w:val="none"/>
                <w:u w:val="none"/>
                <w:lang w:val="zh-CN"/>
              </w:rPr>
              <w:t>具体内容详见《招标文件》</w:t>
            </w:r>
          </w:p>
        </w:tc>
        <w:tc>
          <w:tcPr>
            <w:tcW w:w="1787"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line="360" w:lineRule="auto"/>
              <w:jc w:val="left"/>
              <w:rPr>
                <w:rFonts w:ascii="宋体" w:hAnsi="宋体" w:cs="宋体"/>
                <w:color w:val="auto"/>
                <w:highlight w:val="none"/>
                <w:u w:val="none"/>
              </w:rPr>
            </w:pPr>
            <w:r>
              <w:rPr>
                <w:rFonts w:hint="eastAsia" w:ascii="宋体" w:hAnsi="宋体" w:cs="宋体"/>
                <w:color w:val="auto"/>
                <w:highlight w:val="none"/>
                <w:u w:val="none"/>
              </w:rPr>
              <w:t>详见招标文件</w:t>
            </w:r>
          </w:p>
        </w:tc>
      </w:tr>
    </w:tbl>
    <w:p>
      <w:pPr>
        <w:spacing w:line="360" w:lineRule="auto"/>
        <w:ind w:firstLine="480" w:firstLineChars="200"/>
        <w:rPr>
          <w:rFonts w:ascii="宋体" w:hAnsi="宋体" w:cs="宋体"/>
          <w:color w:val="auto"/>
          <w:highlight w:val="none"/>
          <w:u w:val="none"/>
        </w:rPr>
      </w:pPr>
      <w:r>
        <w:rPr>
          <w:rFonts w:hint="eastAsia" w:ascii="宋体" w:hAnsi="宋体" w:cs="宋体"/>
          <w:color w:val="auto"/>
          <w:highlight w:val="none"/>
          <w:u w:val="none"/>
        </w:rPr>
        <w:t>本项目（不）接受联合体投标。</w:t>
      </w:r>
      <w:bookmarkStart w:id="14" w:name="_Toc35393622"/>
      <w:bookmarkStart w:id="15" w:name="_Toc35393791"/>
      <w:bookmarkStart w:id="16" w:name="_Toc28359080"/>
      <w:bookmarkStart w:id="17" w:name="_Toc28359003"/>
    </w:p>
    <w:p>
      <w:pPr>
        <w:numPr>
          <w:ilvl w:val="0"/>
          <w:numId w:val="3"/>
        </w:numPr>
        <w:spacing w:line="360" w:lineRule="auto"/>
        <w:rPr>
          <w:rFonts w:ascii="宋体" w:hAnsi="宋体" w:cs="宋体"/>
          <w:color w:val="auto"/>
          <w:highlight w:val="none"/>
          <w:u w:val="none"/>
        </w:rPr>
      </w:pPr>
      <w:r>
        <w:rPr>
          <w:rFonts w:hint="eastAsia" w:ascii="宋体" w:hAnsi="宋体" w:cs="宋体"/>
          <w:color w:val="auto"/>
          <w:highlight w:val="none"/>
          <w:u w:val="none"/>
        </w:rPr>
        <w:t>申请人的资格要求：</w:t>
      </w:r>
      <w:bookmarkEnd w:id="14"/>
      <w:bookmarkEnd w:id="15"/>
      <w:bookmarkEnd w:id="16"/>
      <w:bookmarkEnd w:id="17"/>
    </w:p>
    <w:p>
      <w:pPr>
        <w:numPr>
          <w:ilvl w:val="0"/>
          <w:numId w:val="4"/>
        </w:numPr>
        <w:spacing w:line="360" w:lineRule="auto"/>
        <w:rPr>
          <w:rFonts w:ascii="宋体" w:hAnsi="宋体" w:cs="宋体"/>
          <w:color w:val="auto"/>
          <w:highlight w:val="none"/>
          <w:u w:val="none"/>
          <w:lang w:val="zh-CN"/>
        </w:rPr>
      </w:pPr>
      <w:r>
        <w:rPr>
          <w:rFonts w:hint="eastAsia" w:ascii="宋体" w:hAnsi="宋体" w:cs="宋体"/>
          <w:color w:val="auto"/>
          <w:highlight w:val="none"/>
          <w:u w:val="none"/>
          <w:lang w:val="zh-CN"/>
        </w:rPr>
        <w:t>满足《中华人民共和国政府采购法》第二十二条规定；</w:t>
      </w:r>
      <w:bookmarkStart w:id="18" w:name="_Toc28359081"/>
      <w:bookmarkStart w:id="19" w:name="_Toc28359004"/>
    </w:p>
    <w:p>
      <w:pPr>
        <w:numPr>
          <w:ilvl w:val="0"/>
          <w:numId w:val="4"/>
        </w:numPr>
        <w:spacing w:line="360" w:lineRule="auto"/>
        <w:rPr>
          <w:rFonts w:ascii="宋体" w:hAnsi="宋体" w:cs="宋体"/>
          <w:color w:val="auto"/>
          <w:highlight w:val="none"/>
          <w:u w:val="none"/>
          <w:lang w:val="zh-CN"/>
        </w:rPr>
      </w:pPr>
      <w:r>
        <w:rPr>
          <w:rFonts w:hint="eastAsia" w:ascii="宋体" w:hAnsi="宋体" w:cs="宋体"/>
          <w:color w:val="auto"/>
          <w:highlight w:val="none"/>
          <w:u w:val="none"/>
          <w:lang w:val="zh-CN"/>
        </w:rPr>
        <w:t>落实政府采购政策需满足的资格要求：无</w:t>
      </w:r>
    </w:p>
    <w:p>
      <w:pPr>
        <w:numPr>
          <w:ilvl w:val="0"/>
          <w:numId w:val="4"/>
        </w:numPr>
        <w:spacing w:line="360" w:lineRule="auto"/>
        <w:rPr>
          <w:rFonts w:ascii="宋体" w:hAnsi="宋体" w:cs="宋体"/>
          <w:color w:val="auto"/>
          <w:highlight w:val="none"/>
          <w:u w:val="none"/>
          <w:lang w:val="zh-CN"/>
        </w:rPr>
      </w:pPr>
      <w:r>
        <w:rPr>
          <w:rFonts w:hint="eastAsia" w:ascii="宋体" w:hAnsi="宋体" w:cs="宋体"/>
          <w:color w:val="auto"/>
          <w:highlight w:val="none"/>
          <w:u w:val="none"/>
          <w:lang w:val="zh-CN"/>
        </w:rPr>
        <w:t>本项目的特定资格要求：</w:t>
      </w:r>
    </w:p>
    <w:p>
      <w:pPr>
        <w:spacing w:line="360" w:lineRule="auto"/>
        <w:rPr>
          <w:rFonts w:ascii="宋体" w:hAnsi="宋体" w:cs="宋体"/>
          <w:color w:val="auto"/>
          <w:highlight w:val="none"/>
          <w:u w:val="none"/>
          <w:lang w:val="zh-CN"/>
        </w:rPr>
      </w:pPr>
      <w:r>
        <w:rPr>
          <w:rFonts w:hint="eastAsia" w:ascii="宋体" w:hAnsi="宋体" w:cs="宋体"/>
          <w:bCs/>
          <w:color w:val="auto"/>
          <w:highlight w:val="none"/>
          <w:u w:val="none"/>
          <w:lang w:val="zh-CN"/>
        </w:rPr>
        <w:t>(</w:t>
      </w:r>
      <w:r>
        <w:rPr>
          <w:rFonts w:hint="eastAsia" w:ascii="宋体" w:hAnsi="宋体" w:cs="宋体"/>
          <w:bCs/>
          <w:color w:val="auto"/>
          <w:highlight w:val="none"/>
          <w:u w:val="none"/>
        </w:rPr>
        <w:t>1</w:t>
      </w:r>
      <w:r>
        <w:rPr>
          <w:rFonts w:hint="eastAsia" w:ascii="宋体" w:hAnsi="宋体" w:cs="宋体"/>
          <w:bCs/>
          <w:color w:val="auto"/>
          <w:highlight w:val="none"/>
          <w:u w:val="none"/>
          <w:lang w:val="zh-CN"/>
        </w:rPr>
        <w:t>)</w:t>
      </w:r>
      <w:r>
        <w:rPr>
          <w:rFonts w:hint="eastAsia" w:ascii="宋体" w:hAnsi="宋体" w:cs="宋体"/>
          <w:color w:val="auto"/>
          <w:highlight w:val="none"/>
          <w:u w:val="none"/>
          <w:lang w:val="zh-CN"/>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360" w:lineRule="auto"/>
        <w:rPr>
          <w:rFonts w:ascii="宋体" w:hAnsi="宋体" w:cs="宋体"/>
          <w:color w:val="auto"/>
          <w:highlight w:val="none"/>
          <w:u w:val="none"/>
          <w:lang w:val="zh-CN"/>
        </w:rPr>
      </w:pPr>
      <w:bookmarkStart w:id="20" w:name="_Toc25838"/>
      <w:bookmarkStart w:id="21" w:name="_Toc4991"/>
      <w:r>
        <w:rPr>
          <w:rFonts w:hint="eastAsia" w:ascii="宋体" w:hAnsi="宋体" w:cs="宋体"/>
          <w:color w:val="auto"/>
          <w:highlight w:val="none"/>
          <w:u w:val="none"/>
          <w:lang w:val="zh-CN"/>
        </w:rPr>
        <w:t>（</w:t>
      </w:r>
      <w:r>
        <w:rPr>
          <w:rFonts w:hint="eastAsia" w:ascii="宋体" w:hAnsi="宋体" w:cs="宋体"/>
          <w:color w:val="auto"/>
          <w:highlight w:val="none"/>
          <w:u w:val="none"/>
        </w:rPr>
        <w:t>2</w:t>
      </w:r>
      <w:r>
        <w:rPr>
          <w:rFonts w:hint="eastAsia" w:ascii="宋体" w:hAnsi="宋体" w:cs="宋体"/>
          <w:color w:val="auto"/>
          <w:highlight w:val="none"/>
          <w:u w:val="none"/>
          <w:lang w:val="zh-CN"/>
        </w:rPr>
        <w:t>）单位负责人为同一人或者存在直接控股、管理关系的不同投标人，不得参加同一合同项下的政府采购活动。否则，皆取消投标资格；</w:t>
      </w:r>
      <w:bookmarkEnd w:id="20"/>
      <w:bookmarkEnd w:id="21"/>
    </w:p>
    <w:p>
      <w:pPr>
        <w:spacing w:line="360" w:lineRule="auto"/>
        <w:rPr>
          <w:rFonts w:ascii="宋体" w:hAnsi="宋体" w:cs="宋体"/>
          <w:color w:val="auto"/>
          <w:highlight w:val="none"/>
          <w:u w:val="none"/>
          <w:lang w:val="zh-CN"/>
        </w:rPr>
      </w:pPr>
      <w:bookmarkStart w:id="22" w:name="_Toc5244"/>
      <w:bookmarkStart w:id="23" w:name="_Toc10948"/>
      <w:r>
        <w:rPr>
          <w:rFonts w:hint="eastAsia" w:ascii="宋体" w:hAnsi="宋体" w:cs="宋体"/>
          <w:color w:val="auto"/>
          <w:highlight w:val="none"/>
          <w:u w:val="none"/>
          <w:lang w:val="zh-CN"/>
        </w:rPr>
        <w:t>(</w:t>
      </w:r>
      <w:r>
        <w:rPr>
          <w:rFonts w:hint="eastAsia" w:ascii="宋体" w:hAnsi="宋体" w:cs="宋体"/>
          <w:color w:val="auto"/>
          <w:highlight w:val="none"/>
          <w:u w:val="none"/>
        </w:rPr>
        <w:t>3</w:t>
      </w:r>
      <w:r>
        <w:rPr>
          <w:rFonts w:hint="eastAsia" w:ascii="宋体" w:hAnsi="宋体" w:cs="宋体"/>
          <w:color w:val="auto"/>
          <w:highlight w:val="none"/>
          <w:u w:val="none"/>
          <w:lang w:val="zh-CN"/>
        </w:rPr>
        <w:t>) 为本采购项目提供整体设计、规范编制或者项目管理、监理、检测等服务的投标人，不得再参加该采购项目的其他采购活动；</w:t>
      </w:r>
      <w:bookmarkEnd w:id="22"/>
      <w:bookmarkEnd w:id="23"/>
    </w:p>
    <w:p>
      <w:pPr>
        <w:spacing w:line="360" w:lineRule="auto"/>
        <w:rPr>
          <w:rFonts w:ascii="宋体" w:hAnsi="宋体" w:cs="宋体"/>
          <w:color w:val="auto"/>
          <w:highlight w:val="none"/>
          <w:u w:val="none"/>
        </w:rPr>
      </w:pPr>
      <w:bookmarkStart w:id="24" w:name="_Toc815"/>
      <w:bookmarkStart w:id="25" w:name="_Toc8204"/>
      <w:r>
        <w:rPr>
          <w:rFonts w:hint="eastAsia" w:ascii="宋体" w:hAnsi="宋体" w:cs="宋体"/>
          <w:color w:val="auto"/>
          <w:highlight w:val="none"/>
          <w:u w:val="none"/>
          <w:lang w:val="zh-CN"/>
        </w:rPr>
        <w:t>(</w:t>
      </w:r>
      <w:r>
        <w:rPr>
          <w:rFonts w:hint="eastAsia" w:ascii="宋体" w:hAnsi="宋体" w:cs="宋体"/>
          <w:color w:val="auto"/>
          <w:highlight w:val="none"/>
          <w:u w:val="none"/>
        </w:rPr>
        <w:t>4</w:t>
      </w:r>
      <w:r>
        <w:rPr>
          <w:rFonts w:hint="eastAsia" w:ascii="宋体" w:hAnsi="宋体" w:cs="宋体"/>
          <w:color w:val="auto"/>
          <w:highlight w:val="none"/>
          <w:u w:val="none"/>
          <w:lang w:val="zh-CN"/>
        </w:rPr>
        <w:t>) 其他资质条件：本次招标要求供应商</w:t>
      </w:r>
      <w:r>
        <w:rPr>
          <w:rFonts w:hint="eastAsia" w:ascii="宋体" w:hAnsi="宋体" w:cs="宋体"/>
          <w:color w:val="auto"/>
          <w:highlight w:val="none"/>
          <w:u w:val="none"/>
        </w:rPr>
        <w:t>具备合法的营业执照</w:t>
      </w:r>
      <w:r>
        <w:rPr>
          <w:rFonts w:hint="eastAsia" w:ascii="宋体" w:hAnsi="宋体" w:cs="宋体"/>
          <w:color w:val="auto"/>
          <w:highlight w:val="none"/>
          <w:u w:val="none"/>
          <w:lang w:val="zh-CN"/>
        </w:rPr>
        <w:t>，并在人员、设备、资金等方面具有相应的</w:t>
      </w:r>
      <w:r>
        <w:rPr>
          <w:rFonts w:hint="eastAsia" w:ascii="宋体" w:hAnsi="宋体" w:cs="宋体"/>
          <w:color w:val="auto"/>
          <w:highlight w:val="none"/>
          <w:u w:val="none"/>
        </w:rPr>
        <w:t>供货</w:t>
      </w:r>
      <w:r>
        <w:rPr>
          <w:rFonts w:hint="eastAsia" w:ascii="宋体" w:hAnsi="宋体" w:cs="宋体"/>
          <w:color w:val="auto"/>
          <w:highlight w:val="none"/>
          <w:u w:val="none"/>
          <w:lang w:val="zh-CN"/>
        </w:rPr>
        <w:t>能力。</w:t>
      </w:r>
      <w:bookmarkEnd w:id="24"/>
      <w:bookmarkEnd w:id="25"/>
    </w:p>
    <w:p>
      <w:pPr>
        <w:spacing w:line="360" w:lineRule="auto"/>
        <w:rPr>
          <w:rFonts w:ascii="宋体" w:hAnsi="宋体" w:cs="宋体"/>
          <w:color w:val="auto"/>
          <w:highlight w:val="none"/>
          <w:u w:val="none"/>
        </w:rPr>
      </w:pPr>
      <w:bookmarkStart w:id="26" w:name="_Toc8662"/>
      <w:bookmarkStart w:id="27" w:name="_Toc35393623"/>
      <w:bookmarkStart w:id="28" w:name="_Toc35393792"/>
      <w:bookmarkStart w:id="29" w:name="_Toc3702"/>
      <w:r>
        <w:rPr>
          <w:rFonts w:hint="eastAsia" w:ascii="宋体" w:hAnsi="宋体" w:cs="宋体"/>
          <w:color w:val="auto"/>
          <w:highlight w:val="none"/>
          <w:u w:val="none"/>
        </w:rPr>
        <w:t>三、获取招标文件</w:t>
      </w:r>
      <w:bookmarkEnd w:id="18"/>
      <w:bookmarkEnd w:id="19"/>
      <w:bookmarkEnd w:id="26"/>
      <w:bookmarkEnd w:id="27"/>
      <w:bookmarkEnd w:id="28"/>
      <w:bookmarkEnd w:id="29"/>
    </w:p>
    <w:p>
      <w:pPr>
        <w:spacing w:line="360" w:lineRule="auto"/>
        <w:ind w:firstLine="540"/>
        <w:rPr>
          <w:rFonts w:ascii="宋体" w:hAnsi="宋体" w:cs="宋体"/>
          <w:color w:val="auto"/>
          <w:highlight w:val="none"/>
          <w:u w:val="none"/>
        </w:rPr>
      </w:pPr>
      <w:r>
        <w:rPr>
          <w:rFonts w:hint="eastAsia" w:ascii="宋体" w:hAnsi="宋体" w:cs="宋体"/>
          <w:color w:val="auto"/>
          <w:highlight w:val="none"/>
          <w:u w:val="none"/>
        </w:rPr>
        <w:t>时间：</w:t>
      </w:r>
      <w:r>
        <w:rPr>
          <w:rFonts w:hint="eastAsia" w:ascii="宋体" w:hAnsi="宋体" w:cs="宋体"/>
          <w:b/>
          <w:bCs/>
          <w:color w:val="auto"/>
          <w:highlight w:val="none"/>
          <w:u w:val="none"/>
        </w:rPr>
        <w:t>2021年0</w:t>
      </w:r>
      <w:r>
        <w:rPr>
          <w:rFonts w:hint="eastAsia" w:ascii="宋体" w:hAnsi="宋体" w:cs="宋体"/>
          <w:b/>
          <w:bCs/>
          <w:color w:val="auto"/>
          <w:highlight w:val="none"/>
          <w:u w:val="none"/>
          <w:lang w:val="en-US" w:eastAsia="zh-CN"/>
        </w:rPr>
        <w:t>7</w:t>
      </w:r>
      <w:r>
        <w:rPr>
          <w:rFonts w:hint="eastAsia" w:ascii="宋体" w:hAnsi="宋体" w:cs="宋体"/>
          <w:b/>
          <w:bCs/>
          <w:color w:val="auto"/>
          <w:highlight w:val="none"/>
          <w:u w:val="none"/>
        </w:rPr>
        <w:t>月</w:t>
      </w:r>
      <w:r>
        <w:rPr>
          <w:rFonts w:hint="eastAsia" w:ascii="宋体" w:hAnsi="宋体" w:cs="宋体"/>
          <w:b/>
          <w:bCs/>
          <w:color w:val="auto"/>
          <w:highlight w:val="none"/>
          <w:u w:val="none"/>
          <w:lang w:val="en-US" w:eastAsia="zh-CN"/>
        </w:rPr>
        <w:t>14</w:t>
      </w:r>
      <w:r>
        <w:rPr>
          <w:rFonts w:hint="eastAsia" w:ascii="宋体" w:hAnsi="宋体" w:cs="宋体"/>
          <w:b/>
          <w:bCs/>
          <w:color w:val="auto"/>
          <w:highlight w:val="none"/>
          <w:u w:val="none"/>
        </w:rPr>
        <w:t>日至2021年</w:t>
      </w:r>
      <w:r>
        <w:rPr>
          <w:rFonts w:hint="eastAsia" w:ascii="宋体" w:hAnsi="宋体" w:cs="宋体"/>
          <w:b/>
          <w:bCs/>
          <w:color w:val="auto"/>
          <w:highlight w:val="none"/>
          <w:u w:val="none"/>
          <w:lang w:val="en-US" w:eastAsia="zh-CN"/>
        </w:rPr>
        <w:t>07</w:t>
      </w:r>
      <w:r>
        <w:rPr>
          <w:rFonts w:hint="eastAsia" w:ascii="宋体" w:hAnsi="宋体" w:cs="宋体"/>
          <w:b/>
          <w:bCs/>
          <w:color w:val="auto"/>
          <w:highlight w:val="none"/>
          <w:u w:val="none"/>
        </w:rPr>
        <w:t>月</w:t>
      </w:r>
      <w:r>
        <w:rPr>
          <w:rFonts w:hint="eastAsia" w:ascii="宋体" w:hAnsi="宋体" w:cs="宋体"/>
          <w:b/>
          <w:bCs/>
          <w:color w:val="auto"/>
          <w:highlight w:val="none"/>
          <w:u w:val="none"/>
          <w:lang w:val="en-US" w:eastAsia="zh-CN"/>
        </w:rPr>
        <w:t>20</w:t>
      </w:r>
      <w:r>
        <w:rPr>
          <w:rFonts w:hint="eastAsia" w:ascii="宋体" w:hAnsi="宋体" w:cs="宋体"/>
          <w:b/>
          <w:bCs/>
          <w:color w:val="auto"/>
          <w:highlight w:val="none"/>
          <w:u w:val="none"/>
        </w:rPr>
        <w:t>日</w:t>
      </w:r>
      <w:r>
        <w:rPr>
          <w:rFonts w:hint="eastAsia" w:ascii="宋体" w:hAnsi="宋体" w:cs="宋体"/>
          <w:color w:val="auto"/>
          <w:highlight w:val="none"/>
          <w:u w:val="none"/>
        </w:rPr>
        <w:t>（提供期限自本公告发布之日起不得少于5个工作日），每天上午09:00分至11:30分，下午13:30分至17:30分（北京时间，法定节假日除外）</w:t>
      </w:r>
    </w:p>
    <w:p>
      <w:pPr>
        <w:pageBreakBefore w:val="0"/>
        <w:numPr>
          <w:ilvl w:val="0"/>
          <w:numId w:val="0"/>
        </w:numPr>
        <w:topLinePunct w:val="0"/>
        <w:autoSpaceDE w:val="0"/>
        <w:autoSpaceDN w:val="0"/>
        <w:bidi w:val="0"/>
        <w:adjustRightInd w:val="0"/>
        <w:snapToGrid/>
        <w:spacing w:line="540" w:lineRule="exact"/>
        <w:ind w:leftChars="0" w:firstLine="480"/>
        <w:jc w:val="both"/>
        <w:textAlignment w:val="auto"/>
        <w:rPr>
          <w:rFonts w:hint="eastAsia" w:ascii="宋体" w:hAnsi="宋体" w:eastAsia="宋体" w:cs="宋体"/>
          <w:color w:val="auto"/>
          <w:highlight w:val="none"/>
          <w:u w:val="single"/>
          <w:lang w:val="en-US" w:eastAsia="zh-CN"/>
        </w:rPr>
      </w:pPr>
      <w:bookmarkStart w:id="30" w:name="_Toc28359082"/>
      <w:bookmarkStart w:id="31" w:name="_Toc28359005"/>
      <w:bookmarkStart w:id="32" w:name="_Toc35393624"/>
      <w:bookmarkStart w:id="33" w:name="_Toc35393793"/>
      <w:r>
        <w:rPr>
          <w:rFonts w:hint="eastAsia" w:ascii="宋体" w:hAnsi="宋体" w:eastAsia="宋体" w:cs="宋体"/>
          <w:color w:val="auto"/>
          <w:highlight w:val="none"/>
          <w:u w:val="none"/>
          <w:lang w:val="en-US" w:eastAsia="zh-CN"/>
        </w:rPr>
        <w:t>地点：</w:t>
      </w:r>
      <w:r>
        <w:rPr>
          <w:rFonts w:hint="eastAsia" w:ascii="宋体" w:hAnsi="宋体" w:eastAsia="宋体" w:cs="宋体"/>
          <w:color w:val="auto"/>
          <w:szCs w:val="22"/>
          <w:highlight w:val="none"/>
          <w:u w:val="single"/>
          <w:lang w:val="zh-CN" w:eastAsia="zh-CN"/>
        </w:rPr>
        <w:t>西宁市城西区海湖新区五四西路61号新华联国际中心一号楼九楼1091室</w:t>
      </w:r>
    </w:p>
    <w:p>
      <w:pPr>
        <w:pageBreakBefore w:val="0"/>
        <w:numPr>
          <w:ilvl w:val="0"/>
          <w:numId w:val="0"/>
        </w:numPr>
        <w:topLinePunct w:val="0"/>
        <w:bidi w:val="0"/>
        <w:snapToGrid/>
        <w:spacing w:line="540" w:lineRule="exact"/>
        <w:ind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方式：</w:t>
      </w:r>
      <w:r>
        <w:rPr>
          <w:rFonts w:hint="eastAsia" w:ascii="宋体" w:hAnsi="宋体" w:eastAsia="宋体" w:cs="宋体"/>
          <w:color w:val="auto"/>
          <w:szCs w:val="22"/>
          <w:highlight w:val="none"/>
          <w:u w:val="single"/>
          <w:lang w:val="zh-CN" w:eastAsia="zh-CN"/>
        </w:rPr>
        <w:t>现场购买或网上购买</w:t>
      </w:r>
    </w:p>
    <w:p>
      <w:pPr>
        <w:pageBreakBefore w:val="0"/>
        <w:numPr>
          <w:ilvl w:val="0"/>
          <w:numId w:val="0"/>
        </w:numPr>
        <w:topLinePunct w:val="0"/>
        <w:bidi w:val="0"/>
        <w:snapToGrid/>
        <w:spacing w:line="540" w:lineRule="exact"/>
        <w:ind w:firstLine="480" w:firstLineChars="200"/>
        <w:textAlignment w:val="auto"/>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u w:val="none"/>
          <w:lang w:val="zh-CN" w:eastAsia="zh-CN"/>
        </w:rPr>
        <w:t>标书购买联系人：</w:t>
      </w:r>
      <w:r>
        <w:rPr>
          <w:rFonts w:hint="eastAsia" w:ascii="宋体" w:hAnsi="宋体" w:eastAsia="宋体" w:cs="宋体"/>
          <w:color w:val="auto"/>
          <w:szCs w:val="22"/>
          <w:highlight w:val="none"/>
          <w:u w:val="single"/>
          <w:lang w:val="zh-CN" w:eastAsia="zh-CN"/>
        </w:rPr>
        <w:t>邢女士</w:t>
      </w:r>
    </w:p>
    <w:p>
      <w:pPr>
        <w:pageBreakBefore w:val="0"/>
        <w:numPr>
          <w:ilvl w:val="0"/>
          <w:numId w:val="0"/>
        </w:numPr>
        <w:topLinePunct w:val="0"/>
        <w:bidi w:val="0"/>
        <w:snapToGrid/>
        <w:spacing w:line="540" w:lineRule="exact"/>
        <w:ind w:firstLine="480" w:firstLineChars="200"/>
        <w:textAlignment w:val="auto"/>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2"/>
          <w:highlight w:val="none"/>
          <w:u w:val="none"/>
          <w:lang w:val="zh-CN" w:eastAsia="zh-CN"/>
        </w:rPr>
        <w:t>联系电话：</w:t>
      </w:r>
      <w:r>
        <w:rPr>
          <w:rFonts w:hint="eastAsia" w:ascii="宋体" w:hAnsi="宋体" w:eastAsia="宋体" w:cs="宋体"/>
          <w:color w:val="auto"/>
          <w:szCs w:val="22"/>
          <w:highlight w:val="none"/>
          <w:u w:val="single"/>
          <w:lang w:val="zh-CN" w:eastAsia="zh-CN"/>
        </w:rPr>
        <w:t>0971-</w:t>
      </w:r>
      <w:r>
        <w:rPr>
          <w:rFonts w:hint="eastAsia" w:ascii="宋体" w:hAnsi="宋体" w:eastAsia="宋体" w:cs="宋体"/>
          <w:color w:val="auto"/>
          <w:szCs w:val="22"/>
          <w:highlight w:val="none"/>
          <w:u w:val="single"/>
          <w:lang w:val="en-US" w:eastAsia="zh-CN"/>
        </w:rPr>
        <w:t xml:space="preserve">4392770 </w:t>
      </w:r>
    </w:p>
    <w:p>
      <w:pPr>
        <w:pageBreakBefore w:val="0"/>
        <w:numPr>
          <w:ilvl w:val="0"/>
          <w:numId w:val="0"/>
        </w:numPr>
        <w:topLinePunct w:val="0"/>
        <w:autoSpaceDE w:val="0"/>
        <w:autoSpaceDN w:val="0"/>
        <w:bidi w:val="0"/>
        <w:adjustRightInd w:val="0"/>
        <w:snapToGrid/>
        <w:spacing w:line="540" w:lineRule="exact"/>
        <w:ind w:leftChars="0" w:firstLine="48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none"/>
          <w:lang w:val="en-US" w:eastAsia="zh-CN"/>
        </w:rPr>
        <w:t>售价：</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u w:val="single"/>
          <w:lang w:val="zh-CN" w:eastAsia="zh-CN"/>
        </w:rPr>
        <w:t>00元/包（竞争性磋商文件售后不退, 投标资格不能转让）</w:t>
      </w:r>
    </w:p>
    <w:p>
      <w:pPr>
        <w:pageBreakBefore w:val="0"/>
        <w:numPr>
          <w:ilvl w:val="0"/>
          <w:numId w:val="0"/>
        </w:numPr>
        <w:topLinePunct w:val="0"/>
        <w:bidi w:val="0"/>
        <w:snapToGrid/>
        <w:spacing w:line="540" w:lineRule="exact"/>
        <w:ind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购买招标文件的供应商需提供的资料：</w:t>
      </w:r>
    </w:p>
    <w:p>
      <w:pPr>
        <w:pageBreakBefore w:val="0"/>
        <w:numPr>
          <w:ilvl w:val="0"/>
          <w:numId w:val="0"/>
        </w:numPr>
        <w:topLinePunct w:val="0"/>
        <w:bidi w:val="0"/>
        <w:snapToGrid/>
        <w:spacing w:line="540" w:lineRule="exact"/>
        <w:ind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营业执照复印件、公司介绍信或法人授权委托书（原件）及身份证复印件。</w:t>
      </w:r>
    </w:p>
    <w:p>
      <w:pPr>
        <w:pageBreakBefore w:val="0"/>
        <w:numPr>
          <w:ilvl w:val="0"/>
          <w:numId w:val="0"/>
        </w:numPr>
        <w:topLinePunct w:val="0"/>
        <w:bidi w:val="0"/>
        <w:snapToGrid/>
        <w:spacing w:line="540" w:lineRule="exact"/>
        <w:ind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标书购买联系人：邢女士；</w:t>
      </w:r>
    </w:p>
    <w:p>
      <w:pPr>
        <w:pageBreakBefore w:val="0"/>
        <w:numPr>
          <w:ilvl w:val="0"/>
          <w:numId w:val="0"/>
        </w:numPr>
        <w:topLinePunct w:val="0"/>
        <w:bidi w:val="0"/>
        <w:snapToGrid/>
        <w:spacing w:line="540" w:lineRule="exact"/>
        <w:ind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电话：0971-4392770；</w:t>
      </w:r>
    </w:p>
    <w:p>
      <w:pPr>
        <w:pageBreakBefore w:val="0"/>
        <w:numPr>
          <w:ilvl w:val="0"/>
          <w:numId w:val="0"/>
        </w:numPr>
        <w:topLinePunct w:val="0"/>
        <w:bidi w:val="0"/>
        <w:snapToGrid/>
        <w:spacing w:line="540" w:lineRule="exact"/>
        <w:ind w:leftChars="0"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电子邮箱：qhruiao2015@163.com；</w:t>
      </w:r>
    </w:p>
    <w:p>
      <w:pPr>
        <w:pageBreakBefore w:val="0"/>
        <w:numPr>
          <w:ilvl w:val="0"/>
          <w:numId w:val="0"/>
        </w:numPr>
        <w:topLinePunct w:val="0"/>
        <w:bidi w:val="0"/>
        <w:snapToGrid/>
        <w:spacing w:line="540" w:lineRule="exac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四、提交投标文件</w:t>
      </w:r>
      <w:bookmarkEnd w:id="30"/>
      <w:bookmarkEnd w:id="31"/>
      <w:r>
        <w:rPr>
          <w:rFonts w:hint="eastAsia" w:ascii="宋体" w:hAnsi="宋体" w:eastAsia="宋体" w:cs="宋体"/>
          <w:color w:val="auto"/>
          <w:highlight w:val="none"/>
          <w:lang w:val="zh-CN" w:eastAsia="zh-CN"/>
        </w:rPr>
        <w:t>截止时间、开标时间和地点</w:t>
      </w:r>
      <w:bookmarkEnd w:id="32"/>
      <w:bookmarkEnd w:id="33"/>
    </w:p>
    <w:p>
      <w:pPr>
        <w:pageBreakBefore w:val="0"/>
        <w:numPr>
          <w:ilvl w:val="0"/>
          <w:numId w:val="0"/>
        </w:numPr>
        <w:topLinePunct w:val="0"/>
        <w:bidi w:val="0"/>
        <w:snapToGrid/>
        <w:spacing w:line="54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2021年0</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月</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lang w:val="zh-CN" w:eastAsia="zh-CN"/>
        </w:rPr>
        <w:t>日9点00分（北京时间）（自招标文件开始发出之日起至投标人提交投标文件截止之日止，不得少于20日）</w:t>
      </w:r>
    </w:p>
    <w:p>
      <w:pPr>
        <w:pageBreakBefore w:val="0"/>
        <w:numPr>
          <w:ilvl w:val="0"/>
          <w:numId w:val="0"/>
        </w:numPr>
        <w:topLinePunct w:val="0"/>
        <w:bidi w:val="0"/>
        <w:snapToGrid/>
        <w:spacing w:line="54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地点：青海省公共资源交易中心</w:t>
      </w:r>
      <w:r>
        <w:rPr>
          <w:rFonts w:hint="eastAsia" w:ascii="宋体" w:hAnsi="宋体" w:cs="宋体"/>
          <w:color w:val="auto"/>
          <w:highlight w:val="none"/>
          <w:lang w:val="en-US" w:eastAsia="zh-CN"/>
        </w:rPr>
        <w:t>6</w:t>
      </w:r>
      <w:r>
        <w:rPr>
          <w:rFonts w:hint="eastAsia" w:ascii="宋体" w:hAnsi="宋体" w:eastAsia="宋体" w:cs="宋体"/>
          <w:color w:val="auto"/>
          <w:highlight w:val="none"/>
          <w:lang w:val="zh-CN" w:eastAsia="zh-CN"/>
        </w:rPr>
        <w:t>号开标室</w:t>
      </w:r>
    </w:p>
    <w:p>
      <w:pPr>
        <w:spacing w:line="360" w:lineRule="auto"/>
        <w:rPr>
          <w:rFonts w:ascii="宋体" w:hAnsi="宋体" w:cs="宋体"/>
          <w:color w:val="auto"/>
          <w:kern w:val="0"/>
          <w:highlight w:val="none"/>
          <w:u w:val="none"/>
          <w:lang w:val="zh-CN"/>
        </w:rPr>
      </w:pPr>
      <w:bookmarkStart w:id="34" w:name="_Toc35393625"/>
      <w:bookmarkStart w:id="35" w:name="_Toc28359084"/>
      <w:bookmarkStart w:id="36" w:name="_Toc28359007"/>
      <w:bookmarkStart w:id="37" w:name="_Toc35393794"/>
      <w:r>
        <w:rPr>
          <w:rFonts w:hint="eastAsia" w:ascii="宋体" w:hAnsi="宋体" w:cs="宋体"/>
          <w:color w:val="auto"/>
          <w:kern w:val="0"/>
          <w:highlight w:val="none"/>
          <w:u w:val="none"/>
          <w:lang w:val="zh-CN"/>
        </w:rPr>
        <w:t>五、公告期限</w:t>
      </w:r>
      <w:bookmarkEnd w:id="34"/>
      <w:bookmarkEnd w:id="35"/>
      <w:bookmarkEnd w:id="36"/>
      <w:bookmarkEnd w:id="37"/>
    </w:p>
    <w:p>
      <w:pPr>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自本公告发布之日起5个工作日。</w:t>
      </w:r>
    </w:p>
    <w:p>
      <w:pPr>
        <w:spacing w:line="360" w:lineRule="auto"/>
        <w:rPr>
          <w:rFonts w:hint="eastAsia" w:ascii="宋体" w:hAnsi="宋体" w:cs="宋体"/>
          <w:color w:val="auto"/>
          <w:kern w:val="0"/>
          <w:highlight w:val="none"/>
          <w:u w:val="none"/>
          <w:lang w:val="zh-CN"/>
        </w:rPr>
      </w:pPr>
      <w:bookmarkStart w:id="38" w:name="_Toc35393626"/>
      <w:bookmarkStart w:id="39" w:name="_Toc35393795"/>
      <w:r>
        <w:rPr>
          <w:rFonts w:hint="eastAsia" w:ascii="宋体" w:hAnsi="宋体" w:cs="宋体"/>
          <w:color w:val="auto"/>
          <w:kern w:val="0"/>
          <w:highlight w:val="none"/>
          <w:u w:val="none"/>
          <w:lang w:val="en-US" w:eastAsia="zh-CN"/>
        </w:rPr>
        <w:t>六、</w:t>
      </w:r>
      <w:r>
        <w:rPr>
          <w:rFonts w:hint="eastAsia" w:ascii="宋体" w:hAnsi="宋体" w:cs="宋体"/>
          <w:color w:val="auto"/>
          <w:kern w:val="0"/>
          <w:highlight w:val="none"/>
          <w:u w:val="none"/>
          <w:lang w:val="zh-CN"/>
        </w:rPr>
        <w:t>其他补充事宜</w:t>
      </w:r>
      <w:bookmarkEnd w:id="38"/>
      <w:bookmarkEnd w:id="39"/>
      <w:bookmarkStart w:id="40" w:name="_Toc28359008"/>
      <w:bookmarkStart w:id="41" w:name="_Toc7451"/>
      <w:bookmarkStart w:id="42" w:name="_Toc6617"/>
      <w:bookmarkStart w:id="43" w:name="_Toc35393796"/>
      <w:bookmarkStart w:id="44" w:name="_Toc28359085"/>
      <w:bookmarkStart w:id="45" w:name="_Toc35393627"/>
    </w:p>
    <w:p>
      <w:pPr>
        <w:spacing w:line="360" w:lineRule="auto"/>
        <w:ind w:firstLine="480" w:firstLineChars="200"/>
        <w:rPr>
          <w:rFonts w:hint="eastAsia" w:ascii="宋体" w:hAnsi="宋体" w:cs="宋体"/>
          <w:color w:val="auto"/>
          <w:kern w:val="0"/>
          <w:highlight w:val="none"/>
          <w:u w:val="none"/>
          <w:lang w:val="en-US" w:eastAsia="zh-CN"/>
        </w:rPr>
      </w:pPr>
      <w:r>
        <w:rPr>
          <w:rFonts w:hint="eastAsia" w:ascii="宋体" w:hAnsi="宋体" w:cs="宋体"/>
          <w:color w:val="auto"/>
          <w:kern w:val="0"/>
          <w:highlight w:val="none"/>
          <w:u w:val="none"/>
          <w:lang w:val="en-US" w:eastAsia="zh-CN"/>
        </w:rPr>
        <w:t>/</w:t>
      </w:r>
    </w:p>
    <w:p>
      <w:pPr>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七、对本次招标提出询问，请按以下方式联系。</w:t>
      </w:r>
      <w:bookmarkEnd w:id="40"/>
      <w:bookmarkEnd w:id="41"/>
      <w:bookmarkEnd w:id="42"/>
      <w:bookmarkEnd w:id="43"/>
      <w:bookmarkEnd w:id="44"/>
      <w:bookmarkEnd w:id="45"/>
    </w:p>
    <w:p>
      <w:pPr>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1.采购人信息</w:t>
      </w:r>
    </w:p>
    <w:p>
      <w:pPr>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名 称：</w:t>
      </w:r>
      <w:r>
        <w:rPr>
          <w:rFonts w:hint="eastAsia"/>
          <w:color w:val="auto"/>
          <w:szCs w:val="22"/>
          <w:highlight w:val="none"/>
          <w:u w:val="none"/>
          <w:lang w:val="zh-CN"/>
        </w:rPr>
        <w:t xml:space="preserve">青海省司法厅 </w:t>
      </w:r>
      <w:r>
        <w:rPr>
          <w:rFonts w:hint="eastAsia" w:ascii="宋体" w:hAnsi="宋体" w:cs="宋体"/>
          <w:color w:val="auto"/>
          <w:highlight w:val="none"/>
          <w:u w:val="none"/>
          <w:lang w:val="zh-CN"/>
        </w:rPr>
        <w:t>　　</w:t>
      </w:r>
    </w:p>
    <w:p>
      <w:pPr>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地 址：</w:t>
      </w:r>
      <w:r>
        <w:rPr>
          <w:rFonts w:hint="eastAsia"/>
          <w:color w:val="auto"/>
          <w:szCs w:val="22"/>
          <w:highlight w:val="none"/>
          <w:u w:val="none"/>
          <w:lang w:val="zh-CN"/>
        </w:rPr>
        <w:t>青海省西宁市南山路11号</w:t>
      </w:r>
    </w:p>
    <w:p>
      <w:pPr>
        <w:spacing w:line="360" w:lineRule="auto"/>
        <w:ind w:firstLine="480" w:firstLineChars="200"/>
        <w:jc w:val="left"/>
        <w:rPr>
          <w:rFonts w:ascii="宋体" w:hAnsi="宋体" w:cs="宋体"/>
          <w:color w:val="auto"/>
          <w:highlight w:val="none"/>
          <w:u w:val="none"/>
          <w:lang w:val="zh-CN"/>
        </w:rPr>
      </w:pPr>
      <w:r>
        <w:rPr>
          <w:rFonts w:hint="eastAsia" w:ascii="宋体" w:hAnsi="宋体" w:cs="宋体"/>
          <w:color w:val="auto"/>
          <w:highlight w:val="none"/>
          <w:u w:val="none"/>
        </w:rPr>
        <w:t>联系方式：</w:t>
      </w:r>
      <w:r>
        <w:rPr>
          <w:rFonts w:hint="eastAsia" w:ascii="Times New Roman" w:hAnsi="Times New Roman"/>
          <w:color w:val="auto"/>
          <w:szCs w:val="22"/>
          <w:highlight w:val="none"/>
          <w:u w:val="none"/>
        </w:rPr>
        <w:t>王女</w:t>
      </w:r>
      <w:r>
        <w:rPr>
          <w:rFonts w:hint="eastAsia"/>
          <w:color w:val="auto"/>
          <w:szCs w:val="22"/>
          <w:highlight w:val="none"/>
          <w:u w:val="none"/>
        </w:rPr>
        <w:t>士（0971-8247708）</w:t>
      </w:r>
      <w:r>
        <w:rPr>
          <w:rFonts w:hint="eastAsia" w:ascii="宋体" w:hAnsi="宋体" w:cs="宋体"/>
          <w:color w:val="auto"/>
          <w:highlight w:val="none"/>
          <w:u w:val="none"/>
          <w:lang w:val="zh-CN"/>
        </w:rPr>
        <w:t>　</w:t>
      </w:r>
      <w:bookmarkStart w:id="46" w:name="_Toc28359009"/>
      <w:bookmarkStart w:id="47" w:name="_Toc28359086"/>
    </w:p>
    <w:p>
      <w:pPr>
        <w:widowControl/>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2.采购代理机构信息（如有）</w:t>
      </w:r>
      <w:bookmarkEnd w:id="46"/>
      <w:bookmarkEnd w:id="47"/>
    </w:p>
    <w:p>
      <w:pPr>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名 称：</w:t>
      </w:r>
      <w:r>
        <w:rPr>
          <w:rFonts w:hint="eastAsia" w:ascii="宋体" w:hAnsi="宋体" w:cs="宋体"/>
          <w:color w:val="auto"/>
          <w:highlight w:val="none"/>
          <w:u w:val="none"/>
          <w:lang w:val="zh-CN"/>
        </w:rPr>
        <w:t>青海睿澳工程项目管理有限公司</w:t>
      </w:r>
      <w:r>
        <w:rPr>
          <w:rFonts w:hint="eastAsia" w:ascii="宋体" w:hAnsi="宋体" w:cs="宋体"/>
          <w:color w:val="auto"/>
          <w:highlight w:val="none"/>
          <w:u w:val="none"/>
        </w:rPr>
        <w:t>　　　　</w:t>
      </w:r>
    </w:p>
    <w:p>
      <w:pPr>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地　址：</w:t>
      </w:r>
      <w:r>
        <w:rPr>
          <w:rFonts w:hint="eastAsia" w:ascii="宋体" w:hAnsi="宋体" w:cs="宋体"/>
          <w:color w:val="auto"/>
          <w:highlight w:val="none"/>
          <w:u w:val="none"/>
          <w:lang w:val="zh-CN"/>
        </w:rPr>
        <w:t>西宁市城西区海湖新区五四西路61号新华联国际中心1号楼9楼1091室</w:t>
      </w:r>
    </w:p>
    <w:p>
      <w:pPr>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联系方式</w:t>
      </w:r>
      <w:bookmarkStart w:id="48" w:name="_Toc28359087"/>
      <w:bookmarkStart w:id="49" w:name="_Toc28359010"/>
      <w:r>
        <w:rPr>
          <w:rFonts w:hint="eastAsia" w:ascii="宋体" w:hAnsi="宋体" w:cs="宋体"/>
          <w:color w:val="auto"/>
          <w:highlight w:val="none"/>
          <w:u w:val="none"/>
          <w:lang w:val="zh-CN"/>
        </w:rPr>
        <w:t>0971-4392771　　</w:t>
      </w:r>
      <w:r>
        <w:rPr>
          <w:rFonts w:hint="eastAsia" w:ascii="宋体" w:hAnsi="宋体" w:cs="宋体"/>
          <w:color w:val="auto"/>
          <w:highlight w:val="none"/>
          <w:u w:val="none"/>
        </w:rPr>
        <w:t>　　　　　    　</w:t>
      </w:r>
    </w:p>
    <w:p>
      <w:pPr>
        <w:widowControl/>
        <w:spacing w:line="360" w:lineRule="auto"/>
        <w:ind w:firstLine="480" w:firstLineChars="200"/>
        <w:jc w:val="left"/>
        <w:rPr>
          <w:rFonts w:ascii="宋体" w:hAnsi="宋体" w:cs="宋体"/>
          <w:color w:val="auto"/>
          <w:highlight w:val="none"/>
          <w:u w:val="none"/>
        </w:rPr>
      </w:pPr>
      <w:r>
        <w:rPr>
          <w:rFonts w:hint="eastAsia" w:ascii="宋体" w:hAnsi="宋体" w:cs="宋体"/>
          <w:color w:val="auto"/>
          <w:highlight w:val="none"/>
          <w:u w:val="none"/>
        </w:rPr>
        <w:t>3.项目联系方式</w:t>
      </w:r>
      <w:bookmarkEnd w:id="48"/>
      <w:bookmarkEnd w:id="49"/>
    </w:p>
    <w:p>
      <w:pPr>
        <w:spacing w:line="360" w:lineRule="auto"/>
        <w:ind w:firstLine="720" w:firstLineChars="300"/>
        <w:rPr>
          <w:rFonts w:ascii="宋体" w:hAnsi="宋体" w:cs="宋体"/>
          <w:color w:val="auto"/>
          <w:highlight w:val="none"/>
          <w:u w:val="none"/>
        </w:rPr>
      </w:pPr>
      <w:r>
        <w:rPr>
          <w:rFonts w:hint="eastAsia" w:ascii="宋体" w:hAnsi="宋体" w:cs="宋体"/>
          <w:color w:val="auto"/>
          <w:highlight w:val="none"/>
          <w:u w:val="none"/>
        </w:rPr>
        <w:t>项目联系人：宋女士</w:t>
      </w:r>
    </w:p>
    <w:p>
      <w:pPr>
        <w:spacing w:line="360" w:lineRule="auto"/>
        <w:ind w:firstLine="720" w:firstLineChars="300"/>
        <w:rPr>
          <w:rFonts w:ascii="宋体" w:hAnsi="宋体" w:cs="宋体"/>
          <w:color w:val="auto"/>
          <w:highlight w:val="none"/>
          <w:u w:val="none"/>
        </w:rPr>
      </w:pPr>
      <w:r>
        <w:rPr>
          <w:rFonts w:hint="eastAsia" w:ascii="宋体" w:hAnsi="宋体" w:cs="宋体"/>
          <w:color w:val="auto"/>
          <w:highlight w:val="none"/>
          <w:u w:val="none"/>
        </w:rPr>
        <w:t>电　话：</w:t>
      </w:r>
      <w:r>
        <w:rPr>
          <w:rFonts w:hint="eastAsia" w:ascii="宋体" w:hAnsi="宋体" w:cs="宋体"/>
          <w:color w:val="auto"/>
          <w:highlight w:val="none"/>
          <w:u w:val="none"/>
          <w:lang w:val="zh-CN"/>
        </w:rPr>
        <w:t>0971-4392771</w:t>
      </w:r>
    </w:p>
    <w:p>
      <w:pPr>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八、监管部门及电话</w:t>
      </w:r>
      <w:r>
        <w:rPr>
          <w:rFonts w:hint="eastAsia" w:ascii="宋体" w:hAnsi="宋体" w:cs="宋体"/>
          <w:color w:val="auto"/>
          <w:kern w:val="0"/>
          <w:highlight w:val="none"/>
          <w:u w:val="none"/>
          <w:lang w:val="zh-CN"/>
        </w:rPr>
        <w:tab/>
      </w:r>
    </w:p>
    <w:p>
      <w:pPr>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 xml:space="preserve">青海省财政厅   </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联系电话：0971-6145505</w:t>
      </w:r>
    </w:p>
    <w:p>
      <w:pPr>
        <w:spacing w:line="360" w:lineRule="auto"/>
        <w:rPr>
          <w:rFonts w:ascii="宋体" w:hAnsi="宋体" w:cs="宋体"/>
          <w:color w:val="auto"/>
          <w:kern w:val="0"/>
          <w:highlight w:val="none"/>
          <w:u w:val="none"/>
        </w:rPr>
      </w:pPr>
      <w:r>
        <w:rPr>
          <w:rFonts w:hint="eastAsia" w:ascii="宋体" w:hAnsi="宋体" w:cs="宋体"/>
          <w:color w:val="auto"/>
          <w:kern w:val="0"/>
          <w:highlight w:val="none"/>
          <w:u w:val="none"/>
        </w:rPr>
        <w:t xml:space="preserve">    青海省司法厅     联系电话：0971-8233076</w:t>
      </w:r>
    </w:p>
    <w:p>
      <w:pPr>
        <w:rPr>
          <w:color w:val="auto"/>
          <w:highlight w:val="none"/>
          <w:u w:val="none"/>
        </w:rPr>
      </w:pPr>
    </w:p>
    <w:p>
      <w:pPr>
        <w:ind w:right="120"/>
        <w:jc w:val="right"/>
        <w:rPr>
          <w:rFonts w:ascii="宋体" w:hAnsi="宋体" w:cs="宋体"/>
          <w:b/>
          <w:bCs/>
          <w:color w:val="auto"/>
          <w:highlight w:val="none"/>
          <w:u w:val="none"/>
        </w:rPr>
      </w:pPr>
    </w:p>
    <w:p>
      <w:pPr>
        <w:wordWrap w:val="0"/>
        <w:spacing w:line="360" w:lineRule="auto"/>
        <w:jc w:val="right"/>
        <w:rPr>
          <w:rFonts w:ascii="宋体" w:hAnsi="宋体" w:cs="宋体"/>
          <w:b/>
          <w:bCs/>
          <w:color w:val="auto"/>
          <w:highlight w:val="none"/>
          <w:u w:val="none"/>
        </w:rPr>
      </w:pPr>
      <w:r>
        <w:rPr>
          <w:rFonts w:hint="eastAsia" w:ascii="宋体" w:hAnsi="宋体" w:cs="宋体"/>
          <w:b/>
          <w:bCs/>
          <w:color w:val="auto"/>
          <w:highlight w:val="none"/>
          <w:u w:val="none"/>
        </w:rPr>
        <w:t>2021年0</w:t>
      </w:r>
      <w:r>
        <w:rPr>
          <w:rFonts w:hint="eastAsia" w:ascii="宋体" w:hAnsi="宋体" w:cs="宋体"/>
          <w:b/>
          <w:bCs/>
          <w:color w:val="auto"/>
          <w:highlight w:val="none"/>
          <w:u w:val="none"/>
          <w:lang w:val="en-US" w:eastAsia="zh-CN"/>
        </w:rPr>
        <w:t>7</w:t>
      </w:r>
      <w:r>
        <w:rPr>
          <w:rFonts w:hint="eastAsia" w:ascii="宋体" w:hAnsi="宋体" w:cs="宋体"/>
          <w:b/>
          <w:bCs/>
          <w:color w:val="auto"/>
          <w:highlight w:val="none"/>
          <w:u w:val="none"/>
        </w:rPr>
        <w:t>月</w:t>
      </w:r>
      <w:r>
        <w:rPr>
          <w:rFonts w:hint="eastAsia" w:ascii="宋体" w:hAnsi="宋体" w:cs="宋体"/>
          <w:b/>
          <w:bCs/>
          <w:color w:val="auto"/>
          <w:highlight w:val="none"/>
          <w:u w:val="none"/>
          <w:lang w:val="en-US" w:eastAsia="zh-CN"/>
        </w:rPr>
        <w:t>13</w:t>
      </w:r>
      <w:r>
        <w:rPr>
          <w:rFonts w:hint="eastAsia" w:ascii="宋体" w:hAnsi="宋体" w:cs="宋体"/>
          <w:b/>
          <w:bCs/>
          <w:color w:val="auto"/>
          <w:highlight w:val="none"/>
          <w:u w:val="none"/>
        </w:rPr>
        <w:t>日</w:t>
      </w:r>
    </w:p>
    <w:p>
      <w:pPr>
        <w:rPr>
          <w:color w:val="auto"/>
          <w:highlight w:val="none"/>
          <w:u w:val="none"/>
        </w:rPr>
      </w:pPr>
    </w:p>
    <w:p>
      <w:pPr>
        <w:ind w:right="120"/>
        <w:jc w:val="right"/>
        <w:rPr>
          <w:rFonts w:ascii="宋体" w:hAnsi="宋体"/>
          <w:color w:val="auto"/>
          <w:highlight w:val="none"/>
          <w:u w:val="none"/>
        </w:rPr>
      </w:pPr>
    </w:p>
    <w:p>
      <w:pPr>
        <w:jc w:val="center"/>
        <w:rPr>
          <w:rFonts w:ascii="宋体" w:cs="宋体"/>
          <w:color w:val="auto"/>
          <w:highlight w:val="none"/>
          <w:u w:val="none"/>
        </w:rPr>
      </w:pPr>
      <w:r>
        <w:rPr>
          <w:rFonts w:ascii="宋体" w:cs="宋体"/>
          <w:color w:val="auto"/>
          <w:highlight w:val="none"/>
          <w:u w:val="none"/>
        </w:rPr>
        <w:br w:type="page"/>
      </w:r>
      <w:bookmarkEnd w:id="2"/>
    </w:p>
    <w:p>
      <w:pPr>
        <w:pStyle w:val="29"/>
        <w:spacing w:before="0" w:after="0" w:line="360" w:lineRule="auto"/>
        <w:rPr>
          <w:rFonts w:ascii="宋体" w:hAnsi="宋体" w:cs="宋体"/>
          <w:color w:val="auto"/>
          <w:szCs w:val="36"/>
          <w:highlight w:val="none"/>
          <w:u w:val="none"/>
        </w:rPr>
      </w:pPr>
      <w:bookmarkStart w:id="50" w:name="_Toc21334"/>
      <w:bookmarkStart w:id="51" w:name="_Toc1482"/>
      <w:r>
        <w:rPr>
          <w:rFonts w:hint="eastAsia" w:ascii="宋体" w:hAnsi="宋体" w:cs="宋体"/>
          <w:color w:val="auto"/>
          <w:szCs w:val="36"/>
          <w:highlight w:val="none"/>
          <w:u w:val="none"/>
          <w:lang w:val="zh-CN"/>
        </w:rPr>
        <w:t>第二部分  投标人须知</w:t>
      </w:r>
      <w:bookmarkEnd w:id="50"/>
      <w:bookmarkEnd w:id="51"/>
    </w:p>
    <w:p>
      <w:pPr>
        <w:pStyle w:val="29"/>
        <w:spacing w:before="0" w:after="0" w:line="360" w:lineRule="auto"/>
        <w:rPr>
          <w:rFonts w:ascii="宋体" w:hAnsi="宋体" w:cs="宋体"/>
          <w:color w:val="auto"/>
          <w:highlight w:val="none"/>
          <w:u w:val="none"/>
        </w:rPr>
      </w:pPr>
      <w:bookmarkStart w:id="52" w:name="_Toc6848"/>
      <w:bookmarkStart w:id="53" w:name="_Toc6910"/>
      <w:r>
        <w:rPr>
          <w:rFonts w:hint="eastAsia" w:ascii="宋体" w:hAnsi="宋体" w:cs="宋体"/>
          <w:color w:val="auto"/>
          <w:highlight w:val="none"/>
          <w:u w:val="none"/>
          <w:lang w:val="zh-CN"/>
        </w:rPr>
        <w:t>一、说明</w:t>
      </w:r>
      <w:bookmarkEnd w:id="52"/>
      <w:bookmarkEnd w:id="53"/>
    </w:p>
    <w:p>
      <w:pPr>
        <w:pStyle w:val="29"/>
        <w:spacing w:before="0" w:after="0" w:line="360" w:lineRule="auto"/>
        <w:jc w:val="left"/>
        <w:rPr>
          <w:rFonts w:ascii="宋体" w:hAnsi="宋体" w:cs="宋体"/>
          <w:color w:val="auto"/>
          <w:highlight w:val="none"/>
          <w:u w:val="none"/>
          <w:lang w:val="zh-CN"/>
        </w:rPr>
      </w:pPr>
      <w:bookmarkStart w:id="54" w:name="_Toc25571"/>
      <w:bookmarkStart w:id="55" w:name="_Toc17791"/>
      <w:r>
        <w:rPr>
          <w:rFonts w:hint="eastAsia" w:ascii="宋体" w:hAnsi="宋体" w:cs="宋体"/>
          <w:color w:val="auto"/>
          <w:sz w:val="28"/>
          <w:szCs w:val="28"/>
          <w:highlight w:val="none"/>
          <w:u w:val="none"/>
          <w:lang w:val="zh-CN"/>
        </w:rPr>
        <w:t>1.适用范围</w:t>
      </w:r>
      <w:bookmarkEnd w:id="54"/>
      <w:bookmarkEnd w:id="55"/>
    </w:p>
    <w:p>
      <w:pPr>
        <w:autoSpaceDE w:val="0"/>
        <w:autoSpaceDN w:val="0"/>
        <w:spacing w:line="360" w:lineRule="auto"/>
        <w:ind w:firstLine="360" w:firstLineChars="15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本次招标依据采购人的采购计划，仅适用于本招标文件中所叙述的项目。</w:t>
      </w:r>
    </w:p>
    <w:p>
      <w:pPr>
        <w:pStyle w:val="29"/>
        <w:spacing w:before="0" w:after="0" w:line="360" w:lineRule="auto"/>
        <w:jc w:val="left"/>
        <w:rPr>
          <w:rFonts w:ascii="宋体" w:hAnsi="宋体" w:cs="宋体"/>
          <w:color w:val="auto"/>
          <w:highlight w:val="none"/>
          <w:u w:val="none"/>
          <w:lang w:val="zh-CN"/>
        </w:rPr>
      </w:pPr>
      <w:bookmarkStart w:id="56" w:name="_Toc4607"/>
      <w:bookmarkStart w:id="57" w:name="_Toc13525"/>
      <w:r>
        <w:rPr>
          <w:rFonts w:hint="eastAsia" w:ascii="宋体" w:hAnsi="宋体" w:cs="宋体"/>
          <w:color w:val="auto"/>
          <w:sz w:val="28"/>
          <w:szCs w:val="28"/>
          <w:highlight w:val="none"/>
          <w:u w:val="none"/>
          <w:lang w:val="zh-CN"/>
        </w:rPr>
        <w:t>2.采购方式、合格的投标人</w:t>
      </w:r>
      <w:bookmarkEnd w:id="56"/>
      <w:bookmarkEnd w:id="57"/>
    </w:p>
    <w:p>
      <w:pPr>
        <w:autoSpaceDE w:val="0"/>
        <w:autoSpaceDN w:val="0"/>
        <w:spacing w:line="360" w:lineRule="auto"/>
        <w:ind w:firstLine="360" w:firstLineChars="150"/>
        <w:rPr>
          <w:rFonts w:ascii="宋体" w:hAnsi="宋体" w:cs="宋体"/>
          <w:b/>
          <w:bCs/>
          <w:color w:val="auto"/>
          <w:kern w:val="0"/>
          <w:highlight w:val="none"/>
          <w:u w:val="none"/>
          <w:lang w:val="zh-CN"/>
        </w:rPr>
      </w:pPr>
      <w:r>
        <w:rPr>
          <w:rFonts w:hint="eastAsia" w:ascii="宋体" w:hAnsi="宋体" w:cs="宋体"/>
          <w:color w:val="auto"/>
          <w:kern w:val="0"/>
          <w:highlight w:val="none"/>
          <w:u w:val="none"/>
          <w:lang w:val="zh-CN"/>
        </w:rPr>
        <w:t>2.1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本次招标采取公开招标方式。</w:t>
      </w:r>
    </w:p>
    <w:p>
      <w:pPr>
        <w:autoSpaceDE w:val="0"/>
        <w:autoSpaceDN w:val="0"/>
        <w:spacing w:line="360" w:lineRule="auto"/>
        <w:ind w:firstLine="360" w:firstLineChars="15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2.2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合格的投标人：详见第一部分</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各包投标人资格要求</w:t>
      </w:r>
      <w:r>
        <w:rPr>
          <w:rFonts w:hint="eastAsia" w:ascii="宋体" w:hAnsi="宋体" w:cs="宋体"/>
          <w:color w:val="auto"/>
          <w:kern w:val="0"/>
          <w:highlight w:val="none"/>
          <w:u w:val="none"/>
        </w:rPr>
        <w:t>”。</w:t>
      </w:r>
    </w:p>
    <w:p>
      <w:pPr>
        <w:pStyle w:val="29"/>
        <w:spacing w:before="0" w:after="0" w:line="360" w:lineRule="auto"/>
        <w:jc w:val="left"/>
        <w:rPr>
          <w:rFonts w:ascii="宋体" w:hAnsi="宋体" w:cs="宋体"/>
          <w:color w:val="auto"/>
          <w:highlight w:val="none"/>
          <w:u w:val="none"/>
          <w:lang w:val="zh-CN"/>
        </w:rPr>
      </w:pPr>
      <w:bookmarkStart w:id="58" w:name="_Toc12185"/>
      <w:bookmarkStart w:id="59" w:name="_Toc5925"/>
      <w:r>
        <w:rPr>
          <w:rFonts w:hint="eastAsia" w:ascii="宋体" w:hAnsi="宋体" w:cs="宋体"/>
          <w:color w:val="auto"/>
          <w:sz w:val="28"/>
          <w:szCs w:val="28"/>
          <w:highlight w:val="none"/>
          <w:u w:val="none"/>
          <w:lang w:val="zh-CN"/>
        </w:rPr>
        <w:t>3.投标费用</w:t>
      </w:r>
      <w:bookmarkEnd w:id="58"/>
      <w:bookmarkEnd w:id="59"/>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投标人应自愿承担与参加本次投标有关的费用。采购代理机构对投标人发生的费用不承担任何责任。</w:t>
      </w:r>
    </w:p>
    <w:p>
      <w:pPr>
        <w:pStyle w:val="29"/>
        <w:spacing w:before="0" w:after="0" w:line="360" w:lineRule="auto"/>
        <w:rPr>
          <w:rFonts w:ascii="宋体" w:hAnsi="宋体" w:cs="宋体"/>
          <w:color w:val="auto"/>
          <w:highlight w:val="none"/>
          <w:u w:val="none"/>
        </w:rPr>
      </w:pPr>
      <w:bookmarkStart w:id="60" w:name="_Toc7095"/>
      <w:bookmarkStart w:id="61" w:name="_Toc24177"/>
      <w:r>
        <w:rPr>
          <w:rFonts w:hint="eastAsia" w:ascii="宋体" w:hAnsi="宋体" w:cs="宋体"/>
          <w:color w:val="auto"/>
          <w:highlight w:val="none"/>
          <w:u w:val="none"/>
          <w:lang w:val="zh-CN"/>
        </w:rPr>
        <w:t>二、招标文件说明</w:t>
      </w:r>
      <w:bookmarkEnd w:id="60"/>
      <w:bookmarkEnd w:id="61"/>
    </w:p>
    <w:p>
      <w:pPr>
        <w:pStyle w:val="29"/>
        <w:spacing w:before="0" w:after="0" w:line="360" w:lineRule="auto"/>
        <w:jc w:val="left"/>
        <w:rPr>
          <w:rFonts w:ascii="宋体" w:hAnsi="宋体" w:cs="宋体"/>
          <w:color w:val="auto"/>
          <w:highlight w:val="none"/>
          <w:u w:val="none"/>
          <w:lang w:val="zh-CN"/>
        </w:rPr>
      </w:pPr>
      <w:bookmarkStart w:id="62" w:name="_Toc31916"/>
      <w:bookmarkStart w:id="63" w:name="_Toc5670"/>
      <w:r>
        <w:rPr>
          <w:rFonts w:hint="eastAsia" w:ascii="宋体" w:hAnsi="宋体" w:cs="宋体"/>
          <w:color w:val="auto"/>
          <w:sz w:val="28"/>
          <w:szCs w:val="28"/>
          <w:highlight w:val="none"/>
          <w:u w:val="none"/>
          <w:lang w:val="zh-CN"/>
        </w:rPr>
        <w:t>4.招标文件的构成</w:t>
      </w:r>
      <w:bookmarkEnd w:id="62"/>
      <w:bookmarkEnd w:id="63"/>
    </w:p>
    <w:p>
      <w:pPr>
        <w:autoSpaceDE w:val="0"/>
        <w:autoSpaceDN w:val="0"/>
        <w:spacing w:line="360" w:lineRule="auto"/>
        <w:ind w:firstLine="360" w:firstLineChars="15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4.1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招标文件包括：</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（1）投标邀请</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）投标人须知</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）青海省政府采购项目合同书范本</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）投标文件格式</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）采购项目要求及技术参数</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6</w:t>
      </w:r>
      <w:r>
        <w:rPr>
          <w:rFonts w:hint="eastAsia" w:ascii="宋体" w:hAnsi="宋体" w:cs="宋体"/>
          <w:color w:val="auto"/>
          <w:kern w:val="0"/>
          <w:highlight w:val="none"/>
          <w:u w:val="none"/>
          <w:lang w:val="zh-CN"/>
        </w:rPr>
        <w:t>）采购过程中发生的澄清、变更和补充文件</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 xml:space="preserve">4.2 </w:t>
      </w:r>
      <w:r>
        <w:rPr>
          <w:rFonts w:hint="eastAsia" w:ascii="宋体" w:hAnsi="宋体" w:cs="宋体"/>
          <w:color w:val="auto"/>
          <w:kern w:val="0"/>
          <w:highlight w:val="none"/>
          <w:u w:val="none"/>
        </w:rPr>
        <w:t>投标人应当按照招标文件的要求编制投标文件。投标文件应当对招标文件提出的要求和条件作出明确响应。</w:t>
      </w:r>
    </w:p>
    <w:p>
      <w:pPr>
        <w:pStyle w:val="29"/>
        <w:spacing w:before="0" w:after="0" w:line="360" w:lineRule="auto"/>
        <w:jc w:val="left"/>
        <w:rPr>
          <w:rFonts w:ascii="宋体" w:hAnsi="宋体" w:cs="宋体"/>
          <w:color w:val="auto"/>
          <w:sz w:val="28"/>
          <w:szCs w:val="28"/>
          <w:highlight w:val="none"/>
          <w:u w:val="none"/>
          <w:lang w:val="zh-CN"/>
        </w:rPr>
      </w:pPr>
      <w:bookmarkStart w:id="64" w:name="_Toc18723"/>
      <w:bookmarkStart w:id="65" w:name="_Toc470"/>
      <w:r>
        <w:rPr>
          <w:rFonts w:hint="eastAsia" w:ascii="宋体" w:hAnsi="宋体" w:cs="宋体"/>
          <w:color w:val="auto"/>
          <w:sz w:val="28"/>
          <w:szCs w:val="28"/>
          <w:highlight w:val="none"/>
          <w:u w:val="none"/>
          <w:lang w:val="zh-CN"/>
        </w:rPr>
        <w:t>5.招标公告、招标文件、采购活动和中标结果的质疑</w:t>
      </w:r>
      <w:bookmarkEnd w:id="64"/>
      <w:bookmarkEnd w:id="65"/>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认为招标公告、招标文件、采购活动和中标结果使自己的权益受到损害的，可以在知道或者应知其权益受到损害之日起7个工作日内以书面形式（如信件、传真等）向采购代理机构提出质疑，不接受匿名质疑。</w:t>
      </w:r>
      <w:r>
        <w:rPr>
          <w:rFonts w:hint="eastAsia" w:ascii="宋体" w:hAnsi="宋体" w:cs="宋体"/>
          <w:color w:val="auto"/>
          <w:kern w:val="0"/>
          <w:highlight w:val="none"/>
          <w:u w:val="none"/>
        </w:rPr>
        <w:t>潜在投标人可以对</w:t>
      </w:r>
      <w:r>
        <w:rPr>
          <w:rFonts w:hint="eastAsia" w:ascii="宋体" w:hAnsi="宋体" w:cs="宋体"/>
          <w:color w:val="auto"/>
          <w:kern w:val="0"/>
          <w:highlight w:val="none"/>
          <w:u w:val="none"/>
          <w:lang w:val="zh-CN"/>
        </w:rPr>
        <w:t>招标公告、</w:t>
      </w:r>
      <w:r>
        <w:rPr>
          <w:rFonts w:hint="eastAsia" w:ascii="宋体" w:hAnsi="宋体" w:cs="宋体"/>
          <w:color w:val="auto"/>
          <w:kern w:val="0"/>
          <w:highlight w:val="none"/>
          <w:u w:val="none"/>
        </w:rPr>
        <w:t>招标文件提出质疑。</w:t>
      </w:r>
      <w:r>
        <w:rPr>
          <w:rFonts w:hint="eastAsia" w:ascii="宋体" w:hAnsi="宋体" w:cs="宋体"/>
          <w:color w:val="auto"/>
          <w:kern w:val="0"/>
          <w:highlight w:val="none"/>
          <w:u w:val="none"/>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投标人应知其权益受到损害之日，是指：</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（二）对采购过程提出质疑的，为各采购程序环节结束之日；</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（三）对中标结果提出质疑的，为中标结果公告期限届满之日。</w:t>
      </w:r>
    </w:p>
    <w:p>
      <w:pPr>
        <w:pStyle w:val="29"/>
        <w:spacing w:before="0" w:after="0" w:line="360" w:lineRule="auto"/>
        <w:jc w:val="left"/>
        <w:rPr>
          <w:rFonts w:ascii="宋体" w:hAnsi="宋体" w:cs="宋体"/>
          <w:color w:val="auto"/>
          <w:highlight w:val="none"/>
          <w:u w:val="none"/>
          <w:lang w:val="zh-CN"/>
        </w:rPr>
      </w:pPr>
      <w:bookmarkStart w:id="66" w:name="_Toc14329"/>
      <w:bookmarkStart w:id="67" w:name="_Toc4990"/>
      <w:r>
        <w:rPr>
          <w:rFonts w:hint="eastAsia" w:ascii="宋体" w:hAnsi="宋体" w:cs="宋体"/>
          <w:color w:val="auto"/>
          <w:sz w:val="28"/>
          <w:szCs w:val="28"/>
          <w:highlight w:val="none"/>
          <w:u w:val="none"/>
          <w:lang w:val="zh-CN"/>
        </w:rPr>
        <w:t>6.招标文件的澄清或修改</w:t>
      </w:r>
      <w:bookmarkEnd w:id="66"/>
      <w:bookmarkEnd w:id="67"/>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6.1 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6.</w:t>
      </w: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9"/>
        <w:spacing w:before="0" w:after="0" w:line="360" w:lineRule="auto"/>
        <w:rPr>
          <w:rFonts w:ascii="宋体" w:hAnsi="宋体" w:cs="宋体"/>
          <w:color w:val="auto"/>
          <w:highlight w:val="none"/>
          <w:u w:val="none"/>
        </w:rPr>
      </w:pPr>
      <w:bookmarkStart w:id="68" w:name="_Toc20917"/>
      <w:bookmarkStart w:id="69" w:name="_Toc28495"/>
      <w:r>
        <w:rPr>
          <w:rFonts w:hint="eastAsia" w:ascii="宋体" w:hAnsi="宋体" w:cs="宋体"/>
          <w:color w:val="auto"/>
          <w:highlight w:val="none"/>
          <w:u w:val="none"/>
          <w:lang w:val="zh-CN"/>
        </w:rPr>
        <w:t>三、投标文件的编制</w:t>
      </w:r>
      <w:bookmarkEnd w:id="68"/>
      <w:bookmarkEnd w:id="69"/>
    </w:p>
    <w:p>
      <w:pPr>
        <w:pStyle w:val="29"/>
        <w:spacing w:before="0" w:after="0" w:line="360" w:lineRule="auto"/>
        <w:jc w:val="left"/>
        <w:rPr>
          <w:rFonts w:ascii="宋体" w:hAnsi="宋体" w:cs="宋体"/>
          <w:color w:val="auto"/>
          <w:highlight w:val="none"/>
          <w:u w:val="none"/>
          <w:lang w:val="zh-CN"/>
        </w:rPr>
      </w:pPr>
      <w:bookmarkStart w:id="70" w:name="_Toc15532"/>
      <w:bookmarkStart w:id="71" w:name="_Toc26877"/>
      <w:r>
        <w:rPr>
          <w:rFonts w:hint="eastAsia" w:ascii="宋体" w:hAnsi="宋体" w:cs="宋体"/>
          <w:color w:val="auto"/>
          <w:sz w:val="28"/>
          <w:szCs w:val="28"/>
          <w:highlight w:val="none"/>
          <w:u w:val="none"/>
          <w:lang w:val="zh-CN"/>
        </w:rPr>
        <w:t>7.投标文件的语言及度量衡单位</w:t>
      </w:r>
      <w:bookmarkEnd w:id="70"/>
      <w:bookmarkEnd w:id="71"/>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7.1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投标人提交的投标文件以及投标人与采购代理机构就此投标发生的所有来往函电均应使用简体中文。</w:t>
      </w:r>
      <w:r>
        <w:rPr>
          <w:rFonts w:hint="eastAsia" w:ascii="宋体" w:hAnsi="宋体" w:cs="宋体"/>
          <w:color w:val="auto"/>
          <w:highlight w:val="none"/>
          <w:u w:val="none"/>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7.3 附有外文资料的须翻译成中文，并加盖投标人公章，如果翻译的中文资料与外文资料出现差异与矛盾时，以中文为准，其准确性由投标人负责。</w:t>
      </w:r>
    </w:p>
    <w:p>
      <w:pPr>
        <w:pStyle w:val="29"/>
        <w:spacing w:before="0" w:after="0" w:line="360" w:lineRule="auto"/>
        <w:jc w:val="left"/>
        <w:rPr>
          <w:rFonts w:ascii="宋体" w:hAnsi="宋体" w:cs="宋体"/>
          <w:color w:val="auto"/>
          <w:highlight w:val="none"/>
          <w:u w:val="none"/>
          <w:lang w:val="zh-CN"/>
        </w:rPr>
      </w:pPr>
      <w:bookmarkStart w:id="72" w:name="_Toc14490"/>
      <w:bookmarkStart w:id="73" w:name="_Toc28704"/>
      <w:r>
        <w:rPr>
          <w:rFonts w:hint="eastAsia" w:ascii="宋体" w:hAnsi="宋体" w:cs="宋体"/>
          <w:color w:val="auto"/>
          <w:sz w:val="28"/>
          <w:szCs w:val="28"/>
          <w:highlight w:val="none"/>
          <w:u w:val="none"/>
          <w:lang w:val="zh-CN"/>
        </w:rPr>
        <w:t>8.投标报价及币种</w:t>
      </w:r>
      <w:bookmarkEnd w:id="72"/>
      <w:bookmarkEnd w:id="73"/>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8.1 投标报价为投标总价。投标报价必须包括：产品费、安装费、系统集成费、调试及维护费、验收费、手续费、包装费、运输费、保险费、售前、售中、售后服务费、招标代理费、税金及不可预见费等全部费用。</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8.2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投标报价有效期与投标有效期一致。</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8.</w:t>
      </w:r>
      <w:r>
        <w:rPr>
          <w:rFonts w:hint="eastAsia" w:ascii="宋体" w:hAnsi="宋体" w:cs="宋体"/>
          <w:color w:val="auto"/>
          <w:kern w:val="0"/>
          <w:highlight w:val="none"/>
          <w:u w:val="none"/>
        </w:rPr>
        <w:t xml:space="preserve">3 </w:t>
      </w:r>
      <w:r>
        <w:rPr>
          <w:rFonts w:hint="eastAsia" w:ascii="宋体" w:hAnsi="宋体" w:cs="宋体"/>
          <w:color w:val="auto"/>
          <w:kern w:val="0"/>
          <w:highlight w:val="none"/>
          <w:u w:val="none"/>
          <w:lang w:val="zh-CN"/>
        </w:rPr>
        <w:t>投标报价为闭口价，即中标后在合同有效期内价格不变。</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8.</w:t>
      </w:r>
      <w:r>
        <w:rPr>
          <w:rFonts w:hint="eastAsia" w:ascii="宋体" w:hAnsi="宋体" w:cs="宋体"/>
          <w:color w:val="auto"/>
          <w:kern w:val="0"/>
          <w:highlight w:val="none"/>
          <w:u w:val="none"/>
        </w:rPr>
        <w:t xml:space="preserve">4 </w:t>
      </w:r>
      <w:r>
        <w:rPr>
          <w:rFonts w:hint="eastAsia" w:ascii="宋体" w:hAnsi="宋体" w:cs="宋体"/>
          <w:color w:val="auto"/>
          <w:kern w:val="0"/>
          <w:highlight w:val="none"/>
          <w:u w:val="none"/>
          <w:lang w:val="zh-CN"/>
        </w:rPr>
        <w:t>投标币种是人民币。</w:t>
      </w:r>
    </w:p>
    <w:p>
      <w:pPr>
        <w:pStyle w:val="29"/>
        <w:spacing w:before="0" w:after="0" w:line="360" w:lineRule="auto"/>
        <w:jc w:val="left"/>
        <w:rPr>
          <w:rFonts w:ascii="宋体" w:hAnsi="宋体" w:cs="宋体"/>
          <w:color w:val="auto"/>
          <w:highlight w:val="none"/>
          <w:u w:val="none"/>
          <w:lang w:val="zh-CN"/>
        </w:rPr>
      </w:pPr>
      <w:bookmarkStart w:id="74" w:name="_Toc17781"/>
      <w:bookmarkStart w:id="75" w:name="_Toc17521"/>
      <w:r>
        <w:rPr>
          <w:rFonts w:hint="eastAsia" w:ascii="宋体" w:hAnsi="宋体" w:cs="宋体"/>
          <w:color w:val="auto"/>
          <w:sz w:val="28"/>
          <w:szCs w:val="28"/>
          <w:highlight w:val="none"/>
          <w:u w:val="none"/>
          <w:lang w:val="zh-CN"/>
        </w:rPr>
        <w:t>9.投标保证金</w:t>
      </w:r>
      <w:bookmarkEnd w:id="74"/>
      <w:bookmarkEnd w:id="75"/>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9.1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投标人须在投标截止期前按以下要求交纳投标保证金：</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投标保证金：</w:t>
      </w:r>
      <w:r>
        <w:rPr>
          <w:rFonts w:hint="eastAsia" w:ascii="宋体" w:hAnsi="宋体" w:cs="宋体"/>
          <w:b/>
          <w:bCs/>
          <w:color w:val="auto"/>
          <w:kern w:val="0"/>
          <w:highlight w:val="none"/>
          <w:u w:val="none"/>
          <w:lang w:val="en-US" w:eastAsia="zh-CN"/>
        </w:rPr>
        <w:t>100</w:t>
      </w:r>
      <w:r>
        <w:rPr>
          <w:rFonts w:hint="eastAsia" w:ascii="宋体" w:hAnsi="宋体" w:cs="宋体"/>
          <w:b/>
          <w:bCs/>
          <w:color w:val="auto"/>
          <w:kern w:val="0"/>
          <w:highlight w:val="none"/>
          <w:u w:val="none"/>
          <w:lang w:val="zh-CN"/>
        </w:rPr>
        <w:t>000.00元整（大写：</w:t>
      </w:r>
      <w:r>
        <w:rPr>
          <w:rFonts w:hint="eastAsia" w:ascii="宋体" w:hAnsi="宋体" w:cs="宋体"/>
          <w:b/>
          <w:bCs/>
          <w:color w:val="auto"/>
          <w:kern w:val="0"/>
          <w:highlight w:val="none"/>
          <w:u w:val="none"/>
          <w:lang w:val="en-US" w:eastAsia="zh-CN"/>
        </w:rPr>
        <w:t>壹拾万</w:t>
      </w:r>
      <w:r>
        <w:rPr>
          <w:rFonts w:hint="eastAsia" w:ascii="宋体" w:hAnsi="宋体" w:cs="宋体"/>
          <w:b/>
          <w:bCs/>
          <w:color w:val="auto"/>
          <w:kern w:val="0"/>
          <w:highlight w:val="none"/>
          <w:u w:val="none"/>
          <w:lang w:val="zh-CN"/>
        </w:rPr>
        <w:t>元整）；</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收款单位：青海睿澳工程项目管理有限公司</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开 户 行：招商银行股份有限公司西宁分行</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银行账号：972900055210102</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交纳时间：开标时间及投标截止时间止，以银行到账时间为准。</w:t>
      </w:r>
    </w:p>
    <w:p>
      <w:pPr>
        <w:autoSpaceDE w:val="0"/>
        <w:autoSpaceDN w:val="0"/>
        <w:spacing w:line="360" w:lineRule="auto"/>
        <w:ind w:firstLine="482" w:firstLineChars="200"/>
        <w:rPr>
          <w:rFonts w:ascii="宋体" w:hAnsi="宋体" w:cs="宋体"/>
          <w:b/>
          <w:bCs/>
          <w:color w:val="auto"/>
          <w:kern w:val="0"/>
          <w:highlight w:val="none"/>
          <w:u w:val="none"/>
          <w:lang w:val="zh-CN"/>
        </w:rPr>
      </w:pPr>
      <w:r>
        <w:rPr>
          <w:rFonts w:hint="eastAsia" w:ascii="宋体" w:hAnsi="宋体" w:cs="宋体"/>
          <w:b/>
          <w:bCs/>
          <w:color w:val="auto"/>
          <w:kern w:val="0"/>
          <w:highlight w:val="none"/>
          <w:u w:val="none"/>
          <w:lang w:val="zh-CN"/>
        </w:rPr>
        <w:t>如采购项目变更开标时间，则保证金交纳时间相应顺延。</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9.2</w:t>
      </w:r>
      <w:r>
        <w:rPr>
          <w:rFonts w:hint="eastAsia" w:ascii="宋体" w:hAnsi="宋体" w:cs="宋体"/>
          <w:color w:val="auto"/>
          <w:kern w:val="0"/>
          <w:highlight w:val="none"/>
          <w:u w:val="none"/>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9.3</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9"/>
        <w:spacing w:before="0" w:after="0" w:line="360" w:lineRule="auto"/>
        <w:jc w:val="left"/>
        <w:rPr>
          <w:rFonts w:ascii="宋体" w:hAnsi="宋体" w:cs="宋体"/>
          <w:color w:val="auto"/>
          <w:highlight w:val="none"/>
          <w:u w:val="none"/>
          <w:lang w:val="zh-CN"/>
        </w:rPr>
      </w:pPr>
      <w:bookmarkStart w:id="76" w:name="_Toc22242"/>
      <w:bookmarkStart w:id="77" w:name="_Toc22591"/>
      <w:r>
        <w:rPr>
          <w:rFonts w:hint="eastAsia" w:ascii="宋体" w:hAnsi="宋体" w:cs="宋体"/>
          <w:color w:val="auto"/>
          <w:sz w:val="28"/>
          <w:szCs w:val="28"/>
          <w:highlight w:val="none"/>
          <w:u w:val="none"/>
          <w:lang w:val="zh-CN"/>
        </w:rPr>
        <w:t>10.投标有效期</w:t>
      </w:r>
      <w:bookmarkEnd w:id="76"/>
      <w:bookmarkEnd w:id="77"/>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highlight w:val="none"/>
          <w:u w:val="none"/>
          <w:shd w:val="clear" w:color="auto" w:fill="FFFFFF"/>
        </w:rPr>
        <w:t>从提交投标文件的截止之</w:t>
      </w:r>
      <w:r>
        <w:rPr>
          <w:rFonts w:hint="eastAsia" w:ascii="宋体" w:hAnsi="宋体" w:cs="宋体"/>
          <w:color w:val="auto"/>
          <w:kern w:val="0"/>
          <w:highlight w:val="none"/>
          <w:u w:val="none"/>
          <w:lang w:val="zh-CN"/>
        </w:rPr>
        <w:t>日起60</w:t>
      </w:r>
      <w:r>
        <w:rPr>
          <w:rFonts w:hint="eastAsia" w:ascii="宋体" w:hAnsi="宋体" w:cs="宋体"/>
          <w:color w:val="auto"/>
          <w:kern w:val="0"/>
          <w:highlight w:val="none"/>
          <w:u w:val="none"/>
        </w:rPr>
        <w:t>个</w:t>
      </w:r>
      <w:r>
        <w:rPr>
          <w:rFonts w:hint="eastAsia" w:ascii="宋体" w:hAnsi="宋体" w:cs="宋体"/>
          <w:color w:val="auto"/>
          <w:kern w:val="0"/>
          <w:highlight w:val="none"/>
          <w:u w:val="none"/>
          <w:lang w:val="zh-CN"/>
        </w:rPr>
        <w:t>日历日。投标文件中承诺的投标有效期应当不少于招标文件中载明的投标有效期。投标有效期内投标人撤销投标文件的，采购代理机构可以不退还投标保证金。</w:t>
      </w:r>
    </w:p>
    <w:p>
      <w:pPr>
        <w:pStyle w:val="29"/>
        <w:spacing w:before="0" w:after="0" w:line="360" w:lineRule="auto"/>
        <w:jc w:val="left"/>
        <w:rPr>
          <w:rFonts w:ascii="宋体" w:hAnsi="宋体" w:cs="宋体"/>
          <w:color w:val="auto"/>
          <w:highlight w:val="none"/>
          <w:u w:val="none"/>
          <w:lang w:val="zh-CN"/>
        </w:rPr>
      </w:pPr>
      <w:bookmarkStart w:id="78" w:name="_Toc3280"/>
      <w:bookmarkStart w:id="79" w:name="_Toc16582"/>
      <w:r>
        <w:rPr>
          <w:rFonts w:hint="eastAsia" w:ascii="宋体" w:hAnsi="宋体" w:cs="宋体"/>
          <w:color w:val="auto"/>
          <w:sz w:val="28"/>
          <w:szCs w:val="28"/>
          <w:highlight w:val="none"/>
          <w:u w:val="none"/>
          <w:lang w:val="zh-CN"/>
        </w:rPr>
        <w:t>11.投标文件构成</w:t>
      </w:r>
      <w:bookmarkEnd w:id="78"/>
      <w:bookmarkEnd w:id="79"/>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auto"/>
          <w:highlight w:val="none"/>
          <w:u w:val="none"/>
        </w:rPr>
      </w:pPr>
      <w:r>
        <w:rPr>
          <w:rFonts w:hint="eastAsia" w:ascii="宋体" w:hAnsi="宋体" w:cs="宋体"/>
          <w:b/>
          <w:bCs/>
          <w:color w:val="auto"/>
          <w:kern w:val="0"/>
          <w:highlight w:val="none"/>
          <w:u w:val="none"/>
        </w:rPr>
        <w:t>11.1</w:t>
      </w:r>
      <w:r>
        <w:rPr>
          <w:rFonts w:hint="eastAsia" w:ascii="宋体" w:hAnsi="宋体" w:cs="宋体"/>
          <w:b/>
          <w:bCs/>
          <w:color w:val="auto"/>
          <w:kern w:val="0"/>
          <w:highlight w:val="none"/>
          <w:u w:val="none"/>
          <w:lang w:val="zh-CN"/>
        </w:rPr>
        <w:t>、投标文件（上册）（资格审查）</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投标函</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法定代表人证明书</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法定代表人授权书</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投标人承诺函</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投标人诚信承诺书</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资格证明材料</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财务状况报告，依法缴纳税收和社会保障资金的相关材料</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具备履行合同所必需的设备和专业技术能力的证明材料</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无重大违法记录声明</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投标保证金证明</w:t>
      </w:r>
    </w:p>
    <w:p>
      <w:pPr>
        <w:autoSpaceDE w:val="0"/>
        <w:autoSpaceDN w:val="0"/>
        <w:spacing w:line="360" w:lineRule="auto"/>
        <w:ind w:firstLine="482" w:firstLineChars="200"/>
        <w:rPr>
          <w:rFonts w:ascii="宋体" w:hAnsi="宋体" w:cs="宋体"/>
          <w:color w:val="auto"/>
          <w:kern w:val="0"/>
          <w:highlight w:val="none"/>
          <w:u w:val="none"/>
          <w:lang w:val="zh-CN"/>
        </w:rPr>
      </w:pPr>
      <w:r>
        <w:rPr>
          <w:rFonts w:hint="eastAsia" w:ascii="宋体" w:hAnsi="宋体" w:cs="宋体"/>
          <w:b/>
          <w:bCs/>
          <w:color w:val="auto"/>
          <w:kern w:val="0"/>
          <w:highlight w:val="none"/>
          <w:u w:val="none"/>
        </w:rPr>
        <w:t xml:space="preserve">11.2 </w:t>
      </w:r>
      <w:r>
        <w:rPr>
          <w:rFonts w:hint="eastAsia" w:ascii="宋体" w:hAnsi="宋体" w:cs="宋体"/>
          <w:b/>
          <w:bCs/>
          <w:color w:val="auto"/>
          <w:kern w:val="0"/>
          <w:highlight w:val="none"/>
          <w:u w:val="none"/>
          <w:lang w:val="zh-CN"/>
        </w:rPr>
        <w:t>投标文件（下册）</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评分对照表</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开标一览表（报价表）</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分项报价表</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技术规格响应表</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投标产品相关资料</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投标人的类似业绩证明材料</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制造（生产）企业小型、微型企业声明函、从业人员声明函</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highlight w:val="none"/>
          <w:u w:val="none"/>
        </w:rPr>
        <w:t>残疾人福利性单位声明函</w:t>
      </w:r>
    </w:p>
    <w:p>
      <w:pPr>
        <w:numPr>
          <w:ilvl w:val="0"/>
          <w:numId w:val="5"/>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投标人认为在其他方面有必要说明的事项</w:t>
      </w:r>
    </w:p>
    <w:p>
      <w:pPr>
        <w:autoSpaceDE w:val="0"/>
        <w:autoSpaceDN w:val="0"/>
        <w:spacing w:line="360" w:lineRule="auto"/>
        <w:ind w:firstLine="600" w:firstLineChars="25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注：投标人须按上述内容、顺序和格式编制投标文件，并按要求编制目录、页码，并保证所提供的全部资料真实可信，自愿承担相应责任。</w:t>
      </w:r>
    </w:p>
    <w:p>
      <w:pPr>
        <w:pStyle w:val="29"/>
        <w:spacing w:before="0" w:after="0" w:line="360" w:lineRule="auto"/>
        <w:jc w:val="left"/>
        <w:rPr>
          <w:rFonts w:ascii="宋体" w:hAnsi="宋体" w:cs="宋体"/>
          <w:color w:val="auto"/>
          <w:highlight w:val="none"/>
          <w:u w:val="none"/>
          <w:lang w:val="zh-CN"/>
        </w:rPr>
      </w:pPr>
      <w:bookmarkStart w:id="80" w:name="_Toc13786"/>
      <w:bookmarkStart w:id="81" w:name="_Toc22734"/>
      <w:r>
        <w:rPr>
          <w:rFonts w:hint="eastAsia" w:ascii="宋体" w:hAnsi="宋体" w:cs="宋体"/>
          <w:color w:val="auto"/>
          <w:sz w:val="28"/>
          <w:szCs w:val="28"/>
          <w:highlight w:val="none"/>
          <w:u w:val="none"/>
          <w:lang w:val="zh-CN"/>
        </w:rPr>
        <w:t>12.投标文件的编制要求</w:t>
      </w:r>
      <w:bookmarkEnd w:id="80"/>
      <w:bookmarkEnd w:id="81"/>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12.1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12.2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投标人应准备纸质投标文件正本1份</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、副本4份(上、下册)，电子文档1份</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。若发生正本和副本不符，以正本为准。投标文件统一使用A4幅面的纸张印制，必须胶装成</w:t>
      </w:r>
      <w:r>
        <w:rPr>
          <w:rFonts w:hint="eastAsia" w:ascii="宋体" w:hAnsi="宋体" w:cs="宋体"/>
          <w:color w:val="auto"/>
          <w:kern w:val="0"/>
          <w:highlight w:val="none"/>
          <w:u w:val="none"/>
        </w:rPr>
        <w:t>上、下两</w:t>
      </w:r>
      <w:r>
        <w:rPr>
          <w:rFonts w:hint="eastAsia" w:ascii="宋体" w:hAnsi="宋体" w:cs="宋体"/>
          <w:color w:val="auto"/>
          <w:kern w:val="0"/>
          <w:highlight w:val="none"/>
          <w:u w:val="none"/>
          <w:lang w:val="zh-CN"/>
        </w:rPr>
        <w:t>册并编码，其他方式装订的投标文件一概不予接受。</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12.3 投标文件的正本</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需打印或用不褪色、不变质的墨水书写，副本</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可采用正本的复印件。电子文档</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用光盘或U盘制作，采用不可修改文档格式（如：PDF格式），内容必须和纸质投标文件正本</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完全一致，包括封面、页码、签字、盖章等。</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12.4 投标文件中不得行间插字、涂改或增删，如有修改错漏处，须由投标人法定代表人或其委托代理人签字、加盖公章。</w:t>
      </w:r>
    </w:p>
    <w:p>
      <w:pPr>
        <w:pStyle w:val="29"/>
        <w:spacing w:before="0" w:after="0" w:line="360" w:lineRule="auto"/>
        <w:rPr>
          <w:rFonts w:ascii="宋体" w:hAnsi="宋体" w:cs="宋体"/>
          <w:color w:val="auto"/>
          <w:highlight w:val="none"/>
          <w:u w:val="none"/>
        </w:rPr>
      </w:pPr>
      <w:bookmarkStart w:id="82" w:name="_Toc9101"/>
      <w:bookmarkStart w:id="83" w:name="_Toc32237"/>
      <w:r>
        <w:rPr>
          <w:rFonts w:hint="eastAsia" w:ascii="宋体" w:hAnsi="宋体" w:cs="宋体"/>
          <w:color w:val="auto"/>
          <w:highlight w:val="none"/>
          <w:u w:val="none"/>
          <w:lang w:val="zh-CN"/>
        </w:rPr>
        <w:t>四、投标文件的提交</w:t>
      </w:r>
      <w:bookmarkEnd w:id="82"/>
      <w:bookmarkEnd w:id="83"/>
    </w:p>
    <w:p>
      <w:pPr>
        <w:pStyle w:val="29"/>
        <w:spacing w:before="0" w:after="0" w:line="360" w:lineRule="auto"/>
        <w:jc w:val="left"/>
        <w:rPr>
          <w:rFonts w:ascii="宋体" w:hAnsi="宋体" w:cs="宋体"/>
          <w:color w:val="auto"/>
          <w:highlight w:val="none"/>
          <w:u w:val="none"/>
          <w:lang w:val="zh-CN"/>
        </w:rPr>
      </w:pPr>
      <w:bookmarkStart w:id="84" w:name="_Toc13246"/>
      <w:bookmarkStart w:id="85" w:name="_Toc12562"/>
      <w:r>
        <w:rPr>
          <w:rFonts w:hint="eastAsia" w:ascii="宋体" w:hAnsi="宋体" w:cs="宋体"/>
          <w:color w:val="auto"/>
          <w:sz w:val="28"/>
          <w:szCs w:val="28"/>
          <w:highlight w:val="none"/>
          <w:u w:val="none"/>
          <w:lang w:val="zh-CN"/>
        </w:rPr>
        <w:t>13.投标文件的密封和标记</w:t>
      </w:r>
      <w:bookmarkEnd w:id="84"/>
      <w:bookmarkEnd w:id="85"/>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13.1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投标文件正本</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、所有副本</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、电子文档</w:t>
      </w:r>
      <w:r>
        <w:rPr>
          <w:rFonts w:hint="eastAsia" w:ascii="宋体" w:hAnsi="宋体" w:cs="宋体"/>
          <w:color w:val="auto"/>
          <w:kern w:val="0"/>
          <w:highlight w:val="none"/>
          <w:u w:val="none"/>
        </w:rPr>
        <w:t>(上、下册)</w:t>
      </w:r>
      <w:r>
        <w:rPr>
          <w:rFonts w:hint="eastAsia" w:ascii="宋体" w:hAnsi="宋体" w:cs="宋体"/>
          <w:color w:val="auto"/>
          <w:kern w:val="0"/>
          <w:highlight w:val="none"/>
          <w:u w:val="none"/>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13.2 密封后的投标文件密封袋用“于</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月</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日</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时</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分（北京时间）之前不准启封”的标签密封。</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13.</w:t>
      </w:r>
      <w:r>
        <w:rPr>
          <w:rFonts w:hint="eastAsia" w:ascii="宋体" w:hAnsi="宋体" w:cs="宋体"/>
          <w:color w:val="auto"/>
          <w:kern w:val="0"/>
          <w:highlight w:val="none"/>
          <w:u w:val="none"/>
        </w:rPr>
        <w:t>3 投标人</w:t>
      </w:r>
      <w:r>
        <w:rPr>
          <w:rFonts w:hint="eastAsia" w:ascii="宋体" w:hAnsi="宋体" w:cs="宋体"/>
          <w:color w:val="auto"/>
          <w:highlight w:val="none"/>
          <w:u w:val="none"/>
        </w:rPr>
        <w:t>如投多个包，投标文件每包分别按上述规定装订（如果有）。</w:t>
      </w:r>
    </w:p>
    <w:p>
      <w:pPr>
        <w:pStyle w:val="29"/>
        <w:spacing w:before="0" w:after="0" w:line="360" w:lineRule="auto"/>
        <w:jc w:val="left"/>
        <w:rPr>
          <w:rFonts w:ascii="宋体" w:hAnsi="宋体" w:cs="宋体"/>
          <w:color w:val="auto"/>
          <w:highlight w:val="none"/>
          <w:u w:val="none"/>
          <w:lang w:val="zh-CN"/>
        </w:rPr>
      </w:pPr>
      <w:bookmarkStart w:id="86" w:name="_Toc14008"/>
      <w:bookmarkStart w:id="87" w:name="_Toc30475"/>
      <w:r>
        <w:rPr>
          <w:rFonts w:hint="eastAsia" w:ascii="宋体" w:hAnsi="宋体" w:cs="宋体"/>
          <w:color w:val="auto"/>
          <w:sz w:val="28"/>
          <w:szCs w:val="28"/>
          <w:highlight w:val="none"/>
          <w:u w:val="none"/>
          <w:lang w:val="zh-CN"/>
        </w:rPr>
        <w:t>14.提交投标文件的时间、地点、方式</w:t>
      </w:r>
      <w:bookmarkEnd w:id="86"/>
      <w:bookmarkEnd w:id="87"/>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14.1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投标人应当在招标文件要求提交投标文件的截止时间前，将投标文件（</w:t>
      </w:r>
      <w:r>
        <w:rPr>
          <w:rFonts w:hint="eastAsia" w:ascii="宋体" w:hAnsi="宋体" w:cs="宋体"/>
          <w:color w:val="auto"/>
          <w:kern w:val="0"/>
          <w:highlight w:val="none"/>
          <w:u w:val="none"/>
        </w:rPr>
        <w:t>正本、副本、电子文档）</w:t>
      </w:r>
      <w:r>
        <w:rPr>
          <w:rFonts w:hint="eastAsia" w:ascii="宋体" w:hAnsi="宋体" w:cs="宋体"/>
          <w:color w:val="auto"/>
          <w:kern w:val="0"/>
          <w:highlight w:val="none"/>
          <w:u w:val="none"/>
          <w:lang w:val="zh-CN"/>
        </w:rPr>
        <w:t>密封送达投标地点。采购代理机构收到投标文件后，应当如实记载投标文件的送达时间和密封情况，签收保存，并向投标人出具签收回执。任何单位和个人不得在开标前开启投标文件。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 xml:space="preserve">14.2 </w:t>
      </w:r>
      <w:r>
        <w:rPr>
          <w:rFonts w:hint="eastAsia" w:ascii="宋体" w:hAnsi="宋体" w:cs="宋体"/>
          <w:color w:val="auto"/>
          <w:kern w:val="0"/>
          <w:highlight w:val="none"/>
          <w:u w:val="none"/>
          <w:lang w:val="zh-CN"/>
        </w:rPr>
        <w:t>逾期送达或者未按照招标文件第13.1-1</w:t>
      </w: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条要求密封的投标文件，采购人、采购代理机构应当拒收。</w:t>
      </w:r>
    </w:p>
    <w:p>
      <w:pPr>
        <w:pStyle w:val="29"/>
        <w:spacing w:before="0" w:after="0" w:line="360" w:lineRule="auto"/>
        <w:jc w:val="left"/>
        <w:rPr>
          <w:rFonts w:ascii="宋体" w:hAnsi="宋体" w:cs="宋体"/>
          <w:color w:val="auto"/>
          <w:highlight w:val="none"/>
          <w:u w:val="none"/>
          <w:lang w:val="zh-CN"/>
        </w:rPr>
      </w:pPr>
      <w:bookmarkStart w:id="88" w:name="_Toc16880"/>
      <w:bookmarkStart w:id="89" w:name="_Toc17656"/>
      <w:r>
        <w:rPr>
          <w:rFonts w:hint="eastAsia" w:ascii="宋体" w:hAnsi="宋体" w:cs="宋体"/>
          <w:color w:val="auto"/>
          <w:sz w:val="28"/>
          <w:szCs w:val="28"/>
          <w:highlight w:val="none"/>
          <w:u w:val="none"/>
          <w:lang w:val="zh-CN"/>
        </w:rPr>
        <w:t>15.投标文件的补充、修改或者撤回</w:t>
      </w:r>
      <w:bookmarkEnd w:id="88"/>
      <w:bookmarkEnd w:id="89"/>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15.1</w:t>
      </w:r>
      <w:r>
        <w:rPr>
          <w:rFonts w:hint="eastAsia" w:ascii="宋体" w:hAnsi="宋体" w:cs="宋体"/>
          <w:color w:val="auto"/>
          <w:kern w:val="0"/>
          <w:highlight w:val="none"/>
          <w:u w:val="none"/>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9"/>
        <w:spacing w:before="0" w:after="0" w:line="360" w:lineRule="auto"/>
        <w:rPr>
          <w:rFonts w:ascii="宋体" w:hAnsi="宋体" w:cs="宋体"/>
          <w:color w:val="auto"/>
          <w:highlight w:val="none"/>
          <w:u w:val="none"/>
        </w:rPr>
      </w:pPr>
      <w:bookmarkStart w:id="90" w:name="_Toc1872"/>
      <w:bookmarkStart w:id="91" w:name="_Toc4494"/>
      <w:r>
        <w:rPr>
          <w:rFonts w:hint="eastAsia" w:ascii="宋体" w:hAnsi="宋体" w:cs="宋体"/>
          <w:color w:val="auto"/>
          <w:highlight w:val="none"/>
          <w:u w:val="none"/>
          <w:lang w:val="zh-CN"/>
        </w:rPr>
        <w:t>五、开标</w:t>
      </w:r>
      <w:bookmarkEnd w:id="90"/>
      <w:bookmarkEnd w:id="91"/>
    </w:p>
    <w:p>
      <w:pPr>
        <w:pStyle w:val="29"/>
        <w:spacing w:before="0" w:after="0" w:line="360" w:lineRule="auto"/>
        <w:jc w:val="left"/>
        <w:rPr>
          <w:rFonts w:ascii="宋体" w:hAnsi="宋体" w:cs="宋体"/>
          <w:color w:val="auto"/>
          <w:highlight w:val="none"/>
          <w:u w:val="none"/>
          <w:lang w:val="zh-CN"/>
        </w:rPr>
      </w:pPr>
      <w:bookmarkStart w:id="92" w:name="_Toc22769"/>
      <w:bookmarkStart w:id="93" w:name="_Toc1472"/>
      <w:r>
        <w:rPr>
          <w:rFonts w:hint="eastAsia" w:ascii="宋体" w:hAnsi="宋体" w:cs="宋体"/>
          <w:color w:val="auto"/>
          <w:sz w:val="28"/>
          <w:szCs w:val="28"/>
          <w:highlight w:val="none"/>
          <w:u w:val="none"/>
          <w:lang w:val="zh-CN"/>
        </w:rPr>
        <w:t>16.开标</w:t>
      </w:r>
      <w:bookmarkEnd w:id="92"/>
      <w:bookmarkEnd w:id="93"/>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16.1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16.2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开标由采购代理机构主持</w:t>
      </w:r>
      <w:r>
        <w:rPr>
          <w:rFonts w:hint="eastAsia" w:ascii="宋体" w:hAnsi="宋体" w:cs="宋体"/>
          <w:color w:val="auto"/>
          <w:highlight w:val="none"/>
          <w:u w:val="none"/>
          <w:shd w:val="clear" w:color="auto" w:fill="FFFFFF"/>
        </w:rPr>
        <w:t>，邀请投标人参加。评标委员会成员（包括采购人代表）不得参加开标活动。</w:t>
      </w:r>
    </w:p>
    <w:p>
      <w:p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kern w:val="0"/>
          <w:highlight w:val="none"/>
          <w:u w:val="none"/>
          <w:lang w:val="zh-CN"/>
        </w:rPr>
        <w:t xml:space="preserve">16.3 </w:t>
      </w:r>
      <w:r>
        <w:rPr>
          <w:rFonts w:hint="eastAsia" w:ascii="宋体" w:hAnsi="宋体" w:cs="宋体"/>
          <w:color w:val="auto"/>
          <w:highlight w:val="none"/>
          <w:u w:val="none"/>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16.4 开标过程应当由采购代理机构负责记录，由参加开标的各投标人代表和相关工作人员签字确认。</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投标人未参加开标的，视同认可开标结果。</w:t>
      </w:r>
    </w:p>
    <w:p>
      <w:pPr>
        <w:pStyle w:val="29"/>
        <w:spacing w:before="0" w:after="0" w:line="360" w:lineRule="auto"/>
        <w:rPr>
          <w:rFonts w:ascii="宋体" w:hAnsi="宋体" w:cs="宋体"/>
          <w:color w:val="auto"/>
          <w:kern w:val="0"/>
          <w:highlight w:val="none"/>
          <w:u w:val="none"/>
        </w:rPr>
      </w:pPr>
      <w:bookmarkStart w:id="94" w:name="_Toc25657"/>
      <w:bookmarkStart w:id="95" w:name="_Toc14913"/>
      <w:bookmarkStart w:id="96" w:name="_Toc496004006"/>
      <w:r>
        <w:rPr>
          <w:rFonts w:hint="eastAsia" w:ascii="宋体" w:hAnsi="宋体" w:cs="宋体"/>
          <w:color w:val="auto"/>
          <w:kern w:val="0"/>
          <w:szCs w:val="36"/>
          <w:highlight w:val="none"/>
          <w:u w:val="none"/>
        </w:rPr>
        <w:t>六、资格</w:t>
      </w:r>
      <w:r>
        <w:rPr>
          <w:rFonts w:hint="eastAsia" w:ascii="宋体" w:hAnsi="宋体" w:cs="宋体"/>
          <w:color w:val="auto"/>
          <w:highlight w:val="none"/>
          <w:u w:val="none"/>
          <w:lang w:val="zh-CN"/>
        </w:rPr>
        <w:t>审查</w:t>
      </w:r>
      <w:r>
        <w:rPr>
          <w:rFonts w:hint="eastAsia" w:ascii="宋体" w:hAnsi="宋体" w:cs="宋体"/>
          <w:color w:val="auto"/>
          <w:kern w:val="0"/>
          <w:szCs w:val="36"/>
          <w:highlight w:val="none"/>
          <w:u w:val="none"/>
        </w:rPr>
        <w:t>程序</w:t>
      </w:r>
      <w:bookmarkEnd w:id="94"/>
      <w:bookmarkEnd w:id="95"/>
      <w:bookmarkEnd w:id="96"/>
    </w:p>
    <w:p>
      <w:pPr>
        <w:pStyle w:val="29"/>
        <w:spacing w:before="0" w:after="0" w:line="360" w:lineRule="auto"/>
        <w:jc w:val="left"/>
        <w:rPr>
          <w:rFonts w:ascii="宋体" w:hAnsi="宋体" w:cs="宋体"/>
          <w:color w:val="auto"/>
          <w:sz w:val="28"/>
          <w:szCs w:val="28"/>
          <w:highlight w:val="none"/>
          <w:u w:val="none"/>
        </w:rPr>
      </w:pPr>
      <w:bookmarkStart w:id="97" w:name="_Toc29485"/>
      <w:bookmarkStart w:id="98" w:name="_Toc11028"/>
      <w:r>
        <w:rPr>
          <w:rFonts w:hint="eastAsia" w:ascii="宋体" w:hAnsi="宋体" w:cs="宋体"/>
          <w:color w:val="auto"/>
          <w:sz w:val="28"/>
          <w:szCs w:val="28"/>
          <w:highlight w:val="none"/>
          <w:u w:val="none"/>
        </w:rPr>
        <w:t>17.资格审查</w:t>
      </w:r>
      <w:bookmarkEnd w:id="97"/>
      <w:bookmarkEnd w:id="98"/>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17.1 开标结束后，采购代理机构应当依法对投标人的资格性审查文件（上册）进行审查。</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17.2 合格投标人不足3家的，不得评标。</w:t>
      </w:r>
    </w:p>
    <w:p>
      <w:pPr>
        <w:autoSpaceDE w:val="0"/>
        <w:autoSpaceDN w:val="0"/>
        <w:spacing w:line="360" w:lineRule="auto"/>
        <w:ind w:firstLine="480" w:firstLineChars="200"/>
        <w:rPr>
          <w:rFonts w:ascii="宋体" w:hAnsi="宋体" w:cs="宋体"/>
          <w:color w:val="auto"/>
          <w:sz w:val="28"/>
          <w:szCs w:val="28"/>
          <w:highlight w:val="none"/>
          <w:u w:val="none"/>
        </w:rPr>
      </w:pPr>
      <w:bookmarkStart w:id="99" w:name="_Toc497503315"/>
      <w:bookmarkStart w:id="100" w:name="_Toc497503516"/>
      <w:bookmarkStart w:id="101" w:name="_Toc497503249"/>
      <w:bookmarkStart w:id="102" w:name="_Toc497503449"/>
      <w:bookmarkStart w:id="103" w:name="_Toc30809"/>
      <w:r>
        <w:rPr>
          <w:rFonts w:hint="eastAsia" w:ascii="宋体" w:hAnsi="宋体" w:cs="宋体"/>
          <w:color w:val="auto"/>
          <w:kern w:val="0"/>
          <w:highlight w:val="none"/>
          <w:u w:val="none"/>
        </w:rPr>
        <w:t>17.3 资格审查时，投标人存在下列情况之一的，按无效投标处理：</w:t>
      </w:r>
      <w:bookmarkEnd w:id="99"/>
      <w:bookmarkEnd w:id="100"/>
      <w:bookmarkEnd w:id="101"/>
      <w:bookmarkEnd w:id="102"/>
      <w:bookmarkEnd w:id="103"/>
    </w:p>
    <w:p>
      <w:pPr>
        <w:numPr>
          <w:ilvl w:val="0"/>
          <w:numId w:val="6"/>
        </w:numPr>
        <w:tabs>
          <w:tab w:val="left" w:pos="960"/>
        </w:tabs>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highlight w:val="none"/>
          <w:u w:val="none"/>
          <w:shd w:val="clear" w:color="auto" w:fill="FFFFFF"/>
        </w:rPr>
        <w:t>不具备</w:t>
      </w:r>
      <w:r>
        <w:rPr>
          <w:rFonts w:hint="eastAsia" w:ascii="宋体" w:hAnsi="宋体" w:cs="宋体"/>
          <w:color w:val="auto"/>
          <w:kern w:val="0"/>
          <w:highlight w:val="none"/>
          <w:u w:val="none"/>
          <w:lang w:val="zh-CN"/>
        </w:rPr>
        <w:t>第2.2款“合格的投标人”</w:t>
      </w:r>
      <w:r>
        <w:rPr>
          <w:rFonts w:hint="eastAsia" w:ascii="宋体" w:hAnsi="宋体" w:cs="宋体"/>
          <w:color w:val="auto"/>
          <w:highlight w:val="none"/>
          <w:u w:val="none"/>
          <w:shd w:val="clear" w:color="auto" w:fill="FFFFFF"/>
        </w:rPr>
        <w:t>规定的资格要求的；</w:t>
      </w:r>
    </w:p>
    <w:p>
      <w:pPr>
        <w:numPr>
          <w:ilvl w:val="0"/>
          <w:numId w:val="6"/>
        </w:numPr>
        <w:tabs>
          <w:tab w:val="left" w:pos="960"/>
        </w:tabs>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未按招标文件要求交纳或未足额交纳投标保证金的；</w:t>
      </w:r>
    </w:p>
    <w:p>
      <w:pPr>
        <w:numPr>
          <w:ilvl w:val="0"/>
          <w:numId w:val="6"/>
        </w:numPr>
        <w:tabs>
          <w:tab w:val="left" w:pos="960"/>
        </w:tabs>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未按第11.1要求提供相关资料的；</w:t>
      </w:r>
    </w:p>
    <w:p>
      <w:pPr>
        <w:numPr>
          <w:ilvl w:val="0"/>
          <w:numId w:val="6"/>
        </w:numPr>
        <w:tabs>
          <w:tab w:val="left" w:pos="960"/>
        </w:tabs>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kern w:val="0"/>
          <w:highlight w:val="none"/>
          <w:u w:val="none"/>
        </w:rPr>
        <w:t>资格性审查文件未按招标文件规定和要求签字、盖章的；</w:t>
      </w:r>
    </w:p>
    <w:p>
      <w:pPr>
        <w:numPr>
          <w:ilvl w:val="0"/>
          <w:numId w:val="6"/>
        </w:numPr>
        <w:tabs>
          <w:tab w:val="left" w:pos="960"/>
        </w:tabs>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报价超过招标文件中规定的预算金额或者最高限价的；</w:t>
      </w:r>
    </w:p>
    <w:p>
      <w:pPr>
        <w:numPr>
          <w:ilvl w:val="0"/>
          <w:numId w:val="6"/>
        </w:numPr>
        <w:tabs>
          <w:tab w:val="left" w:pos="960"/>
        </w:tabs>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kern w:val="0"/>
          <w:highlight w:val="none"/>
          <w:u w:val="none"/>
          <w:lang w:val="zh-CN"/>
        </w:rPr>
        <w:t>投标有效期不能满足招标文件要求的；</w:t>
      </w:r>
    </w:p>
    <w:p>
      <w:pPr>
        <w:numPr>
          <w:ilvl w:val="0"/>
          <w:numId w:val="6"/>
        </w:numPr>
        <w:tabs>
          <w:tab w:val="left" w:pos="960"/>
        </w:tabs>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未按照招标文件要求提供电子文档</w:t>
      </w:r>
      <w:r>
        <w:rPr>
          <w:rFonts w:hint="eastAsia" w:ascii="宋体" w:hAnsi="宋体" w:cs="宋体"/>
          <w:color w:val="auto"/>
          <w:kern w:val="0"/>
          <w:highlight w:val="none"/>
          <w:u w:val="none"/>
          <w:lang w:val="zh-CN"/>
        </w:rPr>
        <w:t>的。</w:t>
      </w:r>
    </w:p>
    <w:p>
      <w:pPr>
        <w:pStyle w:val="29"/>
        <w:spacing w:before="0" w:after="0" w:line="360" w:lineRule="auto"/>
        <w:rPr>
          <w:rFonts w:ascii="宋体" w:hAnsi="宋体" w:cs="宋体"/>
          <w:color w:val="auto"/>
          <w:highlight w:val="none"/>
          <w:u w:val="none"/>
        </w:rPr>
      </w:pPr>
      <w:bookmarkStart w:id="104" w:name="_Toc13664"/>
      <w:bookmarkStart w:id="105" w:name="_Toc21380"/>
      <w:r>
        <w:rPr>
          <w:rFonts w:hint="eastAsia" w:ascii="宋体" w:hAnsi="宋体" w:cs="宋体"/>
          <w:color w:val="auto"/>
          <w:highlight w:val="none"/>
          <w:u w:val="none"/>
          <w:lang w:val="zh-CN"/>
        </w:rPr>
        <w:t>七、评审程序及方法</w:t>
      </w:r>
      <w:bookmarkEnd w:id="104"/>
      <w:bookmarkEnd w:id="105"/>
    </w:p>
    <w:p>
      <w:pPr>
        <w:pStyle w:val="29"/>
        <w:spacing w:before="0" w:after="0" w:line="360" w:lineRule="auto"/>
        <w:jc w:val="left"/>
        <w:rPr>
          <w:rFonts w:ascii="宋体" w:hAnsi="宋体" w:cs="宋体"/>
          <w:color w:val="auto"/>
          <w:highlight w:val="none"/>
          <w:u w:val="none"/>
          <w:lang w:val="zh-CN"/>
        </w:rPr>
      </w:pPr>
      <w:bookmarkStart w:id="106" w:name="_Toc27681"/>
      <w:bookmarkStart w:id="107" w:name="_Toc10448"/>
      <w:r>
        <w:rPr>
          <w:rFonts w:hint="eastAsia" w:ascii="宋体" w:hAnsi="宋体" w:cs="宋体"/>
          <w:color w:val="auto"/>
          <w:sz w:val="28"/>
          <w:szCs w:val="28"/>
          <w:highlight w:val="none"/>
          <w:u w:val="none"/>
          <w:lang w:val="zh-CN"/>
        </w:rPr>
        <w:t>1</w:t>
      </w:r>
      <w:r>
        <w:rPr>
          <w:rFonts w:hint="eastAsia" w:ascii="宋体" w:hAnsi="宋体" w:cs="宋体"/>
          <w:color w:val="auto"/>
          <w:sz w:val="28"/>
          <w:szCs w:val="28"/>
          <w:highlight w:val="none"/>
          <w:u w:val="none"/>
        </w:rPr>
        <w:t>8</w:t>
      </w:r>
      <w:r>
        <w:rPr>
          <w:rFonts w:hint="eastAsia" w:ascii="宋体" w:hAnsi="宋体" w:cs="宋体"/>
          <w:color w:val="auto"/>
          <w:sz w:val="28"/>
          <w:szCs w:val="28"/>
          <w:highlight w:val="none"/>
          <w:u w:val="none"/>
          <w:lang w:val="zh-CN"/>
        </w:rPr>
        <w:t>.评标委员会</w:t>
      </w:r>
      <w:bookmarkEnd w:id="106"/>
      <w:bookmarkEnd w:id="107"/>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18.1</w:t>
      </w:r>
      <w:r>
        <w:rPr>
          <w:rFonts w:hint="eastAsia" w:ascii="宋体" w:hAnsi="宋体" w:cs="宋体"/>
          <w:color w:val="auto"/>
          <w:kern w:val="0"/>
          <w:highlight w:val="none"/>
          <w:u w:val="none"/>
          <w:lang w:val="zh-CN"/>
        </w:rPr>
        <w:t>采购代理机构负责组织评标工作，并履行下列职责：</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）宣布评标纪律；</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）公布投标人名单，告知评审专家应当回避的情形；</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6</w:t>
      </w:r>
      <w:r>
        <w:rPr>
          <w:rFonts w:hint="eastAsia" w:ascii="宋体" w:hAnsi="宋体" w:cs="宋体"/>
          <w:color w:val="auto"/>
          <w:kern w:val="0"/>
          <w:highlight w:val="none"/>
          <w:u w:val="none"/>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7</w:t>
      </w:r>
      <w:r>
        <w:rPr>
          <w:rFonts w:hint="eastAsia" w:ascii="宋体" w:hAnsi="宋体" w:cs="宋体"/>
          <w:color w:val="auto"/>
          <w:kern w:val="0"/>
          <w:highlight w:val="none"/>
          <w:u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8</w:t>
      </w:r>
      <w:r>
        <w:rPr>
          <w:rFonts w:hint="eastAsia" w:ascii="宋体" w:hAnsi="宋体" w:cs="宋体"/>
          <w:color w:val="auto"/>
          <w:kern w:val="0"/>
          <w:highlight w:val="none"/>
          <w:u w:val="none"/>
          <w:lang w:val="zh-CN"/>
        </w:rPr>
        <w:t>）核对评标结果，有</w:t>
      </w:r>
      <w:r>
        <w:rPr>
          <w:rFonts w:hint="eastAsia" w:ascii="宋体" w:hAnsi="宋体" w:cs="宋体"/>
          <w:color w:val="auto"/>
          <w:kern w:val="0"/>
          <w:highlight w:val="none"/>
          <w:u w:val="none"/>
        </w:rPr>
        <w:t>20.4</w:t>
      </w:r>
      <w:r>
        <w:rPr>
          <w:rFonts w:hint="eastAsia" w:ascii="宋体" w:hAnsi="宋体" w:cs="宋体"/>
          <w:color w:val="auto"/>
          <w:kern w:val="0"/>
          <w:highlight w:val="none"/>
          <w:u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9</w:t>
      </w:r>
      <w:r>
        <w:rPr>
          <w:rFonts w:hint="eastAsia" w:ascii="宋体" w:hAnsi="宋体" w:cs="宋体"/>
          <w:color w:val="auto"/>
          <w:kern w:val="0"/>
          <w:highlight w:val="none"/>
          <w:u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10</w:t>
      </w:r>
      <w:r>
        <w:rPr>
          <w:rFonts w:hint="eastAsia" w:ascii="宋体" w:hAnsi="宋体" w:cs="宋体"/>
          <w:color w:val="auto"/>
          <w:kern w:val="0"/>
          <w:highlight w:val="none"/>
          <w:u w:val="none"/>
          <w:lang w:val="zh-CN"/>
        </w:rPr>
        <w:t>）处理与评标有关的其他事项。</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18.2 评标委员会负责具体评标事务，并独立履行下列职责：</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严格遵守评审工作纪律,按照客观、公正、审慎的原则,根据采购文件规定的评审程序、评审方法和评审标准进行独立评审</w:t>
      </w:r>
      <w:r>
        <w:rPr>
          <w:rFonts w:hint="eastAsia" w:ascii="宋体" w:hAnsi="宋体" w:cs="宋体"/>
          <w:color w:val="auto"/>
          <w:kern w:val="0"/>
          <w:highlight w:val="none"/>
          <w:u w:val="none"/>
          <w:lang w:val="zh-CN"/>
        </w:rPr>
        <w:t>；</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现采购文件内容违反国家有关强制性规定或者采购文件存在歧义、重大缺陷导致评审工作无法进行时,应当停止评审并向采购代理机构书面说明情况</w:t>
      </w:r>
      <w:r>
        <w:rPr>
          <w:rFonts w:hint="eastAsia" w:ascii="宋体" w:hAnsi="宋体" w:cs="宋体"/>
          <w:color w:val="auto"/>
          <w:kern w:val="0"/>
          <w:highlight w:val="none"/>
          <w:u w:val="none"/>
          <w:lang w:val="zh-CN"/>
        </w:rPr>
        <w:t>；</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审查、评价投标文件是否符合招标文件的商务、技术等实质性要求</w:t>
      </w:r>
      <w:r>
        <w:rPr>
          <w:rFonts w:hint="eastAsia" w:ascii="宋体" w:hAnsi="宋体" w:cs="宋体"/>
          <w:color w:val="auto"/>
          <w:kern w:val="0"/>
          <w:highlight w:val="none"/>
          <w:u w:val="none"/>
          <w:lang w:val="zh-CN"/>
        </w:rPr>
        <w:t>；</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要求投标人对投标文件有关事项作出澄清或者说明；</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对投标文件进行比较和评价；</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确定中标候选人名单，以及根据采购人委托直接确定中标人；</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配合答复供应商的询问、质疑和投诉等事项,不得泄露评审文件、评审情况和在评审过程中获悉的商业秘密</w:t>
      </w:r>
      <w:r>
        <w:rPr>
          <w:rFonts w:hint="eastAsia" w:ascii="宋体" w:hAnsi="宋体" w:cs="宋体"/>
          <w:color w:val="auto"/>
          <w:kern w:val="0"/>
          <w:highlight w:val="none"/>
          <w:u w:val="none"/>
          <w:lang w:val="zh-CN"/>
        </w:rPr>
        <w:t>；</w:t>
      </w:r>
    </w:p>
    <w:p>
      <w:pPr>
        <w:numPr>
          <w:ilvl w:val="0"/>
          <w:numId w:val="7"/>
        </w:num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向采购人、采购代理机构或者有关部门报告评标中发现的违法行为。</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（1）采购预算金额在1000万元以上；</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（2）技术复杂；</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（3）社会影响较大。</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评标委员会成员名单在评标结果公告前应当保密。</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8</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5 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采购代理机构应当将变更、重新组建评标委员会的情况予以记录，并随采购文件一并存档。</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8</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有关人员对评标情况以及在评标过程中获悉的国家秘密、商业秘密负有保密责任。</w:t>
      </w:r>
    </w:p>
    <w:p>
      <w:pPr>
        <w:pStyle w:val="29"/>
        <w:spacing w:before="0" w:after="0" w:line="360" w:lineRule="auto"/>
        <w:jc w:val="left"/>
        <w:rPr>
          <w:rFonts w:ascii="宋体" w:hAnsi="宋体" w:cs="宋体"/>
          <w:color w:val="auto"/>
          <w:highlight w:val="none"/>
          <w:u w:val="none"/>
          <w:lang w:val="zh-CN"/>
        </w:rPr>
      </w:pPr>
      <w:bookmarkStart w:id="108" w:name="_Toc19126"/>
      <w:bookmarkStart w:id="109" w:name="_Toc9364"/>
      <w:r>
        <w:rPr>
          <w:rFonts w:hint="eastAsia" w:ascii="宋体" w:hAnsi="宋体" w:cs="宋体"/>
          <w:color w:val="auto"/>
          <w:sz w:val="28"/>
          <w:szCs w:val="28"/>
          <w:highlight w:val="none"/>
          <w:u w:val="none"/>
        </w:rPr>
        <w:t>19</w:t>
      </w:r>
      <w:r>
        <w:rPr>
          <w:rFonts w:hint="eastAsia" w:ascii="宋体" w:hAnsi="宋体" w:cs="宋体"/>
          <w:color w:val="auto"/>
          <w:sz w:val="28"/>
          <w:szCs w:val="28"/>
          <w:highlight w:val="none"/>
          <w:u w:val="none"/>
          <w:lang w:val="zh-CN"/>
        </w:rPr>
        <w:t>.评审工作程序</w:t>
      </w:r>
      <w:bookmarkEnd w:id="108"/>
      <w:bookmarkEnd w:id="109"/>
    </w:p>
    <w:p>
      <w:pPr>
        <w:autoSpaceDE w:val="0"/>
        <w:autoSpaceDN w:val="0"/>
        <w:spacing w:line="360" w:lineRule="auto"/>
        <w:ind w:firstLine="482" w:firstLineChars="200"/>
        <w:rPr>
          <w:rFonts w:ascii="宋体" w:hAnsi="宋体" w:cs="宋体"/>
          <w:color w:val="auto"/>
          <w:kern w:val="0"/>
          <w:highlight w:val="none"/>
          <w:u w:val="none"/>
          <w:lang w:val="zh-CN"/>
        </w:rPr>
      </w:pPr>
      <w:r>
        <w:rPr>
          <w:rFonts w:hint="eastAsia" w:ascii="宋体" w:hAnsi="宋体" w:cs="宋体"/>
          <w:b/>
          <w:bCs/>
          <w:color w:val="auto"/>
          <w:kern w:val="0"/>
          <w:highlight w:val="none"/>
          <w:u w:val="none"/>
          <w:lang w:val="zh-CN"/>
        </w:rPr>
        <w:t>1</w:t>
      </w:r>
      <w:r>
        <w:rPr>
          <w:rFonts w:hint="eastAsia" w:ascii="宋体" w:hAnsi="宋体" w:cs="宋体"/>
          <w:b/>
          <w:bCs/>
          <w:color w:val="auto"/>
          <w:kern w:val="0"/>
          <w:highlight w:val="none"/>
          <w:u w:val="none"/>
        </w:rPr>
        <w:t>9</w:t>
      </w:r>
      <w:r>
        <w:rPr>
          <w:rFonts w:hint="eastAsia" w:ascii="宋体" w:hAnsi="宋体" w:cs="宋体"/>
          <w:b/>
          <w:bCs/>
          <w:color w:val="auto"/>
          <w:kern w:val="0"/>
          <w:highlight w:val="none"/>
          <w:u w:val="none"/>
          <w:lang w:val="zh-CN"/>
        </w:rPr>
        <w:t>.1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19.1.1</w:t>
      </w:r>
      <w:r>
        <w:rPr>
          <w:rFonts w:hint="eastAsia" w:ascii="宋体" w:hAnsi="宋体" w:cs="宋体"/>
          <w:b/>
          <w:bCs/>
          <w:color w:val="auto"/>
          <w:kern w:val="0"/>
          <w:highlight w:val="none"/>
          <w:u w:val="none"/>
        </w:rPr>
        <w:t xml:space="preserve"> </w:t>
      </w:r>
      <w:r>
        <w:rPr>
          <w:rFonts w:hint="eastAsia" w:ascii="宋体" w:hAnsi="宋体" w:cs="宋体"/>
          <w:color w:val="auto"/>
          <w:kern w:val="0"/>
          <w:highlight w:val="none"/>
          <w:u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auto"/>
          <w:kern w:val="0"/>
          <w:highlight w:val="none"/>
          <w:u w:val="none"/>
        </w:rPr>
      </w:pPr>
      <w:r>
        <w:rPr>
          <w:rFonts w:hint="eastAsia" w:ascii="宋体" w:hAnsi="宋体" w:cs="宋体"/>
          <w:color w:val="auto"/>
          <w:kern w:val="0"/>
          <w:highlight w:val="none"/>
          <w:u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9</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.2投标人存在下列情况之一的，投标无效:</w:t>
      </w:r>
    </w:p>
    <w:p>
      <w:pPr>
        <w:numPr>
          <w:ilvl w:val="0"/>
          <w:numId w:val="8"/>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符合性审查文件未按招标文件要求签署、盖章的；</w:t>
      </w:r>
    </w:p>
    <w:p>
      <w:pPr>
        <w:numPr>
          <w:ilvl w:val="0"/>
          <w:numId w:val="8"/>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highlight w:val="none"/>
          <w:u w:val="none"/>
          <w:lang w:val="zh-CN"/>
        </w:rPr>
        <w:t>未按第11</w:t>
      </w:r>
      <w:r>
        <w:rPr>
          <w:rFonts w:hint="eastAsia" w:ascii="宋体" w:hAnsi="宋体" w:cs="宋体"/>
          <w:color w:val="auto"/>
          <w:highlight w:val="none"/>
          <w:u w:val="none"/>
        </w:rPr>
        <w:t>.</w:t>
      </w:r>
      <w:r>
        <w:rPr>
          <w:rFonts w:hint="eastAsia" w:ascii="宋体" w:hAnsi="宋体" w:cs="宋体"/>
          <w:color w:val="auto"/>
          <w:highlight w:val="none"/>
          <w:u w:val="none"/>
          <w:lang w:val="zh-CN"/>
        </w:rPr>
        <w:t>2款要求提供相关资料的；</w:t>
      </w:r>
    </w:p>
    <w:p>
      <w:pPr>
        <w:numPr>
          <w:ilvl w:val="0"/>
          <w:numId w:val="8"/>
        </w:num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投标文件含有采购人不能接受的附加条件的；</w:t>
      </w:r>
    </w:p>
    <w:p>
      <w:pPr>
        <w:numPr>
          <w:ilvl w:val="0"/>
          <w:numId w:val="8"/>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产品交货时间不能满足招标文件要求的；</w:t>
      </w:r>
    </w:p>
    <w:p>
      <w:pPr>
        <w:numPr>
          <w:ilvl w:val="0"/>
          <w:numId w:val="8"/>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存在串通投标行为；</w:t>
      </w:r>
    </w:p>
    <w:p>
      <w:pPr>
        <w:numPr>
          <w:ilvl w:val="0"/>
          <w:numId w:val="8"/>
        </w:num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法律、法规和招标文件规定的其他无效情形。</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对投标无效的投标人，采购人或采购代理机构应当告知其投标无效的原因。</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19.1.3 投标文件报价出现前后不一致的，按照下列规定修正：</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（2）大写金额和小写金额不一致的，以大写金额为准；</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（4）总价金额与按单价汇总金额不一致的，以单价金额计算结果为准。</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 xml:space="preserve">19.2 </w:t>
      </w:r>
      <w:r>
        <w:rPr>
          <w:rFonts w:hint="eastAsia" w:ascii="宋体" w:hAnsi="宋体" w:cs="宋体"/>
          <w:color w:val="auto"/>
          <w:kern w:val="0"/>
          <w:highlight w:val="none"/>
          <w:u w:val="none"/>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auto"/>
          <w:kern w:val="0"/>
          <w:highlight w:val="none"/>
          <w:u w:val="none"/>
        </w:rPr>
        <w:t>18</w:t>
      </w:r>
      <w:r>
        <w:rPr>
          <w:rFonts w:hint="eastAsia" w:ascii="宋体" w:hAnsi="宋体" w:cs="宋体"/>
          <w:color w:val="auto"/>
          <w:kern w:val="0"/>
          <w:highlight w:val="none"/>
          <w:u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 xml:space="preserve">19.3 </w:t>
      </w:r>
      <w:r>
        <w:rPr>
          <w:rFonts w:hint="eastAsia" w:ascii="宋体" w:hAnsi="宋体" w:cs="宋体"/>
          <w:color w:val="auto"/>
          <w:kern w:val="0"/>
          <w:highlight w:val="none"/>
          <w:u w:val="none"/>
          <w:lang w:val="zh-CN"/>
        </w:rPr>
        <w:t>在评审过程中，</w:t>
      </w:r>
      <w:r>
        <w:rPr>
          <w:rFonts w:hint="eastAsia" w:ascii="宋体" w:hAnsi="宋体" w:cs="宋体"/>
          <w:color w:val="auto"/>
          <w:highlight w:val="none"/>
          <w:u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9</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 xml:space="preserve"> </w:t>
      </w:r>
      <w:r>
        <w:rPr>
          <w:rFonts w:hint="eastAsia" w:ascii="宋体" w:hAnsi="宋体" w:cs="宋体"/>
          <w:color w:val="auto"/>
          <w:highlight w:val="none"/>
          <w:u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9</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 xml:space="preserve">5 </w:t>
      </w:r>
      <w:r>
        <w:rPr>
          <w:rFonts w:hint="eastAsia" w:ascii="宋体" w:hAnsi="宋体" w:cs="宋体"/>
          <w:color w:val="auto"/>
          <w:highlight w:val="none"/>
          <w:u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19.6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20</w:t>
      </w: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20</w:t>
      </w:r>
      <w:r>
        <w:rPr>
          <w:rFonts w:hint="eastAsia" w:ascii="宋体" w:hAnsi="宋体" w:cs="宋体"/>
          <w:color w:val="auto"/>
          <w:kern w:val="0"/>
          <w:highlight w:val="none"/>
          <w:u w:val="none"/>
          <w:lang w:val="zh-CN"/>
        </w:rPr>
        <w:t>.2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本次评审方法采用综合评分法。</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highlight w:val="none"/>
          <w:u w:val="none"/>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color w:val="auto"/>
          <w:kern w:val="0"/>
          <w:highlight w:val="none"/>
          <w:u w:val="none"/>
          <w:lang w:val="zh-CN"/>
        </w:rPr>
        <w:t>。</w:t>
      </w:r>
    </w:p>
    <w:p>
      <w:p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评审因素的设定应当与投标人所提供货物服务的质量相关，包括</w:t>
      </w:r>
      <w:r>
        <w:rPr>
          <w:rFonts w:hint="eastAsia" w:ascii="宋体" w:hAnsi="宋体" w:cs="宋体"/>
          <w:b/>
          <w:bCs/>
          <w:color w:val="auto"/>
          <w:highlight w:val="none"/>
          <w:u w:val="none"/>
          <w:shd w:val="clear" w:color="auto" w:fill="FFFFFF"/>
        </w:rPr>
        <w:t>投标报价、履约能力、技术质量、售后服务</w:t>
      </w:r>
      <w:r>
        <w:rPr>
          <w:rFonts w:hint="eastAsia" w:ascii="宋体" w:hAnsi="宋体" w:cs="宋体"/>
          <w:color w:val="auto"/>
          <w:highlight w:val="none"/>
          <w:u w:val="none"/>
          <w:shd w:val="clear" w:color="auto" w:fill="FFFFFF"/>
        </w:rPr>
        <w:t>等。资格条件不得作为评审因素。</w:t>
      </w:r>
    </w:p>
    <w:p>
      <w:pPr>
        <w:autoSpaceDE w:val="0"/>
        <w:autoSpaceDN w:val="0"/>
        <w:spacing w:line="360" w:lineRule="auto"/>
        <w:ind w:firstLine="480" w:firstLineChars="200"/>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adjustRightInd w:val="0"/>
        <w:spacing w:line="400" w:lineRule="exact"/>
        <w:ind w:firstLine="240" w:firstLineChars="100"/>
        <w:jc w:val="left"/>
        <w:rPr>
          <w:rFonts w:hint="eastAsia" w:ascii="宋体" w:hAnsi="宋体" w:cs="宋体"/>
          <w:color w:val="auto"/>
          <w:kern w:val="0"/>
          <w:highlight w:val="none"/>
          <w:u w:val="none"/>
          <w:lang w:val="zh-CN"/>
        </w:rPr>
      </w:pPr>
      <w:r>
        <w:rPr>
          <w:rFonts w:hint="eastAsia" w:ascii="宋体" w:hAnsi="宋体" w:cs="宋体"/>
          <w:color w:val="auto"/>
          <w:kern w:val="0"/>
          <w:highlight w:val="none"/>
          <w:u w:val="none"/>
          <w:lang w:val="zh-CN"/>
        </w:rPr>
        <w:t>具体项目及评分细则：</w:t>
      </w:r>
    </w:p>
    <w:tbl>
      <w:tblPr>
        <w:tblStyle w:val="31"/>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26"/>
        <w:gridCol w:w="1250"/>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autoSpaceDE w:val="0"/>
              <w:autoSpaceDN w:val="0"/>
              <w:spacing w:line="360" w:lineRule="auto"/>
              <w:jc w:val="center"/>
              <w:rPr>
                <w:rFonts w:ascii="宋体" w:hAnsi="宋体" w:cs="宋体"/>
                <w:color w:val="auto"/>
                <w:highlight w:val="none"/>
                <w:u w:val="none"/>
                <w:shd w:val="clear" w:color="auto" w:fill="FFFFFF"/>
              </w:rPr>
            </w:pPr>
            <w:bookmarkStart w:id="110" w:name="_Toc8317"/>
            <w:r>
              <w:rPr>
                <w:rFonts w:hint="eastAsia" w:ascii="宋体" w:hAnsi="宋体" w:cs="宋体"/>
                <w:color w:val="auto"/>
                <w:highlight w:val="none"/>
                <w:u w:val="none"/>
                <w:shd w:val="clear" w:color="auto" w:fill="FFFFFF"/>
              </w:rPr>
              <w:t>类别</w:t>
            </w:r>
          </w:p>
        </w:tc>
        <w:tc>
          <w:tcPr>
            <w:tcW w:w="1226"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项目</w:t>
            </w:r>
          </w:p>
        </w:tc>
        <w:tc>
          <w:tcPr>
            <w:tcW w:w="1250"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Cambria" w:cs="宋体"/>
                <w:color w:val="auto"/>
                <w:kern w:val="0"/>
                <w:highlight w:val="none"/>
                <w:u w:val="none"/>
                <w:lang w:val="zh-CN"/>
              </w:rPr>
              <w:t>满分分值</w:t>
            </w:r>
          </w:p>
        </w:tc>
        <w:tc>
          <w:tcPr>
            <w:tcW w:w="4828" w:type="dxa"/>
            <w:vAlign w:val="center"/>
          </w:tcPr>
          <w:p>
            <w:pPr>
              <w:autoSpaceDE w:val="0"/>
              <w:autoSpaceDN w:val="0"/>
              <w:spacing w:line="360" w:lineRule="auto"/>
              <w:ind w:firstLine="480" w:firstLineChars="200"/>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投标</w:t>
            </w:r>
          </w:p>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报价</w:t>
            </w:r>
          </w:p>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（30分）</w:t>
            </w:r>
          </w:p>
        </w:tc>
        <w:tc>
          <w:tcPr>
            <w:tcW w:w="1226"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投标报价</w:t>
            </w:r>
          </w:p>
          <w:p>
            <w:pPr>
              <w:autoSpaceDE w:val="0"/>
              <w:autoSpaceDN w:val="0"/>
              <w:spacing w:line="360" w:lineRule="auto"/>
              <w:jc w:val="center"/>
              <w:rPr>
                <w:rFonts w:ascii="宋体" w:hAnsi="宋体" w:cs="宋体"/>
                <w:color w:val="auto"/>
                <w:highlight w:val="none"/>
                <w:u w:val="none"/>
                <w:shd w:val="clear" w:color="auto" w:fill="FFFFFF"/>
              </w:rPr>
            </w:pPr>
          </w:p>
        </w:tc>
        <w:tc>
          <w:tcPr>
            <w:tcW w:w="1250"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30分</w:t>
            </w:r>
          </w:p>
        </w:tc>
        <w:tc>
          <w:tcPr>
            <w:tcW w:w="4828" w:type="dxa"/>
            <w:vAlign w:val="center"/>
          </w:tcPr>
          <w:p>
            <w:pPr>
              <w:autoSpaceDE w:val="0"/>
              <w:autoSpaceDN w:val="0"/>
              <w:spacing w:line="360" w:lineRule="auto"/>
              <w:rPr>
                <w:rFonts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
              <w:spacing w:line="360" w:lineRule="auto"/>
              <w:rPr>
                <w:rFonts w:ascii="宋体" w:hAnsi="宋体" w:cs="宋体"/>
                <w:color w:val="auto"/>
                <w:highlight w:val="none"/>
                <w:u w:val="none"/>
                <w:shd w:val="clear" w:color="auto" w:fill="FFFFFF"/>
                <w:lang w:val="zh-CN"/>
              </w:rPr>
            </w:pPr>
            <w:r>
              <w:rPr>
                <w:rFonts w:hint="eastAsia" w:ascii="宋体" w:hAnsi="宋体" w:cs="宋体"/>
                <w:color w:val="auto"/>
                <w:sz w:val="24"/>
                <w:szCs w:val="24"/>
                <w:highlight w:val="none"/>
                <w:u w:val="none"/>
                <w:shd w:val="clear" w:color="auto" w:fill="FFFFFF"/>
                <w:lang w:val="zh-CN"/>
              </w:rPr>
              <w:t>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lang w:val="zh-CN"/>
              </w:rPr>
              <w:t>履约</w:t>
            </w:r>
          </w:p>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lang w:val="zh-CN"/>
              </w:rPr>
              <w:t>能力</w:t>
            </w:r>
          </w:p>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rPr>
              <w:t>（</w:t>
            </w:r>
            <w:r>
              <w:rPr>
                <w:rFonts w:hint="eastAsia" w:ascii="宋体" w:hAnsi="Cambria" w:cs="宋体"/>
                <w:color w:val="auto"/>
                <w:kern w:val="0"/>
                <w:highlight w:val="none"/>
                <w:u w:val="none"/>
                <w:lang w:val="en-US" w:eastAsia="zh-CN"/>
              </w:rPr>
              <w:t>5</w:t>
            </w:r>
            <w:r>
              <w:rPr>
                <w:rFonts w:hint="eastAsia" w:ascii="宋体" w:hAnsi="Cambria" w:cs="宋体"/>
                <w:color w:val="auto"/>
                <w:kern w:val="0"/>
                <w:highlight w:val="none"/>
                <w:u w:val="none"/>
                <w:lang w:val="zh-CN"/>
              </w:rPr>
              <w:t>分）</w:t>
            </w:r>
          </w:p>
        </w:tc>
        <w:tc>
          <w:tcPr>
            <w:tcW w:w="1226" w:type="dxa"/>
            <w:vAlign w:val="center"/>
          </w:tcPr>
          <w:p>
            <w:pPr>
              <w:autoSpaceDE w:val="0"/>
              <w:autoSpaceDN w:val="0"/>
              <w:spacing w:line="360" w:lineRule="auto"/>
              <w:jc w:val="center"/>
              <w:rPr>
                <w:color w:val="auto"/>
                <w:sz w:val="21"/>
                <w:highlight w:val="none"/>
                <w:u w:val="none"/>
                <w:lang w:val="zh-CN"/>
              </w:rPr>
            </w:pPr>
            <w:r>
              <w:rPr>
                <w:rFonts w:hint="eastAsia" w:ascii="宋体" w:hAnsi="宋体" w:cs="宋体"/>
                <w:color w:val="auto"/>
                <w:highlight w:val="none"/>
                <w:u w:val="none"/>
                <w:shd w:val="clear" w:color="auto" w:fill="FFFFFF"/>
              </w:rPr>
              <w:t>业绩</w:t>
            </w:r>
          </w:p>
        </w:tc>
        <w:tc>
          <w:tcPr>
            <w:tcW w:w="1250" w:type="dxa"/>
            <w:vAlign w:val="center"/>
          </w:tcPr>
          <w:p>
            <w:pPr>
              <w:autoSpaceDE w:val="0"/>
              <w:autoSpaceDN w:val="0"/>
              <w:spacing w:line="360" w:lineRule="auto"/>
              <w:jc w:val="center"/>
              <w:rPr>
                <w:rFonts w:ascii="宋体" w:hAnsi="Cambria" w:cs="宋体"/>
                <w:color w:val="auto"/>
                <w:kern w:val="0"/>
                <w:highlight w:val="none"/>
                <w:u w:val="none"/>
              </w:rPr>
            </w:pPr>
            <w:r>
              <w:rPr>
                <w:rFonts w:hint="eastAsia" w:ascii="宋体" w:hAnsi="宋体" w:cs="宋体"/>
                <w:color w:val="auto"/>
                <w:highlight w:val="none"/>
                <w:u w:val="none"/>
                <w:shd w:val="clear" w:color="auto" w:fill="FFFFFF"/>
                <w:lang w:val="en-US" w:eastAsia="zh-CN"/>
              </w:rPr>
              <w:t>5</w:t>
            </w:r>
            <w:r>
              <w:rPr>
                <w:rFonts w:hint="eastAsia" w:ascii="宋体" w:hAnsi="宋体" w:cs="宋体"/>
                <w:color w:val="auto"/>
                <w:highlight w:val="none"/>
                <w:u w:val="none"/>
                <w:shd w:val="clear" w:color="auto" w:fill="FFFFFF"/>
              </w:rPr>
              <w:t>分</w:t>
            </w:r>
          </w:p>
        </w:tc>
        <w:tc>
          <w:tcPr>
            <w:tcW w:w="4828" w:type="dxa"/>
            <w:vAlign w:val="center"/>
          </w:tcPr>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投标人提供2018以来</w:t>
            </w:r>
            <w:r>
              <w:rPr>
                <w:rFonts w:hint="eastAsia" w:ascii="宋体" w:hAnsi="宋体" w:cs="宋体"/>
                <w:color w:val="auto"/>
                <w:highlight w:val="none"/>
                <w:u w:val="none"/>
                <w:shd w:val="clear" w:color="auto" w:fill="FFFFFF"/>
                <w:lang w:val="en-US" w:eastAsia="zh-CN"/>
              </w:rPr>
              <w:t>的</w:t>
            </w:r>
            <w:r>
              <w:rPr>
                <w:rFonts w:hint="eastAsia" w:ascii="宋体" w:hAnsi="宋体" w:cs="宋体"/>
                <w:color w:val="auto"/>
                <w:highlight w:val="none"/>
                <w:u w:val="none"/>
                <w:shd w:val="clear" w:color="auto" w:fill="FFFFFF"/>
                <w:lang w:val="zh-CN"/>
              </w:rPr>
              <w:t>类似业绩，每提供一项得</w:t>
            </w:r>
            <w:r>
              <w:rPr>
                <w:rFonts w:hint="eastAsia" w:ascii="宋体" w:hAnsi="宋体" w:cs="宋体"/>
                <w:color w:val="auto"/>
                <w:highlight w:val="none"/>
                <w:u w:val="none"/>
                <w:shd w:val="clear" w:color="auto" w:fill="FFFFFF"/>
                <w:lang w:val="en-US" w:eastAsia="zh-CN"/>
              </w:rPr>
              <w:t>1</w:t>
            </w:r>
            <w:r>
              <w:rPr>
                <w:rFonts w:hint="eastAsia" w:ascii="宋体" w:hAnsi="宋体" w:cs="宋体"/>
                <w:color w:val="auto"/>
                <w:highlight w:val="none"/>
                <w:u w:val="none"/>
                <w:shd w:val="clear" w:color="auto" w:fill="FFFFFF"/>
                <w:lang w:val="zh-CN"/>
              </w:rPr>
              <w:t>分，满分</w:t>
            </w:r>
            <w:r>
              <w:rPr>
                <w:rFonts w:hint="eastAsia" w:ascii="宋体" w:hAnsi="宋体" w:cs="宋体"/>
                <w:color w:val="auto"/>
                <w:highlight w:val="none"/>
                <w:u w:val="none"/>
                <w:shd w:val="clear" w:color="auto" w:fill="FFFFFF"/>
                <w:lang w:val="en-US" w:eastAsia="zh-CN"/>
              </w:rPr>
              <w:t>5</w:t>
            </w:r>
            <w:r>
              <w:rPr>
                <w:rFonts w:hint="eastAsia" w:ascii="宋体" w:hAnsi="宋体" w:cs="宋体"/>
                <w:color w:val="auto"/>
                <w:highlight w:val="none"/>
                <w:u w:val="none"/>
                <w:shd w:val="clear" w:color="auto" w:fill="FFFFFF"/>
                <w:lang w:val="zh-CN"/>
              </w:rPr>
              <w:t>分，未提供不得分。（以完整的合同</w:t>
            </w:r>
            <w:r>
              <w:rPr>
                <w:rFonts w:hint="eastAsia" w:ascii="宋体" w:hAnsi="宋体" w:cs="宋体"/>
                <w:color w:val="auto"/>
                <w:highlight w:val="none"/>
                <w:u w:val="none"/>
                <w:shd w:val="clear" w:color="auto" w:fill="FFFFFF"/>
                <w:lang w:val="en-US" w:eastAsia="zh-CN"/>
              </w:rPr>
              <w:t>复印件或扫描件</w:t>
            </w:r>
            <w:r>
              <w:rPr>
                <w:rFonts w:hint="eastAsia" w:ascii="宋体" w:hAnsi="宋体" w:cs="宋体"/>
                <w:color w:val="auto"/>
                <w:highlight w:val="none"/>
                <w:u w:val="none"/>
                <w:shd w:val="clear" w:color="auto" w:fill="FFFFFF"/>
                <w:lang w:val="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55" w:type="dxa"/>
            <w:vMerge w:val="restart"/>
            <w:vAlign w:val="center"/>
          </w:tcPr>
          <w:p>
            <w:pPr>
              <w:autoSpaceDE w:val="0"/>
              <w:autoSpaceDN w:val="0"/>
              <w:adjustRightInd w:val="0"/>
              <w:spacing w:line="400" w:lineRule="exact"/>
              <w:jc w:val="center"/>
              <w:rPr>
                <w:rFonts w:ascii="宋体" w:hAnsi="宋体" w:cs="宋体"/>
                <w:color w:val="auto"/>
                <w:highlight w:val="none"/>
                <w:u w:val="none"/>
                <w:lang w:val="zh-CN"/>
              </w:rPr>
            </w:pPr>
            <w:r>
              <w:rPr>
                <w:rFonts w:hint="eastAsia" w:ascii="宋体" w:hAnsi="宋体" w:cs="宋体"/>
                <w:color w:val="auto"/>
                <w:highlight w:val="none"/>
                <w:u w:val="none"/>
                <w:lang w:val="zh-CN"/>
              </w:rPr>
              <w:t>技术</w:t>
            </w:r>
          </w:p>
          <w:p>
            <w:pPr>
              <w:autoSpaceDE w:val="0"/>
              <w:autoSpaceDN w:val="0"/>
              <w:adjustRightInd w:val="0"/>
              <w:spacing w:line="400" w:lineRule="exact"/>
              <w:jc w:val="center"/>
              <w:rPr>
                <w:rFonts w:ascii="宋体" w:hAnsi="宋体" w:cs="宋体"/>
                <w:color w:val="auto"/>
                <w:highlight w:val="none"/>
                <w:u w:val="none"/>
                <w:lang w:val="zh-CN"/>
              </w:rPr>
            </w:pPr>
            <w:r>
              <w:rPr>
                <w:rFonts w:hint="eastAsia" w:ascii="宋体" w:hAnsi="宋体" w:cs="宋体"/>
                <w:color w:val="auto"/>
                <w:highlight w:val="none"/>
                <w:u w:val="none"/>
                <w:lang w:val="zh-CN"/>
              </w:rPr>
              <w:t>质量</w:t>
            </w:r>
          </w:p>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rPr>
              <w:t>（5</w:t>
            </w:r>
            <w:r>
              <w:rPr>
                <w:rFonts w:hint="eastAsia" w:ascii="宋体" w:hAnsi="宋体" w:cs="宋体"/>
                <w:color w:val="auto"/>
                <w:highlight w:val="none"/>
                <w:u w:val="none"/>
                <w:lang w:val="en-US" w:eastAsia="zh-CN"/>
              </w:rPr>
              <w:t>7</w:t>
            </w:r>
            <w:r>
              <w:rPr>
                <w:rFonts w:hint="eastAsia" w:ascii="宋体" w:hAnsi="宋体" w:cs="宋体"/>
                <w:color w:val="auto"/>
                <w:highlight w:val="none"/>
                <w:u w:val="none"/>
                <w:lang w:val="zh-CN"/>
              </w:rPr>
              <w:t>分</w:t>
            </w:r>
            <w:r>
              <w:rPr>
                <w:rFonts w:hint="eastAsia" w:ascii="宋体" w:hAnsi="宋体" w:cs="宋体"/>
                <w:color w:val="auto"/>
                <w:highlight w:val="none"/>
                <w:u w:val="none"/>
              </w:rPr>
              <w:t>）</w:t>
            </w:r>
          </w:p>
        </w:tc>
        <w:tc>
          <w:tcPr>
            <w:tcW w:w="1226" w:type="dxa"/>
            <w:vAlign w:val="center"/>
          </w:tcPr>
          <w:p>
            <w:pPr>
              <w:autoSpaceDE w:val="0"/>
              <w:autoSpaceDN w:val="0"/>
              <w:spacing w:line="360" w:lineRule="auto"/>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技术参数</w:t>
            </w:r>
          </w:p>
        </w:tc>
        <w:tc>
          <w:tcPr>
            <w:tcW w:w="1250"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lang w:val="en-US" w:eastAsia="zh-CN"/>
              </w:rPr>
              <w:t>40</w:t>
            </w:r>
            <w:r>
              <w:rPr>
                <w:rFonts w:hint="eastAsia" w:ascii="宋体" w:hAnsi="宋体" w:cs="宋体"/>
                <w:color w:val="auto"/>
                <w:highlight w:val="none"/>
                <w:u w:val="none"/>
                <w:shd w:val="clear" w:color="auto" w:fill="FFFFFF"/>
              </w:rPr>
              <w:t>分</w:t>
            </w:r>
          </w:p>
        </w:tc>
        <w:tc>
          <w:tcPr>
            <w:tcW w:w="4828" w:type="dxa"/>
            <w:vAlign w:val="center"/>
          </w:tcPr>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投标产品技术参数和配置完全满足或高于招标文件要求的，得</w:t>
            </w:r>
            <w:r>
              <w:rPr>
                <w:rFonts w:hint="eastAsia" w:ascii="宋体" w:hAnsi="宋体" w:cs="宋体"/>
                <w:color w:val="auto"/>
                <w:highlight w:val="none"/>
                <w:u w:val="none"/>
                <w:shd w:val="clear" w:color="auto" w:fill="FFFFFF"/>
                <w:lang w:val="en-US" w:eastAsia="zh-CN"/>
              </w:rPr>
              <w:t>40</w:t>
            </w:r>
            <w:r>
              <w:rPr>
                <w:rFonts w:hint="eastAsia" w:ascii="宋体" w:hAnsi="宋体" w:cs="宋体"/>
                <w:color w:val="auto"/>
                <w:highlight w:val="none"/>
                <w:u w:val="none"/>
                <w:shd w:val="clear" w:color="auto" w:fill="FFFFFF"/>
                <w:lang w:val="zh-CN"/>
              </w:rPr>
              <w:t>分；每有一项负偏离扣</w:t>
            </w:r>
            <w:r>
              <w:rPr>
                <w:rFonts w:hint="eastAsia" w:ascii="宋体" w:hAnsi="宋体" w:cs="宋体"/>
                <w:color w:val="auto"/>
                <w:highlight w:val="none"/>
                <w:u w:val="none"/>
                <w:shd w:val="clear" w:color="auto" w:fill="FFFFFF"/>
                <w:lang w:val="en-US" w:eastAsia="zh-CN"/>
              </w:rPr>
              <w:t>4</w:t>
            </w:r>
            <w:r>
              <w:rPr>
                <w:rFonts w:hint="eastAsia" w:ascii="宋体" w:hAnsi="宋体" w:cs="宋体"/>
                <w:color w:val="auto"/>
                <w:highlight w:val="none"/>
                <w:u w:val="none"/>
                <w:shd w:val="clear" w:color="auto" w:fill="FFFFFF"/>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155" w:type="dxa"/>
            <w:vMerge w:val="continue"/>
            <w:vAlign w:val="center"/>
          </w:tcPr>
          <w:p>
            <w:pPr>
              <w:autoSpaceDE w:val="0"/>
              <w:autoSpaceDN w:val="0"/>
              <w:spacing w:line="360" w:lineRule="auto"/>
              <w:rPr>
                <w:rFonts w:ascii="宋体" w:hAnsi="宋体" w:cs="宋体"/>
                <w:color w:val="auto"/>
                <w:highlight w:val="none"/>
                <w:u w:val="none"/>
                <w:shd w:val="clear" w:color="auto" w:fill="FFFFFF"/>
              </w:rPr>
            </w:pPr>
          </w:p>
        </w:tc>
        <w:tc>
          <w:tcPr>
            <w:tcW w:w="1226" w:type="dxa"/>
            <w:vAlign w:val="center"/>
          </w:tcPr>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lang w:val="zh-CN"/>
              </w:rPr>
              <w:t>环保</w:t>
            </w:r>
          </w:p>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lang w:val="zh-CN"/>
              </w:rPr>
              <w:t>和节能</w:t>
            </w:r>
          </w:p>
        </w:tc>
        <w:tc>
          <w:tcPr>
            <w:tcW w:w="1250" w:type="dxa"/>
            <w:vAlign w:val="center"/>
          </w:tcPr>
          <w:p>
            <w:pPr>
              <w:autoSpaceDE w:val="0"/>
              <w:autoSpaceDN w:val="0"/>
              <w:adjustRightInd w:val="0"/>
              <w:spacing w:line="400" w:lineRule="exact"/>
              <w:jc w:val="center"/>
              <w:rPr>
                <w:rFonts w:ascii="宋体" w:hAnsi="Cambria" w:cs="宋体"/>
                <w:color w:val="auto"/>
                <w:kern w:val="0"/>
                <w:highlight w:val="none"/>
                <w:u w:val="none"/>
              </w:rPr>
            </w:pPr>
            <w:r>
              <w:rPr>
                <w:rFonts w:hint="eastAsia" w:ascii="宋体" w:hAnsi="Cambria" w:cs="宋体"/>
                <w:color w:val="auto"/>
                <w:kern w:val="0"/>
                <w:highlight w:val="none"/>
                <w:u w:val="none"/>
                <w:lang w:val="en-US" w:eastAsia="zh-CN"/>
              </w:rPr>
              <w:t>2</w:t>
            </w:r>
            <w:r>
              <w:rPr>
                <w:rFonts w:hint="eastAsia" w:ascii="宋体" w:hAnsi="宋体" w:cs="宋体"/>
                <w:color w:val="auto"/>
                <w:highlight w:val="none"/>
                <w:u w:val="none"/>
                <w:shd w:val="clear" w:color="auto" w:fill="FFFFFF"/>
              </w:rPr>
              <w:t>分</w:t>
            </w:r>
          </w:p>
        </w:tc>
        <w:tc>
          <w:tcPr>
            <w:tcW w:w="4828" w:type="dxa"/>
            <w:vAlign w:val="center"/>
          </w:tcPr>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投标产品具有环保认证证书的，得</w:t>
            </w:r>
            <w:r>
              <w:rPr>
                <w:rFonts w:hint="eastAsia" w:ascii="宋体" w:hAnsi="宋体" w:cs="宋体"/>
                <w:color w:val="auto"/>
                <w:highlight w:val="none"/>
                <w:u w:val="none"/>
                <w:shd w:val="clear" w:color="auto" w:fill="FFFFFF"/>
                <w:lang w:val="en-US" w:eastAsia="zh-CN"/>
              </w:rPr>
              <w:t>1</w:t>
            </w:r>
            <w:r>
              <w:rPr>
                <w:rFonts w:hint="eastAsia" w:ascii="宋体" w:hAnsi="宋体" w:cs="宋体"/>
                <w:color w:val="auto"/>
                <w:highlight w:val="none"/>
                <w:u w:val="none"/>
                <w:shd w:val="clear" w:color="auto" w:fill="FFFFFF"/>
                <w:lang w:val="zh-CN"/>
              </w:rPr>
              <w:t>分；具有节能认证证书的，得</w:t>
            </w:r>
            <w:r>
              <w:rPr>
                <w:rFonts w:hint="eastAsia" w:ascii="宋体" w:hAnsi="宋体" w:cs="宋体"/>
                <w:color w:val="auto"/>
                <w:highlight w:val="none"/>
                <w:u w:val="none"/>
                <w:shd w:val="clear" w:color="auto" w:fill="FFFFFF"/>
                <w:lang w:val="en-US" w:eastAsia="zh-CN"/>
              </w:rPr>
              <w:t>1</w:t>
            </w:r>
            <w:r>
              <w:rPr>
                <w:rFonts w:hint="eastAsia" w:ascii="宋体" w:hAnsi="宋体" w:cs="宋体"/>
                <w:color w:val="auto"/>
                <w:highlight w:val="none"/>
                <w:u w:val="none"/>
                <w:shd w:val="clear" w:color="auto" w:fill="FFFFFF"/>
                <w:lang w:val="zh-CN"/>
              </w:rPr>
              <w:t>分；未提供不得分。（该项得分的认定以《国家节能产品认证证书》、《中国环境标志产品认证证书》为准）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u w:val="none"/>
                <w:shd w:val="clear" w:color="auto" w:fill="FFFFFF"/>
              </w:rPr>
            </w:pPr>
          </w:p>
        </w:tc>
        <w:tc>
          <w:tcPr>
            <w:tcW w:w="1226"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项目</w:t>
            </w:r>
          </w:p>
          <w:p>
            <w:pPr>
              <w:autoSpaceDE w:val="0"/>
              <w:autoSpaceDN w:val="0"/>
              <w:spacing w:line="360" w:lineRule="auto"/>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实施方案</w:t>
            </w:r>
          </w:p>
        </w:tc>
        <w:tc>
          <w:tcPr>
            <w:tcW w:w="1250"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lang w:val="en-US" w:eastAsia="zh-CN"/>
              </w:rPr>
              <w:t>6</w:t>
            </w:r>
            <w:r>
              <w:rPr>
                <w:rFonts w:hint="eastAsia" w:ascii="宋体" w:hAnsi="宋体" w:cs="宋体"/>
                <w:color w:val="auto"/>
                <w:highlight w:val="none"/>
                <w:u w:val="none"/>
                <w:shd w:val="clear" w:color="auto" w:fill="FFFFFF"/>
              </w:rPr>
              <w:t>分</w:t>
            </w:r>
          </w:p>
        </w:tc>
        <w:tc>
          <w:tcPr>
            <w:tcW w:w="4828" w:type="dxa"/>
            <w:vAlign w:val="center"/>
          </w:tcPr>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zh-CN"/>
              </w:rPr>
              <w:t>对项目实施方案以下内容进行评比：实施计划、</w:t>
            </w:r>
            <w:r>
              <w:rPr>
                <w:rFonts w:hint="eastAsia" w:ascii="宋体" w:hAnsi="宋体" w:cs="宋体"/>
                <w:color w:val="auto"/>
                <w:highlight w:val="none"/>
                <w:u w:val="none"/>
                <w:shd w:val="clear" w:color="auto" w:fill="FFFFFF"/>
                <w:lang w:val="zh-CN" w:eastAsia="zh-CN"/>
              </w:rPr>
              <w:t>流程管理</w:t>
            </w:r>
            <w:r>
              <w:rPr>
                <w:rFonts w:hint="eastAsia" w:ascii="宋体" w:hAnsi="宋体" w:cs="宋体"/>
                <w:color w:val="auto"/>
                <w:highlight w:val="none"/>
                <w:u w:val="none"/>
                <w:shd w:val="clear" w:color="auto" w:fill="FFFFFF"/>
                <w:lang w:val="zh-CN"/>
              </w:rPr>
              <w:t>、项目进度保障、质量保障</w:t>
            </w:r>
            <w:r>
              <w:rPr>
                <w:rFonts w:hint="eastAsia" w:ascii="宋体" w:hAnsi="宋体" w:cs="宋体"/>
                <w:color w:val="auto"/>
                <w:highlight w:val="none"/>
                <w:u w:val="none"/>
                <w:shd w:val="clear" w:color="auto" w:fill="FFFFFF"/>
                <w:lang w:val="zh-CN" w:eastAsia="zh-CN"/>
              </w:rPr>
              <w:t>、应急管理</w:t>
            </w:r>
            <w:r>
              <w:rPr>
                <w:rFonts w:hint="eastAsia" w:ascii="宋体" w:hAnsi="宋体" w:cs="宋体"/>
                <w:color w:val="auto"/>
                <w:highlight w:val="none"/>
                <w:u w:val="none"/>
                <w:shd w:val="clear" w:color="auto" w:fill="FFFFFF"/>
                <w:lang w:val="zh-CN"/>
              </w:rPr>
              <w:t>等。</w:t>
            </w:r>
          </w:p>
          <w:p>
            <w:pPr>
              <w:autoSpaceDE w:val="0"/>
              <w:autoSpaceDN w:val="0"/>
              <w:spacing w:line="360" w:lineRule="auto"/>
              <w:rPr>
                <w:rFonts w:hint="eastAsia" w:ascii="宋体" w:hAnsi="宋体" w:cs="宋体"/>
                <w:color w:val="auto"/>
                <w:highlight w:val="none"/>
                <w:u w:val="none"/>
                <w:shd w:val="clear" w:color="auto" w:fill="FFFFFF"/>
                <w:lang w:val="zh-CN" w:eastAsia="zh-CN"/>
              </w:rPr>
            </w:pPr>
            <w:r>
              <w:rPr>
                <w:rFonts w:hint="eastAsia" w:ascii="宋体" w:hAnsi="宋体" w:cs="宋体"/>
                <w:color w:val="auto"/>
                <w:highlight w:val="none"/>
                <w:u w:val="none"/>
                <w:shd w:val="clear" w:color="auto" w:fill="FFFFFF"/>
                <w:lang w:val="zh-CN"/>
              </w:rPr>
              <w:t>综合评价是否可行、合理、实用；是否有效组织安排，确保按时保质地完成项目实施</w:t>
            </w:r>
            <w:r>
              <w:rPr>
                <w:rFonts w:hint="eastAsia" w:ascii="宋体" w:hAnsi="宋体" w:cs="宋体"/>
                <w:color w:val="auto"/>
                <w:highlight w:val="none"/>
                <w:u w:val="none"/>
                <w:shd w:val="clear" w:color="auto" w:fill="FFFFFF"/>
                <w:lang w:val="zh-CN" w:eastAsia="zh-CN"/>
              </w:rPr>
              <w:t>，完全满足项目需求</w:t>
            </w:r>
            <w:r>
              <w:rPr>
                <w:rFonts w:hint="eastAsia" w:ascii="宋体" w:hAnsi="宋体" w:cs="宋体"/>
                <w:color w:val="auto"/>
                <w:highlight w:val="none"/>
                <w:u w:val="none"/>
                <w:shd w:val="clear" w:color="auto" w:fill="FFFFFF"/>
                <w:lang w:val="zh-CN"/>
              </w:rPr>
              <w:t>得</w:t>
            </w:r>
            <w:r>
              <w:rPr>
                <w:rFonts w:hint="eastAsia" w:ascii="宋体" w:hAnsi="宋体" w:cs="宋体"/>
                <w:color w:val="auto"/>
                <w:highlight w:val="none"/>
                <w:u w:val="none"/>
                <w:shd w:val="clear" w:color="auto" w:fill="FFFFFF"/>
                <w:lang w:val="en-US" w:eastAsia="zh-CN"/>
              </w:rPr>
              <w:t>6</w:t>
            </w:r>
            <w:r>
              <w:rPr>
                <w:rFonts w:hint="eastAsia" w:ascii="宋体" w:hAnsi="宋体" w:cs="宋体"/>
                <w:color w:val="auto"/>
                <w:highlight w:val="none"/>
                <w:u w:val="none"/>
                <w:shd w:val="clear" w:color="auto" w:fill="FFFFFF"/>
                <w:lang w:val="zh-CN"/>
              </w:rPr>
              <w:t>分</w:t>
            </w:r>
            <w:r>
              <w:rPr>
                <w:rFonts w:hint="eastAsia" w:ascii="宋体" w:hAnsi="宋体" w:cs="宋体"/>
                <w:color w:val="auto"/>
                <w:highlight w:val="none"/>
                <w:u w:val="none"/>
                <w:shd w:val="clear" w:color="auto" w:fill="FFFFFF"/>
                <w:lang w:val="zh-CN" w:eastAsia="zh-CN"/>
              </w:rPr>
              <w:t>；</w:t>
            </w:r>
          </w:p>
          <w:p>
            <w:pPr>
              <w:autoSpaceDE w:val="0"/>
              <w:autoSpaceDN w:val="0"/>
              <w:spacing w:line="360" w:lineRule="auto"/>
              <w:rPr>
                <w:rFonts w:hint="eastAsia" w:ascii="宋体" w:hAnsi="宋体" w:cs="宋体"/>
                <w:color w:val="auto"/>
                <w:highlight w:val="none"/>
                <w:u w:val="none"/>
                <w:shd w:val="clear" w:color="auto" w:fill="FFFFFF"/>
                <w:lang w:val="zh-CN" w:eastAsia="zh-CN"/>
              </w:rPr>
            </w:pPr>
            <w:r>
              <w:rPr>
                <w:rFonts w:hint="eastAsia" w:ascii="宋体" w:hAnsi="宋体" w:cs="宋体"/>
                <w:color w:val="auto"/>
                <w:highlight w:val="none"/>
                <w:u w:val="none"/>
                <w:shd w:val="clear" w:color="auto" w:fill="FFFFFF"/>
                <w:lang w:val="zh-CN"/>
              </w:rPr>
              <w:t>综合评价是否可行、合理、实用；是否有效组织安排，确保按时保质地完成项目实施</w:t>
            </w:r>
            <w:r>
              <w:rPr>
                <w:rFonts w:hint="eastAsia" w:ascii="宋体" w:hAnsi="宋体" w:cs="宋体"/>
                <w:color w:val="auto"/>
                <w:highlight w:val="none"/>
                <w:u w:val="none"/>
                <w:shd w:val="clear" w:color="auto" w:fill="FFFFFF"/>
                <w:lang w:val="zh-CN" w:eastAsia="zh-CN"/>
              </w:rPr>
              <w:t>，基本满足项目需求</w:t>
            </w:r>
            <w:r>
              <w:rPr>
                <w:rFonts w:hint="eastAsia" w:ascii="宋体" w:hAnsi="宋体" w:cs="宋体"/>
                <w:color w:val="auto"/>
                <w:highlight w:val="none"/>
                <w:u w:val="none"/>
                <w:shd w:val="clear" w:color="auto" w:fill="FFFFFF"/>
                <w:lang w:val="zh-CN"/>
              </w:rPr>
              <w:t>得</w:t>
            </w:r>
            <w:r>
              <w:rPr>
                <w:rFonts w:hint="eastAsia" w:ascii="宋体" w:hAnsi="宋体" w:cs="宋体"/>
                <w:color w:val="auto"/>
                <w:highlight w:val="none"/>
                <w:u w:val="none"/>
                <w:shd w:val="clear" w:color="auto" w:fill="FFFFFF"/>
                <w:lang w:val="en-US" w:eastAsia="zh-CN"/>
              </w:rPr>
              <w:t>4.5</w:t>
            </w:r>
            <w:r>
              <w:rPr>
                <w:rFonts w:hint="eastAsia" w:ascii="宋体" w:hAnsi="宋体" w:cs="宋体"/>
                <w:color w:val="auto"/>
                <w:highlight w:val="none"/>
                <w:u w:val="none"/>
                <w:shd w:val="clear" w:color="auto" w:fill="FFFFFF"/>
                <w:lang w:val="zh-CN"/>
              </w:rPr>
              <w:t>分</w:t>
            </w:r>
            <w:r>
              <w:rPr>
                <w:rFonts w:hint="eastAsia" w:ascii="宋体" w:hAnsi="宋体" w:cs="宋体"/>
                <w:color w:val="auto"/>
                <w:highlight w:val="none"/>
                <w:u w:val="none"/>
                <w:shd w:val="clear" w:color="auto" w:fill="FFFFFF"/>
                <w:lang w:val="zh-CN" w:eastAsia="zh-CN"/>
              </w:rPr>
              <w:t>；</w:t>
            </w:r>
          </w:p>
          <w:p>
            <w:pPr>
              <w:autoSpaceDE w:val="0"/>
              <w:autoSpaceDN w:val="0"/>
              <w:spacing w:line="360" w:lineRule="auto"/>
              <w:rPr>
                <w:rFonts w:hint="eastAsia" w:ascii="宋体" w:hAnsi="宋体" w:cs="宋体"/>
                <w:color w:val="auto"/>
                <w:highlight w:val="none"/>
                <w:u w:val="none"/>
                <w:shd w:val="clear" w:color="auto" w:fill="FFFFFF"/>
                <w:lang w:val="zh-CN" w:eastAsia="zh-CN"/>
              </w:rPr>
            </w:pPr>
            <w:r>
              <w:rPr>
                <w:rFonts w:hint="eastAsia" w:ascii="宋体" w:hAnsi="宋体" w:cs="宋体"/>
                <w:color w:val="auto"/>
                <w:highlight w:val="none"/>
                <w:u w:val="none"/>
                <w:shd w:val="clear" w:color="auto" w:fill="FFFFFF"/>
                <w:lang w:val="zh-CN" w:eastAsia="zh-CN"/>
              </w:rPr>
              <w:t>对</w:t>
            </w:r>
            <w:r>
              <w:rPr>
                <w:rFonts w:hint="eastAsia" w:ascii="宋体" w:hAnsi="宋体" w:cs="宋体"/>
                <w:color w:val="auto"/>
                <w:highlight w:val="none"/>
                <w:u w:val="none"/>
                <w:shd w:val="clear" w:color="auto" w:fill="FFFFFF"/>
                <w:lang w:val="en-US" w:eastAsia="zh-CN"/>
              </w:rPr>
              <w:t>项目</w:t>
            </w:r>
            <w:r>
              <w:rPr>
                <w:rFonts w:hint="eastAsia" w:ascii="宋体" w:hAnsi="宋体" w:cs="宋体"/>
                <w:color w:val="auto"/>
                <w:highlight w:val="none"/>
                <w:u w:val="none"/>
                <w:shd w:val="clear" w:color="auto" w:fill="FFFFFF"/>
                <w:lang w:val="zh-CN" w:eastAsia="zh-CN"/>
              </w:rPr>
              <w:t>实施方案的方案编制全面、详尽、完善，得</w:t>
            </w:r>
            <w:r>
              <w:rPr>
                <w:rFonts w:hint="eastAsia" w:ascii="宋体" w:hAnsi="宋体" w:cs="宋体"/>
                <w:color w:val="auto"/>
                <w:highlight w:val="none"/>
                <w:u w:val="none"/>
                <w:shd w:val="clear" w:color="auto" w:fill="FFFFFF"/>
                <w:lang w:val="en-US" w:eastAsia="zh-CN"/>
              </w:rPr>
              <w:t>3</w:t>
            </w:r>
            <w:r>
              <w:rPr>
                <w:rFonts w:hint="eastAsia" w:ascii="宋体" w:hAnsi="宋体" w:cs="宋体"/>
                <w:color w:val="auto"/>
                <w:highlight w:val="none"/>
                <w:u w:val="none"/>
                <w:shd w:val="clear" w:color="auto" w:fill="FFFFFF"/>
                <w:lang w:val="zh-CN" w:eastAsia="zh-CN"/>
              </w:rPr>
              <w:t>分；</w:t>
            </w:r>
          </w:p>
          <w:p>
            <w:pPr>
              <w:autoSpaceDE w:val="0"/>
              <w:autoSpaceDN w:val="0"/>
              <w:spacing w:line="360" w:lineRule="auto"/>
              <w:rPr>
                <w:rFonts w:hint="eastAsia" w:ascii="宋体" w:hAnsi="宋体" w:cs="宋体"/>
                <w:color w:val="auto"/>
                <w:highlight w:val="none"/>
                <w:u w:val="none"/>
                <w:shd w:val="clear" w:color="auto" w:fill="FFFFFF"/>
                <w:lang w:val="zh-CN" w:eastAsia="zh-CN"/>
              </w:rPr>
            </w:pPr>
            <w:r>
              <w:rPr>
                <w:rFonts w:hint="eastAsia" w:ascii="宋体" w:hAnsi="宋体" w:cs="宋体"/>
                <w:color w:val="auto"/>
                <w:highlight w:val="none"/>
                <w:u w:val="none"/>
                <w:shd w:val="clear" w:color="auto" w:fill="FFFFFF"/>
                <w:lang w:val="zh-CN" w:eastAsia="zh-CN"/>
              </w:rPr>
              <w:t>对实施方案的的编制内容不完善，操作性不强，得</w:t>
            </w:r>
            <w:r>
              <w:rPr>
                <w:rFonts w:hint="eastAsia" w:ascii="宋体" w:hAnsi="宋体" w:cs="宋体"/>
                <w:color w:val="auto"/>
                <w:highlight w:val="none"/>
                <w:u w:val="none"/>
                <w:shd w:val="clear" w:color="auto" w:fill="FFFFFF"/>
                <w:lang w:val="en-US" w:eastAsia="zh-CN"/>
              </w:rPr>
              <w:t>1.5</w:t>
            </w:r>
            <w:r>
              <w:rPr>
                <w:rFonts w:hint="eastAsia" w:ascii="宋体" w:hAnsi="宋体" w:cs="宋体"/>
                <w:color w:val="auto"/>
                <w:highlight w:val="none"/>
                <w:u w:val="none"/>
                <w:shd w:val="clear" w:color="auto" w:fill="FFFFFF"/>
                <w:lang w:val="zh-CN" w:eastAsia="zh-CN"/>
              </w:rPr>
              <w:t>分；</w:t>
            </w:r>
          </w:p>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cs="宋体"/>
                <w:color w:val="auto"/>
                <w:highlight w:val="none"/>
                <w:u w:val="none"/>
                <w:shd w:val="clear" w:color="auto" w:fill="FFFFFF"/>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u w:val="none"/>
                <w:shd w:val="clear" w:color="auto" w:fill="FFFFFF"/>
              </w:rPr>
            </w:pPr>
          </w:p>
        </w:tc>
        <w:tc>
          <w:tcPr>
            <w:tcW w:w="1226" w:type="dxa"/>
            <w:vAlign w:val="center"/>
          </w:tcPr>
          <w:p>
            <w:pPr>
              <w:rPr>
                <w:rFonts w:ascii="宋体" w:hAnsi="宋体" w:cs="宋体"/>
                <w:color w:val="auto"/>
                <w:highlight w:val="none"/>
                <w:u w:val="none"/>
                <w:shd w:val="clear" w:color="auto" w:fill="FFFFFF"/>
              </w:rPr>
            </w:pPr>
            <w:r>
              <w:rPr>
                <w:rFonts w:hint="eastAsia" w:ascii="宋体" w:hAnsi="宋体"/>
                <w:color w:val="auto"/>
                <w:szCs w:val="21"/>
                <w:highlight w:val="none"/>
              </w:rPr>
              <w:t>技术方案</w:t>
            </w:r>
          </w:p>
        </w:tc>
        <w:tc>
          <w:tcPr>
            <w:tcW w:w="1250" w:type="dxa"/>
            <w:vAlign w:val="center"/>
          </w:tcPr>
          <w:p>
            <w:pPr>
              <w:jc w:val="center"/>
              <w:rPr>
                <w:rFonts w:ascii="宋体" w:hAnsi="宋体" w:cs="宋体"/>
                <w:color w:val="auto"/>
                <w:highlight w:val="none"/>
                <w:u w:val="none"/>
                <w:shd w:val="clear" w:color="auto" w:fill="FFFFFF"/>
              </w:rPr>
            </w:pPr>
            <w:r>
              <w:rPr>
                <w:rFonts w:hint="eastAsia" w:ascii="宋体" w:hAnsi="宋体"/>
                <w:color w:val="auto"/>
                <w:szCs w:val="21"/>
                <w:highlight w:val="none"/>
                <w:lang w:val="en-US" w:eastAsia="zh-CN"/>
              </w:rPr>
              <w:t>9</w:t>
            </w:r>
          </w:p>
        </w:tc>
        <w:tc>
          <w:tcPr>
            <w:tcW w:w="4828" w:type="dxa"/>
            <w:vAlign w:val="center"/>
          </w:tcPr>
          <w:p>
            <w:pPr>
              <w:autoSpaceDE w:val="0"/>
              <w:autoSpaceDN w:val="0"/>
              <w:spacing w:line="360" w:lineRule="auto"/>
              <w:rPr>
                <w:rFonts w:hint="eastAsia" w:ascii="宋体" w:hAnsi="宋体" w:eastAsia="宋体" w:cs="宋体"/>
                <w:color w:val="auto"/>
                <w:highlight w:val="none"/>
                <w:u w:val="none"/>
                <w:shd w:val="clear" w:color="auto" w:fill="FFFFFF"/>
                <w:lang w:val="zh-CN" w:eastAsia="zh-CN"/>
              </w:rPr>
            </w:pPr>
            <w:r>
              <w:rPr>
                <w:rFonts w:hint="eastAsia" w:ascii="宋体" w:hAnsi="宋体" w:eastAsia="宋体" w:cs="宋体"/>
                <w:color w:val="auto"/>
                <w:highlight w:val="none"/>
                <w:u w:val="none"/>
                <w:shd w:val="clear" w:color="auto" w:fill="FFFFFF"/>
                <w:lang w:val="zh-CN" w:eastAsia="zh-CN"/>
              </w:rPr>
              <w:t>根据招标文件要求，针对本项目提出整体技术方案。方案完整、详细、可靠,体现对需求的深入理解，具有成熟性，具有较强的可操作性，得</w:t>
            </w:r>
            <w:r>
              <w:rPr>
                <w:rFonts w:hint="eastAsia" w:ascii="宋体" w:hAnsi="宋体" w:eastAsia="宋体" w:cs="宋体"/>
                <w:color w:val="auto"/>
                <w:highlight w:val="none"/>
                <w:u w:val="none"/>
                <w:shd w:val="clear" w:color="auto" w:fill="FFFFFF"/>
                <w:lang w:val="en-US" w:eastAsia="zh-CN"/>
              </w:rPr>
              <w:t>9</w:t>
            </w:r>
            <w:r>
              <w:rPr>
                <w:rFonts w:hint="eastAsia" w:ascii="宋体" w:hAnsi="宋体" w:eastAsia="宋体" w:cs="宋体"/>
                <w:color w:val="auto"/>
                <w:highlight w:val="none"/>
                <w:u w:val="none"/>
                <w:shd w:val="clear" w:color="auto" w:fill="FFFFFF"/>
                <w:lang w:val="zh-CN" w:eastAsia="zh-CN"/>
              </w:rPr>
              <w:t>分；</w:t>
            </w:r>
          </w:p>
          <w:p>
            <w:pPr>
              <w:autoSpaceDE w:val="0"/>
              <w:autoSpaceDN w:val="0"/>
              <w:spacing w:line="360" w:lineRule="auto"/>
              <w:rPr>
                <w:rFonts w:hint="eastAsia" w:ascii="宋体" w:hAnsi="宋体" w:eastAsia="宋体" w:cs="宋体"/>
                <w:color w:val="auto"/>
                <w:highlight w:val="none"/>
                <w:u w:val="none"/>
                <w:shd w:val="clear" w:color="auto" w:fill="FFFFFF"/>
                <w:lang w:val="zh-CN" w:eastAsia="zh-CN"/>
              </w:rPr>
            </w:pPr>
            <w:r>
              <w:rPr>
                <w:rFonts w:hint="eastAsia" w:ascii="宋体" w:hAnsi="宋体" w:eastAsia="宋体" w:cs="宋体"/>
                <w:color w:val="auto"/>
                <w:highlight w:val="none"/>
                <w:u w:val="none"/>
                <w:shd w:val="clear" w:color="auto" w:fill="FFFFFF"/>
                <w:lang w:val="zh-CN" w:eastAsia="zh-CN"/>
              </w:rPr>
              <w:t xml:space="preserve">方案完整，对需求的把握基本到位，所用技术较为先进，具有基本的可操作性，得 </w:t>
            </w:r>
            <w:r>
              <w:rPr>
                <w:rFonts w:hint="eastAsia" w:ascii="宋体" w:hAnsi="宋体" w:eastAsia="宋体" w:cs="宋体"/>
                <w:color w:val="auto"/>
                <w:highlight w:val="none"/>
                <w:u w:val="none"/>
                <w:shd w:val="clear" w:color="auto" w:fill="FFFFFF"/>
                <w:lang w:val="en-US" w:eastAsia="zh-CN"/>
              </w:rPr>
              <w:t>6</w:t>
            </w:r>
            <w:r>
              <w:rPr>
                <w:rFonts w:hint="eastAsia" w:ascii="宋体" w:hAnsi="宋体" w:eastAsia="宋体" w:cs="宋体"/>
                <w:color w:val="auto"/>
                <w:highlight w:val="none"/>
                <w:u w:val="none"/>
                <w:shd w:val="clear" w:color="auto" w:fill="FFFFFF"/>
                <w:lang w:val="zh-CN" w:eastAsia="zh-CN"/>
              </w:rPr>
              <w:t xml:space="preserve"> 分；</w:t>
            </w:r>
          </w:p>
          <w:p>
            <w:pPr>
              <w:autoSpaceDE w:val="0"/>
              <w:autoSpaceDN w:val="0"/>
              <w:spacing w:line="360" w:lineRule="auto"/>
              <w:rPr>
                <w:rFonts w:hint="eastAsia" w:ascii="宋体" w:hAnsi="宋体" w:eastAsia="宋体" w:cs="宋体"/>
                <w:color w:val="auto"/>
                <w:highlight w:val="none"/>
                <w:u w:val="none"/>
                <w:shd w:val="clear" w:color="auto" w:fill="FFFFFF"/>
                <w:lang w:val="en-US" w:eastAsia="zh-CN"/>
              </w:rPr>
            </w:pPr>
            <w:r>
              <w:rPr>
                <w:rFonts w:hint="eastAsia" w:ascii="宋体" w:hAnsi="宋体" w:eastAsia="宋体" w:cs="宋体"/>
                <w:color w:val="auto"/>
                <w:highlight w:val="none"/>
                <w:u w:val="none"/>
                <w:shd w:val="clear" w:color="auto" w:fill="FFFFFF"/>
                <w:lang w:val="zh-CN" w:eastAsia="zh-CN"/>
              </w:rPr>
              <w:t>方案</w:t>
            </w:r>
            <w:r>
              <w:rPr>
                <w:rFonts w:hint="eastAsia" w:ascii="宋体" w:hAnsi="宋体" w:eastAsia="宋体" w:cs="宋体"/>
                <w:color w:val="auto"/>
                <w:highlight w:val="none"/>
                <w:u w:val="none"/>
                <w:shd w:val="clear" w:color="auto" w:fill="FFFFFF"/>
                <w:lang w:val="en-US" w:eastAsia="zh-CN"/>
              </w:rPr>
              <w:t>基本</w:t>
            </w:r>
            <w:r>
              <w:rPr>
                <w:rFonts w:hint="eastAsia" w:ascii="宋体" w:hAnsi="宋体" w:eastAsia="宋体" w:cs="宋体"/>
                <w:color w:val="auto"/>
                <w:highlight w:val="none"/>
                <w:u w:val="none"/>
                <w:shd w:val="clear" w:color="auto" w:fill="FFFFFF"/>
                <w:lang w:val="zh-CN" w:eastAsia="zh-CN"/>
              </w:rPr>
              <w:t>完整，细化</w:t>
            </w:r>
            <w:r>
              <w:rPr>
                <w:rFonts w:hint="eastAsia" w:ascii="宋体" w:hAnsi="宋体" w:eastAsia="宋体" w:cs="宋体"/>
                <w:color w:val="auto"/>
                <w:highlight w:val="none"/>
                <w:u w:val="none"/>
                <w:shd w:val="clear" w:color="auto" w:fill="FFFFFF"/>
                <w:lang w:val="en-US" w:eastAsia="zh-CN"/>
              </w:rPr>
              <w:t>的不完整</w:t>
            </w:r>
            <w:r>
              <w:rPr>
                <w:rFonts w:hint="eastAsia" w:ascii="宋体" w:hAnsi="宋体" w:eastAsia="宋体" w:cs="宋体"/>
                <w:color w:val="auto"/>
                <w:highlight w:val="none"/>
                <w:u w:val="none"/>
                <w:shd w:val="clear" w:color="auto" w:fill="FFFFFF"/>
                <w:lang w:val="zh-CN" w:eastAsia="zh-CN"/>
              </w:rPr>
              <w:t>，对需求把握不到位，可操作性</w:t>
            </w:r>
            <w:r>
              <w:rPr>
                <w:rFonts w:hint="eastAsia" w:ascii="宋体" w:hAnsi="宋体" w:eastAsia="宋体" w:cs="宋体"/>
                <w:color w:val="auto"/>
                <w:highlight w:val="none"/>
                <w:u w:val="none"/>
                <w:shd w:val="clear" w:color="auto" w:fill="FFFFFF"/>
                <w:lang w:val="en-US" w:eastAsia="zh-CN"/>
              </w:rPr>
              <w:t>一般</w:t>
            </w:r>
            <w:r>
              <w:rPr>
                <w:rFonts w:hint="eastAsia" w:ascii="宋体" w:hAnsi="宋体" w:eastAsia="宋体" w:cs="宋体"/>
                <w:color w:val="auto"/>
                <w:highlight w:val="none"/>
                <w:u w:val="none"/>
                <w:shd w:val="clear" w:color="auto" w:fill="FFFFFF"/>
                <w:lang w:val="zh-CN" w:eastAsia="zh-CN"/>
              </w:rPr>
              <w:t xml:space="preserve">，得 </w:t>
            </w:r>
            <w:r>
              <w:rPr>
                <w:rFonts w:hint="eastAsia" w:ascii="宋体" w:hAnsi="宋体" w:eastAsia="宋体" w:cs="宋体"/>
                <w:color w:val="auto"/>
                <w:highlight w:val="none"/>
                <w:u w:val="none"/>
                <w:shd w:val="clear" w:color="auto" w:fill="FFFFFF"/>
                <w:lang w:val="en-US" w:eastAsia="zh-CN"/>
              </w:rPr>
              <w:t>4</w:t>
            </w:r>
            <w:r>
              <w:rPr>
                <w:rFonts w:hint="eastAsia" w:ascii="宋体" w:hAnsi="宋体" w:eastAsia="宋体" w:cs="宋体"/>
                <w:color w:val="auto"/>
                <w:highlight w:val="none"/>
                <w:u w:val="none"/>
                <w:shd w:val="clear" w:color="auto" w:fill="FFFFFF"/>
                <w:lang w:val="zh-CN" w:eastAsia="zh-CN"/>
              </w:rPr>
              <w:t>分。</w:t>
            </w:r>
          </w:p>
          <w:p>
            <w:pPr>
              <w:autoSpaceDE w:val="0"/>
              <w:autoSpaceDN w:val="0"/>
              <w:spacing w:line="360" w:lineRule="auto"/>
              <w:rPr>
                <w:rFonts w:hint="eastAsia" w:ascii="宋体" w:hAnsi="宋体" w:eastAsia="宋体" w:cs="宋体"/>
                <w:color w:val="auto"/>
                <w:highlight w:val="none"/>
                <w:u w:val="none"/>
                <w:shd w:val="clear" w:color="auto" w:fill="FFFFFF"/>
                <w:lang w:val="zh-CN" w:eastAsia="zh-CN"/>
              </w:rPr>
            </w:pPr>
            <w:r>
              <w:rPr>
                <w:rFonts w:hint="eastAsia" w:ascii="宋体" w:hAnsi="宋体" w:eastAsia="宋体" w:cs="宋体"/>
                <w:color w:val="auto"/>
                <w:highlight w:val="none"/>
                <w:u w:val="none"/>
                <w:shd w:val="clear" w:color="auto" w:fill="FFFFFF"/>
                <w:lang w:val="zh-CN" w:eastAsia="zh-CN"/>
              </w:rPr>
              <w:t>方案</w:t>
            </w:r>
            <w:r>
              <w:rPr>
                <w:rFonts w:hint="eastAsia" w:ascii="宋体" w:hAnsi="宋体" w:eastAsia="宋体" w:cs="宋体"/>
                <w:color w:val="auto"/>
                <w:highlight w:val="none"/>
                <w:u w:val="none"/>
                <w:shd w:val="clear" w:color="auto" w:fill="FFFFFF"/>
                <w:lang w:val="en-US" w:eastAsia="zh-CN"/>
              </w:rPr>
              <w:t>不</w:t>
            </w:r>
            <w:r>
              <w:rPr>
                <w:rFonts w:hint="eastAsia" w:ascii="宋体" w:hAnsi="宋体" w:eastAsia="宋体" w:cs="宋体"/>
                <w:color w:val="auto"/>
                <w:highlight w:val="none"/>
                <w:u w:val="none"/>
                <w:shd w:val="clear" w:color="auto" w:fill="FFFFFF"/>
                <w:lang w:val="zh-CN" w:eastAsia="zh-CN"/>
              </w:rPr>
              <w:t xml:space="preserve">完整，可操作性较差，得 </w:t>
            </w:r>
            <w:r>
              <w:rPr>
                <w:rFonts w:hint="eastAsia" w:ascii="宋体" w:hAnsi="宋体" w:eastAsia="宋体" w:cs="宋体"/>
                <w:color w:val="auto"/>
                <w:highlight w:val="none"/>
                <w:u w:val="none"/>
                <w:shd w:val="clear" w:color="auto" w:fill="FFFFFF"/>
                <w:lang w:val="en-US" w:eastAsia="zh-CN"/>
              </w:rPr>
              <w:t>2</w:t>
            </w:r>
            <w:r>
              <w:rPr>
                <w:rFonts w:hint="eastAsia" w:ascii="宋体" w:hAnsi="宋体" w:eastAsia="宋体" w:cs="宋体"/>
                <w:color w:val="auto"/>
                <w:highlight w:val="none"/>
                <w:u w:val="none"/>
                <w:shd w:val="clear" w:color="auto" w:fill="FFFFFF"/>
                <w:lang w:val="zh-CN" w:eastAsia="zh-CN"/>
              </w:rPr>
              <w:t>分。</w:t>
            </w:r>
          </w:p>
          <w:p>
            <w:pPr>
              <w:autoSpaceDE w:val="0"/>
              <w:autoSpaceDN w:val="0"/>
              <w:spacing w:line="360" w:lineRule="auto"/>
              <w:rPr>
                <w:rFonts w:hint="eastAsia" w:ascii="宋体" w:hAnsi="宋体" w:cs="宋体"/>
                <w:color w:val="auto"/>
                <w:highlight w:val="none"/>
                <w:u w:val="none"/>
                <w:shd w:val="clear" w:color="auto" w:fill="FFFFFF"/>
                <w:lang w:val="zh-CN"/>
              </w:rPr>
            </w:pPr>
            <w:r>
              <w:rPr>
                <w:rFonts w:hint="eastAsia" w:ascii="宋体" w:hAnsi="宋体" w:eastAsia="宋体" w:cs="宋体"/>
                <w:color w:val="auto"/>
                <w:highlight w:val="none"/>
                <w:u w:val="none"/>
                <w:shd w:val="clear" w:color="auto" w:fill="FFFFFF"/>
                <w:lang w:val="zh-CN" w:eastAsia="zh-CN"/>
              </w:rPr>
              <w:t>没有方案的，不得分。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restart"/>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售后</w:t>
            </w:r>
          </w:p>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服务</w:t>
            </w:r>
          </w:p>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w:t>
            </w:r>
            <w:r>
              <w:rPr>
                <w:rFonts w:hint="eastAsia" w:ascii="宋体" w:hAnsi="宋体" w:cs="宋体"/>
                <w:color w:val="auto"/>
                <w:highlight w:val="none"/>
                <w:u w:val="none"/>
                <w:shd w:val="clear" w:color="auto" w:fill="FFFFFF"/>
                <w:lang w:val="en-US" w:eastAsia="zh-CN"/>
              </w:rPr>
              <w:t>8</w:t>
            </w:r>
            <w:r>
              <w:rPr>
                <w:rFonts w:hint="eastAsia" w:ascii="宋体" w:hAnsi="宋体" w:cs="宋体"/>
                <w:color w:val="auto"/>
                <w:highlight w:val="none"/>
                <w:u w:val="none"/>
                <w:shd w:val="clear" w:color="auto" w:fill="FFFFFF"/>
              </w:rPr>
              <w:t>分）</w:t>
            </w:r>
          </w:p>
        </w:tc>
        <w:tc>
          <w:tcPr>
            <w:tcW w:w="1226"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rPr>
              <w:t>售后及培训方案</w:t>
            </w:r>
          </w:p>
        </w:tc>
        <w:tc>
          <w:tcPr>
            <w:tcW w:w="1250" w:type="dxa"/>
            <w:vAlign w:val="center"/>
          </w:tcPr>
          <w:p>
            <w:pPr>
              <w:autoSpaceDE w:val="0"/>
              <w:autoSpaceDN w:val="0"/>
              <w:spacing w:line="360" w:lineRule="auto"/>
              <w:jc w:val="center"/>
              <w:rPr>
                <w:rFonts w:ascii="宋体" w:hAnsi="宋体" w:cs="宋体"/>
                <w:color w:val="auto"/>
                <w:highlight w:val="none"/>
                <w:u w:val="none"/>
                <w:shd w:val="clear" w:color="auto" w:fill="FFFFFF"/>
              </w:rPr>
            </w:pPr>
            <w:r>
              <w:rPr>
                <w:rFonts w:hint="eastAsia" w:ascii="宋体" w:hAnsi="宋体" w:cs="宋体"/>
                <w:color w:val="auto"/>
                <w:highlight w:val="none"/>
                <w:u w:val="none"/>
                <w:shd w:val="clear" w:color="auto" w:fill="FFFFFF"/>
                <w:lang w:val="en-US" w:eastAsia="zh-CN"/>
              </w:rPr>
              <w:t>5</w:t>
            </w:r>
            <w:r>
              <w:rPr>
                <w:rFonts w:hint="eastAsia" w:ascii="宋体" w:hAnsi="宋体" w:cs="宋体"/>
                <w:color w:val="auto"/>
                <w:highlight w:val="none"/>
                <w:u w:val="none"/>
                <w:shd w:val="clear" w:color="auto" w:fill="FFFFFF"/>
              </w:rPr>
              <w:t>分</w:t>
            </w:r>
          </w:p>
        </w:tc>
        <w:tc>
          <w:tcPr>
            <w:tcW w:w="4828" w:type="dxa"/>
            <w:vAlign w:val="center"/>
          </w:tcPr>
          <w:p>
            <w:pPr>
              <w:autoSpaceDE w:val="0"/>
              <w:autoSpaceDN w:val="0"/>
              <w:spacing w:line="360" w:lineRule="auto"/>
              <w:rPr>
                <w:rFonts w:hint="eastAsia"/>
                <w:color w:val="auto"/>
                <w:highlight w:val="none"/>
                <w:lang w:val="zh-CN" w:eastAsia="zh-CN"/>
              </w:rPr>
            </w:pPr>
            <w:r>
              <w:rPr>
                <w:rFonts w:hint="eastAsia"/>
                <w:color w:val="auto"/>
                <w:highlight w:val="none"/>
                <w:lang w:val="en-US" w:eastAsia="zh-CN"/>
              </w:rPr>
              <w:t>1、</w:t>
            </w:r>
            <w:r>
              <w:rPr>
                <w:rFonts w:hint="eastAsia"/>
                <w:color w:val="auto"/>
                <w:highlight w:val="none"/>
                <w:lang w:val="zh-CN"/>
              </w:rPr>
              <w:t>针对招标项目培训需求提供详尽的</w:t>
            </w:r>
            <w:r>
              <w:rPr>
                <w:rFonts w:hint="eastAsia"/>
                <w:color w:val="auto"/>
                <w:highlight w:val="none"/>
              </w:rPr>
              <w:t>售后及</w:t>
            </w:r>
            <w:r>
              <w:rPr>
                <w:rFonts w:hint="eastAsia"/>
                <w:color w:val="auto"/>
                <w:highlight w:val="none"/>
                <w:lang w:val="zh-CN"/>
              </w:rPr>
              <w:t>培训方案，包括</w:t>
            </w:r>
            <w:r>
              <w:rPr>
                <w:rFonts w:hint="eastAsia"/>
                <w:color w:val="auto"/>
                <w:highlight w:val="none"/>
              </w:rPr>
              <w:t>售后及</w:t>
            </w:r>
            <w:r>
              <w:rPr>
                <w:rFonts w:hint="eastAsia"/>
                <w:color w:val="auto"/>
                <w:highlight w:val="none"/>
                <w:lang w:val="zh-CN"/>
              </w:rPr>
              <w:t>培训计划、配备的专职</w:t>
            </w:r>
            <w:r>
              <w:rPr>
                <w:rFonts w:hint="eastAsia"/>
                <w:color w:val="auto"/>
                <w:highlight w:val="none"/>
              </w:rPr>
              <w:t>售后及</w:t>
            </w:r>
            <w:r>
              <w:rPr>
                <w:rFonts w:hint="eastAsia"/>
                <w:color w:val="auto"/>
                <w:highlight w:val="none"/>
                <w:lang w:val="zh-CN"/>
              </w:rPr>
              <w:t>培训人员或讲师、培训时效性、</w:t>
            </w:r>
            <w:r>
              <w:rPr>
                <w:rFonts w:hint="eastAsia"/>
                <w:color w:val="auto"/>
                <w:highlight w:val="none"/>
              </w:rPr>
              <w:t>售后及</w:t>
            </w:r>
            <w:r>
              <w:rPr>
                <w:rFonts w:hint="eastAsia"/>
                <w:color w:val="auto"/>
                <w:highlight w:val="none"/>
                <w:lang w:val="zh-CN"/>
              </w:rPr>
              <w:t>培训内容及</w:t>
            </w:r>
            <w:r>
              <w:rPr>
                <w:rFonts w:hint="eastAsia"/>
                <w:color w:val="auto"/>
                <w:highlight w:val="none"/>
              </w:rPr>
              <w:t>售后及</w:t>
            </w:r>
            <w:r>
              <w:rPr>
                <w:rFonts w:hint="eastAsia"/>
                <w:color w:val="auto"/>
                <w:highlight w:val="none"/>
                <w:lang w:val="zh-CN"/>
              </w:rPr>
              <w:t>培训结果等，根据</w:t>
            </w:r>
            <w:r>
              <w:rPr>
                <w:rFonts w:hint="eastAsia"/>
                <w:color w:val="auto"/>
                <w:highlight w:val="none"/>
              </w:rPr>
              <w:t>售后及</w:t>
            </w:r>
            <w:r>
              <w:rPr>
                <w:rFonts w:hint="eastAsia"/>
                <w:color w:val="auto"/>
                <w:highlight w:val="none"/>
                <w:lang w:val="zh-CN"/>
              </w:rPr>
              <w:t>培训方案的详尽情况、可执行度</w:t>
            </w:r>
            <w:r>
              <w:rPr>
                <w:rFonts w:hint="eastAsia"/>
                <w:color w:val="auto"/>
                <w:highlight w:val="none"/>
                <w:lang w:val="en-US" w:eastAsia="zh-CN"/>
              </w:rPr>
              <w:t>高，</w:t>
            </w:r>
            <w:r>
              <w:rPr>
                <w:rFonts w:hint="eastAsia"/>
                <w:color w:val="auto"/>
                <w:highlight w:val="none"/>
                <w:lang w:val="zh-CN" w:eastAsia="zh-CN"/>
              </w:rPr>
              <w:t>完全满足项目需求，得</w:t>
            </w:r>
            <w:r>
              <w:rPr>
                <w:rFonts w:hint="eastAsia"/>
                <w:color w:val="auto"/>
                <w:highlight w:val="none"/>
                <w:lang w:val="en-US" w:eastAsia="zh-CN"/>
              </w:rPr>
              <w:t>4</w:t>
            </w:r>
            <w:r>
              <w:rPr>
                <w:rFonts w:hint="eastAsia"/>
                <w:color w:val="auto"/>
                <w:highlight w:val="none"/>
                <w:lang w:val="zh-CN" w:eastAsia="zh-CN"/>
              </w:rPr>
              <w:t>分；</w:t>
            </w:r>
          </w:p>
          <w:p>
            <w:pPr>
              <w:autoSpaceDE w:val="0"/>
              <w:autoSpaceDN w:val="0"/>
              <w:spacing w:line="360" w:lineRule="auto"/>
              <w:rPr>
                <w:rFonts w:hint="eastAsia"/>
                <w:color w:val="auto"/>
                <w:highlight w:val="none"/>
                <w:lang w:val="zh-CN" w:eastAsia="zh-CN"/>
              </w:rPr>
            </w:pPr>
            <w:r>
              <w:rPr>
                <w:rFonts w:hint="eastAsia"/>
                <w:color w:val="auto"/>
                <w:highlight w:val="none"/>
                <w:lang w:val="zh-CN" w:eastAsia="zh-CN"/>
              </w:rPr>
              <w:t>能够结合项目特点制定有计划性</w:t>
            </w:r>
            <w:r>
              <w:rPr>
                <w:rFonts w:hint="eastAsia"/>
                <w:color w:val="auto"/>
                <w:highlight w:val="none"/>
                <w:lang w:val="en-US" w:eastAsia="zh-CN"/>
              </w:rPr>
              <w:t>的安排</w:t>
            </w:r>
            <w:r>
              <w:rPr>
                <w:rFonts w:hint="eastAsia"/>
                <w:color w:val="auto"/>
                <w:highlight w:val="none"/>
                <w:lang w:val="zh-CN" w:eastAsia="zh-CN"/>
              </w:rPr>
              <w:t>，基本满足项目需求，得</w:t>
            </w:r>
            <w:r>
              <w:rPr>
                <w:rFonts w:hint="eastAsia"/>
                <w:color w:val="auto"/>
                <w:highlight w:val="none"/>
                <w:lang w:val="en-US" w:eastAsia="zh-CN"/>
              </w:rPr>
              <w:t>3</w:t>
            </w:r>
            <w:r>
              <w:rPr>
                <w:rFonts w:hint="eastAsia"/>
                <w:color w:val="auto"/>
                <w:highlight w:val="none"/>
                <w:lang w:val="zh-CN" w:eastAsia="zh-CN"/>
              </w:rPr>
              <w:t>分；</w:t>
            </w:r>
          </w:p>
          <w:p>
            <w:pPr>
              <w:autoSpaceDE w:val="0"/>
              <w:autoSpaceDN w:val="0"/>
              <w:spacing w:line="360" w:lineRule="auto"/>
              <w:rPr>
                <w:rFonts w:hint="eastAsia"/>
                <w:color w:val="auto"/>
                <w:highlight w:val="none"/>
                <w:lang w:val="zh-CN" w:eastAsia="zh-CN"/>
              </w:rPr>
            </w:pPr>
            <w:r>
              <w:rPr>
                <w:rFonts w:hint="eastAsia"/>
                <w:color w:val="auto"/>
                <w:highlight w:val="none"/>
                <w:lang w:val="zh-CN" w:eastAsia="zh-CN"/>
              </w:rPr>
              <w:t>对</w:t>
            </w:r>
            <w:r>
              <w:rPr>
                <w:rFonts w:hint="eastAsia"/>
                <w:color w:val="auto"/>
                <w:highlight w:val="none"/>
              </w:rPr>
              <w:t>售后及</w:t>
            </w:r>
            <w:r>
              <w:rPr>
                <w:rFonts w:hint="eastAsia"/>
                <w:color w:val="auto"/>
                <w:highlight w:val="none"/>
                <w:lang w:val="zh-CN"/>
              </w:rPr>
              <w:t>培训</w:t>
            </w:r>
            <w:r>
              <w:rPr>
                <w:rFonts w:hint="eastAsia"/>
                <w:color w:val="auto"/>
                <w:highlight w:val="none"/>
                <w:lang w:val="zh-CN" w:eastAsia="zh-CN"/>
              </w:rPr>
              <w:t>方案编制全面、详尽、完善，得</w:t>
            </w:r>
            <w:r>
              <w:rPr>
                <w:rFonts w:hint="eastAsia"/>
                <w:color w:val="auto"/>
                <w:highlight w:val="none"/>
                <w:lang w:val="en-US" w:eastAsia="zh-CN"/>
              </w:rPr>
              <w:t>2</w:t>
            </w:r>
            <w:r>
              <w:rPr>
                <w:rFonts w:hint="eastAsia"/>
                <w:color w:val="auto"/>
                <w:highlight w:val="none"/>
                <w:lang w:val="zh-CN" w:eastAsia="zh-CN"/>
              </w:rPr>
              <w:t>分；</w:t>
            </w:r>
          </w:p>
          <w:p>
            <w:pPr>
              <w:autoSpaceDE w:val="0"/>
              <w:autoSpaceDN w:val="0"/>
              <w:spacing w:line="360" w:lineRule="auto"/>
              <w:rPr>
                <w:rFonts w:hint="eastAsia"/>
                <w:color w:val="auto"/>
                <w:highlight w:val="none"/>
                <w:lang w:val="zh-CN" w:eastAsia="zh-CN"/>
              </w:rPr>
            </w:pPr>
            <w:r>
              <w:rPr>
                <w:rFonts w:hint="eastAsia"/>
                <w:color w:val="auto"/>
                <w:highlight w:val="none"/>
                <w:lang w:val="zh-CN" w:eastAsia="zh-CN"/>
              </w:rPr>
              <w:t>对</w:t>
            </w:r>
            <w:r>
              <w:rPr>
                <w:rFonts w:hint="eastAsia"/>
                <w:color w:val="auto"/>
                <w:highlight w:val="none"/>
              </w:rPr>
              <w:t>售后及</w:t>
            </w:r>
            <w:r>
              <w:rPr>
                <w:rFonts w:hint="eastAsia"/>
                <w:color w:val="auto"/>
                <w:highlight w:val="none"/>
                <w:lang w:val="zh-CN"/>
              </w:rPr>
              <w:t>培训</w:t>
            </w:r>
            <w:r>
              <w:rPr>
                <w:rFonts w:hint="eastAsia"/>
                <w:color w:val="auto"/>
                <w:highlight w:val="none"/>
                <w:lang w:val="zh-CN" w:eastAsia="zh-CN"/>
              </w:rPr>
              <w:t>方案的编制内容不完善，操作性不强，得</w:t>
            </w:r>
            <w:r>
              <w:rPr>
                <w:rFonts w:hint="eastAsia"/>
                <w:color w:val="auto"/>
                <w:highlight w:val="none"/>
                <w:lang w:val="en-US" w:eastAsia="zh-CN"/>
              </w:rPr>
              <w:t>1</w:t>
            </w:r>
            <w:r>
              <w:rPr>
                <w:rFonts w:hint="eastAsia"/>
                <w:color w:val="auto"/>
                <w:highlight w:val="none"/>
                <w:lang w:val="zh-CN" w:eastAsia="zh-CN"/>
              </w:rPr>
              <w:t>分；</w:t>
            </w:r>
          </w:p>
          <w:p>
            <w:pPr>
              <w:autoSpaceDE w:val="0"/>
              <w:autoSpaceDN w:val="0"/>
              <w:spacing w:line="360" w:lineRule="auto"/>
              <w:rPr>
                <w:rFonts w:hint="eastAsia"/>
                <w:color w:val="auto"/>
                <w:highlight w:val="none"/>
                <w:lang w:val="en-US" w:eastAsia="zh-CN"/>
              </w:rPr>
            </w:pPr>
            <w:r>
              <w:rPr>
                <w:rFonts w:hint="eastAsia"/>
                <w:color w:val="auto"/>
                <w:highlight w:val="none"/>
                <w:lang w:val="en-US" w:eastAsia="zh-CN"/>
              </w:rPr>
              <w:t>未提供不得分。</w:t>
            </w:r>
          </w:p>
          <w:p>
            <w:pPr>
              <w:rPr>
                <w:rFonts w:hint="eastAsia"/>
                <w:color w:val="auto"/>
                <w:highlight w:val="none"/>
                <w:lang w:val="zh-CN"/>
              </w:rPr>
            </w:pPr>
            <w:r>
              <w:rPr>
                <w:rFonts w:hint="eastAsia" w:ascii="宋体" w:hAnsi="宋体"/>
                <w:color w:val="auto"/>
                <w:szCs w:val="21"/>
                <w:highlight w:val="none"/>
              </w:rPr>
              <w:t>2、提供售后服务相关承诺的，得1分；未提供不得分。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vAlign w:val="center"/>
          </w:tcPr>
          <w:p>
            <w:pPr>
              <w:autoSpaceDE w:val="0"/>
              <w:autoSpaceDN w:val="0"/>
              <w:spacing w:line="360" w:lineRule="auto"/>
              <w:rPr>
                <w:rFonts w:ascii="宋体" w:hAnsi="宋体" w:cs="宋体"/>
                <w:color w:val="auto"/>
                <w:highlight w:val="none"/>
                <w:u w:val="none"/>
                <w:shd w:val="clear" w:color="auto" w:fill="FFFFFF"/>
              </w:rPr>
            </w:pPr>
          </w:p>
        </w:tc>
        <w:tc>
          <w:tcPr>
            <w:tcW w:w="1226" w:type="dxa"/>
            <w:vAlign w:val="center"/>
          </w:tcPr>
          <w:p>
            <w:pPr>
              <w:autoSpaceDE w:val="0"/>
              <w:autoSpaceDN w:val="0"/>
              <w:adjustRightInd w:val="0"/>
              <w:spacing w:line="400" w:lineRule="exact"/>
              <w:jc w:val="center"/>
              <w:rPr>
                <w:rFonts w:ascii="宋体" w:hAnsi="Cambria" w:cs="宋体"/>
                <w:color w:val="auto"/>
                <w:kern w:val="0"/>
                <w:highlight w:val="none"/>
                <w:u w:val="none"/>
                <w:lang w:val="zh-CN"/>
              </w:rPr>
            </w:pPr>
            <w:r>
              <w:rPr>
                <w:rFonts w:hint="eastAsia" w:ascii="宋体" w:hAnsi="Cambria" w:cs="宋体"/>
                <w:color w:val="auto"/>
                <w:kern w:val="0"/>
                <w:highlight w:val="none"/>
                <w:u w:val="none"/>
                <w:lang w:val="zh-CN"/>
              </w:rPr>
              <w:t>本地化</w:t>
            </w:r>
          </w:p>
          <w:p>
            <w:pPr>
              <w:autoSpaceDE w:val="0"/>
              <w:autoSpaceDN w:val="0"/>
              <w:adjustRightInd w:val="0"/>
              <w:spacing w:line="400" w:lineRule="exact"/>
              <w:jc w:val="center"/>
              <w:rPr>
                <w:rFonts w:ascii="宋体" w:hAnsi="Cambria" w:cs="宋体"/>
                <w:color w:val="auto"/>
                <w:kern w:val="0"/>
                <w:highlight w:val="none"/>
                <w:u w:val="none"/>
              </w:rPr>
            </w:pPr>
            <w:r>
              <w:rPr>
                <w:rFonts w:hint="eastAsia" w:ascii="宋体" w:hAnsi="Cambria" w:cs="宋体"/>
                <w:color w:val="auto"/>
                <w:kern w:val="0"/>
                <w:highlight w:val="none"/>
                <w:u w:val="none"/>
                <w:lang w:val="zh-CN"/>
              </w:rPr>
              <w:t>服务能力</w:t>
            </w:r>
          </w:p>
        </w:tc>
        <w:tc>
          <w:tcPr>
            <w:tcW w:w="1250" w:type="dxa"/>
            <w:vAlign w:val="center"/>
          </w:tcPr>
          <w:p>
            <w:pPr>
              <w:autoSpaceDE w:val="0"/>
              <w:autoSpaceDN w:val="0"/>
              <w:adjustRightInd w:val="0"/>
              <w:spacing w:line="400" w:lineRule="exact"/>
              <w:jc w:val="center"/>
              <w:rPr>
                <w:rFonts w:ascii="宋体" w:hAnsi="Cambria" w:cs="宋体"/>
                <w:color w:val="auto"/>
                <w:kern w:val="0"/>
                <w:highlight w:val="none"/>
                <w:u w:val="none"/>
              </w:rPr>
            </w:pPr>
            <w:r>
              <w:rPr>
                <w:rFonts w:hint="eastAsia" w:ascii="宋体" w:hAnsi="Cambria" w:cs="宋体"/>
                <w:color w:val="auto"/>
                <w:kern w:val="0"/>
                <w:highlight w:val="none"/>
                <w:u w:val="none"/>
              </w:rPr>
              <w:t>3分</w:t>
            </w:r>
          </w:p>
        </w:tc>
        <w:tc>
          <w:tcPr>
            <w:tcW w:w="4828" w:type="dxa"/>
            <w:vAlign w:val="center"/>
          </w:tcPr>
          <w:p>
            <w:pPr>
              <w:autoSpaceDE w:val="0"/>
              <w:autoSpaceDN w:val="0"/>
              <w:spacing w:line="360" w:lineRule="auto"/>
              <w:rPr>
                <w:rFonts w:hint="eastAsia" w:ascii="宋体" w:hAnsi="宋体" w:cs="宋体"/>
                <w:color w:val="auto"/>
                <w:highlight w:val="none"/>
                <w:u w:val="none"/>
                <w:shd w:val="clear" w:color="auto" w:fill="FFFFFF"/>
                <w:lang w:val="zh-CN"/>
              </w:rPr>
            </w:pPr>
            <w:r>
              <w:rPr>
                <w:rFonts w:ascii="宋体" w:hAnsi="宋体" w:cs="宋体"/>
                <w:color w:val="auto"/>
                <w:highlight w:val="none"/>
                <w:u w:val="none"/>
              </w:rPr>
              <w:t>在</w:t>
            </w:r>
            <w:r>
              <w:rPr>
                <w:rFonts w:hint="eastAsia" w:ascii="宋体" w:hAnsi="宋体" w:cs="宋体"/>
                <w:color w:val="auto"/>
                <w:highlight w:val="none"/>
                <w:u w:val="none"/>
                <w:lang w:eastAsia="zh-CN"/>
              </w:rPr>
              <w:t>青海省</w:t>
            </w:r>
            <w:r>
              <w:rPr>
                <w:rFonts w:ascii="宋体" w:hAnsi="宋体" w:cs="宋体"/>
                <w:color w:val="auto"/>
                <w:highlight w:val="none"/>
                <w:u w:val="none"/>
              </w:rPr>
              <w:t>有服务机构的</w:t>
            </w:r>
            <w:r>
              <w:rPr>
                <w:rFonts w:hint="eastAsia" w:ascii="宋体" w:hAnsi="宋体" w:cs="宋体"/>
                <w:color w:val="auto"/>
                <w:highlight w:val="none"/>
                <w:u w:val="none"/>
              </w:rPr>
              <w:t>得</w:t>
            </w:r>
            <w:r>
              <w:rPr>
                <w:rFonts w:hint="eastAsia" w:ascii="宋体" w:hAnsi="宋体" w:cs="宋体"/>
                <w:color w:val="auto"/>
                <w:highlight w:val="none"/>
                <w:u w:val="none"/>
                <w:lang w:val="en-US" w:eastAsia="zh-CN"/>
              </w:rPr>
              <w:t>3</w:t>
            </w:r>
            <w:r>
              <w:rPr>
                <w:rFonts w:hint="eastAsia" w:ascii="宋体" w:hAnsi="宋体" w:cs="宋体"/>
                <w:color w:val="auto"/>
                <w:highlight w:val="none"/>
                <w:u w:val="none"/>
              </w:rPr>
              <w:t>分</w:t>
            </w:r>
            <w:r>
              <w:rPr>
                <w:rFonts w:ascii="宋体" w:hAnsi="宋体" w:cs="宋体"/>
                <w:color w:val="auto"/>
                <w:highlight w:val="none"/>
                <w:u w:val="none"/>
              </w:rPr>
              <w:t>（办事处需提供租房协议）</w:t>
            </w:r>
            <w:r>
              <w:rPr>
                <w:rFonts w:hint="eastAsia" w:ascii="宋体" w:hAnsi="宋体" w:cs="宋体"/>
                <w:color w:val="auto"/>
                <w:highlight w:val="none"/>
                <w:u w:val="none"/>
              </w:rPr>
              <w:t>，</w:t>
            </w:r>
            <w:r>
              <w:rPr>
                <w:rFonts w:ascii="宋体" w:hAnsi="宋体" w:cs="宋体"/>
                <w:color w:val="auto"/>
                <w:highlight w:val="none"/>
                <w:u w:val="none"/>
              </w:rPr>
              <w:t>有委托合作性服务机构协议</w:t>
            </w:r>
            <w:r>
              <w:rPr>
                <w:rFonts w:ascii="宋体" w:hAnsi="宋体" w:cs="宋体"/>
                <w:color w:val="auto"/>
                <w:spacing w:val="-1"/>
                <w:highlight w:val="none"/>
                <w:u w:val="none"/>
              </w:rPr>
              <w:t>的</w:t>
            </w:r>
            <w:r>
              <w:rPr>
                <w:rFonts w:hint="eastAsia" w:ascii="宋体" w:hAnsi="宋体" w:cs="宋体"/>
                <w:color w:val="auto"/>
                <w:spacing w:val="-1"/>
                <w:highlight w:val="none"/>
                <w:u w:val="none"/>
              </w:rPr>
              <w:t>得</w:t>
            </w:r>
            <w:r>
              <w:rPr>
                <w:rFonts w:hint="eastAsia" w:ascii="宋体" w:hAnsi="宋体" w:cs="宋体"/>
                <w:color w:val="auto"/>
                <w:spacing w:val="-1"/>
                <w:highlight w:val="none"/>
                <w:u w:val="none"/>
                <w:lang w:val="en-US" w:eastAsia="zh-CN"/>
              </w:rPr>
              <w:t>1</w:t>
            </w:r>
            <w:r>
              <w:rPr>
                <w:rFonts w:hint="eastAsia" w:ascii="宋体" w:hAnsi="宋体" w:cs="宋体"/>
                <w:color w:val="auto"/>
                <w:spacing w:val="-1"/>
                <w:highlight w:val="none"/>
                <w:u w:val="none"/>
              </w:rPr>
              <w:t>分</w:t>
            </w:r>
            <w:r>
              <w:rPr>
                <w:rFonts w:ascii="宋体" w:hAnsi="宋体" w:cs="宋体"/>
                <w:color w:val="auto"/>
                <w:highlight w:val="none"/>
                <w:u w:val="none"/>
              </w:rPr>
              <w:t>(需提供合作性服务机构的工商营业执照、税务登记证、组织机构代码证及售后服务承诺函</w:t>
            </w:r>
            <w:r>
              <w:rPr>
                <w:rFonts w:ascii="宋体" w:hAnsi="宋体" w:cs="宋体"/>
                <w:color w:val="auto"/>
                <w:spacing w:val="-1"/>
                <w:highlight w:val="none"/>
                <w:u w:val="none"/>
              </w:rPr>
              <w:t>)</w:t>
            </w:r>
            <w:r>
              <w:rPr>
                <w:rFonts w:ascii="宋体" w:hAnsi="宋体" w:cs="宋体"/>
                <w:color w:val="auto"/>
                <w:highlight w:val="none"/>
                <w:u w:val="none"/>
              </w:rPr>
              <w:t>。本地化服务能力应包括机构性</w:t>
            </w:r>
            <w:r>
              <w:rPr>
                <w:rFonts w:ascii="宋体" w:hAnsi="宋体" w:cs="宋体"/>
                <w:color w:val="auto"/>
                <w:spacing w:val="-1"/>
                <w:highlight w:val="none"/>
                <w:u w:val="none"/>
              </w:rPr>
              <w:t>质</w:t>
            </w:r>
            <w:r>
              <w:rPr>
                <w:rFonts w:ascii="宋体" w:hAnsi="宋体" w:cs="宋体"/>
                <w:color w:val="auto"/>
                <w:spacing w:val="-8"/>
                <w:highlight w:val="none"/>
                <w:u w:val="none"/>
              </w:rPr>
              <w:t>、</w:t>
            </w:r>
            <w:r>
              <w:rPr>
                <w:rFonts w:ascii="宋体" w:hAnsi="宋体" w:cs="宋体"/>
                <w:color w:val="auto"/>
                <w:highlight w:val="none"/>
                <w:u w:val="none"/>
              </w:rPr>
              <w:t>人员配置</w:t>
            </w:r>
            <w:r>
              <w:rPr>
                <w:rFonts w:ascii="宋体" w:hAnsi="宋体" w:cs="宋体"/>
                <w:color w:val="auto"/>
                <w:spacing w:val="-5"/>
                <w:highlight w:val="none"/>
                <w:u w:val="none"/>
              </w:rPr>
              <w:t>、</w:t>
            </w:r>
            <w:r>
              <w:rPr>
                <w:rFonts w:ascii="宋体" w:hAnsi="宋体" w:cs="宋体"/>
                <w:color w:val="auto"/>
                <w:highlight w:val="none"/>
                <w:u w:val="none"/>
              </w:rPr>
              <w:t>服务能</w:t>
            </w:r>
            <w:r>
              <w:rPr>
                <w:rFonts w:ascii="宋体" w:hAnsi="宋体" w:cs="宋体"/>
                <w:color w:val="auto"/>
                <w:spacing w:val="-1"/>
                <w:highlight w:val="none"/>
                <w:u w:val="none"/>
              </w:rPr>
              <w:t>力</w:t>
            </w:r>
            <w:r>
              <w:rPr>
                <w:rFonts w:ascii="宋体" w:hAnsi="宋体" w:cs="宋体"/>
                <w:color w:val="auto"/>
                <w:highlight w:val="none"/>
                <w:u w:val="none"/>
              </w:rPr>
              <w:t>、售后服务</w:t>
            </w:r>
            <w:r>
              <w:rPr>
                <w:rFonts w:hint="eastAsia" w:ascii="宋体" w:hAnsi="宋体" w:cs="宋体"/>
                <w:color w:val="auto"/>
                <w:highlight w:val="none"/>
                <w:u w:val="none"/>
              </w:rPr>
              <w:t>负责人</w:t>
            </w:r>
            <w:r>
              <w:rPr>
                <w:rFonts w:ascii="宋体" w:hAnsi="宋体" w:cs="宋体"/>
                <w:color w:val="auto"/>
                <w:highlight w:val="none"/>
                <w:u w:val="none"/>
              </w:rPr>
              <w:t>联系方式等</w:t>
            </w:r>
            <w:r>
              <w:rPr>
                <w:rFonts w:ascii="宋体" w:hAnsi="宋体" w:cs="宋体"/>
                <w:color w:val="auto"/>
                <w:spacing w:val="-1"/>
                <w:highlight w:val="none"/>
                <w:u w:val="none"/>
              </w:rPr>
              <w:t>（</w:t>
            </w:r>
            <w:r>
              <w:rPr>
                <w:rFonts w:ascii="宋体" w:hAnsi="宋体" w:cs="宋体"/>
                <w:color w:val="auto"/>
                <w:highlight w:val="none"/>
                <w:u w:val="none"/>
              </w:rPr>
              <w:t>需提供相关证明材料复印件）。没有不得分。</w:t>
            </w:r>
          </w:p>
        </w:tc>
      </w:tr>
      <w:bookmarkEnd w:id="110"/>
    </w:tbl>
    <w:p>
      <w:pPr>
        <w:autoSpaceDE w:val="0"/>
        <w:autoSpaceDN w:val="0"/>
        <w:spacing w:line="360" w:lineRule="auto"/>
        <w:ind w:firstLine="480" w:firstLineChars="200"/>
        <w:rPr>
          <w:rFonts w:ascii="宋体" w:cs="宋体"/>
          <w:color w:val="auto"/>
          <w:highlight w:val="none"/>
          <w:u w:val="none"/>
          <w:shd w:val="clear" w:color="auto" w:fill="FFFFFF"/>
        </w:rPr>
      </w:pPr>
      <w:r>
        <w:rPr>
          <w:rFonts w:ascii="宋体" w:hAnsi="宋体" w:cs="宋体"/>
          <w:color w:val="auto"/>
          <w:highlight w:val="none"/>
          <w:u w:val="none"/>
          <w:shd w:val="clear" w:color="auto" w:fill="FFFFFF"/>
        </w:rPr>
        <w:t xml:space="preserve">20.3 </w:t>
      </w:r>
      <w:r>
        <w:rPr>
          <w:rFonts w:hint="eastAsia" w:ascii="宋体" w:hAnsi="宋体" w:cs="宋体"/>
          <w:b/>
          <w:bCs/>
          <w:color w:val="auto"/>
          <w:kern w:val="0"/>
          <w:highlight w:val="none"/>
          <w:u w:val="none"/>
        </w:rPr>
        <w:t>采用综合评分法的，</w:t>
      </w:r>
      <w:r>
        <w:rPr>
          <w:rFonts w:hint="eastAsia" w:ascii="宋体" w:hAnsi="宋体" w:cs="宋体"/>
          <w:color w:val="auto"/>
          <w:highlight w:val="none"/>
          <w:u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color w:val="auto"/>
          <w:highlight w:val="none"/>
          <w:u w:val="none"/>
          <w:shd w:val="clear" w:color="auto" w:fill="FFFFFF"/>
        </w:rPr>
      </w:pPr>
      <w:r>
        <w:rPr>
          <w:rFonts w:ascii="宋体" w:hAnsi="宋体" w:cs="宋体"/>
          <w:color w:val="auto"/>
          <w:highlight w:val="none"/>
          <w:u w:val="none"/>
          <w:shd w:val="clear" w:color="auto" w:fill="FFFFFF"/>
        </w:rPr>
        <w:t xml:space="preserve">20.4 </w:t>
      </w:r>
      <w:r>
        <w:rPr>
          <w:rFonts w:hint="eastAsia" w:ascii="宋体" w:hAnsi="宋体" w:cs="宋体"/>
          <w:color w:val="auto"/>
          <w:highlight w:val="none"/>
          <w:u w:val="none"/>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w:t>
      </w:r>
      <w:r>
        <w:rPr>
          <w:rFonts w:ascii="宋体" w:hAnsi="宋体" w:cs="宋体"/>
          <w:color w:val="auto"/>
          <w:highlight w:val="none"/>
          <w:u w:val="none"/>
          <w:shd w:val="clear" w:color="auto" w:fill="FFFFFF"/>
        </w:rPr>
        <w:t>1</w:t>
      </w:r>
      <w:r>
        <w:rPr>
          <w:rFonts w:hint="eastAsia" w:ascii="宋体" w:hAnsi="宋体" w:cs="宋体"/>
          <w:color w:val="auto"/>
          <w:highlight w:val="none"/>
          <w:u w:val="none"/>
          <w:shd w:val="clear" w:color="auto" w:fill="FFFFFF"/>
        </w:rPr>
        <w:t>）分值汇总计算错误的；</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w:t>
      </w:r>
      <w:r>
        <w:rPr>
          <w:rFonts w:ascii="宋体" w:hAnsi="宋体" w:cs="宋体"/>
          <w:color w:val="auto"/>
          <w:highlight w:val="none"/>
          <w:u w:val="none"/>
          <w:shd w:val="clear" w:color="auto" w:fill="FFFFFF"/>
        </w:rPr>
        <w:t>2</w:t>
      </w:r>
      <w:r>
        <w:rPr>
          <w:rFonts w:hint="eastAsia" w:ascii="宋体" w:hAnsi="宋体" w:cs="宋体"/>
          <w:color w:val="auto"/>
          <w:highlight w:val="none"/>
          <w:u w:val="none"/>
          <w:shd w:val="clear" w:color="auto" w:fill="FFFFFF"/>
        </w:rPr>
        <w:t>）分项评分超出评分标准范围的；</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w:t>
      </w:r>
      <w:r>
        <w:rPr>
          <w:rFonts w:ascii="宋体" w:hAnsi="宋体" w:cs="宋体"/>
          <w:color w:val="auto"/>
          <w:highlight w:val="none"/>
          <w:u w:val="none"/>
          <w:shd w:val="clear" w:color="auto" w:fill="FFFFFF"/>
        </w:rPr>
        <w:t>3</w:t>
      </w:r>
      <w:r>
        <w:rPr>
          <w:rFonts w:hint="eastAsia" w:ascii="宋体" w:hAnsi="宋体" w:cs="宋体"/>
          <w:color w:val="auto"/>
          <w:highlight w:val="none"/>
          <w:u w:val="none"/>
          <w:shd w:val="clear" w:color="auto" w:fill="FFFFFF"/>
        </w:rPr>
        <w:t>）评标委员会成员对客观评审因素评分不一致的；</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w:t>
      </w:r>
      <w:r>
        <w:rPr>
          <w:rFonts w:ascii="宋体" w:hAnsi="宋体" w:cs="宋体"/>
          <w:color w:val="auto"/>
          <w:highlight w:val="none"/>
          <w:u w:val="none"/>
          <w:shd w:val="clear" w:color="auto" w:fill="FFFFFF"/>
        </w:rPr>
        <w:t>4</w:t>
      </w:r>
      <w:r>
        <w:rPr>
          <w:rFonts w:hint="eastAsia" w:ascii="宋体" w:hAnsi="宋体" w:cs="宋体"/>
          <w:color w:val="auto"/>
          <w:highlight w:val="none"/>
          <w:u w:val="none"/>
          <w:shd w:val="clear" w:color="auto" w:fill="FFFFFF"/>
        </w:rPr>
        <w:t>）经评标委员会认定评分畸高、畸低的。</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shd w:val="clear" w:color="auto" w:fill="FFFFFF"/>
        </w:rPr>
        <w:t>投标人对以上情形提出质疑的，采购代理机构可以组织原评标委员会进行重新评审，重新评审改变评标结果的，应当书面报告本级财政部门。</w:t>
      </w:r>
    </w:p>
    <w:p>
      <w:pPr>
        <w:pStyle w:val="29"/>
        <w:spacing w:before="0" w:after="0" w:line="360" w:lineRule="auto"/>
        <w:rPr>
          <w:rFonts w:ascii="宋体" w:cs="宋体"/>
          <w:color w:val="auto"/>
          <w:highlight w:val="none"/>
          <w:u w:val="none"/>
          <w:lang w:val="zh-CN"/>
        </w:rPr>
      </w:pPr>
      <w:bookmarkStart w:id="111" w:name="_Toc5841"/>
      <w:r>
        <w:rPr>
          <w:rFonts w:hint="eastAsia" w:ascii="宋体" w:hAnsi="宋体" w:cs="宋体"/>
          <w:color w:val="auto"/>
          <w:highlight w:val="none"/>
          <w:u w:val="none"/>
          <w:lang w:val="zh-CN"/>
        </w:rPr>
        <w:t>八、中标</w:t>
      </w:r>
      <w:bookmarkEnd w:id="111"/>
    </w:p>
    <w:p>
      <w:pPr>
        <w:pStyle w:val="29"/>
        <w:spacing w:before="0" w:after="0" w:line="360" w:lineRule="auto"/>
        <w:jc w:val="left"/>
        <w:rPr>
          <w:rFonts w:ascii="宋体" w:cs="宋体"/>
          <w:color w:val="auto"/>
          <w:highlight w:val="none"/>
          <w:u w:val="none"/>
          <w:lang w:val="zh-CN"/>
        </w:rPr>
      </w:pPr>
      <w:bookmarkStart w:id="112" w:name="_Toc27084"/>
      <w:r>
        <w:rPr>
          <w:rFonts w:ascii="宋体" w:hAnsi="宋体" w:cs="宋体"/>
          <w:color w:val="auto"/>
          <w:sz w:val="28"/>
          <w:szCs w:val="28"/>
          <w:highlight w:val="none"/>
          <w:u w:val="none"/>
          <w:lang w:val="zh-CN"/>
        </w:rPr>
        <w:t>2</w:t>
      </w:r>
      <w:r>
        <w:rPr>
          <w:rFonts w:ascii="宋体" w:hAnsi="宋体" w:cs="宋体"/>
          <w:color w:val="auto"/>
          <w:sz w:val="28"/>
          <w:szCs w:val="28"/>
          <w:highlight w:val="none"/>
          <w:u w:val="none"/>
        </w:rPr>
        <w:t>1</w:t>
      </w:r>
      <w:r>
        <w:rPr>
          <w:rFonts w:ascii="宋体" w:cs="宋体"/>
          <w:color w:val="auto"/>
          <w:sz w:val="28"/>
          <w:szCs w:val="28"/>
          <w:highlight w:val="none"/>
          <w:u w:val="none"/>
          <w:lang w:val="zh-CN"/>
        </w:rPr>
        <w:t>.</w:t>
      </w:r>
      <w:r>
        <w:rPr>
          <w:rFonts w:hint="eastAsia" w:ascii="宋体" w:hAnsi="宋体" w:cs="宋体"/>
          <w:color w:val="auto"/>
          <w:sz w:val="28"/>
          <w:szCs w:val="28"/>
          <w:highlight w:val="none"/>
          <w:u w:val="none"/>
          <w:lang w:val="zh-CN"/>
        </w:rPr>
        <w:t>推荐并确定中标人</w:t>
      </w:r>
      <w:bookmarkEnd w:id="112"/>
    </w:p>
    <w:p>
      <w:pPr>
        <w:autoSpaceDE w:val="0"/>
        <w:autoSpaceDN w:val="0"/>
        <w:spacing w:line="360" w:lineRule="auto"/>
        <w:ind w:firstLine="480" w:firstLineChars="200"/>
        <w:rPr>
          <w:rFonts w:ascii="宋体" w:cs="宋体"/>
          <w:color w:val="auto"/>
          <w:highlight w:val="none"/>
          <w:u w:val="none"/>
        </w:rPr>
      </w:pPr>
      <w:r>
        <w:rPr>
          <w:rFonts w:ascii="宋体" w:hAnsi="宋体" w:cs="宋体"/>
          <w:color w:val="auto"/>
          <w:highlight w:val="none"/>
          <w:u w:val="none"/>
        </w:rPr>
        <w:t xml:space="preserve">21.1 </w:t>
      </w:r>
      <w:r>
        <w:rPr>
          <w:rFonts w:hint="eastAsia" w:ascii="宋体" w:hAnsi="宋体" w:cs="宋体"/>
          <w:color w:val="auto"/>
          <w:highlight w:val="none"/>
          <w:u w:val="none"/>
        </w:rPr>
        <w:t>采购代理机构应当在评标结束后</w:t>
      </w:r>
      <w:r>
        <w:rPr>
          <w:rFonts w:ascii="宋体" w:hAnsi="宋体" w:cs="宋体"/>
          <w:color w:val="auto"/>
          <w:highlight w:val="none"/>
          <w:u w:val="none"/>
        </w:rPr>
        <w:t>2</w:t>
      </w:r>
      <w:r>
        <w:rPr>
          <w:rFonts w:hint="eastAsia" w:ascii="宋体" w:hAnsi="宋体" w:cs="宋体"/>
          <w:color w:val="auto"/>
          <w:highlight w:val="none"/>
          <w:u w:val="none"/>
        </w:rPr>
        <w:t>个工作日内将评标报告送采购人。采购人应当自收到评标报告之日起</w:t>
      </w:r>
      <w:r>
        <w:rPr>
          <w:rFonts w:ascii="宋体" w:hAnsi="宋体" w:cs="宋体"/>
          <w:color w:val="auto"/>
          <w:highlight w:val="none"/>
          <w:u w:val="none"/>
        </w:rPr>
        <w:t>5</w:t>
      </w:r>
      <w:r>
        <w:rPr>
          <w:rFonts w:hint="eastAsia" w:ascii="宋体" w:hAnsi="宋体" w:cs="宋体"/>
          <w:color w:val="auto"/>
          <w:highlight w:val="none"/>
          <w:u w:val="none"/>
        </w:rPr>
        <w:t>个工作日内，在评标报告确定的中标候选人名单中按顺序确定中标人。中标候选人并列的，由采购人委托评标委员会按照报价最低的方式确定中标人。</w:t>
      </w:r>
    </w:p>
    <w:p>
      <w:pPr>
        <w:autoSpaceDE w:val="0"/>
        <w:autoSpaceDN w:val="0"/>
        <w:spacing w:line="360" w:lineRule="auto"/>
        <w:ind w:firstLine="480" w:firstLineChars="200"/>
        <w:rPr>
          <w:rFonts w:ascii="宋体" w:cs="宋体"/>
          <w:color w:val="auto"/>
          <w:highlight w:val="none"/>
          <w:u w:val="none"/>
        </w:rPr>
      </w:pPr>
      <w:r>
        <w:rPr>
          <w:rFonts w:ascii="宋体" w:hAnsi="宋体" w:cs="宋体"/>
          <w:color w:val="auto"/>
          <w:highlight w:val="none"/>
          <w:u w:val="none"/>
        </w:rPr>
        <w:t xml:space="preserve">21.2 </w:t>
      </w:r>
      <w:r>
        <w:rPr>
          <w:rFonts w:hint="eastAsia" w:ascii="宋体" w:hAnsi="宋体" w:cs="宋体"/>
          <w:color w:val="auto"/>
          <w:highlight w:val="none"/>
          <w:u w:val="none"/>
        </w:rPr>
        <w:t>采购人自行组织招标的，应当在评标结束后</w:t>
      </w:r>
      <w:r>
        <w:rPr>
          <w:rFonts w:ascii="宋体" w:hAnsi="宋体" w:cs="宋体"/>
          <w:color w:val="auto"/>
          <w:highlight w:val="none"/>
          <w:u w:val="none"/>
        </w:rPr>
        <w:t>5</w:t>
      </w:r>
      <w:r>
        <w:rPr>
          <w:rFonts w:hint="eastAsia" w:ascii="宋体" w:hAnsi="宋体" w:cs="宋体"/>
          <w:color w:val="auto"/>
          <w:highlight w:val="none"/>
          <w:u w:val="none"/>
        </w:rPr>
        <w:t>个工作日内确定中标人。</w:t>
      </w:r>
    </w:p>
    <w:p>
      <w:pPr>
        <w:autoSpaceDE w:val="0"/>
        <w:autoSpaceDN w:val="0"/>
        <w:spacing w:line="360" w:lineRule="auto"/>
        <w:ind w:firstLine="480" w:firstLineChars="200"/>
        <w:rPr>
          <w:rFonts w:ascii="宋体" w:cs="宋体"/>
          <w:color w:val="auto"/>
          <w:highlight w:val="none"/>
          <w:u w:val="none"/>
        </w:rPr>
      </w:pPr>
      <w:r>
        <w:rPr>
          <w:rFonts w:ascii="宋体" w:hAnsi="宋体" w:cs="宋体"/>
          <w:color w:val="auto"/>
          <w:highlight w:val="none"/>
          <w:u w:val="none"/>
        </w:rPr>
        <w:t xml:space="preserve">21.3 </w:t>
      </w:r>
      <w:r>
        <w:rPr>
          <w:rFonts w:hint="eastAsia" w:ascii="宋体" w:hAnsi="宋体" w:cs="宋体"/>
          <w:color w:val="auto"/>
          <w:highlight w:val="none"/>
          <w:u w:val="none"/>
        </w:rPr>
        <w:t>采购人在收到评标报告</w:t>
      </w:r>
      <w:r>
        <w:rPr>
          <w:rFonts w:ascii="宋体" w:hAnsi="宋体" w:cs="宋体"/>
          <w:color w:val="auto"/>
          <w:highlight w:val="none"/>
          <w:u w:val="none"/>
        </w:rPr>
        <w:t>5</w:t>
      </w:r>
      <w:r>
        <w:rPr>
          <w:rFonts w:hint="eastAsia" w:ascii="宋体" w:hAnsi="宋体" w:cs="宋体"/>
          <w:color w:val="auto"/>
          <w:highlight w:val="none"/>
          <w:u w:val="none"/>
        </w:rPr>
        <w:t>个工作日内未按评标报告推荐的中标候选人顺序确定中标人，又不能说明合法理由的，视同按评标报告推荐的顺序确定排名第一的中标候选人为中标人。</w:t>
      </w:r>
    </w:p>
    <w:p>
      <w:pPr>
        <w:pStyle w:val="29"/>
        <w:spacing w:before="0" w:after="0" w:line="360" w:lineRule="auto"/>
        <w:jc w:val="left"/>
        <w:rPr>
          <w:rFonts w:ascii="宋体" w:cs="宋体"/>
          <w:color w:val="auto"/>
          <w:highlight w:val="none"/>
          <w:u w:val="none"/>
          <w:lang w:val="zh-CN"/>
        </w:rPr>
      </w:pPr>
      <w:bookmarkStart w:id="113" w:name="_Toc9442"/>
      <w:r>
        <w:rPr>
          <w:rFonts w:ascii="宋体" w:hAnsi="宋体" w:cs="宋体"/>
          <w:color w:val="auto"/>
          <w:sz w:val="28"/>
          <w:szCs w:val="28"/>
          <w:highlight w:val="none"/>
          <w:u w:val="none"/>
          <w:lang w:val="zh-CN"/>
        </w:rPr>
        <w:t>2</w:t>
      </w:r>
      <w:r>
        <w:rPr>
          <w:rFonts w:ascii="宋体" w:hAnsi="宋体" w:cs="宋体"/>
          <w:color w:val="auto"/>
          <w:sz w:val="28"/>
          <w:szCs w:val="28"/>
          <w:highlight w:val="none"/>
          <w:u w:val="none"/>
        </w:rPr>
        <w:t>2</w:t>
      </w:r>
      <w:r>
        <w:rPr>
          <w:rFonts w:ascii="宋体" w:cs="宋体"/>
          <w:color w:val="auto"/>
          <w:sz w:val="28"/>
          <w:szCs w:val="28"/>
          <w:highlight w:val="none"/>
          <w:u w:val="none"/>
          <w:lang w:val="zh-CN"/>
        </w:rPr>
        <w:t>.</w:t>
      </w:r>
      <w:r>
        <w:rPr>
          <w:rFonts w:hint="eastAsia" w:ascii="宋体" w:hAnsi="宋体" w:cs="宋体"/>
          <w:color w:val="auto"/>
          <w:sz w:val="28"/>
          <w:szCs w:val="28"/>
          <w:highlight w:val="none"/>
          <w:u w:val="none"/>
          <w:lang w:val="zh-CN"/>
        </w:rPr>
        <w:t>中标通知</w:t>
      </w:r>
      <w:bookmarkEnd w:id="113"/>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22.1 </w:t>
      </w:r>
      <w:r>
        <w:rPr>
          <w:rFonts w:hint="eastAsia" w:ascii="宋体" w:hAnsi="宋体" w:cs="宋体"/>
          <w:color w:val="auto"/>
          <w:kern w:val="0"/>
          <w:highlight w:val="none"/>
          <w:u w:val="none"/>
        </w:rPr>
        <w:t>采购代理机构应当自中标人确定之日起</w:t>
      </w:r>
      <w:r>
        <w:rPr>
          <w:rFonts w:ascii="宋体" w:hAnsi="宋体" w:cs="宋体"/>
          <w:color w:val="auto"/>
          <w:kern w:val="0"/>
          <w:highlight w:val="none"/>
          <w:u w:val="none"/>
        </w:rPr>
        <w:t>2</w:t>
      </w:r>
      <w:r>
        <w:rPr>
          <w:rFonts w:hint="eastAsia" w:ascii="宋体" w:hAnsi="宋体" w:cs="宋体"/>
          <w:color w:val="auto"/>
          <w:kern w:val="0"/>
          <w:highlight w:val="none"/>
          <w:u w:val="none"/>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22.2 </w:t>
      </w:r>
      <w:r>
        <w:rPr>
          <w:rFonts w:hint="eastAsia" w:ascii="宋体" w:hAnsi="宋体" w:cs="宋体"/>
          <w:color w:val="auto"/>
          <w:kern w:val="0"/>
          <w:highlight w:val="none"/>
          <w:u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22.3 </w:t>
      </w:r>
      <w:r>
        <w:rPr>
          <w:rFonts w:hint="eastAsia" w:ascii="宋体" w:hAnsi="宋体" w:cs="宋体"/>
          <w:color w:val="auto"/>
          <w:kern w:val="0"/>
          <w:highlight w:val="none"/>
          <w:u w:val="none"/>
        </w:rPr>
        <w:t>中标公告期限为</w:t>
      </w:r>
      <w:r>
        <w:rPr>
          <w:rFonts w:ascii="宋体" w:hAnsi="宋体" w:cs="宋体"/>
          <w:color w:val="auto"/>
          <w:kern w:val="0"/>
          <w:highlight w:val="none"/>
          <w:u w:val="none"/>
        </w:rPr>
        <w:t>1</w:t>
      </w:r>
      <w:r>
        <w:rPr>
          <w:rFonts w:hint="eastAsia" w:ascii="宋体" w:hAnsi="宋体" w:cs="宋体"/>
          <w:color w:val="auto"/>
          <w:kern w:val="0"/>
          <w:highlight w:val="none"/>
          <w:u w:val="none"/>
        </w:rPr>
        <w:t>个工作日。</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22.4 </w:t>
      </w:r>
      <w:r>
        <w:rPr>
          <w:rFonts w:hint="eastAsia" w:ascii="宋体" w:hAnsi="宋体" w:cs="宋体"/>
          <w:color w:val="auto"/>
          <w:kern w:val="0"/>
          <w:highlight w:val="none"/>
          <w:u w:val="none"/>
        </w:rPr>
        <w:t>在公告中标结果的同时，</w:t>
      </w:r>
      <w:r>
        <w:rPr>
          <w:rFonts w:hint="eastAsia" w:ascii="宋体" w:hAnsi="宋体" w:cs="宋体"/>
          <w:color w:val="auto"/>
          <w:highlight w:val="none"/>
          <w:u w:val="none"/>
          <w:shd w:val="clear" w:color="auto" w:fill="FFFFFF"/>
        </w:rPr>
        <w:t>采购代理机构</w:t>
      </w:r>
      <w:r>
        <w:rPr>
          <w:rFonts w:hint="eastAsia" w:ascii="宋体" w:hAnsi="宋体" w:cs="宋体"/>
          <w:color w:val="auto"/>
          <w:kern w:val="0"/>
          <w:highlight w:val="none"/>
          <w:u w:val="none"/>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22.5 </w:t>
      </w:r>
      <w:r>
        <w:rPr>
          <w:rFonts w:hint="eastAsia" w:ascii="宋体" w:hAnsi="宋体" w:cs="宋体"/>
          <w:color w:val="auto"/>
          <w:kern w:val="0"/>
          <w:highlight w:val="none"/>
          <w:u w:val="none"/>
        </w:rPr>
        <w:t>中标通知书发出后，采购人不得违法改变中标结果，中标人无正当理由不得放弃中标。</w:t>
      </w:r>
    </w:p>
    <w:p>
      <w:pPr>
        <w:pStyle w:val="29"/>
        <w:spacing w:before="0" w:after="0" w:line="360" w:lineRule="auto"/>
        <w:rPr>
          <w:rFonts w:ascii="宋体" w:cs="宋体"/>
          <w:color w:val="auto"/>
          <w:highlight w:val="none"/>
          <w:u w:val="none"/>
          <w:lang w:val="zh-CN"/>
        </w:rPr>
      </w:pPr>
      <w:bookmarkStart w:id="114" w:name="_Toc2491"/>
      <w:r>
        <w:rPr>
          <w:rFonts w:hint="eastAsia" w:ascii="宋体" w:hAnsi="宋体" w:cs="宋体"/>
          <w:color w:val="auto"/>
          <w:highlight w:val="none"/>
          <w:u w:val="none"/>
          <w:lang w:val="zh-CN"/>
        </w:rPr>
        <w:t>九、授予合同</w:t>
      </w:r>
      <w:bookmarkEnd w:id="114"/>
    </w:p>
    <w:p>
      <w:pPr>
        <w:pStyle w:val="29"/>
        <w:spacing w:before="0" w:after="0" w:line="360" w:lineRule="auto"/>
        <w:jc w:val="left"/>
        <w:rPr>
          <w:rFonts w:ascii="宋体" w:cs="宋体"/>
          <w:color w:val="auto"/>
          <w:kern w:val="0"/>
          <w:sz w:val="24"/>
          <w:highlight w:val="none"/>
          <w:u w:val="none"/>
        </w:rPr>
      </w:pPr>
      <w:bookmarkStart w:id="115" w:name="_Toc16974"/>
      <w:r>
        <w:rPr>
          <w:rFonts w:ascii="宋体" w:hAnsi="宋体" w:cs="宋体"/>
          <w:color w:val="auto"/>
          <w:sz w:val="28"/>
          <w:szCs w:val="28"/>
          <w:highlight w:val="none"/>
          <w:u w:val="none"/>
          <w:lang w:val="zh-CN"/>
        </w:rPr>
        <w:t>2</w:t>
      </w:r>
      <w:r>
        <w:rPr>
          <w:rFonts w:ascii="宋体" w:hAnsi="宋体" w:cs="宋体"/>
          <w:color w:val="auto"/>
          <w:sz w:val="28"/>
          <w:szCs w:val="28"/>
          <w:highlight w:val="none"/>
          <w:u w:val="none"/>
        </w:rPr>
        <w:t>3</w:t>
      </w:r>
      <w:r>
        <w:rPr>
          <w:rFonts w:ascii="宋体" w:cs="宋体"/>
          <w:color w:val="auto"/>
          <w:sz w:val="28"/>
          <w:szCs w:val="28"/>
          <w:highlight w:val="none"/>
          <w:u w:val="none"/>
          <w:lang w:val="zh-CN"/>
        </w:rPr>
        <w:t>.</w:t>
      </w:r>
      <w:r>
        <w:rPr>
          <w:rFonts w:hint="eastAsia" w:ascii="宋体" w:hAnsi="宋体" w:cs="宋体"/>
          <w:color w:val="auto"/>
          <w:sz w:val="28"/>
          <w:szCs w:val="28"/>
          <w:highlight w:val="none"/>
          <w:u w:val="none"/>
          <w:lang w:val="zh-CN"/>
        </w:rPr>
        <w:t>签订合同</w:t>
      </w:r>
      <w:bookmarkEnd w:id="115"/>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lang w:val="zh-CN"/>
        </w:rPr>
        <w:t>2</w:t>
      </w:r>
      <w:r>
        <w:rPr>
          <w:rFonts w:ascii="宋体" w:hAnsi="宋体" w:cs="宋体"/>
          <w:color w:val="auto"/>
          <w:kern w:val="0"/>
          <w:highlight w:val="none"/>
          <w:u w:val="none"/>
        </w:rPr>
        <w:t>3</w:t>
      </w:r>
      <w:r>
        <w:rPr>
          <w:rFonts w:ascii="宋体" w:hAnsi="宋体" w:cs="宋体"/>
          <w:color w:val="auto"/>
          <w:kern w:val="0"/>
          <w:highlight w:val="none"/>
          <w:u w:val="none"/>
          <w:lang w:val="zh-CN"/>
        </w:rPr>
        <w:t>.1</w:t>
      </w:r>
      <w:r>
        <w:rPr>
          <w:rFonts w:ascii="宋体" w:hAnsi="宋体" w:cs="宋体"/>
          <w:color w:val="auto"/>
          <w:kern w:val="0"/>
          <w:highlight w:val="none"/>
          <w:u w:val="none"/>
        </w:rPr>
        <w:t xml:space="preserve"> </w:t>
      </w:r>
      <w:r>
        <w:rPr>
          <w:rFonts w:hint="eastAsia" w:ascii="宋体" w:hAnsi="宋体" w:cs="宋体"/>
          <w:color w:val="auto"/>
          <w:kern w:val="0"/>
          <w:highlight w:val="none"/>
          <w:u w:val="none"/>
        </w:rPr>
        <w:t>采购人应当自中标通知书发出之日起</w:t>
      </w:r>
      <w:r>
        <w:rPr>
          <w:rFonts w:ascii="宋体" w:hAnsi="宋体" w:cs="宋体"/>
          <w:color w:val="auto"/>
          <w:kern w:val="0"/>
          <w:highlight w:val="none"/>
          <w:u w:val="none"/>
        </w:rPr>
        <w:t>30</w:t>
      </w:r>
      <w:r>
        <w:rPr>
          <w:rFonts w:hint="eastAsia" w:ascii="宋体" w:hAnsi="宋体" w:cs="宋体"/>
          <w:color w:val="auto"/>
          <w:kern w:val="0"/>
          <w:highlight w:val="none"/>
          <w:u w:val="none"/>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采购人不得向中标人提出任何不合理的要求作为签订合同的条件。</w:t>
      </w:r>
    </w:p>
    <w:p>
      <w:pPr>
        <w:autoSpaceDE w:val="0"/>
        <w:autoSpaceDN w:val="0"/>
        <w:spacing w:line="360" w:lineRule="auto"/>
        <w:ind w:firstLine="480" w:firstLineChars="200"/>
        <w:rPr>
          <w:rFonts w:ascii="宋体" w:cs="宋体"/>
          <w:color w:val="auto"/>
          <w:kern w:val="0"/>
          <w:highlight w:val="none"/>
          <w:u w:val="none"/>
          <w:lang w:val="zh-CN"/>
        </w:rPr>
      </w:pPr>
      <w:r>
        <w:rPr>
          <w:rFonts w:ascii="宋体" w:hAnsi="宋体" w:cs="宋体"/>
          <w:color w:val="auto"/>
          <w:kern w:val="0"/>
          <w:highlight w:val="none"/>
          <w:u w:val="none"/>
          <w:lang w:val="zh-CN"/>
        </w:rPr>
        <w:t>2</w:t>
      </w:r>
      <w:r>
        <w:rPr>
          <w:rFonts w:ascii="宋体" w:hAnsi="宋体" w:cs="宋体"/>
          <w:color w:val="auto"/>
          <w:kern w:val="0"/>
          <w:highlight w:val="none"/>
          <w:u w:val="none"/>
        </w:rPr>
        <w:t>3</w:t>
      </w:r>
      <w:r>
        <w:rPr>
          <w:rFonts w:ascii="宋体" w:cs="宋体"/>
          <w:color w:val="auto"/>
          <w:kern w:val="0"/>
          <w:highlight w:val="none"/>
          <w:u w:val="none"/>
          <w:lang w:val="zh-CN"/>
        </w:rPr>
        <w:t>.</w:t>
      </w:r>
      <w:r>
        <w:rPr>
          <w:rFonts w:ascii="宋体" w:hAnsi="宋体" w:cs="宋体"/>
          <w:color w:val="auto"/>
          <w:kern w:val="0"/>
          <w:highlight w:val="none"/>
          <w:u w:val="none"/>
        </w:rPr>
        <w:t xml:space="preserve">2 </w:t>
      </w:r>
      <w:r>
        <w:rPr>
          <w:rFonts w:hint="eastAsia" w:ascii="宋体" w:hAnsi="宋体" w:cs="宋体"/>
          <w:color w:val="auto"/>
          <w:kern w:val="0"/>
          <w:highlight w:val="none"/>
          <w:u w:val="none"/>
        </w:rPr>
        <w:t>中标人拒绝与采购人签订合同的</w:t>
      </w:r>
      <w:r>
        <w:rPr>
          <w:rFonts w:hint="eastAsia" w:ascii="宋体" w:hAnsi="宋体" w:cs="宋体"/>
          <w:color w:val="auto"/>
          <w:kern w:val="0"/>
          <w:highlight w:val="none"/>
          <w:u w:val="none"/>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color w:val="auto"/>
          <w:kern w:val="0"/>
          <w:highlight w:val="none"/>
          <w:u w:val="none"/>
          <w:lang w:val="zh-CN"/>
        </w:rPr>
      </w:pPr>
      <w:r>
        <w:rPr>
          <w:rFonts w:ascii="宋体" w:hAnsi="宋体" w:cs="宋体"/>
          <w:color w:val="auto"/>
          <w:kern w:val="0"/>
          <w:highlight w:val="none"/>
          <w:u w:val="none"/>
          <w:lang w:val="zh-CN"/>
        </w:rPr>
        <w:t>2</w:t>
      </w:r>
      <w:r>
        <w:rPr>
          <w:rFonts w:ascii="宋体" w:hAnsi="宋体" w:cs="宋体"/>
          <w:color w:val="auto"/>
          <w:kern w:val="0"/>
          <w:highlight w:val="none"/>
          <w:u w:val="none"/>
        </w:rPr>
        <w:t>3</w:t>
      </w:r>
      <w:r>
        <w:rPr>
          <w:rFonts w:ascii="宋体" w:cs="宋体"/>
          <w:color w:val="auto"/>
          <w:kern w:val="0"/>
          <w:highlight w:val="none"/>
          <w:u w:val="none"/>
          <w:lang w:val="zh-CN"/>
        </w:rPr>
        <w:t>.</w:t>
      </w:r>
      <w:r>
        <w:rPr>
          <w:rFonts w:ascii="宋体" w:hAnsi="宋体" w:cs="宋体"/>
          <w:color w:val="auto"/>
          <w:kern w:val="0"/>
          <w:highlight w:val="none"/>
          <w:u w:val="none"/>
        </w:rPr>
        <w:t xml:space="preserve">3 </w:t>
      </w:r>
      <w:r>
        <w:rPr>
          <w:rFonts w:hint="eastAsia" w:ascii="宋体" w:hAnsi="宋体" w:cs="宋体"/>
          <w:color w:val="auto"/>
          <w:kern w:val="0"/>
          <w:highlight w:val="none"/>
          <w:u w:val="none"/>
          <w:lang w:val="zh-CN"/>
        </w:rPr>
        <w:t>招标文件、中标人的投标文件、《中标通知书》及其澄清、说明文件、承诺等，均为签订采购合同的依据，作为采购合同的组成部分。</w:t>
      </w:r>
    </w:p>
    <w:p>
      <w:pPr>
        <w:autoSpaceDE w:val="0"/>
        <w:autoSpaceDN w:val="0"/>
        <w:spacing w:line="360" w:lineRule="auto"/>
        <w:ind w:firstLine="482" w:firstLineChars="200"/>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备注：政府采购合同备案，采购合同全数返还采购代理机构鉴证、盖章。采购代理机构留存壹份备案。（所有合同必须胶装成册，活页装订不予备案）</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22.4 </w:t>
      </w:r>
      <w:r>
        <w:rPr>
          <w:rFonts w:hint="eastAsia" w:ascii="宋体" w:hAnsi="宋体" w:cs="宋体"/>
          <w:color w:val="auto"/>
          <w:kern w:val="0"/>
          <w:highlight w:val="none"/>
          <w:u w:val="none"/>
          <w:lang w:val="zh-CN"/>
        </w:rPr>
        <w:t>采购合同签订之日起</w:t>
      </w:r>
      <w:r>
        <w:rPr>
          <w:rFonts w:ascii="宋体" w:hAnsi="宋体" w:cs="宋体"/>
          <w:color w:val="auto"/>
          <w:kern w:val="0"/>
          <w:highlight w:val="none"/>
          <w:u w:val="none"/>
        </w:rPr>
        <w:t>2</w:t>
      </w:r>
      <w:r>
        <w:rPr>
          <w:rFonts w:hint="eastAsia" w:ascii="宋体" w:hAnsi="宋体" w:cs="宋体"/>
          <w:color w:val="auto"/>
          <w:kern w:val="0"/>
          <w:highlight w:val="none"/>
          <w:u w:val="none"/>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23.5 </w:t>
      </w:r>
      <w:r>
        <w:rPr>
          <w:rFonts w:hint="eastAsia" w:ascii="宋体" w:hAnsi="宋体" w:cs="宋体"/>
          <w:color w:val="auto"/>
          <w:kern w:val="0"/>
          <w:highlight w:val="none"/>
          <w:u w:val="none"/>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23.6 </w:t>
      </w:r>
      <w:r>
        <w:rPr>
          <w:rFonts w:hint="eastAsia" w:ascii="宋体" w:hAnsi="宋体" w:cs="宋体"/>
          <w:color w:val="auto"/>
          <w:kern w:val="0"/>
          <w:highlight w:val="none"/>
          <w:u w:val="none"/>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23.7 </w:t>
      </w:r>
      <w:r>
        <w:rPr>
          <w:rFonts w:hint="eastAsia" w:ascii="宋体" w:hAnsi="宋体" w:cs="宋体"/>
          <w:color w:val="auto"/>
          <w:kern w:val="0"/>
          <w:highlight w:val="none"/>
          <w:u w:val="none"/>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 xml:space="preserve">23.8 </w:t>
      </w:r>
      <w:r>
        <w:rPr>
          <w:rFonts w:hint="eastAsia" w:ascii="宋体" w:hAnsi="宋体" w:cs="宋体"/>
          <w:color w:val="auto"/>
          <w:kern w:val="0"/>
          <w:highlight w:val="none"/>
          <w:u w:val="none"/>
        </w:rPr>
        <w:t>采购人、采购代理机构应当建立真实完整的招标采购档案，妥善保存每项采购活动的采购文件。</w:t>
      </w:r>
    </w:p>
    <w:p>
      <w:pPr>
        <w:pStyle w:val="29"/>
        <w:spacing w:before="0" w:after="0" w:line="360" w:lineRule="auto"/>
        <w:rPr>
          <w:rFonts w:ascii="宋体" w:cs="宋体"/>
          <w:color w:val="auto"/>
          <w:highlight w:val="none"/>
          <w:u w:val="none"/>
          <w:lang w:val="zh-CN"/>
        </w:rPr>
      </w:pPr>
      <w:bookmarkStart w:id="116" w:name="_Toc9967"/>
      <w:r>
        <w:rPr>
          <w:rFonts w:hint="eastAsia" w:ascii="宋体" w:hAnsi="宋体" w:cs="宋体"/>
          <w:color w:val="auto"/>
          <w:highlight w:val="none"/>
          <w:u w:val="none"/>
          <w:lang w:val="zh-CN"/>
        </w:rPr>
        <w:t>十、招标代理费</w:t>
      </w:r>
      <w:bookmarkEnd w:id="116"/>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收取对象：</w:t>
      </w:r>
      <w:r>
        <w:rPr>
          <w:rFonts w:hint="eastAsia" w:ascii="宋体" w:hAnsi="宋体" w:cs="宋体"/>
          <w:color w:val="auto"/>
          <w:kern w:val="0"/>
          <w:highlight w:val="none"/>
          <w:u w:val="none"/>
        </w:rPr>
        <w:t>中标人</w:t>
      </w:r>
      <w:r>
        <w:rPr>
          <w:rFonts w:hint="eastAsia" w:ascii="宋体" w:hAnsi="宋体" w:cs="宋体"/>
          <w:color w:val="auto"/>
          <w:kern w:val="0"/>
          <w:highlight w:val="none"/>
          <w:u w:val="none"/>
          <w:lang w:val="zh-CN"/>
        </w:rPr>
        <w:t>。</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lang w:val="zh-CN"/>
        </w:rPr>
        <w:t>2、收费金额：</w:t>
      </w:r>
      <w:r>
        <w:rPr>
          <w:rFonts w:hint="eastAsia" w:ascii="宋体" w:hAnsi="宋体" w:cs="宋体"/>
          <w:color w:val="auto"/>
          <w:kern w:val="0"/>
          <w:highlight w:val="none"/>
          <w:u w:val="none"/>
          <w:lang w:val="en-US" w:eastAsia="zh-CN"/>
        </w:rPr>
        <w:t>陆万陆仟伍佰</w:t>
      </w:r>
      <w:r>
        <w:rPr>
          <w:rFonts w:hint="eastAsia" w:ascii="宋体" w:hAnsi="宋体" w:cs="宋体"/>
          <w:color w:val="auto"/>
          <w:kern w:val="0"/>
          <w:highlight w:val="none"/>
          <w:u w:val="none"/>
          <w:lang w:val="zh-CN"/>
        </w:rPr>
        <w:t>元整（</w:t>
      </w:r>
      <w:r>
        <w:rPr>
          <w:rFonts w:hint="eastAsia" w:ascii="宋体" w:hAnsi="宋体" w:cs="宋体"/>
          <w:color w:val="auto"/>
          <w:kern w:val="0"/>
          <w:highlight w:val="none"/>
          <w:u w:val="none"/>
          <w:lang w:val="en-US" w:eastAsia="zh-CN"/>
        </w:rPr>
        <w:t>66</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en-US" w:eastAsia="zh-CN"/>
        </w:rPr>
        <w:t>5</w:t>
      </w:r>
      <w:r>
        <w:rPr>
          <w:rFonts w:hint="eastAsia" w:ascii="宋体" w:hAnsi="宋体" w:cs="宋体"/>
          <w:color w:val="auto"/>
          <w:kern w:val="0"/>
          <w:highlight w:val="none"/>
          <w:u w:val="none"/>
        </w:rPr>
        <w:t>00.00元）</w:t>
      </w:r>
    </w:p>
    <w:p>
      <w:pPr>
        <w:autoSpaceDE w:val="0"/>
        <w:autoSpaceDN w:val="0"/>
        <w:spacing w:line="360" w:lineRule="auto"/>
        <w:ind w:firstLine="480" w:firstLineChars="20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本项目代理服务费收取</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在领取中标通知书前向采购代理机构缴纳</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 xml:space="preserve">   </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 xml:space="preserve">  </w:t>
      </w:r>
      <w:r>
        <w:rPr>
          <w:rFonts w:hint="eastAsia" w:ascii="宋体" w:hAnsi="宋体" w:cs="宋体"/>
          <w:color w:val="auto"/>
          <w:kern w:val="0"/>
          <w:highlight w:val="none"/>
          <w:u w:val="none"/>
        </w:rPr>
        <w:t xml:space="preserve">          </w:t>
      </w:r>
    </w:p>
    <w:p>
      <w:pPr>
        <w:pStyle w:val="29"/>
        <w:spacing w:before="0" w:after="0" w:line="360" w:lineRule="auto"/>
        <w:rPr>
          <w:rFonts w:ascii="宋体" w:cs="宋体"/>
          <w:color w:val="auto"/>
          <w:highlight w:val="none"/>
          <w:u w:val="none"/>
          <w:lang w:val="zh-CN"/>
        </w:rPr>
      </w:pPr>
      <w:bookmarkStart w:id="117" w:name="_Toc17138"/>
      <w:r>
        <w:rPr>
          <w:rFonts w:hint="eastAsia" w:ascii="宋体" w:hAnsi="宋体" w:cs="宋体"/>
          <w:color w:val="auto"/>
          <w:highlight w:val="none"/>
          <w:u w:val="none"/>
          <w:lang w:val="zh-CN"/>
        </w:rPr>
        <w:t>十一、其他</w:t>
      </w:r>
      <w:bookmarkEnd w:id="117"/>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1</w:t>
      </w:r>
      <w:r>
        <w:rPr>
          <w:rFonts w:hint="eastAsia" w:ascii="宋体" w:hAnsi="宋体" w:cs="宋体"/>
          <w:color w:val="auto"/>
          <w:kern w:val="0"/>
          <w:highlight w:val="none"/>
          <w:u w:val="none"/>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2</w:t>
      </w:r>
      <w:r>
        <w:rPr>
          <w:rFonts w:hint="eastAsia" w:ascii="宋体" w:hAnsi="宋体" w:cs="宋体"/>
          <w:color w:val="auto"/>
          <w:kern w:val="0"/>
          <w:highlight w:val="none"/>
          <w:u w:val="none"/>
        </w:rPr>
        <w:t>、有下列情形之一的，视为投标人串通投标，其投标无效：</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1</w:t>
      </w:r>
      <w:r>
        <w:rPr>
          <w:rFonts w:hint="eastAsia" w:ascii="宋体" w:hAnsi="宋体" w:cs="宋体"/>
          <w:color w:val="auto"/>
          <w:kern w:val="0"/>
          <w:highlight w:val="none"/>
          <w:u w:val="none"/>
        </w:rPr>
        <w:t>）不同投标人的投标文件由同一单位或者个人编制；</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2</w:t>
      </w:r>
      <w:r>
        <w:rPr>
          <w:rFonts w:hint="eastAsia" w:ascii="宋体" w:hAnsi="宋体" w:cs="宋体"/>
          <w:color w:val="auto"/>
          <w:kern w:val="0"/>
          <w:highlight w:val="none"/>
          <w:u w:val="none"/>
        </w:rPr>
        <w:t>）不同投标人委托同一单位或者个人办理投标事宜；</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3</w:t>
      </w:r>
      <w:r>
        <w:rPr>
          <w:rFonts w:hint="eastAsia" w:ascii="宋体" w:hAnsi="宋体" w:cs="宋体"/>
          <w:color w:val="auto"/>
          <w:kern w:val="0"/>
          <w:highlight w:val="none"/>
          <w:u w:val="none"/>
        </w:rPr>
        <w:t>）不同投标人的投标文件载明的项目管理成员或者联系人员为同一人；</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4</w:t>
      </w:r>
      <w:r>
        <w:rPr>
          <w:rFonts w:hint="eastAsia" w:ascii="宋体" w:hAnsi="宋体" w:cs="宋体"/>
          <w:color w:val="auto"/>
          <w:kern w:val="0"/>
          <w:highlight w:val="none"/>
          <w:u w:val="none"/>
        </w:rPr>
        <w:t>）不同投标人的投标文件异常一致或者投标报价呈规律性差异；</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5</w:t>
      </w:r>
      <w:r>
        <w:rPr>
          <w:rFonts w:hint="eastAsia" w:ascii="宋体" w:hAnsi="宋体" w:cs="宋体"/>
          <w:color w:val="auto"/>
          <w:kern w:val="0"/>
          <w:highlight w:val="none"/>
          <w:u w:val="none"/>
        </w:rPr>
        <w:t>）不同投标人的投标文件相互混装；</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6</w:t>
      </w:r>
      <w:r>
        <w:rPr>
          <w:rFonts w:hint="eastAsia" w:ascii="宋体" w:hAnsi="宋体" w:cs="宋体"/>
          <w:color w:val="auto"/>
          <w:kern w:val="0"/>
          <w:highlight w:val="none"/>
          <w:u w:val="none"/>
        </w:rPr>
        <w:t>）不同投标人的投标保证金从同一单位或者个人的账户转出。</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3</w:t>
      </w:r>
      <w:r>
        <w:rPr>
          <w:rFonts w:hint="eastAsia" w:ascii="宋体" w:hAnsi="宋体" w:cs="宋体"/>
          <w:color w:val="auto"/>
          <w:kern w:val="0"/>
          <w:highlight w:val="none"/>
          <w:u w:val="none"/>
        </w:rPr>
        <w:t>、公开招标数额标准以上的采购项目，投标截止后投标人不足</w:t>
      </w:r>
      <w:r>
        <w:rPr>
          <w:rFonts w:ascii="宋体" w:hAnsi="宋体" w:cs="宋体"/>
          <w:color w:val="auto"/>
          <w:kern w:val="0"/>
          <w:highlight w:val="none"/>
          <w:u w:val="none"/>
        </w:rPr>
        <w:t>3</w:t>
      </w:r>
      <w:r>
        <w:rPr>
          <w:rFonts w:hint="eastAsia" w:ascii="宋体" w:hAnsi="宋体" w:cs="宋体"/>
          <w:color w:val="auto"/>
          <w:kern w:val="0"/>
          <w:highlight w:val="none"/>
          <w:u w:val="none"/>
        </w:rPr>
        <w:t>家或者通过资格审查或符合性审查的投标人不足</w:t>
      </w:r>
      <w:r>
        <w:rPr>
          <w:rFonts w:ascii="宋体" w:hAnsi="宋体" w:cs="宋体"/>
          <w:color w:val="auto"/>
          <w:kern w:val="0"/>
          <w:highlight w:val="none"/>
          <w:u w:val="none"/>
        </w:rPr>
        <w:t>3</w:t>
      </w:r>
      <w:r>
        <w:rPr>
          <w:rFonts w:hint="eastAsia" w:ascii="宋体" w:hAnsi="宋体" w:cs="宋体"/>
          <w:color w:val="auto"/>
          <w:kern w:val="0"/>
          <w:highlight w:val="none"/>
          <w:u w:val="none"/>
        </w:rPr>
        <w:t>家的，除采购任务取消情形外，按照以下方式处理：</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1</w:t>
      </w:r>
      <w:r>
        <w:rPr>
          <w:rFonts w:hint="eastAsia" w:ascii="宋体" w:hAnsi="宋体" w:cs="宋体"/>
          <w:color w:val="auto"/>
          <w:kern w:val="0"/>
          <w:highlight w:val="none"/>
          <w:u w:val="none"/>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color w:val="auto"/>
          <w:kern w:val="0"/>
          <w:highlight w:val="none"/>
          <w:u w:val="none"/>
        </w:rPr>
      </w:pPr>
      <w:r>
        <w:rPr>
          <w:rFonts w:hint="eastAsia" w:ascii="宋体" w:hAnsi="宋体" w:cs="宋体"/>
          <w:color w:val="auto"/>
          <w:kern w:val="0"/>
          <w:highlight w:val="none"/>
          <w:u w:val="none"/>
        </w:rPr>
        <w:t>（</w:t>
      </w:r>
      <w:r>
        <w:rPr>
          <w:rFonts w:ascii="宋体" w:hAnsi="宋体" w:cs="宋体"/>
          <w:color w:val="auto"/>
          <w:kern w:val="0"/>
          <w:highlight w:val="none"/>
          <w:u w:val="none"/>
        </w:rPr>
        <w:t>2</w:t>
      </w:r>
      <w:r>
        <w:rPr>
          <w:rFonts w:hint="eastAsia" w:ascii="宋体" w:hAnsi="宋体" w:cs="宋体"/>
          <w:color w:val="auto"/>
          <w:kern w:val="0"/>
          <w:highlight w:val="none"/>
          <w:u w:val="none"/>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color w:val="auto"/>
          <w:kern w:val="0"/>
          <w:highlight w:val="none"/>
          <w:u w:val="none"/>
          <w:lang w:val="zh-CN"/>
        </w:rPr>
      </w:pPr>
      <w:r>
        <w:rPr>
          <w:rFonts w:ascii="宋体" w:hAnsi="宋体" w:cs="宋体"/>
          <w:color w:val="auto"/>
          <w:sz w:val="28"/>
          <w:szCs w:val="28"/>
          <w:highlight w:val="none"/>
          <w:u w:val="none"/>
        </w:rPr>
        <w:t>4</w:t>
      </w:r>
      <w:r>
        <w:rPr>
          <w:rFonts w:hint="eastAsia" w:ascii="宋体" w:hAnsi="宋体" w:cs="宋体"/>
          <w:color w:val="auto"/>
          <w:sz w:val="28"/>
          <w:szCs w:val="28"/>
          <w:highlight w:val="none"/>
          <w:u w:val="none"/>
        </w:rPr>
        <w:t>、</w:t>
      </w:r>
      <w:r>
        <w:rPr>
          <w:rFonts w:hint="eastAsia" w:ascii="宋体" w:hAnsi="宋体" w:cs="宋体"/>
          <w:color w:val="auto"/>
          <w:kern w:val="0"/>
          <w:highlight w:val="none"/>
          <w:u w:val="none"/>
          <w:lang w:val="zh-CN"/>
        </w:rPr>
        <w:t>在招标采购中，出现下列情形之一的，应予废标：</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2</w:t>
      </w:r>
      <w:r>
        <w:rPr>
          <w:rFonts w:hint="eastAsia" w:ascii="宋体" w:hAnsi="宋体" w:cs="宋体"/>
          <w:color w:val="auto"/>
          <w:kern w:val="0"/>
          <w:highlight w:val="none"/>
          <w:u w:val="none"/>
          <w:lang w:val="zh-CN"/>
        </w:rPr>
        <w:t>）出现影响采购公正的违法、违规行为的。</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3</w:t>
      </w:r>
      <w:r>
        <w:rPr>
          <w:rFonts w:hint="eastAsia" w:ascii="宋体" w:hAnsi="宋体" w:cs="宋体"/>
          <w:color w:val="auto"/>
          <w:kern w:val="0"/>
          <w:highlight w:val="none"/>
          <w:u w:val="none"/>
          <w:lang w:val="zh-CN"/>
        </w:rPr>
        <w:t>）投标人的报价均超出采购预算，采购人不能支付的。</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4</w:t>
      </w:r>
      <w:r>
        <w:rPr>
          <w:rFonts w:hint="eastAsia" w:ascii="宋体" w:hAnsi="宋体" w:cs="宋体"/>
          <w:color w:val="auto"/>
          <w:kern w:val="0"/>
          <w:highlight w:val="none"/>
          <w:u w:val="none"/>
          <w:lang w:val="zh-CN"/>
        </w:rPr>
        <w:t>）因重大变故，采购任务取消的。</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废标后，由采购代理机构发布废标公告。</w:t>
      </w:r>
    </w:p>
    <w:p>
      <w:pPr>
        <w:autoSpaceDE w:val="0"/>
        <w:autoSpaceDN w:val="0"/>
        <w:spacing w:line="360" w:lineRule="auto"/>
        <w:ind w:firstLine="480" w:firstLineChars="200"/>
        <w:rPr>
          <w:rFonts w:ascii="宋体" w:cs="宋体"/>
          <w:color w:val="auto"/>
          <w:kern w:val="0"/>
          <w:highlight w:val="none"/>
          <w:u w:val="none"/>
        </w:rPr>
      </w:pPr>
      <w:r>
        <w:rPr>
          <w:rFonts w:ascii="宋体" w:hAnsi="宋体" w:cs="宋体"/>
          <w:color w:val="auto"/>
          <w:kern w:val="0"/>
          <w:highlight w:val="none"/>
          <w:u w:val="none"/>
        </w:rPr>
        <w:t>5</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其他未尽事宜，按照《中华人民共和国政府采购法》、《中华人民共和国政府采购法实施条例》、《中华人民共和国合同法》等法律法规的有关条款执行。</w:t>
      </w:r>
    </w:p>
    <w:p>
      <w:pPr>
        <w:pStyle w:val="29"/>
        <w:spacing w:before="0" w:after="0" w:line="360" w:lineRule="auto"/>
        <w:rPr>
          <w:rFonts w:ascii="宋体" w:cs="宋体"/>
          <w:color w:val="auto"/>
          <w:sz w:val="24"/>
          <w:highlight w:val="none"/>
          <w:u w:val="none"/>
        </w:rPr>
      </w:pPr>
      <w:r>
        <w:rPr>
          <w:rFonts w:ascii="宋体" w:cs="宋体"/>
          <w:color w:val="auto"/>
          <w:szCs w:val="36"/>
          <w:highlight w:val="none"/>
          <w:u w:val="none"/>
          <w:lang w:val="zh-CN"/>
        </w:rPr>
        <w:br w:type="page"/>
      </w:r>
      <w:bookmarkStart w:id="118" w:name="_Toc29286"/>
      <w:r>
        <w:rPr>
          <w:rFonts w:hint="eastAsia" w:ascii="宋体" w:hAnsi="宋体" w:cs="宋体"/>
          <w:color w:val="auto"/>
          <w:szCs w:val="36"/>
          <w:highlight w:val="none"/>
          <w:u w:val="none"/>
          <w:lang w:val="zh-CN"/>
        </w:rPr>
        <w:t>第三部分</w:t>
      </w:r>
      <w:r>
        <w:rPr>
          <w:rFonts w:ascii="宋体" w:hAnsi="宋体" w:cs="宋体"/>
          <w:color w:val="auto"/>
          <w:szCs w:val="36"/>
          <w:highlight w:val="none"/>
          <w:u w:val="none"/>
          <w:lang w:val="zh-CN"/>
        </w:rPr>
        <w:t xml:space="preserve"> </w:t>
      </w:r>
      <w:r>
        <w:rPr>
          <w:rFonts w:ascii="宋体" w:hAnsi="宋体" w:cs="宋体"/>
          <w:color w:val="auto"/>
          <w:szCs w:val="36"/>
          <w:highlight w:val="none"/>
          <w:u w:val="none"/>
        </w:rPr>
        <w:t xml:space="preserve"> </w:t>
      </w:r>
      <w:r>
        <w:rPr>
          <w:rFonts w:hint="eastAsia" w:ascii="宋体" w:hAnsi="宋体" w:cs="宋体"/>
          <w:color w:val="auto"/>
          <w:szCs w:val="36"/>
          <w:highlight w:val="none"/>
          <w:u w:val="none"/>
          <w:lang w:val="zh-CN"/>
        </w:rPr>
        <w:t>青海省政府采购项目合同书范本</w:t>
      </w:r>
      <w:bookmarkEnd w:id="118"/>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jc w:val="center"/>
        <w:rPr>
          <w:rFonts w:ascii="宋体" w:cs="宋体"/>
          <w:b/>
          <w:bCs/>
          <w:color w:val="auto"/>
          <w:kern w:val="0"/>
          <w:sz w:val="48"/>
          <w:szCs w:val="48"/>
          <w:highlight w:val="none"/>
          <w:u w:val="none"/>
        </w:rPr>
      </w:pPr>
      <w:r>
        <w:rPr>
          <w:rFonts w:hint="eastAsia" w:ascii="宋体" w:hAnsi="宋体" w:cs="宋体"/>
          <w:b/>
          <w:bCs/>
          <w:color w:val="auto"/>
          <w:kern w:val="0"/>
          <w:sz w:val="48"/>
          <w:szCs w:val="48"/>
          <w:highlight w:val="none"/>
          <w:u w:val="none"/>
          <w:lang w:val="zh-CN"/>
        </w:rPr>
        <w:t>青海省政府采购项目合同书</w:t>
      </w: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color w:val="auto"/>
          <w:kern w:val="0"/>
          <w:sz w:val="28"/>
          <w:szCs w:val="28"/>
          <w:highlight w:val="none"/>
          <w:u w:val="none"/>
        </w:rPr>
      </w:pPr>
    </w:p>
    <w:p>
      <w:pPr>
        <w:autoSpaceDE w:val="0"/>
        <w:autoSpaceDN w:val="0"/>
        <w:adjustRightInd w:val="0"/>
        <w:spacing w:line="360" w:lineRule="auto"/>
        <w:rPr>
          <w:rFonts w:ascii="宋体" w:cs="宋体"/>
          <w:b/>
          <w:bCs/>
          <w:color w:val="auto"/>
          <w:kern w:val="0"/>
          <w:sz w:val="30"/>
          <w:szCs w:val="30"/>
          <w:highlight w:val="none"/>
          <w:u w:val="none"/>
        </w:rPr>
      </w:pPr>
      <w:r>
        <w:rPr>
          <w:rFonts w:hint="eastAsia" w:ascii="宋体" w:hAnsi="宋体" w:cs="宋体"/>
          <w:b/>
          <w:bCs/>
          <w:color w:val="auto"/>
          <w:kern w:val="0"/>
          <w:sz w:val="30"/>
          <w:szCs w:val="30"/>
          <w:highlight w:val="none"/>
          <w:u w:val="none"/>
          <w:lang w:val="zh-CN"/>
        </w:rPr>
        <w:t>采购项目编号：青海睿澳公招（货物）2021-028号</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rPr>
        <w:t xml:space="preserve"> </w:t>
      </w:r>
      <w:r>
        <w:rPr>
          <w:rFonts w:ascii="宋体" w:hAnsi="宋体" w:cs="宋体"/>
          <w:b/>
          <w:bCs/>
          <w:color w:val="auto"/>
          <w:kern w:val="0"/>
          <w:sz w:val="30"/>
          <w:szCs w:val="30"/>
          <w:highlight w:val="none"/>
          <w:u w:val="none"/>
        </w:rPr>
        <w:t xml:space="preserve"> </w:t>
      </w:r>
    </w:p>
    <w:p>
      <w:pPr>
        <w:autoSpaceDE w:val="0"/>
        <w:autoSpaceDN w:val="0"/>
        <w:adjustRightInd w:val="0"/>
        <w:spacing w:line="360" w:lineRule="auto"/>
        <w:rPr>
          <w:rFonts w:ascii="宋体" w:cs="宋体"/>
          <w:b/>
          <w:bCs/>
          <w:color w:val="auto"/>
          <w:kern w:val="0"/>
          <w:sz w:val="30"/>
          <w:szCs w:val="30"/>
          <w:highlight w:val="none"/>
          <w:u w:val="none"/>
        </w:rPr>
      </w:pPr>
      <w:r>
        <w:rPr>
          <w:rFonts w:hint="eastAsia" w:ascii="宋体" w:hAnsi="宋体" w:cs="宋体"/>
          <w:b/>
          <w:bCs/>
          <w:color w:val="auto"/>
          <w:kern w:val="0"/>
          <w:sz w:val="30"/>
          <w:szCs w:val="30"/>
          <w:highlight w:val="none"/>
          <w:u w:val="none"/>
          <w:lang w:val="zh-CN"/>
        </w:rPr>
        <w:t>采购项目名称：青海省司法行政系统应急指挥中心三级联建项目</w:t>
      </w:r>
      <w:r>
        <w:rPr>
          <w:rFonts w:hint="eastAsia" w:ascii="宋体" w:hAnsi="宋体" w:cs="宋体"/>
          <w:b/>
          <w:bCs/>
          <w:color w:val="auto"/>
          <w:kern w:val="0"/>
          <w:sz w:val="30"/>
          <w:szCs w:val="30"/>
          <w:highlight w:val="none"/>
          <w:u w:val="none"/>
        </w:rPr>
        <w:t xml:space="preserve">  </w:t>
      </w:r>
    </w:p>
    <w:p>
      <w:pPr>
        <w:autoSpaceDE w:val="0"/>
        <w:autoSpaceDN w:val="0"/>
        <w:adjustRightInd w:val="0"/>
        <w:spacing w:line="360" w:lineRule="auto"/>
        <w:rPr>
          <w:rFonts w:ascii="宋体" w:cs="宋体"/>
          <w:b/>
          <w:bCs/>
          <w:color w:val="auto"/>
          <w:kern w:val="0"/>
          <w:sz w:val="30"/>
          <w:szCs w:val="30"/>
          <w:highlight w:val="none"/>
          <w:u w:val="none"/>
        </w:rPr>
      </w:pPr>
      <w:r>
        <w:rPr>
          <w:rFonts w:hint="eastAsia" w:ascii="宋体" w:hAnsi="宋体" w:cs="宋体"/>
          <w:b/>
          <w:bCs/>
          <w:color w:val="auto"/>
          <w:kern w:val="0"/>
          <w:sz w:val="30"/>
          <w:szCs w:val="30"/>
          <w:highlight w:val="none"/>
          <w:u w:val="none"/>
          <w:lang w:val="zh-CN"/>
        </w:rPr>
        <w:t>采购合同编号：</w:t>
      </w:r>
      <w:r>
        <w:rPr>
          <w:rFonts w:hint="eastAsia" w:ascii="宋体" w:hAnsi="宋体" w:cs="宋体"/>
          <w:b/>
          <w:bCs/>
          <w:color w:val="auto"/>
          <w:kern w:val="0"/>
          <w:sz w:val="30"/>
          <w:szCs w:val="30"/>
          <w:highlight w:val="none"/>
          <w:u w:val="none"/>
        </w:rPr>
        <w:t>QHRA-2021-0</w:t>
      </w:r>
      <w:r>
        <w:rPr>
          <w:rFonts w:hint="eastAsia" w:ascii="宋体" w:hAnsi="宋体" w:cs="宋体"/>
          <w:b/>
          <w:bCs/>
          <w:color w:val="auto"/>
          <w:kern w:val="0"/>
          <w:sz w:val="30"/>
          <w:szCs w:val="30"/>
          <w:highlight w:val="none"/>
          <w:u w:val="none"/>
          <w:lang w:val="en-US" w:eastAsia="zh-CN"/>
        </w:rPr>
        <w:t>28</w:t>
      </w:r>
      <w:r>
        <w:rPr>
          <w:rFonts w:ascii="宋体" w:hAnsi="宋体" w:cs="宋体"/>
          <w:b/>
          <w:bCs/>
          <w:color w:val="auto"/>
          <w:kern w:val="0"/>
          <w:sz w:val="30"/>
          <w:szCs w:val="30"/>
          <w:highlight w:val="none"/>
          <w:u w:val="none"/>
        </w:rPr>
        <w:t xml:space="preserve">                 </w:t>
      </w:r>
    </w:p>
    <w:p>
      <w:pPr>
        <w:autoSpaceDE w:val="0"/>
        <w:autoSpaceDN w:val="0"/>
        <w:adjustRightInd w:val="0"/>
        <w:spacing w:line="360" w:lineRule="auto"/>
        <w:rPr>
          <w:rFonts w:ascii="宋体" w:cs="宋体"/>
          <w:b/>
          <w:bCs/>
          <w:color w:val="auto"/>
          <w:kern w:val="0"/>
          <w:sz w:val="30"/>
          <w:szCs w:val="30"/>
          <w:highlight w:val="none"/>
          <w:u w:val="none"/>
        </w:rPr>
      </w:pPr>
      <w:r>
        <w:rPr>
          <w:rFonts w:hint="eastAsia" w:ascii="宋体" w:hAnsi="宋体" w:cs="宋体"/>
          <w:b/>
          <w:bCs/>
          <w:color w:val="auto"/>
          <w:kern w:val="0"/>
          <w:sz w:val="30"/>
          <w:szCs w:val="30"/>
          <w:highlight w:val="none"/>
          <w:u w:val="none"/>
          <w:lang w:val="zh-CN"/>
        </w:rPr>
        <w:t>合同金额（人民币）：</w:t>
      </w:r>
      <w:r>
        <w:rPr>
          <w:rFonts w:ascii="宋体" w:hAnsi="宋体" w:cs="宋体"/>
          <w:b/>
          <w:bCs/>
          <w:color w:val="auto"/>
          <w:kern w:val="0"/>
          <w:sz w:val="30"/>
          <w:szCs w:val="30"/>
          <w:highlight w:val="none"/>
          <w:u w:val="none"/>
        </w:rPr>
        <w:t xml:space="preserve">                            </w:t>
      </w:r>
    </w:p>
    <w:p>
      <w:pPr>
        <w:autoSpaceDE w:val="0"/>
        <w:autoSpaceDN w:val="0"/>
        <w:adjustRightInd w:val="0"/>
        <w:spacing w:line="360" w:lineRule="auto"/>
        <w:rPr>
          <w:rFonts w:ascii="宋体" w:cs="宋体"/>
          <w:b/>
          <w:bCs/>
          <w:color w:val="auto"/>
          <w:kern w:val="0"/>
          <w:sz w:val="30"/>
          <w:szCs w:val="30"/>
          <w:highlight w:val="none"/>
          <w:u w:val="none"/>
          <w:lang w:val="zh-CN"/>
        </w:rPr>
      </w:pPr>
      <w:r>
        <w:rPr>
          <w:rFonts w:hint="eastAsia" w:ascii="宋体" w:hAnsi="宋体" w:cs="宋体"/>
          <w:b/>
          <w:bCs/>
          <w:color w:val="auto"/>
          <w:kern w:val="0"/>
          <w:sz w:val="30"/>
          <w:szCs w:val="30"/>
          <w:highlight w:val="none"/>
          <w:u w:val="none"/>
          <w:lang w:val="zh-CN"/>
        </w:rPr>
        <w:t>采购人（甲方）：</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（盖章）</w:t>
      </w:r>
    </w:p>
    <w:p>
      <w:pPr>
        <w:autoSpaceDE w:val="0"/>
        <w:autoSpaceDN w:val="0"/>
        <w:adjustRightInd w:val="0"/>
        <w:spacing w:line="360" w:lineRule="auto"/>
        <w:rPr>
          <w:rFonts w:ascii="宋体" w:cs="宋体"/>
          <w:b/>
          <w:bCs/>
          <w:color w:val="auto"/>
          <w:kern w:val="0"/>
          <w:sz w:val="30"/>
          <w:szCs w:val="30"/>
          <w:highlight w:val="none"/>
          <w:u w:val="none"/>
        </w:rPr>
      </w:pPr>
      <w:r>
        <w:rPr>
          <w:rFonts w:hint="eastAsia" w:ascii="宋体" w:hAnsi="宋体" w:cs="宋体"/>
          <w:b/>
          <w:bCs/>
          <w:color w:val="auto"/>
          <w:kern w:val="0"/>
          <w:sz w:val="30"/>
          <w:szCs w:val="30"/>
          <w:highlight w:val="none"/>
          <w:u w:val="none"/>
          <w:lang w:val="zh-CN"/>
        </w:rPr>
        <w:t>中标人（乙方）：</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（盖章）</w:t>
      </w:r>
    </w:p>
    <w:p>
      <w:pPr>
        <w:autoSpaceDE w:val="0"/>
        <w:autoSpaceDN w:val="0"/>
        <w:adjustRightInd w:val="0"/>
        <w:spacing w:line="360" w:lineRule="auto"/>
        <w:rPr>
          <w:rFonts w:ascii="宋体" w:cs="宋体"/>
          <w:color w:val="auto"/>
          <w:kern w:val="0"/>
          <w:sz w:val="28"/>
          <w:szCs w:val="28"/>
          <w:highlight w:val="none"/>
          <w:u w:val="none"/>
        </w:rPr>
      </w:pPr>
      <w:r>
        <w:rPr>
          <w:rFonts w:hint="eastAsia" w:ascii="宋体" w:hAnsi="宋体" w:cs="宋体"/>
          <w:b/>
          <w:bCs/>
          <w:color w:val="auto"/>
          <w:kern w:val="0"/>
          <w:sz w:val="30"/>
          <w:szCs w:val="30"/>
          <w:highlight w:val="none"/>
          <w:u w:val="none"/>
          <w:lang w:val="zh-CN"/>
        </w:rPr>
        <w:t>采</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购</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日</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期：</w:t>
      </w:r>
      <w:r>
        <w:rPr>
          <w:rFonts w:ascii="宋体" w:hAnsi="宋体" w:cs="宋体"/>
          <w:b/>
          <w:bCs/>
          <w:color w:val="auto"/>
          <w:kern w:val="0"/>
          <w:sz w:val="30"/>
          <w:szCs w:val="30"/>
          <w:highlight w:val="none"/>
          <w:u w:val="none"/>
        </w:rPr>
        <w:t>20</w:t>
      </w:r>
      <w:r>
        <w:rPr>
          <w:rFonts w:hint="eastAsia" w:ascii="宋体" w:hAnsi="宋体" w:cs="宋体"/>
          <w:b/>
          <w:bCs/>
          <w:color w:val="auto"/>
          <w:kern w:val="0"/>
          <w:sz w:val="30"/>
          <w:szCs w:val="30"/>
          <w:highlight w:val="none"/>
          <w:u w:val="none"/>
        </w:rPr>
        <w:t>21年 月</w:t>
      </w:r>
      <w:r>
        <w:rPr>
          <w:rFonts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rPr>
        <w:t>日</w:t>
      </w:r>
      <w:r>
        <w:rPr>
          <w:rFonts w:ascii="宋体" w:hAnsi="宋体" w:cs="宋体"/>
          <w:b/>
          <w:bCs/>
          <w:color w:val="auto"/>
          <w:kern w:val="0"/>
          <w:sz w:val="30"/>
          <w:szCs w:val="30"/>
          <w:highlight w:val="none"/>
          <w:u w:val="none"/>
        </w:rPr>
        <w:t xml:space="preserve">         </w:t>
      </w:r>
    </w:p>
    <w:p>
      <w:pPr>
        <w:autoSpaceDE w:val="0"/>
        <w:autoSpaceDN w:val="0"/>
        <w:adjustRightInd w:val="0"/>
        <w:spacing w:line="360" w:lineRule="auto"/>
        <w:jc w:val="left"/>
        <w:rPr>
          <w:rFonts w:ascii="宋体" w:hAnsi="宋体" w:cs="宋体"/>
          <w:b/>
          <w:bCs/>
          <w:color w:val="auto"/>
          <w:kern w:val="0"/>
          <w:sz w:val="28"/>
          <w:szCs w:val="28"/>
          <w:highlight w:val="none"/>
          <w:u w:val="none"/>
        </w:rPr>
      </w:pPr>
      <w:r>
        <w:rPr>
          <w:rFonts w:ascii="宋体" w:cs="宋体"/>
          <w:color w:val="auto"/>
          <w:kern w:val="0"/>
          <w:sz w:val="28"/>
          <w:szCs w:val="28"/>
          <w:highlight w:val="none"/>
          <w:u w:val="none"/>
        </w:rPr>
        <w:br w:type="page"/>
      </w:r>
      <w:r>
        <w:rPr>
          <w:rFonts w:hint="eastAsia" w:ascii="宋体" w:hAnsi="宋体" w:cs="宋体"/>
          <w:b/>
          <w:bCs/>
          <w:color w:val="auto"/>
          <w:kern w:val="0"/>
          <w:sz w:val="28"/>
          <w:szCs w:val="28"/>
          <w:highlight w:val="none"/>
          <w:u w:val="none"/>
          <w:lang w:val="zh-CN"/>
        </w:rPr>
        <w:t>采</w:t>
      </w:r>
      <w:r>
        <w:rPr>
          <w:rFonts w:hint="eastAsia" w:ascii="宋体" w:hAnsi="宋体" w:cs="宋体"/>
          <w:b/>
          <w:bCs/>
          <w:color w:val="auto"/>
          <w:kern w:val="0"/>
          <w:sz w:val="28"/>
          <w:szCs w:val="28"/>
          <w:highlight w:val="none"/>
          <w:u w:val="none"/>
        </w:rPr>
        <w:t xml:space="preserve"> </w:t>
      </w:r>
      <w:r>
        <w:rPr>
          <w:rFonts w:hint="eastAsia" w:ascii="宋体" w:hAnsi="宋体" w:cs="宋体"/>
          <w:b/>
          <w:bCs/>
          <w:color w:val="auto"/>
          <w:kern w:val="0"/>
          <w:sz w:val="28"/>
          <w:szCs w:val="28"/>
          <w:highlight w:val="none"/>
          <w:u w:val="none"/>
          <w:lang w:val="zh-CN"/>
        </w:rPr>
        <w:t>购</w:t>
      </w:r>
      <w:r>
        <w:rPr>
          <w:rFonts w:hint="eastAsia" w:ascii="宋体" w:hAnsi="宋体" w:cs="宋体"/>
          <w:b/>
          <w:bCs/>
          <w:color w:val="auto"/>
          <w:kern w:val="0"/>
          <w:sz w:val="28"/>
          <w:szCs w:val="28"/>
          <w:highlight w:val="none"/>
          <w:u w:val="none"/>
        </w:rPr>
        <w:t xml:space="preserve"> </w:t>
      </w:r>
      <w:r>
        <w:rPr>
          <w:rFonts w:hint="eastAsia" w:ascii="宋体" w:hAnsi="宋体" w:cs="宋体"/>
          <w:b/>
          <w:bCs/>
          <w:color w:val="auto"/>
          <w:kern w:val="0"/>
          <w:sz w:val="28"/>
          <w:szCs w:val="28"/>
          <w:highlight w:val="none"/>
          <w:u w:val="none"/>
          <w:lang w:val="zh-CN"/>
        </w:rPr>
        <w:t>人（以下简称甲方）：</w:t>
      </w:r>
    </w:p>
    <w:p>
      <w:pPr>
        <w:autoSpaceDE w:val="0"/>
        <w:autoSpaceDN w:val="0"/>
        <w:adjustRightInd w:val="0"/>
        <w:spacing w:line="360" w:lineRule="auto"/>
        <w:rPr>
          <w:rFonts w:ascii="宋体" w:hAnsi="宋体" w:cs="宋体"/>
          <w:color w:val="auto"/>
          <w:kern w:val="0"/>
          <w:sz w:val="28"/>
          <w:szCs w:val="28"/>
          <w:highlight w:val="none"/>
          <w:u w:val="none"/>
        </w:rPr>
      </w:pPr>
      <w:r>
        <w:rPr>
          <w:rFonts w:hint="eastAsia" w:ascii="宋体" w:hAnsi="宋体" w:cs="宋体"/>
          <w:b/>
          <w:bCs/>
          <w:color w:val="auto"/>
          <w:kern w:val="0"/>
          <w:sz w:val="30"/>
          <w:szCs w:val="30"/>
          <w:highlight w:val="none"/>
          <w:u w:val="none"/>
          <w:lang w:val="zh-CN"/>
        </w:rPr>
        <w:t>中</w:t>
      </w:r>
      <w:r>
        <w:rPr>
          <w:rFonts w:hint="eastAsia"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标</w:t>
      </w:r>
      <w:r>
        <w:rPr>
          <w:rFonts w:hint="eastAsia" w:ascii="宋体" w:hAnsi="宋体" w:cs="宋体"/>
          <w:b/>
          <w:bCs/>
          <w:color w:val="auto"/>
          <w:kern w:val="0"/>
          <w:sz w:val="30"/>
          <w:szCs w:val="30"/>
          <w:highlight w:val="none"/>
          <w:u w:val="none"/>
        </w:rPr>
        <w:t xml:space="preserve"> </w:t>
      </w:r>
      <w:r>
        <w:rPr>
          <w:rFonts w:hint="eastAsia" w:ascii="宋体" w:hAnsi="宋体" w:cs="宋体"/>
          <w:b/>
          <w:bCs/>
          <w:color w:val="auto"/>
          <w:kern w:val="0"/>
          <w:sz w:val="30"/>
          <w:szCs w:val="30"/>
          <w:highlight w:val="none"/>
          <w:u w:val="none"/>
          <w:lang w:val="zh-CN"/>
        </w:rPr>
        <w:t>人</w:t>
      </w:r>
      <w:r>
        <w:rPr>
          <w:rFonts w:hint="eastAsia" w:ascii="宋体" w:hAnsi="宋体" w:cs="宋体"/>
          <w:b/>
          <w:bCs/>
          <w:color w:val="auto"/>
          <w:kern w:val="0"/>
          <w:sz w:val="28"/>
          <w:szCs w:val="28"/>
          <w:highlight w:val="none"/>
          <w:u w:val="none"/>
          <w:lang w:val="zh-CN"/>
        </w:rPr>
        <w:t>（以下简称乙方）：</w:t>
      </w:r>
    </w:p>
    <w:p>
      <w:pPr>
        <w:pStyle w:val="16"/>
        <w:spacing w:after="0" w:line="360" w:lineRule="auto"/>
        <w:ind w:left="0" w:leftChars="0"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一、签订本政府采购合同的依据</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本政府采购合同所附下列文件是构成本政府采购合同不可分割的部分：</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1.招标文件；</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2.招标文件的澄清、变更公告；</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3.中标人提交的投标文件；</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4.招标文件中规定的政府采购合同通用条款；</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5.中标通知书；</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6.履约保证金缴费证明。</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二、合同标的及金额                                       单位：元</w:t>
      </w:r>
    </w:p>
    <w:tbl>
      <w:tblPr>
        <w:tblStyle w:val="3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auto"/>
                <w:kern w:val="0"/>
                <w:highlight w:val="none"/>
                <w:u w:val="none"/>
                <w:lang w:val="zh-CN"/>
              </w:rPr>
            </w:pPr>
          </w:p>
        </w:tc>
      </w:tr>
    </w:tbl>
    <w:p>
      <w:pPr>
        <w:autoSpaceDE w:val="0"/>
        <w:autoSpaceDN w:val="0"/>
        <w:spacing w:line="360" w:lineRule="auto"/>
        <w:jc w:val="left"/>
        <w:rPr>
          <w:rFonts w:ascii="宋体" w:hAnsi="宋体" w:cs="宋体"/>
          <w:color w:val="auto"/>
          <w:kern w:val="0"/>
          <w:highlight w:val="none"/>
          <w:u w:val="none"/>
        </w:rPr>
      </w:pPr>
      <w:r>
        <w:rPr>
          <w:rFonts w:hint="eastAsia" w:ascii="宋体" w:hAnsi="宋体" w:cs="宋体"/>
          <w:color w:val="auto"/>
          <w:kern w:val="0"/>
          <w:highlight w:val="none"/>
          <w:u w:val="none"/>
          <w:lang w:val="zh-CN"/>
        </w:rPr>
        <w:t>根据上述政府采购合同文件要求，本政府采购合同的总金额为人民币</w:t>
      </w:r>
      <w:r>
        <w:rPr>
          <w:rFonts w:hint="eastAsia" w:ascii="宋体" w:hAnsi="宋体" w:cs="宋体"/>
          <w:color w:val="auto"/>
          <w:kern w:val="0"/>
          <w:highlight w:val="none"/>
          <w:u w:val="none"/>
        </w:rPr>
        <w:t xml:space="preserve">           </w:t>
      </w:r>
    </w:p>
    <w:p>
      <w:pPr>
        <w:autoSpaceDE w:val="0"/>
        <w:autoSpaceDN w:val="0"/>
        <w:spacing w:line="360" w:lineRule="auto"/>
        <w:jc w:val="left"/>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（大写）                 元。</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lang w:val="zh-CN"/>
        </w:rPr>
        <w:t>本合同以人民币进行结算，合同总价包括：产品费、安装费、系统集成费、调试及维护费、验收费、手续费、包装费、运输费、保险费、售前、售中、售后服务费、招标代理费、税金及不可预见费等全部费用。</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三、交付时间、地点和要求</w:t>
      </w:r>
    </w:p>
    <w:p>
      <w:pPr>
        <w:autoSpaceDE w:val="0"/>
        <w:autoSpaceDN w:val="0"/>
        <w:spacing w:line="360" w:lineRule="auto"/>
        <w:ind w:firstLine="360"/>
        <w:jc w:val="left"/>
        <w:rPr>
          <w:rFonts w:hint="eastAsia" w:ascii="宋体" w:hAnsi="宋体" w:cs="宋体"/>
          <w:color w:val="auto"/>
          <w:kern w:val="0"/>
          <w:highlight w:val="none"/>
          <w:u w:val="none"/>
          <w:lang w:val="zh-CN"/>
        </w:rPr>
      </w:pPr>
      <w:r>
        <w:rPr>
          <w:rFonts w:hint="eastAsia" w:ascii="宋体" w:hAnsi="宋体" w:cs="宋体"/>
          <w:color w:val="auto"/>
          <w:kern w:val="0"/>
          <w:highlight w:val="none"/>
          <w:u w:val="none"/>
        </w:rPr>
        <w:t>1.服务</w:t>
      </w:r>
      <w:r>
        <w:rPr>
          <w:rFonts w:hint="eastAsia" w:ascii="宋体" w:hAnsi="宋体" w:cs="宋体"/>
          <w:color w:val="auto"/>
          <w:kern w:val="0"/>
          <w:highlight w:val="none"/>
          <w:u w:val="none"/>
          <w:lang w:val="zh-CN"/>
        </w:rPr>
        <w:t>时间：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w:t>
      </w:r>
    </w:p>
    <w:p>
      <w:pPr>
        <w:autoSpaceDE w:val="0"/>
        <w:autoSpaceDN w:val="0"/>
        <w:spacing w:line="360" w:lineRule="auto"/>
        <w:ind w:firstLine="360"/>
        <w:jc w:val="left"/>
        <w:rPr>
          <w:rFonts w:ascii="宋体" w:hAnsi="宋体" w:cs="宋体"/>
          <w:color w:val="auto"/>
          <w:kern w:val="0"/>
          <w:highlight w:val="none"/>
          <w:u w:val="none"/>
        </w:rPr>
      </w:pPr>
      <w:r>
        <w:rPr>
          <w:rFonts w:hint="eastAsia" w:ascii="宋体" w:hAnsi="宋体" w:cs="宋体"/>
          <w:color w:val="auto"/>
          <w:kern w:val="0"/>
          <w:highlight w:val="none"/>
          <w:u w:val="none"/>
        </w:rPr>
        <w:t>服务</w:t>
      </w:r>
      <w:r>
        <w:rPr>
          <w:rFonts w:hint="eastAsia" w:ascii="宋体" w:hAnsi="宋体" w:cs="宋体"/>
          <w:color w:val="auto"/>
          <w:kern w:val="0"/>
          <w:highlight w:val="none"/>
          <w:u w:val="none"/>
          <w:lang w:val="zh-CN"/>
        </w:rPr>
        <w:t>地点：省司法厅指定地点 。</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乙方提供不符合招投标文件和本合同规定的产品，甲方有权拒绝接受。</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甲方应当在到货（安装、调试完）后</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6.</w:t>
      </w:r>
      <w:r>
        <w:rPr>
          <w:rFonts w:hint="eastAsia" w:ascii="宋体" w:hAnsi="宋体" w:cs="宋体"/>
          <w:color w:val="auto"/>
          <w:kern w:val="0"/>
          <w:highlight w:val="none"/>
          <w:u w:val="none"/>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7.</w:t>
      </w:r>
      <w:r>
        <w:rPr>
          <w:rFonts w:hint="eastAsia" w:ascii="宋体" w:hAnsi="宋体" w:cs="宋体"/>
          <w:color w:val="auto"/>
          <w:kern w:val="0"/>
          <w:highlight w:val="none"/>
          <w:u w:val="none"/>
          <w:lang w:val="zh-CN"/>
        </w:rPr>
        <w:t>乙方向甲方提供产品相关完税销售发票。</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四、付款方式：</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lang w:val="en-US" w:eastAsia="zh-CN"/>
        </w:rPr>
        <w:t>1</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乙方所交付的产品由甲方验收，验收合格后由甲方报同级财政监管部门，申请资金拨付，按合同金额向乙方支付合同总价款的100%（付款方式及金额由采购人根据项目情况确定），</w:t>
      </w:r>
      <w:r>
        <w:rPr>
          <w:rFonts w:hint="eastAsia" w:ascii="宋体" w:hAnsi="宋体" w:cs="宋体"/>
          <w:color w:val="auto"/>
          <w:kern w:val="0"/>
          <w:highlight w:val="none"/>
          <w:u w:val="none"/>
          <w:lang w:val="en-US" w:eastAsia="zh-CN"/>
        </w:rPr>
        <w:t>计</w:t>
      </w:r>
      <w:r>
        <w:rPr>
          <w:rFonts w:hint="eastAsia" w:ascii="宋体" w:hAnsi="宋体" w:cs="宋体"/>
          <w:color w:val="auto"/>
          <w:kern w:val="0"/>
          <w:highlight w:val="none"/>
          <w:u w:val="none"/>
          <w:lang w:val="zh-CN"/>
        </w:rPr>
        <w:t>人民币（大写）：             元。</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乙方向甲方提交的合同价</w:t>
      </w:r>
      <w:r>
        <w:rPr>
          <w:rFonts w:hint="eastAsia" w:ascii="宋体" w:hAnsi="宋体" w:cs="宋体"/>
          <w:color w:val="auto"/>
          <w:kern w:val="0"/>
          <w:highlight w:val="none"/>
          <w:u w:val="none"/>
          <w:lang w:val="en-US" w:eastAsia="zh-CN"/>
        </w:rPr>
        <w:t>的</w:t>
      </w:r>
      <w:r>
        <w:rPr>
          <w:rFonts w:hint="eastAsia" w:ascii="宋体" w:hAnsi="宋体" w:cs="宋体"/>
          <w:color w:val="auto"/>
          <w:kern w:val="0"/>
          <w:highlight w:val="none"/>
          <w:u w:val="none"/>
        </w:rPr>
        <w:t>10%</w:t>
      </w:r>
      <w:r>
        <w:rPr>
          <w:rFonts w:hint="eastAsia" w:ascii="宋体" w:hAnsi="宋体" w:cs="宋体"/>
          <w:color w:val="auto"/>
          <w:kern w:val="0"/>
          <w:highlight w:val="none"/>
          <w:u w:val="none"/>
          <w:lang w:val="en-US" w:eastAsia="zh-CN"/>
        </w:rPr>
        <w:t>为</w:t>
      </w:r>
      <w:r>
        <w:rPr>
          <w:rFonts w:hint="eastAsia" w:ascii="宋体" w:hAnsi="宋体" w:cs="宋体"/>
          <w:color w:val="auto"/>
          <w:kern w:val="0"/>
          <w:highlight w:val="none"/>
          <w:u w:val="none"/>
          <w:lang w:val="zh-CN"/>
        </w:rPr>
        <w:t>履约保证金，计（大写）        元；</w:t>
      </w:r>
      <w:r>
        <w:rPr>
          <w:rFonts w:hint="eastAsia" w:ascii="宋体" w:hAnsi="宋体" w:cs="宋体"/>
          <w:color w:val="auto"/>
          <w:kern w:val="0"/>
          <w:highlight w:val="none"/>
          <w:u w:val="none"/>
          <w:lang w:val="en-US" w:eastAsia="zh-CN"/>
        </w:rPr>
        <w:t>项目整体验收合格后，</w:t>
      </w:r>
      <w:r>
        <w:rPr>
          <w:rFonts w:hint="eastAsia" w:ascii="宋体" w:hAnsi="宋体" w:cs="宋体"/>
          <w:color w:val="auto"/>
          <w:kern w:val="0"/>
          <w:highlight w:val="none"/>
          <w:u w:val="none"/>
          <w:lang w:val="zh-CN"/>
        </w:rPr>
        <w:t xml:space="preserve">履约保证金转为质量保证金。质量保证金待约定的质保期满 </w:t>
      </w:r>
      <w:r>
        <w:rPr>
          <w:rFonts w:hint="eastAsia" w:ascii="宋体" w:hAnsi="宋体" w:cs="宋体"/>
          <w:color w:val="auto"/>
          <w:kern w:val="0"/>
          <w:highlight w:val="none"/>
          <w:u w:val="none"/>
          <w:lang w:val="en-US" w:eastAsia="zh-CN"/>
        </w:rPr>
        <w:t>3</w:t>
      </w:r>
      <w:r>
        <w:rPr>
          <w:rFonts w:hint="eastAsia" w:ascii="宋体" w:hAnsi="宋体" w:cs="宋体"/>
          <w:color w:val="auto"/>
          <w:kern w:val="0"/>
          <w:highlight w:val="none"/>
          <w:u w:val="none"/>
          <w:lang w:val="zh-CN"/>
        </w:rPr>
        <w:t>（年）且产品无质量问题后，由乙方提出书面申请，甲方以转账方式予以退还。</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五、合同的变更、终止与转让</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除《中华人民共和国政府采购法》第</w:t>
      </w:r>
      <w:r>
        <w:rPr>
          <w:rFonts w:hint="eastAsia" w:ascii="宋体" w:hAnsi="宋体" w:cs="宋体"/>
          <w:color w:val="auto"/>
          <w:kern w:val="0"/>
          <w:highlight w:val="none"/>
          <w:u w:val="none"/>
        </w:rPr>
        <w:t>50</w:t>
      </w:r>
      <w:r>
        <w:rPr>
          <w:rFonts w:hint="eastAsia" w:ascii="宋体" w:hAnsi="宋体" w:cs="宋体"/>
          <w:color w:val="auto"/>
          <w:kern w:val="0"/>
          <w:highlight w:val="none"/>
          <w:u w:val="none"/>
          <w:lang w:val="zh-CN"/>
        </w:rPr>
        <w:t>条规定的情形外，本合同一经签订，甲乙双方不得擅自变更、中止或终止。</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乙方不得擅自转让其应履行的合同义务。</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六、违约责任</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因包装、运输引起的货物损坏，按质量不合格处罚。</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4.</w:t>
      </w:r>
      <w:r>
        <w:rPr>
          <w:rFonts w:hint="eastAsia" w:ascii="宋体" w:hAnsi="宋体" w:cs="宋体"/>
          <w:color w:val="auto"/>
          <w:kern w:val="0"/>
          <w:highlight w:val="none"/>
          <w:u w:val="none"/>
          <w:lang w:val="zh-CN"/>
        </w:rPr>
        <w:t>甲方无故延期接受货物和乙方逾期交货的，每天应向对方偿付未交货物的货款</w:t>
      </w: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‰的违约金，但违约金累计不得超过违约货款的</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，超过</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天对方有权解除合同，违约方承担因此给对方造成的经济损失。</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乙方未按本合同和投标文件中规定的服务承诺提供售后服务的，乙方应按本合同合计金额的</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向甲方支付违约金。</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6.</w:t>
      </w:r>
      <w:r>
        <w:rPr>
          <w:rFonts w:hint="eastAsia" w:ascii="宋体" w:hAnsi="宋体" w:cs="宋体"/>
          <w:color w:val="auto"/>
          <w:kern w:val="0"/>
          <w:highlight w:val="none"/>
          <w:u w:val="none"/>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7.</w:t>
      </w:r>
      <w:r>
        <w:rPr>
          <w:rFonts w:hint="eastAsia" w:ascii="宋体" w:hAnsi="宋体" w:cs="宋体"/>
          <w:color w:val="auto"/>
          <w:kern w:val="0"/>
          <w:highlight w:val="none"/>
          <w:u w:val="none"/>
          <w:lang w:val="zh-CN"/>
        </w:rPr>
        <w:t>其它违约行为按违约货款额</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收取违约金并赔偿经济损失。</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七、不可抗力</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lang w:val="zh-CN"/>
        </w:rPr>
        <w:t>不可抗力使合同的某些内容有变更必要的，双方应通过协商在</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天内达成进一步履行合同的协议，因不可抗力致使合同不能履行的，合同终止。</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八、知识产权：详见合同通用条款</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九、其他约定：双方协商</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十、合同争议解决</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诉讼期间，本合同继续履行。</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十一、合同生效及其它</w:t>
      </w:r>
      <w:r>
        <w:rPr>
          <w:rFonts w:hint="eastAsia" w:ascii="宋体" w:hAnsi="宋体" w:cs="宋体"/>
          <w:color w:val="auto"/>
          <w:kern w:val="0"/>
          <w:highlight w:val="none"/>
          <w:u w:val="none"/>
        </w:rPr>
        <w:t>：</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本合同一式八份，经双方签字，并加盖公章即为生效。</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本合同未尽事宜，按经济合同法有关规定处理。</w:t>
      </w:r>
    </w:p>
    <w:p>
      <w:pPr>
        <w:autoSpaceDE w:val="0"/>
        <w:autoSpaceDN w:val="0"/>
        <w:spacing w:line="360" w:lineRule="auto"/>
        <w:ind w:firstLine="360"/>
        <w:rPr>
          <w:rFonts w:ascii="宋体" w:hAnsi="宋体" w:cs="宋体"/>
          <w:color w:val="auto"/>
          <w:kern w:val="0"/>
          <w:highlight w:val="none"/>
          <w:u w:val="none"/>
          <w:lang w:val="zh-CN"/>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本合同的组成包含《合同通用条款》。</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甲方（盖章）：</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乙方（盖章）：</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法定代表人或委托代理人</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法定代表人或委托代理人</w:t>
      </w:r>
      <w:r>
        <w:rPr>
          <w:rFonts w:hint="eastAsia" w:ascii="宋体" w:hAnsi="宋体" w:cs="宋体"/>
          <w:color w:val="auto"/>
          <w:kern w:val="0"/>
          <w:highlight w:val="none"/>
          <w:u w:val="none"/>
        </w:rPr>
        <w:t>：</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开户银行：</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账号：</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地址：</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地址：</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联系电话：</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联系电话：</w:t>
      </w:r>
    </w:p>
    <w:p>
      <w:pPr>
        <w:autoSpaceDE w:val="0"/>
        <w:autoSpaceDN w:val="0"/>
        <w:spacing w:line="360" w:lineRule="auto"/>
        <w:ind w:firstLine="1320" w:firstLineChars="550"/>
        <w:rPr>
          <w:rFonts w:ascii="宋体" w:hAnsi="宋体" w:cs="宋体"/>
          <w:color w:val="auto"/>
          <w:kern w:val="0"/>
          <w:highlight w:val="none"/>
          <w:u w:val="none"/>
        </w:rPr>
      </w:pPr>
      <w:r>
        <w:rPr>
          <w:rFonts w:hint="eastAsia" w:ascii="宋体" w:hAnsi="宋体" w:cs="宋体"/>
          <w:color w:val="auto"/>
          <w:kern w:val="0"/>
          <w:highlight w:val="none"/>
          <w:u w:val="none"/>
          <w:lang w:val="zh-CN"/>
        </w:rPr>
        <w:t>签约时间：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月</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日</w:t>
      </w:r>
    </w:p>
    <w:p>
      <w:pPr>
        <w:autoSpaceDE w:val="0"/>
        <w:autoSpaceDN w:val="0"/>
        <w:spacing w:line="360" w:lineRule="auto"/>
        <w:rPr>
          <w:rFonts w:ascii="宋体" w:hAnsi="宋体" w:cs="宋体"/>
          <w:color w:val="auto"/>
          <w:kern w:val="0"/>
          <w:highlight w:val="none"/>
          <w:u w:val="none"/>
          <w:lang w:val="zh-CN"/>
        </w:rPr>
      </w:pP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采购代理机构：</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负责人或经办人：</w:t>
      </w:r>
    </w:p>
    <w:p>
      <w:pPr>
        <w:autoSpaceDE w:val="0"/>
        <w:autoSpaceDN w:val="0"/>
        <w:adjustRightInd w:val="0"/>
        <w:jc w:val="left"/>
        <w:rPr>
          <w:rFonts w:ascii="宋体" w:cs="宋体"/>
          <w:color w:val="auto"/>
          <w:highlight w:val="none"/>
          <w:u w:val="none"/>
          <w:lang w:val="zh-CN"/>
        </w:rPr>
      </w:pPr>
      <w:r>
        <w:rPr>
          <w:rFonts w:hint="eastAsia" w:ascii="宋体" w:hAnsi="宋体" w:cs="宋体"/>
          <w:color w:val="auto"/>
          <w:kern w:val="0"/>
          <w:highlight w:val="none"/>
          <w:u w:val="none"/>
          <w:lang w:val="zh-CN"/>
        </w:rPr>
        <w:t>时间：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年</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月</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日</w:t>
      </w:r>
      <w:r>
        <w:rPr>
          <w:rFonts w:ascii="宋体" w:cs="宋体"/>
          <w:b/>
          <w:bCs/>
          <w:color w:val="auto"/>
          <w:kern w:val="0"/>
          <w:sz w:val="28"/>
          <w:szCs w:val="28"/>
          <w:highlight w:val="none"/>
          <w:u w:val="none"/>
          <w:lang w:val="zh-CN"/>
        </w:rPr>
        <w:br w:type="page"/>
      </w:r>
    </w:p>
    <w:p>
      <w:pPr>
        <w:autoSpaceDE w:val="0"/>
        <w:autoSpaceDN w:val="0"/>
        <w:spacing w:line="360" w:lineRule="auto"/>
        <w:jc w:val="center"/>
        <w:rPr>
          <w:rFonts w:ascii="宋体" w:hAnsi="宋体" w:cs="宋体"/>
          <w:b/>
          <w:bCs/>
          <w:color w:val="auto"/>
          <w:kern w:val="0"/>
          <w:sz w:val="28"/>
          <w:szCs w:val="28"/>
          <w:highlight w:val="none"/>
          <w:u w:val="none"/>
        </w:rPr>
      </w:pPr>
      <w:r>
        <w:rPr>
          <w:rFonts w:hint="eastAsia" w:ascii="宋体" w:hAnsi="宋体" w:cs="宋体"/>
          <w:b/>
          <w:bCs/>
          <w:color w:val="auto"/>
          <w:kern w:val="0"/>
          <w:sz w:val="28"/>
          <w:szCs w:val="28"/>
          <w:highlight w:val="none"/>
          <w:u w:val="none"/>
          <w:lang w:val="zh-CN"/>
        </w:rPr>
        <w:t>合同通用条款</w:t>
      </w:r>
    </w:p>
    <w:p>
      <w:pPr>
        <w:autoSpaceDE w:val="0"/>
        <w:autoSpaceDN w:val="0"/>
        <w:adjustRightInd w:val="0"/>
        <w:spacing w:line="360" w:lineRule="auto"/>
        <w:rPr>
          <w:rFonts w:ascii="宋体" w:hAnsi="宋体" w:cs="宋体"/>
          <w:color w:val="auto"/>
          <w:kern w:val="0"/>
          <w:sz w:val="28"/>
          <w:szCs w:val="28"/>
          <w:highlight w:val="none"/>
          <w:u w:val="none"/>
        </w:rPr>
      </w:pP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w:t>
      </w:r>
      <w:r>
        <w:rPr>
          <w:rFonts w:hint="eastAsia" w:ascii="宋体" w:hAnsi="宋体" w:cs="宋体"/>
          <w:b/>
          <w:bCs/>
          <w:color w:val="auto"/>
          <w:kern w:val="0"/>
          <w:highlight w:val="none"/>
          <w:u w:val="none"/>
          <w:lang w:val="zh-CN"/>
        </w:rPr>
        <w:t>定义</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本合同中的下列术语应解释为：</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 </w:t>
      </w:r>
      <w:r>
        <w:rPr>
          <w:rFonts w:hint="eastAsia" w:ascii="宋体" w:hAnsi="宋体" w:cs="宋体"/>
          <w:color w:val="auto"/>
          <w:kern w:val="0"/>
          <w:highlight w:val="none"/>
          <w:u w:val="none"/>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1.2 </w:t>
      </w:r>
      <w:r>
        <w:rPr>
          <w:rFonts w:hint="eastAsia" w:ascii="宋体" w:hAnsi="宋体" w:cs="宋体"/>
          <w:color w:val="auto"/>
          <w:kern w:val="0"/>
          <w:highlight w:val="none"/>
          <w:u w:val="none"/>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 </w:t>
      </w:r>
      <w:r>
        <w:rPr>
          <w:rFonts w:hint="eastAsia" w:ascii="宋体" w:hAnsi="宋体" w:cs="宋体"/>
          <w:color w:val="auto"/>
          <w:kern w:val="0"/>
          <w:highlight w:val="none"/>
          <w:u w:val="none"/>
          <w:lang w:val="zh-CN"/>
        </w:rPr>
        <w:t>“合同条款”指本合同条款。</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 </w:t>
      </w:r>
      <w:r>
        <w:rPr>
          <w:rFonts w:hint="eastAsia" w:ascii="宋体" w:hAnsi="宋体" w:cs="宋体"/>
          <w:color w:val="auto"/>
          <w:kern w:val="0"/>
          <w:highlight w:val="none"/>
          <w:u w:val="none"/>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1.5 </w:t>
      </w:r>
      <w:r>
        <w:rPr>
          <w:rFonts w:hint="eastAsia" w:ascii="宋体" w:hAnsi="宋体" w:cs="宋体"/>
          <w:color w:val="auto"/>
          <w:kern w:val="0"/>
          <w:highlight w:val="none"/>
          <w:u w:val="none"/>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1.6 </w:t>
      </w:r>
      <w:r>
        <w:rPr>
          <w:rFonts w:hint="eastAsia" w:ascii="宋体" w:hAnsi="宋体" w:cs="宋体"/>
          <w:color w:val="auto"/>
          <w:kern w:val="0"/>
          <w:highlight w:val="none"/>
          <w:u w:val="none"/>
          <w:lang w:val="zh-CN"/>
        </w:rPr>
        <w:t>“甲方”指购买货物和服务的单位。</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1.7 </w:t>
      </w:r>
      <w:r>
        <w:rPr>
          <w:rFonts w:hint="eastAsia" w:ascii="宋体" w:hAnsi="宋体" w:cs="宋体"/>
          <w:color w:val="auto"/>
          <w:kern w:val="0"/>
          <w:highlight w:val="none"/>
          <w:u w:val="none"/>
          <w:lang w:val="zh-CN"/>
        </w:rPr>
        <w:t>“乙方”指提供本合同条款下货物和服务的公司或其他实体。</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1.8 </w:t>
      </w:r>
      <w:r>
        <w:rPr>
          <w:rFonts w:hint="eastAsia" w:ascii="宋体" w:hAnsi="宋体" w:cs="宋体"/>
          <w:color w:val="auto"/>
          <w:kern w:val="0"/>
          <w:highlight w:val="none"/>
          <w:u w:val="none"/>
          <w:lang w:val="zh-CN"/>
        </w:rPr>
        <w:t>“现场”指合同规定货物将要运至和安装的地点。</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1.9 </w:t>
      </w:r>
      <w:r>
        <w:rPr>
          <w:rFonts w:hint="eastAsia" w:ascii="宋体" w:hAnsi="宋体" w:cs="宋体"/>
          <w:color w:val="auto"/>
          <w:kern w:val="0"/>
          <w:highlight w:val="none"/>
          <w:u w:val="none"/>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1.10 </w:t>
      </w:r>
      <w:r>
        <w:rPr>
          <w:rFonts w:hint="eastAsia" w:ascii="宋体" w:hAnsi="宋体" w:cs="宋体"/>
          <w:color w:val="auto"/>
          <w:kern w:val="0"/>
          <w:highlight w:val="none"/>
          <w:u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1.11 </w:t>
      </w:r>
      <w:r>
        <w:rPr>
          <w:rFonts w:hint="eastAsia" w:ascii="宋体" w:hAnsi="宋体" w:cs="宋体"/>
          <w:color w:val="auto"/>
          <w:kern w:val="0"/>
          <w:highlight w:val="none"/>
          <w:u w:val="none"/>
          <w:lang w:val="zh-CN"/>
        </w:rPr>
        <w:t>原产地：指产品的生产地，或提供服务的来源地。</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 </w:t>
      </w:r>
      <w:r>
        <w:rPr>
          <w:rFonts w:hint="eastAsia" w:ascii="宋体" w:hAnsi="宋体" w:cs="宋体"/>
          <w:color w:val="auto"/>
          <w:kern w:val="0"/>
          <w:highlight w:val="none"/>
          <w:u w:val="none"/>
          <w:lang w:val="zh-CN"/>
        </w:rPr>
        <w:t>“工作日”指国家法定工作日，“天”指日历天数。</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w:t>
      </w:r>
      <w:r>
        <w:rPr>
          <w:rFonts w:hint="eastAsia" w:ascii="宋体" w:hAnsi="宋体" w:cs="宋体"/>
          <w:b/>
          <w:bCs/>
          <w:color w:val="auto"/>
          <w:kern w:val="0"/>
          <w:highlight w:val="none"/>
          <w:u w:val="none"/>
          <w:lang w:val="zh-CN"/>
        </w:rPr>
        <w:t>技术规格要求</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2.1 </w:t>
      </w:r>
      <w:r>
        <w:rPr>
          <w:rFonts w:hint="eastAsia" w:ascii="宋体" w:hAnsi="宋体" w:cs="宋体"/>
          <w:color w:val="auto"/>
          <w:kern w:val="0"/>
          <w:highlight w:val="none"/>
          <w:u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2.2 </w:t>
      </w:r>
      <w:r>
        <w:rPr>
          <w:rFonts w:hint="eastAsia" w:ascii="宋体" w:hAnsi="宋体" w:cs="宋体"/>
          <w:color w:val="auto"/>
          <w:kern w:val="0"/>
          <w:highlight w:val="none"/>
          <w:u w:val="none"/>
          <w:lang w:val="zh-CN"/>
        </w:rPr>
        <w:t>乙方应向甲方提供货物及服务有关的标准的中文文本。</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2.3 </w:t>
      </w:r>
      <w:r>
        <w:rPr>
          <w:rFonts w:hint="eastAsia" w:ascii="宋体" w:hAnsi="宋体" w:cs="宋体"/>
          <w:color w:val="auto"/>
          <w:kern w:val="0"/>
          <w:highlight w:val="none"/>
          <w:u w:val="none"/>
          <w:lang w:val="zh-CN"/>
        </w:rPr>
        <w:t>除非技术规范中另有规定，计量单位均采用中华人民共和国法定计量单位。</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3.</w:t>
      </w:r>
      <w:r>
        <w:rPr>
          <w:rFonts w:hint="eastAsia" w:ascii="宋体" w:hAnsi="宋体" w:cs="宋体"/>
          <w:b/>
          <w:bCs/>
          <w:color w:val="auto"/>
          <w:kern w:val="0"/>
          <w:highlight w:val="none"/>
          <w:u w:val="none"/>
          <w:lang w:val="zh-CN"/>
        </w:rPr>
        <w:t>合同范围</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3.1 </w:t>
      </w:r>
      <w:r>
        <w:rPr>
          <w:rFonts w:hint="eastAsia" w:ascii="宋体" w:hAnsi="宋体" w:cs="宋体"/>
          <w:color w:val="auto"/>
          <w:kern w:val="0"/>
          <w:highlight w:val="none"/>
          <w:u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3.2 </w:t>
      </w:r>
      <w:r>
        <w:rPr>
          <w:rFonts w:hint="eastAsia" w:ascii="宋体" w:hAnsi="宋体" w:cs="宋体"/>
          <w:color w:val="auto"/>
          <w:kern w:val="0"/>
          <w:highlight w:val="none"/>
          <w:u w:val="none"/>
          <w:lang w:val="zh-CN"/>
        </w:rPr>
        <w:t>乙方应负责培训甲方的技术人员。</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3.3 </w:t>
      </w:r>
      <w:r>
        <w:rPr>
          <w:rFonts w:hint="eastAsia" w:ascii="宋体" w:hAnsi="宋体" w:cs="宋体"/>
          <w:color w:val="auto"/>
          <w:kern w:val="0"/>
          <w:highlight w:val="none"/>
          <w:u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4.</w:t>
      </w:r>
      <w:r>
        <w:rPr>
          <w:rFonts w:hint="eastAsia" w:ascii="宋体" w:hAnsi="宋体" w:cs="宋体"/>
          <w:b/>
          <w:bCs/>
          <w:color w:val="auto"/>
          <w:kern w:val="0"/>
          <w:highlight w:val="none"/>
          <w:u w:val="none"/>
          <w:lang w:val="zh-CN"/>
        </w:rPr>
        <w:t>合同文件和资料</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4.1 </w:t>
      </w:r>
      <w:r>
        <w:rPr>
          <w:rFonts w:hint="eastAsia" w:ascii="宋体" w:hAnsi="宋体" w:cs="宋体"/>
          <w:color w:val="auto"/>
          <w:kern w:val="0"/>
          <w:highlight w:val="none"/>
          <w:u w:val="none"/>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4.2 </w:t>
      </w:r>
      <w:r>
        <w:rPr>
          <w:rFonts w:hint="eastAsia" w:ascii="宋体" w:hAnsi="宋体" w:cs="宋体"/>
          <w:color w:val="auto"/>
          <w:kern w:val="0"/>
          <w:highlight w:val="none"/>
          <w:u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5.</w:t>
      </w:r>
      <w:r>
        <w:rPr>
          <w:rFonts w:hint="eastAsia" w:ascii="宋体" w:hAnsi="宋体" w:cs="宋体"/>
          <w:b/>
          <w:bCs/>
          <w:color w:val="auto"/>
          <w:kern w:val="0"/>
          <w:highlight w:val="none"/>
          <w:u w:val="none"/>
          <w:lang w:val="zh-CN"/>
        </w:rPr>
        <w:t>知识产权</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5.1 </w:t>
      </w:r>
      <w:r>
        <w:rPr>
          <w:rFonts w:hint="eastAsia" w:ascii="宋体" w:hAnsi="宋体" w:cs="宋体"/>
          <w:color w:val="auto"/>
          <w:kern w:val="0"/>
          <w:highlight w:val="none"/>
          <w:u w:val="none"/>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5.2 </w:t>
      </w:r>
      <w:r>
        <w:rPr>
          <w:rFonts w:hint="eastAsia" w:ascii="宋体" w:hAnsi="宋体" w:cs="宋体"/>
          <w:color w:val="auto"/>
          <w:kern w:val="0"/>
          <w:highlight w:val="none"/>
          <w:u w:val="none"/>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5.3 </w:t>
      </w:r>
      <w:r>
        <w:rPr>
          <w:rFonts w:hint="eastAsia" w:ascii="宋体" w:hAnsi="宋体" w:cs="宋体"/>
          <w:color w:val="auto"/>
          <w:kern w:val="0"/>
          <w:highlight w:val="none"/>
          <w:u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5.4 </w:t>
      </w:r>
      <w:r>
        <w:rPr>
          <w:rFonts w:hint="eastAsia" w:ascii="宋体" w:hAnsi="宋体" w:cs="宋体"/>
          <w:color w:val="auto"/>
          <w:kern w:val="0"/>
          <w:highlight w:val="none"/>
          <w:u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5.5 </w:t>
      </w:r>
      <w:r>
        <w:rPr>
          <w:rFonts w:hint="eastAsia" w:ascii="宋体" w:hAnsi="宋体" w:cs="宋体"/>
          <w:color w:val="auto"/>
          <w:kern w:val="0"/>
          <w:highlight w:val="none"/>
          <w:u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6.</w:t>
      </w:r>
      <w:r>
        <w:rPr>
          <w:rFonts w:hint="eastAsia" w:ascii="宋体" w:hAnsi="宋体" w:cs="宋体"/>
          <w:b/>
          <w:bCs/>
          <w:color w:val="auto"/>
          <w:kern w:val="0"/>
          <w:highlight w:val="none"/>
          <w:u w:val="none"/>
          <w:lang w:val="zh-CN"/>
        </w:rPr>
        <w:t>保密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6.1 </w:t>
      </w:r>
      <w:r>
        <w:rPr>
          <w:rFonts w:hint="eastAsia" w:ascii="宋体" w:hAnsi="宋体" w:cs="宋体"/>
          <w:color w:val="auto"/>
          <w:kern w:val="0"/>
          <w:highlight w:val="none"/>
          <w:u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6.2 </w:t>
      </w:r>
      <w:r>
        <w:rPr>
          <w:rFonts w:hint="eastAsia" w:ascii="宋体" w:hAnsi="宋体" w:cs="宋体"/>
          <w:color w:val="auto"/>
          <w:kern w:val="0"/>
          <w:highlight w:val="none"/>
          <w:u w:val="none"/>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6.2.1 </w:t>
      </w:r>
      <w:r>
        <w:rPr>
          <w:rFonts w:hint="eastAsia" w:ascii="宋体" w:hAnsi="宋体" w:cs="宋体"/>
          <w:color w:val="auto"/>
          <w:kern w:val="0"/>
          <w:highlight w:val="none"/>
          <w:u w:val="none"/>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6.2.2 </w:t>
      </w:r>
      <w:r>
        <w:rPr>
          <w:rFonts w:hint="eastAsia" w:ascii="宋体" w:hAnsi="宋体" w:cs="宋体"/>
          <w:color w:val="auto"/>
          <w:kern w:val="0"/>
          <w:highlight w:val="none"/>
          <w:u w:val="none"/>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6.2.3 </w:t>
      </w:r>
      <w:r>
        <w:rPr>
          <w:rFonts w:hint="eastAsia" w:ascii="宋体" w:hAnsi="宋体" w:cs="宋体"/>
          <w:color w:val="auto"/>
          <w:kern w:val="0"/>
          <w:highlight w:val="none"/>
          <w:u w:val="none"/>
          <w:lang w:val="zh-CN"/>
        </w:rPr>
        <w:t>任何对方的技术秘密或专有知识、文件</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、报告、数据、客户软件、流程图、数据库、发明、知识、贸易秘密。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6.3 </w:t>
      </w:r>
      <w:r>
        <w:rPr>
          <w:rFonts w:hint="eastAsia" w:ascii="宋体" w:hAnsi="宋体" w:cs="宋体"/>
          <w:color w:val="auto"/>
          <w:kern w:val="0"/>
          <w:highlight w:val="none"/>
          <w:u w:val="none"/>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 xml:space="preserve">7. </w:t>
      </w:r>
      <w:r>
        <w:rPr>
          <w:rFonts w:hint="eastAsia" w:ascii="宋体" w:hAnsi="宋体" w:cs="宋体"/>
          <w:b/>
          <w:bCs/>
          <w:color w:val="auto"/>
          <w:kern w:val="0"/>
          <w:highlight w:val="none"/>
          <w:u w:val="none"/>
          <w:lang w:val="zh-CN"/>
        </w:rPr>
        <w:t>质量保证</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 </w:t>
      </w:r>
      <w:r>
        <w:rPr>
          <w:rFonts w:hint="eastAsia" w:ascii="宋体" w:hAnsi="宋体" w:cs="宋体"/>
          <w:color w:val="auto"/>
          <w:kern w:val="0"/>
          <w:highlight w:val="none"/>
          <w:u w:val="none"/>
          <w:lang w:val="zh-CN"/>
        </w:rPr>
        <w:t>货物质量保证</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7.1.1 </w:t>
      </w:r>
      <w:r>
        <w:rPr>
          <w:rFonts w:hint="eastAsia" w:ascii="宋体" w:hAnsi="宋体" w:cs="宋体"/>
          <w:color w:val="auto"/>
          <w:kern w:val="0"/>
          <w:highlight w:val="none"/>
          <w:u w:val="none"/>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7.1.2 </w:t>
      </w:r>
      <w:r>
        <w:rPr>
          <w:rFonts w:hint="eastAsia" w:ascii="宋体" w:hAnsi="宋体" w:cs="宋体"/>
          <w:color w:val="auto"/>
          <w:kern w:val="0"/>
          <w:highlight w:val="none"/>
          <w:u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7.1.3 </w:t>
      </w:r>
      <w:r>
        <w:rPr>
          <w:rFonts w:hint="eastAsia" w:ascii="宋体" w:hAnsi="宋体" w:cs="宋体"/>
          <w:color w:val="auto"/>
          <w:kern w:val="0"/>
          <w:highlight w:val="none"/>
          <w:u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7.1.4 </w:t>
      </w:r>
      <w:r>
        <w:rPr>
          <w:rFonts w:hint="eastAsia" w:ascii="宋体" w:hAnsi="宋体" w:cs="宋体"/>
          <w:color w:val="auto"/>
          <w:kern w:val="0"/>
          <w:highlight w:val="none"/>
          <w:u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7.1.5 </w:t>
      </w:r>
      <w:r>
        <w:rPr>
          <w:rFonts w:hint="eastAsia" w:ascii="宋体" w:hAnsi="宋体" w:cs="宋体"/>
          <w:color w:val="auto"/>
          <w:kern w:val="0"/>
          <w:highlight w:val="none"/>
          <w:u w:val="none"/>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7.2 </w:t>
      </w:r>
      <w:r>
        <w:rPr>
          <w:rFonts w:hint="eastAsia" w:ascii="宋体" w:hAnsi="宋体" w:cs="宋体"/>
          <w:color w:val="auto"/>
          <w:kern w:val="0"/>
          <w:highlight w:val="none"/>
          <w:u w:val="none"/>
          <w:lang w:val="zh-CN"/>
        </w:rPr>
        <w:t>辅助服务质量保证</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7.2.1 </w:t>
      </w:r>
      <w:r>
        <w:rPr>
          <w:rFonts w:hint="eastAsia" w:ascii="宋体" w:hAnsi="宋体" w:cs="宋体"/>
          <w:color w:val="auto"/>
          <w:kern w:val="0"/>
          <w:highlight w:val="none"/>
          <w:u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7.2.2 </w:t>
      </w:r>
      <w:r>
        <w:rPr>
          <w:rFonts w:hint="eastAsia" w:ascii="宋体" w:hAnsi="宋体" w:cs="宋体"/>
          <w:color w:val="auto"/>
          <w:kern w:val="0"/>
          <w:highlight w:val="none"/>
          <w:u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8.</w:t>
      </w:r>
      <w:r>
        <w:rPr>
          <w:rFonts w:hint="eastAsia" w:ascii="宋体" w:hAnsi="宋体" w:cs="宋体"/>
          <w:b/>
          <w:bCs/>
          <w:color w:val="auto"/>
          <w:kern w:val="0"/>
          <w:highlight w:val="none"/>
          <w:u w:val="none"/>
          <w:lang w:val="zh-CN"/>
        </w:rPr>
        <w:t>包装要求</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8.1 </w:t>
      </w:r>
      <w:r>
        <w:rPr>
          <w:rFonts w:hint="eastAsia" w:ascii="宋体" w:hAnsi="宋体" w:cs="宋体"/>
          <w:color w:val="auto"/>
          <w:kern w:val="0"/>
          <w:highlight w:val="none"/>
          <w:u w:val="none"/>
          <w:lang w:val="zh-CN"/>
        </w:rPr>
        <w:t>除合同另有约定外</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乙方提供的全部货物</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8.2 </w:t>
      </w:r>
      <w:r>
        <w:rPr>
          <w:rFonts w:hint="eastAsia" w:ascii="宋体" w:hAnsi="宋体" w:cs="宋体"/>
          <w:color w:val="auto"/>
          <w:kern w:val="0"/>
          <w:highlight w:val="none"/>
          <w:u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8.3 </w:t>
      </w:r>
      <w:r>
        <w:rPr>
          <w:rFonts w:hint="eastAsia" w:ascii="宋体" w:hAnsi="宋体" w:cs="宋体"/>
          <w:color w:val="auto"/>
          <w:kern w:val="0"/>
          <w:highlight w:val="none"/>
          <w:u w:val="none"/>
          <w:lang w:val="zh-CN"/>
        </w:rPr>
        <w:t>乙方所提供的货物包装均为出厂时原包装。</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8.4 </w:t>
      </w:r>
      <w:r>
        <w:rPr>
          <w:rFonts w:hint="eastAsia" w:ascii="宋体" w:hAnsi="宋体" w:cs="宋体"/>
          <w:color w:val="auto"/>
          <w:kern w:val="0"/>
          <w:highlight w:val="none"/>
          <w:u w:val="none"/>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8.5 </w:t>
      </w:r>
      <w:r>
        <w:rPr>
          <w:rFonts w:hint="eastAsia" w:ascii="宋体" w:hAnsi="宋体" w:cs="宋体"/>
          <w:color w:val="auto"/>
          <w:kern w:val="0"/>
          <w:highlight w:val="none"/>
          <w:u w:val="none"/>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9.</w:t>
      </w:r>
      <w:r>
        <w:rPr>
          <w:rFonts w:hint="eastAsia" w:ascii="宋体" w:hAnsi="宋体" w:cs="宋体"/>
          <w:b/>
          <w:bCs/>
          <w:color w:val="auto"/>
          <w:kern w:val="0"/>
          <w:highlight w:val="none"/>
          <w:u w:val="none"/>
          <w:lang w:val="zh-CN"/>
        </w:rPr>
        <w:t>价格</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9.1 </w:t>
      </w:r>
      <w:r>
        <w:rPr>
          <w:rFonts w:hint="eastAsia" w:ascii="宋体" w:hAnsi="宋体" w:cs="宋体"/>
          <w:color w:val="auto"/>
          <w:kern w:val="0"/>
          <w:highlight w:val="none"/>
          <w:u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9.2 </w:t>
      </w:r>
      <w:r>
        <w:rPr>
          <w:rFonts w:hint="eastAsia" w:ascii="宋体" w:hAnsi="宋体" w:cs="宋体"/>
          <w:color w:val="auto"/>
          <w:kern w:val="0"/>
          <w:highlight w:val="none"/>
          <w:u w:val="none"/>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9.3 </w:t>
      </w:r>
      <w:r>
        <w:rPr>
          <w:rFonts w:hint="eastAsia" w:ascii="宋体" w:hAnsi="宋体" w:cs="宋体"/>
          <w:color w:val="auto"/>
          <w:kern w:val="0"/>
          <w:highlight w:val="none"/>
          <w:u w:val="none"/>
          <w:lang w:val="zh-CN"/>
        </w:rPr>
        <w:t>检验费用</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9.3.1 </w:t>
      </w:r>
      <w:r>
        <w:rPr>
          <w:rFonts w:hint="eastAsia" w:ascii="宋体" w:hAnsi="宋体" w:cs="宋体"/>
          <w:color w:val="auto"/>
          <w:kern w:val="0"/>
          <w:highlight w:val="none"/>
          <w:u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9.3.2 </w:t>
      </w:r>
      <w:r>
        <w:rPr>
          <w:rFonts w:hint="eastAsia" w:ascii="宋体" w:hAnsi="宋体" w:cs="宋体"/>
          <w:color w:val="auto"/>
          <w:kern w:val="0"/>
          <w:highlight w:val="none"/>
          <w:u w:val="none"/>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9.3.3 </w:t>
      </w:r>
      <w:r>
        <w:rPr>
          <w:rFonts w:hint="eastAsia" w:ascii="宋体" w:hAnsi="宋体" w:cs="宋体"/>
          <w:color w:val="auto"/>
          <w:kern w:val="0"/>
          <w:highlight w:val="none"/>
          <w:u w:val="none"/>
          <w:lang w:val="zh-CN"/>
        </w:rPr>
        <w:t>甲方检验人员已到卖方所在地，测试无法依照合同进行，</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10.</w:t>
      </w:r>
      <w:r>
        <w:rPr>
          <w:rFonts w:hint="eastAsia" w:ascii="宋体" w:hAnsi="宋体" w:cs="宋体"/>
          <w:b/>
          <w:bCs/>
          <w:color w:val="auto"/>
          <w:kern w:val="0"/>
          <w:highlight w:val="none"/>
          <w:u w:val="none"/>
          <w:lang w:val="zh-CN"/>
        </w:rPr>
        <w:t>交货方式及交货日期</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交货方式：现场交货，乙方负责办理运输和保险，将货物运抵现场。</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交货日期：所有货物运抵现场并经双方开箱验收合格之日。</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b/>
          <w:bCs/>
          <w:color w:val="auto"/>
          <w:kern w:val="0"/>
          <w:highlight w:val="none"/>
          <w:u w:val="none"/>
          <w:lang w:val="zh-CN"/>
        </w:rPr>
        <w:t>11.检验和验收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11.1 </w:t>
      </w:r>
      <w:r>
        <w:rPr>
          <w:rFonts w:hint="eastAsia" w:ascii="宋体" w:hAnsi="宋体" w:cs="宋体"/>
          <w:color w:val="auto"/>
          <w:kern w:val="0"/>
          <w:highlight w:val="none"/>
          <w:u w:val="none"/>
          <w:lang w:val="zh-CN"/>
        </w:rPr>
        <w:t>开箱验收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11.1.1 </w:t>
      </w:r>
      <w:r>
        <w:rPr>
          <w:rFonts w:hint="eastAsia" w:ascii="宋体" w:hAnsi="宋体" w:cs="宋体"/>
          <w:color w:val="auto"/>
          <w:kern w:val="0"/>
          <w:highlight w:val="none"/>
          <w:u w:val="none"/>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11.1.2 </w:t>
      </w:r>
      <w:r>
        <w:rPr>
          <w:rFonts w:hint="eastAsia" w:ascii="宋体" w:hAnsi="宋体" w:cs="宋体"/>
          <w:color w:val="auto"/>
          <w:kern w:val="0"/>
          <w:highlight w:val="none"/>
          <w:u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11.1.3 </w:t>
      </w:r>
      <w:r>
        <w:rPr>
          <w:rFonts w:hint="eastAsia" w:ascii="宋体" w:hAnsi="宋体" w:cs="宋体"/>
          <w:color w:val="auto"/>
          <w:kern w:val="0"/>
          <w:highlight w:val="none"/>
          <w:u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 </w:t>
      </w:r>
      <w:r>
        <w:rPr>
          <w:rFonts w:hint="eastAsia" w:ascii="宋体" w:hAnsi="宋体" w:cs="宋体"/>
          <w:color w:val="auto"/>
          <w:kern w:val="0"/>
          <w:highlight w:val="none"/>
          <w:u w:val="none"/>
          <w:lang w:val="zh-CN"/>
        </w:rPr>
        <w:t>检验验收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11.2.1 </w:t>
      </w:r>
      <w:r>
        <w:rPr>
          <w:rFonts w:hint="eastAsia" w:ascii="宋体" w:hAnsi="宋体" w:cs="宋体"/>
          <w:color w:val="auto"/>
          <w:kern w:val="0"/>
          <w:highlight w:val="none"/>
          <w:u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11.2.2 </w:t>
      </w:r>
      <w:r>
        <w:rPr>
          <w:rFonts w:hint="eastAsia" w:ascii="宋体" w:hAnsi="宋体" w:cs="宋体"/>
          <w:color w:val="auto"/>
          <w:kern w:val="0"/>
          <w:highlight w:val="none"/>
          <w:u w:val="none"/>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11.2.3 </w:t>
      </w:r>
      <w:r>
        <w:rPr>
          <w:rFonts w:hint="eastAsia" w:ascii="宋体" w:hAnsi="宋体" w:cs="宋体"/>
          <w:color w:val="auto"/>
          <w:kern w:val="0"/>
          <w:highlight w:val="none"/>
          <w:u w:val="none"/>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11.2.4 </w:t>
      </w:r>
      <w:r>
        <w:rPr>
          <w:rFonts w:hint="eastAsia" w:ascii="宋体" w:hAnsi="宋体" w:cs="宋体"/>
          <w:color w:val="auto"/>
          <w:kern w:val="0"/>
          <w:highlight w:val="none"/>
          <w:u w:val="none"/>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a.</w:t>
      </w:r>
      <w:r>
        <w:rPr>
          <w:rFonts w:hint="eastAsia" w:ascii="宋体" w:hAnsi="宋体" w:cs="宋体"/>
          <w:color w:val="auto"/>
          <w:kern w:val="0"/>
          <w:highlight w:val="none"/>
          <w:u w:val="none"/>
          <w:lang w:val="zh-CN"/>
        </w:rPr>
        <w:t>重新测试直至合格为止；</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b.</w:t>
      </w:r>
      <w:r>
        <w:rPr>
          <w:rFonts w:hint="eastAsia" w:ascii="宋体" w:hAnsi="宋体" w:cs="宋体"/>
          <w:color w:val="auto"/>
          <w:kern w:val="0"/>
          <w:highlight w:val="none"/>
          <w:u w:val="none"/>
          <w:lang w:val="zh-CN"/>
        </w:rPr>
        <w:t>要求乙方对货物进行免费更换，然后重新测试直至合格为止；</w:t>
      </w:r>
    </w:p>
    <w:p>
      <w:pPr>
        <w:autoSpaceDE w:val="0"/>
        <w:autoSpaceDN w:val="0"/>
        <w:spacing w:line="360" w:lineRule="auto"/>
        <w:rPr>
          <w:rFonts w:ascii="宋体" w:hAnsi="宋体" w:cs="宋体"/>
          <w:color w:val="auto"/>
          <w:kern w:val="0"/>
          <w:highlight w:val="none"/>
          <w:u w:val="none"/>
        </w:rPr>
      </w:pPr>
      <w:r>
        <w:rPr>
          <w:rFonts w:hint="eastAsia" w:ascii="宋体" w:hAnsi="宋体" w:cs="宋体"/>
          <w:color w:val="auto"/>
          <w:kern w:val="0"/>
          <w:highlight w:val="none"/>
          <w:u w:val="none"/>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11.3 </w:t>
      </w:r>
      <w:r>
        <w:rPr>
          <w:rFonts w:hint="eastAsia" w:ascii="宋体" w:hAnsi="宋体" w:cs="宋体"/>
          <w:color w:val="auto"/>
          <w:kern w:val="0"/>
          <w:highlight w:val="none"/>
          <w:u w:val="none"/>
          <w:lang w:val="zh-CN"/>
        </w:rPr>
        <w:t>使用过程检验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11.3.1 </w:t>
      </w:r>
      <w:r>
        <w:rPr>
          <w:rFonts w:hint="eastAsia" w:ascii="宋体" w:hAnsi="宋体" w:cs="宋体"/>
          <w:color w:val="auto"/>
          <w:kern w:val="0"/>
          <w:highlight w:val="none"/>
          <w:u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11.3.2 </w:t>
      </w:r>
      <w:r>
        <w:rPr>
          <w:rFonts w:hint="eastAsia" w:ascii="宋体" w:hAnsi="宋体" w:cs="宋体"/>
          <w:color w:val="auto"/>
          <w:kern w:val="0"/>
          <w:highlight w:val="none"/>
          <w:u w:val="none"/>
          <w:lang w:val="zh-CN"/>
        </w:rPr>
        <w:t>如果合同双方对乙方提供的上述试验结果报告的解释有分歧，双方须于出现分歧后</w:t>
      </w:r>
      <w:r>
        <w:rPr>
          <w:rFonts w:hint="eastAsia" w:ascii="宋体" w:hAnsi="宋体" w:cs="宋体"/>
          <w:color w:val="auto"/>
          <w:kern w:val="0"/>
          <w:highlight w:val="none"/>
          <w:u w:val="none"/>
        </w:rPr>
        <w:t>10</w:t>
      </w:r>
      <w:r>
        <w:rPr>
          <w:rFonts w:hint="eastAsia" w:ascii="宋体" w:hAnsi="宋体" w:cs="宋体"/>
          <w:color w:val="auto"/>
          <w:kern w:val="0"/>
          <w:highlight w:val="none"/>
          <w:u w:val="none"/>
          <w:lang w:val="zh-CN"/>
        </w:rPr>
        <w:t>天内给对方声明，以陈述己方的观点。声明须附有关证据。分歧应通过协商解决。</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12.</w:t>
      </w:r>
      <w:r>
        <w:rPr>
          <w:rFonts w:hint="eastAsia" w:ascii="宋体" w:hAnsi="宋体" w:cs="宋体"/>
          <w:b/>
          <w:bCs/>
          <w:color w:val="auto"/>
          <w:kern w:val="0"/>
          <w:highlight w:val="none"/>
          <w:u w:val="none"/>
          <w:lang w:val="zh-CN"/>
        </w:rPr>
        <w:t>付款方法和条件</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本合同条款下的付款方法和条件在“青海省政府采购项目合同书”中具体规定。</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13.</w:t>
      </w:r>
      <w:r>
        <w:rPr>
          <w:rFonts w:hint="eastAsia" w:ascii="宋体" w:hAnsi="宋体" w:cs="宋体"/>
          <w:b/>
          <w:bCs/>
          <w:color w:val="auto"/>
          <w:kern w:val="0"/>
          <w:highlight w:val="none"/>
          <w:u w:val="none"/>
          <w:lang w:val="zh-CN"/>
        </w:rPr>
        <w:t>履约保证金</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13.1 </w:t>
      </w:r>
      <w:r>
        <w:rPr>
          <w:rFonts w:hint="eastAsia" w:ascii="宋体" w:hAnsi="宋体" w:cs="宋体"/>
          <w:color w:val="auto"/>
          <w:kern w:val="0"/>
          <w:highlight w:val="none"/>
          <w:u w:val="none"/>
          <w:lang w:val="zh-CN"/>
        </w:rPr>
        <w:t>乙方应在合同签订前，按招标文件第</w:t>
      </w:r>
      <w:r>
        <w:rPr>
          <w:rFonts w:hint="eastAsia" w:ascii="宋体" w:hAnsi="宋体" w:cs="宋体"/>
          <w:color w:val="auto"/>
          <w:kern w:val="0"/>
          <w:highlight w:val="none"/>
          <w:u w:val="none"/>
        </w:rPr>
        <w:t>二</w:t>
      </w:r>
      <w:r>
        <w:rPr>
          <w:rFonts w:hint="eastAsia" w:ascii="宋体" w:hAnsi="宋体" w:cs="宋体"/>
          <w:color w:val="auto"/>
          <w:kern w:val="0"/>
          <w:highlight w:val="none"/>
          <w:u w:val="none"/>
          <w:lang w:val="zh-CN"/>
        </w:rPr>
        <w:t>部分“八 授予合同”中第22.2项的约定提交履约保证金。</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13.2 </w:t>
      </w:r>
      <w:r>
        <w:rPr>
          <w:rFonts w:hint="eastAsia" w:ascii="宋体" w:hAnsi="宋体" w:cs="宋体"/>
          <w:color w:val="auto"/>
          <w:kern w:val="0"/>
          <w:highlight w:val="none"/>
          <w:u w:val="none"/>
          <w:lang w:val="zh-CN"/>
        </w:rPr>
        <w:t>履约保证金用于补偿甲方因乙方不能履行其合同义务而蒙受的损失。</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13.3 </w:t>
      </w:r>
      <w:r>
        <w:rPr>
          <w:rFonts w:hint="eastAsia" w:ascii="宋体" w:hAnsi="宋体" w:cs="宋体"/>
          <w:color w:val="auto"/>
          <w:kern w:val="0"/>
          <w:highlight w:val="none"/>
          <w:u w:val="none"/>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13.3.1 </w:t>
      </w:r>
      <w:r>
        <w:rPr>
          <w:rFonts w:hint="eastAsia" w:ascii="宋体" w:hAnsi="宋体" w:cs="宋体"/>
          <w:color w:val="auto"/>
          <w:kern w:val="0"/>
          <w:highlight w:val="none"/>
          <w:u w:val="none"/>
          <w:lang w:val="zh-CN"/>
        </w:rPr>
        <w:t>甲方可接受的在中华人民共和国注册和营业的银行出具的履约保函；</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13.3.2 </w:t>
      </w:r>
      <w:r>
        <w:rPr>
          <w:rFonts w:hint="eastAsia" w:ascii="宋体" w:hAnsi="宋体" w:cs="宋体"/>
          <w:color w:val="auto"/>
          <w:kern w:val="0"/>
          <w:highlight w:val="none"/>
          <w:u w:val="none"/>
          <w:lang w:val="zh-CN"/>
        </w:rPr>
        <w:t>支票或汇票。</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13.4 </w:t>
      </w:r>
      <w:r>
        <w:rPr>
          <w:rFonts w:hint="eastAsia" w:ascii="宋体" w:hAnsi="宋体" w:cs="宋体"/>
          <w:color w:val="auto"/>
          <w:kern w:val="0"/>
          <w:highlight w:val="none"/>
          <w:u w:val="none"/>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14.</w:t>
      </w:r>
      <w:r>
        <w:rPr>
          <w:rFonts w:hint="eastAsia" w:ascii="宋体" w:hAnsi="宋体" w:cs="宋体"/>
          <w:b/>
          <w:bCs/>
          <w:color w:val="auto"/>
          <w:kern w:val="0"/>
          <w:highlight w:val="none"/>
          <w:u w:val="none"/>
          <w:lang w:val="zh-CN"/>
        </w:rPr>
        <w:t>索赔</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14.1 </w:t>
      </w:r>
      <w:r>
        <w:rPr>
          <w:rFonts w:hint="eastAsia" w:ascii="宋体" w:hAnsi="宋体" w:cs="宋体"/>
          <w:color w:val="auto"/>
          <w:kern w:val="0"/>
          <w:highlight w:val="none"/>
          <w:u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14.2 </w:t>
      </w:r>
      <w:r>
        <w:rPr>
          <w:rFonts w:hint="eastAsia" w:ascii="宋体" w:hAnsi="宋体" w:cs="宋体"/>
          <w:color w:val="auto"/>
          <w:kern w:val="0"/>
          <w:highlight w:val="none"/>
          <w:u w:val="none"/>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14.2.1 </w:t>
      </w:r>
      <w:r>
        <w:rPr>
          <w:rFonts w:hint="eastAsia" w:ascii="宋体" w:hAnsi="宋体" w:cs="宋体"/>
          <w:color w:val="auto"/>
          <w:kern w:val="0"/>
          <w:highlight w:val="none"/>
          <w:u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14.2.2 </w:t>
      </w:r>
      <w:r>
        <w:rPr>
          <w:rFonts w:hint="eastAsia" w:ascii="宋体" w:hAnsi="宋体" w:cs="宋体"/>
          <w:color w:val="auto"/>
          <w:kern w:val="0"/>
          <w:highlight w:val="none"/>
          <w:u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14.2.3 </w:t>
      </w:r>
      <w:r>
        <w:rPr>
          <w:rFonts w:hint="eastAsia" w:ascii="宋体" w:hAnsi="宋体" w:cs="宋体"/>
          <w:color w:val="auto"/>
          <w:kern w:val="0"/>
          <w:highlight w:val="none"/>
          <w:u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14.3 </w:t>
      </w:r>
      <w:r>
        <w:rPr>
          <w:rFonts w:hint="eastAsia" w:ascii="宋体" w:hAnsi="宋体" w:cs="宋体"/>
          <w:color w:val="auto"/>
          <w:kern w:val="0"/>
          <w:highlight w:val="none"/>
          <w:u w:val="none"/>
          <w:lang w:val="zh-CN"/>
        </w:rPr>
        <w:t>乙方收到甲方发出的索赔通知之日起</w:t>
      </w:r>
      <w:r>
        <w:rPr>
          <w:rFonts w:hint="eastAsia" w:ascii="宋体" w:hAnsi="宋体" w:cs="宋体"/>
          <w:color w:val="auto"/>
          <w:kern w:val="0"/>
          <w:highlight w:val="none"/>
          <w:u w:val="none"/>
        </w:rPr>
        <w:t>5</w:t>
      </w:r>
      <w:r>
        <w:rPr>
          <w:rFonts w:hint="eastAsia" w:ascii="宋体" w:hAnsi="宋体" w:cs="宋体"/>
          <w:color w:val="auto"/>
          <w:kern w:val="0"/>
          <w:highlight w:val="none"/>
          <w:u w:val="none"/>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15.</w:t>
      </w:r>
      <w:r>
        <w:rPr>
          <w:rFonts w:hint="eastAsia" w:ascii="宋体" w:hAnsi="宋体" w:cs="宋体"/>
          <w:b/>
          <w:bCs/>
          <w:color w:val="auto"/>
          <w:kern w:val="0"/>
          <w:highlight w:val="none"/>
          <w:u w:val="none"/>
          <w:lang w:val="zh-CN"/>
        </w:rPr>
        <w:t>迟延交货</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15.1 </w:t>
      </w:r>
      <w:r>
        <w:rPr>
          <w:rFonts w:hint="eastAsia" w:ascii="宋体" w:hAnsi="宋体" w:cs="宋体"/>
          <w:color w:val="auto"/>
          <w:kern w:val="0"/>
          <w:highlight w:val="none"/>
          <w:u w:val="none"/>
          <w:lang w:val="zh-CN"/>
        </w:rPr>
        <w:t>乙方应按照合同约定的时间交货和提供服务。</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15.2 </w:t>
      </w:r>
      <w:r>
        <w:rPr>
          <w:rFonts w:hint="eastAsia" w:ascii="宋体" w:hAnsi="宋体" w:cs="宋体"/>
          <w:color w:val="auto"/>
          <w:kern w:val="0"/>
          <w:highlight w:val="none"/>
          <w:u w:val="none"/>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15.3 </w:t>
      </w:r>
      <w:r>
        <w:rPr>
          <w:rFonts w:hint="eastAsia" w:ascii="宋体" w:hAnsi="宋体" w:cs="宋体"/>
          <w:color w:val="auto"/>
          <w:kern w:val="0"/>
          <w:highlight w:val="none"/>
          <w:u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16.</w:t>
      </w:r>
      <w:r>
        <w:rPr>
          <w:rFonts w:hint="eastAsia" w:ascii="宋体" w:hAnsi="宋体" w:cs="宋体"/>
          <w:b/>
          <w:bCs/>
          <w:color w:val="auto"/>
          <w:kern w:val="0"/>
          <w:highlight w:val="none"/>
          <w:u w:val="none"/>
          <w:lang w:val="zh-CN"/>
        </w:rPr>
        <w:t>违约赔偿</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17.</w:t>
      </w:r>
      <w:r>
        <w:rPr>
          <w:rFonts w:hint="eastAsia" w:ascii="宋体" w:hAnsi="宋体" w:cs="宋体"/>
          <w:b/>
          <w:bCs/>
          <w:color w:val="auto"/>
          <w:kern w:val="0"/>
          <w:highlight w:val="none"/>
          <w:u w:val="none"/>
          <w:lang w:val="zh-CN"/>
        </w:rPr>
        <w:t>不可抗力</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17.1 </w:t>
      </w:r>
      <w:r>
        <w:rPr>
          <w:rFonts w:hint="eastAsia" w:ascii="宋体" w:hAnsi="宋体" w:cs="宋体"/>
          <w:color w:val="auto"/>
          <w:kern w:val="0"/>
          <w:highlight w:val="none"/>
          <w:u w:val="none"/>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17.2 </w:t>
      </w:r>
      <w:r>
        <w:rPr>
          <w:rFonts w:hint="eastAsia" w:ascii="宋体" w:hAnsi="宋体" w:cs="宋体"/>
          <w:color w:val="auto"/>
          <w:kern w:val="0"/>
          <w:highlight w:val="none"/>
          <w:u w:val="none"/>
          <w:lang w:val="zh-CN"/>
        </w:rPr>
        <w:t>受事故影响的一方应在不可抗力的事故发生后以书面形式通知另一方。</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17.3 </w:t>
      </w:r>
      <w:r>
        <w:rPr>
          <w:rFonts w:hint="eastAsia" w:ascii="宋体" w:hAnsi="宋体" w:cs="宋体"/>
          <w:color w:val="auto"/>
          <w:kern w:val="0"/>
          <w:highlight w:val="none"/>
          <w:u w:val="none"/>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18.</w:t>
      </w:r>
      <w:r>
        <w:rPr>
          <w:rFonts w:hint="eastAsia" w:ascii="宋体" w:hAnsi="宋体" w:cs="宋体"/>
          <w:b/>
          <w:bCs/>
          <w:color w:val="auto"/>
          <w:kern w:val="0"/>
          <w:highlight w:val="none"/>
          <w:u w:val="none"/>
          <w:lang w:val="zh-CN"/>
        </w:rPr>
        <w:t>税费</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与本合同有关的一切税费均由乙方承担。</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19.</w:t>
      </w:r>
      <w:r>
        <w:rPr>
          <w:rFonts w:hint="eastAsia" w:ascii="宋体" w:hAnsi="宋体" w:cs="宋体"/>
          <w:b/>
          <w:bCs/>
          <w:color w:val="auto"/>
          <w:kern w:val="0"/>
          <w:highlight w:val="none"/>
          <w:u w:val="none"/>
          <w:lang w:val="zh-CN"/>
        </w:rPr>
        <w:t>合同争议的解决</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19.1 </w:t>
      </w:r>
      <w:r>
        <w:rPr>
          <w:rFonts w:hint="eastAsia" w:ascii="宋体" w:hAnsi="宋体" w:cs="宋体"/>
          <w:color w:val="auto"/>
          <w:kern w:val="0"/>
          <w:highlight w:val="none"/>
          <w:u w:val="none"/>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19.2 </w:t>
      </w:r>
      <w:r>
        <w:rPr>
          <w:rFonts w:hint="eastAsia" w:ascii="宋体" w:hAnsi="宋体" w:cs="宋体"/>
          <w:color w:val="auto"/>
          <w:kern w:val="0"/>
          <w:highlight w:val="none"/>
          <w:u w:val="none"/>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20.</w:t>
      </w:r>
      <w:r>
        <w:rPr>
          <w:rFonts w:hint="eastAsia" w:ascii="宋体" w:hAnsi="宋体" w:cs="宋体"/>
          <w:b/>
          <w:bCs/>
          <w:color w:val="auto"/>
          <w:kern w:val="0"/>
          <w:highlight w:val="none"/>
          <w:u w:val="none"/>
          <w:lang w:val="zh-CN"/>
        </w:rPr>
        <w:t>违约解除合同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20.1 </w:t>
      </w:r>
      <w:r>
        <w:rPr>
          <w:rFonts w:hint="eastAsia" w:ascii="宋体" w:hAnsi="宋体" w:cs="宋体"/>
          <w:color w:val="auto"/>
          <w:kern w:val="0"/>
          <w:highlight w:val="none"/>
          <w:u w:val="none"/>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20.1.1 </w:t>
      </w:r>
      <w:r>
        <w:rPr>
          <w:rFonts w:hint="eastAsia" w:ascii="宋体" w:hAnsi="宋体" w:cs="宋体"/>
          <w:color w:val="auto"/>
          <w:kern w:val="0"/>
          <w:highlight w:val="none"/>
          <w:u w:val="none"/>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20.1.2 </w:t>
      </w:r>
      <w:r>
        <w:rPr>
          <w:rFonts w:hint="eastAsia" w:ascii="宋体" w:hAnsi="宋体" w:cs="宋体"/>
          <w:color w:val="auto"/>
          <w:kern w:val="0"/>
          <w:highlight w:val="none"/>
          <w:u w:val="none"/>
          <w:lang w:val="zh-CN"/>
        </w:rPr>
        <w:t>乙方未能履行合同规定的其它主要义务的；</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20.1.3 </w:t>
      </w:r>
      <w:r>
        <w:rPr>
          <w:rFonts w:hint="eastAsia" w:ascii="宋体" w:hAnsi="宋体" w:cs="宋体"/>
          <w:color w:val="auto"/>
          <w:kern w:val="0"/>
          <w:highlight w:val="none"/>
          <w:u w:val="none"/>
          <w:lang w:val="zh-CN"/>
        </w:rPr>
        <w:t>乙方在本合同履行过程中有欺诈行为的。</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rPr>
        <w:t xml:space="preserve">20.2 </w:t>
      </w:r>
      <w:r>
        <w:rPr>
          <w:rFonts w:hint="eastAsia" w:ascii="宋体" w:hAnsi="宋体" w:cs="宋体"/>
          <w:color w:val="auto"/>
          <w:kern w:val="0"/>
          <w:highlight w:val="none"/>
          <w:u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21.</w:t>
      </w:r>
      <w:r>
        <w:rPr>
          <w:rFonts w:hint="eastAsia" w:ascii="宋体" w:hAnsi="宋体" w:cs="宋体"/>
          <w:b/>
          <w:bCs/>
          <w:color w:val="auto"/>
          <w:kern w:val="0"/>
          <w:highlight w:val="none"/>
          <w:u w:val="none"/>
          <w:lang w:val="zh-CN"/>
        </w:rPr>
        <w:t>破产终止合同</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22.</w:t>
      </w:r>
      <w:r>
        <w:rPr>
          <w:rFonts w:hint="eastAsia" w:ascii="宋体" w:hAnsi="宋体" w:cs="宋体"/>
          <w:b/>
          <w:bCs/>
          <w:color w:val="auto"/>
          <w:kern w:val="0"/>
          <w:highlight w:val="none"/>
          <w:u w:val="none"/>
          <w:lang w:val="zh-CN"/>
        </w:rPr>
        <w:t>转让和分包</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 xml:space="preserve">22.1 </w:t>
      </w:r>
      <w:r>
        <w:rPr>
          <w:rFonts w:hint="eastAsia" w:ascii="宋体" w:hAnsi="宋体" w:cs="宋体"/>
          <w:color w:val="auto"/>
          <w:kern w:val="0"/>
          <w:highlight w:val="none"/>
          <w:u w:val="none"/>
          <w:lang w:val="zh-CN"/>
        </w:rPr>
        <w:t>政府采购合同不能转让。</w:t>
      </w:r>
    </w:p>
    <w:p>
      <w:pPr>
        <w:autoSpaceDE w:val="0"/>
        <w:autoSpaceDN w:val="0"/>
        <w:spacing w:line="360" w:lineRule="auto"/>
        <w:ind w:firstLine="360"/>
        <w:rPr>
          <w:rFonts w:ascii="宋体" w:hAnsi="宋体" w:cs="宋体"/>
          <w:color w:val="auto"/>
          <w:kern w:val="0"/>
          <w:highlight w:val="none"/>
          <w:u w:val="none"/>
        </w:rPr>
      </w:pPr>
      <w:r>
        <w:rPr>
          <w:rFonts w:hint="eastAsia" w:ascii="宋体" w:hAnsi="宋体" w:cs="宋体"/>
          <w:color w:val="auto"/>
          <w:kern w:val="0"/>
          <w:highlight w:val="none"/>
          <w:u w:val="none"/>
        </w:rPr>
        <w:t xml:space="preserve">22.2 </w:t>
      </w:r>
      <w:r>
        <w:rPr>
          <w:rFonts w:hint="eastAsia" w:ascii="宋体" w:hAnsi="宋体" w:cs="宋体"/>
          <w:color w:val="auto"/>
          <w:kern w:val="0"/>
          <w:highlight w:val="none"/>
          <w:u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23.</w:t>
      </w:r>
      <w:r>
        <w:rPr>
          <w:rFonts w:hint="eastAsia" w:ascii="宋体" w:hAnsi="宋体" w:cs="宋体"/>
          <w:b/>
          <w:bCs/>
          <w:color w:val="auto"/>
          <w:kern w:val="0"/>
          <w:highlight w:val="none"/>
          <w:u w:val="none"/>
          <w:lang w:val="zh-CN"/>
        </w:rPr>
        <w:t>合同修改</w:t>
      </w:r>
    </w:p>
    <w:p>
      <w:pPr>
        <w:autoSpaceDE w:val="0"/>
        <w:autoSpaceDN w:val="0"/>
        <w:spacing w:line="360" w:lineRule="auto"/>
        <w:ind w:firstLine="480" w:firstLineChars="200"/>
        <w:rPr>
          <w:rFonts w:ascii="宋体" w:hAnsi="宋体" w:cs="宋体"/>
          <w:color w:val="auto"/>
          <w:kern w:val="0"/>
          <w:highlight w:val="none"/>
          <w:u w:val="none"/>
        </w:rPr>
      </w:pPr>
      <w:r>
        <w:rPr>
          <w:rFonts w:hint="eastAsia" w:ascii="宋体" w:hAnsi="宋体" w:cs="宋体"/>
          <w:color w:val="auto"/>
          <w:kern w:val="0"/>
          <w:highlight w:val="none"/>
          <w:u w:val="none"/>
        </w:rPr>
        <w:t>政府采购合同的双方当事人不得擅自变更、中止或者终止合同</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24.</w:t>
      </w:r>
      <w:r>
        <w:rPr>
          <w:rFonts w:hint="eastAsia" w:ascii="宋体" w:hAnsi="宋体" w:cs="宋体"/>
          <w:b/>
          <w:bCs/>
          <w:color w:val="auto"/>
          <w:kern w:val="0"/>
          <w:highlight w:val="none"/>
          <w:u w:val="none"/>
          <w:lang w:val="zh-CN"/>
        </w:rPr>
        <w:t>通知</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25.</w:t>
      </w:r>
      <w:r>
        <w:rPr>
          <w:rFonts w:hint="eastAsia" w:ascii="宋体" w:hAnsi="宋体" w:cs="宋体"/>
          <w:b/>
          <w:bCs/>
          <w:color w:val="auto"/>
          <w:kern w:val="0"/>
          <w:highlight w:val="none"/>
          <w:u w:val="none"/>
          <w:lang w:val="zh-CN"/>
        </w:rPr>
        <w:t>计量单位</w:t>
      </w:r>
    </w:p>
    <w:p>
      <w:pPr>
        <w:autoSpaceDE w:val="0"/>
        <w:autoSpaceDN w:val="0"/>
        <w:spacing w:line="360" w:lineRule="auto"/>
        <w:ind w:firstLine="480"/>
        <w:rPr>
          <w:rFonts w:ascii="宋体" w:hAnsi="宋体" w:cs="宋体"/>
          <w:color w:val="auto"/>
          <w:kern w:val="0"/>
          <w:highlight w:val="none"/>
          <w:u w:val="none"/>
        </w:rPr>
      </w:pPr>
      <w:r>
        <w:rPr>
          <w:rFonts w:hint="eastAsia" w:ascii="宋体" w:hAnsi="宋体" w:cs="宋体"/>
          <w:color w:val="auto"/>
          <w:kern w:val="0"/>
          <w:highlight w:val="none"/>
          <w:u w:val="none"/>
          <w:lang w:val="zh-CN"/>
        </w:rPr>
        <w:t>除技术规范中另有规定外</w:t>
      </w:r>
      <w:r>
        <w:rPr>
          <w:rFonts w:hint="eastAsia" w:ascii="宋体" w:hAnsi="宋体" w:cs="宋体"/>
          <w:color w:val="auto"/>
          <w:kern w:val="0"/>
          <w:highlight w:val="none"/>
          <w:u w:val="none"/>
        </w:rPr>
        <w:t>,</w:t>
      </w:r>
      <w:r>
        <w:rPr>
          <w:rFonts w:hint="eastAsia" w:ascii="宋体" w:hAnsi="宋体" w:cs="宋体"/>
          <w:color w:val="auto"/>
          <w:kern w:val="0"/>
          <w:highlight w:val="none"/>
          <w:u w:val="none"/>
          <w:lang w:val="zh-CN"/>
        </w:rPr>
        <w:t>计量单位均使用国家法定计量单位。</w:t>
      </w:r>
    </w:p>
    <w:p>
      <w:pPr>
        <w:autoSpaceDE w:val="0"/>
        <w:autoSpaceDN w:val="0"/>
        <w:spacing w:line="360" w:lineRule="auto"/>
        <w:rPr>
          <w:rFonts w:ascii="宋体" w:hAnsi="宋体" w:cs="宋体"/>
          <w:b/>
          <w:bCs/>
          <w:color w:val="auto"/>
          <w:kern w:val="0"/>
          <w:highlight w:val="none"/>
          <w:u w:val="none"/>
        </w:rPr>
      </w:pPr>
      <w:r>
        <w:rPr>
          <w:rFonts w:hint="eastAsia" w:ascii="宋体" w:hAnsi="宋体" w:cs="宋体"/>
          <w:b/>
          <w:bCs/>
          <w:color w:val="auto"/>
          <w:kern w:val="0"/>
          <w:highlight w:val="none"/>
          <w:u w:val="none"/>
        </w:rPr>
        <w:t>26.</w:t>
      </w:r>
      <w:r>
        <w:rPr>
          <w:rFonts w:hint="eastAsia" w:ascii="宋体" w:hAnsi="宋体" w:cs="宋体"/>
          <w:b/>
          <w:bCs/>
          <w:color w:val="auto"/>
          <w:kern w:val="0"/>
          <w:highlight w:val="none"/>
          <w:u w:val="none"/>
          <w:lang w:val="zh-CN"/>
        </w:rPr>
        <w:t>适用法律</w:t>
      </w:r>
    </w:p>
    <w:p>
      <w:pPr>
        <w:pStyle w:val="29"/>
        <w:spacing w:before="0" w:after="0" w:line="360" w:lineRule="auto"/>
        <w:ind w:firstLine="360" w:firstLineChars="150"/>
        <w:jc w:val="both"/>
        <w:rPr>
          <w:rFonts w:ascii="宋体" w:cs="宋体"/>
          <w:color w:val="auto"/>
          <w:highlight w:val="none"/>
          <w:u w:val="none"/>
          <w:lang w:val="zh-CN"/>
        </w:rPr>
      </w:pPr>
      <w:bookmarkStart w:id="119" w:name="_Toc11880"/>
      <w:bookmarkStart w:id="120" w:name="_Toc3976"/>
      <w:bookmarkStart w:id="121" w:name="_Toc30211"/>
      <w:bookmarkStart w:id="122" w:name="_Toc3732"/>
      <w:r>
        <w:rPr>
          <w:rFonts w:hint="eastAsia" w:ascii="宋体" w:hAnsi="宋体" w:cs="宋体"/>
          <w:b w:val="0"/>
          <w:bCs w:val="0"/>
          <w:color w:val="auto"/>
          <w:kern w:val="0"/>
          <w:sz w:val="24"/>
          <w:szCs w:val="24"/>
          <w:highlight w:val="none"/>
          <w:u w:val="none"/>
          <w:lang w:val="zh-CN"/>
        </w:rPr>
        <w:t>本合同按照中华人民共和国的相关法律进行解释。</w:t>
      </w:r>
      <w:r>
        <w:rPr>
          <w:rFonts w:ascii="宋体" w:cs="宋体"/>
          <w:color w:val="auto"/>
          <w:szCs w:val="36"/>
          <w:highlight w:val="none"/>
          <w:u w:val="none"/>
          <w:lang w:val="zh-CN"/>
        </w:rPr>
        <w:br w:type="page"/>
      </w:r>
      <w:r>
        <w:rPr>
          <w:rFonts w:hint="eastAsia" w:ascii="宋体" w:hAnsi="宋体" w:cs="宋体"/>
          <w:color w:val="auto"/>
          <w:szCs w:val="36"/>
          <w:highlight w:val="none"/>
          <w:u w:val="none"/>
          <w:lang w:val="zh-CN"/>
        </w:rPr>
        <w:t>第四部分</w:t>
      </w:r>
      <w:r>
        <w:rPr>
          <w:rFonts w:ascii="宋体" w:hAnsi="宋体" w:cs="宋体"/>
          <w:color w:val="auto"/>
          <w:szCs w:val="36"/>
          <w:highlight w:val="none"/>
          <w:u w:val="none"/>
          <w:lang w:val="zh-CN"/>
        </w:rPr>
        <w:t xml:space="preserve">  </w:t>
      </w:r>
      <w:r>
        <w:rPr>
          <w:rFonts w:hint="eastAsia" w:ascii="宋体" w:hAnsi="宋体" w:cs="宋体"/>
          <w:color w:val="auto"/>
          <w:szCs w:val="36"/>
          <w:highlight w:val="none"/>
          <w:u w:val="none"/>
          <w:lang w:val="zh-CN"/>
        </w:rPr>
        <w:t>投标文件格式</w:t>
      </w:r>
      <w:bookmarkEnd w:id="119"/>
      <w:bookmarkEnd w:id="120"/>
      <w:bookmarkEnd w:id="121"/>
      <w:bookmarkEnd w:id="122"/>
    </w:p>
    <w:p>
      <w:pPr>
        <w:pStyle w:val="29"/>
        <w:numPr>
          <w:ilvl w:val="0"/>
          <w:numId w:val="9"/>
        </w:numPr>
        <w:spacing w:before="0" w:after="0" w:line="360" w:lineRule="auto"/>
        <w:jc w:val="left"/>
        <w:outlineLvl w:val="1"/>
        <w:rPr>
          <w:rFonts w:ascii="宋体" w:cs="宋体"/>
          <w:color w:val="auto"/>
          <w:sz w:val="30"/>
          <w:szCs w:val="30"/>
          <w:highlight w:val="none"/>
          <w:u w:val="none"/>
        </w:rPr>
      </w:pPr>
      <w:bookmarkStart w:id="123" w:name="_Toc11851"/>
      <w:bookmarkStart w:id="124" w:name="_Toc8171"/>
      <w:r>
        <w:rPr>
          <w:rFonts w:hint="eastAsia" w:ascii="宋体" w:hAnsi="宋体" w:cs="宋体"/>
          <w:color w:val="auto"/>
          <w:sz w:val="30"/>
          <w:szCs w:val="30"/>
          <w:highlight w:val="none"/>
          <w:u w:val="none"/>
          <w:lang w:val="zh-CN"/>
        </w:rPr>
        <w:t>投标文件封面</w:t>
      </w:r>
      <w:bookmarkEnd w:id="123"/>
      <w:r>
        <w:rPr>
          <w:rFonts w:hint="eastAsia" w:ascii="宋体" w:hAnsi="宋体" w:cs="宋体"/>
          <w:color w:val="auto"/>
          <w:sz w:val="30"/>
          <w:szCs w:val="30"/>
          <w:highlight w:val="none"/>
          <w:u w:val="none"/>
          <w:lang w:val="zh-CN"/>
        </w:rPr>
        <w:t>（上册）</w:t>
      </w:r>
      <w:bookmarkEnd w:id="124"/>
    </w:p>
    <w:p>
      <w:pPr>
        <w:rPr>
          <w:rFonts w:ascii="宋体" w:cs="宋体"/>
          <w:color w:val="auto"/>
          <w:highlight w:val="none"/>
          <w:u w:val="none"/>
        </w:rPr>
      </w:pPr>
    </w:p>
    <w:p>
      <w:pPr>
        <w:autoSpaceDE w:val="0"/>
        <w:autoSpaceDN w:val="0"/>
        <w:spacing w:line="360" w:lineRule="auto"/>
        <w:jc w:val="right"/>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rPr>
        <w:t>正本</w:t>
      </w:r>
      <w:r>
        <w:rPr>
          <w:rFonts w:ascii="宋体" w:hAnsi="宋体" w:cs="宋体"/>
          <w:b/>
          <w:bCs/>
          <w:color w:val="auto"/>
          <w:kern w:val="0"/>
          <w:sz w:val="36"/>
          <w:szCs w:val="36"/>
          <w:highlight w:val="none"/>
          <w:u w:val="none"/>
        </w:rPr>
        <w:t>/</w:t>
      </w:r>
      <w:r>
        <w:rPr>
          <w:rFonts w:hint="eastAsia" w:ascii="宋体" w:hAnsi="宋体" w:cs="宋体"/>
          <w:b/>
          <w:bCs/>
          <w:color w:val="auto"/>
          <w:kern w:val="0"/>
          <w:sz w:val="36"/>
          <w:szCs w:val="36"/>
          <w:highlight w:val="none"/>
          <w:u w:val="none"/>
        </w:rPr>
        <w:t>副本</w:t>
      </w:r>
    </w:p>
    <w:p>
      <w:pPr>
        <w:autoSpaceDE w:val="0"/>
        <w:autoSpaceDN w:val="0"/>
        <w:spacing w:line="360" w:lineRule="auto"/>
        <w:jc w:val="center"/>
        <w:rPr>
          <w:rFonts w:ascii="宋体" w:cs="宋体"/>
          <w:b/>
          <w:bCs/>
          <w:color w:val="auto"/>
          <w:kern w:val="0"/>
          <w:sz w:val="52"/>
          <w:szCs w:val="52"/>
          <w:highlight w:val="none"/>
          <w:u w:val="none"/>
          <w:lang w:val="zh-CN"/>
        </w:rPr>
      </w:pPr>
      <w:r>
        <w:rPr>
          <w:rFonts w:hint="eastAsia" w:ascii="宋体" w:hAnsi="宋体" w:cs="宋体"/>
          <w:b/>
          <w:bCs/>
          <w:color w:val="auto"/>
          <w:kern w:val="0"/>
          <w:sz w:val="52"/>
          <w:szCs w:val="52"/>
          <w:highlight w:val="none"/>
          <w:u w:val="none"/>
          <w:lang w:val="zh-CN"/>
        </w:rPr>
        <w:t>青海省政府采购项目</w:t>
      </w:r>
    </w:p>
    <w:p>
      <w:pPr>
        <w:autoSpaceDE w:val="0"/>
        <w:autoSpaceDN w:val="0"/>
        <w:spacing w:line="360" w:lineRule="auto"/>
        <w:rPr>
          <w:rFonts w:ascii="宋体" w:cs="宋体"/>
          <w:color w:val="auto"/>
          <w:kern w:val="0"/>
          <w:sz w:val="36"/>
          <w:szCs w:val="36"/>
          <w:highlight w:val="none"/>
          <w:u w:val="none"/>
        </w:rPr>
      </w:pPr>
    </w:p>
    <w:p>
      <w:pPr>
        <w:autoSpaceDE w:val="0"/>
        <w:autoSpaceDN w:val="0"/>
        <w:spacing w:line="360" w:lineRule="auto"/>
        <w:jc w:val="center"/>
        <w:rPr>
          <w:rFonts w:ascii="宋体" w:cs="宋体"/>
          <w:b/>
          <w:bCs/>
          <w:color w:val="auto"/>
          <w:kern w:val="0"/>
          <w:sz w:val="72"/>
          <w:szCs w:val="72"/>
          <w:highlight w:val="none"/>
          <w:u w:val="none"/>
          <w:lang w:val="zh-CN"/>
        </w:rPr>
      </w:pPr>
      <w:r>
        <w:rPr>
          <w:rFonts w:hint="eastAsia" w:ascii="宋体" w:hAnsi="宋体" w:cs="宋体"/>
          <w:b/>
          <w:bCs/>
          <w:color w:val="auto"/>
          <w:kern w:val="0"/>
          <w:sz w:val="72"/>
          <w:szCs w:val="72"/>
          <w:highlight w:val="none"/>
          <w:u w:val="none"/>
          <w:lang w:val="zh-CN"/>
        </w:rPr>
        <w:t>投</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标</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文</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件</w:t>
      </w:r>
    </w:p>
    <w:p>
      <w:pPr>
        <w:autoSpaceDE w:val="0"/>
        <w:autoSpaceDN w:val="0"/>
        <w:spacing w:line="360" w:lineRule="auto"/>
        <w:jc w:val="center"/>
        <w:rPr>
          <w:rFonts w:ascii="宋体" w:cs="宋体"/>
          <w:b/>
          <w:bCs/>
          <w:color w:val="auto"/>
          <w:kern w:val="0"/>
          <w:sz w:val="36"/>
          <w:szCs w:val="36"/>
          <w:highlight w:val="none"/>
          <w:u w:val="none"/>
          <w:lang w:val="zh-CN"/>
        </w:rPr>
      </w:pPr>
      <w:r>
        <w:rPr>
          <w:rFonts w:hint="eastAsia" w:ascii="宋体" w:hAnsi="宋体" w:cs="宋体"/>
          <w:b/>
          <w:bCs/>
          <w:color w:val="auto"/>
          <w:sz w:val="36"/>
          <w:szCs w:val="36"/>
          <w:highlight w:val="none"/>
          <w:u w:val="none"/>
          <w:lang w:val="zh-CN"/>
        </w:rPr>
        <w:t>（上册）</w:t>
      </w:r>
    </w:p>
    <w:p>
      <w:pPr>
        <w:autoSpaceDE w:val="0"/>
        <w:autoSpaceDN w:val="0"/>
        <w:spacing w:line="360" w:lineRule="auto"/>
        <w:jc w:val="center"/>
        <w:rPr>
          <w:rFonts w:ascii="宋体" w:cs="宋体"/>
          <w:color w:val="auto"/>
          <w:sz w:val="36"/>
          <w:szCs w:val="36"/>
          <w:highlight w:val="none"/>
          <w:u w:val="none"/>
          <w:lang w:val="zh-CN"/>
        </w:rPr>
      </w:pPr>
      <w:r>
        <w:rPr>
          <w:rFonts w:hint="eastAsia" w:ascii="宋体" w:hAnsi="宋体" w:cs="宋体"/>
          <w:b/>
          <w:bCs/>
          <w:color w:val="auto"/>
          <w:sz w:val="36"/>
          <w:szCs w:val="36"/>
          <w:highlight w:val="none"/>
          <w:u w:val="none"/>
          <w:lang w:val="zh-CN"/>
        </w:rPr>
        <w:t>（资格审查文件）</w:t>
      </w:r>
    </w:p>
    <w:p>
      <w:pPr>
        <w:autoSpaceDE w:val="0"/>
        <w:autoSpaceDN w:val="0"/>
        <w:spacing w:line="360" w:lineRule="auto"/>
        <w:rPr>
          <w:rFonts w:ascii="宋体" w:cs="宋体"/>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采购项目编号：</w:t>
      </w:r>
    </w:p>
    <w:p>
      <w:pPr>
        <w:autoSpaceDE w:val="0"/>
        <w:autoSpaceDN w:val="0"/>
        <w:spacing w:line="360" w:lineRule="auto"/>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采购项目名称</w:t>
      </w:r>
      <w:r>
        <w:rPr>
          <w:rFonts w:hint="eastAsia" w:ascii="宋体" w:hAnsi="宋体" w:cs="宋体"/>
          <w:b/>
          <w:bCs/>
          <w:color w:val="auto"/>
          <w:kern w:val="0"/>
          <w:sz w:val="36"/>
          <w:szCs w:val="36"/>
          <w:highlight w:val="none"/>
          <w:u w:val="none"/>
        </w:rPr>
        <w:t>：</w:t>
      </w:r>
    </w:p>
    <w:p>
      <w:pPr>
        <w:autoSpaceDE w:val="0"/>
        <w:autoSpaceDN w:val="0"/>
        <w:spacing w:line="360" w:lineRule="auto"/>
        <w:rPr>
          <w:rFonts w:ascii="宋体" w:cs="宋体"/>
          <w:b/>
          <w:bCs/>
          <w:color w:val="auto"/>
          <w:kern w:val="0"/>
          <w:sz w:val="36"/>
          <w:szCs w:val="36"/>
          <w:highlight w:val="none"/>
          <w:u w:val="none"/>
          <w:lang w:val="zh-CN"/>
        </w:rPr>
      </w:pPr>
      <w:r>
        <w:rPr>
          <w:rFonts w:hint="eastAsia" w:ascii="宋体" w:hAnsi="宋体" w:cs="宋体"/>
          <w:b/>
          <w:bCs/>
          <w:color w:val="auto"/>
          <w:kern w:val="0"/>
          <w:sz w:val="36"/>
          <w:szCs w:val="36"/>
          <w:highlight w:val="none"/>
          <w:u w:val="none"/>
          <w:lang w:val="zh-CN"/>
        </w:rPr>
        <w:t>投</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标</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包</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号：</w:t>
      </w:r>
    </w:p>
    <w:p>
      <w:pPr>
        <w:autoSpaceDE w:val="0"/>
        <w:autoSpaceDN w:val="0"/>
        <w:spacing w:line="360" w:lineRule="auto"/>
        <w:rPr>
          <w:rFonts w:ascii="宋体" w:cs="宋体"/>
          <w:b/>
          <w:bCs/>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投标人：</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rPr>
        <w:t>（</w:t>
      </w:r>
      <w:r>
        <w:rPr>
          <w:rFonts w:hint="eastAsia" w:ascii="宋体" w:hAnsi="宋体" w:cs="宋体"/>
          <w:b/>
          <w:bCs/>
          <w:color w:val="auto"/>
          <w:kern w:val="0"/>
          <w:sz w:val="36"/>
          <w:szCs w:val="36"/>
          <w:highlight w:val="none"/>
          <w:u w:val="none"/>
          <w:lang w:val="zh-CN"/>
        </w:rPr>
        <w:t>公章）</w:t>
      </w:r>
    </w:p>
    <w:p>
      <w:pPr>
        <w:autoSpaceDE w:val="0"/>
        <w:autoSpaceDN w:val="0"/>
        <w:spacing w:line="360" w:lineRule="auto"/>
        <w:rPr>
          <w:rFonts w:ascii="宋体" w:cs="宋体"/>
          <w:b/>
          <w:bCs/>
          <w:color w:val="auto"/>
          <w:kern w:val="0"/>
          <w:sz w:val="36"/>
          <w:szCs w:val="36"/>
          <w:highlight w:val="none"/>
          <w:u w:val="none"/>
        </w:r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法定代表人或委托代理人：</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（签字）</w:t>
      </w:r>
    </w:p>
    <w:p>
      <w:pPr>
        <w:autoSpaceDE w:val="0"/>
        <w:autoSpaceDN w:val="0"/>
        <w:spacing w:line="360" w:lineRule="auto"/>
        <w:rPr>
          <w:rFonts w:ascii="宋体" w:cs="宋体"/>
          <w:b/>
          <w:bCs/>
          <w:color w:val="auto"/>
          <w:kern w:val="0"/>
          <w:sz w:val="36"/>
          <w:szCs w:val="36"/>
          <w:highlight w:val="none"/>
          <w:u w:val="none"/>
          <w:lang w:val="zh-CN"/>
        </w:r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年</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月</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日</w:t>
      </w:r>
    </w:p>
    <w:p>
      <w:pPr>
        <w:pStyle w:val="29"/>
        <w:spacing w:before="0" w:after="0" w:line="360" w:lineRule="auto"/>
        <w:jc w:val="left"/>
        <w:outlineLvl w:val="1"/>
        <w:rPr>
          <w:rFonts w:ascii="宋体" w:cs="宋体"/>
          <w:color w:val="auto"/>
          <w:highlight w:val="none"/>
          <w:u w:val="none"/>
          <w:lang w:val="zh-CN"/>
        </w:rPr>
      </w:pPr>
      <w:r>
        <w:rPr>
          <w:rFonts w:ascii="宋体" w:cs="宋体"/>
          <w:b w:val="0"/>
          <w:bCs w:val="0"/>
          <w:color w:val="auto"/>
          <w:kern w:val="0"/>
          <w:highlight w:val="none"/>
          <w:u w:val="none"/>
          <w:lang w:val="zh-CN"/>
        </w:rPr>
        <w:br w:type="page"/>
      </w:r>
      <w:bookmarkStart w:id="125" w:name="_Toc999"/>
      <w:bookmarkStart w:id="126" w:name="_Toc8514"/>
      <w:bookmarkStart w:id="127" w:name="_Toc29902"/>
      <w:r>
        <w:rPr>
          <w:rFonts w:hint="eastAsia" w:ascii="宋体" w:hAnsi="宋体" w:cs="宋体"/>
          <w:color w:val="auto"/>
          <w:kern w:val="0"/>
          <w:sz w:val="30"/>
          <w:szCs w:val="30"/>
          <w:highlight w:val="none"/>
          <w:u w:val="none"/>
          <w:lang w:val="zh-CN"/>
        </w:rPr>
        <w:t>二、投标文件</w:t>
      </w:r>
      <w:r>
        <w:rPr>
          <w:rFonts w:hint="eastAsia" w:ascii="宋体" w:hAnsi="宋体" w:cs="宋体"/>
          <w:color w:val="auto"/>
          <w:sz w:val="30"/>
          <w:szCs w:val="30"/>
          <w:highlight w:val="none"/>
          <w:u w:val="none"/>
          <w:lang w:val="zh-CN"/>
        </w:rPr>
        <w:t>目录（上册）</w:t>
      </w:r>
      <w:bookmarkEnd w:id="125"/>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投标函……………………………………………………………所在页码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法定代表人证明书………………………………………………所在页码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法定代表人授权书………………………………………………所在页码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投标人承诺函……………………………………………………所在页码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投标人诚信承诺书………………………………………………所在页码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资格证明材料……………………………………………………所在页码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财务状况报告，依法缴纳税收和社会保障资金的相关材料…所在页码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具备履行合同所必需的设备和专业技术能力的证明材料……所在页码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无重大违法记录声明……………………………………………所在页码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投标保证金证明…………………………………………………所在页码</w:t>
      </w:r>
    </w:p>
    <w:p>
      <w:pPr>
        <w:numPr>
          <w:ilvl w:val="0"/>
          <w:numId w:val="10"/>
        </w:num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信用信息栏中无任何不良记录…………………………………所在页码</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bookmarkEnd w:id="126"/>
    <w:bookmarkEnd w:id="127"/>
    <w:p>
      <w:pPr>
        <w:pStyle w:val="29"/>
        <w:spacing w:before="0" w:after="0" w:line="360" w:lineRule="auto"/>
        <w:jc w:val="left"/>
        <w:outlineLvl w:val="1"/>
        <w:rPr>
          <w:rFonts w:ascii="宋体" w:cs="宋体"/>
          <w:color w:val="auto"/>
          <w:highlight w:val="none"/>
          <w:u w:val="none"/>
          <w:lang w:val="zh-CN"/>
        </w:rPr>
      </w:pPr>
      <w:bookmarkStart w:id="128" w:name="_Toc19582"/>
      <w:r>
        <w:rPr>
          <w:rFonts w:ascii="宋体" w:cs="宋体"/>
          <w:color w:val="auto"/>
          <w:sz w:val="30"/>
          <w:szCs w:val="30"/>
          <w:highlight w:val="none"/>
          <w:u w:val="none"/>
          <w:lang w:val="zh-CN"/>
        </w:rPr>
        <w:br w:type="page"/>
      </w:r>
      <w:bookmarkStart w:id="129" w:name="_Toc29451"/>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投标函</w:t>
      </w:r>
      <w:bookmarkEnd w:id="128"/>
      <w:bookmarkEnd w:id="129"/>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投标函</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据此函，签字代表宣布同意如下：</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2.</w:t>
      </w:r>
      <w:r>
        <w:rPr>
          <w:rFonts w:hint="eastAsia" w:ascii="宋体" w:hAnsi="宋体" w:cs="宋体"/>
          <w:color w:val="auto"/>
          <w:kern w:val="0"/>
          <w:highlight w:val="none"/>
          <w:u w:val="none"/>
          <w:lang w:val="zh-CN"/>
        </w:rPr>
        <w:t>投标有效期：</w:t>
      </w:r>
      <w:r>
        <w:rPr>
          <w:rFonts w:hint="eastAsia" w:ascii="宋体" w:hAnsi="宋体" w:cs="宋体"/>
          <w:color w:val="auto"/>
          <w:highlight w:val="none"/>
          <w:u w:val="none"/>
          <w:shd w:val="clear" w:color="auto" w:fill="FFFFFF"/>
        </w:rPr>
        <w:t>从提交投标文件的截止之日起</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3.</w:t>
      </w:r>
      <w:r>
        <w:rPr>
          <w:rFonts w:hint="eastAsia" w:ascii="宋体" w:hAnsi="宋体" w:cs="宋体"/>
          <w:color w:val="auto"/>
          <w:kern w:val="0"/>
          <w:highlight w:val="none"/>
          <w:u w:val="none"/>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4.</w:t>
      </w:r>
      <w:r>
        <w:rPr>
          <w:rFonts w:hint="eastAsia" w:ascii="宋体" w:hAnsi="宋体" w:cs="宋体"/>
          <w:color w:val="auto"/>
          <w:kern w:val="0"/>
          <w:highlight w:val="none"/>
          <w:u w:val="none"/>
          <w:lang w:val="zh-CN"/>
        </w:rPr>
        <w:t>与本投标有关的一切正式往来通讯请寄：</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地址：</w:t>
      </w:r>
      <w:r>
        <w:rPr>
          <w:rFonts w:ascii="宋体" w:hAnsi="宋体" w:cs="宋体"/>
          <w:color w:val="auto"/>
          <w:kern w:val="0"/>
          <w:highlight w:val="none"/>
          <w:u w:val="none"/>
          <w:lang w:val="zh-CN"/>
        </w:rPr>
        <w:t xml:space="preserve">_______________          </w:t>
      </w:r>
      <w:r>
        <w:rPr>
          <w:rFonts w:hint="eastAsia" w:ascii="宋体" w:hAnsi="宋体" w:cs="宋体"/>
          <w:color w:val="auto"/>
          <w:kern w:val="0"/>
          <w:highlight w:val="none"/>
          <w:u w:val="none"/>
          <w:lang w:val="zh-CN"/>
        </w:rPr>
        <w:t>邮编：</w:t>
      </w:r>
      <w:r>
        <w:rPr>
          <w:rFonts w:ascii="宋体" w:hAnsi="宋体" w:cs="宋体"/>
          <w:color w:val="auto"/>
          <w:kern w:val="0"/>
          <w:highlight w:val="none"/>
          <w:u w:val="none"/>
          <w:lang w:val="zh-CN"/>
        </w:rPr>
        <w:t>______________</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电话：</w:t>
      </w:r>
      <w:r>
        <w:rPr>
          <w:rFonts w:ascii="宋体" w:hAnsi="宋体" w:cs="宋体"/>
          <w:color w:val="auto"/>
          <w:kern w:val="0"/>
          <w:highlight w:val="none"/>
          <w:u w:val="none"/>
          <w:lang w:val="zh-CN"/>
        </w:rPr>
        <w:t xml:space="preserve">_______________          </w:t>
      </w:r>
      <w:r>
        <w:rPr>
          <w:rFonts w:hint="eastAsia" w:ascii="宋体" w:hAnsi="宋体" w:cs="宋体"/>
          <w:color w:val="auto"/>
          <w:kern w:val="0"/>
          <w:highlight w:val="none"/>
          <w:u w:val="none"/>
          <w:lang w:val="zh-CN"/>
        </w:rPr>
        <w:t>传真：</w:t>
      </w:r>
      <w:r>
        <w:rPr>
          <w:rFonts w:ascii="宋体" w:hAnsi="宋体" w:cs="宋体"/>
          <w:color w:val="auto"/>
          <w:kern w:val="0"/>
          <w:highlight w:val="none"/>
          <w:u w:val="none"/>
          <w:lang w:val="zh-CN"/>
        </w:rPr>
        <w:t>______________</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法定代表人姓名：</w:t>
      </w:r>
      <w:r>
        <w:rPr>
          <w:rFonts w:ascii="宋体" w:hAnsi="宋体" w:cs="宋体"/>
          <w:color w:val="auto"/>
          <w:kern w:val="0"/>
          <w:highlight w:val="none"/>
          <w:u w:val="none"/>
          <w:lang w:val="zh-CN"/>
        </w:rPr>
        <w:t xml:space="preserve"> ___________   </w:t>
      </w:r>
      <w:r>
        <w:rPr>
          <w:rFonts w:hint="eastAsia" w:ascii="宋体" w:hAnsi="宋体" w:cs="宋体"/>
          <w:color w:val="auto"/>
          <w:kern w:val="0"/>
          <w:highlight w:val="none"/>
          <w:u w:val="none"/>
          <w:lang w:val="zh-CN"/>
        </w:rPr>
        <w:t>职务：</w:t>
      </w:r>
      <w:r>
        <w:rPr>
          <w:rFonts w:ascii="宋体" w:hAnsi="宋体" w:cs="宋体"/>
          <w:color w:val="auto"/>
          <w:kern w:val="0"/>
          <w:highlight w:val="none"/>
          <w:u w:val="none"/>
          <w:lang w:val="zh-CN"/>
        </w:rPr>
        <w:t>____________</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rPr>
      </w:pPr>
      <w:r>
        <w:rPr>
          <w:rFonts w:ascii="宋体" w:cs="宋体"/>
          <w:b w:val="0"/>
          <w:bCs w:val="0"/>
          <w:color w:val="auto"/>
          <w:kern w:val="0"/>
          <w:sz w:val="24"/>
          <w:highlight w:val="none"/>
          <w:u w:val="none"/>
          <w:lang w:val="zh-CN"/>
        </w:rPr>
        <w:br w:type="page"/>
      </w:r>
      <w:bookmarkStart w:id="130" w:name="_Toc21444"/>
      <w:bookmarkStart w:id="131" w:name="_Toc29944"/>
      <w:r>
        <w:rPr>
          <w:rFonts w:hint="eastAsia" w:ascii="宋体" w:hAnsi="宋体" w:cs="宋体"/>
          <w:color w:val="auto"/>
          <w:kern w:val="0"/>
          <w:sz w:val="30"/>
          <w:szCs w:val="30"/>
          <w:highlight w:val="none"/>
          <w:u w:val="none"/>
          <w:lang w:val="zh-CN"/>
        </w:rPr>
        <w:t>（</w:t>
      </w:r>
      <w:r>
        <w:rPr>
          <w:rFonts w:ascii="宋体" w:hAnsi="宋体" w:cs="宋体"/>
          <w:color w:val="auto"/>
          <w:kern w:val="0"/>
          <w:sz w:val="30"/>
          <w:szCs w:val="30"/>
          <w:highlight w:val="none"/>
          <w:u w:val="none"/>
        </w:rPr>
        <w:t>2</w:t>
      </w:r>
      <w:r>
        <w:rPr>
          <w:rFonts w:hint="eastAsia" w:ascii="宋体" w:hAnsi="宋体" w:cs="宋体"/>
          <w:color w:val="auto"/>
          <w:kern w:val="0"/>
          <w:sz w:val="30"/>
          <w:szCs w:val="30"/>
          <w:highlight w:val="none"/>
          <w:u w:val="none"/>
          <w:lang w:val="zh-CN"/>
        </w:rPr>
        <w:t>）</w:t>
      </w:r>
      <w:r>
        <w:rPr>
          <w:rFonts w:hint="eastAsia" w:ascii="宋体" w:hAnsi="宋体" w:cs="宋体"/>
          <w:color w:val="auto"/>
          <w:sz w:val="30"/>
          <w:szCs w:val="30"/>
          <w:highlight w:val="none"/>
          <w:u w:val="none"/>
        </w:rPr>
        <w:t>法定代表人证明书</w:t>
      </w:r>
      <w:bookmarkEnd w:id="130"/>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法定代表人证明书</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（法定代表人姓名）现任我单位</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职务，为法定代表人，特此证明。</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法定代表人基本情况：</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性别：</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年龄：</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民族：</w:t>
      </w:r>
      <w:r>
        <w:rPr>
          <w:rFonts w:ascii="宋体" w:hAnsi="宋体" w:cs="宋体"/>
          <w:color w:val="auto"/>
          <w:kern w:val="0"/>
          <w:highlight w:val="none"/>
          <w:u w:val="none"/>
          <w:lang w:val="zh-CN"/>
        </w:rPr>
        <w:t xml:space="preserve">         </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地址：</w:t>
      </w:r>
      <w:r>
        <w:rPr>
          <w:rFonts w:ascii="宋体" w:hAnsi="宋体" w:cs="宋体"/>
          <w:color w:val="auto"/>
          <w:kern w:val="0"/>
          <w:highlight w:val="none"/>
          <w:u w:val="none"/>
          <w:lang w:val="zh-CN"/>
        </w:rPr>
        <w:t xml:space="preserve">                                            </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身份证号码：</w:t>
      </w:r>
      <w:r>
        <w:rPr>
          <w:rFonts w:ascii="宋体" w:hAnsi="宋体" w:cs="宋体"/>
          <w:color w:val="auto"/>
          <w:kern w:val="0"/>
          <w:highlight w:val="none"/>
          <w:u w:val="none"/>
          <w:lang w:val="zh-CN"/>
        </w:rPr>
        <w:t xml:space="preserve">                                      </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附法定代表人第二代身份证双面扫描（或复印）件</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lang w:val="zh-CN"/>
        </w:rPr>
      </w:pPr>
      <w:r>
        <w:rPr>
          <w:rFonts w:ascii="宋体" w:cs="宋体"/>
          <w:color w:val="auto"/>
          <w:highlight w:val="none"/>
          <w:u w:val="none"/>
          <w:lang w:val="zh-CN"/>
        </w:rPr>
        <w:br w:type="page"/>
      </w:r>
      <w:bookmarkEnd w:id="131"/>
      <w:bookmarkStart w:id="132" w:name="_Toc26844"/>
      <w:bookmarkStart w:id="133" w:name="_Toc17284"/>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3</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法定代表人授权书</w:t>
      </w:r>
      <w:bookmarkEnd w:id="132"/>
    </w:p>
    <w:p>
      <w:pPr>
        <w:spacing w:line="360" w:lineRule="auto"/>
        <w:rPr>
          <w:rFonts w:ascii="宋体" w:cs="宋体"/>
          <w:color w:val="auto"/>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法定代表人授权书</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（投标人名称）系中华人民共和国合法企业，法定地址</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rPr>
        <w:t xml:space="preserve">    </w:t>
      </w:r>
      <w:r>
        <w:rPr>
          <w:rFonts w:hint="eastAsia" w:ascii="宋体" w:hAnsi="宋体" w:cs="宋体"/>
          <w:color w:val="auto"/>
          <w:kern w:val="0"/>
          <w:highlight w:val="none"/>
          <w:u w:val="none"/>
          <w:lang w:val="zh-CN"/>
        </w:rPr>
        <w:t>（法定代表人姓名）特授权（委托代理人姓名）代表我单位全权办理</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项目（项目编号：</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）的投标、答疑等具体工作，并签署全部有关的文件、资料。</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我单位对被授权人的签名负全部责任。</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被授权人联系电话：</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被授权人（委托代理人）签字：</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授权人（法定代表人）签字：</w:t>
      </w:r>
      <w:r>
        <w:rPr>
          <w:rFonts w:ascii="宋体" w:hAnsi="宋体" w:cs="宋体"/>
          <w:color w:val="auto"/>
          <w:kern w:val="0"/>
          <w:highlight w:val="none"/>
          <w:u w:val="none"/>
          <w:lang w:val="zh-CN"/>
        </w:rPr>
        <w:t xml:space="preserve">       </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职务：</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职务：</w:t>
      </w:r>
      <w:r>
        <w:rPr>
          <w:rFonts w:ascii="宋体" w:hAnsi="宋体" w:cs="宋体"/>
          <w:color w:val="auto"/>
          <w:kern w:val="0"/>
          <w:highlight w:val="none"/>
          <w:u w:val="none"/>
          <w:lang w:val="zh-CN"/>
        </w:rPr>
        <w:t xml:space="preserve">                           </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附被授权人第二代身份证双面扫描（或复印）件</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autoSpaceDE w:val="0"/>
        <w:autoSpaceDN w:val="0"/>
        <w:spacing w:line="360" w:lineRule="auto"/>
        <w:rPr>
          <w:rFonts w:ascii="宋体" w:cs="宋体"/>
          <w:color w:val="auto"/>
          <w:kern w:val="0"/>
          <w:highlight w:val="none"/>
          <w:u w:val="none"/>
          <w:lang w:val="zh-CN"/>
        </w:rPr>
      </w:pPr>
    </w:p>
    <w:p>
      <w:pPr>
        <w:pStyle w:val="29"/>
        <w:spacing w:before="0" w:after="0" w:line="360" w:lineRule="auto"/>
        <w:jc w:val="left"/>
        <w:outlineLvl w:val="1"/>
        <w:rPr>
          <w:rFonts w:ascii="宋体" w:cs="宋体"/>
          <w:color w:val="auto"/>
          <w:highlight w:val="none"/>
          <w:u w:val="none"/>
          <w:lang w:val="zh-CN"/>
        </w:rPr>
      </w:pPr>
      <w:r>
        <w:rPr>
          <w:rFonts w:ascii="宋体" w:cs="宋体"/>
          <w:color w:val="auto"/>
          <w:highlight w:val="none"/>
          <w:u w:val="none"/>
          <w:lang w:val="zh-CN"/>
        </w:rPr>
        <w:br w:type="page"/>
      </w:r>
      <w:bookmarkStart w:id="134" w:name="_Toc32445"/>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4</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投标人承诺函</w:t>
      </w:r>
      <w:bookmarkEnd w:id="134"/>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投标人承诺函</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关于贵方</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年</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月</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日</w:t>
      </w:r>
      <w:r>
        <w:rPr>
          <w:rFonts w:ascii="宋体" w:hAnsi="宋体" w:cs="宋体"/>
          <w:color w:val="auto"/>
          <w:kern w:val="0"/>
          <w:highlight w:val="none"/>
          <w:u w:val="none"/>
          <w:lang w:val="zh-CN"/>
        </w:rPr>
        <w:t xml:space="preserve">        </w:t>
      </w:r>
      <w:r>
        <w:rPr>
          <w:rFonts w:ascii="宋体" w:hAnsi="宋体" w:cs="宋体"/>
          <w:color w:val="auto"/>
          <w:kern w:val="0"/>
          <w:highlight w:val="none"/>
          <w:u w:val="none"/>
        </w:rPr>
        <w:t xml:space="preserve">   </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项目名称</w:t>
      </w:r>
      <w:r>
        <w:rPr>
          <w:rFonts w:ascii="宋体" w:hAnsi="宋体" w:cs="宋体"/>
          <w:color w:val="auto"/>
          <w:kern w:val="0"/>
          <w:highlight w:val="none"/>
          <w:u w:val="none"/>
          <w:lang w:val="zh-CN"/>
        </w:rPr>
        <w:t>)</w:t>
      </w:r>
      <w:r>
        <w:rPr>
          <w:rFonts w:hint="eastAsia" w:ascii="宋体" w:hAnsi="宋体" w:cs="宋体"/>
          <w:color w:val="auto"/>
          <w:kern w:val="0"/>
          <w:highlight w:val="none"/>
          <w:u w:val="none"/>
          <w:lang w:val="zh-CN"/>
        </w:rPr>
        <w:t>采购项目，本签字人愿意参加投标，提供采购一览表中要求的所有产品，并证实提交的所有资料是准确的和真实的。同时，我代表</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（投标人名称），在此作如下承诺：</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ascii="宋体" w:hAnsi="宋体" w:cs="宋体"/>
          <w:color w:val="auto"/>
          <w:kern w:val="0"/>
          <w:highlight w:val="none"/>
          <w:u w:val="none"/>
        </w:rPr>
        <w:t xml:space="preserve"> </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完全理解和接受招标文件的一切规定和要求；</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ascii="宋体" w:hAnsi="宋体" w:cs="宋体"/>
          <w:color w:val="auto"/>
          <w:kern w:val="0"/>
          <w:highlight w:val="none"/>
          <w:u w:val="none"/>
        </w:rPr>
        <w:t xml:space="preserve"> </w:t>
      </w:r>
      <w:r>
        <w:rPr>
          <w:rFonts w:ascii="宋体" w:hAnsi="宋体" w:cs="宋体"/>
          <w:color w:val="auto"/>
          <w:kern w:val="0"/>
          <w:highlight w:val="none"/>
          <w:u w:val="none"/>
          <w:lang w:val="zh-CN"/>
        </w:rPr>
        <w:t>2.</w:t>
      </w:r>
      <w:r>
        <w:rPr>
          <w:rFonts w:hint="eastAsia" w:ascii="宋体" w:hAnsi="宋体" w:cs="宋体"/>
          <w:color w:val="auto"/>
          <w:kern w:val="0"/>
          <w:highlight w:val="none"/>
          <w:u w:val="none"/>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ascii="宋体" w:hAnsi="宋体" w:cs="宋体"/>
          <w:color w:val="auto"/>
          <w:kern w:val="0"/>
          <w:highlight w:val="none"/>
          <w:u w:val="none"/>
        </w:rPr>
        <w:t xml:space="preserve"> </w:t>
      </w:r>
      <w:r>
        <w:rPr>
          <w:rFonts w:ascii="宋体" w:hAnsi="宋体" w:cs="宋体"/>
          <w:color w:val="auto"/>
          <w:kern w:val="0"/>
          <w:highlight w:val="none"/>
          <w:u w:val="none"/>
          <w:lang w:val="zh-CN"/>
        </w:rPr>
        <w:t xml:space="preserve"> 3.</w:t>
      </w:r>
      <w:r>
        <w:rPr>
          <w:rFonts w:hint="eastAsia" w:ascii="宋体" w:hAnsi="宋体" w:cs="宋体"/>
          <w:color w:val="auto"/>
          <w:kern w:val="0"/>
          <w:highlight w:val="none"/>
          <w:u w:val="none"/>
          <w:lang w:val="zh-CN"/>
        </w:rPr>
        <w:t>在整个招标过程中我方若有违规行为，贵方可按招标文件之规定给予处罚，我方完全接受。</w:t>
      </w:r>
    </w:p>
    <w:p>
      <w:pPr>
        <w:autoSpaceDE w:val="0"/>
        <w:autoSpaceDN w:val="0"/>
        <w:spacing w:line="360" w:lineRule="auto"/>
        <w:rPr>
          <w:rFonts w:ascii="宋体" w:cs="宋体"/>
          <w:color w:val="auto"/>
          <w:kern w:val="0"/>
          <w:highlight w:val="none"/>
          <w:u w:val="none"/>
          <w:lang w:val="zh-CN"/>
        </w:rPr>
      </w:pPr>
      <w:r>
        <w:rPr>
          <w:rFonts w:ascii="宋体" w:hAnsi="宋体" w:cs="宋体"/>
          <w:color w:val="auto"/>
          <w:kern w:val="0"/>
          <w:highlight w:val="none"/>
          <w:u w:val="none"/>
          <w:lang w:val="zh-CN"/>
        </w:rPr>
        <w:t xml:space="preserve">   </w:t>
      </w:r>
      <w:r>
        <w:rPr>
          <w:rFonts w:ascii="宋体" w:hAnsi="宋体" w:cs="宋体"/>
          <w:color w:val="auto"/>
          <w:kern w:val="0"/>
          <w:highlight w:val="none"/>
          <w:u w:val="none"/>
        </w:rPr>
        <w:t xml:space="preserve"> </w:t>
      </w:r>
      <w:r>
        <w:rPr>
          <w:rFonts w:ascii="宋体" w:hAnsi="宋体" w:cs="宋体"/>
          <w:color w:val="auto"/>
          <w:kern w:val="0"/>
          <w:highlight w:val="none"/>
          <w:u w:val="none"/>
          <w:lang w:val="zh-CN"/>
        </w:rPr>
        <w:t>4.</w:t>
      </w:r>
      <w:r>
        <w:rPr>
          <w:rFonts w:hint="eastAsia" w:ascii="宋体" w:hAnsi="宋体" w:cs="宋体"/>
          <w:color w:val="auto"/>
          <w:kern w:val="0"/>
          <w:highlight w:val="none"/>
          <w:u w:val="none"/>
          <w:lang w:val="zh-CN"/>
        </w:rPr>
        <w:t>若中标，本承诺将成为合同不可分割的一部分，与合同具有同等的法律效力。</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lang w:val="zh-CN"/>
        </w:rPr>
      </w:pPr>
      <w:r>
        <w:rPr>
          <w:rFonts w:ascii="宋体" w:cs="宋体"/>
          <w:color w:val="auto"/>
          <w:highlight w:val="none"/>
          <w:u w:val="none"/>
          <w:lang w:val="zh-CN"/>
        </w:rPr>
        <w:br w:type="page"/>
      </w:r>
      <w:bookmarkStart w:id="135" w:name="_Toc3276"/>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5</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投标人诚信承诺书</w:t>
      </w:r>
      <w:bookmarkEnd w:id="135"/>
    </w:p>
    <w:p>
      <w:pPr>
        <w:spacing w:line="360" w:lineRule="auto"/>
        <w:rPr>
          <w:rFonts w:ascii="宋体" w:cs="宋体"/>
          <w:color w:val="auto"/>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投标人诚信承诺书</w:t>
      </w: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为了诚实、客观、有序地参与青海省政府采购活动，愿就以下内容作出承诺：</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三、尊重参与政府采购活动各相关方的合法行为，接受政府采购活动依法形成的意见、结果。</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四、依法参加政府采购活动，不围标、串标，维护市场秩序，不提供“三无”产品、以次充好。</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color w:val="auto"/>
          <w:kern w:val="0"/>
          <w:highlight w:val="none"/>
          <w:u w:val="none"/>
          <w:lang w:val="zh-CN"/>
        </w:rPr>
      </w:pPr>
      <w:r>
        <w:rPr>
          <w:rFonts w:hint="eastAsia" w:ascii="宋体" w:hAnsi="宋体" w:cs="宋体"/>
          <w:color w:val="auto"/>
          <w:kern w:val="0"/>
          <w:highlight w:val="none"/>
          <w:u w:val="none"/>
          <w:lang w:val="zh-CN"/>
        </w:rPr>
        <w:t>本承诺是采购项目投标文件的组成部分。</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lang w:val="zh-CN"/>
        </w:rPr>
      </w:pPr>
      <w:r>
        <w:rPr>
          <w:rFonts w:ascii="宋体" w:cs="宋体"/>
          <w:color w:val="auto"/>
          <w:kern w:val="0"/>
          <w:sz w:val="24"/>
          <w:highlight w:val="none"/>
          <w:u w:val="none"/>
          <w:lang w:val="zh-CN"/>
        </w:rPr>
        <w:br w:type="page"/>
      </w:r>
      <w:bookmarkEnd w:id="133"/>
      <w:bookmarkStart w:id="136" w:name="_Toc17915"/>
      <w:bookmarkStart w:id="137" w:name="_Toc8344"/>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6</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资格证明材料</w:t>
      </w:r>
      <w:bookmarkEnd w:id="136"/>
    </w:p>
    <w:p>
      <w:pPr>
        <w:spacing w:line="360" w:lineRule="auto"/>
        <w:rPr>
          <w:rFonts w:ascii="宋体" w:cs="宋体"/>
          <w:color w:val="auto"/>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资格证明材料</w:t>
      </w:r>
    </w:p>
    <w:p>
      <w:pPr>
        <w:autoSpaceDE w:val="0"/>
        <w:autoSpaceDN w:val="0"/>
        <w:spacing w:line="360" w:lineRule="auto"/>
        <w:rPr>
          <w:rFonts w:ascii="宋体" w:cs="宋体"/>
          <w:color w:val="auto"/>
          <w:kern w:val="0"/>
          <w:sz w:val="28"/>
          <w:szCs w:val="28"/>
          <w:highlight w:val="none"/>
          <w:u w:val="none"/>
          <w:lang w:val="zh-CN"/>
        </w:rPr>
      </w:pPr>
    </w:p>
    <w:p>
      <w:p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资格证明材料包括：</w:t>
      </w:r>
    </w:p>
    <w:p>
      <w:pPr>
        <w:numPr>
          <w:ilvl w:val="0"/>
          <w:numId w:val="11"/>
        </w:num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三证合一或五证合一复印件、开户许可证复印件；</w:t>
      </w:r>
    </w:p>
    <w:p>
      <w:p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w:t>
      </w:r>
      <w:r>
        <w:rPr>
          <w:rFonts w:ascii="宋体" w:hAnsi="宋体" w:cs="宋体"/>
          <w:color w:val="auto"/>
          <w:highlight w:val="none"/>
          <w:u w:val="none"/>
        </w:rPr>
        <w:t>2</w:t>
      </w:r>
      <w:r>
        <w:rPr>
          <w:rFonts w:hint="eastAsia" w:ascii="宋体" w:hAnsi="宋体" w:cs="宋体"/>
          <w:color w:val="auto"/>
          <w:highlight w:val="none"/>
          <w:u w:val="none"/>
        </w:rPr>
        <w:t>）招标文件规定的有关资格证书、许可证书、认证等；</w:t>
      </w:r>
    </w:p>
    <w:p>
      <w:p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w:t>
      </w:r>
      <w:r>
        <w:rPr>
          <w:rFonts w:ascii="宋体" w:hAnsi="宋体" w:cs="宋体"/>
          <w:color w:val="auto"/>
          <w:highlight w:val="none"/>
          <w:u w:val="none"/>
        </w:rPr>
        <w:t>3</w:t>
      </w:r>
      <w:r>
        <w:rPr>
          <w:rFonts w:hint="eastAsia" w:ascii="宋体" w:hAnsi="宋体" w:cs="宋体"/>
          <w:color w:val="auto"/>
          <w:highlight w:val="none"/>
          <w:u w:val="none"/>
        </w:rPr>
        <w:t>）投标企业简介及获得相关证书证明文件；</w:t>
      </w:r>
    </w:p>
    <w:p>
      <w:p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w:t>
      </w:r>
      <w:r>
        <w:rPr>
          <w:rFonts w:ascii="宋体" w:hAnsi="宋体" w:cs="宋体"/>
          <w:color w:val="auto"/>
          <w:highlight w:val="none"/>
          <w:u w:val="none"/>
        </w:rPr>
        <w:t>4</w:t>
      </w:r>
      <w:r>
        <w:rPr>
          <w:rFonts w:hint="eastAsia" w:ascii="宋体" w:hAnsi="宋体" w:cs="宋体"/>
          <w:color w:val="auto"/>
          <w:highlight w:val="none"/>
          <w:u w:val="none"/>
        </w:rPr>
        <w:t>）投标人认为有必要提供的其他资格证明文件。</w:t>
      </w:r>
    </w:p>
    <w:p>
      <w:pPr>
        <w:autoSpaceDE w:val="0"/>
        <w:autoSpaceDN w:val="0"/>
        <w:spacing w:line="360" w:lineRule="auto"/>
        <w:ind w:firstLine="600" w:firstLineChars="250"/>
        <w:rPr>
          <w:rFonts w:ascii="宋体" w:cs="宋体"/>
          <w:color w:val="auto"/>
          <w:kern w:val="0"/>
          <w:highlight w:val="none"/>
          <w:u w:val="none"/>
          <w:lang w:val="zh-CN"/>
        </w:rPr>
      </w:pPr>
      <w:r>
        <w:rPr>
          <w:rFonts w:hint="eastAsia" w:ascii="宋体" w:hAnsi="宋体" w:cs="宋体"/>
          <w:color w:val="auto"/>
          <w:kern w:val="0"/>
          <w:highlight w:val="none"/>
          <w:u w:val="none"/>
          <w:lang w:val="zh-CN"/>
        </w:rPr>
        <w:t>如果是非法人资格的投标人，须提供身份证明。</w:t>
      </w:r>
    </w:p>
    <w:p>
      <w:pPr>
        <w:pStyle w:val="29"/>
        <w:spacing w:before="0" w:after="0" w:line="360" w:lineRule="auto"/>
        <w:jc w:val="left"/>
        <w:outlineLvl w:val="1"/>
        <w:rPr>
          <w:rFonts w:ascii="宋体" w:cs="宋体"/>
          <w:color w:val="auto"/>
          <w:highlight w:val="none"/>
          <w:u w:val="none"/>
        </w:rPr>
      </w:pPr>
      <w:r>
        <w:rPr>
          <w:rFonts w:ascii="宋体" w:cs="宋体"/>
          <w:color w:val="auto"/>
          <w:kern w:val="0"/>
          <w:sz w:val="24"/>
          <w:highlight w:val="none"/>
          <w:u w:val="none"/>
          <w:lang w:val="zh-CN"/>
        </w:rPr>
        <w:br w:type="page"/>
      </w:r>
      <w:bookmarkStart w:id="138" w:name="_Toc14606"/>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7</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财务状况报告，依法缴纳税收和社会保障资金的相关材料</w:t>
      </w:r>
      <w:bookmarkEnd w:id="138"/>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财务状况报告，依法缴纳税收和社会保障资金的相关材料</w:t>
      </w:r>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按照招标文件第</w:t>
      </w:r>
      <w:r>
        <w:rPr>
          <w:rFonts w:ascii="宋体" w:hAnsi="宋体" w:cs="宋体"/>
          <w:color w:val="auto"/>
          <w:kern w:val="0"/>
          <w:highlight w:val="none"/>
          <w:u w:val="none"/>
          <w:lang w:val="zh-CN"/>
        </w:rPr>
        <w:t>2.2</w:t>
      </w:r>
      <w:r>
        <w:rPr>
          <w:rFonts w:hint="eastAsia" w:ascii="宋体" w:hAnsi="宋体" w:cs="宋体"/>
          <w:color w:val="auto"/>
          <w:kern w:val="0"/>
          <w:highlight w:val="none"/>
          <w:u w:val="none"/>
          <w:lang w:val="zh-CN"/>
        </w:rPr>
        <w:t>款（</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）中第</w:t>
      </w:r>
      <w:r>
        <w:rPr>
          <w:rFonts w:ascii="宋体" w:hAnsi="宋体" w:cs="宋体"/>
          <w:color w:val="auto"/>
          <w:kern w:val="0"/>
          <w:highlight w:val="none"/>
          <w:u w:val="none"/>
          <w:lang w:val="zh-CN"/>
        </w:rPr>
        <w:t>&lt;2&gt;</w:t>
      </w:r>
      <w:r>
        <w:rPr>
          <w:rFonts w:hint="eastAsia" w:ascii="宋体" w:hAnsi="宋体" w:cs="宋体"/>
          <w:color w:val="auto"/>
          <w:kern w:val="0"/>
          <w:highlight w:val="none"/>
          <w:u w:val="none"/>
          <w:lang w:val="zh-CN"/>
        </w:rPr>
        <w:t>条规定提供以下相关材料。</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、投标人基本开户银行近三个月内出具的资信证明或经第三方机构出具的</w:t>
      </w:r>
      <w:r>
        <w:rPr>
          <w:rFonts w:hint="eastAsia" w:ascii="宋体" w:hAnsi="宋体" w:cs="宋体"/>
          <w:color w:val="auto"/>
          <w:kern w:val="0"/>
          <w:highlight w:val="none"/>
          <w:u w:val="none"/>
          <w:lang w:val="en-US" w:eastAsia="zh-CN"/>
        </w:rPr>
        <w:t>(</w:t>
      </w:r>
      <w:r>
        <w:rPr>
          <w:rFonts w:hint="eastAsia" w:ascii="宋体" w:hAnsi="宋体" w:cs="宋体"/>
          <w:color w:val="auto"/>
          <w:kern w:val="0"/>
          <w:highlight w:val="none"/>
          <w:u w:val="none"/>
        </w:rPr>
        <w:t>2020年度</w:t>
      </w:r>
      <w:r>
        <w:rPr>
          <w:rFonts w:hint="eastAsia" w:ascii="宋体" w:hAnsi="宋体" w:cs="宋体"/>
          <w:color w:val="auto"/>
          <w:kern w:val="0"/>
          <w:highlight w:val="none"/>
          <w:u w:val="none"/>
          <w:lang w:val="zh-CN"/>
        </w:rPr>
        <w:t>）财务状况审计报告，包括资产负债表、现金流量表、利润表和财务（会计）报表附注。</w:t>
      </w:r>
    </w:p>
    <w:p>
      <w:pPr>
        <w:autoSpaceDE w:val="0"/>
        <w:autoSpaceDN w:val="0"/>
        <w:spacing w:line="360" w:lineRule="auto"/>
        <w:ind w:firstLine="480"/>
        <w:rPr>
          <w:rFonts w:ascii="宋体" w:cs="宋体"/>
          <w:color w:val="auto"/>
          <w:kern w:val="0"/>
          <w:highlight w:val="none"/>
          <w:u w:val="none"/>
          <w:lang w:val="zh-CN"/>
        </w:rPr>
      </w:pPr>
      <w:r>
        <w:rPr>
          <w:rFonts w:ascii="宋体" w:hAnsi="宋体" w:cs="宋体"/>
          <w:color w:val="auto"/>
          <w:kern w:val="0"/>
          <w:highlight w:val="none"/>
          <w:u w:val="none"/>
          <w:lang w:val="zh-CN"/>
        </w:rPr>
        <w:t>2</w:t>
      </w:r>
      <w:r>
        <w:rPr>
          <w:rFonts w:hint="eastAsia" w:ascii="宋体" w:hAnsi="宋体" w:cs="宋体"/>
          <w:color w:val="auto"/>
          <w:kern w:val="0"/>
          <w:highlight w:val="none"/>
          <w:u w:val="none"/>
          <w:lang w:val="zh-CN"/>
        </w:rPr>
        <w:t>、近半年依法缴纳税收和社会保障资金记录的证明材料；依法免税或不需要缴纳社会保障资金的投标人须提供相应文件证明其依法免税或不需要缴纳社会保障资金，未提供免税证明的视为无效投标。</w:t>
      </w:r>
    </w:p>
    <w:p>
      <w:pPr>
        <w:pStyle w:val="29"/>
        <w:spacing w:before="0" w:after="0" w:line="360" w:lineRule="auto"/>
        <w:jc w:val="left"/>
        <w:outlineLvl w:val="1"/>
        <w:rPr>
          <w:rFonts w:ascii="宋体" w:cs="宋体"/>
          <w:color w:val="auto"/>
          <w:highlight w:val="none"/>
          <w:u w:val="none"/>
        </w:rPr>
      </w:pPr>
      <w:r>
        <w:rPr>
          <w:rFonts w:ascii="宋体" w:cs="宋体"/>
          <w:color w:val="auto"/>
          <w:kern w:val="0"/>
          <w:sz w:val="24"/>
          <w:highlight w:val="none"/>
          <w:u w:val="none"/>
          <w:lang w:val="zh-CN"/>
        </w:rPr>
        <w:br w:type="page"/>
      </w:r>
      <w:bookmarkEnd w:id="137"/>
      <w:bookmarkStart w:id="139" w:name="_Toc27107"/>
      <w:bookmarkStart w:id="140" w:name="_Toc21530"/>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8</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具备履行合同所必需的设备和专业技术能力的证明材料</w:t>
      </w:r>
      <w:bookmarkEnd w:id="139"/>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具备履行合同所必需的设备和专业技术能力的证明材料</w:t>
      </w:r>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为保证本项目合同的顺利履行，投标人必须具备履行合同的设备和专业技术能力，须提供类似项目实施业绩及及相关人员的职称证书和在职参保证明等证明材料</w:t>
      </w:r>
    </w:p>
    <w:p>
      <w:pPr>
        <w:pStyle w:val="29"/>
        <w:spacing w:before="0" w:after="0" w:line="360" w:lineRule="auto"/>
        <w:jc w:val="left"/>
        <w:outlineLvl w:val="1"/>
        <w:rPr>
          <w:rFonts w:ascii="宋体" w:cs="宋体"/>
          <w:color w:val="auto"/>
          <w:highlight w:val="none"/>
          <w:u w:val="none"/>
        </w:rPr>
      </w:pPr>
      <w:r>
        <w:rPr>
          <w:rFonts w:ascii="宋体" w:cs="宋体"/>
          <w:color w:val="auto"/>
          <w:kern w:val="0"/>
          <w:sz w:val="24"/>
          <w:highlight w:val="none"/>
          <w:u w:val="none"/>
          <w:lang w:val="zh-CN"/>
        </w:rPr>
        <w:br w:type="page"/>
      </w:r>
      <w:bookmarkStart w:id="141" w:name="_Toc18281"/>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9</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无重大违法记录声明</w:t>
      </w:r>
      <w:bookmarkEnd w:id="141"/>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无重大违法记录声明</w:t>
      </w:r>
    </w:p>
    <w:p>
      <w:pPr>
        <w:spacing w:line="360" w:lineRule="auto"/>
        <w:rPr>
          <w:rFonts w:ascii="宋体" w:cs="宋体"/>
          <w:b/>
          <w:bCs/>
          <w:color w:val="auto"/>
          <w:sz w:val="28"/>
          <w:szCs w:val="28"/>
          <w:highlight w:val="none"/>
          <w:u w:val="none"/>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spacing w:line="360" w:lineRule="auto"/>
        <w:ind w:firstLine="480" w:firstLineChars="200"/>
        <w:rPr>
          <w:rFonts w:ascii="宋体" w:cs="宋体"/>
          <w:color w:val="auto"/>
          <w:highlight w:val="none"/>
          <w:u w:val="none"/>
          <w:shd w:val="clear" w:color="auto" w:fill="FFFFFF"/>
        </w:rPr>
      </w:pPr>
      <w:r>
        <w:rPr>
          <w:rFonts w:hint="eastAsia" w:ascii="宋体" w:hAnsi="宋体" w:cs="宋体"/>
          <w:color w:val="auto"/>
          <w:highlight w:val="none"/>
          <w:u w:val="none"/>
        </w:rPr>
        <w:t>我单位参加本次政府采购项目活动前三年内，在经营活动中无重大违法活动记录，符合《政府采购法》规定的供应商资格条</w:t>
      </w:r>
      <w:r>
        <w:rPr>
          <w:rFonts w:hint="eastAsia" w:ascii="宋体" w:hAnsi="宋体" w:cs="宋体"/>
          <w:color w:val="auto"/>
          <w:highlight w:val="none"/>
          <w:u w:val="none"/>
          <w:shd w:val="clear" w:color="auto" w:fill="FFFFFF"/>
        </w:rPr>
        <w:t>件。我方对此声明负全部法律责任。</w:t>
      </w:r>
    </w:p>
    <w:p>
      <w:pPr>
        <w:spacing w:line="360" w:lineRule="auto"/>
        <w:ind w:firstLine="480" w:firstLineChars="200"/>
        <w:rPr>
          <w:rFonts w:ascii="宋体" w:cs="宋体"/>
          <w:color w:val="auto"/>
          <w:highlight w:val="none"/>
          <w:u w:val="none"/>
        </w:rPr>
      </w:pPr>
      <w:r>
        <w:rPr>
          <w:rFonts w:hint="eastAsia" w:ascii="宋体" w:hAnsi="宋体" w:cs="宋体"/>
          <w:color w:val="auto"/>
          <w:highlight w:val="none"/>
          <w:u w:val="none"/>
        </w:rPr>
        <w:t>特此声明。</w:t>
      </w: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left"/>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sz w:val="30"/>
          <w:szCs w:val="30"/>
          <w:highlight w:val="none"/>
          <w:u w:val="none"/>
        </w:rPr>
        <w:sectPr>
          <w:pgSz w:w="11849" w:h="16781"/>
          <w:pgMar w:top="1440" w:right="1803" w:bottom="1440" w:left="1803" w:header="850" w:footer="992" w:gutter="0"/>
          <w:pgNumType w:start="1"/>
          <w:cols w:space="0" w:num="1"/>
          <w:docGrid w:linePitch="397" w:charSpace="0"/>
        </w:sectPr>
      </w:pPr>
      <w:bookmarkStart w:id="142" w:name="_Toc29764"/>
    </w:p>
    <w:p>
      <w:pPr>
        <w:pStyle w:val="29"/>
        <w:spacing w:before="0" w:after="0" w:line="360" w:lineRule="auto"/>
        <w:jc w:val="left"/>
        <w:outlineLvl w:val="1"/>
        <w:rPr>
          <w:rFonts w:ascii="宋体" w:cs="宋体"/>
          <w:color w:val="auto"/>
          <w:highlight w:val="none"/>
          <w:u w:val="none"/>
          <w:lang w:val="zh-CN"/>
        </w:rPr>
      </w:pPr>
      <w:bookmarkStart w:id="143" w:name="_Toc29749"/>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10</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投标保证金证明</w:t>
      </w:r>
      <w:bookmarkEnd w:id="142"/>
      <w:bookmarkEnd w:id="143"/>
    </w:p>
    <w:p>
      <w:pPr>
        <w:spacing w:line="360" w:lineRule="auto"/>
        <w:rPr>
          <w:rFonts w:ascii="宋体" w:cs="宋体"/>
          <w:color w:val="auto"/>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投标保证金证明</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我方为（采购项目名称）项目（采购项目编号为：</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）递交保证金人民币</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（大写：人民币</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元）已于</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年</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月</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日以基本户转账方式汇入你方账户。</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附件：保证金交款证明复印件（加盖公章）</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户</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名：</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开户银行：</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开户帐号：</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注：通过银行转账的，必须由投标人从其基本账户汇（转）入</w:t>
      </w:r>
      <w:r>
        <w:rPr>
          <w:rFonts w:ascii="宋体" w:hAnsi="宋体" w:cs="宋体"/>
          <w:color w:val="auto"/>
          <w:kern w:val="0"/>
          <w:highlight w:val="none"/>
          <w:u w:val="none"/>
        </w:rPr>
        <w:t>9.1</w:t>
      </w:r>
      <w:r>
        <w:rPr>
          <w:rFonts w:hint="eastAsia" w:ascii="宋体" w:hAnsi="宋体" w:cs="宋体"/>
          <w:color w:val="auto"/>
          <w:kern w:val="0"/>
          <w:highlight w:val="none"/>
          <w:u w:val="none"/>
        </w:rPr>
        <w:t>条规定的账户</w:t>
      </w:r>
      <w:r>
        <w:rPr>
          <w:rFonts w:hint="eastAsia" w:ascii="宋体" w:hAnsi="宋体" w:cs="宋体"/>
          <w:color w:val="auto"/>
          <w:kern w:val="0"/>
          <w:highlight w:val="none"/>
          <w:u w:val="none"/>
          <w:lang w:val="zh-CN"/>
        </w:rPr>
        <w:t>。</w:t>
      </w:r>
    </w:p>
    <w:p>
      <w:pPr>
        <w:autoSpaceDE w:val="0"/>
        <w:autoSpaceDN w:val="0"/>
        <w:spacing w:line="360" w:lineRule="auto"/>
        <w:ind w:firstLine="360"/>
        <w:rPr>
          <w:rFonts w:ascii="宋体" w:cs="宋体"/>
          <w:color w:val="auto"/>
          <w:kern w:val="0"/>
          <w:highlight w:val="none"/>
          <w:u w:val="none"/>
          <w:lang w:val="zh-CN"/>
        </w:rPr>
      </w:pPr>
    </w:p>
    <w:p>
      <w:pPr>
        <w:autoSpaceDE w:val="0"/>
        <w:autoSpaceDN w:val="0"/>
        <w:spacing w:line="360" w:lineRule="auto"/>
        <w:ind w:firstLine="360"/>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sz w:val="30"/>
          <w:szCs w:val="30"/>
          <w:highlight w:val="none"/>
          <w:u w:val="none"/>
        </w:rPr>
        <w:sectPr>
          <w:footerReference r:id="rId6" w:type="default"/>
          <w:pgSz w:w="11849" w:h="16781"/>
          <w:pgMar w:top="1440" w:right="1803" w:bottom="1440" w:left="1803" w:header="850" w:footer="992" w:gutter="0"/>
          <w:cols w:space="0" w:num="1"/>
          <w:docGrid w:linePitch="397" w:charSpace="0"/>
        </w:sectPr>
      </w:pPr>
    </w:p>
    <w:bookmarkEnd w:id="140"/>
    <w:p>
      <w:pPr>
        <w:pStyle w:val="29"/>
        <w:spacing w:before="0" w:after="0" w:line="360" w:lineRule="auto"/>
        <w:jc w:val="left"/>
        <w:rPr>
          <w:rFonts w:ascii="宋体" w:cs="宋体"/>
          <w:color w:val="auto"/>
          <w:sz w:val="30"/>
          <w:szCs w:val="30"/>
          <w:highlight w:val="none"/>
          <w:u w:val="none"/>
          <w:lang w:val="zh-CN"/>
        </w:rPr>
      </w:pPr>
      <w:bookmarkStart w:id="144" w:name="_Toc7533"/>
      <w:bookmarkStart w:id="145" w:name="_Toc27859"/>
      <w:r>
        <w:rPr>
          <w:rFonts w:hint="eastAsia" w:ascii="宋体" w:hAnsi="宋体" w:cs="宋体"/>
          <w:color w:val="auto"/>
          <w:sz w:val="30"/>
          <w:szCs w:val="30"/>
          <w:highlight w:val="none"/>
          <w:u w:val="none"/>
          <w:lang w:val="zh-CN"/>
        </w:rPr>
        <w:t>三、投标文件封面（下册）</w:t>
      </w:r>
      <w:bookmarkEnd w:id="144"/>
    </w:p>
    <w:bookmarkEnd w:id="145"/>
    <w:p>
      <w:pPr>
        <w:autoSpaceDE w:val="0"/>
        <w:autoSpaceDN w:val="0"/>
        <w:spacing w:line="360" w:lineRule="auto"/>
        <w:jc w:val="right"/>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rPr>
        <w:t>正本</w:t>
      </w:r>
      <w:r>
        <w:rPr>
          <w:rFonts w:ascii="宋体" w:hAnsi="宋体" w:cs="宋体"/>
          <w:b/>
          <w:bCs/>
          <w:color w:val="auto"/>
          <w:kern w:val="0"/>
          <w:sz w:val="36"/>
          <w:szCs w:val="36"/>
          <w:highlight w:val="none"/>
          <w:u w:val="none"/>
        </w:rPr>
        <w:t>/</w:t>
      </w:r>
      <w:r>
        <w:rPr>
          <w:rFonts w:hint="eastAsia" w:ascii="宋体" w:hAnsi="宋体" w:cs="宋体"/>
          <w:b/>
          <w:bCs/>
          <w:color w:val="auto"/>
          <w:kern w:val="0"/>
          <w:sz w:val="36"/>
          <w:szCs w:val="36"/>
          <w:highlight w:val="none"/>
          <w:u w:val="none"/>
        </w:rPr>
        <w:t>副本</w:t>
      </w:r>
    </w:p>
    <w:p>
      <w:pPr>
        <w:autoSpaceDE w:val="0"/>
        <w:autoSpaceDN w:val="0"/>
        <w:spacing w:line="360" w:lineRule="auto"/>
        <w:jc w:val="center"/>
        <w:rPr>
          <w:rFonts w:ascii="宋体" w:cs="宋体"/>
          <w:b/>
          <w:bCs/>
          <w:color w:val="auto"/>
          <w:kern w:val="0"/>
          <w:sz w:val="52"/>
          <w:szCs w:val="52"/>
          <w:highlight w:val="none"/>
          <w:u w:val="none"/>
          <w:lang w:val="zh-CN"/>
        </w:rPr>
      </w:pPr>
      <w:r>
        <w:rPr>
          <w:rFonts w:hint="eastAsia" w:ascii="宋体" w:hAnsi="宋体" w:cs="宋体"/>
          <w:b/>
          <w:bCs/>
          <w:color w:val="auto"/>
          <w:kern w:val="0"/>
          <w:sz w:val="52"/>
          <w:szCs w:val="52"/>
          <w:highlight w:val="none"/>
          <w:u w:val="none"/>
          <w:lang w:val="zh-CN"/>
        </w:rPr>
        <w:t>青海省政府采购项目</w:t>
      </w:r>
    </w:p>
    <w:p>
      <w:pPr>
        <w:autoSpaceDE w:val="0"/>
        <w:autoSpaceDN w:val="0"/>
        <w:spacing w:line="360" w:lineRule="auto"/>
        <w:rPr>
          <w:rFonts w:ascii="宋体" w:cs="宋体"/>
          <w:color w:val="auto"/>
          <w:kern w:val="0"/>
          <w:sz w:val="36"/>
          <w:szCs w:val="36"/>
          <w:highlight w:val="none"/>
          <w:u w:val="none"/>
        </w:rPr>
      </w:pPr>
    </w:p>
    <w:p>
      <w:pPr>
        <w:autoSpaceDE w:val="0"/>
        <w:autoSpaceDN w:val="0"/>
        <w:spacing w:line="360" w:lineRule="auto"/>
        <w:jc w:val="center"/>
        <w:rPr>
          <w:rFonts w:ascii="宋体" w:cs="宋体"/>
          <w:b/>
          <w:bCs/>
          <w:color w:val="auto"/>
          <w:kern w:val="0"/>
          <w:sz w:val="72"/>
          <w:szCs w:val="72"/>
          <w:highlight w:val="none"/>
          <w:u w:val="none"/>
        </w:rPr>
      </w:pPr>
      <w:r>
        <w:rPr>
          <w:rFonts w:hint="eastAsia" w:ascii="宋体" w:hAnsi="宋体" w:cs="宋体"/>
          <w:b/>
          <w:bCs/>
          <w:color w:val="auto"/>
          <w:kern w:val="0"/>
          <w:sz w:val="72"/>
          <w:szCs w:val="72"/>
          <w:highlight w:val="none"/>
          <w:u w:val="none"/>
          <w:lang w:val="zh-CN"/>
        </w:rPr>
        <w:t>投</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标</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文</w:t>
      </w:r>
      <w:r>
        <w:rPr>
          <w:rFonts w:ascii="宋体" w:hAnsi="宋体" w:cs="宋体"/>
          <w:b/>
          <w:bCs/>
          <w:color w:val="auto"/>
          <w:kern w:val="0"/>
          <w:sz w:val="72"/>
          <w:szCs w:val="72"/>
          <w:highlight w:val="none"/>
          <w:u w:val="none"/>
        </w:rPr>
        <w:t xml:space="preserve"> </w:t>
      </w:r>
      <w:r>
        <w:rPr>
          <w:rFonts w:hint="eastAsia" w:ascii="宋体" w:hAnsi="宋体" w:cs="宋体"/>
          <w:b/>
          <w:bCs/>
          <w:color w:val="auto"/>
          <w:kern w:val="0"/>
          <w:sz w:val="72"/>
          <w:szCs w:val="72"/>
          <w:highlight w:val="none"/>
          <w:u w:val="none"/>
          <w:lang w:val="zh-CN"/>
        </w:rPr>
        <w:t>件</w:t>
      </w:r>
    </w:p>
    <w:p>
      <w:pPr>
        <w:autoSpaceDE w:val="0"/>
        <w:autoSpaceDN w:val="0"/>
        <w:spacing w:line="360" w:lineRule="auto"/>
        <w:jc w:val="center"/>
        <w:rPr>
          <w:rFonts w:ascii="宋体" w:cs="宋体"/>
          <w:color w:val="auto"/>
          <w:kern w:val="0"/>
          <w:sz w:val="44"/>
          <w:szCs w:val="44"/>
          <w:highlight w:val="none"/>
          <w:u w:val="none"/>
        </w:rPr>
      </w:pPr>
      <w:r>
        <w:rPr>
          <w:rFonts w:hint="eastAsia" w:ascii="宋体" w:hAnsi="宋体" w:cs="宋体"/>
          <w:b/>
          <w:bCs/>
          <w:color w:val="auto"/>
          <w:sz w:val="44"/>
          <w:szCs w:val="44"/>
          <w:highlight w:val="none"/>
          <w:u w:val="none"/>
          <w:lang w:val="zh-CN"/>
        </w:rPr>
        <w:t>（下册）</w:t>
      </w:r>
    </w:p>
    <w:p>
      <w:pPr>
        <w:autoSpaceDE w:val="0"/>
        <w:autoSpaceDN w:val="0"/>
        <w:spacing w:line="360" w:lineRule="auto"/>
        <w:rPr>
          <w:rFonts w:ascii="宋体" w:cs="宋体"/>
          <w:color w:val="auto"/>
          <w:kern w:val="0"/>
          <w:sz w:val="36"/>
          <w:szCs w:val="36"/>
          <w:highlight w:val="none"/>
          <w:u w:val="none"/>
        </w:rPr>
      </w:pPr>
    </w:p>
    <w:p>
      <w:pPr>
        <w:autoSpaceDE w:val="0"/>
        <w:autoSpaceDN w:val="0"/>
        <w:spacing w:line="360" w:lineRule="auto"/>
        <w:rPr>
          <w:rFonts w:ascii="宋体" w:cs="宋体"/>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采购项目编号：</w:t>
      </w:r>
    </w:p>
    <w:p>
      <w:pPr>
        <w:autoSpaceDE w:val="0"/>
        <w:autoSpaceDN w:val="0"/>
        <w:spacing w:line="360" w:lineRule="auto"/>
        <w:rPr>
          <w:rFonts w:ascii="宋体" w:cs="宋体"/>
          <w:b/>
          <w:bCs/>
          <w:color w:val="auto"/>
          <w:kern w:val="0"/>
          <w:sz w:val="36"/>
          <w:szCs w:val="36"/>
          <w:highlight w:val="none"/>
          <w:u w:val="none"/>
        </w:rPr>
      </w:pPr>
      <w:r>
        <w:rPr>
          <w:rFonts w:hint="eastAsia" w:ascii="宋体" w:hAnsi="宋体" w:cs="宋体"/>
          <w:b/>
          <w:bCs/>
          <w:color w:val="auto"/>
          <w:kern w:val="0"/>
          <w:sz w:val="36"/>
          <w:szCs w:val="36"/>
          <w:highlight w:val="none"/>
          <w:u w:val="none"/>
          <w:lang w:val="zh-CN"/>
        </w:rPr>
        <w:t>采购项目名称</w:t>
      </w:r>
      <w:r>
        <w:rPr>
          <w:rFonts w:hint="eastAsia" w:ascii="宋体" w:hAnsi="宋体" w:cs="宋体"/>
          <w:b/>
          <w:bCs/>
          <w:color w:val="auto"/>
          <w:kern w:val="0"/>
          <w:sz w:val="36"/>
          <w:szCs w:val="36"/>
          <w:highlight w:val="none"/>
          <w:u w:val="none"/>
        </w:rPr>
        <w:t>：</w:t>
      </w:r>
    </w:p>
    <w:p>
      <w:pPr>
        <w:autoSpaceDE w:val="0"/>
        <w:autoSpaceDN w:val="0"/>
        <w:spacing w:line="360" w:lineRule="auto"/>
        <w:rPr>
          <w:rFonts w:ascii="宋体" w:cs="宋体"/>
          <w:b/>
          <w:bCs/>
          <w:color w:val="auto"/>
          <w:kern w:val="0"/>
          <w:sz w:val="36"/>
          <w:szCs w:val="36"/>
          <w:highlight w:val="none"/>
          <w:u w:val="none"/>
          <w:lang w:val="zh-CN"/>
        </w:rPr>
      </w:pPr>
      <w:r>
        <w:rPr>
          <w:rFonts w:hint="eastAsia" w:ascii="宋体" w:hAnsi="宋体" w:cs="宋体"/>
          <w:b/>
          <w:bCs/>
          <w:color w:val="auto"/>
          <w:kern w:val="0"/>
          <w:sz w:val="36"/>
          <w:szCs w:val="36"/>
          <w:highlight w:val="none"/>
          <w:u w:val="none"/>
          <w:lang w:val="zh-CN"/>
        </w:rPr>
        <w:t>投</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标</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包</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号：</w:t>
      </w:r>
    </w:p>
    <w:p>
      <w:pPr>
        <w:autoSpaceDE w:val="0"/>
        <w:autoSpaceDN w:val="0"/>
        <w:spacing w:line="360" w:lineRule="auto"/>
        <w:rPr>
          <w:rFonts w:ascii="宋体" w:cs="宋体"/>
          <w:b/>
          <w:bCs/>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p>
    <w:p>
      <w:pPr>
        <w:autoSpaceDE w:val="0"/>
        <w:autoSpaceDN w:val="0"/>
        <w:spacing w:line="360" w:lineRule="auto"/>
        <w:rPr>
          <w:rFonts w:ascii="宋体" w:cs="宋体"/>
          <w:b/>
          <w:bCs/>
          <w:color w:val="auto"/>
          <w:kern w:val="0"/>
          <w:sz w:val="36"/>
          <w:szCs w:val="36"/>
          <w:highlight w:val="none"/>
          <w:u w:val="none"/>
        </w:r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投标人：</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rPr>
        <w:t>（</w:t>
      </w:r>
      <w:r>
        <w:rPr>
          <w:rFonts w:hint="eastAsia" w:ascii="宋体" w:hAnsi="宋体" w:cs="宋体"/>
          <w:b/>
          <w:bCs/>
          <w:color w:val="auto"/>
          <w:kern w:val="0"/>
          <w:sz w:val="36"/>
          <w:szCs w:val="36"/>
          <w:highlight w:val="none"/>
          <w:u w:val="none"/>
          <w:lang w:val="zh-CN"/>
        </w:rPr>
        <w:t>公章）</w:t>
      </w:r>
    </w:p>
    <w:p>
      <w:pPr>
        <w:autoSpaceDE w:val="0"/>
        <w:autoSpaceDN w:val="0"/>
        <w:spacing w:line="360" w:lineRule="auto"/>
        <w:rPr>
          <w:rFonts w:ascii="宋体" w:cs="宋体"/>
          <w:b/>
          <w:bCs/>
          <w:color w:val="auto"/>
          <w:kern w:val="0"/>
          <w:sz w:val="36"/>
          <w:szCs w:val="36"/>
          <w:highlight w:val="none"/>
          <w:u w:val="none"/>
        </w:r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法定代表人或委托代理人：</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（签字）</w:t>
      </w:r>
    </w:p>
    <w:p>
      <w:pPr>
        <w:autoSpaceDE w:val="0"/>
        <w:autoSpaceDN w:val="0"/>
        <w:spacing w:line="360" w:lineRule="auto"/>
        <w:rPr>
          <w:rFonts w:ascii="宋体" w:cs="宋体"/>
          <w:b/>
          <w:bCs/>
          <w:color w:val="auto"/>
          <w:kern w:val="0"/>
          <w:sz w:val="36"/>
          <w:szCs w:val="36"/>
          <w:highlight w:val="none"/>
          <w:u w:val="none"/>
          <w:lang w:val="zh-CN"/>
        </w:rPr>
        <w:sectPr>
          <w:footerReference r:id="rId7" w:type="default"/>
          <w:pgSz w:w="11849" w:h="16781"/>
          <w:pgMar w:top="1440" w:right="1803" w:bottom="1440" w:left="1803" w:header="850" w:footer="992" w:gutter="0"/>
          <w:cols w:space="0" w:num="1"/>
          <w:docGrid w:linePitch="397" w:charSpace="0"/>
        </w:sectPr>
      </w:pP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年</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月</w:t>
      </w:r>
      <w:r>
        <w:rPr>
          <w:rFonts w:ascii="宋体" w:hAnsi="宋体" w:cs="宋体"/>
          <w:b/>
          <w:bCs/>
          <w:color w:val="auto"/>
          <w:kern w:val="0"/>
          <w:sz w:val="36"/>
          <w:szCs w:val="36"/>
          <w:highlight w:val="none"/>
          <w:u w:val="none"/>
        </w:rPr>
        <w:t xml:space="preserve">    </w:t>
      </w:r>
      <w:r>
        <w:rPr>
          <w:rFonts w:hint="eastAsia" w:ascii="宋体" w:hAnsi="宋体" w:cs="宋体"/>
          <w:b/>
          <w:bCs/>
          <w:color w:val="auto"/>
          <w:kern w:val="0"/>
          <w:sz w:val="36"/>
          <w:szCs w:val="36"/>
          <w:highlight w:val="none"/>
          <w:u w:val="none"/>
          <w:lang w:val="zh-CN"/>
        </w:rPr>
        <w:t>日</w:t>
      </w:r>
    </w:p>
    <w:p>
      <w:pPr>
        <w:autoSpaceDE w:val="0"/>
        <w:autoSpaceDN w:val="0"/>
        <w:spacing w:line="360" w:lineRule="auto"/>
        <w:rPr>
          <w:rFonts w:ascii="宋体" w:cs="宋体"/>
          <w:color w:val="auto"/>
          <w:highlight w:val="none"/>
          <w:u w:val="none"/>
          <w:lang w:val="zh-CN"/>
        </w:rPr>
      </w:pPr>
      <w:r>
        <w:rPr>
          <w:rFonts w:hint="eastAsia" w:ascii="宋体" w:hAnsi="宋体" w:cs="宋体"/>
          <w:b/>
          <w:bCs/>
          <w:color w:val="auto"/>
          <w:kern w:val="0"/>
          <w:sz w:val="30"/>
          <w:szCs w:val="30"/>
          <w:highlight w:val="none"/>
          <w:u w:val="none"/>
          <w:lang w:val="zh-CN"/>
        </w:rPr>
        <w:t>四、投标文件封面</w:t>
      </w:r>
      <w:r>
        <w:rPr>
          <w:rFonts w:hint="eastAsia" w:ascii="宋体" w:hAnsi="宋体" w:cs="宋体"/>
          <w:b/>
          <w:bCs/>
          <w:color w:val="auto"/>
          <w:sz w:val="30"/>
          <w:szCs w:val="30"/>
          <w:highlight w:val="none"/>
          <w:u w:val="none"/>
          <w:lang w:val="zh-CN"/>
        </w:rPr>
        <w:t>目录（下册）</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highlight w:val="none"/>
          <w:u w:val="none"/>
        </w:rPr>
        <w:t>（</w:t>
      </w:r>
      <w:r>
        <w:rPr>
          <w:rFonts w:ascii="宋体" w:hAnsi="宋体" w:cs="宋体"/>
          <w:color w:val="auto"/>
          <w:highlight w:val="none"/>
          <w:u w:val="none"/>
        </w:rPr>
        <w:t>11</w:t>
      </w:r>
      <w:r>
        <w:rPr>
          <w:rFonts w:hint="eastAsia" w:ascii="宋体" w:hAnsi="宋体" w:cs="宋体"/>
          <w:color w:val="auto"/>
          <w:highlight w:val="none"/>
          <w:u w:val="none"/>
        </w:rPr>
        <w:t>）评分对照表</w:t>
      </w:r>
      <w:r>
        <w:rPr>
          <w:rFonts w:hint="eastAsia" w:ascii="宋体" w:hAnsi="宋体" w:cs="宋体"/>
          <w:color w:val="auto"/>
          <w:kern w:val="0"/>
          <w:highlight w:val="none"/>
          <w:u w:val="none"/>
          <w:lang w:val="zh-CN"/>
        </w:rPr>
        <w:t>………………………………………………………所在页码</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12</w:t>
      </w:r>
      <w:r>
        <w:rPr>
          <w:rFonts w:hint="eastAsia" w:ascii="宋体" w:hAnsi="宋体" w:cs="宋体"/>
          <w:color w:val="auto"/>
          <w:kern w:val="0"/>
          <w:highlight w:val="none"/>
          <w:u w:val="none"/>
          <w:lang w:val="zh-CN"/>
        </w:rPr>
        <w:t>）开标一览表（报价表）…………………………………………所在页码</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13</w:t>
      </w:r>
      <w:r>
        <w:rPr>
          <w:rFonts w:hint="eastAsia" w:ascii="宋体" w:hAnsi="宋体" w:cs="宋体"/>
          <w:color w:val="auto"/>
          <w:kern w:val="0"/>
          <w:highlight w:val="none"/>
          <w:u w:val="none"/>
          <w:lang w:val="zh-CN"/>
        </w:rPr>
        <w:t>）分项报价表………………………………………………………所在页码</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14</w:t>
      </w:r>
      <w:r>
        <w:rPr>
          <w:rFonts w:hint="eastAsia" w:ascii="宋体" w:hAnsi="宋体" w:cs="宋体"/>
          <w:color w:val="auto"/>
          <w:kern w:val="0"/>
          <w:highlight w:val="none"/>
          <w:u w:val="none"/>
          <w:lang w:val="zh-CN"/>
        </w:rPr>
        <w:t>）技术规格响应表…………………………………………………所在页码</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15</w:t>
      </w:r>
      <w:r>
        <w:rPr>
          <w:rFonts w:hint="eastAsia" w:ascii="宋体" w:hAnsi="宋体" w:cs="宋体"/>
          <w:color w:val="auto"/>
          <w:kern w:val="0"/>
          <w:highlight w:val="none"/>
          <w:u w:val="none"/>
          <w:lang w:val="zh-CN"/>
        </w:rPr>
        <w:t>）投标产品相关资料………………………………………………所在页码</w:t>
      </w:r>
    </w:p>
    <w:p>
      <w:pPr>
        <w:autoSpaceDE w:val="0"/>
        <w:autoSpaceDN w:val="0"/>
        <w:spacing w:line="360" w:lineRule="auto"/>
        <w:rPr>
          <w:rFonts w:ascii="宋体" w:cs="宋体"/>
          <w:color w:val="auto"/>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16</w:t>
      </w:r>
      <w:r>
        <w:rPr>
          <w:rFonts w:hint="eastAsia" w:ascii="宋体" w:hAnsi="宋体" w:cs="宋体"/>
          <w:color w:val="auto"/>
          <w:kern w:val="0"/>
          <w:highlight w:val="none"/>
          <w:u w:val="none"/>
          <w:lang w:val="zh-CN"/>
        </w:rPr>
        <w:t>）投标人的类似业绩证明材料……………………………………所在页码</w:t>
      </w:r>
    </w:p>
    <w:p>
      <w:pPr>
        <w:autoSpaceDE w:val="0"/>
        <w:autoSpaceDN w:val="0"/>
        <w:spacing w:line="360" w:lineRule="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17</w:t>
      </w:r>
      <w:r>
        <w:rPr>
          <w:rFonts w:hint="eastAsia" w:ascii="宋体" w:hAnsi="宋体" w:cs="宋体"/>
          <w:color w:val="auto"/>
          <w:kern w:val="0"/>
          <w:highlight w:val="none"/>
          <w:u w:val="none"/>
          <w:lang w:val="zh-CN"/>
        </w:rPr>
        <w:t xml:space="preserve">）制造（生产）企业小型微型企业声明函…………………… </w:t>
      </w:r>
      <w:r>
        <w:rPr>
          <w:rFonts w:ascii="宋体" w:hAnsi="宋体" w:cs="宋体"/>
          <w:color w:val="auto"/>
          <w:kern w:val="0"/>
          <w:highlight w:val="none"/>
          <w:u w:val="none"/>
          <w:lang w:val="zh-CN"/>
        </w:rPr>
        <w:t xml:space="preserve"> </w:t>
      </w:r>
      <w:r>
        <w:rPr>
          <w:rFonts w:hint="eastAsia" w:ascii="宋体" w:hAnsi="宋体" w:cs="宋体"/>
          <w:color w:val="auto"/>
          <w:kern w:val="0"/>
          <w:highlight w:val="none"/>
          <w:u w:val="none"/>
          <w:lang w:val="zh-CN"/>
        </w:rPr>
        <w:t>所在页码</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18</w:t>
      </w:r>
      <w:r>
        <w:rPr>
          <w:rFonts w:hint="eastAsia" w:ascii="宋体" w:hAnsi="宋体" w:cs="宋体"/>
          <w:color w:val="auto"/>
          <w:kern w:val="0"/>
          <w:highlight w:val="none"/>
          <w:u w:val="none"/>
          <w:lang w:val="zh-CN"/>
        </w:rPr>
        <w:t>）从业人员声明函…………………………………………………所在页码</w:t>
      </w:r>
    </w:p>
    <w:p>
      <w:pPr>
        <w:autoSpaceDE w:val="0"/>
        <w:autoSpaceDN w:val="0"/>
        <w:spacing w:line="360" w:lineRule="auto"/>
        <w:rPr>
          <w:rFonts w:ascii="宋体" w:cs="宋体"/>
          <w:color w:val="auto"/>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19</w:t>
      </w:r>
      <w:r>
        <w:rPr>
          <w:rFonts w:hint="eastAsia" w:ascii="宋体" w:hAnsi="宋体" w:cs="宋体"/>
          <w:color w:val="auto"/>
          <w:kern w:val="0"/>
          <w:highlight w:val="none"/>
          <w:u w:val="none"/>
          <w:lang w:val="zh-CN"/>
        </w:rPr>
        <w:t>）残疾人福利性单位声明函………………………………………所在页码</w:t>
      </w:r>
    </w:p>
    <w:p>
      <w:pPr>
        <w:autoSpaceDE w:val="0"/>
        <w:autoSpaceDN w:val="0"/>
        <w:spacing w:line="360" w:lineRule="auto"/>
        <w:rPr>
          <w:rFonts w:ascii="宋体" w:cs="宋体"/>
          <w:color w:val="auto"/>
          <w:highlight w:val="none"/>
          <w:u w:val="none"/>
          <w:lang w:val="zh-CN"/>
        </w:rPr>
      </w:pPr>
      <w:r>
        <w:rPr>
          <w:rFonts w:hint="eastAsia" w:ascii="宋体" w:hAnsi="宋体" w:cs="宋体"/>
          <w:color w:val="auto"/>
          <w:kern w:val="0"/>
          <w:highlight w:val="none"/>
          <w:u w:val="none"/>
          <w:lang w:val="zh-CN"/>
        </w:rPr>
        <w:t>（</w:t>
      </w:r>
      <w:r>
        <w:rPr>
          <w:rFonts w:ascii="宋体" w:hAnsi="宋体" w:cs="宋体"/>
          <w:color w:val="auto"/>
          <w:kern w:val="0"/>
          <w:highlight w:val="none"/>
          <w:u w:val="none"/>
        </w:rPr>
        <w:t>20</w:t>
      </w:r>
      <w:r>
        <w:rPr>
          <w:rFonts w:hint="eastAsia" w:ascii="宋体" w:hAnsi="宋体" w:cs="宋体"/>
          <w:color w:val="auto"/>
          <w:kern w:val="0"/>
          <w:highlight w:val="none"/>
          <w:u w:val="none"/>
          <w:lang w:val="zh-CN"/>
        </w:rPr>
        <w:t>）投标人认为在其他方面有必要说明的事项……………………所在页码</w:t>
      </w:r>
    </w:p>
    <w:p>
      <w:pPr>
        <w:autoSpaceDE w:val="0"/>
        <w:autoSpaceDN w:val="0"/>
        <w:spacing w:line="360" w:lineRule="auto"/>
        <w:rPr>
          <w:rFonts w:ascii="宋体" w:cs="宋体"/>
          <w:color w:val="auto"/>
          <w:sz w:val="30"/>
          <w:szCs w:val="30"/>
          <w:highlight w:val="none"/>
          <w:u w:val="none"/>
        </w:rPr>
        <w:sectPr>
          <w:pgSz w:w="11849" w:h="16781"/>
          <w:pgMar w:top="1440" w:right="1803" w:bottom="1440" w:left="1803" w:header="850" w:footer="992" w:gutter="0"/>
          <w:cols w:space="0" w:num="1"/>
          <w:docGrid w:linePitch="397" w:charSpace="0"/>
        </w:sectPr>
      </w:pPr>
    </w:p>
    <w:p>
      <w:pPr>
        <w:pStyle w:val="29"/>
        <w:numPr>
          <w:ilvl w:val="0"/>
          <w:numId w:val="12"/>
        </w:numPr>
        <w:spacing w:before="0" w:after="0" w:line="360" w:lineRule="auto"/>
        <w:jc w:val="left"/>
        <w:outlineLvl w:val="1"/>
        <w:rPr>
          <w:rFonts w:ascii="宋体" w:cs="宋体"/>
          <w:color w:val="auto"/>
          <w:sz w:val="30"/>
          <w:szCs w:val="30"/>
          <w:highlight w:val="none"/>
          <w:u w:val="none"/>
          <w:lang w:val="zh-CN"/>
        </w:rPr>
      </w:pPr>
      <w:bookmarkStart w:id="146" w:name="_Toc21474"/>
      <w:r>
        <w:rPr>
          <w:rFonts w:hint="eastAsia" w:ascii="宋体" w:hAnsi="宋体" w:cs="宋体"/>
          <w:color w:val="auto"/>
          <w:sz w:val="30"/>
          <w:szCs w:val="30"/>
          <w:highlight w:val="none"/>
          <w:u w:val="none"/>
          <w:lang w:val="zh-CN"/>
        </w:rPr>
        <w:t>评分对照表</w:t>
      </w:r>
      <w:bookmarkEnd w:id="146"/>
    </w:p>
    <w:p>
      <w:pPr>
        <w:spacing w:line="360" w:lineRule="auto"/>
        <w:rPr>
          <w:rFonts w:ascii="宋体" w:cs="宋体"/>
          <w:color w:val="auto"/>
          <w:sz w:val="28"/>
          <w:szCs w:val="28"/>
          <w:highlight w:val="none"/>
          <w:u w:val="none"/>
        </w:rPr>
      </w:pPr>
    </w:p>
    <w:p>
      <w:pPr>
        <w:spacing w:line="360" w:lineRule="auto"/>
        <w:jc w:val="center"/>
        <w:rPr>
          <w:rFonts w:ascii="宋体" w:cs="宋体"/>
          <w:color w:val="auto"/>
          <w:sz w:val="28"/>
          <w:szCs w:val="28"/>
          <w:highlight w:val="none"/>
          <w:u w:val="none"/>
        </w:rPr>
      </w:pPr>
      <w:r>
        <w:rPr>
          <w:rFonts w:hint="eastAsia" w:ascii="宋体" w:hAnsi="宋体" w:cs="宋体"/>
          <w:b/>
          <w:bCs/>
          <w:color w:val="auto"/>
          <w:sz w:val="28"/>
          <w:szCs w:val="28"/>
          <w:highlight w:val="none"/>
          <w:u w:val="none"/>
        </w:rPr>
        <w:t>评分对照表</w:t>
      </w:r>
    </w:p>
    <w:p>
      <w:pPr>
        <w:spacing w:line="360" w:lineRule="auto"/>
        <w:rPr>
          <w:rFonts w:ascii="宋体" w:cs="宋体"/>
          <w:color w:val="auto"/>
          <w:sz w:val="28"/>
          <w:szCs w:val="28"/>
          <w:highlight w:val="none"/>
          <w:u w:val="none"/>
        </w:rPr>
      </w:pPr>
    </w:p>
    <w:tbl>
      <w:tblPr>
        <w:tblStyle w:val="3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序号</w:t>
            </w: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招标文件评分标准</w:t>
            </w: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投标响应部分</w:t>
            </w: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p>
        </w:tc>
      </w:tr>
    </w:tbl>
    <w:p>
      <w:pPr>
        <w:spacing w:line="360" w:lineRule="auto"/>
        <w:rPr>
          <w:rFonts w:ascii="宋体" w:cs="宋体"/>
          <w:color w:val="auto"/>
          <w:highlight w:val="none"/>
          <w:u w:val="none"/>
          <w:lang w:val="zh-CN"/>
        </w:rPr>
      </w:pPr>
    </w:p>
    <w:p>
      <w:pPr>
        <w:autoSpaceDE w:val="0"/>
        <w:autoSpaceDN w:val="0"/>
        <w:spacing w:line="360" w:lineRule="auto"/>
        <w:rPr>
          <w:rFonts w:ascii="宋体" w:cs="宋体"/>
          <w:color w:val="auto"/>
          <w:sz w:val="30"/>
          <w:szCs w:val="30"/>
          <w:highlight w:val="none"/>
          <w:u w:val="none"/>
        </w:rPr>
        <w:sectPr>
          <w:pgSz w:w="11849" w:h="16781"/>
          <w:pgMar w:top="1440" w:right="1803" w:bottom="1440" w:left="1803" w:header="850" w:footer="992" w:gutter="0"/>
          <w:cols w:space="0" w:num="1"/>
          <w:docGrid w:linePitch="397" w:charSpace="0"/>
        </w:sectPr>
      </w:pPr>
    </w:p>
    <w:p>
      <w:pPr>
        <w:pStyle w:val="29"/>
        <w:numPr>
          <w:ilvl w:val="0"/>
          <w:numId w:val="12"/>
        </w:numPr>
        <w:spacing w:before="0" w:after="0" w:line="360" w:lineRule="auto"/>
        <w:jc w:val="left"/>
        <w:outlineLvl w:val="1"/>
        <w:rPr>
          <w:rFonts w:ascii="宋体" w:cs="宋体"/>
          <w:color w:val="auto"/>
          <w:sz w:val="30"/>
          <w:szCs w:val="30"/>
          <w:highlight w:val="none"/>
          <w:u w:val="none"/>
          <w:lang w:val="zh-CN"/>
        </w:rPr>
      </w:pPr>
      <w:bookmarkStart w:id="147" w:name="_Toc26451"/>
      <w:bookmarkStart w:id="148" w:name="_Toc5977"/>
      <w:bookmarkStart w:id="149" w:name="_Toc28963"/>
      <w:r>
        <w:rPr>
          <w:rFonts w:hint="eastAsia" w:ascii="宋体" w:hAnsi="宋体" w:cs="宋体"/>
          <w:color w:val="auto"/>
          <w:sz w:val="30"/>
          <w:szCs w:val="30"/>
          <w:highlight w:val="none"/>
          <w:u w:val="none"/>
          <w:lang w:val="zh-CN"/>
        </w:rPr>
        <w:t>开标一览表（报价表）</w:t>
      </w:r>
      <w:bookmarkEnd w:id="147"/>
      <w:bookmarkEnd w:id="148"/>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开标一览表（报价表）</w:t>
      </w:r>
    </w:p>
    <w:p>
      <w:pPr>
        <w:autoSpaceDE w:val="0"/>
        <w:autoSpaceDN w:val="0"/>
        <w:spacing w:line="360" w:lineRule="auto"/>
        <w:rPr>
          <w:rFonts w:ascii="宋体" w:cs="宋体"/>
          <w:b/>
          <w:bCs/>
          <w:color w:val="auto"/>
          <w:kern w:val="0"/>
          <w:sz w:val="28"/>
          <w:szCs w:val="28"/>
          <w:highlight w:val="none"/>
          <w:u w:val="none"/>
          <w:lang w:val="zh-CN"/>
        </w:rPr>
      </w:pPr>
    </w:p>
    <w:tbl>
      <w:tblPr>
        <w:tblStyle w:val="3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投标人名称</w:t>
            </w:r>
          </w:p>
        </w:tc>
        <w:tc>
          <w:tcPr>
            <w:tcW w:w="598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lang w:val="zh-CN"/>
              </w:rPr>
              <w:t>投标包号</w:t>
            </w:r>
          </w:p>
        </w:tc>
        <w:tc>
          <w:tcPr>
            <w:tcW w:w="598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rPr>
                <w:rFonts w:ascii="宋体" w:cs="宋体"/>
                <w:color w:val="auto"/>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投标报价</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大写：</w:t>
            </w:r>
          </w:p>
          <w:p>
            <w:pPr>
              <w:pStyle w:val="10"/>
              <w:spacing w:line="360" w:lineRule="auto"/>
              <w:ind w:firstLine="0"/>
              <w:rPr>
                <w:rFonts w:ascii="宋体" w:cs="宋体"/>
                <w:color w:val="auto"/>
                <w:szCs w:val="24"/>
                <w:highlight w:val="none"/>
                <w:u w:val="none"/>
              </w:rPr>
            </w:pPr>
            <w:r>
              <w:rPr>
                <w:rFonts w:hint="eastAsia" w:ascii="宋体" w:hAnsi="宋体" w:cs="宋体"/>
                <w:color w:val="auto"/>
                <w:kern w:val="0"/>
                <w:szCs w:val="24"/>
                <w:highlight w:val="none"/>
                <w:u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jc w:val="center"/>
              <w:rPr>
                <w:rFonts w:ascii="宋体" w:cs="宋体"/>
                <w:color w:val="auto"/>
                <w:szCs w:val="24"/>
                <w:highlight w:val="none"/>
                <w:u w:val="none"/>
              </w:rPr>
            </w:pPr>
            <w:r>
              <w:rPr>
                <w:rFonts w:hint="eastAsia" w:ascii="宋体" w:hAnsi="宋体" w:cs="宋体"/>
                <w:color w:val="auto"/>
                <w:szCs w:val="24"/>
                <w:highlight w:val="none"/>
                <w:u w:val="none"/>
              </w:rPr>
              <w:t>交货期限</w:t>
            </w:r>
          </w:p>
        </w:tc>
        <w:tc>
          <w:tcPr>
            <w:tcW w:w="5985"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rPr>
                <w:rFonts w:ascii="宋体" w:cs="宋体"/>
                <w:color w:val="auto"/>
                <w:szCs w:val="24"/>
                <w:highlight w:val="none"/>
                <w:u w:val="none"/>
              </w:rPr>
            </w:pPr>
          </w:p>
        </w:tc>
      </w:tr>
    </w:tbl>
    <w:p>
      <w:pPr>
        <w:autoSpaceDE w:val="0"/>
        <w:autoSpaceDN w:val="0"/>
        <w:spacing w:line="500" w:lineRule="exact"/>
        <w:rPr>
          <w:rFonts w:ascii="宋体" w:cs="宋体"/>
          <w:color w:val="auto"/>
          <w:kern w:val="0"/>
          <w:highlight w:val="none"/>
          <w:u w:val="none"/>
          <w:lang w:val="zh-CN"/>
        </w:rPr>
      </w:pPr>
      <w:r>
        <w:rPr>
          <w:rFonts w:hint="eastAsia" w:ascii="宋体" w:hAnsi="宋体" w:cs="宋体"/>
          <w:b/>
          <w:bCs/>
          <w:color w:val="auto"/>
          <w:kern w:val="0"/>
          <w:highlight w:val="none"/>
          <w:u w:val="none"/>
          <w:lang w:val="zh-CN"/>
        </w:rPr>
        <w:t>注：</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填写此表时不得改变表格形式。</w:t>
      </w:r>
    </w:p>
    <w:p>
      <w:pPr>
        <w:autoSpaceDE w:val="0"/>
        <w:autoSpaceDN w:val="0"/>
        <w:spacing w:line="500" w:lineRule="exact"/>
        <w:ind w:firstLine="480"/>
        <w:rPr>
          <w:rFonts w:ascii="宋体" w:cs="宋体"/>
          <w:color w:val="auto"/>
          <w:kern w:val="0"/>
          <w:highlight w:val="none"/>
          <w:u w:val="none"/>
          <w:lang w:val="zh-CN"/>
        </w:rPr>
      </w:pPr>
      <w:r>
        <w:rPr>
          <w:rFonts w:ascii="宋体" w:hAnsi="宋体" w:cs="宋体"/>
          <w:color w:val="auto"/>
          <w:kern w:val="0"/>
          <w:highlight w:val="none"/>
          <w:u w:val="none"/>
          <w:lang w:val="zh-CN"/>
        </w:rPr>
        <w:t>2.</w:t>
      </w:r>
      <w:r>
        <w:rPr>
          <w:rFonts w:hint="eastAsia" w:ascii="宋体" w:hAnsi="宋体" w:cs="宋体"/>
          <w:color w:val="auto"/>
          <w:kern w:val="0"/>
          <w:highlight w:val="none"/>
          <w:u w:val="none"/>
          <w:lang w:val="zh-CN"/>
        </w:rPr>
        <w:t>“投标报价”为投标总价。投标报价必须包括产品费、安装费、系统集成费、调试及维护费、验收费、手续费、包装费、运输费、保险费、售前、售中、售后服务费、招标代理费、税金及不可预见费等全部费用。</w:t>
      </w:r>
    </w:p>
    <w:p>
      <w:pPr>
        <w:autoSpaceDE w:val="0"/>
        <w:autoSpaceDN w:val="0"/>
        <w:adjustRightInd w:val="0"/>
        <w:spacing w:line="500" w:lineRule="exact"/>
        <w:ind w:firstLine="480"/>
        <w:rPr>
          <w:rFonts w:ascii="宋体" w:cs="宋体"/>
          <w:color w:val="auto"/>
          <w:kern w:val="0"/>
          <w:highlight w:val="none"/>
          <w:u w:val="none"/>
        </w:rPr>
      </w:pPr>
      <w:r>
        <w:rPr>
          <w:rFonts w:ascii="宋体" w:hAnsi="宋体" w:cs="宋体"/>
          <w:color w:val="auto"/>
          <w:kern w:val="0"/>
          <w:highlight w:val="none"/>
          <w:u w:val="none"/>
          <w:lang w:val="zh-CN"/>
        </w:rPr>
        <w:t>3.</w:t>
      </w:r>
      <w:r>
        <w:rPr>
          <w:rFonts w:hint="eastAsia" w:ascii="宋体" w:hAnsi="宋体" w:cs="宋体"/>
          <w:color w:val="auto"/>
          <w:kern w:val="0"/>
          <w:highlight w:val="none"/>
          <w:u w:val="none"/>
          <w:lang w:val="zh-CN"/>
        </w:rPr>
        <w:t>“</w:t>
      </w:r>
      <w:r>
        <w:rPr>
          <w:rFonts w:hint="eastAsia" w:ascii="宋体" w:hAnsi="宋体" w:cs="宋体"/>
          <w:color w:val="auto"/>
          <w:highlight w:val="none"/>
          <w:u w:val="none"/>
        </w:rPr>
        <w:t>交货期限</w:t>
      </w:r>
      <w:r>
        <w:rPr>
          <w:rFonts w:hint="eastAsia" w:ascii="宋体" w:hAnsi="宋体" w:cs="宋体"/>
          <w:color w:val="auto"/>
          <w:kern w:val="0"/>
          <w:highlight w:val="none"/>
          <w:u w:val="none"/>
          <w:lang w:val="zh-CN"/>
        </w:rPr>
        <w:t>”是指产品能够交付使用的具体时间</w:t>
      </w:r>
      <w:r>
        <w:rPr>
          <w:rFonts w:ascii="宋体" w:hAnsi="宋体" w:cs="宋体"/>
          <w:color w:val="auto"/>
          <w:kern w:val="0"/>
          <w:highlight w:val="none"/>
          <w:u w:val="none"/>
          <w:lang w:val="zh-CN"/>
        </w:rPr>
        <w:t>(</w:t>
      </w:r>
      <w:r>
        <w:rPr>
          <w:rFonts w:hint="eastAsia" w:ascii="宋体" w:hAnsi="宋体" w:cs="宋体"/>
          <w:color w:val="auto"/>
          <w:kern w:val="0"/>
          <w:highlight w:val="none"/>
          <w:u w:val="none"/>
          <w:lang w:val="zh-CN"/>
        </w:rPr>
        <w:t>若投标文件中</w:t>
      </w:r>
      <w:r>
        <w:rPr>
          <w:rFonts w:hint="eastAsia" w:ascii="宋体" w:hAnsi="宋体" w:cs="宋体"/>
          <w:color w:val="auto"/>
          <w:kern w:val="0"/>
          <w:highlight w:val="none"/>
          <w:u w:val="none"/>
        </w:rPr>
        <w:t>到货及安装</w:t>
      </w:r>
      <w:r>
        <w:rPr>
          <w:rFonts w:hint="eastAsia" w:ascii="宋体" w:hAnsi="宋体" w:cs="宋体"/>
          <w:color w:val="auto"/>
          <w:kern w:val="0"/>
          <w:highlight w:val="none"/>
          <w:u w:val="none"/>
          <w:lang w:val="zh-CN"/>
        </w:rPr>
        <w:t>后未标明“天”或“工作日”，视为工作日</w:t>
      </w:r>
      <w:r>
        <w:rPr>
          <w:rFonts w:ascii="宋体" w:hAnsi="宋体" w:cs="宋体"/>
          <w:color w:val="auto"/>
          <w:kern w:val="0"/>
          <w:highlight w:val="none"/>
          <w:u w:val="none"/>
          <w:lang w:val="zh-CN"/>
        </w:rPr>
        <w:t>)</w:t>
      </w:r>
      <w:r>
        <w:rPr>
          <w:rFonts w:hint="eastAsia" w:ascii="宋体" w:hAnsi="宋体" w:cs="宋体"/>
          <w:color w:val="auto"/>
          <w:kern w:val="0"/>
          <w:highlight w:val="none"/>
          <w:u w:val="none"/>
          <w:lang w:val="zh-CN"/>
        </w:rPr>
        <w:t>。</w:t>
      </w:r>
    </w:p>
    <w:p>
      <w:pPr>
        <w:autoSpaceDE w:val="0"/>
        <w:autoSpaceDN w:val="0"/>
        <w:spacing w:line="500" w:lineRule="exact"/>
        <w:ind w:firstLine="480"/>
        <w:rPr>
          <w:rFonts w:ascii="宋体" w:cs="宋体"/>
          <w:color w:val="auto"/>
          <w:kern w:val="0"/>
          <w:highlight w:val="none"/>
          <w:u w:val="none"/>
          <w:lang w:val="zh-CN"/>
        </w:rPr>
      </w:pPr>
      <w:r>
        <w:rPr>
          <w:rFonts w:ascii="宋体" w:hAnsi="宋体" w:cs="宋体"/>
          <w:color w:val="auto"/>
          <w:kern w:val="0"/>
          <w:highlight w:val="none"/>
          <w:u w:val="none"/>
          <w:lang w:val="zh-CN"/>
        </w:rPr>
        <w:t>4.</w:t>
      </w:r>
      <w:r>
        <w:rPr>
          <w:rFonts w:hint="eastAsia" w:ascii="宋体" w:hAnsi="宋体" w:cs="宋体"/>
          <w:color w:val="auto"/>
          <w:kern w:val="0"/>
          <w:highlight w:val="none"/>
          <w:u w:val="none"/>
          <w:lang w:val="zh-CN"/>
        </w:rPr>
        <w:t>投标报价不能有两个或两个以上的报价方案，</w:t>
      </w:r>
      <w:r>
        <w:rPr>
          <w:rFonts w:hint="eastAsia" w:ascii="宋体" w:hAnsi="宋体" w:cs="宋体"/>
          <w:color w:val="auto"/>
          <w:kern w:val="0"/>
          <w:highlight w:val="none"/>
          <w:u w:val="none"/>
        </w:rPr>
        <w:t>否则投标无效</w:t>
      </w:r>
      <w:r>
        <w:rPr>
          <w:rFonts w:hint="eastAsia" w:ascii="宋体" w:hAnsi="宋体" w:cs="宋体"/>
          <w:color w:val="auto"/>
          <w:kern w:val="0"/>
          <w:highlight w:val="none"/>
          <w:u w:val="none"/>
          <w:lang w:val="zh-CN"/>
        </w:rPr>
        <w:t>。</w:t>
      </w:r>
    </w:p>
    <w:p>
      <w:pPr>
        <w:autoSpaceDE w:val="0"/>
        <w:autoSpaceDN w:val="0"/>
        <w:spacing w:line="360" w:lineRule="auto"/>
        <w:ind w:firstLine="480"/>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autoSpaceDE w:val="0"/>
        <w:autoSpaceDN w:val="0"/>
        <w:spacing w:line="360" w:lineRule="auto"/>
        <w:rPr>
          <w:rFonts w:ascii="宋体" w:cs="宋体"/>
          <w:color w:val="auto"/>
          <w:kern w:val="0"/>
          <w:highlight w:val="none"/>
          <w:u w:val="none"/>
          <w:lang w:val="zh-CN"/>
        </w:rPr>
      </w:pPr>
    </w:p>
    <w:p>
      <w:pPr>
        <w:pStyle w:val="29"/>
        <w:spacing w:before="0" w:after="0" w:line="360" w:lineRule="auto"/>
        <w:jc w:val="left"/>
        <w:outlineLvl w:val="1"/>
        <w:rPr>
          <w:rFonts w:ascii="宋体" w:cs="宋体"/>
          <w:color w:val="auto"/>
          <w:highlight w:val="none"/>
          <w:u w:val="none"/>
        </w:rPr>
      </w:pPr>
      <w:r>
        <w:rPr>
          <w:rFonts w:ascii="宋体" w:cs="宋体"/>
          <w:color w:val="auto"/>
          <w:sz w:val="30"/>
          <w:szCs w:val="30"/>
          <w:highlight w:val="none"/>
          <w:u w:val="none"/>
          <w:lang w:val="zh-CN"/>
        </w:rPr>
        <w:br w:type="page"/>
      </w:r>
      <w:bookmarkStart w:id="150" w:name="_Toc24800"/>
      <w:r>
        <w:rPr>
          <w:rFonts w:hint="eastAsia" w:ascii="宋体" w:hAnsi="宋体" w:cs="宋体"/>
          <w:color w:val="auto"/>
          <w:sz w:val="30"/>
          <w:szCs w:val="30"/>
          <w:highlight w:val="none"/>
          <w:u w:val="none"/>
          <w:lang w:val="zh-CN"/>
        </w:rPr>
        <w:t>（</w:t>
      </w:r>
      <w:r>
        <w:rPr>
          <w:rFonts w:ascii="宋体" w:hAnsi="宋体" w:cs="宋体"/>
          <w:color w:val="auto"/>
          <w:sz w:val="30"/>
          <w:szCs w:val="30"/>
          <w:highlight w:val="none"/>
          <w:u w:val="none"/>
          <w:lang w:val="zh-CN"/>
        </w:rPr>
        <w:t>1</w:t>
      </w:r>
      <w:r>
        <w:rPr>
          <w:rFonts w:ascii="宋体" w:hAnsi="宋体" w:cs="宋体"/>
          <w:color w:val="auto"/>
          <w:sz w:val="30"/>
          <w:szCs w:val="30"/>
          <w:highlight w:val="none"/>
          <w:u w:val="none"/>
        </w:rPr>
        <w:t>3</w:t>
      </w:r>
      <w:r>
        <w:rPr>
          <w:rFonts w:hint="eastAsia" w:ascii="宋体" w:hAnsi="宋体" w:cs="宋体"/>
          <w:color w:val="auto"/>
          <w:sz w:val="30"/>
          <w:szCs w:val="30"/>
          <w:highlight w:val="none"/>
          <w:u w:val="none"/>
          <w:lang w:val="zh-CN"/>
        </w:rPr>
        <w:t>）分项报价表</w:t>
      </w:r>
      <w:bookmarkEnd w:id="149"/>
      <w:bookmarkEnd w:id="150"/>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分项报价表</w:t>
      </w:r>
    </w:p>
    <w:p>
      <w:pPr>
        <w:autoSpaceDE w:val="0"/>
        <w:autoSpaceDN w:val="0"/>
        <w:spacing w:line="360" w:lineRule="auto"/>
        <w:rPr>
          <w:rFonts w:ascii="宋体" w:cs="宋体"/>
          <w:b/>
          <w:bCs/>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投标人名称</w:t>
      </w:r>
      <w:r>
        <w:rPr>
          <w:rFonts w:hint="eastAsia" w:ascii="宋体" w:hAnsi="宋体" w:cs="宋体"/>
          <w:b/>
          <w:bCs/>
          <w:color w:val="auto"/>
          <w:kern w:val="0"/>
          <w:highlight w:val="none"/>
          <w:u w:val="none"/>
        </w:rPr>
        <w:t>：</w:t>
      </w:r>
      <w:r>
        <w:rPr>
          <w:rFonts w:ascii="宋体" w:hAnsi="宋体" w:cs="宋体"/>
          <w:b/>
          <w:bCs/>
          <w:color w:val="auto"/>
          <w:kern w:val="0"/>
          <w:highlight w:val="none"/>
          <w:u w:val="none"/>
        </w:rPr>
        <w:t xml:space="preserve">                                              </w:t>
      </w:r>
      <w:r>
        <w:rPr>
          <w:rFonts w:hint="eastAsia" w:ascii="宋体" w:hAnsi="宋体" w:cs="宋体"/>
          <w:b/>
          <w:bCs/>
          <w:color w:val="auto"/>
          <w:kern w:val="0"/>
          <w:highlight w:val="none"/>
          <w:u w:val="none"/>
          <w:lang w:val="zh-CN"/>
        </w:rPr>
        <w:t>包号：</w:t>
      </w:r>
    </w:p>
    <w:tbl>
      <w:tblPr>
        <w:tblStyle w:val="31"/>
        <w:tblW w:w="9000" w:type="dxa"/>
        <w:jc w:val="center"/>
        <w:tblLayout w:type="fixed"/>
        <w:tblCellMar>
          <w:top w:w="0" w:type="dxa"/>
          <w:left w:w="28" w:type="dxa"/>
          <w:bottom w:w="0" w:type="dxa"/>
          <w:right w:w="28" w:type="dxa"/>
        </w:tblCellMar>
      </w:tblPr>
      <w:tblGrid>
        <w:gridCol w:w="725"/>
        <w:gridCol w:w="1147"/>
        <w:gridCol w:w="802"/>
        <w:gridCol w:w="577"/>
        <w:gridCol w:w="592"/>
        <w:gridCol w:w="1151"/>
        <w:gridCol w:w="1599"/>
        <w:gridCol w:w="996"/>
        <w:gridCol w:w="1411"/>
      </w:tblGrid>
      <w:tr>
        <w:tblPrEx>
          <w:tblCellMar>
            <w:top w:w="0" w:type="dxa"/>
            <w:left w:w="28" w:type="dxa"/>
            <w:bottom w:w="0" w:type="dxa"/>
            <w:right w:w="28" w:type="dxa"/>
          </w:tblCellMar>
        </w:tblPrEx>
        <w:trPr>
          <w:trHeight w:val="998" w:hRule="atLeast"/>
          <w:jc w:val="center"/>
        </w:trPr>
        <w:tc>
          <w:tcPr>
            <w:tcW w:w="72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序号</w:t>
            </w:r>
          </w:p>
        </w:tc>
        <w:tc>
          <w:tcPr>
            <w:tcW w:w="1147" w:type="dxa"/>
            <w:tcBorders>
              <w:top w:val="single" w:color="000000" w:sz="8"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产品名称</w:t>
            </w:r>
          </w:p>
        </w:tc>
        <w:tc>
          <w:tcPr>
            <w:tcW w:w="80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品牌</w:t>
            </w:r>
          </w:p>
        </w:tc>
        <w:tc>
          <w:tcPr>
            <w:tcW w:w="1169"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规格型号</w:t>
            </w:r>
          </w:p>
        </w:tc>
        <w:tc>
          <w:tcPr>
            <w:tcW w:w="115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生产厂家</w:t>
            </w:r>
          </w:p>
        </w:tc>
        <w:tc>
          <w:tcPr>
            <w:tcW w:w="159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数量及单位</w:t>
            </w:r>
          </w:p>
        </w:tc>
        <w:tc>
          <w:tcPr>
            <w:tcW w:w="99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单价</w:t>
            </w:r>
          </w:p>
        </w:tc>
        <w:tc>
          <w:tcPr>
            <w:tcW w:w="141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合计</w:t>
            </w:r>
          </w:p>
        </w:tc>
      </w:tr>
      <w:tr>
        <w:tblPrEx>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1</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2</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3</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4</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503" w:hRule="atLeast"/>
          <w:jc w:val="center"/>
        </w:trPr>
        <w:tc>
          <w:tcPr>
            <w:tcW w:w="72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w:t>
            </w:r>
          </w:p>
        </w:tc>
        <w:tc>
          <w:tcPr>
            <w:tcW w:w="1147"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80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69"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1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5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9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4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1014" w:hRule="atLeast"/>
          <w:jc w:val="center"/>
        </w:trPr>
        <w:tc>
          <w:tcPr>
            <w:tcW w:w="3251" w:type="dxa"/>
            <w:gridSpan w:val="4"/>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投标总价</w:t>
            </w:r>
          </w:p>
        </w:tc>
        <w:tc>
          <w:tcPr>
            <w:tcW w:w="5749"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大写：</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小写：</w:t>
            </w:r>
          </w:p>
        </w:tc>
      </w:tr>
    </w:tbl>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注：</w:t>
      </w:r>
      <w:r>
        <w:rPr>
          <w:rFonts w:ascii="宋体" w:hAnsi="宋体" w:cs="宋体"/>
          <w:color w:val="auto"/>
          <w:kern w:val="0"/>
          <w:highlight w:val="none"/>
          <w:u w:val="none"/>
        </w:rPr>
        <w:t>1.</w:t>
      </w:r>
      <w:r>
        <w:rPr>
          <w:rFonts w:hint="eastAsia" w:ascii="宋体" w:hAnsi="宋体" w:cs="宋体"/>
          <w:color w:val="auto"/>
          <w:kern w:val="0"/>
          <w:highlight w:val="none"/>
          <w:u w:val="none"/>
          <w:lang w:val="zh-CN"/>
        </w:rPr>
        <w:t>本表应依照每包采购一览表中的产品序号按顺序逐项填写，不得遗漏。</w:t>
      </w:r>
    </w:p>
    <w:p>
      <w:pPr>
        <w:autoSpaceDE w:val="0"/>
        <w:autoSpaceDN w:val="0"/>
        <w:spacing w:line="360" w:lineRule="auto"/>
        <w:rPr>
          <w:rFonts w:ascii="宋体" w:cs="宋体"/>
          <w:color w:val="auto"/>
          <w:kern w:val="0"/>
          <w:highlight w:val="none"/>
          <w:u w:val="none"/>
        </w:rPr>
      </w:pPr>
      <w:r>
        <w:rPr>
          <w:rFonts w:ascii="宋体" w:hAnsi="宋体" w:cs="宋体"/>
          <w:color w:val="auto"/>
          <w:kern w:val="0"/>
          <w:highlight w:val="none"/>
          <w:u w:val="none"/>
        </w:rPr>
        <w:t xml:space="preserve">    2.</w:t>
      </w:r>
      <w:r>
        <w:rPr>
          <w:rFonts w:hint="eastAsia" w:ascii="宋体" w:hAnsi="宋体" w:cs="宋体"/>
          <w:color w:val="auto"/>
          <w:kern w:val="0"/>
          <w:highlight w:val="none"/>
          <w:u w:val="none"/>
          <w:lang w:val="zh-CN"/>
        </w:rPr>
        <w:t>投标报价不能有两个或两个以上的报价方案。</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rPr>
          <w:rFonts w:ascii="宋体" w:cs="宋体"/>
          <w:b/>
          <w:bCs/>
          <w:color w:val="auto"/>
          <w:kern w:val="0"/>
          <w:highlight w:val="none"/>
          <w:u w:val="none"/>
          <w:lang w:val="zh-CN"/>
        </w:rPr>
      </w:pPr>
    </w:p>
    <w:p>
      <w:pPr>
        <w:pStyle w:val="29"/>
        <w:spacing w:before="0" w:after="0" w:line="360" w:lineRule="auto"/>
        <w:jc w:val="both"/>
        <w:outlineLvl w:val="1"/>
        <w:rPr>
          <w:rFonts w:ascii="宋体" w:cs="宋体"/>
          <w:color w:val="auto"/>
          <w:kern w:val="0"/>
          <w:sz w:val="28"/>
          <w:szCs w:val="28"/>
          <w:highlight w:val="none"/>
          <w:u w:val="none"/>
          <w:lang w:val="zh-CN"/>
        </w:rPr>
      </w:pPr>
      <w:r>
        <w:rPr>
          <w:rFonts w:ascii="宋体" w:cs="宋体"/>
          <w:color w:val="auto"/>
          <w:sz w:val="30"/>
          <w:szCs w:val="30"/>
          <w:highlight w:val="none"/>
          <w:u w:val="none"/>
          <w:lang w:val="zh-CN"/>
        </w:rPr>
        <w:br w:type="page"/>
      </w:r>
      <w:bookmarkStart w:id="151" w:name="_Toc12092"/>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14</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技术规格响应表</w:t>
      </w:r>
      <w:bookmarkEnd w:id="151"/>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技术规格响应表</w:t>
      </w:r>
    </w:p>
    <w:p>
      <w:pPr>
        <w:autoSpaceDE w:val="0"/>
        <w:autoSpaceDN w:val="0"/>
        <w:spacing w:line="360" w:lineRule="auto"/>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投标人名称</w:t>
      </w:r>
      <w:r>
        <w:rPr>
          <w:rFonts w:hint="eastAsia" w:ascii="宋体" w:hAnsi="宋体" w:cs="宋体"/>
          <w:b/>
          <w:bCs/>
          <w:color w:val="auto"/>
          <w:kern w:val="0"/>
          <w:highlight w:val="none"/>
          <w:u w:val="none"/>
        </w:rPr>
        <w:t>：</w:t>
      </w:r>
      <w:r>
        <w:rPr>
          <w:rFonts w:ascii="宋体" w:hAnsi="宋体" w:cs="宋体"/>
          <w:b/>
          <w:bCs/>
          <w:color w:val="auto"/>
          <w:kern w:val="0"/>
          <w:highlight w:val="none"/>
          <w:u w:val="none"/>
        </w:rPr>
        <w:t xml:space="preserve">                                              </w:t>
      </w:r>
      <w:r>
        <w:rPr>
          <w:rFonts w:hint="eastAsia" w:ascii="宋体" w:hAnsi="宋体" w:cs="宋体"/>
          <w:b/>
          <w:bCs/>
          <w:color w:val="auto"/>
          <w:kern w:val="0"/>
          <w:highlight w:val="none"/>
          <w:u w:val="none"/>
          <w:lang w:val="zh-CN"/>
        </w:rPr>
        <w:t>包号：</w:t>
      </w:r>
    </w:p>
    <w:tbl>
      <w:tblPr>
        <w:tblStyle w:val="31"/>
        <w:tblW w:w="8617" w:type="dxa"/>
        <w:jc w:val="center"/>
        <w:tblLayout w:type="fixed"/>
        <w:tblCellMar>
          <w:top w:w="0" w:type="dxa"/>
          <w:left w:w="28" w:type="dxa"/>
          <w:bottom w:w="0" w:type="dxa"/>
          <w:right w:w="28" w:type="dxa"/>
        </w:tblCellMar>
      </w:tblPr>
      <w:tblGrid>
        <w:gridCol w:w="616"/>
        <w:gridCol w:w="798"/>
        <w:gridCol w:w="2025"/>
        <w:gridCol w:w="930"/>
        <w:gridCol w:w="900"/>
        <w:gridCol w:w="1950"/>
        <w:gridCol w:w="722"/>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3753"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采购需求技术参数、指标</w:t>
            </w:r>
          </w:p>
        </w:tc>
        <w:tc>
          <w:tcPr>
            <w:tcW w:w="3572"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序号</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名称</w:t>
            </w: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技术参数及配置</w:t>
            </w: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数量</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名称</w:t>
            </w: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技术参数及配置</w:t>
            </w: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数量</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1</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ascii="宋体" w:hAnsi="宋体" w:cs="宋体"/>
                <w:color w:val="auto"/>
                <w:kern w:val="0"/>
                <w:highlight w:val="none"/>
                <w:u w:val="none"/>
                <w:lang w:val="zh-CN"/>
              </w:rPr>
              <w:t>2</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color w:val="auto"/>
                <w:kern w:val="0"/>
                <w:highlight w:val="none"/>
                <w:u w:val="none"/>
                <w:lang w:val="zh-CN"/>
              </w:rPr>
              <w:t>…</w:t>
            </w:r>
          </w:p>
        </w:tc>
        <w:tc>
          <w:tcPr>
            <w:tcW w:w="7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color w:val="auto"/>
                <w:kern w:val="0"/>
                <w:highlight w:val="none"/>
                <w:u w:val="none"/>
                <w:lang w:val="zh-CN"/>
              </w:rPr>
            </w:pPr>
          </w:p>
        </w:tc>
      </w:tr>
    </w:tbl>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注：</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本表应按照每包“项目概况及技术参数”中产品序号的指标逐项填写，不得遗漏。</w:t>
      </w:r>
    </w:p>
    <w:p>
      <w:pPr>
        <w:numPr>
          <w:ilvl w:val="0"/>
          <w:numId w:val="13"/>
        </w:num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3"/>
        </w:num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填写此表时以招标项目参数要求为基本投标要求，满足招标项目参数要求的指标需列出“</w:t>
      </w:r>
      <w:r>
        <w:rPr>
          <w:rFonts w:ascii="宋体" w:cs="宋体"/>
          <w:color w:val="auto"/>
          <w:kern w:val="0"/>
          <w:highlight w:val="none"/>
          <w:u w:val="none"/>
        </w:rPr>
        <w:t>0</w:t>
      </w:r>
      <w:r>
        <w:rPr>
          <w:rFonts w:hint="eastAsia" w:ascii="宋体" w:hAnsi="宋体" w:cs="宋体"/>
          <w:color w:val="auto"/>
          <w:kern w:val="0"/>
          <w:highlight w:val="none"/>
          <w:u w:val="none"/>
          <w:lang w:val="zh-CN"/>
        </w:rPr>
        <w:t>”；超出、不满足招标项目参数要求的指标需列出“</w:t>
      </w:r>
      <w:r>
        <w:rPr>
          <w:rFonts w:ascii="宋体" w:hAnsi="宋体" w:cs="宋体"/>
          <w:color w:val="auto"/>
          <w:kern w:val="0"/>
          <w:highlight w:val="none"/>
          <w:u w:val="none"/>
          <w:lang w:val="zh-CN"/>
        </w:rPr>
        <w:t>+</w:t>
      </w:r>
      <w:r>
        <w:rPr>
          <w:rFonts w:hint="eastAsia" w:ascii="宋体" w:hAnsi="宋体" w:cs="宋体"/>
          <w:color w:val="auto"/>
          <w:kern w:val="0"/>
          <w:highlight w:val="none"/>
          <w:u w:val="none"/>
          <w:lang w:val="zh-CN"/>
        </w:rPr>
        <w:t>”、“</w:t>
      </w:r>
      <w:r>
        <w:rPr>
          <w:rFonts w:ascii="宋体" w:cs="宋体"/>
          <w:color w:val="auto"/>
          <w:kern w:val="0"/>
          <w:highlight w:val="none"/>
          <w:u w:val="none"/>
          <w:lang w:val="zh-CN"/>
        </w:rPr>
        <w:t>-</w:t>
      </w:r>
      <w:r>
        <w:rPr>
          <w:rFonts w:hint="eastAsia" w:ascii="宋体" w:hAnsi="宋体" w:cs="宋体"/>
          <w:color w:val="auto"/>
          <w:kern w:val="0"/>
          <w:highlight w:val="none"/>
          <w:u w:val="none"/>
          <w:lang w:val="zh-CN"/>
        </w:rPr>
        <w:t>”偏差，并做出详细说明；如果只注明“</w:t>
      </w:r>
      <w:r>
        <w:rPr>
          <w:rFonts w:ascii="宋体" w:hAnsi="宋体" w:cs="宋体"/>
          <w:color w:val="auto"/>
          <w:kern w:val="0"/>
          <w:highlight w:val="none"/>
          <w:u w:val="none"/>
          <w:lang w:val="zh-CN"/>
        </w:rPr>
        <w:t>+</w:t>
      </w:r>
      <w:r>
        <w:rPr>
          <w:rFonts w:hint="eastAsia" w:ascii="宋体" w:hAnsi="宋体" w:cs="宋体"/>
          <w:color w:val="auto"/>
          <w:kern w:val="0"/>
          <w:highlight w:val="none"/>
          <w:u w:val="none"/>
          <w:lang w:val="zh-CN"/>
        </w:rPr>
        <w:t>”、“</w:t>
      </w:r>
      <w:r>
        <w:rPr>
          <w:rFonts w:ascii="宋体" w:cs="宋体"/>
          <w:color w:val="auto"/>
          <w:kern w:val="0"/>
          <w:highlight w:val="none"/>
          <w:u w:val="none"/>
          <w:lang w:val="zh-CN"/>
        </w:rPr>
        <w:t>-</w:t>
      </w:r>
      <w:r>
        <w:rPr>
          <w:rFonts w:hint="eastAsia" w:ascii="宋体" w:hAnsi="宋体" w:cs="宋体"/>
          <w:color w:val="auto"/>
          <w:kern w:val="0"/>
          <w:highlight w:val="none"/>
          <w:u w:val="none"/>
          <w:lang w:val="zh-CN"/>
        </w:rPr>
        <w:t>”或未填写，将视为该项指标不响应。</w:t>
      </w:r>
    </w:p>
    <w:p>
      <w:pPr>
        <w:numPr>
          <w:ilvl w:val="0"/>
          <w:numId w:val="13"/>
        </w:numPr>
        <w:autoSpaceDE w:val="0"/>
        <w:autoSpaceDN w:val="0"/>
        <w:spacing w:line="360" w:lineRule="auto"/>
        <w:ind w:firstLine="480"/>
        <w:rPr>
          <w:rFonts w:ascii="宋体" w:cs="宋体"/>
          <w:color w:val="auto"/>
          <w:kern w:val="0"/>
          <w:highlight w:val="none"/>
          <w:u w:val="none"/>
          <w:lang w:val="zh-CN"/>
        </w:rPr>
      </w:pPr>
      <w:r>
        <w:rPr>
          <w:rFonts w:hint="eastAsia" w:ascii="宋体" w:hAnsi="宋体" w:cs="宋体"/>
          <w:color w:val="auto"/>
          <w:kern w:val="0"/>
          <w:highlight w:val="none"/>
          <w:u w:val="none"/>
          <w:lang w:val="zh-CN"/>
        </w:rPr>
        <w:t>投标人响应采购需求应具体、明确，含糊不清、不确切或伪造、编造证明材料的，按照实质性不响应处理。对伪造、编造证明材料的，将报送采购监管部门查处。</w:t>
      </w:r>
    </w:p>
    <w:p>
      <w:pPr>
        <w:pStyle w:val="2"/>
        <w:rPr>
          <w:rFonts w:hint="eastAsia" w:ascii="宋体" w:hAnsi="宋体" w:cs="宋体"/>
          <w:color w:val="auto"/>
          <w:kern w:val="0"/>
          <w:highlight w:val="none"/>
          <w:u w:val="none"/>
          <w:lang w:val="zh-CN"/>
        </w:rPr>
      </w:pPr>
    </w:p>
    <w:p>
      <w:pPr>
        <w:pStyle w:val="2"/>
        <w:rPr>
          <w:rFonts w:hint="eastAsia" w:ascii="宋体" w:hAnsi="宋体" w:cs="宋体"/>
          <w:color w:val="auto"/>
          <w:kern w:val="0"/>
          <w:highlight w:val="none"/>
          <w:u w:val="none"/>
          <w:lang w:val="zh-CN"/>
        </w:rPr>
      </w:pPr>
    </w:p>
    <w:p>
      <w:pPr>
        <w:autoSpaceDE w:val="0"/>
        <w:autoSpaceDN w:val="0"/>
        <w:spacing w:line="360" w:lineRule="auto"/>
        <w:ind w:firstLine="480"/>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投标人：</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法定代表人或委托代理人：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ind w:firstLine="3253"/>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rPr>
      </w:pPr>
      <w:r>
        <w:rPr>
          <w:rFonts w:ascii="宋体" w:cs="宋体"/>
          <w:color w:val="auto"/>
          <w:kern w:val="0"/>
          <w:sz w:val="24"/>
          <w:szCs w:val="24"/>
          <w:highlight w:val="none"/>
          <w:u w:val="none"/>
          <w:lang w:val="zh-CN"/>
        </w:rPr>
        <w:br w:type="page"/>
      </w:r>
      <w:bookmarkStart w:id="152" w:name="_Toc20288"/>
      <w:bookmarkStart w:id="153" w:name="_Toc14290"/>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15</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投标产品相关资料</w:t>
      </w:r>
      <w:bookmarkEnd w:id="152"/>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投标产品相关资料</w:t>
      </w:r>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ind w:firstLine="480" w:firstLineChars="200"/>
        <w:rPr>
          <w:rFonts w:ascii="宋体" w:cs="宋体"/>
          <w:color w:val="auto"/>
          <w:sz w:val="32"/>
          <w:highlight w:val="none"/>
          <w:u w:val="none"/>
          <w:lang w:val="zh-CN"/>
        </w:rPr>
      </w:pPr>
      <w:r>
        <w:rPr>
          <w:rFonts w:hint="eastAsia" w:ascii="宋体" w:hAnsi="宋体" w:cs="宋体"/>
          <w:color w:val="auto"/>
          <w:kern w:val="0"/>
          <w:highlight w:val="none"/>
          <w:u w:val="none"/>
          <w:lang w:val="zh-CN"/>
        </w:rPr>
        <w:t>根据采购项目内容，投标时提供投标产品的产品检验报告、证明技术参数响应的相关资料、彩页（或厂家公开发布的资料参数）、相关认证等资料。</w:t>
      </w:r>
    </w:p>
    <w:p>
      <w:pPr>
        <w:pStyle w:val="29"/>
        <w:spacing w:before="0" w:after="0" w:line="360" w:lineRule="auto"/>
        <w:jc w:val="left"/>
        <w:outlineLvl w:val="1"/>
        <w:rPr>
          <w:rFonts w:ascii="宋体" w:cs="宋体"/>
          <w:color w:val="auto"/>
          <w:highlight w:val="none"/>
          <w:u w:val="none"/>
        </w:rPr>
      </w:pPr>
      <w:r>
        <w:rPr>
          <w:rFonts w:ascii="宋体" w:cs="宋体"/>
          <w:color w:val="auto"/>
          <w:highlight w:val="none"/>
          <w:u w:val="none"/>
          <w:lang w:val="zh-CN"/>
        </w:rPr>
        <w:br w:type="page"/>
      </w:r>
      <w:bookmarkStart w:id="154" w:name="_Toc27161"/>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16</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投标人的类似业绩证明材料</w:t>
      </w:r>
      <w:bookmarkEnd w:id="153"/>
      <w:bookmarkEnd w:id="154"/>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lang w:val="zh-CN"/>
        </w:rPr>
        <w:t>投标人的类似业绩证明材料</w:t>
      </w:r>
    </w:p>
    <w:p>
      <w:pPr>
        <w:autoSpaceDE w:val="0"/>
        <w:autoSpaceDN w:val="0"/>
        <w:spacing w:line="360" w:lineRule="auto"/>
        <w:rPr>
          <w:rFonts w:ascii="宋体" w:cs="宋体"/>
          <w:color w:val="auto"/>
          <w:kern w:val="0"/>
          <w:sz w:val="28"/>
          <w:szCs w:val="28"/>
          <w:highlight w:val="none"/>
          <w:u w:val="none"/>
          <w:lang w:val="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color w:val="auto"/>
          <w:highlight w:val="none"/>
          <w:u w:val="none"/>
        </w:rPr>
      </w:pPr>
      <w:bookmarkStart w:id="155" w:name="_Toc6729"/>
      <w:bookmarkStart w:id="156" w:name="_Toc5162"/>
      <w:bookmarkStart w:id="157" w:name="_Toc15620"/>
      <w:r>
        <w:rPr>
          <w:rFonts w:hint="eastAsia"/>
          <w:color w:val="auto"/>
          <w:highlight w:val="none"/>
          <w:u w:val="none"/>
        </w:rPr>
        <w:t>提供自2018年以来的类似业绩证明材料。类似业绩是指在产品类型、使用功能等方面相同或相近的项目。</w:t>
      </w:r>
      <w:bookmarkEnd w:id="155"/>
      <w:bookmarkEnd w:id="156"/>
      <w:bookmarkEnd w:id="157"/>
      <w:bookmarkStart w:id="158" w:name="_Toc10010"/>
    </w:p>
    <w:p>
      <w:pPr>
        <w:pStyle w:val="29"/>
        <w:spacing w:before="0" w:after="0" w:line="360" w:lineRule="auto"/>
        <w:ind w:firstLine="602" w:firstLineChars="200"/>
        <w:jc w:val="left"/>
        <w:outlineLvl w:val="1"/>
        <w:rPr>
          <w:rFonts w:ascii="宋体" w:cs="宋体"/>
          <w:color w:val="auto"/>
          <w:highlight w:val="none"/>
          <w:u w:val="none"/>
          <w:lang w:val="zh-CN"/>
        </w:rPr>
      </w:pPr>
      <w:r>
        <w:rPr>
          <w:rFonts w:ascii="宋体" w:cs="宋体"/>
          <w:color w:val="auto"/>
          <w:sz w:val="30"/>
          <w:szCs w:val="30"/>
          <w:highlight w:val="none"/>
          <w:u w:val="none"/>
        </w:rPr>
        <w:br w:type="page"/>
      </w:r>
      <w:bookmarkStart w:id="159" w:name="_Toc5202"/>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17</w:t>
      </w:r>
      <w:r>
        <w:rPr>
          <w:rFonts w:hint="eastAsia" w:ascii="宋体" w:hAnsi="宋体" w:cs="宋体"/>
          <w:color w:val="auto"/>
          <w:sz w:val="30"/>
          <w:szCs w:val="30"/>
          <w:highlight w:val="none"/>
          <w:u w:val="none"/>
        </w:rPr>
        <w:t>）</w:t>
      </w:r>
      <w:r>
        <w:rPr>
          <w:rFonts w:hint="eastAsia" w:ascii="宋体" w:hAnsi="宋体" w:cs="宋体"/>
          <w:color w:val="auto"/>
          <w:sz w:val="30"/>
          <w:szCs w:val="30"/>
          <w:highlight w:val="none"/>
          <w:u w:val="none"/>
          <w:lang w:val="zh-CN"/>
        </w:rPr>
        <w:t>制造（生产）企业小型、微型企业声明函</w:t>
      </w:r>
      <w:bookmarkEnd w:id="158"/>
      <w:bookmarkEnd w:id="159"/>
    </w:p>
    <w:p>
      <w:pPr>
        <w:spacing w:line="360" w:lineRule="auto"/>
        <w:rPr>
          <w:rFonts w:ascii="宋体" w:cs="宋体"/>
          <w:color w:val="auto"/>
          <w:sz w:val="28"/>
          <w:szCs w:val="28"/>
          <w:highlight w:val="none"/>
          <w:u w:val="none"/>
          <w:lang w:val="zh-CN"/>
        </w:rPr>
      </w:pPr>
    </w:p>
    <w:p>
      <w:pPr>
        <w:autoSpaceDE w:val="0"/>
        <w:autoSpaceDN w:val="0"/>
        <w:spacing w:line="360" w:lineRule="auto"/>
        <w:jc w:val="center"/>
        <w:rPr>
          <w:rFonts w:ascii="宋体" w:cs="宋体"/>
          <w:b/>
          <w:bCs/>
          <w:color w:val="auto"/>
          <w:kern w:val="0"/>
          <w:sz w:val="28"/>
          <w:szCs w:val="28"/>
          <w:highlight w:val="none"/>
          <w:u w:val="none"/>
          <w:lang w:val="zh-CN"/>
        </w:rPr>
      </w:pPr>
      <w:r>
        <w:rPr>
          <w:rFonts w:hint="eastAsia" w:ascii="宋体" w:hAnsi="宋体" w:cs="宋体"/>
          <w:b/>
          <w:bCs/>
          <w:color w:val="auto"/>
          <w:kern w:val="0"/>
          <w:sz w:val="28"/>
          <w:szCs w:val="28"/>
          <w:highlight w:val="none"/>
          <w:u w:val="none"/>
        </w:rPr>
        <w:t>制造（生产）企业</w:t>
      </w:r>
      <w:r>
        <w:rPr>
          <w:rFonts w:hint="eastAsia" w:ascii="宋体" w:hAnsi="宋体" w:cs="宋体"/>
          <w:b/>
          <w:bCs/>
          <w:color w:val="auto"/>
          <w:kern w:val="0"/>
          <w:sz w:val="28"/>
          <w:szCs w:val="28"/>
          <w:highlight w:val="none"/>
          <w:u w:val="none"/>
          <w:lang w:val="zh-CN"/>
        </w:rPr>
        <w:t>小型、微型企业声明函</w:t>
      </w:r>
    </w:p>
    <w:p>
      <w:pPr>
        <w:autoSpaceDE w:val="0"/>
        <w:autoSpaceDN w:val="0"/>
        <w:spacing w:line="360" w:lineRule="auto"/>
        <w:rPr>
          <w:rFonts w:ascii="宋体" w:cs="宋体"/>
          <w:color w:val="auto"/>
          <w:kern w:val="0"/>
          <w:sz w:val="28"/>
          <w:szCs w:val="28"/>
          <w:highlight w:val="none"/>
          <w:u w:val="none"/>
          <w:lang w:val="zh-CN"/>
        </w:rPr>
      </w:pPr>
    </w:p>
    <w:p>
      <w:pPr>
        <w:autoSpaceDE w:val="0"/>
        <w:autoSpaceDN w:val="0"/>
        <w:spacing w:line="360" w:lineRule="auto"/>
        <w:rPr>
          <w:rFonts w:ascii="宋体" w:cs="宋体"/>
          <w:color w:val="auto"/>
          <w:kern w:val="0"/>
          <w:highlight w:val="none"/>
          <w:u w:val="none"/>
          <w:lang w:val="zh-CN"/>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本公司郑重声明，根据《政府采购促进中小企业发展暂行办法》（财库〔</w:t>
      </w:r>
      <w:r>
        <w:rPr>
          <w:rFonts w:ascii="宋体" w:hAnsi="宋体" w:cs="宋体"/>
          <w:color w:val="auto"/>
          <w:kern w:val="0"/>
          <w:highlight w:val="none"/>
          <w:u w:val="none"/>
          <w:lang w:val="zh-CN"/>
        </w:rPr>
        <w:t>2011</w:t>
      </w: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181</w:t>
      </w:r>
      <w:r>
        <w:rPr>
          <w:rFonts w:hint="eastAsia" w:ascii="宋体" w:hAnsi="宋体" w:cs="宋体"/>
          <w:color w:val="auto"/>
          <w:kern w:val="0"/>
          <w:highlight w:val="none"/>
          <w:u w:val="none"/>
          <w:lang w:val="zh-CN"/>
        </w:rPr>
        <w:t>号）的规定，本公司为</w:t>
      </w:r>
      <w:r>
        <w:rPr>
          <w:rFonts w:ascii="宋体" w:hAnsi="宋体" w:cs="宋体"/>
          <w:color w:val="auto"/>
          <w:kern w:val="0"/>
          <w:highlight w:val="none"/>
          <w:u w:val="none"/>
          <w:lang w:val="zh-CN"/>
        </w:rPr>
        <w:t>______</w:t>
      </w:r>
      <w:r>
        <w:rPr>
          <w:rFonts w:hint="eastAsia" w:ascii="宋体" w:hAnsi="宋体" w:cs="宋体"/>
          <w:color w:val="auto"/>
          <w:kern w:val="0"/>
          <w:highlight w:val="none"/>
          <w:u w:val="none"/>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auto"/>
          <w:kern w:val="0"/>
          <w:highlight w:val="none"/>
          <w:u w:val="none"/>
          <w:lang w:val="zh-CN"/>
        </w:rPr>
        <w:t>2011</w:t>
      </w:r>
      <w:r>
        <w:rPr>
          <w:rFonts w:hint="eastAsia" w:ascii="宋体" w:hAnsi="宋体" w:cs="宋体"/>
          <w:color w:val="auto"/>
          <w:kern w:val="0"/>
          <w:highlight w:val="none"/>
          <w:u w:val="none"/>
          <w:lang w:val="zh-CN"/>
        </w:rPr>
        <w:t>〕</w:t>
      </w:r>
      <w:r>
        <w:rPr>
          <w:rFonts w:ascii="宋体" w:hAnsi="宋体" w:cs="宋体"/>
          <w:color w:val="auto"/>
          <w:kern w:val="0"/>
          <w:highlight w:val="none"/>
          <w:u w:val="none"/>
          <w:lang w:val="zh-CN"/>
        </w:rPr>
        <w:t>300</w:t>
      </w:r>
      <w:r>
        <w:rPr>
          <w:rFonts w:hint="eastAsia" w:ascii="宋体" w:hAnsi="宋体" w:cs="宋体"/>
          <w:color w:val="auto"/>
          <w:kern w:val="0"/>
          <w:highlight w:val="none"/>
          <w:u w:val="none"/>
          <w:lang w:val="zh-CN"/>
        </w:rPr>
        <w:t>号）规定的划分标准。</w:t>
      </w:r>
    </w:p>
    <w:p>
      <w:pPr>
        <w:autoSpaceDE w:val="0"/>
        <w:autoSpaceDN w:val="0"/>
        <w:spacing w:line="360" w:lineRule="auto"/>
        <w:ind w:firstLine="360"/>
        <w:rPr>
          <w:rFonts w:ascii="宋体" w:cs="宋体"/>
          <w:color w:val="auto"/>
          <w:kern w:val="0"/>
          <w:highlight w:val="none"/>
          <w:u w:val="none"/>
          <w:lang w:val="zh-CN"/>
        </w:rPr>
      </w:pPr>
      <w:r>
        <w:rPr>
          <w:rFonts w:hint="eastAsia" w:ascii="宋体" w:hAnsi="宋体" w:cs="宋体"/>
          <w:color w:val="auto"/>
          <w:kern w:val="0"/>
          <w:highlight w:val="none"/>
          <w:u w:val="none"/>
          <w:lang w:val="zh-CN"/>
        </w:rPr>
        <w:t>本公司对上述声明的真实性负责。如有虚假，将依法承担相应责任。</w:t>
      </w:r>
    </w:p>
    <w:p>
      <w:pPr>
        <w:autoSpaceDE w:val="0"/>
        <w:autoSpaceDN w:val="0"/>
        <w:spacing w:line="360" w:lineRule="auto"/>
        <w:rPr>
          <w:rFonts w:ascii="宋体" w:cs="宋体"/>
          <w:color w:val="auto"/>
          <w:kern w:val="0"/>
          <w:highlight w:val="none"/>
          <w:u w:val="none"/>
          <w:lang w:val="zh-CN"/>
        </w:rPr>
      </w:pPr>
      <w:r>
        <w:rPr>
          <w:rFonts w:hint="eastAsia" w:ascii="宋体" w:hAnsi="宋体" w:cs="宋体"/>
          <w:color w:val="auto"/>
          <w:kern w:val="0"/>
          <w:highlight w:val="none"/>
          <w:u w:val="none"/>
          <w:lang w:val="zh-CN"/>
        </w:rPr>
        <w:t>注：</w:t>
      </w:r>
      <w:r>
        <w:rPr>
          <w:rFonts w:ascii="宋体" w:hAnsi="宋体" w:cs="宋体"/>
          <w:color w:val="auto"/>
          <w:kern w:val="0"/>
          <w:highlight w:val="none"/>
          <w:u w:val="none"/>
          <w:lang w:val="zh-CN"/>
        </w:rPr>
        <w:t>1.</w:t>
      </w:r>
      <w:r>
        <w:rPr>
          <w:rFonts w:hint="eastAsia" w:ascii="宋体" w:hAnsi="宋体" w:cs="宋体"/>
          <w:color w:val="auto"/>
          <w:kern w:val="0"/>
          <w:highlight w:val="none"/>
          <w:u w:val="none"/>
          <w:lang w:val="zh-CN"/>
        </w:rPr>
        <w:t>此函须由投标产品的制造（生产）企业提供并声明，同时附相关证明材料；</w:t>
      </w:r>
    </w:p>
    <w:p>
      <w:pPr>
        <w:autoSpaceDE w:val="0"/>
        <w:autoSpaceDN w:val="0"/>
        <w:spacing w:line="360" w:lineRule="auto"/>
        <w:ind w:firstLine="480" w:firstLineChars="200"/>
        <w:rPr>
          <w:rFonts w:ascii="宋体" w:cs="宋体"/>
          <w:color w:val="auto"/>
          <w:kern w:val="0"/>
          <w:highlight w:val="none"/>
          <w:u w:val="none"/>
          <w:lang w:val="zh-CN"/>
        </w:rPr>
      </w:pPr>
      <w:r>
        <w:rPr>
          <w:rFonts w:ascii="宋体" w:hAnsi="宋体" w:cs="宋体"/>
          <w:color w:val="auto"/>
          <w:kern w:val="0"/>
          <w:highlight w:val="none"/>
          <w:u w:val="none"/>
        </w:rPr>
        <w:t>2</w:t>
      </w:r>
      <w:r>
        <w:rPr>
          <w:rFonts w:ascii="宋体" w:cs="宋体"/>
          <w:color w:val="auto"/>
          <w:kern w:val="0"/>
          <w:highlight w:val="none"/>
          <w:u w:val="none"/>
          <w:lang w:val="zh-CN"/>
        </w:rPr>
        <w:t>.</w:t>
      </w:r>
      <w:r>
        <w:rPr>
          <w:rFonts w:hint="eastAsia" w:ascii="宋体" w:hAnsi="宋体" w:cs="宋体"/>
          <w:color w:val="auto"/>
          <w:kern w:val="0"/>
          <w:highlight w:val="none"/>
          <w:u w:val="none"/>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rPr>
          <w:rFonts w:ascii="宋体" w:cs="宋体"/>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制造（生产）企业名称：</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制造（生产）企业法定代表人：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color w:val="auto"/>
          <w:highlight w:val="none"/>
          <w:u w:val="none"/>
          <w:lang w:val="zh-CN"/>
        </w:rPr>
      </w:pPr>
      <w:r>
        <w:rPr>
          <w:rFonts w:ascii="宋体" w:cs="宋体"/>
          <w:color w:val="auto"/>
          <w:kern w:val="0"/>
          <w:highlight w:val="none"/>
          <w:u w:val="none"/>
          <w:lang w:val="zh-CN"/>
        </w:rPr>
        <w:br w:type="page"/>
      </w:r>
      <w:bookmarkStart w:id="160" w:name="_Toc8970"/>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1</w:t>
      </w:r>
      <w:r>
        <w:rPr>
          <w:rFonts w:hint="eastAsia" w:ascii="宋体" w:hAnsi="宋体" w:cs="宋体"/>
          <w:color w:val="auto"/>
          <w:sz w:val="30"/>
          <w:szCs w:val="30"/>
          <w:highlight w:val="none"/>
          <w:u w:val="none"/>
        </w:rPr>
        <w:t>8）</w:t>
      </w:r>
      <w:r>
        <w:rPr>
          <w:rFonts w:hint="eastAsia" w:ascii="宋体" w:hAnsi="宋体" w:cs="宋体"/>
          <w:color w:val="auto"/>
          <w:sz w:val="30"/>
          <w:szCs w:val="30"/>
          <w:highlight w:val="none"/>
          <w:u w:val="none"/>
          <w:lang w:val="zh-CN"/>
        </w:rPr>
        <w:t>从业人员声明函</w:t>
      </w:r>
      <w:bookmarkEnd w:id="160"/>
    </w:p>
    <w:p>
      <w:pPr>
        <w:adjustRightInd w:val="0"/>
        <w:snapToGrid w:val="0"/>
        <w:spacing w:line="440" w:lineRule="exact"/>
        <w:ind w:left="6987" w:hanging="6987" w:hangingChars="2900"/>
        <w:jc w:val="center"/>
        <w:rPr>
          <w:rFonts w:ascii="宋体" w:cs="宋体"/>
          <w:b/>
          <w:bCs/>
          <w:color w:val="auto"/>
          <w:kern w:val="0"/>
          <w:highlight w:val="none"/>
          <w:u w:val="none"/>
          <w:lang w:val="zh-CN"/>
        </w:rPr>
      </w:pPr>
    </w:p>
    <w:p>
      <w:pPr>
        <w:adjustRightInd w:val="0"/>
        <w:snapToGrid w:val="0"/>
        <w:spacing w:line="440" w:lineRule="exact"/>
        <w:ind w:left="8152" w:hanging="8152" w:hangingChars="2900"/>
        <w:jc w:val="center"/>
        <w:rPr>
          <w:rFonts w:ascii="宋体" w:cs="宋体"/>
          <w:b/>
          <w:color w:val="auto"/>
          <w:sz w:val="28"/>
          <w:szCs w:val="28"/>
          <w:highlight w:val="none"/>
          <w:u w:val="none"/>
        </w:rPr>
      </w:pPr>
      <w:r>
        <w:rPr>
          <w:rFonts w:hint="eastAsia" w:ascii="宋体" w:hAnsi="宋体" w:cs="宋体"/>
          <w:b/>
          <w:color w:val="auto"/>
          <w:sz w:val="28"/>
          <w:szCs w:val="28"/>
          <w:highlight w:val="none"/>
          <w:u w:val="none"/>
        </w:rPr>
        <w:t>从业人员声明函</w:t>
      </w:r>
    </w:p>
    <w:p>
      <w:pPr>
        <w:adjustRightInd w:val="0"/>
        <w:snapToGrid w:val="0"/>
        <w:spacing w:line="440" w:lineRule="exact"/>
        <w:ind w:left="6987" w:hanging="6987" w:hangingChars="2900"/>
        <w:rPr>
          <w:rFonts w:ascii="宋体" w:cs="宋体"/>
          <w:b/>
          <w:bCs/>
          <w:color w:val="auto"/>
          <w:kern w:val="0"/>
          <w:highlight w:val="none"/>
          <w:u w:val="none"/>
          <w:lang w:val="zh-CN"/>
        </w:rPr>
      </w:pPr>
    </w:p>
    <w:p>
      <w:pPr>
        <w:adjustRightInd w:val="0"/>
        <w:snapToGrid w:val="0"/>
        <w:spacing w:line="440" w:lineRule="exact"/>
        <w:ind w:left="6987" w:hanging="6987" w:hangingChars="2900"/>
        <w:rPr>
          <w:rFonts w:ascii="宋体" w:cs="宋体"/>
          <w:color w:val="auto"/>
          <w:highlight w:val="none"/>
          <w:u w:val="none"/>
        </w:rPr>
      </w:pPr>
      <w:r>
        <w:rPr>
          <w:rFonts w:hint="eastAsia" w:ascii="宋体" w:hAnsi="宋体" w:cs="宋体"/>
          <w:b/>
          <w:bCs/>
          <w:color w:val="auto"/>
          <w:kern w:val="0"/>
          <w:highlight w:val="none"/>
          <w:u w:val="none"/>
          <w:lang w:val="zh-CN"/>
        </w:rPr>
        <w:t>致：</w:t>
      </w:r>
      <w:r>
        <w:rPr>
          <w:rFonts w:hint="eastAsia" w:ascii="宋体" w:hAnsi="宋体" w:cs="宋体"/>
          <w:b/>
          <w:bCs/>
          <w:color w:val="auto"/>
          <w:kern w:val="0"/>
          <w:highlight w:val="none"/>
          <w:u w:val="none"/>
        </w:rPr>
        <w:t>青海睿澳工程项目管理有限公司</w:t>
      </w:r>
    </w:p>
    <w:p>
      <w:pPr>
        <w:adjustRightInd w:val="0"/>
        <w:snapToGrid w:val="0"/>
        <w:spacing w:line="440" w:lineRule="exact"/>
        <w:ind w:left="-5" w:leftChars="-2" w:firstLine="480" w:firstLineChars="200"/>
        <w:rPr>
          <w:rFonts w:ascii="宋体" w:cs="宋体"/>
          <w:color w:val="auto"/>
          <w:highlight w:val="none"/>
          <w:u w:val="none"/>
        </w:rPr>
      </w:pPr>
      <w:r>
        <w:rPr>
          <w:rFonts w:hint="eastAsia" w:ascii="宋体" w:hAnsi="宋体" w:cs="宋体"/>
          <w:color w:val="auto"/>
          <w:highlight w:val="none"/>
          <w:u w:val="none"/>
        </w:rPr>
        <w:t>本公司郑重声明：根据《政府采购促进中小企业发展暂行办法》（财库</w:t>
      </w:r>
      <w:r>
        <w:rPr>
          <w:rFonts w:ascii="宋体" w:hAnsi="宋体" w:cs="宋体"/>
          <w:color w:val="auto"/>
          <w:highlight w:val="none"/>
          <w:u w:val="none"/>
        </w:rPr>
        <w:t>[2011]181</w:t>
      </w:r>
      <w:r>
        <w:rPr>
          <w:rFonts w:hint="eastAsia" w:ascii="宋体" w:hAnsi="宋体" w:cs="宋体"/>
          <w:color w:val="auto"/>
          <w:highlight w:val="none"/>
          <w:u w:val="none"/>
        </w:rPr>
        <w:t>号）、《工业和信息部、国家统计局、国家发展和改革委员会、财政部关于印发中小企业划型标准规定的通知》（工信部联企业</w:t>
      </w:r>
      <w:r>
        <w:rPr>
          <w:rFonts w:ascii="宋体" w:hAnsi="宋体" w:cs="宋体"/>
          <w:color w:val="auto"/>
          <w:highlight w:val="none"/>
          <w:u w:val="none"/>
        </w:rPr>
        <w:t xml:space="preserve">[2011]300 </w:t>
      </w:r>
      <w:r>
        <w:rPr>
          <w:rFonts w:hint="eastAsia" w:ascii="宋体" w:hAnsi="宋体" w:cs="宋体"/>
          <w:color w:val="auto"/>
          <w:highlight w:val="none"/>
          <w:u w:val="none"/>
        </w:rPr>
        <w:t>号）规定，本公司从业人员数为</w:t>
      </w:r>
      <w:r>
        <w:rPr>
          <w:rFonts w:ascii="宋体" w:hAnsi="宋体" w:cs="宋体"/>
          <w:color w:val="auto"/>
          <w:highlight w:val="none"/>
          <w:u w:val="none"/>
        </w:rPr>
        <w:t xml:space="preserve">       </w:t>
      </w:r>
      <w:r>
        <w:rPr>
          <w:rFonts w:hint="eastAsia" w:ascii="宋体" w:hAnsi="宋体" w:cs="宋体"/>
          <w:color w:val="auto"/>
          <w:highlight w:val="none"/>
          <w:u w:val="none"/>
        </w:rPr>
        <w:t>人。</w:t>
      </w:r>
    </w:p>
    <w:p>
      <w:pPr>
        <w:adjustRightInd w:val="0"/>
        <w:snapToGrid w:val="0"/>
        <w:spacing w:line="440" w:lineRule="exact"/>
        <w:ind w:left="-2" w:leftChars="-1" w:firstLine="480" w:firstLineChars="200"/>
        <w:rPr>
          <w:rFonts w:ascii="宋体" w:cs="宋体"/>
          <w:color w:val="auto"/>
          <w:highlight w:val="none"/>
          <w:u w:val="none"/>
        </w:rPr>
      </w:pPr>
      <w:r>
        <w:rPr>
          <w:rFonts w:hint="eastAsia" w:ascii="宋体" w:hAnsi="宋体" w:cs="宋体"/>
          <w:color w:val="auto"/>
          <w:highlight w:val="none"/>
          <w:u w:val="none"/>
        </w:rPr>
        <w:t>本公司对上述声明的真实性负责，如有虚假，将依法承担相应责任。</w:t>
      </w:r>
    </w:p>
    <w:p>
      <w:pPr>
        <w:autoSpaceDE w:val="0"/>
        <w:autoSpaceDN w:val="0"/>
        <w:spacing w:line="360" w:lineRule="auto"/>
        <w:jc w:val="center"/>
        <w:rPr>
          <w:rFonts w:ascii="宋体" w:cs="宋体"/>
          <w:b/>
          <w:bCs/>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制造（生产）企业名称：</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（公章）</w:t>
      </w:r>
    </w:p>
    <w:p>
      <w:pPr>
        <w:autoSpaceDE w:val="0"/>
        <w:autoSpaceDN w:val="0"/>
        <w:spacing w:line="360" w:lineRule="auto"/>
        <w:jc w:val="center"/>
        <w:rPr>
          <w:rFonts w:ascii="宋体" w:cs="宋体"/>
          <w:b/>
          <w:bCs/>
          <w:color w:val="auto"/>
          <w:kern w:val="0"/>
          <w:highlight w:val="none"/>
          <w:u w:val="none"/>
          <w:lang w:val="zh-CN"/>
        </w:rPr>
      </w:pPr>
      <w:r>
        <w:rPr>
          <w:rFonts w:hint="eastAsia" w:ascii="宋体" w:hAnsi="宋体" w:cs="宋体"/>
          <w:b/>
          <w:bCs/>
          <w:color w:val="auto"/>
          <w:kern w:val="0"/>
          <w:highlight w:val="none"/>
          <w:u w:val="none"/>
          <w:lang w:val="zh-CN"/>
        </w:rPr>
        <w:t>制造（生产）企业法定代表人：</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（签字）</w:t>
      </w:r>
    </w:p>
    <w:p>
      <w:pPr>
        <w:autoSpaceDE w:val="0"/>
        <w:autoSpaceDN w:val="0"/>
        <w:spacing w:line="360" w:lineRule="auto"/>
        <w:jc w:val="center"/>
        <w:rPr>
          <w:rFonts w:ascii="宋体" w:cs="宋体"/>
          <w:color w:val="auto"/>
          <w:kern w:val="0"/>
          <w:highlight w:val="none"/>
          <w:u w:val="none"/>
          <w:lang w:val="zh-CN"/>
        </w:rPr>
      </w:pPr>
      <w:r>
        <w:rPr>
          <w:rFonts w:hint="eastAsia" w:ascii="宋体" w:hAnsi="宋体" w:cs="宋体"/>
          <w:b/>
          <w:bCs/>
          <w:color w:val="auto"/>
          <w:kern w:val="0"/>
          <w:highlight w:val="none"/>
          <w:u w:val="none"/>
          <w:lang w:val="zh-CN"/>
        </w:rPr>
        <w:t>年</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月</w:t>
      </w:r>
      <w:r>
        <w:rPr>
          <w:rFonts w:ascii="宋体" w:hAnsi="宋体" w:cs="宋体"/>
          <w:b/>
          <w:bCs/>
          <w:color w:val="auto"/>
          <w:kern w:val="0"/>
          <w:highlight w:val="none"/>
          <w:u w:val="none"/>
          <w:lang w:val="zh-CN"/>
        </w:rPr>
        <w:t xml:space="preserve"> </w:t>
      </w:r>
      <w:r>
        <w:rPr>
          <w:rFonts w:ascii="宋体" w:hAnsi="宋体" w:cs="宋体"/>
          <w:b/>
          <w:bCs/>
          <w:color w:val="auto"/>
          <w:kern w:val="0"/>
          <w:highlight w:val="none"/>
          <w:u w:val="none"/>
        </w:rPr>
        <w:t xml:space="preserve">  </w:t>
      </w:r>
      <w:r>
        <w:rPr>
          <w:rFonts w:ascii="宋体" w:hAnsi="宋体" w:cs="宋体"/>
          <w:b/>
          <w:bCs/>
          <w:color w:val="auto"/>
          <w:kern w:val="0"/>
          <w:highlight w:val="none"/>
          <w:u w:val="none"/>
          <w:lang w:val="zh-CN"/>
        </w:rPr>
        <w:t xml:space="preserve"> </w:t>
      </w:r>
      <w:r>
        <w:rPr>
          <w:rFonts w:hint="eastAsia" w:ascii="宋体" w:hAnsi="宋体" w:cs="宋体"/>
          <w:b/>
          <w:bCs/>
          <w:color w:val="auto"/>
          <w:kern w:val="0"/>
          <w:highlight w:val="none"/>
          <w:u w:val="none"/>
          <w:lang w:val="zh-CN"/>
        </w:rPr>
        <w:t>日</w:t>
      </w:r>
    </w:p>
    <w:p>
      <w:pPr>
        <w:pStyle w:val="29"/>
        <w:spacing w:before="0" w:after="0" w:line="360" w:lineRule="auto"/>
        <w:jc w:val="left"/>
        <w:outlineLvl w:val="1"/>
        <w:rPr>
          <w:rFonts w:ascii="宋体" w:cs="宋体"/>
          <w:b w:val="0"/>
          <w:color w:val="auto"/>
          <w:sz w:val="28"/>
          <w:szCs w:val="28"/>
          <w:highlight w:val="none"/>
          <w:u w:val="none"/>
        </w:rPr>
      </w:pPr>
      <w:r>
        <w:rPr>
          <w:rFonts w:ascii="宋体" w:cs="宋体"/>
          <w:color w:val="auto"/>
          <w:highlight w:val="none"/>
          <w:u w:val="none"/>
          <w:lang w:val="zh-CN"/>
        </w:rPr>
        <w:br w:type="page"/>
      </w:r>
      <w:bookmarkStart w:id="161" w:name="_Toc5540"/>
      <w:bookmarkStart w:id="162" w:name="_Toc743"/>
      <w:r>
        <w:rPr>
          <w:rFonts w:hint="eastAsia" w:ascii="宋体" w:hAnsi="宋体" w:cs="宋体"/>
          <w:bCs w:val="0"/>
          <w:color w:val="auto"/>
          <w:sz w:val="30"/>
          <w:szCs w:val="30"/>
          <w:highlight w:val="none"/>
          <w:u w:val="none"/>
          <w:lang w:val="zh-CN"/>
        </w:rPr>
        <w:t>（</w:t>
      </w:r>
      <w:r>
        <w:rPr>
          <w:rFonts w:hint="eastAsia" w:ascii="宋体" w:hAnsi="宋体" w:cs="宋体"/>
          <w:color w:val="auto"/>
          <w:sz w:val="30"/>
          <w:szCs w:val="30"/>
          <w:highlight w:val="none"/>
          <w:u w:val="none"/>
        </w:rPr>
        <w:t>19</w:t>
      </w:r>
      <w:r>
        <w:rPr>
          <w:rFonts w:hint="eastAsia" w:ascii="宋体" w:hAnsi="宋体" w:cs="宋体"/>
          <w:color w:val="auto"/>
          <w:sz w:val="30"/>
          <w:szCs w:val="30"/>
          <w:highlight w:val="none"/>
          <w:u w:val="none"/>
          <w:lang w:val="zh-CN"/>
        </w:rPr>
        <w:t>）残疾人</w:t>
      </w:r>
      <w:r>
        <w:rPr>
          <w:rFonts w:hint="eastAsia" w:ascii="宋体" w:hAnsi="宋体" w:cs="宋体"/>
          <w:color w:val="auto"/>
          <w:sz w:val="30"/>
          <w:szCs w:val="30"/>
          <w:highlight w:val="none"/>
          <w:u w:val="none"/>
        </w:rPr>
        <w:t>福利性单位声明函</w:t>
      </w:r>
      <w:bookmarkEnd w:id="161"/>
    </w:p>
    <w:p>
      <w:pPr>
        <w:jc w:val="center"/>
        <w:rPr>
          <w:rFonts w:ascii="宋体" w:cs="宋体"/>
          <w:b/>
          <w:color w:val="auto"/>
          <w:sz w:val="36"/>
          <w:szCs w:val="36"/>
          <w:highlight w:val="none"/>
          <w:u w:val="none"/>
        </w:rPr>
      </w:pPr>
      <w:bookmarkStart w:id="163" w:name="OLE_LINK13"/>
      <w:bookmarkStart w:id="164" w:name="OLE_LINK14"/>
    </w:p>
    <w:p>
      <w:pPr>
        <w:jc w:val="center"/>
        <w:rPr>
          <w:rFonts w:ascii="宋体" w:cs="宋体"/>
          <w:b/>
          <w:color w:val="auto"/>
          <w:sz w:val="28"/>
          <w:szCs w:val="28"/>
          <w:highlight w:val="none"/>
          <w:u w:val="none"/>
        </w:rPr>
      </w:pPr>
      <w:r>
        <w:rPr>
          <w:rFonts w:hint="eastAsia" w:ascii="宋体" w:hAnsi="宋体" w:cs="宋体"/>
          <w:b/>
          <w:color w:val="auto"/>
          <w:sz w:val="28"/>
          <w:szCs w:val="28"/>
          <w:highlight w:val="none"/>
          <w:u w:val="none"/>
        </w:rPr>
        <w:t>残疾人福利性单位声明函</w:t>
      </w:r>
    </w:p>
    <w:bookmarkEnd w:id="163"/>
    <w:bookmarkEnd w:id="164"/>
    <w:p>
      <w:pPr>
        <w:spacing w:after="120" w:afterLines="50"/>
        <w:rPr>
          <w:rFonts w:ascii="宋体" w:cs="宋体"/>
          <w:bCs/>
          <w:color w:val="auto"/>
          <w:highlight w:val="none"/>
          <w:u w:val="none"/>
        </w:rPr>
      </w:pPr>
    </w:p>
    <w:p>
      <w:pPr>
        <w:spacing w:after="120" w:afterLines="50"/>
        <w:rPr>
          <w:rFonts w:ascii="宋体" w:cs="宋体"/>
          <w:b/>
          <w:bCs/>
          <w:color w:val="auto"/>
          <w:highlight w:val="none"/>
          <w:u w:val="none"/>
        </w:rPr>
      </w:pPr>
      <w:r>
        <w:rPr>
          <w:rFonts w:hint="eastAsia" w:ascii="宋体" w:hAnsi="宋体" w:cs="宋体"/>
          <w:b/>
          <w:bCs/>
          <w:color w:val="auto"/>
          <w:highlight w:val="none"/>
          <w:u w:val="none"/>
        </w:rPr>
        <w:t>致：</w:t>
      </w:r>
      <w:r>
        <w:rPr>
          <w:rFonts w:hint="eastAsia" w:ascii="宋体" w:hAnsi="宋体" w:cs="宋体"/>
          <w:b/>
          <w:bCs/>
          <w:color w:val="auto"/>
          <w:kern w:val="0"/>
          <w:highlight w:val="none"/>
          <w:u w:val="none"/>
        </w:rPr>
        <w:t>青海睿澳工程项目管理有限公司</w:t>
      </w: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r>
        <w:rPr>
          <w:rFonts w:hint="eastAsia" w:ascii="宋体" w:hAnsi="宋体" w:cs="宋体"/>
          <w:color w:val="auto"/>
          <w:highlight w:val="none"/>
          <w:u w:val="none"/>
        </w:rPr>
        <w:t>本单位郑重声明，根据《财政部、民政部、中国残疾人联合会关于促进残疾人就业政府采购政策的通知》（财库〔</w:t>
      </w:r>
      <w:r>
        <w:rPr>
          <w:rFonts w:ascii="宋体" w:hAnsi="宋体" w:cs="宋体"/>
          <w:color w:val="auto"/>
          <w:highlight w:val="none"/>
          <w:u w:val="none"/>
        </w:rPr>
        <w:t>2017</w:t>
      </w:r>
      <w:r>
        <w:rPr>
          <w:rFonts w:hint="eastAsia" w:ascii="宋体" w:hAnsi="宋体" w:cs="宋体"/>
          <w:color w:val="auto"/>
          <w:highlight w:val="none"/>
          <w:u w:val="none"/>
        </w:rPr>
        <w:t>〕</w:t>
      </w:r>
      <w:r>
        <w:rPr>
          <w:rFonts w:ascii="宋体" w:hAnsi="宋体" w:cs="宋体"/>
          <w:color w:val="auto"/>
          <w:highlight w:val="none"/>
          <w:u w:val="none"/>
        </w:rPr>
        <w:t>141</w:t>
      </w:r>
      <w:r>
        <w:rPr>
          <w:rFonts w:hint="eastAsia" w:ascii="宋体" w:hAnsi="宋体" w:cs="宋体"/>
          <w:color w:val="auto"/>
          <w:highlight w:val="none"/>
          <w:u w:val="none"/>
        </w:rPr>
        <w:t>号）的规定，本单位为符合条件的残疾人福利性单位，本单位在职职工人数为</w:t>
      </w:r>
      <w:r>
        <w:rPr>
          <w:rFonts w:ascii="宋体" w:hAnsi="宋体" w:cs="宋体"/>
          <w:color w:val="auto"/>
          <w:highlight w:val="none"/>
          <w:u w:val="none"/>
        </w:rPr>
        <w:t xml:space="preserve">       </w:t>
      </w:r>
      <w:r>
        <w:rPr>
          <w:rFonts w:hint="eastAsia" w:ascii="宋体" w:hAnsi="宋体" w:cs="宋体"/>
          <w:color w:val="auto"/>
          <w:highlight w:val="none"/>
          <w:u w:val="none"/>
        </w:rPr>
        <w:t>人，安置的残疾人人数</w:t>
      </w:r>
      <w:r>
        <w:rPr>
          <w:rFonts w:ascii="宋体" w:hAnsi="宋体" w:cs="宋体"/>
          <w:color w:val="auto"/>
          <w:highlight w:val="none"/>
          <w:u w:val="none"/>
        </w:rPr>
        <w:t xml:space="preserve">      </w:t>
      </w:r>
      <w:r>
        <w:rPr>
          <w:rFonts w:hint="eastAsia" w:ascii="宋体" w:hAnsi="宋体" w:cs="宋体"/>
          <w:color w:val="auto"/>
          <w:highlight w:val="none"/>
          <w:u w:val="none"/>
        </w:rPr>
        <w:t>人。且本单位参加</w:t>
      </w:r>
      <w:r>
        <w:rPr>
          <w:rFonts w:ascii="宋体" w:hAnsi="宋体" w:cs="宋体"/>
          <w:color w:val="auto"/>
          <w:highlight w:val="none"/>
          <w:u w:val="none"/>
        </w:rPr>
        <w:t>______</w:t>
      </w:r>
      <w:r>
        <w:rPr>
          <w:rFonts w:hint="eastAsia" w:ascii="宋体" w:hAnsi="宋体" w:cs="宋体"/>
          <w:color w:val="auto"/>
          <w:highlight w:val="none"/>
          <w:u w:val="none"/>
        </w:rPr>
        <w:t>单位的</w:t>
      </w:r>
      <w:r>
        <w:rPr>
          <w:rFonts w:ascii="宋体" w:hAnsi="宋体" w:cs="宋体"/>
          <w:color w:val="auto"/>
          <w:highlight w:val="none"/>
          <w:u w:val="none"/>
        </w:rPr>
        <w:t>______</w:t>
      </w:r>
      <w:r>
        <w:rPr>
          <w:rFonts w:hint="eastAsia" w:ascii="宋体" w:hAnsi="宋体" w:cs="宋体"/>
          <w:color w:val="auto"/>
          <w:highlight w:val="none"/>
          <w:u w:val="none"/>
        </w:rPr>
        <w:t>项目采购活动提供本单位制造的货物（由本单位承担工程</w:t>
      </w:r>
      <w:r>
        <w:rPr>
          <w:rFonts w:ascii="宋体" w:hAnsi="宋体" w:cs="宋体"/>
          <w:color w:val="auto"/>
          <w:highlight w:val="none"/>
          <w:u w:val="none"/>
        </w:rPr>
        <w:t>/</w:t>
      </w:r>
      <w:r>
        <w:rPr>
          <w:rFonts w:hint="eastAsia" w:ascii="宋体" w:hAnsi="宋体" w:cs="宋体"/>
          <w:color w:val="auto"/>
          <w:highlight w:val="none"/>
          <w:u w:val="none"/>
        </w:rPr>
        <w:t>提供服务），或者提供其他残疾人福利性单位制造的货物（不包括使用非残疾人福利性单位注册商标的货物）。</w:t>
      </w:r>
    </w:p>
    <w:p>
      <w:pPr>
        <w:spacing w:line="360" w:lineRule="auto"/>
        <w:ind w:firstLine="480"/>
        <w:rPr>
          <w:rFonts w:ascii="宋体" w:cs="宋体"/>
          <w:color w:val="auto"/>
          <w:highlight w:val="none"/>
          <w:u w:val="none"/>
        </w:rPr>
      </w:pPr>
      <w:r>
        <w:rPr>
          <w:rFonts w:hint="eastAsia" w:ascii="宋体" w:hAnsi="宋体" w:cs="宋体"/>
          <w:color w:val="auto"/>
          <w:highlight w:val="none"/>
          <w:u w:val="none"/>
        </w:rPr>
        <w:t>本单位对上述声明的真实性负责。如有虚假，将依法承担相应责任。</w:t>
      </w:r>
    </w:p>
    <w:p>
      <w:pPr>
        <w:spacing w:line="360" w:lineRule="auto"/>
        <w:ind w:firstLine="480"/>
        <w:rPr>
          <w:rFonts w:ascii="宋体" w:cs="宋体"/>
          <w:color w:val="auto"/>
          <w:highlight w:val="none"/>
          <w:u w:val="none"/>
        </w:rPr>
      </w:pPr>
    </w:p>
    <w:p>
      <w:pPr>
        <w:spacing w:line="360" w:lineRule="auto"/>
        <w:rPr>
          <w:rFonts w:ascii="宋体" w:cs="宋体"/>
          <w:color w:val="auto"/>
          <w:highlight w:val="none"/>
          <w:u w:val="none"/>
        </w:rPr>
      </w:pPr>
      <w:r>
        <w:rPr>
          <w:rFonts w:hint="eastAsia" w:ascii="宋体" w:hAnsi="宋体" w:cs="宋体"/>
          <w:color w:val="auto"/>
          <w:highlight w:val="none"/>
          <w:u w:val="none"/>
        </w:rPr>
        <w:t>注：若无此项内容，可不提供此函。</w:t>
      </w: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ind w:firstLine="480"/>
        <w:rPr>
          <w:rFonts w:ascii="宋体" w:cs="宋体"/>
          <w:color w:val="auto"/>
          <w:highlight w:val="none"/>
          <w:u w:val="none"/>
        </w:rPr>
      </w:pPr>
    </w:p>
    <w:p>
      <w:pPr>
        <w:spacing w:line="360" w:lineRule="auto"/>
        <w:jc w:val="center"/>
        <w:rPr>
          <w:rFonts w:ascii="宋体" w:cs="宋体"/>
          <w:b/>
          <w:color w:val="auto"/>
          <w:highlight w:val="none"/>
          <w:u w:val="none"/>
        </w:rPr>
      </w:pPr>
      <w:r>
        <w:rPr>
          <w:rFonts w:ascii="宋体" w:hAnsi="宋体" w:cs="宋体"/>
          <w:b/>
          <w:color w:val="auto"/>
          <w:highlight w:val="none"/>
          <w:u w:val="none"/>
        </w:rPr>
        <w:t xml:space="preserve">                                </w:t>
      </w:r>
      <w:r>
        <w:rPr>
          <w:rFonts w:hint="eastAsia" w:ascii="宋体" w:hAnsi="宋体" w:cs="宋体"/>
          <w:b/>
          <w:color w:val="auto"/>
          <w:highlight w:val="none"/>
          <w:u w:val="none"/>
        </w:rPr>
        <w:t>企业名称：</w:t>
      </w:r>
      <w:r>
        <w:rPr>
          <w:rFonts w:ascii="宋体" w:hAnsi="宋体" w:cs="宋体"/>
          <w:color w:val="auto"/>
          <w:kern w:val="0"/>
          <w:sz w:val="28"/>
          <w:szCs w:val="28"/>
          <w:highlight w:val="none"/>
          <w:u w:val="none"/>
        </w:rPr>
        <w:t xml:space="preserve">       </w:t>
      </w:r>
      <w:r>
        <w:rPr>
          <w:rFonts w:hint="eastAsia" w:ascii="宋体" w:hAnsi="宋体" w:cs="宋体"/>
          <w:b/>
          <w:color w:val="auto"/>
          <w:highlight w:val="none"/>
          <w:u w:val="none"/>
        </w:rPr>
        <w:t>（公章）</w:t>
      </w:r>
    </w:p>
    <w:p>
      <w:pPr>
        <w:spacing w:line="360" w:lineRule="auto"/>
        <w:ind w:firstLine="482"/>
        <w:jc w:val="right"/>
        <w:rPr>
          <w:rFonts w:ascii="宋体" w:cs="宋体"/>
          <w:b/>
          <w:color w:val="auto"/>
          <w:highlight w:val="none"/>
          <w:u w:val="none"/>
        </w:rPr>
      </w:pPr>
      <w:r>
        <w:rPr>
          <w:rFonts w:ascii="宋体" w:hAnsi="宋体" w:cs="宋体"/>
          <w:b/>
          <w:color w:val="auto"/>
          <w:highlight w:val="none"/>
          <w:u w:val="none"/>
        </w:rPr>
        <w:t xml:space="preserve">       </w:t>
      </w:r>
      <w:r>
        <w:rPr>
          <w:rFonts w:hint="eastAsia" w:ascii="宋体" w:hAnsi="宋体" w:cs="宋体"/>
          <w:b/>
          <w:color w:val="auto"/>
          <w:highlight w:val="none"/>
          <w:u w:val="none"/>
        </w:rPr>
        <w:t>企业法定代表人：</w:t>
      </w:r>
      <w:r>
        <w:rPr>
          <w:rFonts w:ascii="宋体" w:hAnsi="宋体" w:cs="宋体"/>
          <w:color w:val="auto"/>
          <w:kern w:val="0"/>
          <w:sz w:val="28"/>
          <w:szCs w:val="28"/>
          <w:highlight w:val="none"/>
          <w:u w:val="none"/>
        </w:rPr>
        <w:t xml:space="preserve">       </w:t>
      </w:r>
      <w:r>
        <w:rPr>
          <w:rFonts w:hint="eastAsia" w:ascii="宋体" w:hAnsi="宋体" w:cs="宋体"/>
          <w:b/>
          <w:color w:val="auto"/>
          <w:highlight w:val="none"/>
          <w:u w:val="none"/>
        </w:rPr>
        <w:t>（签字或盖章）</w:t>
      </w:r>
    </w:p>
    <w:p>
      <w:pPr>
        <w:ind w:firstLine="482"/>
        <w:jc w:val="center"/>
        <w:rPr>
          <w:rFonts w:ascii="宋体" w:cs="宋体"/>
          <w:b/>
          <w:color w:val="auto"/>
          <w:highlight w:val="none"/>
          <w:u w:val="none"/>
        </w:rPr>
      </w:pPr>
      <w:r>
        <w:rPr>
          <w:rFonts w:ascii="宋体" w:hAnsi="宋体" w:cs="宋体"/>
          <w:b/>
          <w:color w:val="auto"/>
          <w:highlight w:val="none"/>
          <w:u w:val="none"/>
        </w:rPr>
        <w:t xml:space="preserve">              </w:t>
      </w:r>
      <w:r>
        <w:rPr>
          <w:rFonts w:hint="eastAsia" w:ascii="宋体" w:hAnsi="宋体" w:cs="宋体"/>
          <w:b/>
          <w:color w:val="auto"/>
          <w:highlight w:val="none"/>
          <w:u w:val="none"/>
        </w:rPr>
        <w:t>年</w:t>
      </w:r>
      <w:r>
        <w:rPr>
          <w:rFonts w:ascii="宋体" w:hAnsi="宋体" w:cs="宋体"/>
          <w:b/>
          <w:color w:val="auto"/>
          <w:highlight w:val="none"/>
          <w:u w:val="none"/>
        </w:rPr>
        <w:t xml:space="preserve">   </w:t>
      </w:r>
      <w:r>
        <w:rPr>
          <w:rFonts w:hint="eastAsia" w:ascii="宋体" w:hAnsi="宋体" w:cs="宋体"/>
          <w:b/>
          <w:color w:val="auto"/>
          <w:highlight w:val="none"/>
          <w:u w:val="none"/>
        </w:rPr>
        <w:t>月</w:t>
      </w:r>
      <w:r>
        <w:rPr>
          <w:rFonts w:ascii="宋体" w:hAnsi="宋体" w:cs="宋体"/>
          <w:b/>
          <w:color w:val="auto"/>
          <w:highlight w:val="none"/>
          <w:u w:val="none"/>
        </w:rPr>
        <w:t xml:space="preserve">  </w:t>
      </w:r>
      <w:r>
        <w:rPr>
          <w:rFonts w:hint="eastAsia" w:ascii="宋体" w:hAnsi="宋体" w:cs="宋体"/>
          <w:b/>
          <w:color w:val="auto"/>
          <w:highlight w:val="none"/>
          <w:u w:val="none"/>
        </w:rPr>
        <w:t>日</w:t>
      </w:r>
    </w:p>
    <w:p>
      <w:pPr>
        <w:pStyle w:val="29"/>
        <w:spacing w:before="0" w:after="0" w:line="360" w:lineRule="auto"/>
        <w:jc w:val="left"/>
        <w:outlineLvl w:val="1"/>
        <w:rPr>
          <w:rFonts w:ascii="宋体" w:cs="宋体"/>
          <w:color w:val="auto"/>
          <w:highlight w:val="none"/>
          <w:u w:val="none"/>
        </w:rPr>
      </w:pPr>
      <w:r>
        <w:rPr>
          <w:rFonts w:ascii="宋体" w:cs="宋体"/>
          <w:color w:val="auto"/>
          <w:highlight w:val="none"/>
          <w:u w:val="none"/>
          <w:lang w:val="zh-CN"/>
        </w:rPr>
        <w:br w:type="page"/>
      </w:r>
      <w:bookmarkStart w:id="165" w:name="_Toc19652"/>
      <w:r>
        <w:rPr>
          <w:rFonts w:hint="eastAsia" w:ascii="宋体" w:hAnsi="宋体" w:cs="宋体"/>
          <w:color w:val="auto"/>
          <w:sz w:val="30"/>
          <w:szCs w:val="30"/>
          <w:highlight w:val="none"/>
          <w:u w:val="none"/>
        </w:rPr>
        <w:t>（</w:t>
      </w:r>
      <w:r>
        <w:rPr>
          <w:rFonts w:ascii="宋体" w:hAnsi="宋体" w:cs="宋体"/>
          <w:color w:val="auto"/>
          <w:sz w:val="30"/>
          <w:szCs w:val="30"/>
          <w:highlight w:val="none"/>
          <w:u w:val="none"/>
        </w:rPr>
        <w:t>2</w:t>
      </w:r>
      <w:r>
        <w:rPr>
          <w:rFonts w:hint="eastAsia" w:ascii="宋体" w:hAnsi="宋体" w:cs="宋体"/>
          <w:color w:val="auto"/>
          <w:sz w:val="30"/>
          <w:szCs w:val="30"/>
          <w:highlight w:val="none"/>
          <w:u w:val="none"/>
        </w:rPr>
        <w:t>0）</w:t>
      </w:r>
      <w:r>
        <w:rPr>
          <w:rFonts w:hint="eastAsia" w:ascii="宋体" w:hAnsi="宋体" w:cs="宋体"/>
          <w:color w:val="auto"/>
          <w:sz w:val="30"/>
          <w:szCs w:val="30"/>
          <w:highlight w:val="none"/>
          <w:u w:val="none"/>
          <w:lang w:val="zh-CN"/>
        </w:rPr>
        <w:t>投标人认为在其他方面有必要说明的事项</w:t>
      </w:r>
      <w:bookmarkEnd w:id="162"/>
      <w:bookmarkEnd w:id="165"/>
    </w:p>
    <w:p>
      <w:pPr>
        <w:autoSpaceDE w:val="0"/>
        <w:autoSpaceDN w:val="0"/>
        <w:spacing w:line="360" w:lineRule="auto"/>
        <w:rPr>
          <w:rFonts w:ascii="宋体" w:cs="宋体"/>
          <w:color w:val="auto"/>
          <w:kern w:val="0"/>
          <w:sz w:val="28"/>
          <w:szCs w:val="28"/>
          <w:highlight w:val="none"/>
          <w:u w:val="none"/>
          <w:lang w:val="zh-CN"/>
        </w:rPr>
      </w:pPr>
    </w:p>
    <w:p>
      <w:pPr>
        <w:pStyle w:val="29"/>
        <w:spacing w:before="0" w:after="0" w:line="360" w:lineRule="auto"/>
        <w:outlineLvl w:val="1"/>
        <w:rPr>
          <w:rFonts w:ascii="宋体" w:hAnsi="宋体" w:cs="宋体"/>
          <w:color w:val="auto"/>
          <w:sz w:val="30"/>
          <w:szCs w:val="30"/>
          <w:highlight w:val="none"/>
          <w:u w:val="none"/>
          <w:lang w:val="zh-CN"/>
        </w:rPr>
      </w:pPr>
      <w:bookmarkStart w:id="166" w:name="_Toc30990"/>
      <w:r>
        <w:rPr>
          <w:rFonts w:hint="eastAsia" w:ascii="宋体" w:hAnsi="宋体" w:cs="宋体"/>
          <w:color w:val="auto"/>
          <w:sz w:val="30"/>
          <w:szCs w:val="30"/>
          <w:highlight w:val="none"/>
          <w:u w:val="none"/>
          <w:lang w:val="zh-CN"/>
        </w:rPr>
        <w:t>项目管理及实施方案、售后服务计划等</w:t>
      </w:r>
      <w:bookmarkEnd w:id="166"/>
    </w:p>
    <w:p>
      <w:pPr>
        <w:autoSpaceDE w:val="0"/>
        <w:autoSpaceDN w:val="0"/>
        <w:spacing w:line="360" w:lineRule="auto"/>
        <w:ind w:firstLine="3132" w:firstLineChars="1300"/>
        <w:rPr>
          <w:rFonts w:ascii="宋体" w:cs="宋体"/>
          <w:b/>
          <w:bCs/>
          <w:color w:val="auto"/>
          <w:highlight w:val="none"/>
          <w:u w:val="none"/>
          <w:lang w:val="zh-CN"/>
        </w:rPr>
      </w:pPr>
      <w:r>
        <w:rPr>
          <w:rFonts w:hint="eastAsia" w:ascii="宋体" w:hAnsi="宋体" w:cs="宋体"/>
          <w:b/>
          <w:bCs/>
          <w:color w:val="auto"/>
          <w:highlight w:val="none"/>
          <w:u w:val="none"/>
          <w:lang w:val="zh-CN"/>
        </w:rPr>
        <w:t>格式自定</w:t>
      </w:r>
    </w:p>
    <w:p>
      <w:pPr>
        <w:pStyle w:val="29"/>
        <w:spacing w:before="0" w:after="0" w:line="360" w:lineRule="auto"/>
        <w:rPr>
          <w:rFonts w:ascii="宋体" w:cs="宋体"/>
          <w:color w:val="auto"/>
          <w:highlight w:val="none"/>
          <w:u w:val="none"/>
        </w:rPr>
      </w:pPr>
      <w:r>
        <w:rPr>
          <w:rFonts w:ascii="宋体" w:cs="宋体"/>
          <w:color w:val="auto"/>
          <w:highlight w:val="none"/>
          <w:u w:val="none"/>
          <w:lang w:val="zh-CN"/>
        </w:rPr>
        <w:br w:type="page"/>
      </w:r>
      <w:bookmarkStart w:id="167" w:name="_Toc18752"/>
      <w:bookmarkStart w:id="168" w:name="_Toc17378"/>
      <w:r>
        <w:rPr>
          <w:rFonts w:hint="eastAsia" w:ascii="宋体" w:hAnsi="宋体" w:cs="宋体"/>
          <w:color w:val="auto"/>
          <w:szCs w:val="36"/>
          <w:highlight w:val="none"/>
          <w:u w:val="none"/>
          <w:lang w:val="zh-CN"/>
        </w:rPr>
        <w:t>第五部分</w:t>
      </w:r>
      <w:r>
        <w:rPr>
          <w:rFonts w:ascii="宋体" w:hAnsi="宋体" w:cs="宋体"/>
          <w:color w:val="auto"/>
          <w:szCs w:val="36"/>
          <w:highlight w:val="none"/>
          <w:u w:val="none"/>
          <w:lang w:val="zh-CN"/>
        </w:rPr>
        <w:t xml:space="preserve">  </w:t>
      </w:r>
      <w:r>
        <w:rPr>
          <w:rFonts w:hint="eastAsia" w:ascii="宋体" w:hAnsi="宋体" w:cs="宋体"/>
          <w:color w:val="auto"/>
          <w:szCs w:val="36"/>
          <w:highlight w:val="none"/>
          <w:u w:val="none"/>
          <w:lang w:val="zh-CN"/>
        </w:rPr>
        <w:t>采购项目要求及技术参数</w:t>
      </w:r>
      <w:bookmarkEnd w:id="167"/>
      <w:bookmarkEnd w:id="168"/>
    </w:p>
    <w:p>
      <w:pPr>
        <w:pStyle w:val="29"/>
        <w:spacing w:before="0" w:after="0" w:line="360" w:lineRule="auto"/>
        <w:outlineLvl w:val="1"/>
        <w:rPr>
          <w:rFonts w:ascii="宋体" w:cs="宋体"/>
          <w:color w:val="auto"/>
          <w:szCs w:val="36"/>
          <w:highlight w:val="none"/>
          <w:u w:val="none"/>
        </w:rPr>
      </w:pPr>
      <w:bookmarkStart w:id="169" w:name="_Toc26170"/>
      <w:bookmarkStart w:id="170" w:name="_Toc9451"/>
      <w:r>
        <w:rPr>
          <w:rFonts w:hint="eastAsia" w:ascii="宋体" w:hAnsi="宋体" w:cs="宋体"/>
          <w:color w:val="auto"/>
          <w:highlight w:val="none"/>
          <w:u w:val="none"/>
          <w:lang w:val="zh-CN"/>
        </w:rPr>
        <w:t>（一）投标要求</w:t>
      </w:r>
      <w:bookmarkEnd w:id="169"/>
      <w:bookmarkEnd w:id="170"/>
    </w:p>
    <w:p>
      <w:pPr>
        <w:pStyle w:val="6"/>
        <w:pageBreakBefore w:val="0"/>
        <w:widowControl w:val="0"/>
        <w:kinsoku/>
        <w:wordWrap/>
        <w:overflowPunct/>
        <w:topLinePunct w:val="0"/>
        <w:bidi w:val="0"/>
        <w:adjustRightInd/>
        <w:snapToGrid/>
        <w:spacing w:line="460" w:lineRule="exact"/>
        <w:textAlignment w:val="auto"/>
        <w:rPr>
          <w:color w:val="auto"/>
          <w:highlight w:val="none"/>
          <w:u w:val="none"/>
          <w:lang w:val="zh-CN"/>
        </w:rPr>
      </w:pPr>
      <w:bookmarkStart w:id="171" w:name="_Toc4601"/>
      <w:bookmarkStart w:id="172" w:name="_Toc11240"/>
      <w:bookmarkStart w:id="173" w:name="_Toc18880"/>
      <w:r>
        <w:rPr>
          <w:rFonts w:hint="eastAsia"/>
          <w:color w:val="auto"/>
          <w:highlight w:val="none"/>
          <w:u w:val="none"/>
          <w:lang w:val="zh-CN"/>
        </w:rPr>
        <w:t>1.投标说明</w:t>
      </w:r>
      <w:bookmarkEnd w:id="171"/>
      <w:bookmarkEnd w:id="172"/>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投标人可以按照招标文件规定的包号选择投标，但必须对所投包号中的所有内容作为一个整体进行投标，不能拆分或少报。否则，投标无效。</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3</w:t>
      </w:r>
      <w:r>
        <w:rPr>
          <w:rFonts w:hint="eastAsia" w:ascii="宋体" w:hAnsi="宋体" w:cs="宋体"/>
          <w:color w:val="auto"/>
          <w:highlight w:val="none"/>
          <w:u w:val="none"/>
        </w:rPr>
        <w:t xml:space="preserve"> </w:t>
      </w:r>
      <w:r>
        <w:rPr>
          <w:rFonts w:hint="eastAsia" w:ascii="宋体" w:hAnsi="宋体" w:cs="宋体"/>
          <w:color w:val="auto"/>
          <w:kern w:val="0"/>
          <w:highlight w:val="none"/>
          <w:u w:val="none"/>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rPr>
      </w:pPr>
      <w:r>
        <w:rPr>
          <w:rFonts w:hint="eastAsia" w:ascii="宋体" w:hAnsi="宋体" w:cs="宋体"/>
          <w:color w:val="auto"/>
          <w:kern w:val="0"/>
          <w:highlight w:val="none"/>
          <w:u w:val="none"/>
        </w:rPr>
        <w:t>1.4 项目中标后分包情况：不允许。（允许，投标人拟在中标后将中标项目的非主体、非关键性工作分包的，应当在投标文件中载明分包承担主体，分包承担主体应当具备相应资质条件且不得再次分包）</w:t>
      </w:r>
    </w:p>
    <w:p>
      <w:pPr>
        <w:pStyle w:val="6"/>
        <w:pageBreakBefore w:val="0"/>
        <w:widowControl w:val="0"/>
        <w:kinsoku/>
        <w:wordWrap/>
        <w:overflowPunct/>
        <w:topLinePunct w:val="0"/>
        <w:bidi w:val="0"/>
        <w:adjustRightInd/>
        <w:snapToGrid/>
        <w:spacing w:line="460" w:lineRule="exact"/>
        <w:textAlignment w:val="auto"/>
        <w:rPr>
          <w:color w:val="auto"/>
          <w:highlight w:val="none"/>
          <w:u w:val="none"/>
          <w:lang w:val="zh-CN"/>
        </w:rPr>
      </w:pPr>
      <w:bookmarkStart w:id="174" w:name="_Toc26125"/>
      <w:bookmarkStart w:id="175" w:name="_Toc20321"/>
      <w:r>
        <w:rPr>
          <w:rFonts w:hint="eastAsia"/>
          <w:color w:val="auto"/>
          <w:highlight w:val="none"/>
          <w:u w:val="none"/>
          <w:lang w:val="zh-CN"/>
        </w:rPr>
        <w:t>2.</w:t>
      </w:r>
      <w:bookmarkEnd w:id="174"/>
      <w:bookmarkStart w:id="176" w:name="_Toc1475"/>
      <w:r>
        <w:rPr>
          <w:rFonts w:hint="eastAsia"/>
          <w:color w:val="auto"/>
          <w:highlight w:val="none"/>
          <w:u w:val="none"/>
          <w:lang w:val="zh-CN"/>
        </w:rPr>
        <w:t>重要指标</w:t>
      </w:r>
      <w:bookmarkEnd w:id="175"/>
      <w:bookmarkEnd w:id="176"/>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b/>
          <w:bCs/>
          <w:color w:val="auto"/>
          <w:kern w:val="0"/>
          <w:highlight w:val="none"/>
          <w:u w:val="none"/>
          <w:lang w:val="zh-CN"/>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.1</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w:t>
      </w:r>
      <w:r>
        <w:rPr>
          <w:rFonts w:hint="eastAsia" w:ascii="宋体" w:hAnsi="宋体" w:cs="宋体"/>
          <w:b/>
          <w:bCs/>
          <w:color w:val="auto"/>
          <w:kern w:val="0"/>
          <w:highlight w:val="none"/>
          <w:u w:val="none"/>
          <w:lang w:val="zh-CN"/>
        </w:rPr>
        <w:t>技术参数”中用“</w:t>
      </w:r>
      <w:r>
        <w:rPr>
          <w:rFonts w:hint="eastAsia" w:ascii="宋体" w:hAnsi="宋体" w:cs="宋体"/>
          <w:b/>
          <w:bCs/>
          <w:color w:val="auto"/>
          <w:kern w:val="0"/>
          <w:sz w:val="28"/>
          <w:szCs w:val="28"/>
          <w:highlight w:val="none"/>
          <w:u w:val="none"/>
        </w:rPr>
        <w:t>*</w:t>
      </w:r>
      <w:r>
        <w:rPr>
          <w:rFonts w:hint="eastAsia" w:ascii="宋体" w:hAnsi="宋体" w:cs="宋体"/>
          <w:b/>
          <w:bCs/>
          <w:color w:val="auto"/>
          <w:kern w:val="0"/>
          <w:highlight w:val="none"/>
          <w:u w:val="none"/>
          <w:lang w:val="zh-CN"/>
        </w:rPr>
        <w:t>”符号标注的属于重要技术参数、指标，必须完全响应。否则，投标无效。</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.2</w:t>
      </w:r>
      <w:r>
        <w:rPr>
          <w:rFonts w:hint="eastAsia" w:ascii="宋体" w:hAnsi="宋体" w:cs="宋体"/>
          <w:color w:val="auto"/>
          <w:kern w:val="0"/>
          <w:highlight w:val="none"/>
          <w:u w:val="none"/>
        </w:rPr>
        <w:t xml:space="preserve"> </w:t>
      </w:r>
      <w:r>
        <w:rPr>
          <w:rFonts w:hint="eastAsia" w:ascii="宋体" w:hAnsi="宋体" w:cs="宋体"/>
          <w:color w:val="auto"/>
          <w:kern w:val="0"/>
          <w:highlight w:val="none"/>
          <w:u w:val="none"/>
          <w:lang w:val="zh-CN"/>
        </w:rPr>
        <w:t>招标文件中凡需与原有设备、系统并机、兼容、匹配等要求的，请主动和采购人联系，取得原有设备、系统相关资料。若有招标文件未提及或变更内容的，请及时与采购代理机构联系。</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lang w:val="zh-CN"/>
        </w:rPr>
        <w:t>2.3 技术参数中除注明签订合同时提供的相关授权、服务承诺等资料以外，其余相关资料在投标时必须附在投标文件中。</w:t>
      </w:r>
    </w:p>
    <w:p>
      <w:pPr>
        <w:pStyle w:val="6"/>
        <w:pageBreakBefore w:val="0"/>
        <w:widowControl w:val="0"/>
        <w:kinsoku/>
        <w:wordWrap/>
        <w:overflowPunct/>
        <w:topLinePunct w:val="0"/>
        <w:bidi w:val="0"/>
        <w:adjustRightInd/>
        <w:snapToGrid/>
        <w:spacing w:line="460" w:lineRule="exact"/>
        <w:textAlignment w:val="auto"/>
        <w:rPr>
          <w:color w:val="auto"/>
          <w:highlight w:val="none"/>
          <w:u w:val="none"/>
          <w:lang w:val="zh-CN"/>
        </w:rPr>
      </w:pPr>
      <w:r>
        <w:rPr>
          <w:color w:val="auto"/>
          <w:highlight w:val="none"/>
          <w:u w:val="none"/>
          <w:lang w:val="zh-CN"/>
        </w:rPr>
        <w:t>3.</w:t>
      </w:r>
      <w:r>
        <w:rPr>
          <w:rFonts w:hint="eastAsia"/>
          <w:color w:val="auto"/>
          <w:highlight w:val="none"/>
          <w:u w:val="none"/>
          <w:lang w:val="zh-CN"/>
        </w:rPr>
        <w:t>商务要求</w:t>
      </w:r>
      <w:bookmarkEnd w:id="173"/>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rPr>
      </w:pPr>
      <w:bookmarkStart w:id="177" w:name="_Toc28576"/>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.1</w:t>
      </w:r>
      <w:r>
        <w:rPr>
          <w:rFonts w:hint="eastAsia" w:ascii="宋体" w:hAnsi="宋体" w:cs="宋体"/>
          <w:color w:val="auto"/>
          <w:highlight w:val="none"/>
          <w:u w:val="none"/>
        </w:rPr>
        <w:t>交货期</w:t>
      </w:r>
      <w:r>
        <w:rPr>
          <w:rFonts w:hint="eastAsia" w:ascii="宋体" w:hAnsi="宋体" w:cs="宋体"/>
          <w:color w:val="auto"/>
          <w:kern w:val="0"/>
          <w:highlight w:val="none"/>
          <w:u w:val="none"/>
        </w:rPr>
        <w:t>限</w:t>
      </w:r>
      <w:r>
        <w:rPr>
          <w:rFonts w:hint="eastAsia" w:ascii="宋体" w:hAnsi="宋体" w:cs="宋体"/>
          <w:color w:val="auto"/>
          <w:kern w:val="0"/>
          <w:highlight w:val="none"/>
          <w:u w:val="none"/>
          <w:lang w:val="zh-CN"/>
        </w:rPr>
        <w:t>：</w:t>
      </w:r>
      <w:r>
        <w:rPr>
          <w:rFonts w:hint="eastAsia" w:ascii="宋体" w:hAnsi="宋体" w:cs="宋体"/>
          <w:color w:val="auto"/>
          <w:kern w:val="0"/>
          <w:highlight w:val="none"/>
          <w:u w:val="none"/>
        </w:rPr>
        <w:t xml:space="preserve">合同签订后 </w:t>
      </w:r>
      <w:r>
        <w:rPr>
          <w:rFonts w:hint="eastAsia" w:ascii="宋体" w:hAnsi="宋体" w:cs="宋体"/>
          <w:color w:val="auto"/>
          <w:kern w:val="0"/>
          <w:highlight w:val="none"/>
          <w:u w:val="none"/>
          <w:lang w:val="en-US" w:eastAsia="zh-CN"/>
        </w:rPr>
        <w:t>30个工作日</w:t>
      </w:r>
      <w:r>
        <w:rPr>
          <w:rFonts w:hint="eastAsia" w:ascii="宋体" w:hAnsi="宋体" w:cs="宋体"/>
          <w:color w:val="auto"/>
          <w:kern w:val="0"/>
          <w:highlight w:val="none"/>
          <w:u w:val="none"/>
        </w:rPr>
        <w:t>内交货完毕。</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.2</w:t>
      </w:r>
      <w:r>
        <w:rPr>
          <w:rFonts w:hint="eastAsia" w:ascii="宋体" w:hAnsi="宋体" w:cs="宋体"/>
          <w:color w:val="auto"/>
          <w:kern w:val="0"/>
          <w:highlight w:val="none"/>
          <w:u w:val="none"/>
        </w:rPr>
        <w:t>交货</w:t>
      </w:r>
      <w:r>
        <w:rPr>
          <w:rFonts w:hint="eastAsia" w:ascii="宋体" w:hAnsi="宋体" w:cs="宋体"/>
          <w:color w:val="auto"/>
          <w:kern w:val="0"/>
          <w:highlight w:val="none"/>
          <w:u w:val="none"/>
          <w:lang w:val="zh-CN"/>
        </w:rPr>
        <w:t>地点：</w:t>
      </w:r>
      <w:r>
        <w:rPr>
          <w:rFonts w:hint="eastAsia" w:ascii="宋体" w:hAnsi="宋体" w:cs="宋体"/>
          <w:color w:val="auto"/>
          <w:kern w:val="0"/>
          <w:highlight w:val="none"/>
          <w:u w:val="none"/>
        </w:rPr>
        <w:t>青海省司法厅指定地点</w:t>
      </w:r>
      <w:r>
        <w:rPr>
          <w:rFonts w:hint="eastAsia" w:ascii="宋体" w:hAnsi="宋体" w:cs="宋体"/>
          <w:color w:val="auto"/>
          <w:kern w:val="0"/>
          <w:highlight w:val="none"/>
          <w:u w:val="none"/>
          <w:lang w:val="zh-CN"/>
        </w:rPr>
        <w:t>。</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3</w:t>
      </w:r>
      <w:r>
        <w:rPr>
          <w:rFonts w:hint="eastAsia" w:ascii="宋体" w:hAnsi="宋体" w:cs="宋体"/>
          <w:color w:val="auto"/>
          <w:kern w:val="0"/>
          <w:highlight w:val="none"/>
          <w:u w:val="none"/>
          <w:lang w:val="zh-CN"/>
        </w:rPr>
        <w:t>.3付款方式：</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1.</w:t>
      </w:r>
      <w:r>
        <w:rPr>
          <w:rFonts w:hint="eastAsia" w:ascii="宋体" w:hAnsi="宋体" w:cs="宋体"/>
          <w:color w:val="auto"/>
          <w:kern w:val="0"/>
          <w:highlight w:val="none"/>
          <w:u w:val="none"/>
          <w:lang w:val="zh-CN"/>
        </w:rPr>
        <w:t>乙方所交付的产品由甲方验收，验收合格后由甲方报同级财政监管部门，申请资金拨付，按合同金额向乙方支付合同总价款的100%（付款方式及金额由采购人根据项目情况确定），</w:t>
      </w:r>
      <w:r>
        <w:rPr>
          <w:rFonts w:hint="eastAsia" w:ascii="宋体" w:hAnsi="宋体" w:cs="宋体"/>
          <w:color w:val="auto"/>
          <w:kern w:val="0"/>
          <w:highlight w:val="none"/>
          <w:u w:val="none"/>
          <w:lang w:val="en-US" w:eastAsia="zh-CN"/>
        </w:rPr>
        <w:t>计</w:t>
      </w:r>
      <w:r>
        <w:rPr>
          <w:rFonts w:hint="eastAsia" w:ascii="宋体" w:hAnsi="宋体" w:cs="宋体"/>
          <w:color w:val="auto"/>
          <w:kern w:val="0"/>
          <w:highlight w:val="none"/>
          <w:u w:val="none"/>
          <w:lang w:val="zh-CN"/>
        </w:rPr>
        <w:t>人民币（大写）：             元。</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cs="宋体"/>
          <w:color w:val="auto"/>
          <w:kern w:val="0"/>
          <w:highlight w:val="none"/>
          <w:u w:val="none"/>
          <w:lang w:val="zh-CN"/>
        </w:rPr>
      </w:pPr>
      <w:r>
        <w:rPr>
          <w:rFonts w:hint="eastAsia" w:ascii="宋体" w:hAnsi="宋体" w:cs="宋体"/>
          <w:color w:val="auto"/>
          <w:kern w:val="0"/>
          <w:highlight w:val="none"/>
          <w:u w:val="none"/>
        </w:rPr>
        <w:t>2.</w:t>
      </w:r>
      <w:r>
        <w:rPr>
          <w:rFonts w:hint="eastAsia" w:ascii="宋体" w:hAnsi="宋体" w:cs="宋体"/>
          <w:color w:val="auto"/>
          <w:kern w:val="0"/>
          <w:highlight w:val="none"/>
          <w:u w:val="none"/>
          <w:lang w:val="zh-CN"/>
        </w:rPr>
        <w:t>乙方向甲方提交的合同价</w:t>
      </w:r>
      <w:r>
        <w:rPr>
          <w:rFonts w:hint="eastAsia" w:ascii="宋体" w:hAnsi="宋体" w:cs="宋体"/>
          <w:color w:val="auto"/>
          <w:kern w:val="0"/>
          <w:highlight w:val="none"/>
          <w:u w:val="none"/>
          <w:lang w:val="en-US" w:eastAsia="zh-CN"/>
        </w:rPr>
        <w:t>的</w:t>
      </w:r>
      <w:r>
        <w:rPr>
          <w:rFonts w:hint="eastAsia" w:ascii="宋体" w:hAnsi="宋体" w:cs="宋体"/>
          <w:color w:val="auto"/>
          <w:kern w:val="0"/>
          <w:highlight w:val="none"/>
          <w:u w:val="none"/>
        </w:rPr>
        <w:t>10%</w:t>
      </w:r>
      <w:r>
        <w:rPr>
          <w:rFonts w:hint="eastAsia" w:ascii="宋体" w:hAnsi="宋体" w:cs="宋体"/>
          <w:color w:val="auto"/>
          <w:kern w:val="0"/>
          <w:highlight w:val="none"/>
          <w:u w:val="none"/>
          <w:lang w:val="en-US" w:eastAsia="zh-CN"/>
        </w:rPr>
        <w:t>为</w:t>
      </w:r>
      <w:r>
        <w:rPr>
          <w:rFonts w:hint="eastAsia" w:ascii="宋体" w:hAnsi="宋体" w:cs="宋体"/>
          <w:color w:val="auto"/>
          <w:kern w:val="0"/>
          <w:highlight w:val="none"/>
          <w:u w:val="none"/>
          <w:lang w:val="zh-CN"/>
        </w:rPr>
        <w:t>履约保证金，计（大写）        元；</w:t>
      </w:r>
      <w:r>
        <w:rPr>
          <w:rFonts w:hint="eastAsia" w:ascii="宋体" w:hAnsi="宋体" w:cs="宋体"/>
          <w:color w:val="auto"/>
          <w:kern w:val="0"/>
          <w:highlight w:val="none"/>
          <w:u w:val="none"/>
          <w:lang w:val="en-US" w:eastAsia="zh-CN"/>
        </w:rPr>
        <w:t>履约后，</w:t>
      </w:r>
      <w:r>
        <w:rPr>
          <w:rFonts w:hint="eastAsia" w:ascii="宋体" w:hAnsi="宋体" w:cs="宋体"/>
          <w:color w:val="auto"/>
          <w:kern w:val="0"/>
          <w:highlight w:val="none"/>
          <w:u w:val="none"/>
          <w:lang w:val="zh-CN"/>
        </w:rPr>
        <w:t xml:space="preserve">履约保证金转为质量保证金。质量保证金待约定的质保期满 </w:t>
      </w:r>
      <w:r>
        <w:rPr>
          <w:rFonts w:hint="eastAsia" w:ascii="宋体" w:hAnsi="宋体" w:cs="宋体"/>
          <w:color w:val="auto"/>
          <w:kern w:val="0"/>
          <w:highlight w:val="none"/>
          <w:u w:val="none"/>
          <w:lang w:val="en-US" w:eastAsia="zh-CN"/>
        </w:rPr>
        <w:t>3</w:t>
      </w:r>
      <w:r>
        <w:rPr>
          <w:rFonts w:hint="eastAsia" w:ascii="宋体" w:hAnsi="宋体" w:cs="宋体"/>
          <w:color w:val="auto"/>
          <w:kern w:val="0"/>
          <w:highlight w:val="none"/>
          <w:u w:val="none"/>
          <w:lang w:val="zh-CN"/>
        </w:rPr>
        <w:t>（年）且产品无质量问题后，由乙方提出书面申请，甲方以转账方式予以退还。</w:t>
      </w:r>
    </w:p>
    <w:p>
      <w:pPr>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cs="宋体"/>
          <w:color w:val="auto"/>
          <w:kern w:val="0"/>
          <w:highlight w:val="none"/>
          <w:u w:val="none"/>
          <w:lang w:val="zh-CN"/>
        </w:rPr>
        <w:sectPr>
          <w:pgSz w:w="11849" w:h="16781"/>
          <w:pgMar w:top="1440" w:right="1803" w:bottom="1440" w:left="1803" w:header="850" w:footer="992" w:gutter="0"/>
          <w:cols w:space="0" w:num="1"/>
          <w:docGrid w:linePitch="397" w:charSpace="0"/>
        </w:sectPr>
      </w:pPr>
      <w:r>
        <w:rPr>
          <w:rFonts w:hint="eastAsia" w:ascii="宋体" w:hAnsi="宋体" w:cs="宋体"/>
          <w:color w:val="auto"/>
          <w:kern w:val="0"/>
          <w:highlight w:val="none"/>
          <w:u w:val="none"/>
        </w:rPr>
        <w:t xml:space="preserve">3.4 </w:t>
      </w:r>
      <w:r>
        <w:rPr>
          <w:rFonts w:hint="eastAsia" w:ascii="宋体" w:hAnsi="宋体" w:cs="宋体"/>
          <w:color w:val="auto"/>
          <w:kern w:val="0"/>
          <w:highlight w:val="none"/>
          <w:u w:val="none"/>
          <w:lang w:val="zh-CN"/>
        </w:rPr>
        <w:t>质保期：质保期</w:t>
      </w:r>
      <w:r>
        <w:rPr>
          <w:rFonts w:hint="eastAsia" w:ascii="宋体" w:hAnsi="宋体" w:cs="宋体"/>
          <w:color w:val="auto"/>
          <w:kern w:val="0"/>
          <w:highlight w:val="none"/>
          <w:u w:val="none"/>
          <w:lang w:val="en-US" w:eastAsia="zh-CN"/>
        </w:rPr>
        <w:t>三</w:t>
      </w:r>
      <w:r>
        <w:rPr>
          <w:rFonts w:hint="eastAsia" w:ascii="宋体" w:hAnsi="宋体" w:cs="宋体"/>
          <w:color w:val="auto"/>
          <w:kern w:val="0"/>
          <w:highlight w:val="none"/>
          <w:u w:val="none"/>
          <w:lang w:val="zh-CN"/>
        </w:rPr>
        <w:t xml:space="preserve">年。  </w:t>
      </w:r>
    </w:p>
    <w:p>
      <w:pPr>
        <w:pStyle w:val="29"/>
        <w:numPr>
          <w:ilvl w:val="0"/>
          <w:numId w:val="14"/>
        </w:numPr>
        <w:spacing w:before="0" w:after="0" w:line="360" w:lineRule="auto"/>
        <w:rPr>
          <w:color w:val="auto"/>
          <w:highlight w:val="none"/>
          <w:u w:val="none"/>
        </w:rPr>
      </w:pPr>
      <w:bookmarkStart w:id="178" w:name="_Toc24804"/>
      <w:r>
        <w:rPr>
          <w:rFonts w:hint="eastAsia" w:ascii="宋体" w:hAnsi="宋体" w:cs="宋体"/>
          <w:color w:val="auto"/>
          <w:highlight w:val="none"/>
          <w:u w:val="none"/>
          <w:lang w:val="zh-CN"/>
        </w:rPr>
        <w:t>项目概况及技术参数</w:t>
      </w:r>
      <w:bookmarkEnd w:id="177"/>
      <w:bookmarkEnd w:id="178"/>
    </w:p>
    <w:p>
      <w:pPr>
        <w:pStyle w:val="2"/>
        <w:rPr>
          <w:color w:val="auto"/>
          <w:highlight w:val="none"/>
          <w:u w:val="none"/>
        </w:rPr>
      </w:pPr>
    </w:p>
    <w:p>
      <w:pPr>
        <w:pStyle w:val="8"/>
        <w:rPr>
          <w:rFonts w:hint="eastAsia" w:ascii="宋体" w:hAnsi="宋体" w:eastAsia="宋体" w:cs="宋体"/>
          <w:color w:val="auto"/>
          <w:sz w:val="24"/>
          <w:szCs w:val="24"/>
          <w:highlight w:val="none"/>
        </w:rPr>
      </w:pPr>
      <w:bookmarkStart w:id="179" w:name="_Toc74730024"/>
      <w:bookmarkStart w:id="180" w:name="_Toc74730172"/>
      <w:r>
        <w:rPr>
          <w:rFonts w:hint="eastAsia" w:ascii="宋体" w:hAnsi="宋体" w:eastAsia="宋体" w:cs="宋体"/>
          <w:color w:val="auto"/>
          <w:sz w:val="24"/>
          <w:szCs w:val="24"/>
          <w:highlight w:val="none"/>
        </w:rPr>
        <w:t>升级改造省、市（州）、县(区)三级司法行政部门视频会议系统</w:t>
      </w:r>
      <w:bookmarkEnd w:id="179"/>
    </w:p>
    <w:tbl>
      <w:tblPr>
        <w:tblStyle w:val="31"/>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463"/>
        <w:gridCol w:w="793"/>
        <w:gridCol w:w="897"/>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8" w:type="dxa"/>
            <w:gridSpan w:val="5"/>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一、视频会议设备及配套设备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控制电脑</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掌上电脑</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无线路由器</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监控操作台</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省厅控制室新增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高清会议多点控制MCU</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高清视频会议终端</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一体式会议终端</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45个县区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高清摄像机（12倍）</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省厅5个，8个地州各1台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高清摄像机（30倍）</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摄像机控制键盘</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监视器</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省厅监控室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省厅大小会议室各1台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16进16出混插高清矩阵</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HDMI无缝高清输入卡</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598" w:type="dxa"/>
            <w:shd w:val="clear" w:color="auto" w:fill="auto"/>
            <w:vAlign w:val="center"/>
          </w:tcPr>
          <w:p>
            <w:pPr>
              <w:widowControl/>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HDMI无缝高清输出卡</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KVM</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监听音箱</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463"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智能会议中心主机</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3463"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数字会议话筒单元</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463" w:type="dxa"/>
            <w:shd w:val="clear" w:color="auto" w:fill="auto"/>
            <w:vAlign w:val="center"/>
          </w:tcPr>
          <w:p>
            <w:pPr>
              <w:widowControl/>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会议屏蔽T型线</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463" w:type="dxa"/>
            <w:shd w:val="clear" w:color="auto" w:fill="auto"/>
            <w:vAlign w:val="center"/>
          </w:tcPr>
          <w:p>
            <w:pPr>
              <w:widowControl/>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会议系统主缆</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3463"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数字音频处理器</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3463"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5年原厂质保费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8" w:type="dxa"/>
            <w:gridSpan w:val="5"/>
            <w:shd w:val="clear" w:color="auto" w:fill="auto"/>
            <w:vAlign w:val="center"/>
          </w:tcPr>
          <w:p>
            <w:pPr>
              <w:widowControl/>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二、分布式管理调度系统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分布式调度和图像综合管理平台系统</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终端控制软件</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8"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48口接入交换机</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分布式集中供电安装支架</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8" w:type="dxa"/>
            <w:gridSpan w:val="5"/>
            <w:shd w:val="clear" w:color="auto" w:fill="auto"/>
            <w:vAlign w:val="center"/>
          </w:tcPr>
          <w:p>
            <w:pPr>
              <w:widowControl/>
              <w:spacing w:line="240" w:lineRule="auto"/>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0" w:type="dxa"/>
            <w:gridSpan w:val="2"/>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小会议室</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8" w:type="dxa"/>
            <w:gridSpan w:val="5"/>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指挥中心、机房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分布式4K HDMI输出节点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指挥中心9块屏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46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9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9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598"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p>
        </w:tc>
      </w:tr>
    </w:tbl>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8"/>
        <w:rPr>
          <w:rFonts w:hint="eastAsia" w:ascii="宋体" w:hAnsi="宋体" w:eastAsia="宋体" w:cs="宋体"/>
          <w:color w:val="auto"/>
          <w:sz w:val="24"/>
          <w:szCs w:val="24"/>
          <w:highlight w:val="none"/>
        </w:rPr>
      </w:pPr>
      <w:bookmarkStart w:id="181" w:name="_Toc74730025"/>
      <w:r>
        <w:rPr>
          <w:rFonts w:hint="eastAsia" w:ascii="宋体" w:hAnsi="宋体" w:eastAsia="宋体" w:cs="宋体"/>
          <w:color w:val="auto"/>
          <w:sz w:val="24"/>
          <w:szCs w:val="24"/>
          <w:highlight w:val="none"/>
        </w:rPr>
        <w:t>补充建设全省司法行政系统网络支撑系统</w:t>
      </w:r>
      <w:bookmarkEnd w:id="181"/>
    </w:p>
    <w:tbl>
      <w:tblPr>
        <w:tblStyle w:val="31"/>
        <w:tblW w:w="9418" w:type="dxa"/>
        <w:tblInd w:w="0" w:type="dxa"/>
        <w:tblLayout w:type="fixed"/>
        <w:tblCellMar>
          <w:top w:w="0" w:type="dxa"/>
          <w:left w:w="108" w:type="dxa"/>
          <w:bottom w:w="0" w:type="dxa"/>
          <w:right w:w="108" w:type="dxa"/>
        </w:tblCellMar>
      </w:tblPr>
      <w:tblGrid>
        <w:gridCol w:w="2138"/>
        <w:gridCol w:w="2498"/>
        <w:gridCol w:w="2846"/>
        <w:gridCol w:w="1936"/>
      </w:tblGrid>
      <w:tr>
        <w:tblPrEx>
          <w:tblCellMar>
            <w:top w:w="0" w:type="dxa"/>
            <w:left w:w="108" w:type="dxa"/>
            <w:bottom w:w="0" w:type="dxa"/>
            <w:right w:w="108" w:type="dxa"/>
          </w:tblCellMar>
        </w:tblPrEx>
        <w:trPr>
          <w:trHeight w:val="523" w:hRule="atLeast"/>
        </w:trPr>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24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2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tblPrEx>
          <w:tblCellMar>
            <w:top w:w="0" w:type="dxa"/>
            <w:left w:w="108" w:type="dxa"/>
            <w:bottom w:w="0" w:type="dxa"/>
            <w:right w:w="108" w:type="dxa"/>
          </w:tblCellMar>
        </w:tblPrEx>
        <w:trPr>
          <w:trHeight w:val="377" w:hRule="atLeast"/>
        </w:trPr>
        <w:tc>
          <w:tcPr>
            <w:tcW w:w="2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省厅司法行政专网设备改造</w:t>
            </w: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核心路由器</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77" w:hRule="atLeast"/>
        </w:trPr>
        <w:tc>
          <w:tcPr>
            <w:tcW w:w="2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西宁市司法局网络设备改造</w:t>
            </w: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网络控制器</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POE交换机</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放装无线AP</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r>
      <w:tr>
        <w:tblPrEx>
          <w:tblCellMar>
            <w:top w:w="0" w:type="dxa"/>
            <w:left w:w="108" w:type="dxa"/>
            <w:bottom w:w="0" w:type="dxa"/>
            <w:right w:w="108" w:type="dxa"/>
          </w:tblCellMar>
        </w:tblPrEx>
        <w:trPr>
          <w:trHeight w:val="377" w:hRule="atLeast"/>
        </w:trPr>
        <w:tc>
          <w:tcPr>
            <w:tcW w:w="213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4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高密无线AP</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535" w:hRule="atLeast"/>
        </w:trPr>
        <w:tc>
          <w:tcPr>
            <w:tcW w:w="4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284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ind w:firstLine="0" w:firstLineChars="0"/>
        <w:rPr>
          <w:rFonts w:hint="eastAsia" w:ascii="宋体" w:hAnsi="宋体" w:eastAsia="宋体" w:cs="宋体"/>
          <w:color w:val="auto"/>
          <w:sz w:val="24"/>
          <w:szCs w:val="24"/>
          <w:highlight w:val="none"/>
        </w:rPr>
        <w:sectPr>
          <w:headerReference r:id="rId8" w:type="default"/>
          <w:pgSz w:w="11906" w:h="16838"/>
          <w:pgMar w:top="1440" w:right="1230" w:bottom="1440" w:left="1230" w:header="851" w:footer="992" w:gutter="0"/>
          <w:cols w:space="425" w:num="1"/>
          <w:docGrid w:linePitch="381" w:charSpace="0"/>
        </w:sectPr>
      </w:pPr>
    </w:p>
    <w:p>
      <w:pPr>
        <w:pStyle w:val="8"/>
        <w:rPr>
          <w:rFonts w:hint="eastAsia" w:ascii="宋体" w:hAnsi="宋体" w:eastAsia="宋体" w:cs="宋体"/>
          <w:color w:val="auto"/>
          <w:sz w:val="24"/>
          <w:szCs w:val="24"/>
          <w:highlight w:val="none"/>
        </w:rPr>
      </w:pPr>
      <w:bookmarkStart w:id="182" w:name="_Toc74730026"/>
      <w:r>
        <w:rPr>
          <w:rFonts w:hint="eastAsia" w:ascii="宋体" w:hAnsi="宋体" w:eastAsia="宋体" w:cs="宋体"/>
          <w:color w:val="auto"/>
          <w:sz w:val="24"/>
          <w:szCs w:val="24"/>
          <w:highlight w:val="none"/>
        </w:rPr>
        <w:t>西宁市司法局应急指挥配套物理环境（模块化机柜）</w:t>
      </w:r>
      <w:bookmarkEnd w:id="182"/>
    </w:p>
    <w:tbl>
      <w:tblPr>
        <w:tblStyle w:val="31"/>
        <w:tblW w:w="9258" w:type="dxa"/>
        <w:tblInd w:w="0" w:type="dxa"/>
        <w:tblLayout w:type="fixed"/>
        <w:tblCellMar>
          <w:top w:w="0" w:type="dxa"/>
          <w:left w:w="108" w:type="dxa"/>
          <w:bottom w:w="0" w:type="dxa"/>
          <w:right w:w="108" w:type="dxa"/>
        </w:tblCellMar>
      </w:tblPr>
      <w:tblGrid>
        <w:gridCol w:w="972"/>
        <w:gridCol w:w="3577"/>
        <w:gridCol w:w="1214"/>
        <w:gridCol w:w="1240"/>
        <w:gridCol w:w="2255"/>
      </w:tblGrid>
      <w:tr>
        <w:trPr>
          <w:trHeight w:val="342"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5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12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22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342"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　</w:t>
            </w:r>
          </w:p>
        </w:tc>
        <w:tc>
          <w:tcPr>
            <w:tcW w:w="8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both"/>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西宁市司法局应急指挥配套物理环境（模块化机柜）</w:t>
            </w:r>
          </w:p>
        </w:tc>
      </w:tr>
      <w:tr>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综合机柜</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放置于8楼机房内</w:t>
            </w: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服务器机柜</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PDP(20kVA配电盘)</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RPDU</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精密空调</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空调封闭组件</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监控模块</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电话告警</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该部分放置在地下室负二楼柴发机室</w:t>
            </w: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电池直流断路器</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脱扣线圈</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辅助触点</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3" w:hRule="atLeast"/>
        </w:trPr>
        <w:tc>
          <w:tcPr>
            <w:tcW w:w="97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5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电池柜</w:t>
            </w:r>
          </w:p>
        </w:tc>
        <w:tc>
          <w:tcPr>
            <w:tcW w:w="12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5"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bl>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287" w:bottom="1440" w:left="1287" w:header="851" w:footer="992" w:gutter="0"/>
          <w:cols w:space="425" w:num="1"/>
          <w:docGrid w:linePitch="381" w:charSpace="0"/>
        </w:sectPr>
      </w:pPr>
      <w:r>
        <w:rPr>
          <w:rFonts w:hint="eastAsia" w:ascii="宋体" w:hAnsi="宋体" w:eastAsia="宋体" w:cs="宋体"/>
          <w:color w:val="auto"/>
          <w:sz w:val="24"/>
          <w:szCs w:val="24"/>
          <w:highlight w:val="none"/>
        </w:rPr>
        <w:br w:type="page"/>
      </w:r>
    </w:p>
    <w:p>
      <w:pPr>
        <w:pStyle w:val="5"/>
        <w:numPr>
          <w:ilvl w:val="1"/>
          <w:numId w:val="15"/>
        </w:numPr>
        <w:tabs>
          <w:tab w:val="left" w:pos="4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项目硬件配置清单</w:t>
      </w:r>
      <w:bookmarkEnd w:id="180"/>
      <w:r>
        <w:rPr>
          <w:rFonts w:hint="eastAsia" w:ascii="宋体" w:hAnsi="宋体" w:eastAsia="宋体" w:cs="宋体"/>
          <w:color w:val="auto"/>
          <w:sz w:val="24"/>
          <w:szCs w:val="24"/>
          <w:highlight w:val="none"/>
        </w:rPr>
        <w:t>及主要参数</w:t>
      </w:r>
    </w:p>
    <w:p>
      <w:pPr>
        <w:pStyle w:val="4"/>
        <w:jc w:val="both"/>
        <w:rPr>
          <w:rFonts w:hint="eastAsia" w:ascii="宋体" w:hAnsi="宋体" w:eastAsia="宋体" w:cs="宋体"/>
          <w:color w:val="auto"/>
          <w:sz w:val="24"/>
          <w:szCs w:val="24"/>
          <w:highlight w:val="none"/>
        </w:rPr>
      </w:pPr>
      <w:bookmarkStart w:id="183" w:name="_Toc74730173"/>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升级改造省、市（州）、县(区)三级司法行政部门视频会议系统硬件配置清单</w:t>
      </w:r>
      <w:bookmarkEnd w:id="183"/>
    </w:p>
    <w:p>
      <w:pPr>
        <w:pStyle w:val="8"/>
        <w:rPr>
          <w:rFonts w:hint="eastAsia" w:ascii="宋体" w:hAnsi="宋体" w:eastAsia="宋体" w:cs="宋体"/>
          <w:color w:val="auto"/>
          <w:sz w:val="24"/>
          <w:szCs w:val="24"/>
          <w:highlight w:val="none"/>
        </w:rPr>
      </w:pPr>
      <w:bookmarkStart w:id="184" w:name="_Toc74730019"/>
      <w:r>
        <w:rPr>
          <w:rFonts w:hint="eastAsia" w:ascii="宋体" w:hAnsi="宋体" w:eastAsia="宋体" w:cs="宋体"/>
          <w:color w:val="auto"/>
          <w:sz w:val="24"/>
          <w:szCs w:val="24"/>
          <w:highlight w:val="none"/>
        </w:rPr>
        <w:t>升级改造省、市（州）、县(区)三级司法行政部门视频会议系统硬件配置清单表</w:t>
      </w:r>
      <w:bookmarkEnd w:id="184"/>
    </w:p>
    <w:tbl>
      <w:tblPr>
        <w:tblStyle w:val="31"/>
        <w:tblW w:w="13938" w:type="dxa"/>
        <w:tblInd w:w="0" w:type="dxa"/>
        <w:tblLayout w:type="fixed"/>
        <w:tblCellMar>
          <w:top w:w="0" w:type="dxa"/>
          <w:left w:w="108" w:type="dxa"/>
          <w:bottom w:w="0" w:type="dxa"/>
          <w:right w:w="108" w:type="dxa"/>
        </w:tblCellMar>
      </w:tblPr>
      <w:tblGrid>
        <w:gridCol w:w="1060"/>
        <w:gridCol w:w="2049"/>
        <w:gridCol w:w="7373"/>
        <w:gridCol w:w="847"/>
        <w:gridCol w:w="853"/>
        <w:gridCol w:w="1756"/>
      </w:tblGrid>
      <w:tr>
        <w:tblPrEx>
          <w:tblCellMar>
            <w:top w:w="0" w:type="dxa"/>
            <w:left w:w="108" w:type="dxa"/>
            <w:bottom w:w="0" w:type="dxa"/>
            <w:right w:w="108" w:type="dxa"/>
          </w:tblCellMar>
        </w:tblPrEx>
        <w:trPr>
          <w:trHeight w:val="300" w:hRule="atLeast"/>
          <w:tblHeader/>
        </w:trPr>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04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737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设备配置</w:t>
            </w:r>
          </w:p>
        </w:tc>
        <w:tc>
          <w:tcPr>
            <w:tcW w:w="84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85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CellMar>
            <w:top w:w="0" w:type="dxa"/>
            <w:left w:w="108" w:type="dxa"/>
            <w:bottom w:w="0" w:type="dxa"/>
            <w:right w:w="108" w:type="dxa"/>
          </w:tblCellMar>
        </w:tblPrEx>
        <w:trPr>
          <w:trHeight w:val="300" w:hRule="atLeast"/>
        </w:trPr>
        <w:tc>
          <w:tcPr>
            <w:tcW w:w="12182"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一、视频会议设备及配套设备</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w:t>
            </w:r>
            <w:r>
              <w:rPr>
                <w:rFonts w:hint="eastAsia" w:ascii="宋体" w:hAnsi="宋体" w:eastAsia="宋体" w:cs="宋体"/>
                <w:color w:val="auto"/>
                <w:kern w:val="0"/>
                <w:sz w:val="24"/>
                <w:szCs w:val="24"/>
                <w:highlight w:val="none"/>
                <w:lang w:eastAsia="zh-CN"/>
              </w:rPr>
              <w:t>终端</w:t>
            </w: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显示器尺寸：≥2</w:t>
            </w: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rPr>
              <w:t>英寸</w:t>
            </w:r>
          </w:p>
          <w:p>
            <w:pPr>
              <w:widowControl/>
              <w:spacing w:line="240" w:lineRule="auto"/>
              <w:ind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芯片：国产主流芯片</w:t>
            </w:r>
          </w:p>
          <w:p>
            <w:pPr>
              <w:widowControl/>
              <w:spacing w:line="240" w:lineRule="auto"/>
              <w:ind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制程工艺：</w:t>
            </w:r>
            <w:r>
              <w:rPr>
                <w:rFonts w:hint="eastAsia" w:ascii="宋体" w:hAnsi="宋体" w:eastAsia="宋体" w:cs="宋体"/>
                <w:b/>
                <w:bCs/>
                <w:color w:val="auto"/>
                <w:kern w:val="0"/>
                <w:sz w:val="24"/>
                <w:szCs w:val="24"/>
                <w:highlight w:val="none"/>
                <w:lang w:val="en-US" w:eastAsia="zh-CN"/>
              </w:rPr>
              <w:t>7nm</w:t>
            </w:r>
          </w:p>
          <w:p>
            <w:pPr>
              <w:widowControl/>
              <w:spacing w:line="240" w:lineRule="auto"/>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CPU主频：2.6GHz</w:t>
            </w:r>
          </w:p>
        </w:tc>
        <w:tc>
          <w:tcPr>
            <w:tcW w:w="84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处理器：八核</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w:t>
            </w:r>
            <w:r>
              <w:rPr>
                <w:rFonts w:hint="eastAsia" w:ascii="宋体" w:hAnsi="宋体" w:eastAsia="宋体" w:cs="宋体"/>
                <w:b/>
                <w:bCs/>
                <w:color w:val="auto"/>
                <w:kern w:val="0"/>
                <w:sz w:val="24"/>
                <w:szCs w:val="24"/>
                <w:highlight w:val="none"/>
                <w:lang w:val="en-US" w:eastAsia="zh-CN"/>
              </w:rPr>
              <w:t>UOS</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内存：</w:t>
            </w:r>
            <w:r>
              <w:rPr>
                <w:rFonts w:hint="eastAsia" w:ascii="宋体" w:hAnsi="宋体" w:eastAsia="宋体" w:cs="宋体"/>
                <w:b/>
                <w:bCs/>
                <w:color w:val="auto"/>
                <w:kern w:val="0"/>
                <w:sz w:val="24"/>
                <w:szCs w:val="24"/>
                <w:highlight w:val="none"/>
                <w:lang w:val="en-US" w:eastAsia="zh-CN"/>
              </w:rPr>
              <w:t>16</w:t>
            </w:r>
            <w:r>
              <w:rPr>
                <w:rFonts w:hint="eastAsia" w:ascii="宋体" w:hAnsi="宋体" w:eastAsia="宋体" w:cs="宋体"/>
                <w:b/>
                <w:bCs/>
                <w:color w:val="auto"/>
                <w:kern w:val="0"/>
                <w:sz w:val="24"/>
                <w:szCs w:val="24"/>
                <w:highlight w:val="none"/>
              </w:rPr>
              <w:t>G</w:t>
            </w:r>
            <w:r>
              <w:rPr>
                <w:rFonts w:hint="eastAsia" w:ascii="宋体" w:hAnsi="宋体" w:eastAsia="宋体" w:cs="宋体"/>
                <w:b/>
                <w:bCs/>
                <w:color w:val="auto"/>
                <w:kern w:val="0"/>
                <w:sz w:val="24"/>
                <w:szCs w:val="24"/>
                <w:highlight w:val="none"/>
                <w:lang w:eastAsia="zh-CN"/>
              </w:rPr>
              <w:t>，最大可扩展至</w:t>
            </w:r>
            <w:r>
              <w:rPr>
                <w:rFonts w:hint="eastAsia" w:ascii="宋体" w:hAnsi="宋体" w:eastAsia="宋体" w:cs="宋体"/>
                <w:b/>
                <w:bCs/>
                <w:color w:val="auto"/>
                <w:kern w:val="0"/>
                <w:sz w:val="24"/>
                <w:szCs w:val="24"/>
                <w:highlight w:val="none"/>
                <w:lang w:val="en-US" w:eastAsia="zh-CN"/>
              </w:rPr>
              <w:t>64G</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256</w:t>
            </w:r>
            <w:r>
              <w:rPr>
                <w:rFonts w:hint="eastAsia" w:ascii="宋体" w:hAnsi="宋体" w:eastAsia="宋体" w:cs="宋体"/>
                <w:b/>
                <w:bCs/>
                <w:color w:val="auto"/>
                <w:kern w:val="0"/>
                <w:sz w:val="24"/>
                <w:szCs w:val="24"/>
                <w:highlight w:val="none"/>
              </w:rPr>
              <w:t>G固态硬盘、1T</w:t>
            </w:r>
            <w:r>
              <w:rPr>
                <w:rFonts w:hint="eastAsia" w:ascii="宋体" w:hAnsi="宋体" w:eastAsia="宋体" w:cs="宋体"/>
                <w:b/>
                <w:bCs/>
                <w:color w:val="auto"/>
                <w:kern w:val="0"/>
                <w:sz w:val="24"/>
                <w:szCs w:val="24"/>
                <w:highlight w:val="none"/>
                <w:lang w:eastAsia="zh-CN"/>
              </w:rPr>
              <w:t>机械</w:t>
            </w:r>
            <w:r>
              <w:rPr>
                <w:rFonts w:hint="eastAsia" w:ascii="宋体" w:hAnsi="宋体" w:eastAsia="宋体" w:cs="宋体"/>
                <w:b/>
                <w:bCs/>
                <w:color w:val="auto"/>
                <w:kern w:val="0"/>
                <w:sz w:val="24"/>
                <w:szCs w:val="24"/>
                <w:highlight w:val="none"/>
              </w:rPr>
              <w:t>硬盘</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4G独立显卡</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中控终端</w:t>
            </w: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国产品牌</w:t>
            </w:r>
          </w:p>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分辨率≥2000×1200dpi</w:t>
            </w:r>
          </w:p>
        </w:tc>
        <w:tc>
          <w:tcPr>
            <w:tcW w:w="84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处理器核心：八核</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系统：支持安卓、</w:t>
            </w:r>
            <w:r>
              <w:rPr>
                <w:rFonts w:hint="eastAsia" w:ascii="宋体" w:hAnsi="宋体" w:eastAsia="宋体" w:cs="宋体"/>
                <w:b/>
                <w:bCs/>
                <w:color w:val="auto"/>
                <w:kern w:val="0"/>
                <w:sz w:val="24"/>
                <w:szCs w:val="24"/>
                <w:highlight w:val="none"/>
                <w:lang w:eastAsia="zh-CN"/>
              </w:rPr>
              <w:t>鸿蒙</w:t>
            </w:r>
            <w:r>
              <w:rPr>
                <w:rFonts w:hint="eastAsia" w:ascii="宋体" w:hAnsi="宋体" w:eastAsia="宋体" w:cs="宋体"/>
                <w:b/>
                <w:bCs/>
                <w:color w:val="auto"/>
                <w:kern w:val="0"/>
                <w:sz w:val="24"/>
                <w:szCs w:val="24"/>
                <w:highlight w:val="none"/>
              </w:rPr>
              <w:t>等操作系统</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蓝牙模块：4.0</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运行内存≥4GB</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存储容量≥128GB</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3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网络模式：支持802.11a/b/g/n/ac无线协议，双频（2.4GHz和5GHz）</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无线路由器</w:t>
            </w: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无线协议：WiFi 6</w:t>
            </w:r>
          </w:p>
        </w:tc>
        <w:tc>
          <w:tcPr>
            <w:tcW w:w="84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5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频段：双频</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WAN接入口：千兆网口</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single" w:color="auto" w:sz="4" w:space="0"/>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LAN输出口：千兆网口</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无线速率：</w:t>
            </w:r>
            <w:r>
              <w:rPr>
                <w:rFonts w:hint="eastAsia" w:ascii="宋体" w:hAnsi="宋体" w:eastAsia="宋体" w:cs="宋体"/>
                <w:color w:val="auto"/>
                <w:kern w:val="0"/>
                <w:sz w:val="24"/>
                <w:szCs w:val="24"/>
                <w:highlight w:val="none"/>
                <w:lang w:val="en-US" w:eastAsia="zh-CN"/>
              </w:rPr>
              <w:t>5700</w:t>
            </w:r>
            <w:r>
              <w:rPr>
                <w:rFonts w:hint="eastAsia" w:ascii="宋体" w:hAnsi="宋体" w:eastAsia="宋体" w:cs="宋体"/>
                <w:color w:val="auto"/>
                <w:kern w:val="0"/>
                <w:sz w:val="24"/>
                <w:szCs w:val="24"/>
                <w:highlight w:val="none"/>
              </w:rPr>
              <w:t>M</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支持IPv6</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天线：外置天线</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04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监控操作台</w:t>
            </w: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根据现场环境定制尺寸。</w:t>
            </w:r>
          </w:p>
        </w:tc>
        <w:tc>
          <w:tcPr>
            <w:tcW w:w="84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省厅控制室新增</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材料：冷轧钢板</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特点：桌面可放置监视器、内置多功能活动U型支架，显示器角度随心改变，方便精度调整；</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桌下可放置机箱、理线架等；</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操作台的主体结构应安装方便、美观大方，彰显整体效果；</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操作台多方位布线功能,方便跳线管理及布线工程；</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操作台结构设计严谨，层板净载150Kg以上；下柜体底部开口进出线孔；</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16"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2049"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737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柜体表面处理：脱脂、酸洗、磷化、静电喷塑、高温烤漆，表面细腻、美观；</w:t>
            </w:r>
          </w:p>
        </w:tc>
        <w:tc>
          <w:tcPr>
            <w:tcW w:w="847"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853"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370" w:hRule="atLeast"/>
        </w:trPr>
        <w:tc>
          <w:tcPr>
            <w:tcW w:w="1060"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049"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高清会议多点控制MCU</w:t>
            </w:r>
          </w:p>
        </w:tc>
        <w:tc>
          <w:tcPr>
            <w:tcW w:w="7373" w:type="dxa"/>
            <w:tcBorders>
              <w:top w:val="nil"/>
              <w:left w:val="nil"/>
              <w:bottom w:val="single" w:color="auto" w:sz="4" w:space="0"/>
              <w:right w:val="single" w:color="auto" w:sz="8" w:space="0"/>
            </w:tcBorders>
            <w:shd w:val="clear" w:color="auto" w:fill="auto"/>
            <w:vAlign w:val="center"/>
          </w:tcPr>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本设备与现有全省司法行政视频会议系统实现兼容对接、互联互控。设备采用嵌入式一体化设计，标配双电源冗余备份，保证设备7*24小时长时间连续运行。</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支持同一平台同时接入会议室型终端、桌面型一体化终端、软件即时通信终端（包括windows、andriod、ios操作系统），可实现随时随地召开各类视频会议、即时通信功能。（</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kern w:val="0"/>
                <w:sz w:val="24"/>
                <w:szCs w:val="24"/>
                <w:highlight w:val="none"/>
              </w:rPr>
              <w:t>）</w:t>
            </w:r>
          </w:p>
          <w:p>
            <w:pPr>
              <w:pStyle w:val="76"/>
              <w:widowControl/>
              <w:numPr>
                <w:ilvl w:val="0"/>
                <w:numId w:val="16"/>
              </w:numPr>
              <w:ind w:left="0" w:leftChars="0" w:hanging="42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采用全新的硬件平台，支持H.265全编全解技术，单台设备支持6个4K30fps H.265端口。</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单台设备支持平滑扩容到128个1080p60fps 高清接入能力。本次配置不少于30个1080p60fps接入端口</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支持ITU-T H.323和IETF SIP通信标准，会议速率支持128Kbps－8Mbps。支持H.264、H.264 High Profile、H.265视频编解码协议，具备较强的兼容性。</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支持4K30、1080p60、1080p30、720p60、720p30高清图像格式，并向下兼容4CIF、CIF标清图像格式。支持G.711、G.722、G.728、G.722.1AnnexC、G.719、MPEG4-AAC LC/LD、Opus等音频协议，可达到20KHz以上的宽频效果。支持H.239、BFCP双流协议标准。</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支持同时召开多组4K30高清多画面会议的能力，且每组会议最大多画面数均≥25，各组会议之间互不干扰。</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支持XMPP协议，支持即时通信功能。即时通信客户端支持查看组织架构、文字聊天、文件传输、分组讨论、虚拟会议室参加视频会议、自主召开多方视频会议、文档共享、程序共享等功能。（</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kern w:val="0"/>
                <w:sz w:val="24"/>
                <w:szCs w:val="24"/>
                <w:highlight w:val="none"/>
              </w:rPr>
              <w:t>）</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支持实体会议室管理，根据用户实际情况划分会议室区域，在每个区域添加相应的实体会议室，并对会议室环境进行配置，比如白板、投影机或者是视频会议等，可以查看某个会议室的预订情况，可通过查看会议室使用状态，选择空闲时间段预定会议。（</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kern w:val="0"/>
                <w:sz w:val="24"/>
                <w:szCs w:val="24"/>
                <w:highlight w:val="none"/>
              </w:rPr>
              <w:t>）</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支持多级主从级联功能，级联后通过主MCU的控制界面直接对下级MCU所连接的终端进行操作控制，如查看终端信息、广播会场、视频选看等。支持MCU级联下的多路回传功能，即下级MCU可以同时传输多个会场图像到上级MCU，如输出到电视墙显示、参与多画面合成。</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支持内置统一管理功能，采用B/S架构，通过WEB方式即可完成系统的配置和会议操作。支持对会议进行实时的监控预览，包括会议中的所有终端、广播的多画面等。除了预览图像，还可以聆听声音。支持不少于4个独立的预监窗口。</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支持录播服务器统一管理，支持使用统一账号登录门户系统，支持在会控上显示观看人员的列表，支持邀请正在观看直播的终端加入视频会议中进行互动。</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支持HTTPS、H.235、AES、TLS、SRTP等多种安全标准；系统支持国家密码局认定的国产密码算法，保证信息安全自主可控。</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具备不少于2个千兆以太网口，支持网口热备份。支持多网段接入功能，可满足多个不同网段的终端参加同一会议。支持H.460技术，可实现防火墙穿越部署。</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具备较强的网络抗丢包能力，在IP网络达到20%丢包率情况下声音清晰、图像流畅、无马赛克，30%的丢包率情况下视频会议仍可进行，70%的丢包率情况下音频会议仍可召开。</w:t>
            </w:r>
          </w:p>
          <w:p>
            <w:pPr>
              <w:pStyle w:val="76"/>
              <w:widowControl/>
              <w:numPr>
                <w:ilvl w:val="0"/>
                <w:numId w:val="0"/>
              </w:numPr>
              <w:ind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sz w:val="24"/>
                <w:szCs w:val="24"/>
                <w:highlight w:val="none"/>
                <w:lang w:val="en-US" w:eastAsia="zh-CN"/>
              </w:rPr>
              <w:t>要求免费提供设备生产厂家一年的驻场服务，签订合同时提供原厂的服务承诺函。</w:t>
            </w:r>
          </w:p>
        </w:tc>
        <w:tc>
          <w:tcPr>
            <w:tcW w:w="847"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省厅新增</w:t>
            </w:r>
          </w:p>
        </w:tc>
      </w:tr>
      <w:tr>
        <w:tblPrEx>
          <w:tblCellMar>
            <w:top w:w="0" w:type="dxa"/>
            <w:left w:w="108" w:type="dxa"/>
            <w:bottom w:w="0" w:type="dxa"/>
            <w:right w:w="108" w:type="dxa"/>
          </w:tblCellMar>
        </w:tblPrEx>
        <w:trPr>
          <w:trHeight w:val="600" w:hRule="atLeast"/>
        </w:trPr>
        <w:tc>
          <w:tcPr>
            <w:tcW w:w="106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04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高清视频会议终端</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1.为保持兼容性，需与MCU为同一品牌，采用硬件分体式结构,嵌入式操作系统，非PC架构、非工控机架构。</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2.支持ITU-T H.323和IETF SIP通信标准，会议速率支持128Kbps－8Mbps。支持H.261、H.263、MPEG4、H.264、H.264 High Profile、H.265视频编解码协议，具备较强的兼容性。支持G.711、G.722、G.728、G.722.1AnnexC、G.719、MPEG4-AAC LC/LD、Opus等音频协议，可达到20KHz以上的宽频效果。采用H.265编解码协议时，支持1080p60、1080p30、720p60、720p30高清图像格式。</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在较低的带宽下实现高清视频会议效果，H.265协议时512Kbps带宽下实现1080P60帧图像格式编解码，384Kbps带宽下实现1080P30帧图像格式编解码，256Kbps带宽下实现720P30帧图像格式编解码，最大限度节省用户网络资源。</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4.采用H.265编解码协议时，在保证主视频1080p60fps前提下，辅视频也可以支持到1080p60fps。</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不少于4路高清视频输入接口、4路高清输出接口，接口需兼容DVI-I、HDMI、VGA高清输入输出接口。支持不少于5路独立的音频输入输出接口，支持HDMI伴随音频输入输出功能。支持2个10/100/1000M以太网接口，支持网口热备份。（</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6.支持视频、供电、控制三线合一，可通过网线作为传输介质，无需外接其他设备传输距离可达100米。</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7.支持POE接口，可以对会控平板进行供电，会控平板支持通过PoE连接可自动登录终端。</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8、支持云虚拟会议室功能，终端注册入网后，可实时获取当前已创建的虚拟会议室列表及状态（预约或会议中），可以直接选择需要参加的虚拟会议室加入。（</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9.终端具备USB接口，支持通过USB接口插入U盘实现配置文件及地址簿的导入导出，以及终端U盘本地录像等功能。</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10.终端配套的遥控器采用ZigBee无线通信技术控制，可控范围至少20m、控制信号不易被遮挡。</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11.支持防火墙和NAT穿越。支持H.235协议的音视频加密，支持AES256加密算法，SIP协议支持TLS、SRTP加密。</w:t>
            </w:r>
          </w:p>
          <w:p>
            <w:pPr>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12.具备较强的网络抗丢包能力，在IP网络达到25%丢包率情况下声音清晰、图像流畅、无马赛克，70%的丢包率情况下音频不受影响、声音基本清晰流畅，偶有卡顿，但可恢复。</w:t>
            </w:r>
          </w:p>
        </w:tc>
        <w:tc>
          <w:tcPr>
            <w:tcW w:w="847"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省厅2台</w:t>
            </w:r>
          </w:p>
        </w:tc>
      </w:tr>
      <w:tr>
        <w:tblPrEx>
          <w:tblCellMar>
            <w:top w:w="0" w:type="dxa"/>
            <w:left w:w="108" w:type="dxa"/>
            <w:bottom w:w="0" w:type="dxa"/>
            <w:right w:w="108" w:type="dxa"/>
          </w:tblCellMar>
        </w:tblPrEx>
        <w:trPr>
          <w:trHeight w:val="630" w:hRule="atLeast"/>
        </w:trPr>
        <w:tc>
          <w:tcPr>
            <w:tcW w:w="106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04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一体式会议终端</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1.终端需与MCU为同一品牌。采用嵌入式硬件一体化结构，内置1080p高清摄像头，部署便捷。会议速率支持128Kbps－8Mbps。</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2.支持ITU-T H.323和IETF SIP通信标准。支持H.261、H.263、MPEG4、H.264、H.264 High Profile、H.265视频编解码协议，具备较强的兼容性。支持G.711、G.722、G.728、G.722.1AnnexC、G.719、MPEG4-AAC LC/LD、Opus等音频协议，可达到20KHz以上的宽频效果。支持H.239、BFCP双流协议标准。</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3.内置高清PTZ摄像机，支持5倍光学变焦，支持不小于72.5°水平广角视野. 除内置摄像机外，还需独立提供不少于2路高清视频输入、3路高清视频输出接口、1路10/100M/1000M以太网接口，不得采用私有非标接口或转接线缆实现。（</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H.265编解码协议时，支持1080p30、720p60、720p30高清图像格式。支持在较低的带宽下实现高清视频会议效果，H.265协议时512Kbps带宽下实现1080P30帧图像格式编解码，256Kbps带宽下实现720P30帧图像格式编解码，最大限度节省用户网络资源。</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5.采用H.265编解码协议时，在保证主视频1080p30fps前提下，辅视频也可以支持到1080p30fps。</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6.支持POE接口，可以对会控平板进行供电，会控平板支持通过PoE连接可自动登录终端。支持不少于2进1出独立的音频输入输出接口，支持HDMI伴随音频输入输出功能。</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7.终端具备USB接口，支持通过USB接口插入U盘实现配置文件及地址簿的导入导出，以及终端U盘本地录像等功能。（</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8.支持终端自主创建多方视频会议，会议模板可保存在云平台。</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9.支持不低于120个摄像机预置位存储和调用，支持摄像机预置位快照及预览功能，可直观地显示预置位场景。</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10.终端配套的遥控器采用ZigBee无线通信技术控制，可控范围至少20m、控制信号不易被遮挡。</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11.支持防火墙和NAT穿越。支持H.235协议的音视频加密，支持AES256加密算法，SIP协议支持TLS、SRTP加密。</w:t>
            </w:r>
          </w:p>
          <w:p>
            <w:pPr>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12.具备较强的网络抗丢包能力，在IP网络达到25%丢包率情况下声音清晰、图像流畅、无马赛克，70%的丢包率情况下音频不受影响、声音基本清晰流畅，偶有卡顿，但可恢复。</w:t>
            </w:r>
          </w:p>
        </w:tc>
        <w:tc>
          <w:tcPr>
            <w:tcW w:w="847"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756"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45个县区</w:t>
            </w:r>
          </w:p>
        </w:tc>
      </w:tr>
      <w:tr>
        <w:tblPrEx>
          <w:tblCellMar>
            <w:top w:w="0" w:type="dxa"/>
            <w:left w:w="108" w:type="dxa"/>
            <w:bottom w:w="0" w:type="dxa"/>
            <w:right w:w="108" w:type="dxa"/>
          </w:tblCellMar>
        </w:tblPrEx>
        <w:trPr>
          <w:trHeight w:val="630" w:hRule="atLeast"/>
        </w:trPr>
        <w:tc>
          <w:tcPr>
            <w:tcW w:w="106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04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w:t>
            </w:r>
          </w:p>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（12倍）</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摄像机需与视频终端同一品牌。镜头图像传感器采用不小于1/2.8" 图像传感器，支持1080p60、1080p50、1080p30、1080p25、720p60、720p50等高清信号输出。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支持不小于12倍光学变焦。支持广角镜头，水平视角不小于72°。水平转动范围：≥ ±160°，垂直转动范围：≥ -90°～50°。</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视频输出接口具备SDI、DVI等多种接口。支持供电、显示、控制多线合一，只连接一根超五类网线实现供电、图像显示、摄像机控制，支持信号传输100米。（</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支持RS422控制接口，支持标准VISCA协议，支持摄像机通过控制口RS422实现菊花链控制，菊花链控制摄像机不小于7个。</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5.支持自带显示屏，可方便显示视频输出分辨率。支持根据安装方向自动翻转图像，支持保存不少于255个预置位。</w:t>
            </w:r>
          </w:p>
          <w:p>
            <w:pPr>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 支持ZigBee控制，支持360°控制、有遮挡物时也能正常控制。支持终端遥控器通过摄像机反向控制会议终端。</w:t>
            </w:r>
          </w:p>
        </w:tc>
        <w:tc>
          <w:tcPr>
            <w:tcW w:w="847"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756"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省厅5个，8个地州各1台</w:t>
            </w:r>
          </w:p>
        </w:tc>
      </w:tr>
      <w:tr>
        <w:tblPrEx>
          <w:tblCellMar>
            <w:top w:w="0" w:type="dxa"/>
            <w:left w:w="108" w:type="dxa"/>
            <w:bottom w:w="0" w:type="dxa"/>
            <w:right w:w="108" w:type="dxa"/>
          </w:tblCellMar>
        </w:tblPrEx>
        <w:trPr>
          <w:trHeight w:val="630" w:hRule="atLeast"/>
        </w:trPr>
        <w:tc>
          <w:tcPr>
            <w:tcW w:w="106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04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w:t>
            </w:r>
          </w:p>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（30倍）</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摄像机需与视频终端同一品牌。镜头图像传感器采用不小于1/1.9" 图像传感器，支持1080p60、1080p30、1080p25、720p60、720p50等高清信号输出。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支持不小于30倍光学变焦。水平转动范围：≥ ±160°，垂直转动范围：≥ -90°～50°</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视频输出接口具备SDI、DVI等多种接口。支持供电、显示、控制多线合一，只连接一根超五类网线实现供电、图像显示、摄像机控制，支持信号传输100米。（</w:t>
            </w:r>
            <w:r>
              <w:rPr>
                <w:rFonts w:hint="eastAsia" w:ascii="宋体" w:hAnsi="宋体" w:eastAsia="宋体" w:cs="宋体"/>
                <w:color w:val="auto"/>
                <w:sz w:val="24"/>
                <w:szCs w:val="24"/>
                <w:highlight w:val="none"/>
                <w:lang w:val="en-US" w:eastAsia="zh-CN"/>
              </w:rPr>
              <w:t>投标人需提供第三方检测机构出具的检测报告证明</w:t>
            </w:r>
            <w:r>
              <w:rPr>
                <w:rFonts w:hint="eastAsia" w:ascii="宋体" w:hAnsi="宋体" w:eastAsia="宋体" w:cs="宋体"/>
                <w:color w:val="auto"/>
                <w:sz w:val="24"/>
                <w:szCs w:val="24"/>
                <w:highlight w:val="none"/>
              </w:rPr>
              <w:t>）</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支持RS422控制接口，支持标准VISCA协议，支持摄像机通过控制口RS422实现菊花链控制，菊花链控制摄像机不小于7个。</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.支持自带显示屏，可方便显示视频输出分辨率，支持根据安装方向自动翻转图像，支持保存不少于255个预置位。</w:t>
            </w:r>
          </w:p>
          <w:p>
            <w:pPr>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支持ZigBee控制，支持360°控制、有遮挡物时也能正常控制。支持终端遥控器通过摄像机反向控制会议终端。</w:t>
            </w:r>
          </w:p>
        </w:tc>
        <w:tc>
          <w:tcPr>
            <w:tcW w:w="847"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w:t>
            </w:r>
          </w:p>
        </w:tc>
      </w:tr>
      <w:tr>
        <w:tblPrEx>
          <w:tblCellMar>
            <w:top w:w="0" w:type="dxa"/>
            <w:left w:w="108" w:type="dxa"/>
            <w:bottom w:w="0" w:type="dxa"/>
            <w:right w:w="108" w:type="dxa"/>
          </w:tblCellMar>
        </w:tblPrEx>
        <w:trPr>
          <w:trHeight w:val="315" w:hRule="atLeast"/>
        </w:trPr>
        <w:tc>
          <w:tcPr>
            <w:tcW w:w="1060"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049"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摄像机控制键盘</w:t>
            </w:r>
          </w:p>
        </w:tc>
        <w:tc>
          <w:tcPr>
            <w:tcW w:w="7373" w:type="dxa"/>
            <w:tcBorders>
              <w:top w:val="single" w:color="auto" w:sz="4" w:space="0"/>
              <w:left w:val="nil"/>
              <w:bottom w:val="nil"/>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1.可同时PTZ 控制多台远程摄像机。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同时具备RS232/RJ45接口和RS422/RJ45接口，支持混合联控。支持标准VISCA协议，单接口最多可以控制7台摄像机，支持标准PELCO-D/PELCO-P协议，最多可以控制255台摄像机。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具备高质量四维6向操纵杆，可实现按专业视频制作。</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支持快捷图像调整功能，具备变倍速度调节旋钮，可快速进行变焦速度的调节设定。</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 支持聚焦手动/自动模式切换</w:t>
            </w:r>
          </w:p>
        </w:tc>
        <w:tc>
          <w:tcPr>
            <w:tcW w:w="847"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049" w:type="dxa"/>
            <w:tcBorders>
              <w:top w:val="nil"/>
              <w:left w:val="single" w:color="auto" w:sz="8" w:space="0"/>
              <w:bottom w:val="single" w:color="000000" w:sz="8"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监视器</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1、显示尺寸：≥31.5英寸</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2、屏幕比例：16：9</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3、亮度：240cd/m2</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4、对比度：1400：1</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5、分辨率：1920×1080</w:t>
            </w:r>
          </w:p>
        </w:tc>
        <w:tc>
          <w:tcPr>
            <w:tcW w:w="847" w:type="dxa"/>
            <w:tcBorders>
              <w:top w:val="nil"/>
              <w:left w:val="single" w:color="auto" w:sz="4"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省厅控制室新增</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1、16通道高品质数模结合型调音台</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2、需支持10路话筒输入，带有48V幻象供电，每通道带有HPF</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3、16个线路输入</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4、2个AUX发送 + 2个FX发送</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 GROUP母线 + ST母线</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Matrix 输出</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 个单声道输出</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8、需支持双重数字效果处理器:REV-X和Classic SPX</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9、立体声混合型通道</w:t>
            </w:r>
          </w:p>
        </w:tc>
        <w:tc>
          <w:tcPr>
            <w:tcW w:w="847"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省厅大小会议室各1台</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16进16出混插高清矩阵</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1.需支持全数字化切换，需支持实时的无缝切换；</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2.需支持视频拼接功能，图像视窗在全屏范围内可以任意缩放、叠加、漫游；</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3.需支持视频预览并切换功能；</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4.需支持DVI 1.0协议，符合HDCP1.3标准，兼容HDMI 1.4a；</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5.需支持热插拔，支持音视频信号一起切换；</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6.需支持HDMI数字音频与模拟音频选择输入，HDMI数字音频与模拟音频同时输出；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7.需支持EDID读取，PC软件控制切换与EDID管理；</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8.需支持HDBaseT输入输出信号，支持内嵌的（或本地端的）双向RS-232和双向IR信号，并可选择随视频信号切换，或分离切换模式，并支持POC对外供电；</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9.需支持红外遥控，RS485，RS-232通讯接口和网络端口，并且可以通过远端 的HDBaseT的串口控制，方便用户与各种远端控制设备配合使用；</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10.需支持固件在线升级；</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11.需支持字符叠加；</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12.需支持最大分辨率达到4Kx2K。</w:t>
            </w:r>
          </w:p>
        </w:tc>
        <w:tc>
          <w:tcPr>
            <w:tcW w:w="847"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HDMI无缝高清输入卡</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需支持</w:t>
            </w:r>
            <w:r>
              <w:rPr>
                <w:rFonts w:hint="eastAsia" w:ascii="宋体" w:hAnsi="宋体" w:eastAsia="宋体" w:cs="宋体"/>
                <w:color w:val="auto"/>
                <w:sz w:val="24"/>
                <w:szCs w:val="24"/>
                <w:highlight w:val="none"/>
              </w:rPr>
              <w:t>4路HDMI-A接口，3.5mm音频座；</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2.输入最长距离达35M；</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3.需支持热插拔，需支持音视频信号一起切换；</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4.需支持模拟音频与HDMI内嵌音频选择输入；</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5.需支持EDID读取功能；</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6.需兼容HDMI1.3a的标准，HDCP1.3协议, DVI1.0协议；</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7.最大支持分辨率：HDPC：1920x1200P@60；HDTV：1920x1080P@60。</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HDMI无缝高清输出卡</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1.需支持4路HDMI-A接口无缝输出，3.5mm音频座；</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2.输出最长距离达7M；</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3.需支持热插拔，支持音视频信号一起切换；</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4.需支持模拟音频与HDMI内嵌音频同时输出；</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5.需支持EDID读取功能；</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6.须兼容HDMI1.3a的标准，HDCP1.3协议, DVI1.0协议；</w:t>
            </w:r>
          </w:p>
          <w:p>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7.最大支持分辨率：HDPC：1920x1200P@60；HDTV：1920x1080P@60。</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30" w:hRule="atLeast"/>
        </w:trPr>
        <w:tc>
          <w:tcPr>
            <w:tcW w:w="106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0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KVM</w:t>
            </w:r>
          </w:p>
        </w:tc>
        <w:tc>
          <w:tcPr>
            <w:tcW w:w="7373" w:type="dxa"/>
            <w:tcBorders>
              <w:top w:val="single" w:color="auto" w:sz="4"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远程管理KVM切换器16进一出，19英寸机架式切换器。</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489" w:hRule="atLeast"/>
        </w:trPr>
        <w:tc>
          <w:tcPr>
            <w:tcW w:w="106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0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监听音箱</w:t>
            </w:r>
          </w:p>
        </w:tc>
        <w:tc>
          <w:tcPr>
            <w:tcW w:w="7373" w:type="dxa"/>
            <w:tcBorders>
              <w:top w:val="nil"/>
              <w:left w:val="nil"/>
              <w:bottom w:val="single" w:color="auto" w:sz="8"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1.声道：2.0</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2.支持防磁功能；</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3.支持低音调节；</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4.理论功率100W以上；</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5.频响范围20HZ-20KHZ；</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6.线控功能不支持线控功能；</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7.信噪比85db；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8.支持遥控控制</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9.阻抗4Ω</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10.灵敏度85db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11.接口3.5毫米音频接口</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智能会议中心主机</w:t>
            </w:r>
          </w:p>
        </w:tc>
        <w:tc>
          <w:tcPr>
            <w:tcW w:w="7373" w:type="dxa"/>
            <w:tcBorders>
              <w:top w:val="nil"/>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1.全数字音频处理技术，所有通道的声音进行CD品质处理；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2.配备2.8英寸LCD，中、英文菜单显示，可按需订购任意语言；</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3.内置输入、输出数字音量调节,对系统输入、输出的信号进行人性化调节；</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4.可选配专业音频DSP模块，创新的会议噪声处理方式，轻松去除翻书声、茶杯声等噪声，同时对声音进行AGC、EQ、HPF专业处理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5.多种话筒管理模式，满足各类会议需求：</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6.申请发言:所有代表单元发言，由主席批准或否决；</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7.声控启动:以声音控制开启单元，可调节声控门限；</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8.可通过软件巡检话筒工作状态及故障报错功能，快速找出故障点；</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9.主机四路单元输出,多功能单元120台；</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10.配合会议扩展主机，整个系统可海纳65535台单元；</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11.视像联动时，单一话筒关闭，自动跟踪到前一个单元，全部话筒关闭时自动返回到预设全景；</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12.协议共享，兼容所有目前流行的摄像机类型，单元的位置互相调换时，通过自动编号可自动修正跟踪单元视频，始终保持正确的跟踪位置；</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13.输出阻抗 47KΩ</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频率响应 20—20KHz</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信噪比 102dB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动态范围 106dB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通道分离度 102dB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总谐波失真 ≤0.05%</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控制类型 RS232/RS485/网线 </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提供产品检测报告或产品彩页</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数字会议话筒单元</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1.音频线路：1路数字手拉手话筒</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2.主席单元为双咪杆双备份系统设计，将手拉手会议系统和幻象供电麦克风无缝融合，</w:t>
            </w:r>
            <w:r>
              <w:rPr>
                <w:rFonts w:hint="eastAsia"/>
                <w:color w:val="auto"/>
                <w:sz w:val="24"/>
              </w:rPr>
              <w:t>内置不低于2只14毫米直径镀金电容式收音头</w:t>
            </w:r>
            <w:r>
              <w:rPr>
                <w:rFonts w:hint="eastAsia"/>
                <w:color w:val="auto"/>
                <w:sz w:val="24"/>
                <w:lang w:eastAsia="zh-CN"/>
              </w:rPr>
              <w:t>，</w:t>
            </w:r>
            <w:r>
              <w:rPr>
                <w:rFonts w:hint="eastAsia" w:ascii="宋体" w:hAnsi="宋体" w:eastAsia="宋体" w:cs="宋体"/>
                <w:color w:val="auto"/>
                <w:sz w:val="24"/>
                <w:szCs w:val="24"/>
                <w:highlight w:val="none"/>
                <w:lang w:val="en-US" w:eastAsia="zh-CN"/>
              </w:rPr>
              <w:t>保障系统更高的可靠性</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3.具备线路带电“热插拔”功能 ；</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4.话筒面板应支持不小于10cm*10cm自定义企业LOGO激光雕刻工艺</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5.收音头： 14毫米直径镀金电容式X1</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6.指向特性： 超心型</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7.频率响应： 20-20,000 Hz</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8.灵敏度： -36 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9.输出阻抗： 小于200欧姆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10.最大承受声压 136 dB (1% T.H.D. @ 1kHz，0dB SPL=2x10   Pa)</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11.等效噪声级： 16 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12.提供产品检测报告或产品彩页</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106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0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会议屏蔽T型线</w:t>
            </w:r>
          </w:p>
        </w:tc>
        <w:tc>
          <w:tcPr>
            <w:tcW w:w="7373" w:type="dxa"/>
            <w:tcBorders>
              <w:top w:val="single" w:color="auto" w:sz="4" w:space="0"/>
              <w:left w:val="nil"/>
              <w:bottom w:val="single" w:color="auto" w:sz="8"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会议系统6芯会议系统T型线，用于话筒手拉手链接。</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15" w:hRule="atLeast"/>
        </w:trPr>
        <w:tc>
          <w:tcPr>
            <w:tcW w:w="106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0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会议系统主缆</w:t>
            </w:r>
          </w:p>
        </w:tc>
        <w:tc>
          <w:tcPr>
            <w:tcW w:w="7373" w:type="dxa"/>
            <w:tcBorders>
              <w:top w:val="nil"/>
              <w:left w:val="nil"/>
              <w:bottom w:val="single" w:color="auto" w:sz="8"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会议系统20米主线，用于会议系统主机与话筒之间的连接</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数字音频处理器</w:t>
            </w:r>
          </w:p>
        </w:tc>
        <w:tc>
          <w:tcPr>
            <w:tcW w:w="7373" w:type="dxa"/>
            <w:tcBorders>
              <w:top w:val="nil"/>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1.需提供自定义的用户操作界面；</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2.需内置USB声卡，支持录播和远程会议；</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3.处理器芯片采用ADI 架构，不低于40bit DSP浮点运算引擎，提供半开放式架构；</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4.模拟输入输出通道数量不少于8×8；</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5.输入输出量化不低于48KHz/24bit；</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6.输入通道应该具备：</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不低于12段PEQ ，且提供不低于五种滤波器类型选择；自适应回声消除(AEC)，噪声抑制(ANS)；</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增益共享自动混音(AMC)、门限自动混音（Gate Mixer）；</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自动增益(AGC);</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闪避器(Ducker)；</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噪声增益补偿器(ANC)</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每个通道应不低于16个点的自适应反馈抑制（AFC）；</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不低于12段PEQ,31段GEQ,分频器、延时器、限幅器。</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不低于12 x9 矩阵；</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不低于16组预设；</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支持输入输出通道LINK和分组功能；</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A/D动态范围不小于113Db；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D/A动态范围不小于115Db;</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频率响应范围不低于20～20kHz (±0.2dB) ;</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总谐波失真(THD+N)不低于0.003% @1kHz，+4dBu ;</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提供产品检测报告或产品彩页</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1" w:hRule="atLeast"/>
        </w:trPr>
        <w:tc>
          <w:tcPr>
            <w:tcW w:w="12182"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二、分布式管理调度系统</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291"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分布式调度和图像综合管理平台系统</w:t>
            </w:r>
          </w:p>
        </w:tc>
        <w:tc>
          <w:tcPr>
            <w:tcW w:w="7373" w:type="dxa"/>
            <w:tcBorders>
              <w:top w:val="nil"/>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1.需支持同时5个视频预览且接入多个输入信号源，可以上下翻页；</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2.需支持回显出服务器添加的节点和设备；</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3.需支持用户可以右键查看输入信号的信息，也可以拖动输入预览或输入树节点到输出界面进行视频或音频的切换，并支持音视频同时切换；</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4.需支持用户通过搜索快速找到目标信号源；</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5.需支持信号裁剪，屏蔽无需上墙的内容，并随时能还原被裁剪的信号；</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6.需支持信号抠图局部放大，显著人脸数据或其他信号数据，并能随时能还原被抠图放大的信号；</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7.需支持信号分割分屏，并自定义分屏分割行列，可拖拽某一行列信号直接上屏显示；</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8.需支持拼接功能，软件支持开窗、漫游、切换、叠加、画中画，并支持16层信号画面叠加，且支持音视频同切；</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9.需支持音频功能，软件支持音频切换、关闭，并支持3.5音频、HDMI音频和凤凰头音频播放；</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10.需支持预案保存；</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11.需支持预案可视化预览，调用预案前用户可以看到目标预案所保存的内容；</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12.需支持预案调用，调用目标预案保存的状态，快速切换目标信号源或目的状态；</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13.需支持预案调用预编辑；</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14.需支持对周边环境控制；</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15.需支持一键调用电脑信号内的PPT、视频、文档、文件等，并支持暂停播放、上下翻页、快进快退、音量调节、全屏、退出关闭等控制；</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16.需支持拼接墙分屏：支持单个显示屏分为单屏，4分屏，9分屏，16分屏，最大支持128分屏、支持自定义分屏行列；</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17.需支持用户在平板或电脑客户端上对拼接墙上的信号进行批注处理；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客户端同步：支持不同系统的客户端用户操作，操作内容在各客户端软件都能同步显示，确保和设备的当前状态一致；支持多台客户端用户操作，操作内容在各客户端软件都能同步显示，确保和设备的当前状态一致；</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19.运行系统平台：终端控制软件支持在Windows、IOS、安卓、麒麟等系统平台上运行；</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20.须提供“分布式调度和图像综合管理平台系统”软件著作权登记证书以及分布式和图像综合管理平台系统软件测试报告，资料需复印件加盖公章；</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21.CPU 双路E5-2609V3 ,内存 16G ECC DDR4, 企业级1T硬盘。网口：≥2个千兆网口，支持双网冗余备份，电源：双电源冗余供电方案。</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终端控制软件</w:t>
            </w:r>
          </w:p>
        </w:tc>
        <w:tc>
          <w:tcPr>
            <w:tcW w:w="7373" w:type="dxa"/>
            <w:tcBorders>
              <w:top w:val="single" w:color="auto" w:sz="4" w:space="0"/>
              <w:left w:val="nil"/>
              <w:bottom w:val="single" w:color="auto" w:sz="4" w:space="0"/>
              <w:right w:val="single" w:color="auto" w:sz="8"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1.支持Windows、安卓、麒麟等操作系统，兼容PC，平板。支持2K分辨率；</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2.需支持系统所有节点信号进行可视化操作管理；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3.需支持系统所有设备状态进行实时监测；</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4.需支持实时反馈周边被控设备的运行情况；</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5.需支持对周边环境实时控制管理；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6.需支持对会议室内声音环境的调节；</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7.需实现对会场秩序管理，包括所有会议单元的麦克开关，会议发言模式，发言人数等；</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8.需支持会议摄像实时跟踪；</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9.需支持对投影，电视，DVD等设备的控制；</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10.需支持大屏拼接控制，画面分割控制，可任意开窗，模式编辑和调用；</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11.需支持对会议室音视频录播的控制，录制视频可实时反馈在操作端；</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12.须提供“分布式调度和图像综合管理平台系统”软件著作权登记证书以及分布式和图像综合管理平台系统软件测试报告。</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1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49" w:type="dxa"/>
            <w:tcBorders>
              <w:top w:val="nil"/>
              <w:left w:val="single" w:color="auto" w:sz="8" w:space="0"/>
              <w:bottom w:val="single" w:color="000000" w:sz="8"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1.交换容量≥336Gbps，包转发能力≥87Mpps；</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2.整机固化千兆电口≥48，千兆光接口≥4；支持MAC地址表≥16K，3.ARP表容量≥1K，IPv4路由表容量≥1K；</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4.须内置免费的管理中心，实现整网拓扑可视，实现在网络设备上对整网交换机的统一管理；</w:t>
            </w:r>
          </w:p>
          <w:p>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5.须配置千兆电口≥48，千兆光接口≥4；</w:t>
            </w:r>
          </w:p>
          <w:p>
            <w:pPr>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6.需提供五年原厂维保服务，签订合同时，提供原厂承诺函。</w:t>
            </w:r>
          </w:p>
        </w:tc>
        <w:tc>
          <w:tcPr>
            <w:tcW w:w="847" w:type="dxa"/>
            <w:tcBorders>
              <w:top w:val="nil"/>
              <w:left w:val="single" w:color="auto" w:sz="4"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85" w:hRule="atLeast"/>
        </w:trPr>
        <w:tc>
          <w:tcPr>
            <w:tcW w:w="106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04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分布式集中供电安装支架</w:t>
            </w:r>
          </w:p>
        </w:tc>
        <w:tc>
          <w:tcPr>
            <w:tcW w:w="7373"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4U分布式节点机柜安装支架</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13938"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大会议室</w:t>
            </w:r>
          </w:p>
        </w:tc>
      </w:tr>
      <w:tr>
        <w:tblPrEx>
          <w:tblCellMar>
            <w:top w:w="0" w:type="dxa"/>
            <w:left w:w="108" w:type="dxa"/>
            <w:bottom w:w="0" w:type="dxa"/>
            <w:right w:w="108" w:type="dxa"/>
          </w:tblCellMar>
        </w:tblPrEx>
        <w:trPr>
          <w:trHeight w:val="1260"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373"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1.信号接口：拥有HDMI输入接口*2， HDMI环出接口*2，5针凤凰端子平衡立体声输入*1，红外接口*4，继电器RELAY接口*2，电平I/O接口*4，串口RS-232接口*2，串口RS-485接口*1，RJ-45千兆网口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2.可同时支持两路视频信号的输入；</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4.输入信号预览：支持实时输入信号预览回显，支持至少128路信号同时回显，且可设置回显画面分辨率；</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5.内置音频输入采集模块，支持音频加嵌功能，确保音视频能够同步处理；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9.输入信号支持字幕、透明台标叠加显示，字体、大小、颜色可自定义设置；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10.集成完整可编程中控系统功能，无需接入逻辑控制单元或服务器，即可单节点实现独立逻辑运算及控制功能：（投标人需提供第三方检测机构出具的检测报告证明）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56"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373" w:type="dxa"/>
            <w:tcBorders>
              <w:top w:val="single" w:color="auto" w:sz="4" w:space="0"/>
              <w:left w:val="nil"/>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1.信号接口：HDMI输出*2，5针凤凰端子平衡立体声输入*1，红外接口*4，继电器RELAY接口*2，电平I/O接口*4，串口RS-232接口*2，串口RS-485接口*1，RJ-45千兆网口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3.内置音频输出模块，支持音频解嵌功能，确保音视频能够同步处理；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7.内置WEB服务器，可通过浏览器进行配置；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集成完整可编程中控系统功能，无需接入逻辑控制单元或服务器，即可单节点实现独立逻辑运算及控制功能。如：可分析串口输入字符串，并根据自定义协议完成相应控制指令的输出；（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13938"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小会议室</w:t>
            </w:r>
          </w:p>
        </w:tc>
      </w:tr>
      <w:tr>
        <w:tblPrEx>
          <w:tblCellMar>
            <w:top w:w="0" w:type="dxa"/>
            <w:left w:w="108" w:type="dxa"/>
            <w:bottom w:w="0" w:type="dxa"/>
            <w:right w:w="108" w:type="dxa"/>
          </w:tblCellMar>
        </w:tblPrEx>
        <w:trPr>
          <w:trHeight w:val="1260"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373"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1.信号接口：拥有HDMI输入接口*2， HDMI环出接口*2，5针凤凰端子平衡立体声输入*1，红外接口*4，继电器RELAY接口*2，电平I/O接口*4，串口RS-232接口*2，串口RS-485接口*1，RJ-45千兆网口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2.可同时支持两路视频信号的输入；</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4.输入信号预览：支持实时输入信号预览回显，支持至少128路信号同时回显，且可设置回显画面分辨率；</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5.内置音频输入采集模块，支持音频加嵌功能，确保音视频能够同步处理；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9.输入信号支持字幕、透明台标叠加显示，字体、大小、颜色可自定义设置；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10.集成完整可编程中控系统功能，无需接入逻辑控制单元或服务器，即可单节点实现独立逻辑运算及控制功能：（投标人需提供第三方检测机构出具的检测报告证明）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4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373"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1.信号接口：HDMI输出*2，5针凤凰端子平衡立体声输入*1，红外接口*4，继电器RELAY接口*2，电平I/O接口*4，串口RS-232接口*2，串口RS-485接口*1，RJ-45千兆网口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3.内置音频输出模块，支持音频解嵌功能，确保音视频能够同步处理；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7.内置WEB服务器，可通过浏览器进行配置；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集成完整可编程中控系统功能，无需接入逻辑控制单元或服务器，即可单节点实现独立逻辑运算及控制功能。如：可分析串口输入字符串，并根据自定义协议完成相应控制指令的输出；（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10482"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指挥中心、机房</w:t>
            </w:r>
          </w:p>
        </w:tc>
        <w:tc>
          <w:tcPr>
            <w:tcW w:w="84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1260"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2K双通道高清输入节点</w:t>
            </w:r>
          </w:p>
        </w:tc>
        <w:tc>
          <w:tcPr>
            <w:tcW w:w="7373"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1.信号接口：拥有HDMI输入接口*2， HDMI环出接口*2，5针凤凰端子平衡立体声输入*1，红外接口*4，继电器RELAY接口*2，电平I/O接口*4，串口RS-232接口*2，串口RS-485接口*1，RJ-45千兆网口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2.可同时支持两路视频信号的输入；</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4.输入信号预览：支持实时输入信号预览回显，支持至少128路信号同时回显，且可设置回显画面分辨率；</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5.内置音频输入采集模块，支持音频加嵌功能，确保音视频能够同步处理；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9.输入信号支持字幕、透明台标叠加显示，字体、大小、颜色可自定义设置；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10.集成完整可编程中控系统功能，无需接入逻辑控制单元或服务器，即可单节点实现独立逻辑运算及控制功能：（投标人需提供第三方检测机构出具的检测报告证明）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分布式4K HDMI输出节点</w:t>
            </w:r>
          </w:p>
        </w:tc>
        <w:tc>
          <w:tcPr>
            <w:tcW w:w="7373"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1.信号接口：HDMI输出接口≥1，5针凤凰端子平衡立体声输入≥1，红外接口≥4，继电器RELAY接口≥2，电平I/O接口≥4，串口RS-232接口≥2，串口RS-485接口≥1，SFP fiber接口≥1，RJ-45千兆网口≥1，USB AF3.0接口≥1，USB BF2.0接口≥2；信号指示灯：电源指示灯 ≥1，视频信号指示灯≥1，网络状态及信号传输状态灯≥1，恢复出厂设置按键≥1，（投标人需提供第三方检测机构出具的检测报告证明）；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2.1个OLED显示面板；（支持中英文系统信息显示）</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3.内置POE和本地DC24V双供电模式，支持1光1电双线路热备份，主线路故障时则自动切换到备用线路；</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4.支持4k@60Hz视频输出信号实时解码处理，确保图像清晰、流畅，分辨率和帧率向下兼容；支持HDMI2.0，支持HDCP协议；支持USB3.0摄像头直接接入设备，采集视频编码传输；</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支持高低码流同时输出，不受距离限制实现多区域互联互通；支持可变码率和定码率，码率范围20Kbps-20Mbps；</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音频处理功能：每个节点音频和视频分开独立传输；每个节点输出音频可以指定任意一路音频流，达到音视频既可同源，可不同源；自带混音功能，混音≥16路；（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7.无需外加编、解码器及服务器，即可实现 IPC接入与云台控制；</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8.支持可视化KVM功能：a、可视化接管功能；b、可视化推送坐席；c可视化推送大屏；</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具备所见即所得得可视化交互控制和显示功能，控制终端可实时预览回显所有视频信号（包括输入视频信号源、输出视频信号源及主流IPC视频信号源）。支持不少于120路输入信号同时回显，并可自定义回显信号分辨率；</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可无缝对接LED、DID、LCD、DLP各类主流大屏幕，可实现单路4K高清分辨率接入并上屏显示，可实现大屏幕开窗、关窗、平铺、替换、缩放、跨屏、漫游、移动、全屏、叠加、画中画等多种显示模式的矩阵拼接处理功能；拼接同步，肉眼目测完全无画面撕裂；</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11.支持不少于16画面分割功能，其中16画面分割可实现16个不同的1920*1080@60Hz视频画面，（投标人需提供第三方检测机构出具的检测报告证明）；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12.矩阵功能：支持矩阵功能单路实现4/9/16/32/64/128画面分割功能，支持同时≥4路4K解码；或者同时≥16 路1920*1080解码，且显示的不同视频画面；</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13.设备集成视频管理、音频管理、中控管理、KVM管理以及双向反馈控制等功能，无需增加服务器主机、中控主机、逻辑运算单元等设备即可实现，（投标人需提供第三方检测机构出具的检测报告证明）；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14.支持预案预案轮询，可选择把已设置好的预案进行轮询播放，并支持设置每个预案的轮询时长；支持超高清底图上传、轮询、预览，支持本地储存、断电保护；</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 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45" w:hRule="atLeast"/>
        </w:trPr>
        <w:tc>
          <w:tcPr>
            <w:tcW w:w="1060"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49"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2K双通道高清输出节点</w:t>
            </w:r>
          </w:p>
        </w:tc>
        <w:tc>
          <w:tcPr>
            <w:tcW w:w="7373" w:type="dxa"/>
            <w:tcBorders>
              <w:top w:val="single" w:color="auto" w:sz="4" w:space="0"/>
              <w:left w:val="nil"/>
              <w:bottom w:val="single" w:color="auto" w:sz="4" w:space="0"/>
              <w:right w:val="single" w:color="auto" w:sz="8"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1.信号接口：HDMI输出*2，5针凤凰端子平衡立体声输入*1，红外接口*4，继电器RELAY接口*2，电平I/O接口*4，串口RS-232接口*2，串口RS-485接口*1，RJ-45千兆网口 *1，USB BF2.0接口*1；（投标人需提供第三方检测机构出具的检测报告证明）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2.内置POE和外部双供电模块，可根据现场环境灵活选择；</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3.内置音频输出模块，支持音频解嵌功能，确保音视频能够同步处理；</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4.定制化界面，PC管理软件任意模块可由用户自定义，根据需求任意更改；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5.支持权限管理，不同帐户可设置不同权限，且系统自动记忆每个用户的当前动作，方便用户重新登录时恢复之前的操作状态；</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预案管理，PC管理软件可根据用户需求、习惯自由选择预案内容进行保存，内容精细到区域、区域所包含的拼接墙、音视频矩阵以及拼接墙和音视频矩阵所属的设备；保存的预案还可以在调用前进行内容预览，确保准确调用；</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7.内置WEB服务器，可通过浏览器进行配置；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集成完整可编程中控系统功能，无需接入逻辑控制单元或服务器，即可单节点实现独立逻辑运算及控制功能。如：可分析串口输入字符串，并根据自定义协议完成相应控制指令的输出；（投标人需提供第三方检测机构出具的检测报告证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9.设备自带按键，恢复出厂设置；</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10.分布式节点须提供中国国家强制性产品认证3C证书，须提供分布式系统检测报告；软件著作权登记证书、平均无故障130000小时的证明材料。</w:t>
            </w:r>
          </w:p>
        </w:tc>
        <w:tc>
          <w:tcPr>
            <w:tcW w:w="847"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53"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756" w:type="dxa"/>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指挥中心9块屏</w:t>
            </w:r>
          </w:p>
        </w:tc>
      </w:tr>
    </w:tbl>
    <w:p>
      <w:pPr>
        <w:ind w:firstLine="560"/>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bookmarkStart w:id="185" w:name="_Toc74730174"/>
      <w:r>
        <w:rPr>
          <w:rFonts w:hint="eastAsia" w:ascii="宋体" w:hAnsi="宋体" w:eastAsia="宋体" w:cs="宋体"/>
          <w:color w:val="auto"/>
          <w:sz w:val="24"/>
          <w:szCs w:val="24"/>
          <w:highlight w:val="none"/>
        </w:rPr>
        <w:t>补充建设全省司法行政系统网络支撑系统硬件配置清单</w:t>
      </w:r>
      <w:bookmarkEnd w:id="185"/>
    </w:p>
    <w:p>
      <w:pPr>
        <w:pStyle w:val="8"/>
        <w:rPr>
          <w:rFonts w:hint="eastAsia" w:ascii="宋体" w:hAnsi="宋体" w:eastAsia="宋体" w:cs="宋体"/>
          <w:color w:val="auto"/>
          <w:sz w:val="24"/>
          <w:szCs w:val="24"/>
          <w:highlight w:val="none"/>
        </w:rPr>
      </w:pPr>
      <w:bookmarkStart w:id="186" w:name="_Toc74730020"/>
      <w:r>
        <w:rPr>
          <w:rFonts w:hint="eastAsia" w:ascii="宋体" w:hAnsi="宋体" w:eastAsia="宋体" w:cs="宋体"/>
          <w:color w:val="auto"/>
          <w:sz w:val="24"/>
          <w:szCs w:val="24"/>
          <w:highlight w:val="none"/>
        </w:rPr>
        <w:t>补充建设全省司法行政系统网络支撑系统硬件配置清单</w:t>
      </w:r>
      <w:bookmarkEnd w:id="186"/>
    </w:p>
    <w:tbl>
      <w:tblPr>
        <w:tblStyle w:val="31"/>
        <w:tblW w:w="13948" w:type="dxa"/>
        <w:tblInd w:w="0" w:type="dxa"/>
        <w:tblLayout w:type="fixed"/>
        <w:tblCellMar>
          <w:top w:w="0" w:type="dxa"/>
          <w:left w:w="108" w:type="dxa"/>
          <w:bottom w:w="0" w:type="dxa"/>
          <w:right w:w="108" w:type="dxa"/>
        </w:tblCellMar>
      </w:tblPr>
      <w:tblGrid>
        <w:gridCol w:w="1130"/>
        <w:gridCol w:w="1520"/>
        <w:gridCol w:w="8969"/>
        <w:gridCol w:w="1219"/>
        <w:gridCol w:w="1110"/>
      </w:tblGrid>
      <w:tr>
        <w:tblPrEx>
          <w:tblCellMar>
            <w:top w:w="0" w:type="dxa"/>
            <w:left w:w="108" w:type="dxa"/>
            <w:bottom w:w="0" w:type="dxa"/>
            <w:right w:w="108" w:type="dxa"/>
          </w:tblCellMar>
        </w:tblPrEx>
        <w:trPr>
          <w:trHeight w:val="435" w:hRule="atLeast"/>
          <w:tblHeader/>
        </w:trPr>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24"/>
                <w:szCs w:val="24"/>
                <w:highlight w:val="none"/>
              </w:rPr>
              <w:t>项目</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89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设备配置</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tblPrEx>
          <w:tblCellMar>
            <w:top w:w="0" w:type="dxa"/>
            <w:left w:w="108" w:type="dxa"/>
            <w:bottom w:w="0" w:type="dxa"/>
            <w:right w:w="108" w:type="dxa"/>
          </w:tblCellMar>
        </w:tblPrEx>
        <w:trPr>
          <w:trHeight w:val="3825"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省厅网络设备改造</w:t>
            </w: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核心路由器</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1.交换容量≥150T，包转发率≥23800M；</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2.需支持主控板、交换网板、业务板完全物理分离，主控板、交换网板、业务板分布在不同的物理槽位；</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3.整机框全物理尺寸的线卡槽位数≥8（非子卡槽位），支持子母卡架构，支持独立的交换网板≥4个；支持单槽单向最大带宽≥400Gbps，提供第三方测试报告，提供有效报告的复印件；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4.需支持内置独立M+N（M+N≥6）冗余交流电源，不占用业务槽位；</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5.需支持一体化供电方式，任意拔掉两个电源，设备能够正常运行，支持前后通风设计；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6.需支持155M POS/622M POS/GE端口之间切换、155M/622M ATM接口之间切换；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7.需支持并实配分布式GRE功能、分布式Netstream功能、分布式NAT功能及授权；为保证扩展性，本次所配设备支持防火墙、入侵防御等安全业务插卡，需提供官网选配信息截图（含链接）；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8.需支持sm2、sm3，sm4 国密算法的国密硬件板卡，需支持独立的流量探针板卡；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需配置1+1冗余主控，交换网板≥2，内置交流电源≥4，千兆combo接口≥24，万兆光口≥12，千兆单模光模块≥12，万兆多模光模块≥12，多业务安全插卡≥1，配置负载均衡软件授权及3年入侵防御特征库升级授权，提供五年原厂维保服务。</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164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核心交换机</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1.交换容量≥778T，包转发≥118000Mpps；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2.需支持正交CLOS交换架构，业务线卡槽位与交换网板槽位互相垂直；</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支持主控槽位≥2个，业务槽位≥10个，交换网板≥5，支持交流电源模块≥6；支持千兆电口，千兆光口，万兆光口、万兆电口、25G端口、40G端口、100G端口，单槽位万兆电端口密度≥24，单槽位40G端口密度≥32，单槽位100G端口密度≥32；</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4.需支持多虚一技术(N:1)，支持4框虚拟化技术，提供第三方测试报告，提供有效报告的复印件；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5.需支持多业务融合板卡，能够与设备紧耦合无需外部连线，支持对物联终端统一识别、认证和管理等功能，提供第三方测试报告，提供有效报告的复印件；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6.需支持PC终端、哑终端、网络设备等连接元素的准入控制和权限划分，确保网络的可信可控；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7.需配置1+1冗余主控，满配交换网板，M+N（M+N≥4）可插拔冗余电源≥4块，千兆电口≥48，千兆光口≥48，万兆光口≥48，万兆多模光模块≥8，千兆单模光模块≥24；</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421"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1.交换容量≥730Gbps，包转发率≥220Mpps；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2.需支持独立可热插拔电源、风扇模块，独立电源插槽数≥2个、独立风扇插槽数≥2个，支持前/后通风，风道可调；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3.需配置固定千兆光口≥24个，千兆Combo电接口≥8个，万兆光接口≥4，扩展插槽≥1，支持扩展万兆电、万兆光、40GE接口板卡；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5.需支持多业务安全扩展模块，可扩展IPS、防病毒、负载均衡、应用识别等特征库，提供官网选配信息截图（含链接）；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6.需支持虚拟化功能，支持将多台物理设备虚拟为一台逻辑设备，支持纵向虚拟化，能够配合核心交换机进行虚拟化；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7.需支持VxLAN及EVPN技术，实现不同交换机的二三层互通；</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8.需配置1+1冗余电源，1+1冗余风扇，千兆光口≥24个，千兆Combo接口≥8个，万兆光口≥4个，万兆多模光模块≥4，千兆单模光模块≥24；</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473" w:hRule="atLeast"/>
        </w:trPr>
        <w:tc>
          <w:tcPr>
            <w:tcW w:w="11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西宁司法局网络设备改造</w:t>
            </w: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1.采用国产品牌多核高性能处理器和高速存储器；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2.需支持主控模块内存≥4G；主机固化千兆电口≥16，千兆combo口≥4，千兆光口≥6，万兆光口≥2，支持扩展槽位≥1，可扩展4PFC接口卡、4SFP插卡、4SFP+插卡等；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3.需配置双交流电源；整机三层吞吐量≥3Gbps，最大并发连接数≥250万，每秒新建连接数≥3万；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4.需支持DNS透明代理功能，可基于负载均衡算法代理内网用户进行DNS请求转发，避免单运营商DNS解析出现单一链路流量过载，平衡多条运营商线路的带宽利用率，需提供设备功能界面截图证明。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5.需支持虚拟防火墙功能：支持虚拟防火墙的创建、启动、关闭、删除功能；可独立分配CPU/内存等计算资源；虚拟防火墙可独立管理，独立保存配置；虚拟防火墙具备独立会话管理、NAT、路由等功能。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需支持流量自学习功能，可设置自学习时间，并自动生成DDoS防范策略；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6.需配置千兆电口≥16，千兆combo口≥4，千兆光口≥6，万兆光口≥2，千兆多模光模块≥2，配置5年入侵防御/防病毒特征库升级；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63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1.交换容量≥730Gbps，包转发率≥220Mpps；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2.需支持独立可热插拔电源、风扇模块，独立电源插槽数≥2个、独立风扇插槽数≥2个，支持前/后通风，风道可调；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3.固定千兆光口≥24个，千兆Combo电接口≥8个，万兆光接口≥4，扩展插槽≥1，支持扩展万兆电、万兆光、40GE接口板卡；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4.需支持多业务安全扩展模块，可扩展IPS、防病毒、负载均衡、应用识别等特征库，提供官网选配信息截图（含链接）；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5.需支持虚拟化功能，支持将多台物理设备虚拟为一台逻辑设备，支持纵向虚拟化，能够配合核心交换机进行虚拟化；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6.需支持VxLAN及EVPN技术，实现不同交换机的二三层互通；</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需配置1+1冗余电源，1+1冗余风扇，千兆光口≥24个，千兆Combo接口≥8个，万兆光口≥4个，千兆单模光模块≥4；</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303"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1.交换容量≥336Gbps，包转发能力≥87Mpps；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2.整机固化千兆电口≥48，千兆光接口≥4；支持MAC地址表≥16K，ARP表容量≥1K，IPv4路由表容量≥1K；</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3.需内置免费的管理中心，实现整网拓扑可视，实现在网络设备上对整网交换机的统一管理；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4.需配置千兆电口≥48，千兆光接口≥4，千兆单模光模块≥2；</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5.需提供五年原厂维保服务。</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255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网络控制器</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1.固化千兆电口≥5；单模块管理AP数（非面板AP数）≥48；</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2.虚拟化之后控制器的授权能力是多台物理控制器授权能力之和，支持热备，备份功能无需单独授权；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3.需支持WPA3个人级及企业级模式下的终端接入功能，提供第三方测试报告，提供有效报告的复印件；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分层管理功能，总控制器可以统一管理下属所有的分控制器和无线接入点，配置能够自动同步，并且在总控制器上能够查看整个无线网络的信息，授权只需要安装在总控制器上，分控制器无需授权，分层架构支持漫游功能，用户可以在同控制器下属的AP之间进行漫游，完成本地漫游；</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5.需支持802.1X、Portal、MAC认证；远程Portal认证；支持远程独立服务器模式；远程Portal页面推送：支持基于SSID、AP的Portal页面推送。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6.需配置千兆电口≥5，AP管理授权≥24个；</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678"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POE交换机</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1.交换容量≥336Gbps，包转发能力≥51Mpps；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2.整机固化千兆电口≥24，千兆光接口≥4；支持POE供电，整机POE供电功率≥370W；</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3.需支持MAC地址表≥16K，ARP表容量≥1K，IPv4路由表容量≥1K；</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4.内置免费的管理中心，实现整网拓扑可视，实现在网络设备上对整网交换机的统一管理；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5.需配置千兆电口≥24，千兆光接口≥4，千兆单模光模块≥2；</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71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放装无线AP</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1.采用整机双频4流设计，可同时工作在802.11a/b/g/n/ac/ac wave2/ax模式；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2.整机协商速率≥1770Mbps，其中5G射频速率≥1200Mbps，2.4G速率≥570Mbps；</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3.需支持802.3af兼容供电；内置蓝牙5.0/RFID，支持通过软件切换，实现对BLE/RFID不同协议的IOT扩展功能，提供官网截图（含链接）；</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4.需支持基于空口利用率的SSID自动隐藏功能，当空口繁忙程度达到或超过配置的阈值时，SSID自动隐藏，为用户提供稳定可靠的无线服务；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5.需配置≥1个10/100/1000Mbps(RJ45)；</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r>
      <w:tr>
        <w:tblPrEx>
          <w:tblCellMar>
            <w:top w:w="0" w:type="dxa"/>
            <w:left w:w="108" w:type="dxa"/>
            <w:bottom w:w="0" w:type="dxa"/>
            <w:right w:w="108" w:type="dxa"/>
          </w:tblCellMar>
        </w:tblPrEx>
        <w:trPr>
          <w:trHeight w:val="1530" w:hRule="atLeast"/>
        </w:trPr>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高密无线AP</w:t>
            </w:r>
          </w:p>
        </w:tc>
        <w:tc>
          <w:tcPr>
            <w:tcW w:w="896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1.采用三射频设计，可工作在802.11a/b/g/n/ac/ac wave2/ax模式；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整机协商速率≥3.2Gbps；</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2.≥2个接口，其中1个固化100/1000M/2.5G电口，无需外置扩展，另有1个固化10M/100M/1000M电口，提供官网截图（含链接）；</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3.整机接入120个用户，打开网页时，网页加载流程不卡顿，要求提供第三方权威测试报告；</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4.需支持基于空口利用率的SSID自动隐藏功能，当空口繁忙程度达到或超过配置的阈值时，SSID自动隐藏，为用户提供稳定可靠的无线服务，提供第三方测试报告，提供有效报告的复印件；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5.需提供五年原厂维保服务，签订合同时，提供原厂承诺函。</w:t>
            </w:r>
          </w:p>
        </w:tc>
        <w:tc>
          <w:tcPr>
            <w:tcW w:w="12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ind w:firstLine="0" w:firstLineChars="0"/>
        <w:rPr>
          <w:rFonts w:hint="eastAsia" w:ascii="宋体" w:hAnsi="宋体" w:eastAsia="宋体" w:cs="宋体"/>
          <w:color w:val="auto"/>
          <w:sz w:val="24"/>
          <w:szCs w:val="24"/>
          <w:highlight w:val="none"/>
        </w:rPr>
        <w:sectPr>
          <w:pgSz w:w="16838" w:h="11906" w:orient="landscape"/>
          <w:pgMar w:top="1230" w:right="1440" w:bottom="1230" w:left="1440" w:header="851" w:footer="992" w:gutter="0"/>
          <w:cols w:space="425" w:num="1"/>
          <w:docGrid w:linePitch="381" w:charSpace="0"/>
        </w:sectPr>
      </w:pPr>
    </w:p>
    <w:p>
      <w:pPr>
        <w:pStyle w:val="4"/>
        <w:rPr>
          <w:rFonts w:hint="eastAsia" w:ascii="宋体" w:hAnsi="宋体" w:eastAsia="宋体" w:cs="宋体"/>
          <w:color w:val="auto"/>
          <w:sz w:val="24"/>
          <w:szCs w:val="24"/>
          <w:highlight w:val="none"/>
        </w:rPr>
      </w:pPr>
      <w:bookmarkStart w:id="187" w:name="_Toc74730175"/>
      <w:r>
        <w:rPr>
          <w:rFonts w:hint="eastAsia" w:ascii="宋体" w:hAnsi="宋体" w:eastAsia="宋体" w:cs="宋体"/>
          <w:color w:val="auto"/>
          <w:sz w:val="24"/>
          <w:szCs w:val="24"/>
          <w:highlight w:val="none"/>
        </w:rPr>
        <w:t>试点建设司法局应急指挥配套物理环境配置清单</w:t>
      </w:r>
      <w:bookmarkEnd w:id="187"/>
    </w:p>
    <w:p>
      <w:pPr>
        <w:pStyle w:val="8"/>
        <w:rPr>
          <w:rFonts w:hint="eastAsia" w:ascii="宋体" w:hAnsi="宋体" w:eastAsia="宋体" w:cs="宋体"/>
          <w:color w:val="auto"/>
          <w:sz w:val="24"/>
          <w:szCs w:val="24"/>
          <w:highlight w:val="none"/>
        </w:rPr>
      </w:pPr>
      <w:bookmarkStart w:id="188" w:name="_Toc74730021"/>
      <w:r>
        <w:rPr>
          <w:rFonts w:hint="eastAsia" w:ascii="宋体" w:hAnsi="宋体" w:eastAsia="宋体" w:cs="宋体"/>
          <w:color w:val="auto"/>
          <w:sz w:val="24"/>
          <w:szCs w:val="24"/>
          <w:highlight w:val="none"/>
        </w:rPr>
        <w:t>西宁市司法局应急指挥配套物理环境（模块化机柜）配置清单表</w:t>
      </w:r>
      <w:bookmarkEnd w:id="188"/>
    </w:p>
    <w:tbl>
      <w:tblPr>
        <w:tblStyle w:val="3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251"/>
        <w:gridCol w:w="6553"/>
        <w:gridCol w:w="1130"/>
        <w:gridCol w:w="118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51"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6553"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规格、型号</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西宁市司法局应急指挥配套物理环境（模块化机柜）</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综合机柜</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　W600×H2000×D1400mm；全密封设计，防尘等级IP50；前后安装方孔条以及安装支撑；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多功能顶盖，含2块竖直理线板、20块1U盲板；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1.19英寸标准机柜框架，标配水平支脚，重载脚轮；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2.前门全封闭玻璃门，配10寸触摸显示屏，后门全封闭钣金门，前后门均带微动开关，开门亮灯，关门熄灯；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侧板应为上下分段式半高侧板，上下方各装配一把锁，拆装方便。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4.顶部标配M形强弱电走线槽（600×600×130mm(W×D×H)），支持机柜上走线；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5.底部标配进线底板，支持机柜下入线；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6.前部三色氛围灯，后部智能LED白光灯；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 配置两个应急风扇单元，分别安装在机柜的前下方和后上方，应急风扇单元由两个高性能风扇组成，由UPS供电，并可通过一体机触屏进行参数设置、开机和关闭。提供应急风扇实物照片。</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 xml:space="preserve">8. 机柜动态承重不少于1200kg，静态承重不低于1500kg。应提供静载堆码试验和随机振动试验报告。                </w:t>
            </w:r>
            <w:r>
              <w:rPr>
                <w:rFonts w:hint="eastAsia" w:ascii="宋体" w:hAnsi="宋体" w:eastAsia="宋体" w:cs="宋体"/>
                <w:color w:val="auto"/>
                <w:kern w:val="0"/>
                <w:sz w:val="24"/>
                <w:szCs w:val="24"/>
                <w:highlight w:val="none"/>
              </w:rPr>
              <w:t xml:space="preserve">                     </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restart"/>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放置于8楼机房内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服务器机柜</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尺寸：W600×H2000×D1400mm；全密封设计，防尘等级IP50；前后安装方孔条以及安装支撑；</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多功能顶盖，含2块竖直理线板、20块1U盲板；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1.19英寸标准机柜框架，标配水平支脚，重载脚轮；</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2.前门全封闭玻璃门，后门全封闭钣金门，前后门均带微动开关，开门亮灯，关门熄灯；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侧板应为上下分段式半高侧板，上下方各装配一把锁，拆装方便。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4.顶部标配M形强弱电走线槽（600×600×130mm(W×D×H)），支持机柜上走线；</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5.底部标配进线底板，支持机柜下入线；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7.前部三色氛围灯，后部智能LED白光灯；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 配置两个应急风扇单元，分别安装在机柜的前下方和后上方，应急风扇单元由两个高性能风扇组成，由UPS供电，并可通过一体机触屏进行参数设置、开机和关闭。提供应急风扇实物照片。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9.每个机柜含螺丝螺母固定式托盘4个，其中1个机柜含48芯ODF子框1个</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 机柜动态承重不少于1200kg，静态承重不低于1500kg。应提供静载堆码试验和随机振动试验报告。</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PDP(20kVA配电盘)</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智能一体化机柜应集成配电系统，配电模块采用机架式安装，应包括市电总输入、智能电表、C级防雷、空调输入断路器、UPS输入输出断路器、 IT配电、HMI屏供电电源开关、应急风扇及照明开关等；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2、配电系统的开关电气元器件品牌应与智能一体化机柜保持一致；</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3、提供机架式配电单元的配电结构图。</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RPDU</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0U竖直安装，5m裸线输入，额定电流32A，21位C13+3位C19，输出不配空开,PDU双侧布置</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精密空调</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1.空调应采用风冷型水平送风空调，额定制冷量不小于12.5KW；必须具备加热加湿功能。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2.应采用EC风机，额定风量≥3000m3/h；</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3.空调应配置前后封闭钣金门；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4.空调应配置不小于7英寸的显示屏；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5.精密空调应选用45℃环境温度的室外机。</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空调封闭组件</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空调封闭框组件，前后全封闭钣金门（带微动开关）W300×H2000×D1400mm；</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监控模块</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监控采集器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1.Kit10服务器×1个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2.10.1寸安卓触摸屏×1个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3.IO模块（4DI、2DO）×1个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4. 4个温湿度传感器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5.烟雾报警传感器×1个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6.漏水监测</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电话告警</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支持短信和电话报警。</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UPS 3S 15kVA 三进单出，纯在线式UPS系统；输入线缆25mm2、空开80A/3P，输出线缆35mm2、80A/2P；含相关辅助配件，应提供5年原厂质保。</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1.设备供应商须提供泰尔检测报告。</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2.UPS采用全功率一体化塔式设计，不接受多个机架并联或多个模块并联的模块化或类模块化架构</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3.UPS须内置主输入开关、旁路输入开关、维修旁路开关、输出开关。</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4.输入电压范围：304-475V，输出功率因数：1，整机效率： 高达95.5%。</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5.须配置防尘滤网，电路板采用防水、防尘、防静电的三防漆保护</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6.自带滚轮，方便移动。配有卸货滑板，安装简便。提供相关示意图说明。</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7.采用彩色中文液晶大屏操作显示面板，可以显示整流器、逆变器元器件每项的实时温度，具有独立的开关机按键及辅助操作按键，同时配置部件状态LED指示灯，具备UPS运行模拟图和事件记录，方便操作维护。 </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8.标准配置RS485接口和干接点接口，具有旁路电流反馈保护干接点</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9.具有长延时充电器，UPS应具有不小于20% UPS额定功率的充电功率</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10.具备负载自测试功能。设备安装调试完成后需要现场测试负载自测试功能，负载测试容量可根据UPS功率的30-100%调节以验证不同负载率下UPS参数性能</w:t>
            </w:r>
          </w:p>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11.支持部件生命周期监测功能，具备提示防尘滤网、风机等部件的使用时间及定时检查</w:t>
            </w:r>
            <w:bookmarkStart w:id="189" w:name="_Hlk10560437"/>
            <w:r>
              <w:rPr>
                <w:rFonts w:hint="eastAsia" w:ascii="宋体" w:hAnsi="宋体" w:eastAsia="宋体" w:cs="宋体"/>
                <w:color w:val="auto"/>
                <w:sz w:val="24"/>
                <w:szCs w:val="24"/>
                <w:highlight w:val="none"/>
                <w:lang w:val="en-US" w:eastAsia="zh-CN"/>
              </w:rPr>
              <w:t>提醒</w:t>
            </w:r>
            <w:bookmarkEnd w:id="189"/>
            <w:r>
              <w:rPr>
                <w:rFonts w:hint="eastAsia" w:ascii="宋体" w:hAnsi="宋体" w:eastAsia="宋体" w:cs="宋体"/>
                <w:color w:val="auto"/>
                <w:sz w:val="24"/>
                <w:szCs w:val="24"/>
                <w:highlight w:val="none"/>
                <w:lang w:val="en-US" w:eastAsia="zh-CN"/>
              </w:rPr>
              <w:t>功能。提供相关设置界面截图。</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restart"/>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该部分放置在地下室负二楼柴发机室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电池直流断路器</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电池直流断路器63A/3P</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脱扣线圈</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脱扣线圈</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辅助触点</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辅助触点</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铅酸免维护蓄电池，12V/75AH，设计寿命十年，每组32节，本次配置1组，可满足负载9KW延时2小时，蓄电池连线8mm2线缆，含5年原厂质保。为保证后期维护的一致性，蓄电池应与UPS同一品牌。</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251"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电池柜</w:t>
            </w:r>
          </w:p>
        </w:tc>
        <w:tc>
          <w:tcPr>
            <w:tcW w:w="6553" w:type="dxa"/>
            <w:shd w:val="clear" w:color="auto" w:fill="auto"/>
            <w:vAlign w:val="center"/>
          </w:tcPr>
          <w:p>
            <w:pPr>
              <w:widowControl/>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定制电池柜。</w:t>
            </w:r>
          </w:p>
        </w:tc>
        <w:tc>
          <w:tcPr>
            <w:tcW w:w="1130"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183"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bl>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西宁市司法局应急指挥配套物理环境（装修及配套设施）配置清单表</w:t>
      </w:r>
    </w:p>
    <w:tbl>
      <w:tblPr>
        <w:tblStyle w:val="3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424"/>
        <w:gridCol w:w="6006"/>
        <w:gridCol w:w="1342"/>
        <w:gridCol w:w="134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24"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600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规格、型号</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装修系统</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微孔铝板吊顶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微孔铝板600×600×1.0含配件</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防水乳胶漆三遍</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156.5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地板下保温隔热处理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1.保温隔热楼地面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2.贴20mm厚B1橡塑海绵保温层（铝箔面）</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地板下防尘、防水处理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防静电地板（含支架）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尺寸：600×600×32mm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规格：全钢地板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面层：HPL</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玻璃地板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600×600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地板角铁（边龙骨）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4#角钢</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防水堰</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甲级钢质防火门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1000×2400mm，含五金配件、闭门器、门锁等</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樘</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设备支架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5#角钢支架</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UPS、配电柜基础</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槽钢规格：10#国标</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新建石膏板隔墙</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100龙骨，75岩棉，双侧单层12mm防火石膏板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刮腻子刷乳胶漆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水性环保，三遍</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防雨百叶窗</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1730×1800mm，根据实际测量尺寸制作</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墙面拆除</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墙面乳胶漆铲除</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吊顶拆除</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原矿棉板吊顶拆除</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门拆除</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原来900mm×2100mm门拆除，将门洞改为1000mm×2400mm</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窗拆除</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原有窗户1730×1800mm拆除，改造为防雨百叶窗</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垃圾清运</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开孔、开洞</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防火封堵</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机房加固</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UPS及蓄电池柜底座基础</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C25钢筋混凝土、做防水处理</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辅材</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防静电胶垫、防水布</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安防系统</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1.不低于200万星光级1/2.7"CMOS智能半球网络摄像机；</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2.内置GPU芯片，内置红外与白光补光灯；</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3.支持白光报警功能，当报警产生时，可触发联动白光闪烁。需支持双码流技术，主码流最高1920x1080@25fps，子码流704x576@25fps；</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4.在1920x1080 @ 30fps下，清晰度不小于1100TVL；</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5.需具备区域入侵检测、越界检测、进入区域、离开区域等功能；</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6.含摄像机支架等相关辅助配件；</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7.含NVR硬件设备，配4T监控专用SATA硬盘2块、视频存储30天</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门禁系统</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进门指纹、密码+刷卡，出门按钮，其他相关的附件及配套设施等</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消防系统</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感烟探测器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点型光电</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感温探测器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点型光电</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火灾声光报警器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火灾声光报警器</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紧急启停按钮</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紧急启停按钮</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气体释放警报器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气体释放警报器</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输入/输出模块</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非编码型，用于交直流转换控制，双切换，一个回答，具有断线监测功能，配接火灾报警控制器（联动型）</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8模块箱</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可装入8只模块</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气体灭火控制器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壁挂式，单灭火分区，集成火灾报警控制器，带联网功能，含备电</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线缆辅材</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单瓶式柜式灭火装置</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GQQ70/2.5/38kg</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泄压口</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300×300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灭火器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MT7,二氧化碳充装量：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7kg</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专用氧气呼吸器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专用氧气呼吸器，呼吸量30L/min；呼气阻力≤600Pa；吸气阻力0～500Pa；定量供氧量≥1.6±0.2L/min；自动补给供氧量≥100L/min；手动补给供氧量≥80L/min；自动补给开启压力（50～245）Pa；排气阀开启压力400Pa-700Pa；吸气中的二氧化碳浓度≤1%；吸气中的氧气浓度≥21%；吸气温度≤35℃</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电气系统（模块外）</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双管格栅LED灯</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AC220,2×22W，光通量≮1800</w:t>
            </w:r>
            <w:r>
              <w:rPr>
                <w:rFonts w:hint="eastAsia" w:ascii="宋体" w:hAnsi="宋体" w:eastAsia="宋体" w:cs="宋体"/>
                <w:color w:val="auto"/>
                <w:kern w:val="0"/>
                <w:sz w:val="24"/>
                <w:szCs w:val="24"/>
                <w:highlight w:val="none"/>
                <w:lang w:val="en-US" w:eastAsia="zh-CN"/>
              </w:rPr>
              <w:t>lm</w:t>
            </w:r>
            <w:r>
              <w:rPr>
                <w:rFonts w:hint="eastAsia" w:ascii="宋体" w:hAnsi="宋体" w:eastAsia="宋体" w:cs="宋体"/>
                <w:color w:val="auto"/>
                <w:kern w:val="0"/>
                <w:sz w:val="24"/>
                <w:szCs w:val="24"/>
                <w:highlight w:val="none"/>
              </w:rPr>
              <w:t>，</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双头应急照明灯</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双头应急照明灯，自带蓄电池型</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疏散照明灯具</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疏散指示，自带蓄电池型</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安全出口指示灯</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安全出口标志灯，自带蓄电池型</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单联双控翘班开关</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AC220 10A</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插座</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规格：单相五孔 电流：25A</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配管</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材质:热镀锌钢管(SC)规格:SC25配置形式:暗配、明敷</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线槽</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走线架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材质：铝合金，样式：梯形，规格：600宽，单层</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规格:WDZ-YJY-5×16 敷设方式、部位:管内、桥架</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RVV-1×10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RVV-5×4</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RVV-3×6</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BVR-3×4</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BVR-3×2.5</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YJV 5×16</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 3×6</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 5×4</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 1×10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6mm²</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35mm²</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铜排</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等电位端子箱</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300×200×120</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通风系统（模块外）</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灾后排风机</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安装形式：吊装，风量：400m³/h，余压：100Pa，输入功率为550w（380V），噪声≤65dB，风机形式：轴流</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排风机控制箱</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与排风机配套</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镀锌铁皮风管</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0.6mm厚</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单层百叶风口</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铝合金风口，带过滤网，600×400mm</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电动密闭阀</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250×160mm，220V电源</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防火帆布软连接</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难燃B1级</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橡塑保温</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20mm厚，难燃B1级</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m³</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风管及风机支吊架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4#角钢</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kg</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w:t>
            </w:r>
          </w:p>
        </w:tc>
        <w:tc>
          <w:tcPr>
            <w:tcW w:w="11117"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省厅5楼控制室</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防静电地板（含支架）</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尺寸：600×600×32mm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规格：全钢地板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面层：HPL</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地板角铁（边龙骨）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4#角钢</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拉丝不锈钢踢脚线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1mm厚 宽度8cm</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2P壁挂式空调</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2P，一级能耗，变频</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台 </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雾化玻璃</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雾化玻璃</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百叶窗帘</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铝合金百叶窗帘</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防水乳胶漆三遍</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电路改造</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从1楼机房UPS引1路电至控制室并替换原有配电柜</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门拆除</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原来900mm×2100mm门拆除</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甲级钢质防火门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900×2300mm，含五金配件、闭门器、门锁等</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樘</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灭火器</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MT7,二氧化碳充装量：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7kg</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w:t>
            </w:r>
          </w:p>
        </w:tc>
        <w:tc>
          <w:tcPr>
            <w:tcW w:w="2424" w:type="dxa"/>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主要线缆及辅材</w:t>
            </w:r>
          </w:p>
        </w:tc>
        <w:tc>
          <w:tcPr>
            <w:tcW w:w="6006" w:type="dxa"/>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716" w:type="dxa"/>
            <w:vMerge w:val="restart"/>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包括省厅及各地州、区县网线、电源线、高清线、尾纤、水晶头等辅材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HDMI高清视频线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50米光纤hdmi视频线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HDMI高清视频线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30米光纤hdmi视频线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HDMI高清视频线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5米HDMI线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六类网线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箱</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音频线</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100米/卷、带屏蔽音频线</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卷</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424"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电源线及其他辅材</w:t>
            </w:r>
          </w:p>
        </w:tc>
        <w:tc>
          <w:tcPr>
            <w:tcW w:w="60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UPS引电、及UPS至电池至配电柜电源线，音视频模块化接口、跳纤、水晶头</w:t>
            </w:r>
            <w:r>
              <w:rPr>
                <w:rFonts w:hint="eastAsia" w:ascii="宋体" w:hAnsi="宋体" w:eastAsia="宋体" w:cs="宋体"/>
                <w:color w:val="auto"/>
                <w:kern w:val="0"/>
                <w:sz w:val="24"/>
                <w:szCs w:val="24"/>
                <w:highlight w:val="none"/>
                <w:lang w:eastAsia="zh-CN"/>
              </w:rPr>
              <w:t>、空调冷凝管</w:t>
            </w:r>
            <w:r>
              <w:rPr>
                <w:rFonts w:hint="eastAsia" w:ascii="宋体" w:hAnsi="宋体" w:eastAsia="宋体" w:cs="宋体"/>
                <w:color w:val="auto"/>
                <w:kern w:val="0"/>
                <w:sz w:val="24"/>
                <w:szCs w:val="24"/>
                <w:highlight w:val="none"/>
              </w:rPr>
              <w:t>等其他辅材</w:t>
            </w:r>
          </w:p>
        </w:tc>
        <w:tc>
          <w:tcPr>
            <w:tcW w:w="134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批</w:t>
            </w:r>
          </w:p>
        </w:tc>
        <w:tc>
          <w:tcPr>
            <w:tcW w:w="134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bl>
    <w:p>
      <w:pPr>
        <w:ind w:firstLine="0" w:firstLineChars="0"/>
        <w:rPr>
          <w:rFonts w:hint="eastAsia" w:ascii="宋体" w:hAnsi="宋体" w:eastAsia="宋体" w:cs="宋体"/>
          <w:color w:val="auto"/>
          <w:sz w:val="24"/>
          <w:szCs w:val="24"/>
          <w:highlight w:val="none"/>
        </w:rPr>
      </w:pPr>
    </w:p>
    <w:p>
      <w:pPr>
        <w:ind w:firstLine="0" w:firstLineChars="0"/>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bookmarkStart w:id="190" w:name="_Toc74730022"/>
      <w:r>
        <w:rPr>
          <w:rFonts w:hint="eastAsia" w:ascii="宋体" w:hAnsi="宋体" w:eastAsia="宋体" w:cs="宋体"/>
          <w:color w:val="auto"/>
          <w:sz w:val="24"/>
          <w:szCs w:val="24"/>
          <w:highlight w:val="none"/>
        </w:rPr>
        <w:t>平安区司法局应急指挥配套物理环境（模块化机柜）配置清单表</w:t>
      </w:r>
      <w:bookmarkEnd w:id="190"/>
    </w:p>
    <w:tbl>
      <w:tblPr>
        <w:tblStyle w:val="3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692"/>
        <w:gridCol w:w="6606"/>
        <w:gridCol w:w="1222"/>
        <w:gridCol w:w="122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9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660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规格、型号</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p>
        </w:tc>
        <w:tc>
          <w:tcPr>
            <w:tcW w:w="11745"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平安区司法局应急指挥配套物理环境（模块化机柜）</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服务器机柜（双柜）</w:t>
            </w:r>
          </w:p>
        </w:tc>
        <w:tc>
          <w:tcPr>
            <w:tcW w:w="6606" w:type="dxa"/>
            <w:shd w:val="clear" w:color="auto" w:fill="auto"/>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封闭双柜，带3.5kw机架式空调，10寸显示屏。尺寸：1200宽×1400深×2000高mm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2机柜+10’触摸屏 + 前玻璃门后网孔门 + 3.5kw 机架式空调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每个机柜含螺丝螺母固定式托盘4个、其中1个机柜含48芯ODF子框1个。</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机柜动态承重不少于1200kg，静态承重不低于1500kg。应提供静载堆码试验和随机振动试验报告。</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侧板应为上下分段式半高侧板，上下方各装配一把锁，拆装方便。</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配置两个应急风扇单元，分别安装在机柜的前下方和后上方，应急风扇单元由两个高性能风扇组成，由UPS供电，并可通过一体机触屏进行参数设置、开机和关闭。提供应急风扇实物照片。</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智能一体化机柜应集成配电系统，配电模块采用机架式安装，应包括市电总输入、智能电表、C级防雷、空调输入断路器、UPS输入输出断路器、 IT配电、HMI屏供电电源开关、应急风扇及照明开关等。</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配电系统的开关电气元器件品牌应与智能一体化机柜保持一致。</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内机机架式安装，独立制冷模块包含室内外机，总制冷量≥3.5KW，能效比≥2.5，制冷剂R410A；采用直流变频压缩机；</w:t>
            </w:r>
          </w:p>
          <w:p>
            <w:pPr>
              <w:spacing w:after="0"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机架式空调应与机柜及UPS同一品牌，具有3C认证。</w:t>
            </w:r>
          </w:p>
          <w:p>
            <w:pPr>
              <w:spacing w:after="0"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PDU，竖直安装，额定电流32A， 6个C19，20个C13插孔。</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vMerge w:val="restart"/>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放置于2楼机房内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电话告警</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支持短信和电话报警。</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w:t>
            </w:r>
          </w:p>
        </w:tc>
        <w:tc>
          <w:tcPr>
            <w:tcW w:w="6606" w:type="dxa"/>
            <w:shd w:val="clear" w:color="auto" w:fill="auto"/>
            <w:vAlign w:val="center"/>
          </w:tcPr>
          <w:p>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 3S 10kVA 三进单出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输入线缆16mm2、空开63A/3P，输出线缆25mm2、63A/2P；含相关辅助配件，5年质保。</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设备供应商必须具有应提供泰尔检测报告。</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UPS采用全功率一体化塔式设计，不接受多个机架并联或多个模块并联的模块化或类模块化架构</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UPS须内置主输入开关、旁路输入开关、维修旁路开关、输出开关，开关须为ABB、施耐德或西门子</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品牌。</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输入电压范围：304-475V，输出功率因数：1，整机效率： 高达95.5%。</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须配置防尘滤网，电路板采用防水、防尘、防静电的三防漆保护</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自带滚轮，方便移动。配有卸货滑板，安装简便。提供相关示意图说明。</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采用彩色中文液晶大屏操作显示面板，可以显示整流器、逆变器元器件每项的实时温度，具有独立的开关机按键及辅助操作按键，同时配置部件状态LED指示灯，具备UPS运行模拟图和事件记录，方便操作维护。 </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标准配置RS485接口和干接点接口，具有旁路电流反馈保护干接点</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具有长延时充电器，UPS应具有不小于20% UPS额定功率的充电功率</w:t>
            </w:r>
          </w:p>
          <w:p>
            <w:pPr>
              <w:widowControl/>
              <w:spacing w:line="24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具备负载自测试功能。设备安装调试完成后需要现场测试负载自测试功能，负载测试容量可根据UPS功率的30-100%调节以验证不同负载率下UPS参数性能</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支持部件生命周期监测功能，具备提示防尘滤网、风机等部件的使用时间及定时检查提醒功能。提供相关设置界面截图</w:t>
            </w:r>
            <w:r>
              <w:rPr>
                <w:rFonts w:hint="eastAsia" w:ascii="宋体" w:hAnsi="宋体" w:eastAsia="宋体" w:cs="宋体"/>
                <w:color w:val="auto"/>
                <w:kern w:val="0"/>
                <w:sz w:val="24"/>
                <w:szCs w:val="24"/>
                <w:highlight w:val="none"/>
                <w:lang w:eastAsia="zh-CN"/>
              </w:rPr>
              <w:t>。</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restart"/>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该部分放置在地下室负二楼配电间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电池直流断路器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电池直流断路器63A/3P</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脱扣线圈</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脱扣线圈</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辅助触点</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辅助触点</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铅酸免维护蓄电池，12V/65AH，设计寿命十年，每组32节，本次配置1组，可满足负载6KW延时2小时，5年质保。为保证后期维护的一致性，蓄电池应与UPS同一品牌。</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电池柜</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定制电池柜。</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vMerge w:val="continue"/>
            <w:vAlign w:val="center"/>
          </w:tcPr>
          <w:p>
            <w:pPr>
              <w:widowControl/>
              <w:spacing w:line="240" w:lineRule="auto"/>
              <w:ind w:firstLine="0" w:firstLineChars="0"/>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9298" w:type="dxa"/>
            <w:gridSpan w:val="2"/>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平安区司法局应急指挥配套物理环境（装修及配套设施）</w:t>
            </w:r>
          </w:p>
        </w:tc>
        <w:tc>
          <w:tcPr>
            <w:tcW w:w="3663" w:type="dxa"/>
            <w:gridSpan w:val="3"/>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p>
        </w:tc>
      </w:tr>
    </w:tbl>
    <w:p>
      <w:pPr>
        <w:widowControl/>
        <w:spacing w:line="240" w:lineRule="auto"/>
        <w:ind w:firstLine="0" w:firstLineChars="0"/>
        <w:rPr>
          <w:rFonts w:hint="eastAsia" w:ascii="宋体" w:hAnsi="宋体" w:eastAsia="宋体" w:cs="宋体"/>
          <w:b/>
          <w:color w:val="auto"/>
          <w:sz w:val="24"/>
          <w:szCs w:val="24"/>
          <w:highlight w:val="none"/>
        </w:rPr>
      </w:pPr>
    </w:p>
    <w:p>
      <w:pPr>
        <w:widowControl/>
        <w:spacing w:line="240" w:lineRule="auto"/>
        <w:ind w:firstLine="0" w:firstLineChars="0"/>
        <w:rPr>
          <w:rFonts w:hint="eastAsia" w:ascii="宋体" w:hAnsi="宋体" w:eastAsia="宋体" w:cs="宋体"/>
          <w:b/>
          <w:color w:val="auto"/>
          <w:sz w:val="24"/>
          <w:szCs w:val="24"/>
          <w:highlight w:val="none"/>
        </w:rPr>
      </w:pPr>
    </w:p>
    <w:p>
      <w:pPr>
        <w:widowControl/>
        <w:spacing w:line="240" w:lineRule="auto"/>
        <w:ind w:firstLine="0" w:firstLineChars="0"/>
        <w:rPr>
          <w:rFonts w:hint="eastAsia" w:ascii="宋体" w:hAnsi="宋体" w:eastAsia="宋体" w:cs="宋体"/>
          <w:b/>
          <w:color w:val="auto"/>
          <w:sz w:val="24"/>
          <w:szCs w:val="24"/>
          <w:highlight w:val="none"/>
        </w:rPr>
        <w:sectPr>
          <w:pgSz w:w="16838" w:h="11906" w:orient="landscape"/>
          <w:pgMar w:top="1230" w:right="1440" w:bottom="1230" w:left="1440" w:header="851" w:footer="992" w:gutter="0"/>
          <w:cols w:space="425" w:num="1"/>
          <w:docGrid w:linePitch="381" w:charSpace="0"/>
        </w:sectPr>
      </w:pP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平安区司法局应急指挥配套物理环境（装修及配套设施）配置清单表</w:t>
      </w:r>
    </w:p>
    <w:tbl>
      <w:tblPr>
        <w:tblStyle w:val="3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692"/>
        <w:gridCol w:w="6606"/>
        <w:gridCol w:w="1222"/>
        <w:gridCol w:w="122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blHeader/>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9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660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规格、型号</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p>
        </w:tc>
        <w:tc>
          <w:tcPr>
            <w:tcW w:w="11745"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装修系统</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微孔铝板吊顶</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微孔铝板600×600×1.0含配件</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防水乳胶漆三遍</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69</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地板下保温隔热处理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1.保温隔热楼地面</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2.贴20mm厚B1橡塑海绵保温层（铝箔面）</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地板下防尘、防水处理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防静电地板（含支架）</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尺寸：600×600×32mm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规格：全钢地板</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面层：HPL</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玻璃地板</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600×600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地板角铁（边龙骨）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4#角钢</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防水堰</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甲级钢质防火门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1000×2400mm，含五金配件、闭门器、门锁等</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樘</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设备支架</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5#角钢支架</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UPS、配电柜基础</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槽钢规格：10#国标</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墙面拆除</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墙面乳胶漆铲除</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吊顶拆除</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原矿棉板吊顶拆除</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门拆除</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原来900mm×2100mm门拆除，将门洞改为1000mm×2400mm</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窗拆除</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外幕墙一片窗拆除</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垃圾清运</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开孔、开洞</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防火封堵</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UPS及蓄电池柜底座基础</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C25钢筋混凝土、做防水处理</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辅材</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防静电胶垫、防水布</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机房加固</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p>
        </w:tc>
        <w:tc>
          <w:tcPr>
            <w:tcW w:w="11745"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安防系统</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1.不低于200万星光级1/2.7"CMOS智能半球网络摄像机；</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2.内置GPU芯片，内置红外与白光补光灯；</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3.支持白光报警功能，当报警产生时，可触发联动白光闪烁。需支持双码流技术，主码流最高1920x1080@25fps，子码流704x576@25fps；</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4.在1920x1080 @ 30fps下，清晰度不小于1100TVL；</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5.需具备区域入侵检测、越界检测、进入区域、离开区域等功能；</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6.含摄像机支架</w:t>
            </w:r>
          </w:p>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7.含NVR硬件设备，配4T监控专用SATA硬盘2块、视频存储30天</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门禁系统</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进门指纹、密码+刷卡，出门按钮，其他相关的附件及配套设施等</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w:t>
            </w:r>
          </w:p>
        </w:tc>
        <w:tc>
          <w:tcPr>
            <w:tcW w:w="11745"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消防系统</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感烟探测器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点型光电</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感温探测器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点型光电</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火灾声光报警器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火灾声光报警器</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紧急启停按钮</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紧急启停按钮</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气体释放警报器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气体释放警报器</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输入/输出模块</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非编码型，用于交直流转换控制，双切换，一个回答，具有断线监测功能，配接火灾报警控制器（联动型）</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8模块箱</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可装入8只模块</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气体灭火控制器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壁挂式，单灭火分区，集成火灾报警控制器，带联网功能，含备电</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线缆辅材</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单瓶式柜式灭火装置</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GQQ70/2.5/38kg</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泄压口</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300×300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灭火器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MT7,二氧化碳充装量：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7kg</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专用氧气呼吸器</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房专用氧气呼吸器，呼吸量30L/min；呼气阻力≤600Pa；吸气阻力0～500Pa；定量供氧量≥1.6±0.2L/min；自动补给供氧量≥100L/min；手动补给供氧量≥80L/min；自动补给开启压力（50～245）Pa；排气阀开启压力400Pa-700Pa；吸气中的二氧化碳浓度≤1%；吸气中的氧气浓度≥21%；吸气温度≤35℃</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w:t>
            </w:r>
          </w:p>
        </w:tc>
        <w:tc>
          <w:tcPr>
            <w:tcW w:w="11745" w:type="dxa"/>
            <w:gridSpan w:val="4"/>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电气系统（模块外）</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双管格栅LED灯</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AC220,2×22W，光通量≮1800</w:t>
            </w:r>
            <w:r>
              <w:rPr>
                <w:rFonts w:hint="eastAsia" w:ascii="宋体" w:hAnsi="宋体" w:eastAsia="宋体" w:cs="宋体"/>
                <w:color w:val="auto"/>
                <w:kern w:val="0"/>
                <w:sz w:val="24"/>
                <w:szCs w:val="24"/>
                <w:highlight w:val="none"/>
                <w:lang w:val="en-US" w:eastAsia="zh-CN"/>
              </w:rPr>
              <w:t>lm</w:t>
            </w:r>
            <w:r>
              <w:rPr>
                <w:rFonts w:hint="eastAsia" w:ascii="宋体" w:hAnsi="宋体" w:eastAsia="宋体" w:cs="宋体"/>
                <w:color w:val="auto"/>
                <w:kern w:val="0"/>
                <w:sz w:val="24"/>
                <w:szCs w:val="24"/>
                <w:highlight w:val="none"/>
              </w:rPr>
              <w:t>，</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双头应急照明灯</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双头应急照明灯，自带蓄电池型</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疏散照明灯具</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疏散指示，自带蓄电池型，吊装式</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安全出口指示灯</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安全出口标志灯，自带蓄电池型</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单联单控翘班开关</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AC220 10A</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配管</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材质:热镀锌钢管(SC)规格:SC25配置形式:暗配、明敷</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线槽</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走线架</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材质：铝合金，样式：梯形，规格：600宽，单层</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规格:WDZ-YJY-5×16敷设方式、部位:管内、桥架</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RVV-1×10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RVV-5×4</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RVV-3×6</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BVR-3×2.5</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YJV5×16</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RVV1×10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RVV3×6</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电缆端子及其制作</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RVV5×4</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6mm²</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接地线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35mm²</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铜排</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等电位端子箱</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300×200×120</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w:t>
            </w:r>
          </w:p>
        </w:tc>
        <w:tc>
          <w:tcPr>
            <w:tcW w:w="2692" w:type="dxa"/>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通风系统（模块外）</w:t>
            </w:r>
          </w:p>
        </w:tc>
        <w:tc>
          <w:tcPr>
            <w:tcW w:w="6606" w:type="dxa"/>
            <w:shd w:val="clear" w:color="auto" w:fill="auto"/>
            <w:vAlign w:val="center"/>
          </w:tcPr>
          <w:p>
            <w:pPr>
              <w:widowControl/>
              <w:spacing w:line="240" w:lineRule="auto"/>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灾后排风机</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安装形式：吊装，风量：400m³/h，余压：100Pa，输入功率为550w（380V），噪声≤65dB，风机形式：轴流</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排风机控制箱</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与排风机配套</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镀锌铁皮风管</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0.6mm厚</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单层百叶风口</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铝合金风口，带过滤网，600×400mm</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防雨百叶风口</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铝合金风口，带过滤网，250×160mm，与外墙同色</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电动密闭阀</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250×160mm，220V电源</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70℃防火阀</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250×160mm</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防火帆布软连接</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橡塑保温</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20mm厚，难燃B1级</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m³</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87"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692"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风管及风机支吊架</w:t>
            </w:r>
          </w:p>
        </w:tc>
        <w:tc>
          <w:tcPr>
            <w:tcW w:w="6606" w:type="dxa"/>
            <w:shd w:val="clear" w:color="auto" w:fill="auto"/>
            <w:vAlign w:val="center"/>
          </w:tcPr>
          <w:p>
            <w:pPr>
              <w:widowControl/>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4#角钢</w:t>
            </w:r>
          </w:p>
        </w:tc>
        <w:tc>
          <w:tcPr>
            <w:tcW w:w="1222"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kg</w:t>
            </w:r>
          </w:p>
        </w:tc>
        <w:tc>
          <w:tcPr>
            <w:tcW w:w="1225" w:type="dxa"/>
            <w:shd w:val="clear" w:color="auto" w:fill="auto"/>
            <w:vAlign w:val="center"/>
          </w:tcPr>
          <w:p>
            <w:pPr>
              <w:widowControl/>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44.00</w:t>
            </w:r>
          </w:p>
        </w:tc>
        <w:tc>
          <w:tcPr>
            <w:tcW w:w="1216" w:type="dxa"/>
            <w:shd w:val="clear" w:color="auto" w:fill="auto"/>
            <w:vAlign w:val="center"/>
          </w:tcPr>
          <w:p>
            <w:pPr>
              <w:widowControl/>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bl>
    <w:p>
      <w:pPr>
        <w:widowControl/>
        <w:spacing w:line="240" w:lineRule="auto"/>
        <w:ind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 xml:space="preserve">供货时间：合同签订后 </w:t>
      </w:r>
      <w:r>
        <w:rPr>
          <w:rFonts w:hint="eastAsia" w:ascii="宋体" w:hAnsi="宋体" w:eastAsia="宋体" w:cs="宋体"/>
          <w:b/>
          <w:color w:val="auto"/>
          <w:sz w:val="24"/>
          <w:szCs w:val="24"/>
          <w:highlight w:val="none"/>
          <w:lang w:val="en-US" w:eastAsia="zh-CN"/>
        </w:rPr>
        <w:t>30个工作日</w:t>
      </w:r>
      <w:r>
        <w:rPr>
          <w:rFonts w:hint="eastAsia" w:ascii="宋体" w:hAnsi="宋体" w:eastAsia="宋体" w:cs="宋体"/>
          <w:b/>
          <w:color w:val="auto"/>
          <w:sz w:val="24"/>
          <w:szCs w:val="24"/>
          <w:highlight w:val="none"/>
          <w:lang w:eastAsia="zh-CN"/>
        </w:rPr>
        <w:t>内交货完毕</w:t>
      </w:r>
    </w:p>
    <w:p>
      <w:pPr>
        <w:widowControl/>
        <w:spacing w:line="24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项目质保期：</w:t>
      </w:r>
      <w:r>
        <w:rPr>
          <w:rFonts w:hint="eastAsia" w:ascii="宋体" w:hAnsi="宋体" w:eastAsia="宋体" w:cs="宋体"/>
          <w:b/>
          <w:color w:val="auto"/>
          <w:sz w:val="24"/>
          <w:szCs w:val="24"/>
          <w:highlight w:val="none"/>
          <w:lang w:val="en-US" w:eastAsia="zh-CN"/>
        </w:rPr>
        <w:t>3年</w:t>
      </w:r>
    </w:p>
    <w:p>
      <w:pPr>
        <w:widowControl/>
        <w:spacing w:line="24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3.服务要求：全省司法行政系统召开重要会议期间，中标方需在53个市州、县区司法局提供现场技术支持</w:t>
      </w:r>
      <w:r>
        <w:rPr>
          <w:rFonts w:hint="eastAsia" w:ascii="宋体" w:hAnsi="宋体" w:cs="宋体"/>
          <w:b/>
          <w:color w:val="auto"/>
          <w:sz w:val="24"/>
          <w:szCs w:val="24"/>
          <w:highlight w:val="none"/>
          <w:lang w:val="en-US" w:eastAsia="zh-CN"/>
        </w:rPr>
        <w:t>，并提供服务承诺函</w:t>
      </w:r>
      <w:r>
        <w:rPr>
          <w:rFonts w:hint="eastAsia" w:ascii="宋体" w:hAnsi="宋体" w:eastAsia="宋体" w:cs="宋体"/>
          <w:b/>
          <w:color w:val="auto"/>
          <w:sz w:val="24"/>
          <w:szCs w:val="24"/>
          <w:highlight w:val="none"/>
          <w:lang w:val="en-US" w:eastAsia="zh-CN"/>
        </w:rPr>
        <w:t>。</w:t>
      </w:r>
    </w:p>
    <w:p>
      <w:pPr>
        <w:widowControl/>
        <w:spacing w:line="240" w:lineRule="auto"/>
        <w:ind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p>
    <w:p>
      <w:pPr>
        <w:spacing w:line="360" w:lineRule="auto"/>
        <w:ind w:firstLine="480" w:firstLineChars="200"/>
        <w:rPr>
          <w:color w:val="auto"/>
          <w:highlight w:val="none"/>
          <w:u w:val="none"/>
        </w:rPr>
      </w:pPr>
    </w:p>
    <w:sectPr>
      <w:footerReference r:id="rId15" w:type="default"/>
      <w:pgSz w:w="16781" w:h="11849" w:orient="landscape"/>
      <w:pgMar w:top="1803" w:right="1440" w:bottom="1803" w:left="1440"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黑体壵....">
    <w:altName w:val="黑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a:effectLst/>
                    </wps:spPr>
                    <wps:txbx>
                      <w:txbxContent>
                        <w:p>
                          <w:pPr>
                            <w:pStyle w:val="2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aB1x0gAAAAMBAAAPAAAAAAAA&#10;AAEAIAAAACIAAABkcnMvZG93bnJldi54bWxQSwECFAAUAAAACACHTuJAqyvwTt8BAACxAwAADgAA&#10;AAAAAAABACAAAAAhAQAAZHJzL2Uyb0RvYy54bWxQSwUGAAAAAAYABgBZAQAAcgUAAAAA&#10;">
              <v:fill on="f" focussize="0,0"/>
              <v:stroke on="f" weight="0.5pt"/>
              <v:imagedata o:title=""/>
              <o:lock v:ext="edit" aspectratio="f"/>
              <v:textbox inset="0mm,0mm,0mm,0mm" style="mso-fit-shape-to-text:t;">
                <w:txbxContent>
                  <w:p>
                    <w:pPr>
                      <w:pStyle w:val="21"/>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9105" cy="14795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a:effectLst/>
                    </wps:spPr>
                    <wps:txbx>
                      <w:txbxContent>
                        <w:p>
                          <w:pPr>
                            <w:pStyle w:val="21"/>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36.15pt;mso-position-horizontal:center;mso-position-horizontal-relative:margin;mso-wrap-style:none;z-index:251660288;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aB1x0gAAAAMBAAAPAAAAAAAA&#10;AAEAIAAAACIAAABkcnMvZG93bnJldi54bWxQSwECFAAUAAAACACHTuJAD8yab98BAACxAwAADgAA&#10;AAAAAAABACAAAAAhAQAAZHJzL2Uyb0RvYy54bWxQSwUGAAAAAAYABgBZAQAAcgUAAAAA&#10;">
              <v:fill on="f" focussize="0,0"/>
              <v:stroke on="f" weight="0.5pt"/>
              <v:imagedata o:title=""/>
              <o:lock v:ext="edit" aspectratio="f"/>
              <v:textbox inset="0mm,0mm,0mm,0mm" style="mso-fit-shape-to-text:t;">
                <w:txbxContent>
                  <w:p>
                    <w:pPr>
                      <w:pStyle w:val="21"/>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9105" cy="14795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w="6350">
                        <a:noFill/>
                      </a:ln>
                      <a:effectLst/>
                    </wps:spPr>
                    <wps:txbx>
                      <w:txbxContent>
                        <w:p>
                          <w:pPr>
                            <w:pStyle w:val="21"/>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1.65pt;width:36.15pt;mso-position-horizontal:center;mso-position-horizontal-relative:margin;mso-wrap-style:none;z-index:251661312;mso-width-relative:page;mso-height-relative:page;" filled="f" stroked="f" coordsize="21600,21600" o:gfxdata="UEsDBAoAAAAAAIdO4kAAAAAAAAAAAAAAAAAEAAAAZHJzL1BLAwQUAAAACACHTuJARGgdcd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aB1x0gAAAAMBAAAPAAAAAAAA&#10;AAEAIAAAACIAAABkcnMvZG93bnJldi54bWxQSwECFAAUAAAACACHTuJA+qKjJN8BAACxAwAADgAA&#10;AAAAAAABACAAAAAhAQAAZHJzL2Uyb0RvYy54bWxQSwUGAAAAAAYABgBZAQAAcgUAAAAA&#10;">
              <v:fill on="f" focussize="0,0"/>
              <v:stroke on="f" weight="0.5pt"/>
              <v:imagedata o:title=""/>
              <o:lock v:ext="edit" aspectratio="f"/>
              <v:textbox inset="0mm,0mm,0mm,0mm" style="mso-fit-shape-to-text:t;">
                <w:txbxContent>
                  <w:p>
                    <w:pPr>
                      <w:pStyle w:val="21"/>
                    </w:pPr>
                    <w:r>
                      <w:rPr>
                        <w:rFonts w:hint="eastAsia"/>
                      </w:rPr>
                      <w:t xml:space="preserve">第 </w:t>
                    </w:r>
                    <w:r>
                      <w:fldChar w:fldCharType="begin"/>
                    </w:r>
                    <w:r>
                      <w:instrText xml:space="preserve"> PAGE  \* MERGEFORMAT </w:instrText>
                    </w:r>
                    <w:r>
                      <w:fldChar w:fldCharType="separate"/>
                    </w:r>
                    <w:r>
                      <w:t>48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6"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a:effectLst/>
                    </wps:spPr>
                    <wps:txbx>
                      <w:txbxContent>
                        <w:p>
                          <w:pPr>
                            <w:pStyle w:val="21"/>
                          </w:pPr>
                          <w:r>
                            <w:rPr>
                              <w:rFonts w:hint="eastAsia"/>
                            </w:rPr>
                            <w:t xml:space="preserve">第 </w:t>
                          </w:r>
                          <w:r>
                            <w:fldChar w:fldCharType="begin"/>
                          </w:r>
                          <w:r>
                            <w:instrText xml:space="preserve"> PAGE  \* MERGEFORMAT </w:instrText>
                          </w:r>
                          <w:r>
                            <w:fldChar w:fldCharType="separate"/>
                          </w:r>
                          <w:r>
                            <w:t>62</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lECTdEAAAADAQAADwAAAAAAAAABACAAAAAiAAAAZHJzL2Rvd25yZXYu&#10;eG1sUEsBAhQAFAAAAAgAh07iQD/IgRgCAgAAEgQAAA4AAAAAAAAAAQAgAAAAIAEAAGRycy9lMm9E&#10;b2MueG1sUEsFBgAAAAAGAAYAWQEAAJQFAAAAAA==&#10;">
              <v:fill on="f" focussize="0,0"/>
              <v:stroke on="f"/>
              <v:imagedata o:title=""/>
              <o:lock v:ext="edit" aspectratio="f"/>
              <v:textbox inset="0mm,0mm,0mm,0mm" style="mso-fit-shape-to-text:t;">
                <w:txbxContent>
                  <w:p>
                    <w:pPr>
                      <w:pStyle w:val="21"/>
                    </w:pPr>
                    <w:r>
                      <w:rPr>
                        <w:rFonts w:hint="eastAsia"/>
                      </w:rPr>
                      <w:t xml:space="preserve">第 </w:t>
                    </w:r>
                    <w:r>
                      <w:fldChar w:fldCharType="begin"/>
                    </w:r>
                    <w:r>
                      <w:instrText xml:space="preserve"> PAGE  \* MERGEFORMAT </w:instrText>
                    </w:r>
                    <w:r>
                      <w:fldChar w:fldCharType="separate"/>
                    </w:r>
                    <w:r>
                      <w:t>62</w:t>
                    </w:r>
                    <w:r>
                      <w:fldChar w:fldCharType="end"/>
                    </w:r>
                    <w:r>
                      <w:rPr>
                        <w:rFonts w:hint="eastAsia"/>
                      </w:rPr>
                      <w:t xml:space="preserve"> 页</w:t>
                    </w:r>
                  </w:p>
                </w:txbxContent>
              </v:textbox>
            </v:shape>
          </w:pict>
        </mc:Fallback>
      </mc:AlternateContent>
    </w:r>
  </w:p>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both"/>
    </w:pPr>
    <w:r>
      <w:rPr>
        <w:rFonts w:hint="eastAsia" w:ascii="宋体" w:hAnsi="宋体" w:cs="宋体"/>
        <w:kern w:val="0"/>
        <w:lang w:val="zh-CN"/>
      </w:rPr>
      <w:t>青海省司法行政系统应急指挥中心三级联建项目</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240" w:line="240" w:lineRule="auto"/>
      <w:rPr>
        <w:sz w:val="24"/>
        <w:szCs w:val="24"/>
      </w:rPr>
    </w:pPr>
    <w:r>
      <w:rPr>
        <w:rFonts w:hint="eastAsia"/>
        <w:sz w:val="24"/>
        <w:szCs w:val="24"/>
      </w:rPr>
      <w:t>青海省司法行政系统应急指挥中心三级联建项目初步设计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240"/>
      <w:ind w:left="528" w:firstLine="360"/>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047230" cy="1409065"/>
              <wp:effectExtent l="2819400" t="0" r="0" b="0"/>
              <wp:wrapNone/>
              <wp:docPr id="2" name="文本框 2"/>
              <wp:cNvGraphicFramePr/>
              <a:graphic xmlns:a="http://schemas.openxmlformats.org/drawingml/2006/main">
                <a:graphicData uri="http://schemas.microsoft.com/office/word/2010/wordprocessingShape">
                  <wps:wsp>
                    <wps:cNvSpPr>
                      <a:spLocks noTextEdit="1"/>
                    </wps:cNvSpPr>
                    <wps:spPr>
                      <a:xfrm rot="-2700000">
                        <a:off x="0" y="0"/>
                        <a:ext cx="7047230" cy="1409065"/>
                      </a:xfrm>
                      <a:prstGeom prst="rect">
                        <a:avLst/>
                      </a:prstGeom>
                      <a:noFill/>
                      <a:ln w="9525">
                        <a:noFill/>
                      </a:ln>
                    </wps:spPr>
                    <wps:txbx>
                      <w:txbxContent>
                        <w:p>
                          <w:pPr>
                            <w:ind w:firstLine="40"/>
                            <w:jc w:val="center"/>
                            <w:rPr>
                              <w:rFonts w:ascii="仿宋" w:hAnsi="仿宋"/>
                              <w:color w:val="A5A5A5"/>
                              <w:kern w:val="0"/>
                              <w:sz w:val="2"/>
                              <w:szCs w:val="2"/>
                            </w:rPr>
                          </w:pPr>
                          <w:r>
                            <w:rPr>
                              <w:rFonts w:hint="eastAsia" w:ascii="仿宋" w:hAnsi="仿宋"/>
                              <w:color w:val="A5A5A5"/>
                              <w:sz w:val="2"/>
                              <w:szCs w:val="2"/>
                            </w:rPr>
                            <w:t>可研会审稿</w:t>
                          </w:r>
                        </w:p>
                      </w:txbxContent>
                    </wps:txbx>
                    <wps:bodyPr upright="1">
                      <a:spAutoFit/>
                    </wps:bodyPr>
                  </wps:wsp>
                </a:graphicData>
              </a:graphic>
            </wp:anchor>
          </w:drawing>
        </mc:Choice>
        <mc:Fallback>
          <w:pict>
            <v:rect id="文本框 2" o:spid="_x0000_s1026" o:spt="1" style="position:absolute;left:0pt;height:110.95pt;width:554.9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YWkZNcAAAAGAQAADwAAAAAAAAAB&#10;ACAAAAAiAAAAZHJzL2Rvd25yZXYueG1sUEsBAhQAFAAAAAgAh07iQLk7SWHYAQAAnwMAAA4AAAAA&#10;AAAAAQAgAAAAJgEAAGRycy9lMm9Eb2MueG1sUEsFBgAAAAAGAAYAWQEAAHAFAAAAAA==&#10;">
              <v:fill on="f" focussize="0,0"/>
              <v:stroke on="f"/>
              <v:imagedata o:title=""/>
              <o:lock v:ext="edit" text="t" aspectratio="f"/>
              <v:textbox style="mso-fit-shape-to-text:t;">
                <w:txbxContent>
                  <w:p>
                    <w:pPr>
                      <w:ind w:firstLine="40"/>
                      <w:jc w:val="center"/>
                      <w:rPr>
                        <w:rFonts w:ascii="仿宋" w:hAnsi="仿宋"/>
                        <w:color w:val="A5A5A5"/>
                        <w:kern w:val="0"/>
                        <w:sz w:val="2"/>
                        <w:szCs w:val="2"/>
                      </w:rPr>
                    </w:pPr>
                    <w:r>
                      <w:rPr>
                        <w:rFonts w:hint="eastAsia" w:ascii="仿宋" w:hAnsi="仿宋"/>
                        <w:color w:val="A5A5A5"/>
                        <w:sz w:val="2"/>
                        <w:szCs w:val="2"/>
                      </w:rPr>
                      <w:t>可研会审稿</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240"/>
      <w:ind w:left="528" w:firstLine="360"/>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047230" cy="1409065"/>
              <wp:effectExtent l="2819400" t="0" r="0" b="0"/>
              <wp:wrapNone/>
              <wp:docPr id="1" name="文本框 1"/>
              <wp:cNvGraphicFramePr/>
              <a:graphic xmlns:a="http://schemas.openxmlformats.org/drawingml/2006/main">
                <a:graphicData uri="http://schemas.microsoft.com/office/word/2010/wordprocessingShape">
                  <wps:wsp>
                    <wps:cNvSpPr>
                      <a:spLocks noTextEdit="1"/>
                    </wps:cNvSpPr>
                    <wps:spPr>
                      <a:xfrm rot="-2700000">
                        <a:off x="0" y="0"/>
                        <a:ext cx="7047230" cy="1409065"/>
                      </a:xfrm>
                      <a:prstGeom prst="rect">
                        <a:avLst/>
                      </a:prstGeom>
                      <a:noFill/>
                      <a:ln w="9525">
                        <a:noFill/>
                      </a:ln>
                    </wps:spPr>
                    <wps:txbx>
                      <w:txbxContent>
                        <w:p>
                          <w:pPr>
                            <w:ind w:firstLine="40"/>
                            <w:jc w:val="center"/>
                            <w:rPr>
                              <w:rFonts w:ascii="仿宋" w:hAnsi="仿宋"/>
                              <w:color w:val="A5A5A5"/>
                              <w:kern w:val="0"/>
                              <w:sz w:val="2"/>
                              <w:szCs w:val="2"/>
                            </w:rPr>
                          </w:pPr>
                          <w:r>
                            <w:rPr>
                              <w:rFonts w:hint="eastAsia" w:ascii="仿宋" w:hAnsi="仿宋"/>
                              <w:color w:val="A5A5A5"/>
                              <w:sz w:val="2"/>
                              <w:szCs w:val="2"/>
                            </w:rPr>
                            <w:t>可研会审稿</w:t>
                          </w:r>
                        </w:p>
                      </w:txbxContent>
                    </wps:txbx>
                    <wps:bodyPr upright="1">
                      <a:spAutoFit/>
                    </wps:bodyPr>
                  </wps:wsp>
                </a:graphicData>
              </a:graphic>
            </wp:anchor>
          </w:drawing>
        </mc:Choice>
        <mc:Fallback>
          <w:pict>
            <v:rect id="文本框 1" o:spid="_x0000_s1026" o:spt="1" style="position:absolute;left:0pt;height:110.95pt;width:554.9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YWkZNcAAAAGAQAADwAAAAAAAAAB&#10;ACAAAAAiAAAAZHJzL2Rvd25yZXYueG1sUEsBAhQAFAAAAAgAh07iQL4em1zYAQAAnwMAAA4AAAAA&#10;AAAAAQAgAAAAJgEAAGRycy9lMm9Eb2MueG1sUEsFBgAAAAAGAAYAWQEAAHAFAAAAAA==&#10;">
              <v:fill on="f" focussize="0,0"/>
              <v:stroke on="f"/>
              <v:imagedata o:title=""/>
              <o:lock v:ext="edit" text="t" aspectratio="f"/>
              <v:textbox style="mso-fit-shape-to-text:t;">
                <w:txbxContent>
                  <w:p>
                    <w:pPr>
                      <w:ind w:firstLine="40"/>
                      <w:jc w:val="center"/>
                      <w:rPr>
                        <w:rFonts w:ascii="仿宋" w:hAnsi="仿宋"/>
                        <w:color w:val="A5A5A5"/>
                        <w:kern w:val="0"/>
                        <w:sz w:val="2"/>
                        <w:szCs w:val="2"/>
                      </w:rPr>
                    </w:pPr>
                    <w:r>
                      <w:rPr>
                        <w:rFonts w:hint="eastAsia" w:ascii="仿宋" w:hAnsi="仿宋"/>
                        <w:color w:val="A5A5A5"/>
                        <w:sz w:val="2"/>
                        <w:szCs w:val="2"/>
                      </w:rPr>
                      <w:t>可研会审稿</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B10F50C3"/>
    <w:multiLevelType w:val="singleLevel"/>
    <w:tmpl w:val="B10F50C3"/>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space"/>
      <w:lvlText w:val="%1"/>
      <w:lvlJc w:val="left"/>
      <w:pPr>
        <w:ind w:left="568" w:firstLine="0"/>
      </w:pPr>
    </w:lvl>
    <w:lvl w:ilvl="1" w:tentative="0">
      <w:start w:val="1"/>
      <w:numFmt w:val="decimal"/>
      <w:lvlText w:val="3.%2"/>
      <w:lvlJc w:val="left"/>
      <w:pPr>
        <w:ind w:left="142" w:firstLine="0"/>
      </w:pPr>
      <w:rPr>
        <w:rFonts w:hint="eastAsia"/>
      </w:rPr>
    </w:lvl>
    <w:lvl w:ilvl="2" w:tentative="0">
      <w:start w:val="1"/>
      <w:numFmt w:val="decimal"/>
      <w:pStyle w:val="73"/>
      <w:suff w:val="space"/>
      <w:lvlText w:val="%1.%2.%3"/>
      <w:lvlJc w:val="left"/>
      <w:pPr>
        <w:ind w:left="0" w:firstLine="0"/>
      </w:pPr>
    </w:lvl>
    <w:lvl w:ilvl="3" w:tentative="0">
      <w:start w:val="1"/>
      <w:numFmt w:val="decimal"/>
      <w:lvlText w:val="%1.%2.%3.%4"/>
      <w:lvlJc w:val="left"/>
      <w:pPr>
        <w:ind w:left="1560" w:hanging="708"/>
      </w:pPr>
    </w:lvl>
    <w:lvl w:ilvl="4" w:tentative="0">
      <w:start w:val="1"/>
      <w:numFmt w:val="decimal"/>
      <w:lvlText w:val="%1.%2.%3.%4.%5"/>
      <w:lvlJc w:val="left"/>
      <w:pPr>
        <w:ind w:left="3119" w:hanging="850"/>
      </w:pPr>
    </w:lvl>
    <w:lvl w:ilvl="5" w:tentative="0">
      <w:start w:val="1"/>
      <w:numFmt w:val="decimal"/>
      <w:lvlText w:val="%1.%2.%3.%4.%5.%6"/>
      <w:lvlJc w:val="left"/>
      <w:pPr>
        <w:ind w:left="3828" w:hanging="1134"/>
      </w:pPr>
    </w:lvl>
    <w:lvl w:ilvl="6" w:tentative="0">
      <w:start w:val="1"/>
      <w:numFmt w:val="decimal"/>
      <w:lvlText w:val="%1.%2.%3.%4.%5.%6.%7"/>
      <w:lvlJc w:val="left"/>
      <w:pPr>
        <w:ind w:left="4395" w:hanging="1276"/>
      </w:pPr>
    </w:lvl>
    <w:lvl w:ilvl="7" w:tentative="0">
      <w:start w:val="1"/>
      <w:numFmt w:val="decimal"/>
      <w:lvlText w:val="%1.%2.%3.%4.%5.%6.%7.%8"/>
      <w:lvlJc w:val="left"/>
      <w:pPr>
        <w:ind w:left="4962" w:hanging="1418"/>
      </w:pPr>
    </w:lvl>
    <w:lvl w:ilvl="8" w:tentative="0">
      <w:start w:val="1"/>
      <w:numFmt w:val="decimal"/>
      <w:lvlText w:val="%1.%2.%3.%4.%5.%6.%7.%8.%9"/>
      <w:lvlJc w:val="left"/>
      <w:pPr>
        <w:ind w:left="5670" w:hanging="1700"/>
      </w:pPr>
    </w:lvl>
  </w:abstractNum>
  <w:abstractNum w:abstractNumId="3">
    <w:nsid w:val="2A8748CC"/>
    <w:multiLevelType w:val="multilevel"/>
    <w:tmpl w:val="2A874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2C54A4"/>
    <w:multiLevelType w:val="multilevel"/>
    <w:tmpl w:val="372C54A4"/>
    <w:lvl w:ilvl="0" w:tentative="0">
      <w:start w:val="1"/>
      <w:numFmt w:val="chineseCountingThousand"/>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color w:val="000000"/>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lvlRestart w:val="1"/>
      <w:pStyle w:val="8"/>
      <w:isLgl/>
      <w:suff w:val="space"/>
      <w:lvlText w:val="表%1.%2.%3-%8"/>
      <w:lvlJc w:val="center"/>
      <w:pPr>
        <w:ind w:left="0" w:firstLine="288"/>
      </w:pPr>
      <w:rPr>
        <w:rFonts w:hint="eastAsia"/>
        <w:lang w:val="en-US"/>
      </w:rPr>
    </w:lvl>
    <w:lvl w:ilvl="8" w:tentative="0">
      <w:start w:val="1"/>
      <w:numFmt w:val="decimal"/>
      <w:lvlRestart w:val="1"/>
      <w:isLgl/>
      <w:suff w:val="space"/>
      <w:lvlText w:val="图%1.%2.%3-%9"/>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14:cntxtalts w14:val="0"/>
      </w:rPr>
    </w:lvl>
  </w:abstractNum>
  <w:abstractNum w:abstractNumId="5">
    <w:nsid w:val="561F42AC"/>
    <w:multiLevelType w:val="singleLevel"/>
    <w:tmpl w:val="561F42AC"/>
    <w:lvl w:ilvl="0" w:tentative="0">
      <w:start w:val="2"/>
      <w:numFmt w:val="decimal"/>
      <w:suff w:val="nothing"/>
      <w:lvlText w:val="%1."/>
      <w:lvlJc w:val="left"/>
      <w:rPr>
        <w:rFonts w:cs="Times New Roman"/>
      </w:rPr>
    </w:lvl>
  </w:abstractNum>
  <w:abstractNum w:abstractNumId="6">
    <w:nsid w:val="59B11739"/>
    <w:multiLevelType w:val="singleLevel"/>
    <w:tmpl w:val="59B11739"/>
    <w:lvl w:ilvl="0" w:tentative="0">
      <w:start w:val="1"/>
      <w:numFmt w:val="decimal"/>
      <w:suff w:val="nothing"/>
      <w:lvlText w:val="（%1）"/>
      <w:lvlJc w:val="left"/>
      <w:rPr>
        <w:rFonts w:cs="Times New Roman"/>
      </w:rPr>
    </w:lvl>
  </w:abstractNum>
  <w:abstractNum w:abstractNumId="7">
    <w:nsid w:val="59FC3CC6"/>
    <w:multiLevelType w:val="singleLevel"/>
    <w:tmpl w:val="59FC3CC6"/>
    <w:lvl w:ilvl="0" w:tentative="0">
      <w:start w:val="1"/>
      <w:numFmt w:val="decimal"/>
      <w:suff w:val="nothing"/>
      <w:lvlText w:val="（%1）"/>
      <w:lvlJc w:val="left"/>
      <w:rPr>
        <w:rFonts w:cs="Times New Roman"/>
      </w:rPr>
    </w:lvl>
  </w:abstractNum>
  <w:abstractNum w:abstractNumId="8">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9">
    <w:nsid w:val="59FC4271"/>
    <w:multiLevelType w:val="singleLevel"/>
    <w:tmpl w:val="59FC4271"/>
    <w:lvl w:ilvl="0" w:tentative="0">
      <w:start w:val="1"/>
      <w:numFmt w:val="decimal"/>
      <w:suff w:val="nothing"/>
      <w:lvlText w:val="（%1）"/>
      <w:lvlJc w:val="left"/>
      <w:rPr>
        <w:rFonts w:cs="Times New Roman"/>
      </w:rPr>
    </w:lvl>
  </w:abstractNum>
  <w:abstractNum w:abstractNumId="10">
    <w:nsid w:val="59FC4698"/>
    <w:multiLevelType w:val="singleLevel"/>
    <w:tmpl w:val="59FC4698"/>
    <w:lvl w:ilvl="0" w:tentative="0">
      <w:start w:val="1"/>
      <w:numFmt w:val="decimal"/>
      <w:suff w:val="nothing"/>
      <w:lvlText w:val="（%1）"/>
      <w:lvlJc w:val="left"/>
      <w:rPr>
        <w:rFonts w:cs="Times New Roman"/>
      </w:rPr>
    </w:lvl>
  </w:abstractNum>
  <w:abstractNum w:abstractNumId="11">
    <w:nsid w:val="59FC4CCC"/>
    <w:multiLevelType w:val="singleLevel"/>
    <w:tmpl w:val="59FC4CCC"/>
    <w:lvl w:ilvl="0" w:tentative="0">
      <w:start w:val="1"/>
      <w:numFmt w:val="decimal"/>
      <w:suff w:val="nothing"/>
      <w:lvlText w:val="（%1）"/>
      <w:lvlJc w:val="left"/>
      <w:rPr>
        <w:rFonts w:cs="Times New Roman"/>
      </w:rPr>
    </w:lvl>
  </w:abstractNum>
  <w:abstractNum w:abstractNumId="12">
    <w:nsid w:val="5A24ABAF"/>
    <w:multiLevelType w:val="singleLevel"/>
    <w:tmpl w:val="5A24ABAF"/>
    <w:lvl w:ilvl="0" w:tentative="0">
      <w:start w:val="1"/>
      <w:numFmt w:val="chineseCounting"/>
      <w:suff w:val="nothing"/>
      <w:lvlText w:val="%1、"/>
      <w:lvlJc w:val="left"/>
      <w:rPr>
        <w:rFonts w:cs="Times New Roman"/>
      </w:rPr>
    </w:lvl>
  </w:abstractNum>
  <w:abstractNum w:abstractNumId="13">
    <w:nsid w:val="5A24ACA1"/>
    <w:multiLevelType w:val="singleLevel"/>
    <w:tmpl w:val="5A24ACA1"/>
    <w:lvl w:ilvl="0" w:tentative="0">
      <w:start w:val="11"/>
      <w:numFmt w:val="decimal"/>
      <w:suff w:val="nothing"/>
      <w:lvlText w:val="（%1）"/>
      <w:lvlJc w:val="left"/>
      <w:rPr>
        <w:rFonts w:cs="Times New Roman"/>
      </w:rPr>
    </w:lvl>
  </w:abstractNum>
  <w:abstractNum w:abstractNumId="14">
    <w:nsid w:val="5A24B087"/>
    <w:multiLevelType w:val="singleLevel"/>
    <w:tmpl w:val="5A24B087"/>
    <w:lvl w:ilvl="0" w:tentative="0">
      <w:start w:val="2"/>
      <w:numFmt w:val="chineseCounting"/>
      <w:suff w:val="nothing"/>
      <w:lvlText w:val="（%1）"/>
      <w:lvlJc w:val="left"/>
      <w:rPr>
        <w:rFonts w:cs="Times New Roman"/>
      </w:rPr>
    </w:lvl>
  </w:abstractNum>
  <w:num w:numId="1">
    <w:abstractNumId w:val="4"/>
  </w:num>
  <w:num w:numId="2">
    <w:abstractNumId w:val="2"/>
  </w:num>
  <w:num w:numId="3">
    <w:abstractNumId w:val="1"/>
  </w:num>
  <w:num w:numId="4">
    <w:abstractNumId w:val="0"/>
  </w:num>
  <w:num w:numId="5">
    <w:abstractNumId w:val="7"/>
  </w:num>
  <w:num w:numId="6">
    <w:abstractNumId w:val="8"/>
  </w:num>
  <w:num w:numId="7">
    <w:abstractNumId w:val="9"/>
  </w:num>
  <w:num w:numId="8">
    <w:abstractNumId w:val="10"/>
  </w:num>
  <w:num w:numId="9">
    <w:abstractNumId w:val="12"/>
  </w:num>
  <w:num w:numId="10">
    <w:abstractNumId w:val="11"/>
  </w:num>
  <w:num w:numId="11">
    <w:abstractNumId w:val="6"/>
  </w:num>
  <w:num w:numId="12">
    <w:abstractNumId w:val="13"/>
  </w:num>
  <w:num w:numId="13">
    <w:abstractNumId w:val="5"/>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40"/>
  <w:drawingGridVerticalSpacing w:val="-794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55E28"/>
    <w:rsid w:val="00000C02"/>
    <w:rsid w:val="000017B4"/>
    <w:rsid w:val="00003E8C"/>
    <w:rsid w:val="00011F36"/>
    <w:rsid w:val="00014D7B"/>
    <w:rsid w:val="000177E2"/>
    <w:rsid w:val="00041554"/>
    <w:rsid w:val="00043687"/>
    <w:rsid w:val="00045339"/>
    <w:rsid w:val="000876ED"/>
    <w:rsid w:val="00092A50"/>
    <w:rsid w:val="00093CBF"/>
    <w:rsid w:val="00097FB6"/>
    <w:rsid w:val="000A20D7"/>
    <w:rsid w:val="000A3AC7"/>
    <w:rsid w:val="000B73E9"/>
    <w:rsid w:val="000B7965"/>
    <w:rsid w:val="000F1B4F"/>
    <w:rsid w:val="000F3005"/>
    <w:rsid w:val="001031A9"/>
    <w:rsid w:val="00106EE0"/>
    <w:rsid w:val="00107D8E"/>
    <w:rsid w:val="001102D8"/>
    <w:rsid w:val="001146C3"/>
    <w:rsid w:val="001163B3"/>
    <w:rsid w:val="00123051"/>
    <w:rsid w:val="00126E6E"/>
    <w:rsid w:val="00132B67"/>
    <w:rsid w:val="00134EF1"/>
    <w:rsid w:val="00167D2F"/>
    <w:rsid w:val="00170681"/>
    <w:rsid w:val="001742E7"/>
    <w:rsid w:val="00187FE2"/>
    <w:rsid w:val="0019666E"/>
    <w:rsid w:val="001A3435"/>
    <w:rsid w:val="001B01E8"/>
    <w:rsid w:val="001B2820"/>
    <w:rsid w:val="001C14EB"/>
    <w:rsid w:val="001C4752"/>
    <w:rsid w:val="001D001F"/>
    <w:rsid w:val="001D2953"/>
    <w:rsid w:val="001D537C"/>
    <w:rsid w:val="00210EA0"/>
    <w:rsid w:val="00223193"/>
    <w:rsid w:val="002335D9"/>
    <w:rsid w:val="00234831"/>
    <w:rsid w:val="002575AF"/>
    <w:rsid w:val="00264A89"/>
    <w:rsid w:val="00266CA3"/>
    <w:rsid w:val="002748BE"/>
    <w:rsid w:val="002768DD"/>
    <w:rsid w:val="00284B51"/>
    <w:rsid w:val="00284B8D"/>
    <w:rsid w:val="002931D4"/>
    <w:rsid w:val="00294310"/>
    <w:rsid w:val="002A0EDD"/>
    <w:rsid w:val="002A25BE"/>
    <w:rsid w:val="002A46F5"/>
    <w:rsid w:val="002A5806"/>
    <w:rsid w:val="002C0C4D"/>
    <w:rsid w:val="002C58EE"/>
    <w:rsid w:val="002C6DDB"/>
    <w:rsid w:val="002D2195"/>
    <w:rsid w:val="002E1C3A"/>
    <w:rsid w:val="002E1EBB"/>
    <w:rsid w:val="002E5E4F"/>
    <w:rsid w:val="002F2BA4"/>
    <w:rsid w:val="00301956"/>
    <w:rsid w:val="00307994"/>
    <w:rsid w:val="00307B26"/>
    <w:rsid w:val="00310AD3"/>
    <w:rsid w:val="00311B8A"/>
    <w:rsid w:val="00320569"/>
    <w:rsid w:val="003257F2"/>
    <w:rsid w:val="003261D5"/>
    <w:rsid w:val="00332755"/>
    <w:rsid w:val="00332B88"/>
    <w:rsid w:val="00333298"/>
    <w:rsid w:val="00335D48"/>
    <w:rsid w:val="003451CC"/>
    <w:rsid w:val="00345E32"/>
    <w:rsid w:val="003518BD"/>
    <w:rsid w:val="003531C3"/>
    <w:rsid w:val="003558BD"/>
    <w:rsid w:val="00371506"/>
    <w:rsid w:val="003818D2"/>
    <w:rsid w:val="00382723"/>
    <w:rsid w:val="00382F17"/>
    <w:rsid w:val="00390A14"/>
    <w:rsid w:val="00392338"/>
    <w:rsid w:val="0039273C"/>
    <w:rsid w:val="00395361"/>
    <w:rsid w:val="003A1EDD"/>
    <w:rsid w:val="003A65B7"/>
    <w:rsid w:val="003A7A18"/>
    <w:rsid w:val="003C5D57"/>
    <w:rsid w:val="003D07AA"/>
    <w:rsid w:val="003E171C"/>
    <w:rsid w:val="003E782E"/>
    <w:rsid w:val="003F1092"/>
    <w:rsid w:val="003F2791"/>
    <w:rsid w:val="003F41B0"/>
    <w:rsid w:val="003F72C2"/>
    <w:rsid w:val="004009D5"/>
    <w:rsid w:val="00404C53"/>
    <w:rsid w:val="00405ED9"/>
    <w:rsid w:val="00424E12"/>
    <w:rsid w:val="00433A3C"/>
    <w:rsid w:val="0043763D"/>
    <w:rsid w:val="00442F22"/>
    <w:rsid w:val="00444FCF"/>
    <w:rsid w:val="0045125A"/>
    <w:rsid w:val="00460B04"/>
    <w:rsid w:val="00465829"/>
    <w:rsid w:val="00474ADD"/>
    <w:rsid w:val="004936F0"/>
    <w:rsid w:val="004B0434"/>
    <w:rsid w:val="004B695A"/>
    <w:rsid w:val="004D4DF6"/>
    <w:rsid w:val="004D64F8"/>
    <w:rsid w:val="004E42E8"/>
    <w:rsid w:val="004E4F42"/>
    <w:rsid w:val="00500CC4"/>
    <w:rsid w:val="00502DE2"/>
    <w:rsid w:val="005040C9"/>
    <w:rsid w:val="00506189"/>
    <w:rsid w:val="00515C1B"/>
    <w:rsid w:val="00517FDB"/>
    <w:rsid w:val="0053785D"/>
    <w:rsid w:val="00544D43"/>
    <w:rsid w:val="00552FD7"/>
    <w:rsid w:val="005536D0"/>
    <w:rsid w:val="00562E8C"/>
    <w:rsid w:val="0059348C"/>
    <w:rsid w:val="005A0F1A"/>
    <w:rsid w:val="005C0916"/>
    <w:rsid w:val="005D57BB"/>
    <w:rsid w:val="005E7E64"/>
    <w:rsid w:val="005F14E9"/>
    <w:rsid w:val="00611DCC"/>
    <w:rsid w:val="0062093E"/>
    <w:rsid w:val="0062118C"/>
    <w:rsid w:val="0063184B"/>
    <w:rsid w:val="00643EDE"/>
    <w:rsid w:val="00655A78"/>
    <w:rsid w:val="0068110B"/>
    <w:rsid w:val="00683FCE"/>
    <w:rsid w:val="00692593"/>
    <w:rsid w:val="0069293C"/>
    <w:rsid w:val="006A0F83"/>
    <w:rsid w:val="006A560C"/>
    <w:rsid w:val="006B2179"/>
    <w:rsid w:val="006C4008"/>
    <w:rsid w:val="006D41D5"/>
    <w:rsid w:val="006D54E9"/>
    <w:rsid w:val="006E267D"/>
    <w:rsid w:val="006E27AE"/>
    <w:rsid w:val="007028EC"/>
    <w:rsid w:val="007228E7"/>
    <w:rsid w:val="0072545B"/>
    <w:rsid w:val="0074774D"/>
    <w:rsid w:val="00765BC0"/>
    <w:rsid w:val="00777546"/>
    <w:rsid w:val="0079253F"/>
    <w:rsid w:val="00793BF6"/>
    <w:rsid w:val="007942D3"/>
    <w:rsid w:val="007943CB"/>
    <w:rsid w:val="007A1CC2"/>
    <w:rsid w:val="007A2E61"/>
    <w:rsid w:val="007A7886"/>
    <w:rsid w:val="007B3B4E"/>
    <w:rsid w:val="007C1227"/>
    <w:rsid w:val="007C656A"/>
    <w:rsid w:val="00803F98"/>
    <w:rsid w:val="00810D7C"/>
    <w:rsid w:val="00811C48"/>
    <w:rsid w:val="0082127C"/>
    <w:rsid w:val="00822DA5"/>
    <w:rsid w:val="00823A80"/>
    <w:rsid w:val="00823CCD"/>
    <w:rsid w:val="008346E4"/>
    <w:rsid w:val="008624C5"/>
    <w:rsid w:val="00875919"/>
    <w:rsid w:val="0088740C"/>
    <w:rsid w:val="008A4884"/>
    <w:rsid w:val="008B6A41"/>
    <w:rsid w:val="008B6A65"/>
    <w:rsid w:val="008C021F"/>
    <w:rsid w:val="008C36E0"/>
    <w:rsid w:val="008D7E0F"/>
    <w:rsid w:val="008E7E05"/>
    <w:rsid w:val="008F110E"/>
    <w:rsid w:val="008F56D4"/>
    <w:rsid w:val="0090241F"/>
    <w:rsid w:val="00915E5E"/>
    <w:rsid w:val="009179E0"/>
    <w:rsid w:val="00921D5D"/>
    <w:rsid w:val="0092328A"/>
    <w:rsid w:val="00926F5D"/>
    <w:rsid w:val="00930CD0"/>
    <w:rsid w:val="00946031"/>
    <w:rsid w:val="00946D9A"/>
    <w:rsid w:val="00951637"/>
    <w:rsid w:val="00951AFB"/>
    <w:rsid w:val="00957BB4"/>
    <w:rsid w:val="009713D8"/>
    <w:rsid w:val="00972EDE"/>
    <w:rsid w:val="00975FFF"/>
    <w:rsid w:val="00980619"/>
    <w:rsid w:val="009920C9"/>
    <w:rsid w:val="009B06EC"/>
    <w:rsid w:val="009B4CA8"/>
    <w:rsid w:val="009B6E8A"/>
    <w:rsid w:val="009C147A"/>
    <w:rsid w:val="009C6B34"/>
    <w:rsid w:val="009D68DD"/>
    <w:rsid w:val="009D7860"/>
    <w:rsid w:val="009E1941"/>
    <w:rsid w:val="009E2416"/>
    <w:rsid w:val="009F2B73"/>
    <w:rsid w:val="00A14A3F"/>
    <w:rsid w:val="00A4478A"/>
    <w:rsid w:val="00A47D60"/>
    <w:rsid w:val="00A53B6D"/>
    <w:rsid w:val="00A56CA2"/>
    <w:rsid w:val="00A748F4"/>
    <w:rsid w:val="00A756C4"/>
    <w:rsid w:val="00A8686A"/>
    <w:rsid w:val="00A91109"/>
    <w:rsid w:val="00A9525A"/>
    <w:rsid w:val="00AA3C03"/>
    <w:rsid w:val="00AB0F60"/>
    <w:rsid w:val="00AC4639"/>
    <w:rsid w:val="00AC4F0A"/>
    <w:rsid w:val="00AC5A75"/>
    <w:rsid w:val="00AE3812"/>
    <w:rsid w:val="00AF41AF"/>
    <w:rsid w:val="00AF53F1"/>
    <w:rsid w:val="00AF6E3E"/>
    <w:rsid w:val="00B00386"/>
    <w:rsid w:val="00B042E7"/>
    <w:rsid w:val="00B07145"/>
    <w:rsid w:val="00B14CFC"/>
    <w:rsid w:val="00B2416C"/>
    <w:rsid w:val="00B270C3"/>
    <w:rsid w:val="00B51414"/>
    <w:rsid w:val="00B7463F"/>
    <w:rsid w:val="00B96CCE"/>
    <w:rsid w:val="00BA0DA6"/>
    <w:rsid w:val="00BA66BE"/>
    <w:rsid w:val="00BB0D0E"/>
    <w:rsid w:val="00BB3D22"/>
    <w:rsid w:val="00BB44A6"/>
    <w:rsid w:val="00BB44B2"/>
    <w:rsid w:val="00BC280F"/>
    <w:rsid w:val="00BC4192"/>
    <w:rsid w:val="00BC6B3B"/>
    <w:rsid w:val="00BD08AD"/>
    <w:rsid w:val="00BD08FC"/>
    <w:rsid w:val="00BE1EE6"/>
    <w:rsid w:val="00BE3F6E"/>
    <w:rsid w:val="00BF43E5"/>
    <w:rsid w:val="00BF7483"/>
    <w:rsid w:val="00C249AA"/>
    <w:rsid w:val="00C35080"/>
    <w:rsid w:val="00C63A6E"/>
    <w:rsid w:val="00C673F0"/>
    <w:rsid w:val="00C77895"/>
    <w:rsid w:val="00C921EE"/>
    <w:rsid w:val="00C94F86"/>
    <w:rsid w:val="00C96447"/>
    <w:rsid w:val="00C9658F"/>
    <w:rsid w:val="00CA4178"/>
    <w:rsid w:val="00CA5A05"/>
    <w:rsid w:val="00CC7756"/>
    <w:rsid w:val="00CF4EA0"/>
    <w:rsid w:val="00D005FD"/>
    <w:rsid w:val="00D07D00"/>
    <w:rsid w:val="00D16B99"/>
    <w:rsid w:val="00D17497"/>
    <w:rsid w:val="00D2202A"/>
    <w:rsid w:val="00D252D3"/>
    <w:rsid w:val="00D259DE"/>
    <w:rsid w:val="00D25CFD"/>
    <w:rsid w:val="00D25ECA"/>
    <w:rsid w:val="00D32333"/>
    <w:rsid w:val="00D4608A"/>
    <w:rsid w:val="00D747BB"/>
    <w:rsid w:val="00D82C1D"/>
    <w:rsid w:val="00D92711"/>
    <w:rsid w:val="00D93795"/>
    <w:rsid w:val="00DA517E"/>
    <w:rsid w:val="00DA7D51"/>
    <w:rsid w:val="00DB16C4"/>
    <w:rsid w:val="00DB3EC4"/>
    <w:rsid w:val="00DC745C"/>
    <w:rsid w:val="00DD5F72"/>
    <w:rsid w:val="00E0437B"/>
    <w:rsid w:val="00E0709C"/>
    <w:rsid w:val="00E13F9F"/>
    <w:rsid w:val="00E16555"/>
    <w:rsid w:val="00E2055D"/>
    <w:rsid w:val="00E20BC0"/>
    <w:rsid w:val="00E20EAB"/>
    <w:rsid w:val="00E43ACB"/>
    <w:rsid w:val="00E61F91"/>
    <w:rsid w:val="00E66168"/>
    <w:rsid w:val="00EB5B38"/>
    <w:rsid w:val="00EC1258"/>
    <w:rsid w:val="00EC7105"/>
    <w:rsid w:val="00EC75D7"/>
    <w:rsid w:val="00EC7D03"/>
    <w:rsid w:val="00EE0616"/>
    <w:rsid w:val="00EE1465"/>
    <w:rsid w:val="00EF1DFD"/>
    <w:rsid w:val="00F07296"/>
    <w:rsid w:val="00F1714D"/>
    <w:rsid w:val="00F2118B"/>
    <w:rsid w:val="00F21D31"/>
    <w:rsid w:val="00F2260C"/>
    <w:rsid w:val="00F23341"/>
    <w:rsid w:val="00F25C0B"/>
    <w:rsid w:val="00F42AC0"/>
    <w:rsid w:val="00F55648"/>
    <w:rsid w:val="00F72E85"/>
    <w:rsid w:val="00F75D14"/>
    <w:rsid w:val="00F771D5"/>
    <w:rsid w:val="00F83DD9"/>
    <w:rsid w:val="00F85747"/>
    <w:rsid w:val="00FA4B8E"/>
    <w:rsid w:val="00FB12AA"/>
    <w:rsid w:val="00FD089C"/>
    <w:rsid w:val="00FF0B1B"/>
    <w:rsid w:val="00FF1AFC"/>
    <w:rsid w:val="018667C0"/>
    <w:rsid w:val="01A51543"/>
    <w:rsid w:val="01AF671B"/>
    <w:rsid w:val="01CD773A"/>
    <w:rsid w:val="01CE204D"/>
    <w:rsid w:val="021A4045"/>
    <w:rsid w:val="0305675D"/>
    <w:rsid w:val="032E48FF"/>
    <w:rsid w:val="03B15D81"/>
    <w:rsid w:val="04202CF1"/>
    <w:rsid w:val="045D6CD2"/>
    <w:rsid w:val="04A35489"/>
    <w:rsid w:val="04C60927"/>
    <w:rsid w:val="04EC10C3"/>
    <w:rsid w:val="065348BF"/>
    <w:rsid w:val="06DF591E"/>
    <w:rsid w:val="0700197E"/>
    <w:rsid w:val="07704C37"/>
    <w:rsid w:val="0828796C"/>
    <w:rsid w:val="082F3DCB"/>
    <w:rsid w:val="086207E1"/>
    <w:rsid w:val="092C3EE6"/>
    <w:rsid w:val="09860F13"/>
    <w:rsid w:val="0A44798D"/>
    <w:rsid w:val="0AF033B7"/>
    <w:rsid w:val="0C0F6FB4"/>
    <w:rsid w:val="0C172596"/>
    <w:rsid w:val="0C68070F"/>
    <w:rsid w:val="0E1E24CB"/>
    <w:rsid w:val="0E9A38D6"/>
    <w:rsid w:val="0EE369DE"/>
    <w:rsid w:val="10BE7A0F"/>
    <w:rsid w:val="10EE3BFC"/>
    <w:rsid w:val="11314522"/>
    <w:rsid w:val="1247501A"/>
    <w:rsid w:val="124F6D6D"/>
    <w:rsid w:val="135E5B3C"/>
    <w:rsid w:val="136162DE"/>
    <w:rsid w:val="13FE09A5"/>
    <w:rsid w:val="1430678E"/>
    <w:rsid w:val="17280EEB"/>
    <w:rsid w:val="17606A88"/>
    <w:rsid w:val="189B4994"/>
    <w:rsid w:val="18FB2788"/>
    <w:rsid w:val="1AB151C5"/>
    <w:rsid w:val="1CDE46E3"/>
    <w:rsid w:val="1DCA6B3A"/>
    <w:rsid w:val="1DE4189D"/>
    <w:rsid w:val="1E632A18"/>
    <w:rsid w:val="1FC82F22"/>
    <w:rsid w:val="20625DF5"/>
    <w:rsid w:val="207A76A1"/>
    <w:rsid w:val="21002638"/>
    <w:rsid w:val="21C248D1"/>
    <w:rsid w:val="220638F4"/>
    <w:rsid w:val="23A357E9"/>
    <w:rsid w:val="24013E58"/>
    <w:rsid w:val="24B512BE"/>
    <w:rsid w:val="26183CF2"/>
    <w:rsid w:val="26237932"/>
    <w:rsid w:val="26506468"/>
    <w:rsid w:val="26F637C4"/>
    <w:rsid w:val="28893E29"/>
    <w:rsid w:val="29112ACE"/>
    <w:rsid w:val="2AF54C0B"/>
    <w:rsid w:val="2C1229C2"/>
    <w:rsid w:val="2E5841C8"/>
    <w:rsid w:val="2F49164A"/>
    <w:rsid w:val="30582526"/>
    <w:rsid w:val="306957DB"/>
    <w:rsid w:val="316F0A4C"/>
    <w:rsid w:val="321072E4"/>
    <w:rsid w:val="32BC297D"/>
    <w:rsid w:val="338B1B3C"/>
    <w:rsid w:val="33917B29"/>
    <w:rsid w:val="34646200"/>
    <w:rsid w:val="346D2E3C"/>
    <w:rsid w:val="350C5DCC"/>
    <w:rsid w:val="35534AA4"/>
    <w:rsid w:val="38312031"/>
    <w:rsid w:val="387E299D"/>
    <w:rsid w:val="389E3C26"/>
    <w:rsid w:val="38CD4538"/>
    <w:rsid w:val="391526A9"/>
    <w:rsid w:val="3979226E"/>
    <w:rsid w:val="39B2597D"/>
    <w:rsid w:val="3A21713C"/>
    <w:rsid w:val="3A2F5BA9"/>
    <w:rsid w:val="3AC0758F"/>
    <w:rsid w:val="3AD07D1A"/>
    <w:rsid w:val="3B071EDD"/>
    <w:rsid w:val="3B2471CC"/>
    <w:rsid w:val="3B664372"/>
    <w:rsid w:val="3C7D59EA"/>
    <w:rsid w:val="3D30446E"/>
    <w:rsid w:val="3D3A352D"/>
    <w:rsid w:val="3D6D50E2"/>
    <w:rsid w:val="3DD35D44"/>
    <w:rsid w:val="3F8C2739"/>
    <w:rsid w:val="3FB726D0"/>
    <w:rsid w:val="40194D8D"/>
    <w:rsid w:val="41237D00"/>
    <w:rsid w:val="413F22F5"/>
    <w:rsid w:val="414C0157"/>
    <w:rsid w:val="4210501E"/>
    <w:rsid w:val="42BD1775"/>
    <w:rsid w:val="42F341ED"/>
    <w:rsid w:val="43344DC1"/>
    <w:rsid w:val="438C7D3F"/>
    <w:rsid w:val="43AB0C92"/>
    <w:rsid w:val="4449051A"/>
    <w:rsid w:val="446225B0"/>
    <w:rsid w:val="44F46BD4"/>
    <w:rsid w:val="461A136B"/>
    <w:rsid w:val="465601D2"/>
    <w:rsid w:val="46990171"/>
    <w:rsid w:val="469C16EC"/>
    <w:rsid w:val="477161E1"/>
    <w:rsid w:val="49F86CC5"/>
    <w:rsid w:val="4B16257B"/>
    <w:rsid w:val="4BDE4A6C"/>
    <w:rsid w:val="4BFA059F"/>
    <w:rsid w:val="4CD4272C"/>
    <w:rsid w:val="4CE2092D"/>
    <w:rsid w:val="4CF50E74"/>
    <w:rsid w:val="4D792CA5"/>
    <w:rsid w:val="4E4729FF"/>
    <w:rsid w:val="4F3C775E"/>
    <w:rsid w:val="4FE31514"/>
    <w:rsid w:val="4FE529CD"/>
    <w:rsid w:val="50510EF1"/>
    <w:rsid w:val="505F4728"/>
    <w:rsid w:val="523912F0"/>
    <w:rsid w:val="52F57407"/>
    <w:rsid w:val="538167FC"/>
    <w:rsid w:val="54457439"/>
    <w:rsid w:val="547F175C"/>
    <w:rsid w:val="558A2920"/>
    <w:rsid w:val="559849F5"/>
    <w:rsid w:val="55F547F7"/>
    <w:rsid w:val="55F60E8E"/>
    <w:rsid w:val="568852D6"/>
    <w:rsid w:val="573471BB"/>
    <w:rsid w:val="57C74D6E"/>
    <w:rsid w:val="58510153"/>
    <w:rsid w:val="5A024663"/>
    <w:rsid w:val="5B1F42C0"/>
    <w:rsid w:val="5BD955F7"/>
    <w:rsid w:val="5C081C71"/>
    <w:rsid w:val="5CF5739C"/>
    <w:rsid w:val="5DC151AB"/>
    <w:rsid w:val="5DD76B7E"/>
    <w:rsid w:val="5DDA66F0"/>
    <w:rsid w:val="5EDA2F9A"/>
    <w:rsid w:val="5F1B1515"/>
    <w:rsid w:val="5F593C9F"/>
    <w:rsid w:val="5F6E07C9"/>
    <w:rsid w:val="5FD50E1C"/>
    <w:rsid w:val="60F0750A"/>
    <w:rsid w:val="62F1312D"/>
    <w:rsid w:val="67155E28"/>
    <w:rsid w:val="68654168"/>
    <w:rsid w:val="68BF41D2"/>
    <w:rsid w:val="6CEE3AB2"/>
    <w:rsid w:val="6D34092E"/>
    <w:rsid w:val="6D3F73B5"/>
    <w:rsid w:val="6E217E22"/>
    <w:rsid w:val="6E606AC1"/>
    <w:rsid w:val="6FA27CCC"/>
    <w:rsid w:val="6FC72451"/>
    <w:rsid w:val="70141437"/>
    <w:rsid w:val="713826BB"/>
    <w:rsid w:val="72534804"/>
    <w:rsid w:val="72971CF4"/>
    <w:rsid w:val="72DD5485"/>
    <w:rsid w:val="739C579B"/>
    <w:rsid w:val="743F1DFB"/>
    <w:rsid w:val="74814ECC"/>
    <w:rsid w:val="74EC093B"/>
    <w:rsid w:val="75A74056"/>
    <w:rsid w:val="75C91CDA"/>
    <w:rsid w:val="761C47AF"/>
    <w:rsid w:val="772170F9"/>
    <w:rsid w:val="774D700D"/>
    <w:rsid w:val="77A71908"/>
    <w:rsid w:val="7A24087A"/>
    <w:rsid w:val="7ABB1024"/>
    <w:rsid w:val="7C332C4C"/>
    <w:rsid w:val="7CA615C2"/>
    <w:rsid w:val="7D4E7E85"/>
    <w:rsid w:val="7E1C327E"/>
    <w:rsid w:val="7E306EE1"/>
    <w:rsid w:val="7FAF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uiPriority="0" w:name="heading 6" w:locked="1"/>
    <w:lsdException w:uiPriority="0" w:name="heading 7" w:locked="1"/>
    <w:lsdException w:qFormat="1" w:unhideWhenUsed="0" w:uiPriority="0" w:semiHidden="0" w:name="heading 8" w:locked="1"/>
    <w:lsdException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ocked="1"/>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semiHidden="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4"/>
    <w:next w:val="1"/>
    <w:link w:val="48"/>
    <w:qFormat/>
    <w:uiPriority w:val="0"/>
    <w:pPr>
      <w:spacing w:line="576" w:lineRule="auto"/>
      <w:outlineLvl w:val="0"/>
    </w:pPr>
    <w:rPr>
      <w:kern w:val="44"/>
      <w:sz w:val="44"/>
    </w:rPr>
  </w:style>
  <w:style w:type="paragraph" w:styleId="5">
    <w:name w:val="heading 2"/>
    <w:basedOn w:val="1"/>
    <w:next w:val="1"/>
    <w:link w:val="49"/>
    <w:qFormat/>
    <w:uiPriority w:val="0"/>
    <w:pPr>
      <w:keepNext/>
      <w:keepLines/>
      <w:spacing w:line="413" w:lineRule="auto"/>
      <w:outlineLvl w:val="1"/>
    </w:pPr>
    <w:rPr>
      <w:rFonts w:ascii="Arial" w:hAnsi="Arial" w:eastAsia="黑体"/>
      <w:b/>
      <w:sz w:val="32"/>
    </w:rPr>
  </w:style>
  <w:style w:type="paragraph" w:styleId="4">
    <w:name w:val="heading 3"/>
    <w:basedOn w:val="1"/>
    <w:next w:val="1"/>
    <w:link w:val="50"/>
    <w:qFormat/>
    <w:uiPriority w:val="0"/>
    <w:pPr>
      <w:keepNext/>
      <w:keepLines/>
      <w:spacing w:line="413" w:lineRule="auto"/>
      <w:outlineLvl w:val="2"/>
    </w:pPr>
    <w:rPr>
      <w:b/>
      <w:sz w:val="32"/>
    </w:rPr>
  </w:style>
  <w:style w:type="paragraph" w:styleId="6">
    <w:name w:val="heading 4"/>
    <w:basedOn w:val="1"/>
    <w:next w:val="1"/>
    <w:link w:val="58"/>
    <w:qFormat/>
    <w:locked/>
    <w:uiPriority w:val="0"/>
    <w:pPr>
      <w:keepNext/>
      <w:keepLines/>
      <w:outlineLvl w:val="3"/>
    </w:pPr>
    <w:rPr>
      <w:rFonts w:ascii="Cambria" w:hAnsi="Cambria"/>
      <w:b/>
      <w:bCs/>
      <w:kern w:val="0"/>
      <w:sz w:val="28"/>
      <w:szCs w:val="28"/>
    </w:rPr>
  </w:style>
  <w:style w:type="paragraph" w:styleId="7">
    <w:name w:val="heading 5"/>
    <w:basedOn w:val="1"/>
    <w:next w:val="1"/>
    <w:link w:val="59"/>
    <w:qFormat/>
    <w:locked/>
    <w:uiPriority w:val="0"/>
    <w:pPr>
      <w:keepNext/>
      <w:keepLines/>
      <w:spacing w:before="280" w:after="290" w:line="376" w:lineRule="auto"/>
      <w:outlineLvl w:val="4"/>
    </w:pPr>
    <w:rPr>
      <w:b/>
      <w:bCs/>
      <w:kern w:val="0"/>
      <w:sz w:val="28"/>
      <w:szCs w:val="28"/>
    </w:rPr>
  </w:style>
  <w:style w:type="paragraph" w:styleId="8">
    <w:name w:val="heading 8"/>
    <w:basedOn w:val="1"/>
    <w:next w:val="1"/>
    <w:qFormat/>
    <w:locked/>
    <w:uiPriority w:val="0"/>
    <w:pPr>
      <w:keepNext/>
      <w:keepLines/>
      <w:widowControl/>
      <w:numPr>
        <w:ilvl w:val="7"/>
        <w:numId w:val="1"/>
      </w:numPr>
      <w:ind w:firstLine="0" w:firstLineChars="0"/>
      <w:jc w:val="center"/>
      <w:outlineLvl w:val="7"/>
    </w:pPr>
    <w:rPr>
      <w:b/>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hAnsi="Courier New"/>
      <w:sz w:val="20"/>
      <w:szCs w:val="21"/>
    </w:rPr>
  </w:style>
  <w:style w:type="paragraph" w:styleId="9">
    <w:name w:val="toc 7"/>
    <w:basedOn w:val="1"/>
    <w:next w:val="1"/>
    <w:qFormat/>
    <w:locked/>
    <w:uiPriority w:val="0"/>
    <w:pPr>
      <w:ind w:left="2520" w:leftChars="1200"/>
    </w:pPr>
    <w:rPr>
      <w:rFonts w:cs="黑体"/>
      <w:sz w:val="21"/>
      <w:szCs w:val="22"/>
    </w:rPr>
  </w:style>
  <w:style w:type="paragraph" w:styleId="10">
    <w:name w:val="Normal Indent"/>
    <w:basedOn w:val="1"/>
    <w:qFormat/>
    <w:uiPriority w:val="0"/>
    <w:pPr>
      <w:ind w:firstLine="420"/>
    </w:pPr>
    <w:rPr>
      <w:szCs w:val="20"/>
    </w:rPr>
  </w:style>
  <w:style w:type="paragraph" w:styleId="11">
    <w:name w:val="annotation text"/>
    <w:basedOn w:val="1"/>
    <w:link w:val="51"/>
    <w:qFormat/>
    <w:uiPriority w:val="99"/>
    <w:pPr>
      <w:jc w:val="left"/>
    </w:pPr>
  </w:style>
  <w:style w:type="paragraph" w:styleId="12">
    <w:name w:val="Body Text"/>
    <w:basedOn w:val="1"/>
    <w:next w:val="13"/>
    <w:unhideWhenUsed/>
    <w:qFormat/>
    <w:uiPriority w:val="99"/>
    <w:pPr>
      <w:ind w:left="106"/>
    </w:pPr>
    <w:rPr>
      <w:sz w:val="20"/>
      <w:szCs w:val="20"/>
    </w:rPr>
  </w:style>
  <w:style w:type="paragraph" w:customStyle="1" w:styleId="13">
    <w:name w:val="一级条标题"/>
    <w:basedOn w:val="14"/>
    <w:next w:val="15"/>
    <w:qFormat/>
    <w:uiPriority w:val="0"/>
    <w:pPr>
      <w:spacing w:line="240" w:lineRule="auto"/>
      <w:ind w:left="420"/>
      <w:outlineLvl w:val="2"/>
    </w:pPr>
  </w:style>
  <w:style w:type="paragraph" w:customStyle="1" w:styleId="14">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6">
    <w:name w:val="Body Text Indent"/>
    <w:basedOn w:val="1"/>
    <w:link w:val="67"/>
    <w:qFormat/>
    <w:uiPriority w:val="0"/>
    <w:pPr>
      <w:spacing w:after="120"/>
      <w:ind w:left="420" w:leftChars="200"/>
    </w:pPr>
  </w:style>
  <w:style w:type="paragraph" w:styleId="17">
    <w:name w:val="toc 5"/>
    <w:basedOn w:val="1"/>
    <w:next w:val="1"/>
    <w:qFormat/>
    <w:locked/>
    <w:uiPriority w:val="0"/>
    <w:pPr>
      <w:ind w:left="1680" w:leftChars="800"/>
    </w:pPr>
    <w:rPr>
      <w:rFonts w:cs="黑体"/>
      <w:sz w:val="21"/>
      <w:szCs w:val="22"/>
    </w:rPr>
  </w:style>
  <w:style w:type="paragraph" w:styleId="18">
    <w:name w:val="toc 3"/>
    <w:basedOn w:val="1"/>
    <w:next w:val="1"/>
    <w:qFormat/>
    <w:locked/>
    <w:uiPriority w:val="0"/>
    <w:pPr>
      <w:ind w:left="840" w:leftChars="400"/>
    </w:pPr>
    <w:rPr>
      <w:sz w:val="28"/>
      <w:szCs w:val="22"/>
    </w:rPr>
  </w:style>
  <w:style w:type="paragraph" w:styleId="19">
    <w:name w:val="toc 8"/>
    <w:basedOn w:val="1"/>
    <w:next w:val="1"/>
    <w:qFormat/>
    <w:locked/>
    <w:uiPriority w:val="0"/>
    <w:pPr>
      <w:ind w:left="2940" w:leftChars="1400"/>
    </w:pPr>
    <w:rPr>
      <w:rFonts w:cs="黑体"/>
      <w:sz w:val="21"/>
      <w:szCs w:val="22"/>
    </w:rPr>
  </w:style>
  <w:style w:type="paragraph" w:styleId="20">
    <w:name w:val="Balloon Text"/>
    <w:basedOn w:val="1"/>
    <w:link w:val="57"/>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line="400" w:lineRule="exact"/>
      <w:ind w:firstLine="200" w:firstLineChars="200"/>
      <w:jc w:val="left"/>
    </w:pPr>
    <w:rPr>
      <w:b/>
      <w:bCs/>
      <w:caps/>
      <w:szCs w:val="20"/>
    </w:rPr>
  </w:style>
  <w:style w:type="paragraph" w:styleId="24">
    <w:name w:val="toc 4"/>
    <w:basedOn w:val="1"/>
    <w:next w:val="1"/>
    <w:qFormat/>
    <w:locked/>
    <w:uiPriority w:val="0"/>
    <w:pPr>
      <w:ind w:left="1260" w:leftChars="600"/>
    </w:pPr>
    <w:rPr>
      <w:rFonts w:cs="黑体"/>
      <w:sz w:val="21"/>
      <w:szCs w:val="22"/>
    </w:rPr>
  </w:style>
  <w:style w:type="paragraph" w:styleId="25">
    <w:name w:val="toc 6"/>
    <w:basedOn w:val="1"/>
    <w:next w:val="1"/>
    <w:qFormat/>
    <w:locked/>
    <w:uiPriority w:val="0"/>
    <w:pPr>
      <w:ind w:left="2100" w:leftChars="1000"/>
    </w:pPr>
    <w:rPr>
      <w:rFonts w:cs="黑体"/>
      <w:sz w:val="21"/>
      <w:szCs w:val="22"/>
    </w:rPr>
  </w:style>
  <w:style w:type="paragraph" w:styleId="26">
    <w:name w:val="toc 2"/>
    <w:basedOn w:val="1"/>
    <w:next w:val="1"/>
    <w:qFormat/>
    <w:locked/>
    <w:uiPriority w:val="0"/>
    <w:pPr>
      <w:ind w:left="420" w:leftChars="200"/>
    </w:pPr>
    <w:rPr>
      <w:rFonts w:eastAsia="黑体"/>
      <w:sz w:val="28"/>
      <w:szCs w:val="22"/>
    </w:rPr>
  </w:style>
  <w:style w:type="paragraph" w:styleId="27">
    <w:name w:val="toc 9"/>
    <w:basedOn w:val="1"/>
    <w:next w:val="1"/>
    <w:qFormat/>
    <w:locked/>
    <w:uiPriority w:val="0"/>
    <w:pPr>
      <w:ind w:left="3360" w:leftChars="1600"/>
    </w:pPr>
    <w:rPr>
      <w:rFonts w:cs="黑体"/>
      <w:sz w:val="21"/>
      <w:szCs w:val="22"/>
    </w:rPr>
  </w:style>
  <w:style w:type="paragraph" w:styleId="28">
    <w:name w:val="Normal (Web)"/>
    <w:basedOn w:val="1"/>
    <w:qFormat/>
    <w:uiPriority w:val="0"/>
    <w:pPr>
      <w:spacing w:before="100" w:beforeAutospacing="1" w:after="100" w:afterAutospacing="1"/>
      <w:jc w:val="left"/>
    </w:pPr>
    <w:rPr>
      <w:kern w:val="0"/>
    </w:rPr>
  </w:style>
  <w:style w:type="paragraph" w:styleId="29">
    <w:name w:val="Title"/>
    <w:basedOn w:val="1"/>
    <w:next w:val="1"/>
    <w:link w:val="54"/>
    <w:qFormat/>
    <w:uiPriority w:val="0"/>
    <w:pPr>
      <w:spacing w:before="240" w:after="60"/>
      <w:jc w:val="center"/>
      <w:outlineLvl w:val="0"/>
    </w:pPr>
    <w:rPr>
      <w:rFonts w:ascii="Cambria" w:hAnsi="Cambria"/>
      <w:b/>
      <w:bCs/>
      <w:sz w:val="36"/>
      <w:szCs w:val="32"/>
    </w:rPr>
  </w:style>
  <w:style w:type="paragraph" w:styleId="30">
    <w:name w:val="Body Text First Indent"/>
    <w:basedOn w:val="12"/>
    <w:qFormat/>
    <w:uiPriority w:val="0"/>
    <w:pPr>
      <w:ind w:firstLine="420" w:firstLineChars="100"/>
    </w:pPr>
    <w:rPr>
      <w:sz w:val="21"/>
      <w:szCs w:val="24"/>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0"/>
  </w:style>
  <w:style w:type="character" w:styleId="35">
    <w:name w:val="page number"/>
    <w:basedOn w:val="33"/>
    <w:qFormat/>
    <w:uiPriority w:val="0"/>
    <w:rPr>
      <w:rFonts w:cs="Times New Roman"/>
    </w:rPr>
  </w:style>
  <w:style w:type="character" w:styleId="36">
    <w:name w:val="FollowedHyperlink"/>
    <w:basedOn w:val="33"/>
    <w:unhideWhenUsed/>
    <w:qFormat/>
    <w:uiPriority w:val="99"/>
    <w:rPr>
      <w:color w:val="000000"/>
      <w:u w:val="none"/>
    </w:rPr>
  </w:style>
  <w:style w:type="character" w:styleId="37">
    <w:name w:val="Emphasis"/>
    <w:basedOn w:val="33"/>
    <w:qFormat/>
    <w:locked/>
    <w:uiPriority w:val="0"/>
  </w:style>
  <w:style w:type="character" w:styleId="38">
    <w:name w:val="HTML Definition"/>
    <w:basedOn w:val="33"/>
    <w:qFormat/>
    <w:uiPriority w:val="0"/>
  </w:style>
  <w:style w:type="character" w:styleId="39">
    <w:name w:val="HTML Typewriter"/>
    <w:basedOn w:val="33"/>
    <w:unhideWhenUsed/>
    <w:qFormat/>
    <w:uiPriority w:val="0"/>
    <w:rPr>
      <w:rFonts w:hint="default" w:ascii="monospace" w:hAnsi="monospace" w:eastAsia="monospace" w:cs="monospace"/>
      <w:sz w:val="20"/>
    </w:rPr>
  </w:style>
  <w:style w:type="character" w:styleId="40">
    <w:name w:val="HTML Acronym"/>
    <w:basedOn w:val="33"/>
    <w:unhideWhenUsed/>
    <w:qFormat/>
    <w:uiPriority w:val="0"/>
  </w:style>
  <w:style w:type="character" w:styleId="41">
    <w:name w:val="HTML Variable"/>
    <w:basedOn w:val="33"/>
    <w:unhideWhenUsed/>
    <w:qFormat/>
    <w:uiPriority w:val="0"/>
  </w:style>
  <w:style w:type="character" w:styleId="42">
    <w:name w:val="Hyperlink"/>
    <w:basedOn w:val="33"/>
    <w:qFormat/>
    <w:uiPriority w:val="99"/>
    <w:rPr>
      <w:rFonts w:cs="Times New Roman"/>
      <w:color w:val="000000"/>
      <w:u w:val="none"/>
    </w:rPr>
  </w:style>
  <w:style w:type="character" w:styleId="43">
    <w:name w:val="HTML Code"/>
    <w:basedOn w:val="33"/>
    <w:qFormat/>
    <w:uiPriority w:val="0"/>
    <w:rPr>
      <w:rFonts w:hint="default" w:ascii="Consolas" w:hAnsi="Consolas" w:eastAsia="Consolas" w:cs="Consolas"/>
      <w:color w:val="C7254E"/>
      <w:sz w:val="21"/>
      <w:szCs w:val="21"/>
      <w:shd w:val="clear" w:color="auto" w:fill="F9F2F4"/>
    </w:rPr>
  </w:style>
  <w:style w:type="character" w:styleId="44">
    <w:name w:val="HTML Cite"/>
    <w:basedOn w:val="33"/>
    <w:unhideWhenUsed/>
    <w:qFormat/>
    <w:uiPriority w:val="0"/>
  </w:style>
  <w:style w:type="character" w:styleId="45">
    <w:name w:val="HTML Keyboard"/>
    <w:basedOn w:val="33"/>
    <w:qFormat/>
    <w:uiPriority w:val="0"/>
    <w:rPr>
      <w:rFonts w:hint="default" w:ascii="Consolas" w:hAnsi="Consolas" w:eastAsia="Consolas" w:cs="Consolas"/>
      <w:color w:val="FFFFFF"/>
      <w:sz w:val="21"/>
      <w:szCs w:val="21"/>
      <w:shd w:val="clear" w:color="auto" w:fill="333333"/>
    </w:rPr>
  </w:style>
  <w:style w:type="character" w:styleId="46">
    <w:name w:val="HTML Sample"/>
    <w:basedOn w:val="33"/>
    <w:qFormat/>
    <w:uiPriority w:val="0"/>
    <w:rPr>
      <w:rFonts w:ascii="Consolas" w:hAnsi="Consolas" w:eastAsia="Consolas" w:cs="Consolas"/>
      <w:sz w:val="21"/>
      <w:szCs w:val="21"/>
    </w:rPr>
  </w:style>
  <w:style w:type="paragraph" w:customStyle="1" w:styleId="47">
    <w:name w:val="List Paragraph1"/>
    <w:basedOn w:val="1"/>
    <w:qFormat/>
    <w:uiPriority w:val="99"/>
    <w:pPr>
      <w:ind w:firstLine="420" w:firstLineChars="200"/>
    </w:pPr>
    <w:rPr>
      <w:szCs w:val="22"/>
    </w:rPr>
  </w:style>
  <w:style w:type="character" w:customStyle="1" w:styleId="48">
    <w:name w:val="标题 1 字符"/>
    <w:basedOn w:val="33"/>
    <w:link w:val="3"/>
    <w:qFormat/>
    <w:locked/>
    <w:uiPriority w:val="0"/>
    <w:rPr>
      <w:rFonts w:ascii="Calibri" w:hAnsi="Calibri" w:cs="Times New Roman"/>
      <w:b/>
      <w:bCs/>
      <w:kern w:val="44"/>
      <w:sz w:val="44"/>
      <w:szCs w:val="44"/>
    </w:rPr>
  </w:style>
  <w:style w:type="character" w:customStyle="1" w:styleId="49">
    <w:name w:val="标题 2 字符"/>
    <w:basedOn w:val="33"/>
    <w:link w:val="5"/>
    <w:qFormat/>
    <w:locked/>
    <w:uiPriority w:val="0"/>
    <w:rPr>
      <w:rFonts w:ascii="Cambria" w:hAnsi="Cambria" w:eastAsia="宋体" w:cs="Times New Roman"/>
      <w:b/>
      <w:bCs/>
      <w:sz w:val="32"/>
      <w:szCs w:val="32"/>
    </w:rPr>
  </w:style>
  <w:style w:type="character" w:customStyle="1" w:styleId="50">
    <w:name w:val="标题 3 字符"/>
    <w:basedOn w:val="33"/>
    <w:link w:val="4"/>
    <w:qFormat/>
    <w:locked/>
    <w:uiPriority w:val="0"/>
    <w:rPr>
      <w:rFonts w:ascii="Calibri" w:hAnsi="Calibri" w:cs="Times New Roman"/>
      <w:b/>
      <w:bCs/>
      <w:sz w:val="32"/>
      <w:szCs w:val="32"/>
    </w:rPr>
  </w:style>
  <w:style w:type="character" w:customStyle="1" w:styleId="51">
    <w:name w:val="批注文字 字符"/>
    <w:basedOn w:val="33"/>
    <w:link w:val="11"/>
    <w:semiHidden/>
    <w:qFormat/>
    <w:locked/>
    <w:uiPriority w:val="0"/>
    <w:rPr>
      <w:rFonts w:ascii="Calibri" w:hAnsi="Calibri" w:cs="Times New Roman"/>
      <w:sz w:val="24"/>
      <w:szCs w:val="24"/>
    </w:rPr>
  </w:style>
  <w:style w:type="character" w:customStyle="1" w:styleId="52">
    <w:name w:val="页脚 字符"/>
    <w:basedOn w:val="33"/>
    <w:link w:val="21"/>
    <w:qFormat/>
    <w:locked/>
    <w:uiPriority w:val="0"/>
    <w:rPr>
      <w:rFonts w:ascii="Calibri" w:hAnsi="Calibri" w:cs="Times New Roman"/>
      <w:sz w:val="18"/>
      <w:szCs w:val="18"/>
    </w:rPr>
  </w:style>
  <w:style w:type="character" w:customStyle="1" w:styleId="53">
    <w:name w:val="页眉 字符"/>
    <w:basedOn w:val="33"/>
    <w:link w:val="22"/>
    <w:qFormat/>
    <w:locked/>
    <w:uiPriority w:val="0"/>
    <w:rPr>
      <w:rFonts w:ascii="Calibri" w:hAnsi="Calibri" w:cs="Times New Roman"/>
      <w:sz w:val="18"/>
      <w:szCs w:val="18"/>
    </w:rPr>
  </w:style>
  <w:style w:type="character" w:customStyle="1" w:styleId="54">
    <w:name w:val="标题 字符"/>
    <w:basedOn w:val="33"/>
    <w:link w:val="29"/>
    <w:qFormat/>
    <w:locked/>
    <w:uiPriority w:val="0"/>
    <w:rPr>
      <w:rFonts w:ascii="Cambria" w:hAnsi="Cambria" w:cs="Times New Roman"/>
      <w:b/>
      <w:bCs/>
      <w:sz w:val="32"/>
      <w:szCs w:val="32"/>
    </w:rPr>
  </w:style>
  <w:style w:type="paragraph" w:customStyle="1" w:styleId="55">
    <w:name w:val="Default"/>
    <w:qFormat/>
    <w:uiPriority w:val="99"/>
    <w:pPr>
      <w:widowControl w:val="0"/>
      <w:autoSpaceDE w:val="0"/>
      <w:autoSpaceDN w:val="0"/>
      <w:adjustRightInd w:val="0"/>
    </w:pPr>
    <w:rPr>
      <w:rFonts w:ascii="黑体壵...." w:hAnsi="Calibri" w:eastAsia="黑体壵...." w:cs="黑体壵...."/>
      <w:color w:val="000000"/>
      <w:sz w:val="24"/>
      <w:szCs w:val="24"/>
      <w:lang w:val="en-US" w:eastAsia="zh-CN" w:bidi="ar-SA"/>
    </w:rPr>
  </w:style>
  <w:style w:type="paragraph" w:customStyle="1" w:styleId="56">
    <w:name w:val="列出段落2"/>
    <w:basedOn w:val="1"/>
    <w:qFormat/>
    <w:uiPriority w:val="99"/>
    <w:pPr>
      <w:ind w:firstLine="420" w:firstLineChars="200"/>
    </w:pPr>
    <w:rPr>
      <w:rFonts w:cs="Calibri"/>
      <w:kern w:val="0"/>
      <w:sz w:val="21"/>
      <w:szCs w:val="21"/>
    </w:rPr>
  </w:style>
  <w:style w:type="character" w:customStyle="1" w:styleId="57">
    <w:name w:val="批注框文本 字符"/>
    <w:basedOn w:val="33"/>
    <w:link w:val="20"/>
    <w:qFormat/>
    <w:uiPriority w:val="0"/>
    <w:rPr>
      <w:rFonts w:ascii="Calibri" w:hAnsi="Calibri"/>
      <w:kern w:val="2"/>
      <w:sz w:val="18"/>
      <w:szCs w:val="18"/>
    </w:rPr>
  </w:style>
  <w:style w:type="character" w:customStyle="1" w:styleId="58">
    <w:name w:val="标题 4 字符"/>
    <w:basedOn w:val="33"/>
    <w:link w:val="6"/>
    <w:qFormat/>
    <w:uiPriority w:val="0"/>
    <w:rPr>
      <w:rFonts w:ascii="Cambria" w:hAnsi="Cambria"/>
      <w:b/>
      <w:bCs/>
      <w:sz w:val="28"/>
      <w:szCs w:val="28"/>
    </w:rPr>
  </w:style>
  <w:style w:type="character" w:customStyle="1" w:styleId="59">
    <w:name w:val="标题 5 字符"/>
    <w:basedOn w:val="33"/>
    <w:link w:val="7"/>
    <w:qFormat/>
    <w:uiPriority w:val="0"/>
    <w:rPr>
      <w:rFonts w:ascii="Calibri" w:hAnsi="Calibri"/>
      <w:b/>
      <w:bCs/>
      <w:sz w:val="28"/>
      <w:szCs w:val="28"/>
    </w:rPr>
  </w:style>
  <w:style w:type="character" w:customStyle="1" w:styleId="60">
    <w:name w:val="列出段落 Char"/>
    <w:link w:val="61"/>
    <w:qFormat/>
    <w:uiPriority w:val="99"/>
    <w:rPr>
      <w:rFonts w:ascii="Calibri" w:hAnsi="Calibri"/>
      <w:sz w:val="28"/>
    </w:rPr>
  </w:style>
  <w:style w:type="paragraph" w:customStyle="1" w:styleId="61">
    <w:name w:val="列出段落3"/>
    <w:basedOn w:val="1"/>
    <w:link w:val="60"/>
    <w:qFormat/>
    <w:uiPriority w:val="99"/>
    <w:pPr>
      <w:ind w:firstLine="420" w:firstLineChars="200"/>
    </w:pPr>
    <w:rPr>
      <w:kern w:val="0"/>
      <w:sz w:val="28"/>
      <w:szCs w:val="20"/>
    </w:rPr>
  </w:style>
  <w:style w:type="character" w:customStyle="1" w:styleId="62">
    <w:name w:val="文档结构图 Char"/>
    <w:link w:val="63"/>
    <w:qFormat/>
    <w:uiPriority w:val="0"/>
    <w:rPr>
      <w:rFonts w:ascii="宋体" w:hAnsi="Calibri"/>
      <w:sz w:val="18"/>
      <w:szCs w:val="18"/>
    </w:rPr>
  </w:style>
  <w:style w:type="paragraph" w:customStyle="1" w:styleId="63">
    <w:name w:val="文档结构图1"/>
    <w:basedOn w:val="1"/>
    <w:link w:val="62"/>
    <w:qFormat/>
    <w:uiPriority w:val="0"/>
    <w:rPr>
      <w:rFonts w:ascii="宋体"/>
      <w:kern w:val="0"/>
      <w:sz w:val="18"/>
      <w:szCs w:val="18"/>
    </w:rPr>
  </w:style>
  <w:style w:type="paragraph" w:customStyle="1" w:styleId="64">
    <w:name w:val="列出段落1"/>
    <w:basedOn w:val="1"/>
    <w:qFormat/>
    <w:uiPriority w:val="0"/>
    <w:pPr>
      <w:ind w:firstLine="420" w:firstLineChars="200"/>
    </w:pPr>
    <w:rPr>
      <w:sz w:val="28"/>
      <w:szCs w:val="22"/>
    </w:rPr>
  </w:style>
  <w:style w:type="paragraph" w:customStyle="1" w:styleId="65">
    <w:name w:val="无间隔1"/>
    <w:qFormat/>
    <w:uiPriority w:val="0"/>
    <w:pPr>
      <w:widowControl w:val="0"/>
      <w:jc w:val="both"/>
    </w:pPr>
    <w:rPr>
      <w:rFonts w:ascii="Calibri" w:hAnsi="Calibri" w:eastAsia="宋体" w:cs="Times New Roman"/>
      <w:kern w:val="2"/>
      <w:sz w:val="28"/>
      <w:szCs w:val="22"/>
      <w:lang w:val="en-US" w:eastAsia="zh-CN" w:bidi="ar-SA"/>
    </w:rPr>
  </w:style>
  <w:style w:type="paragraph" w:customStyle="1" w:styleId="66">
    <w:name w:val="TOC 标题1"/>
    <w:basedOn w:val="3"/>
    <w:next w:val="1"/>
    <w:qFormat/>
    <w:uiPriority w:val="0"/>
    <w:pPr>
      <w:widowControl/>
      <w:spacing w:before="480" w:line="276" w:lineRule="auto"/>
      <w:jc w:val="left"/>
      <w:outlineLvl w:val="9"/>
    </w:pPr>
    <w:rPr>
      <w:rFonts w:ascii="Cambria" w:hAnsi="Cambria" w:cs="黑体"/>
      <w:bCs/>
      <w:color w:val="365F90"/>
      <w:kern w:val="0"/>
      <w:sz w:val="28"/>
      <w:szCs w:val="28"/>
    </w:rPr>
  </w:style>
  <w:style w:type="character" w:customStyle="1" w:styleId="67">
    <w:name w:val="正文文本缩进 字符"/>
    <w:basedOn w:val="33"/>
    <w:link w:val="16"/>
    <w:qFormat/>
    <w:uiPriority w:val="0"/>
    <w:rPr>
      <w:rFonts w:ascii="Calibri" w:hAnsi="Calibri"/>
      <w:kern w:val="2"/>
      <w:sz w:val="24"/>
      <w:szCs w:val="24"/>
    </w:rPr>
  </w:style>
  <w:style w:type="character" w:customStyle="1" w:styleId="68">
    <w:name w:val="hover4"/>
    <w:basedOn w:val="33"/>
    <w:qFormat/>
    <w:uiPriority w:val="0"/>
    <w:rPr>
      <w:color w:val="999999"/>
    </w:rPr>
  </w:style>
  <w:style w:type="paragraph" w:customStyle="1" w:styleId="69">
    <w:name w:val="无间隔2"/>
    <w:qFormat/>
    <w:uiPriority w:val="1"/>
    <w:pPr>
      <w:widowControl w:val="0"/>
      <w:spacing w:line="360" w:lineRule="auto"/>
      <w:jc w:val="both"/>
    </w:pPr>
    <w:rPr>
      <w:rFonts w:ascii="宋体" w:hAnsi="宋体" w:eastAsia="宋体" w:cs="宋体"/>
      <w:kern w:val="2"/>
      <w:sz w:val="21"/>
      <w:szCs w:val="21"/>
      <w:lang w:val="en-US" w:eastAsia="zh-CN" w:bidi="ar-SA"/>
    </w:rPr>
  </w:style>
  <w:style w:type="paragraph" w:customStyle="1" w:styleId="70">
    <w:name w:val="Table Paragraph"/>
    <w:basedOn w:val="1"/>
    <w:qFormat/>
    <w:uiPriority w:val="1"/>
    <w:pPr>
      <w:jc w:val="left"/>
    </w:pPr>
    <w:rPr>
      <w:kern w:val="0"/>
      <w:sz w:val="22"/>
      <w:lang w:eastAsia="en-US"/>
    </w:rPr>
  </w:style>
  <w:style w:type="paragraph" w:customStyle="1" w:styleId="71">
    <w:name w:val="样式 宋体 四号 首行缩进:  0.99 厘米 段前: 14.45 磅 段后: 14.45 磅"/>
    <w:basedOn w:val="1"/>
    <w:qFormat/>
    <w:uiPriority w:val="0"/>
    <w:pPr>
      <w:adjustRightInd w:val="0"/>
      <w:snapToGrid w:val="0"/>
      <w:spacing w:line="360" w:lineRule="auto"/>
    </w:pPr>
    <w:rPr>
      <w:rFonts w:ascii="宋体" w:hAnsi="宋体" w:cs="宋体"/>
      <w:sz w:val="28"/>
      <w:szCs w:val="20"/>
    </w:rPr>
  </w:style>
  <w:style w:type="paragraph" w:customStyle="1" w:styleId="72">
    <w:name w:val="MM Topic 2"/>
    <w:basedOn w:val="5"/>
    <w:qFormat/>
    <w:uiPriority w:val="0"/>
    <w:rPr>
      <w:rFonts w:ascii="Calibri Light" w:hAnsi="Calibri Light" w:eastAsia="宋体" w:cs="黑体"/>
    </w:rPr>
  </w:style>
  <w:style w:type="paragraph" w:customStyle="1" w:styleId="73">
    <w:name w:val="MM Topic 3"/>
    <w:basedOn w:val="4"/>
    <w:qFormat/>
    <w:uiPriority w:val="0"/>
    <w:pPr>
      <w:numPr>
        <w:ilvl w:val="2"/>
        <w:numId w:val="2"/>
      </w:numPr>
      <w:tabs>
        <w:tab w:val="left" w:pos="360"/>
      </w:tabs>
      <w:ind w:firstLine="200"/>
    </w:pPr>
    <w:rPr>
      <w:rFonts w:eastAsia="仿宋_GB2312"/>
    </w:rPr>
  </w:style>
  <w:style w:type="paragraph" w:customStyle="1" w:styleId="7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列表段落1"/>
    <w:basedOn w:val="1"/>
    <w:qFormat/>
    <w:uiPriority w:val="99"/>
    <w:pPr>
      <w:ind w:firstLine="420" w:firstLineChars="200"/>
    </w:pPr>
  </w:style>
  <w:style w:type="paragraph" w:customStyle="1" w:styleId="7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F6A5A-A7CC-4C9A-8805-9AD95450A2B0}">
  <ds:schemaRefs/>
</ds:datastoreItem>
</file>

<file path=docProps/app.xml><?xml version="1.0" encoding="utf-8"?>
<Properties xmlns="http://schemas.openxmlformats.org/officeDocument/2006/extended-properties" xmlns:vt="http://schemas.openxmlformats.org/officeDocument/2006/docPropsVTypes">
  <Template>Normal</Template>
  <Company>JCVIDEO</Company>
  <Pages>68</Pages>
  <Words>5710</Words>
  <Characters>32553</Characters>
  <Lines>271</Lines>
  <Paragraphs>76</Paragraphs>
  <TotalTime>74</TotalTime>
  <ScaleCrop>false</ScaleCrop>
  <LinksUpToDate>false</LinksUpToDate>
  <CharactersWithSpaces>38187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2021-04-20T07:47:00Z</dcterms:created>
  <dc:creator>Fa1r1381387745</dc:creator>
  <cp:lastModifiedBy>路漫漫。</cp:lastModifiedBy>
  <cp:lastPrinted>2020-11-02T09:00:00Z</cp:lastPrinted>
  <dcterms:modified xsi:type="dcterms:W3CDTF">2021-07-13T07:59:46Z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8B7EDB6118014225B0A3385C8E976073</vt:lpwstr>
  </property>
</Properties>
</file>